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583E0" w14:textId="77777777" w:rsidR="00DD2A82" w:rsidRPr="00DE2CF7" w:rsidRDefault="00DD2A82" w:rsidP="00DE2CF7">
      <w:pPr>
        <w:rPr>
          <w:szCs w:val="22"/>
          <w:lang w:val="sr-Latn-ME"/>
        </w:rPr>
      </w:pPr>
    </w:p>
    <w:p w14:paraId="1E10F2A2" w14:textId="77777777" w:rsidR="00F9436C" w:rsidRPr="00DE2CF7" w:rsidRDefault="00F9436C" w:rsidP="00DE2CF7">
      <w:pPr>
        <w:jc w:val="center"/>
        <w:rPr>
          <w:b/>
          <w:bCs/>
          <w:iCs/>
          <w:szCs w:val="22"/>
          <w:u w:val="single"/>
          <w:lang w:val="sr-Latn-ME"/>
        </w:rPr>
      </w:pPr>
      <w:r w:rsidRPr="00DE2CF7">
        <w:rPr>
          <w:b/>
          <w:bCs/>
          <w:iCs/>
          <w:szCs w:val="22"/>
          <w:u w:val="single"/>
          <w:lang w:val="sr-Latn-ME"/>
        </w:rPr>
        <w:t>SAŽETAK KARAKTERISTIKA LIJEKA</w:t>
      </w:r>
    </w:p>
    <w:p w14:paraId="0B38E48E" w14:textId="77777777" w:rsidR="00383195" w:rsidRPr="00DE2CF7" w:rsidRDefault="00383195" w:rsidP="00DE2CF7">
      <w:pPr>
        <w:rPr>
          <w:szCs w:val="22"/>
          <w:lang w:val="sr-Latn-ME"/>
        </w:rPr>
      </w:pPr>
    </w:p>
    <w:p w14:paraId="20A4DBCD" w14:textId="77777777" w:rsidR="00CE09F3" w:rsidRPr="00DE2CF7" w:rsidRDefault="00CE09F3" w:rsidP="00DE2CF7">
      <w:pPr>
        <w:rPr>
          <w:b/>
          <w:bCs/>
          <w:szCs w:val="22"/>
          <w:lang w:val="sr-Latn-ME"/>
        </w:rPr>
      </w:pPr>
    </w:p>
    <w:p w14:paraId="6F91147F" w14:textId="77777777" w:rsidR="00F9436C" w:rsidRPr="00DE2CF7" w:rsidRDefault="00F9436C" w:rsidP="00DE2CF7">
      <w:pPr>
        <w:tabs>
          <w:tab w:val="clear" w:pos="284"/>
          <w:tab w:val="left" w:pos="540"/>
          <w:tab w:val="left" w:pos="569"/>
        </w:tabs>
        <w:jc w:val="left"/>
        <w:rPr>
          <w:b/>
          <w:bCs/>
          <w:szCs w:val="22"/>
          <w:lang w:val="sr-Latn-ME"/>
        </w:rPr>
      </w:pPr>
      <w:r w:rsidRPr="00DE2CF7">
        <w:rPr>
          <w:b/>
          <w:bCs/>
          <w:szCs w:val="22"/>
          <w:lang w:val="sr-Latn-ME"/>
        </w:rPr>
        <w:t>1.</w:t>
      </w:r>
      <w:r w:rsidRPr="00DE2CF7">
        <w:rPr>
          <w:b/>
          <w:bCs/>
          <w:szCs w:val="22"/>
          <w:lang w:val="sr-Latn-ME"/>
        </w:rPr>
        <w:tab/>
        <w:t>NAZIV LIJEKA</w:t>
      </w:r>
    </w:p>
    <w:p w14:paraId="2BCC41DA" w14:textId="77777777" w:rsidR="00C17340" w:rsidRPr="00DE2CF7" w:rsidRDefault="00C17340" w:rsidP="00DE2CF7">
      <w:pPr>
        <w:ind w:left="12" w:right="224"/>
        <w:rPr>
          <w:szCs w:val="22"/>
          <w:lang w:val="sr-Latn-ME"/>
        </w:rPr>
      </w:pPr>
    </w:p>
    <w:p w14:paraId="56070975" w14:textId="77777777" w:rsidR="00A551E1" w:rsidRPr="00DE2CF7" w:rsidRDefault="00B46FA1" w:rsidP="00DE2CF7">
      <w:pPr>
        <w:ind w:left="12" w:right="224"/>
        <w:rPr>
          <w:szCs w:val="22"/>
          <w:lang w:val="sr-Latn-ME"/>
        </w:rPr>
      </w:pPr>
      <w:r w:rsidRPr="00DE2CF7">
        <w:rPr>
          <w:szCs w:val="22"/>
          <w:lang w:val="sr-Latn-ME"/>
        </w:rPr>
        <w:t>Bosentan Phar</w:t>
      </w:r>
      <w:r w:rsidR="003F6693" w:rsidRPr="00DE2CF7">
        <w:rPr>
          <w:szCs w:val="22"/>
          <w:lang w:val="sr-Latn-ME"/>
        </w:rPr>
        <w:t>m</w:t>
      </w:r>
      <w:r w:rsidRPr="00DE2CF7">
        <w:rPr>
          <w:szCs w:val="22"/>
          <w:lang w:val="sr-Latn-ME"/>
        </w:rPr>
        <w:t>a</w:t>
      </w:r>
      <w:r w:rsidR="003F6693" w:rsidRPr="00DE2CF7">
        <w:rPr>
          <w:szCs w:val="22"/>
          <w:lang w:val="sr-Latn-ME"/>
        </w:rPr>
        <w:t>science</w:t>
      </w:r>
      <w:r w:rsidR="00C17340" w:rsidRPr="00DE2CF7">
        <w:rPr>
          <w:szCs w:val="22"/>
          <w:lang w:val="sr-Latn-ME"/>
        </w:rPr>
        <w:t>,</w:t>
      </w:r>
      <w:r w:rsidR="000337EF" w:rsidRPr="00DE2CF7">
        <w:rPr>
          <w:szCs w:val="22"/>
          <w:lang w:val="sr-Latn-ME"/>
        </w:rPr>
        <w:t xml:space="preserve"> </w:t>
      </w:r>
      <w:r w:rsidR="00DD60B8" w:rsidRPr="00DE2CF7">
        <w:rPr>
          <w:szCs w:val="22"/>
          <w:lang w:val="sr-Latn-ME"/>
        </w:rPr>
        <w:t>62,5 mg</w:t>
      </w:r>
      <w:r w:rsidR="00C17340" w:rsidRPr="00DE2CF7">
        <w:rPr>
          <w:szCs w:val="22"/>
          <w:lang w:val="sr-Latn-ME"/>
        </w:rPr>
        <w:t>,</w:t>
      </w:r>
      <w:r w:rsidR="000337EF" w:rsidRPr="00DE2CF7">
        <w:rPr>
          <w:szCs w:val="22"/>
          <w:lang w:val="sr-Latn-ME"/>
        </w:rPr>
        <w:t xml:space="preserve"> film </w:t>
      </w:r>
      <w:r w:rsidR="00C17340" w:rsidRPr="00DE2CF7">
        <w:rPr>
          <w:szCs w:val="22"/>
          <w:lang w:val="sr-Latn-ME"/>
        </w:rPr>
        <w:t xml:space="preserve">tableta </w:t>
      </w:r>
    </w:p>
    <w:p w14:paraId="6702AF5C" w14:textId="77777777" w:rsidR="00DD60B8" w:rsidRPr="00DE2CF7" w:rsidRDefault="00B46FA1" w:rsidP="00DE2CF7">
      <w:pPr>
        <w:ind w:left="12" w:right="224"/>
        <w:rPr>
          <w:szCs w:val="22"/>
          <w:lang w:val="sr-Latn-ME"/>
        </w:rPr>
      </w:pPr>
      <w:r w:rsidRPr="00DE2CF7">
        <w:rPr>
          <w:szCs w:val="22"/>
          <w:lang w:val="sr-Latn-ME"/>
        </w:rPr>
        <w:t>Bosentan Phar</w:t>
      </w:r>
      <w:r w:rsidR="00DD60B8" w:rsidRPr="00DE2CF7">
        <w:rPr>
          <w:szCs w:val="22"/>
          <w:lang w:val="sr-Latn-ME"/>
        </w:rPr>
        <w:t>m</w:t>
      </w:r>
      <w:r w:rsidRPr="00DE2CF7">
        <w:rPr>
          <w:szCs w:val="22"/>
          <w:lang w:val="sr-Latn-ME"/>
        </w:rPr>
        <w:t>a</w:t>
      </w:r>
      <w:r w:rsidR="00DD60B8" w:rsidRPr="00DE2CF7">
        <w:rPr>
          <w:szCs w:val="22"/>
          <w:lang w:val="sr-Latn-ME"/>
        </w:rPr>
        <w:t>science</w:t>
      </w:r>
      <w:r w:rsidR="00C17340" w:rsidRPr="00DE2CF7">
        <w:rPr>
          <w:szCs w:val="22"/>
          <w:lang w:val="sr-Latn-ME"/>
        </w:rPr>
        <w:t>,</w:t>
      </w:r>
      <w:r w:rsidR="00DD60B8" w:rsidRPr="00DE2CF7">
        <w:rPr>
          <w:szCs w:val="22"/>
          <w:lang w:val="sr-Latn-ME"/>
        </w:rPr>
        <w:t xml:space="preserve"> 125 mg</w:t>
      </w:r>
      <w:r w:rsidR="00C17340" w:rsidRPr="00DE2CF7">
        <w:rPr>
          <w:szCs w:val="22"/>
          <w:lang w:val="sr-Latn-ME"/>
        </w:rPr>
        <w:t>,</w:t>
      </w:r>
      <w:r w:rsidR="00DD60B8" w:rsidRPr="00DE2CF7">
        <w:rPr>
          <w:szCs w:val="22"/>
          <w:lang w:val="sr-Latn-ME"/>
        </w:rPr>
        <w:t xml:space="preserve"> film </w:t>
      </w:r>
      <w:r w:rsidR="00C17340" w:rsidRPr="00DE2CF7">
        <w:rPr>
          <w:szCs w:val="22"/>
          <w:lang w:val="sr-Latn-ME"/>
        </w:rPr>
        <w:t xml:space="preserve">tableta </w:t>
      </w:r>
    </w:p>
    <w:p w14:paraId="6D0E3ECD" w14:textId="77777777" w:rsidR="00CE09F3" w:rsidRPr="00DE2CF7" w:rsidRDefault="00CE09F3" w:rsidP="00DE2CF7">
      <w:pPr>
        <w:rPr>
          <w:bCs/>
          <w:szCs w:val="22"/>
          <w:lang w:val="sr-Latn-ME"/>
        </w:rPr>
      </w:pPr>
    </w:p>
    <w:p w14:paraId="568C2B44" w14:textId="77777777" w:rsidR="00CE09F3" w:rsidRPr="00DE2CF7" w:rsidRDefault="00CE09F3" w:rsidP="00DE2CF7">
      <w:pPr>
        <w:rPr>
          <w:szCs w:val="22"/>
          <w:lang w:val="sr-Latn-ME"/>
        </w:rPr>
      </w:pPr>
      <w:r w:rsidRPr="00DE2CF7">
        <w:rPr>
          <w:szCs w:val="22"/>
          <w:lang w:val="sr-Latn-ME"/>
        </w:rPr>
        <w:t>INN:</w:t>
      </w:r>
      <w:r w:rsidR="00CE227E" w:rsidRPr="00DE2CF7">
        <w:rPr>
          <w:szCs w:val="22"/>
          <w:lang w:val="sr-Latn-ME"/>
        </w:rPr>
        <w:t xml:space="preserve"> </w:t>
      </w:r>
      <w:r w:rsidR="00DD60B8" w:rsidRPr="00DE2CF7">
        <w:rPr>
          <w:szCs w:val="22"/>
          <w:lang w:val="sr-Latn-ME"/>
        </w:rPr>
        <w:t>bosentan</w:t>
      </w:r>
    </w:p>
    <w:p w14:paraId="5A64C603" w14:textId="77777777" w:rsidR="00CE09F3" w:rsidRPr="00DE2CF7" w:rsidRDefault="00CE09F3" w:rsidP="00DE2CF7">
      <w:pPr>
        <w:rPr>
          <w:szCs w:val="22"/>
          <w:lang w:val="sr-Latn-ME"/>
        </w:rPr>
      </w:pPr>
    </w:p>
    <w:p w14:paraId="670D5A06" w14:textId="77777777" w:rsidR="00CE09F3" w:rsidRPr="00DE2CF7" w:rsidRDefault="00CE09F3" w:rsidP="00DE2CF7">
      <w:pPr>
        <w:pStyle w:val="NASLOV123"/>
        <w:rPr>
          <w:lang w:val="sr-Latn-ME"/>
        </w:rPr>
      </w:pPr>
      <w:r w:rsidRPr="00DE2CF7">
        <w:rPr>
          <w:lang w:val="sr-Latn-ME"/>
        </w:rPr>
        <w:t>2. KVALITATIVNI I KVANTITATIVNI SASTAV</w:t>
      </w:r>
    </w:p>
    <w:p w14:paraId="06437877" w14:textId="77777777" w:rsidR="00DD60B8" w:rsidRPr="00DE2CF7" w:rsidRDefault="00DD60B8" w:rsidP="00DE2CF7">
      <w:pPr>
        <w:ind w:left="12" w:right="224"/>
        <w:rPr>
          <w:i/>
          <w:szCs w:val="22"/>
          <w:u w:val="single"/>
          <w:lang w:val="sr-Latn-ME"/>
        </w:rPr>
      </w:pPr>
      <w:r w:rsidRPr="00DE2CF7">
        <w:rPr>
          <w:i/>
          <w:szCs w:val="22"/>
          <w:u w:val="single"/>
          <w:lang w:val="sr-Latn-ME"/>
        </w:rPr>
        <w:t>Bosentan Pharamscience</w:t>
      </w:r>
      <w:r w:rsidR="00C17340" w:rsidRPr="00DE2CF7">
        <w:rPr>
          <w:i/>
          <w:szCs w:val="22"/>
          <w:u w:val="single"/>
          <w:lang w:val="sr-Latn-ME"/>
        </w:rPr>
        <w:t>,</w:t>
      </w:r>
      <w:r w:rsidRPr="00DE2CF7">
        <w:rPr>
          <w:i/>
          <w:szCs w:val="22"/>
          <w:u w:val="single"/>
          <w:lang w:val="sr-Latn-ME"/>
        </w:rPr>
        <w:t xml:space="preserve"> 62,5</w:t>
      </w:r>
      <w:r w:rsidR="007E38FF" w:rsidRPr="00DE2CF7">
        <w:rPr>
          <w:i/>
          <w:szCs w:val="22"/>
          <w:u w:val="single"/>
          <w:lang w:val="sr-Latn-ME"/>
        </w:rPr>
        <w:t xml:space="preserve"> </w:t>
      </w:r>
      <w:r w:rsidRPr="00DE2CF7">
        <w:rPr>
          <w:i/>
          <w:szCs w:val="22"/>
          <w:u w:val="single"/>
          <w:lang w:val="sr-Latn-ME"/>
        </w:rPr>
        <w:t>mg</w:t>
      </w:r>
      <w:r w:rsidR="00C17340" w:rsidRPr="00DE2CF7">
        <w:rPr>
          <w:i/>
          <w:szCs w:val="22"/>
          <w:u w:val="single"/>
          <w:lang w:val="sr-Latn-ME"/>
        </w:rPr>
        <w:t>,</w:t>
      </w:r>
      <w:r w:rsidR="00A11DC4">
        <w:rPr>
          <w:i/>
          <w:szCs w:val="22"/>
          <w:u w:val="single"/>
          <w:lang w:val="sr-Latn-ME"/>
        </w:rPr>
        <w:t xml:space="preserve"> </w:t>
      </w:r>
      <w:r w:rsidRPr="00DE2CF7">
        <w:rPr>
          <w:i/>
          <w:szCs w:val="22"/>
          <w:u w:val="single"/>
          <w:lang w:val="sr-Latn-ME"/>
        </w:rPr>
        <w:t xml:space="preserve">film </w:t>
      </w:r>
      <w:r w:rsidR="00C17340" w:rsidRPr="00DE2CF7">
        <w:rPr>
          <w:i/>
          <w:szCs w:val="22"/>
          <w:u w:val="single"/>
          <w:lang w:val="sr-Latn-ME"/>
        </w:rPr>
        <w:t xml:space="preserve">tableta </w:t>
      </w:r>
    </w:p>
    <w:p w14:paraId="6571305D" w14:textId="77777777" w:rsidR="00A551E1" w:rsidRPr="00DE2CF7" w:rsidRDefault="00DD60B8" w:rsidP="00DE2CF7">
      <w:pPr>
        <w:ind w:left="12" w:right="224"/>
        <w:rPr>
          <w:szCs w:val="22"/>
          <w:lang w:val="sr-Latn-ME"/>
        </w:rPr>
      </w:pPr>
      <w:r w:rsidRPr="00DE2CF7">
        <w:rPr>
          <w:szCs w:val="22"/>
          <w:lang w:val="sr-Latn-ME"/>
        </w:rPr>
        <w:t>Jedna</w:t>
      </w:r>
      <w:r w:rsidR="001E4400" w:rsidRPr="00DE2CF7">
        <w:rPr>
          <w:szCs w:val="22"/>
          <w:lang w:val="sr-Latn-ME"/>
        </w:rPr>
        <w:t xml:space="preserve"> film </w:t>
      </w:r>
      <w:r w:rsidRPr="00DE2CF7">
        <w:rPr>
          <w:szCs w:val="22"/>
          <w:lang w:val="sr-Latn-ME"/>
        </w:rPr>
        <w:t>tablet</w:t>
      </w:r>
      <w:r w:rsidR="003116E9" w:rsidRPr="00DE2CF7">
        <w:rPr>
          <w:szCs w:val="22"/>
          <w:lang w:val="sr-Latn-ME"/>
        </w:rPr>
        <w:t>a</w:t>
      </w:r>
      <w:r w:rsidRPr="00DE2CF7">
        <w:rPr>
          <w:szCs w:val="22"/>
          <w:lang w:val="sr-Latn-ME"/>
        </w:rPr>
        <w:t xml:space="preserve"> sadrži 62,5 mg bosentana (u obliku bosentan</w:t>
      </w:r>
      <w:r w:rsidR="003116E9" w:rsidRPr="00DE2CF7">
        <w:rPr>
          <w:szCs w:val="22"/>
          <w:lang w:val="sr-Latn-ME"/>
        </w:rPr>
        <w:t xml:space="preserve"> </w:t>
      </w:r>
      <w:r w:rsidR="007453E0" w:rsidRPr="00DE2CF7">
        <w:rPr>
          <w:szCs w:val="22"/>
          <w:lang w:val="sr-Latn-ME"/>
        </w:rPr>
        <w:t>monohidrata</w:t>
      </w:r>
      <w:r w:rsidRPr="00DE2CF7">
        <w:rPr>
          <w:szCs w:val="22"/>
          <w:lang w:val="sr-Latn-ME"/>
        </w:rPr>
        <w:t>)</w:t>
      </w:r>
      <w:r w:rsidR="007E38FF" w:rsidRPr="00DE2CF7">
        <w:rPr>
          <w:szCs w:val="22"/>
          <w:lang w:val="sr-Latn-ME"/>
        </w:rPr>
        <w:t>.</w:t>
      </w:r>
    </w:p>
    <w:p w14:paraId="42595666" w14:textId="77777777" w:rsidR="00DD60B8" w:rsidRPr="00DE2CF7" w:rsidRDefault="00DD60B8" w:rsidP="00DE2CF7">
      <w:pPr>
        <w:ind w:left="12" w:right="224"/>
        <w:rPr>
          <w:szCs w:val="22"/>
          <w:lang w:val="sr-Latn-ME"/>
        </w:rPr>
      </w:pPr>
    </w:p>
    <w:p w14:paraId="78544F22" w14:textId="77777777" w:rsidR="00DD60B8" w:rsidRPr="00DE2CF7" w:rsidRDefault="00DD60B8" w:rsidP="00DE2CF7">
      <w:pPr>
        <w:ind w:left="12" w:right="224"/>
        <w:rPr>
          <w:i/>
          <w:szCs w:val="22"/>
          <w:u w:val="single"/>
          <w:lang w:val="sr-Latn-ME"/>
        </w:rPr>
      </w:pPr>
      <w:r w:rsidRPr="00DE2CF7">
        <w:rPr>
          <w:i/>
          <w:szCs w:val="22"/>
          <w:u w:val="single"/>
          <w:lang w:val="sr-Latn-ME"/>
        </w:rPr>
        <w:t>Bosentan Pharamscience</w:t>
      </w:r>
      <w:r w:rsidR="00C17340" w:rsidRPr="00DE2CF7">
        <w:rPr>
          <w:i/>
          <w:szCs w:val="22"/>
          <w:u w:val="single"/>
          <w:lang w:val="sr-Latn-ME"/>
        </w:rPr>
        <w:t>,</w:t>
      </w:r>
      <w:r w:rsidRPr="00DE2CF7">
        <w:rPr>
          <w:i/>
          <w:szCs w:val="22"/>
          <w:u w:val="single"/>
          <w:lang w:val="sr-Latn-ME"/>
        </w:rPr>
        <w:t xml:space="preserve"> 125 mg</w:t>
      </w:r>
      <w:r w:rsidR="00C17340" w:rsidRPr="00DE2CF7">
        <w:rPr>
          <w:i/>
          <w:szCs w:val="22"/>
          <w:u w:val="single"/>
          <w:lang w:val="sr-Latn-ME"/>
        </w:rPr>
        <w:t>,</w:t>
      </w:r>
      <w:r w:rsidR="00A11DC4">
        <w:rPr>
          <w:i/>
          <w:szCs w:val="22"/>
          <w:u w:val="single"/>
          <w:lang w:val="sr-Latn-ME"/>
        </w:rPr>
        <w:t xml:space="preserve"> </w:t>
      </w:r>
      <w:r w:rsidRPr="00DE2CF7">
        <w:rPr>
          <w:i/>
          <w:szCs w:val="22"/>
          <w:u w:val="single"/>
          <w:lang w:val="sr-Latn-ME"/>
        </w:rPr>
        <w:t xml:space="preserve">film </w:t>
      </w:r>
      <w:r w:rsidR="00C17340" w:rsidRPr="00DE2CF7">
        <w:rPr>
          <w:i/>
          <w:szCs w:val="22"/>
          <w:u w:val="single"/>
          <w:lang w:val="sr-Latn-ME"/>
        </w:rPr>
        <w:t xml:space="preserve">tableta </w:t>
      </w:r>
    </w:p>
    <w:p w14:paraId="556CC183" w14:textId="77777777" w:rsidR="00DD60B8" w:rsidRPr="00DE2CF7" w:rsidRDefault="00DD60B8" w:rsidP="00DE2CF7">
      <w:pPr>
        <w:ind w:left="12" w:right="224"/>
        <w:rPr>
          <w:szCs w:val="22"/>
          <w:lang w:val="sr-Latn-ME"/>
        </w:rPr>
      </w:pPr>
      <w:r w:rsidRPr="00DE2CF7">
        <w:rPr>
          <w:szCs w:val="22"/>
          <w:lang w:val="sr-Latn-ME"/>
        </w:rPr>
        <w:t>Jedna</w:t>
      </w:r>
      <w:r w:rsidR="001E4400" w:rsidRPr="00DE2CF7">
        <w:rPr>
          <w:szCs w:val="22"/>
          <w:lang w:val="sr-Latn-ME"/>
        </w:rPr>
        <w:t xml:space="preserve"> film</w:t>
      </w:r>
      <w:r w:rsidRPr="00DE2CF7">
        <w:rPr>
          <w:szCs w:val="22"/>
          <w:lang w:val="sr-Latn-ME"/>
        </w:rPr>
        <w:t xml:space="preserve"> tablet</w:t>
      </w:r>
      <w:r w:rsidR="001E4400" w:rsidRPr="00DE2CF7">
        <w:rPr>
          <w:szCs w:val="22"/>
          <w:lang w:val="sr-Latn-ME"/>
        </w:rPr>
        <w:t>a</w:t>
      </w:r>
      <w:r w:rsidRPr="00DE2CF7">
        <w:rPr>
          <w:szCs w:val="22"/>
          <w:lang w:val="sr-Latn-ME"/>
        </w:rPr>
        <w:t xml:space="preserve"> sadrži 125 mg bosentana (u obliku bosentan monohidrata)</w:t>
      </w:r>
      <w:r w:rsidR="007E38FF" w:rsidRPr="00DE2CF7">
        <w:rPr>
          <w:szCs w:val="22"/>
          <w:lang w:val="sr-Latn-ME"/>
        </w:rPr>
        <w:t>.</w:t>
      </w:r>
    </w:p>
    <w:p w14:paraId="4848A9AA" w14:textId="77777777" w:rsidR="00DD60B8" w:rsidRPr="00DE2CF7" w:rsidRDefault="00DD60B8" w:rsidP="00DE2CF7">
      <w:pPr>
        <w:ind w:right="224"/>
        <w:rPr>
          <w:szCs w:val="22"/>
          <w:lang w:val="sr-Latn-ME"/>
        </w:rPr>
      </w:pPr>
    </w:p>
    <w:p w14:paraId="26A1A7E4" w14:textId="77777777" w:rsidR="00092B66" w:rsidRPr="00DE2CF7" w:rsidRDefault="00092B66" w:rsidP="00DE2CF7">
      <w:pPr>
        <w:tabs>
          <w:tab w:val="clear" w:pos="284"/>
        </w:tabs>
        <w:jc w:val="left"/>
        <w:rPr>
          <w:szCs w:val="22"/>
          <w:lang w:val="sr-Latn-ME"/>
        </w:rPr>
      </w:pPr>
      <w:r w:rsidRPr="00DE2CF7">
        <w:rPr>
          <w:szCs w:val="22"/>
          <w:lang w:val="sr-Latn-ME"/>
        </w:rPr>
        <w:t>Za spisak svih ekscipijenasa, pogledati dio 6.1.</w:t>
      </w:r>
    </w:p>
    <w:p w14:paraId="22B29418" w14:textId="77777777" w:rsidR="00CE09F3" w:rsidRPr="00DE2CF7" w:rsidRDefault="00CE09F3" w:rsidP="00DE2CF7">
      <w:pPr>
        <w:rPr>
          <w:szCs w:val="22"/>
          <w:lang w:val="sr-Latn-ME"/>
        </w:rPr>
      </w:pPr>
    </w:p>
    <w:p w14:paraId="37E83463" w14:textId="77777777" w:rsidR="00CE09F3" w:rsidRPr="00DE2CF7" w:rsidRDefault="00CE09F3" w:rsidP="00DE2CF7">
      <w:pPr>
        <w:pStyle w:val="NASLOV123"/>
        <w:rPr>
          <w:lang w:val="sr-Latn-ME"/>
        </w:rPr>
      </w:pPr>
      <w:r w:rsidRPr="00DE2CF7">
        <w:rPr>
          <w:lang w:val="sr-Latn-ME"/>
        </w:rPr>
        <w:t>3. FARMACEUTSKI OBLIK</w:t>
      </w:r>
    </w:p>
    <w:p w14:paraId="622E815F" w14:textId="77777777" w:rsidR="00DD60B8" w:rsidRPr="00DE2CF7" w:rsidRDefault="00DD60B8" w:rsidP="00DE2CF7">
      <w:pPr>
        <w:pStyle w:val="NASLOV123"/>
        <w:rPr>
          <w:b w:val="0"/>
          <w:lang w:val="sr-Latn-ME"/>
        </w:rPr>
      </w:pPr>
      <w:r w:rsidRPr="00DE2CF7">
        <w:rPr>
          <w:b w:val="0"/>
          <w:lang w:val="sr-Latn-ME"/>
        </w:rPr>
        <w:t>Film tableta.</w:t>
      </w:r>
    </w:p>
    <w:p w14:paraId="2D25F753" w14:textId="77777777" w:rsidR="00DD60B8" w:rsidRPr="00DE2CF7" w:rsidRDefault="00DD60B8" w:rsidP="00DE2CF7">
      <w:pPr>
        <w:ind w:left="12" w:right="224"/>
        <w:rPr>
          <w:i/>
          <w:szCs w:val="22"/>
          <w:u w:val="single"/>
          <w:lang w:val="sr-Latn-ME"/>
        </w:rPr>
      </w:pPr>
      <w:r w:rsidRPr="00DE2CF7">
        <w:rPr>
          <w:i/>
          <w:szCs w:val="22"/>
          <w:u w:val="single"/>
          <w:lang w:val="sr-Latn-ME"/>
        </w:rPr>
        <w:t>Bosentan Pharamscience</w:t>
      </w:r>
      <w:r w:rsidR="00C17340" w:rsidRPr="00DE2CF7">
        <w:rPr>
          <w:i/>
          <w:szCs w:val="22"/>
          <w:u w:val="single"/>
          <w:lang w:val="sr-Latn-ME"/>
        </w:rPr>
        <w:t>,</w:t>
      </w:r>
      <w:r w:rsidRPr="00DE2CF7">
        <w:rPr>
          <w:i/>
          <w:szCs w:val="22"/>
          <w:u w:val="single"/>
          <w:lang w:val="sr-Latn-ME"/>
        </w:rPr>
        <w:t xml:space="preserve"> 62,5 mg</w:t>
      </w:r>
      <w:r w:rsidR="00C17340" w:rsidRPr="00DE2CF7">
        <w:rPr>
          <w:i/>
          <w:szCs w:val="22"/>
          <w:u w:val="single"/>
          <w:lang w:val="sr-Latn-ME"/>
        </w:rPr>
        <w:t>,</w:t>
      </w:r>
      <w:r w:rsidRPr="00DE2CF7">
        <w:rPr>
          <w:i/>
          <w:szCs w:val="22"/>
          <w:u w:val="single"/>
          <w:lang w:val="sr-Latn-ME"/>
        </w:rPr>
        <w:t xml:space="preserve"> film tablet</w:t>
      </w:r>
      <w:r w:rsidR="00B72178" w:rsidRPr="00DE2CF7">
        <w:rPr>
          <w:i/>
          <w:szCs w:val="22"/>
          <w:u w:val="single"/>
          <w:lang w:val="sr-Latn-ME"/>
        </w:rPr>
        <w:t>a</w:t>
      </w:r>
      <w:r w:rsidRPr="00DE2CF7">
        <w:rPr>
          <w:i/>
          <w:szCs w:val="22"/>
          <w:u w:val="single"/>
          <w:lang w:val="sr-Latn-ME"/>
        </w:rPr>
        <w:t xml:space="preserve"> </w:t>
      </w:r>
    </w:p>
    <w:p w14:paraId="248DEE84" w14:textId="77777777" w:rsidR="00DD60B8" w:rsidRPr="00DE2CF7" w:rsidRDefault="00DD60B8" w:rsidP="00DE2CF7">
      <w:pPr>
        <w:ind w:left="12" w:right="224"/>
        <w:rPr>
          <w:szCs w:val="22"/>
          <w:lang w:val="sr-Latn-ME"/>
        </w:rPr>
      </w:pPr>
      <w:r w:rsidRPr="00DE2CF7">
        <w:rPr>
          <w:szCs w:val="22"/>
          <w:lang w:val="sr-Latn-ME"/>
        </w:rPr>
        <w:t>Narandžasto</w:t>
      </w:r>
      <w:r w:rsidR="007E38FF" w:rsidRPr="00DE2CF7">
        <w:rPr>
          <w:szCs w:val="22"/>
          <w:lang w:val="sr-Latn-ME"/>
        </w:rPr>
        <w:t>-</w:t>
      </w:r>
      <w:r w:rsidRPr="00DE2CF7">
        <w:rPr>
          <w:szCs w:val="22"/>
          <w:lang w:val="sr-Latn-ME"/>
        </w:rPr>
        <w:t>b</w:t>
      </w:r>
      <w:r w:rsidR="007453E0" w:rsidRPr="00DE2CF7">
        <w:rPr>
          <w:szCs w:val="22"/>
          <w:lang w:val="sr-Latn-ME"/>
        </w:rPr>
        <w:t>ij</w:t>
      </w:r>
      <w:r w:rsidRPr="00DE2CF7">
        <w:rPr>
          <w:szCs w:val="22"/>
          <w:lang w:val="sr-Latn-ME"/>
        </w:rPr>
        <w:t xml:space="preserve">ele, </w:t>
      </w:r>
      <w:r w:rsidR="007E38FF" w:rsidRPr="00DE2CF7">
        <w:rPr>
          <w:szCs w:val="22"/>
          <w:lang w:val="sr-Latn-ME"/>
        </w:rPr>
        <w:t>okrugle</w:t>
      </w:r>
      <w:r w:rsidRPr="00DE2CF7">
        <w:rPr>
          <w:szCs w:val="22"/>
          <w:lang w:val="sr-Latn-ME"/>
        </w:rPr>
        <w:t xml:space="preserve">, </w:t>
      </w:r>
      <w:r w:rsidR="001E4400" w:rsidRPr="00DE2CF7">
        <w:rPr>
          <w:szCs w:val="22"/>
          <w:lang w:val="sr-Latn-ME"/>
        </w:rPr>
        <w:t>film</w:t>
      </w:r>
      <w:r w:rsidRPr="00DE2CF7">
        <w:rPr>
          <w:szCs w:val="22"/>
          <w:lang w:val="sr-Latn-ME"/>
        </w:rPr>
        <w:t xml:space="preserve"> tablete, prečnika p</w:t>
      </w:r>
      <w:r w:rsidR="00BA50D1" w:rsidRPr="00DE2CF7">
        <w:rPr>
          <w:szCs w:val="22"/>
          <w:lang w:val="sr-Latn-ME"/>
        </w:rPr>
        <w:t>ribližno 6 mm i debljine 3,2 mm, sa utisnutim “B” sa jedne strane i “62.5” sa druge strane.</w:t>
      </w:r>
    </w:p>
    <w:p w14:paraId="7403FCBD" w14:textId="77777777" w:rsidR="00DD60B8" w:rsidRPr="00DE2CF7" w:rsidRDefault="00DD60B8" w:rsidP="00DE2CF7">
      <w:pPr>
        <w:ind w:left="12" w:right="224"/>
        <w:rPr>
          <w:szCs w:val="22"/>
          <w:u w:val="single"/>
          <w:lang w:val="sr-Latn-ME"/>
        </w:rPr>
      </w:pPr>
    </w:p>
    <w:p w14:paraId="5803E71A" w14:textId="77777777" w:rsidR="00DD60B8" w:rsidRPr="00DE2CF7" w:rsidRDefault="00DD60B8" w:rsidP="00DE2CF7">
      <w:pPr>
        <w:ind w:left="12" w:right="224"/>
        <w:rPr>
          <w:i/>
          <w:szCs w:val="22"/>
          <w:u w:val="single"/>
          <w:lang w:val="sr-Latn-ME"/>
        </w:rPr>
      </w:pPr>
      <w:r w:rsidRPr="00DE2CF7">
        <w:rPr>
          <w:i/>
          <w:szCs w:val="22"/>
          <w:u w:val="single"/>
          <w:lang w:val="sr-Latn-ME"/>
        </w:rPr>
        <w:t>Bosentan Pharamscience</w:t>
      </w:r>
      <w:r w:rsidR="00C17340" w:rsidRPr="00DE2CF7">
        <w:rPr>
          <w:i/>
          <w:szCs w:val="22"/>
          <w:u w:val="single"/>
          <w:lang w:val="sr-Latn-ME"/>
        </w:rPr>
        <w:t>,</w:t>
      </w:r>
      <w:r w:rsidRPr="00DE2CF7">
        <w:rPr>
          <w:i/>
          <w:szCs w:val="22"/>
          <w:u w:val="single"/>
          <w:lang w:val="sr-Latn-ME"/>
        </w:rPr>
        <w:t xml:space="preserve"> 125 m</w:t>
      </w:r>
      <w:r w:rsidR="00C17340" w:rsidRPr="00DE2CF7">
        <w:rPr>
          <w:i/>
          <w:szCs w:val="22"/>
          <w:u w:val="single"/>
          <w:lang w:val="sr-Latn-ME"/>
        </w:rPr>
        <w:t>g,</w:t>
      </w:r>
      <w:r w:rsidRPr="00DE2CF7">
        <w:rPr>
          <w:i/>
          <w:szCs w:val="22"/>
          <w:u w:val="single"/>
          <w:lang w:val="sr-Latn-ME"/>
        </w:rPr>
        <w:t xml:space="preserve"> film tablet</w:t>
      </w:r>
      <w:r w:rsidR="00B72178" w:rsidRPr="00DE2CF7">
        <w:rPr>
          <w:i/>
          <w:szCs w:val="22"/>
          <w:u w:val="single"/>
          <w:lang w:val="sr-Latn-ME"/>
        </w:rPr>
        <w:t>a</w:t>
      </w:r>
      <w:r w:rsidRPr="00DE2CF7">
        <w:rPr>
          <w:i/>
          <w:szCs w:val="22"/>
          <w:u w:val="single"/>
          <w:lang w:val="sr-Latn-ME"/>
        </w:rPr>
        <w:t xml:space="preserve"> </w:t>
      </w:r>
    </w:p>
    <w:p w14:paraId="28C5C7CF" w14:textId="77777777" w:rsidR="00BA50D1" w:rsidRPr="00DE2CF7" w:rsidRDefault="00DD60B8" w:rsidP="00DE2CF7">
      <w:pPr>
        <w:ind w:left="12" w:right="224"/>
        <w:rPr>
          <w:szCs w:val="22"/>
          <w:lang w:val="sr-Latn-ME"/>
        </w:rPr>
      </w:pPr>
      <w:r w:rsidRPr="00DE2CF7">
        <w:rPr>
          <w:szCs w:val="22"/>
          <w:lang w:val="sr-Latn-ME"/>
        </w:rPr>
        <w:t>Narandžasto</w:t>
      </w:r>
      <w:r w:rsidR="007E38FF" w:rsidRPr="00DE2CF7">
        <w:rPr>
          <w:szCs w:val="22"/>
          <w:lang w:val="sr-Latn-ME"/>
        </w:rPr>
        <w:t>-</w:t>
      </w:r>
      <w:r w:rsidRPr="00DE2CF7">
        <w:rPr>
          <w:szCs w:val="22"/>
          <w:lang w:val="sr-Latn-ME"/>
        </w:rPr>
        <w:t>b</w:t>
      </w:r>
      <w:r w:rsidR="007453E0" w:rsidRPr="00DE2CF7">
        <w:rPr>
          <w:szCs w:val="22"/>
          <w:lang w:val="sr-Latn-ME"/>
        </w:rPr>
        <w:t>ij</w:t>
      </w:r>
      <w:r w:rsidRPr="00DE2CF7">
        <w:rPr>
          <w:szCs w:val="22"/>
          <w:lang w:val="sr-Latn-ME"/>
        </w:rPr>
        <w:t xml:space="preserve">ele, ovalne, </w:t>
      </w:r>
      <w:r w:rsidR="001E4400" w:rsidRPr="00DE2CF7">
        <w:rPr>
          <w:szCs w:val="22"/>
          <w:lang w:val="sr-Latn-ME"/>
        </w:rPr>
        <w:t>film</w:t>
      </w:r>
      <w:r w:rsidRPr="00DE2CF7">
        <w:rPr>
          <w:szCs w:val="22"/>
          <w:lang w:val="sr-Latn-ME"/>
        </w:rPr>
        <w:t xml:space="preserve"> tablete, </w:t>
      </w:r>
      <w:r w:rsidR="007E38FF" w:rsidRPr="00DE2CF7">
        <w:rPr>
          <w:szCs w:val="22"/>
          <w:lang w:val="sr-Latn-ME"/>
        </w:rPr>
        <w:t xml:space="preserve">dužine </w:t>
      </w:r>
      <w:r w:rsidRPr="00DE2CF7">
        <w:rPr>
          <w:szCs w:val="22"/>
          <w:lang w:val="sr-Latn-ME"/>
        </w:rPr>
        <w:t xml:space="preserve">približno 11 mm, </w:t>
      </w:r>
      <w:r w:rsidR="00BA50D1" w:rsidRPr="00DE2CF7">
        <w:rPr>
          <w:szCs w:val="22"/>
          <w:lang w:val="sr-Latn-ME"/>
        </w:rPr>
        <w:t>širine 5,1 mm i debljine 4,2 mm, sa utisnutim “B” sa jedne strane i “</w:t>
      </w:r>
      <w:r w:rsidR="00241718" w:rsidRPr="00DE2CF7">
        <w:rPr>
          <w:szCs w:val="22"/>
          <w:lang w:val="sr-Latn-ME"/>
        </w:rPr>
        <w:t>125</w:t>
      </w:r>
      <w:r w:rsidR="00BA50D1" w:rsidRPr="00DE2CF7">
        <w:rPr>
          <w:szCs w:val="22"/>
          <w:lang w:val="sr-Latn-ME"/>
        </w:rPr>
        <w:t>” sa druge strane.</w:t>
      </w:r>
    </w:p>
    <w:p w14:paraId="468F113D" w14:textId="77777777" w:rsidR="00DD60B8" w:rsidRPr="00DE2CF7" w:rsidRDefault="00DD60B8" w:rsidP="00DE2CF7">
      <w:pPr>
        <w:ind w:left="12" w:right="224"/>
        <w:rPr>
          <w:szCs w:val="22"/>
          <w:lang w:val="sr-Latn-ME"/>
        </w:rPr>
      </w:pPr>
    </w:p>
    <w:p w14:paraId="79951E1C" w14:textId="77777777" w:rsidR="000337EF" w:rsidRPr="00DE2CF7" w:rsidRDefault="000337EF" w:rsidP="00DE2CF7">
      <w:pPr>
        <w:rPr>
          <w:szCs w:val="22"/>
          <w:lang w:val="sr-Latn-ME"/>
        </w:rPr>
      </w:pPr>
    </w:p>
    <w:p w14:paraId="68B106EA" w14:textId="77777777" w:rsidR="00CE09F3" w:rsidRPr="00DE2CF7" w:rsidRDefault="00CE09F3" w:rsidP="00DE2CF7">
      <w:pPr>
        <w:rPr>
          <w:b/>
          <w:szCs w:val="22"/>
          <w:lang w:val="sr-Latn-ME"/>
        </w:rPr>
      </w:pPr>
      <w:r w:rsidRPr="00DE2CF7">
        <w:rPr>
          <w:b/>
          <w:szCs w:val="22"/>
          <w:lang w:val="sr-Latn-ME"/>
        </w:rPr>
        <w:t>4. KLINIČKI PODACI</w:t>
      </w:r>
    </w:p>
    <w:p w14:paraId="6A632AD4" w14:textId="77777777" w:rsidR="007C26FA" w:rsidRPr="00DE2CF7" w:rsidRDefault="007C26FA" w:rsidP="00DE2CF7">
      <w:pPr>
        <w:rPr>
          <w:b/>
          <w:szCs w:val="22"/>
          <w:lang w:val="sr-Latn-ME"/>
        </w:rPr>
      </w:pPr>
    </w:p>
    <w:p w14:paraId="796EEF76" w14:textId="77777777" w:rsidR="00CE09F3" w:rsidRPr="00DE2CF7" w:rsidRDefault="00CE09F3" w:rsidP="00DE2CF7">
      <w:pPr>
        <w:rPr>
          <w:b/>
          <w:bCs/>
          <w:szCs w:val="22"/>
          <w:lang w:val="sr-Latn-ME"/>
        </w:rPr>
      </w:pPr>
      <w:r w:rsidRPr="00DE2CF7">
        <w:rPr>
          <w:b/>
          <w:bCs/>
          <w:szCs w:val="22"/>
          <w:lang w:val="sr-Latn-ME"/>
        </w:rPr>
        <w:t>4.1. Terapijske indikacije</w:t>
      </w:r>
    </w:p>
    <w:p w14:paraId="2FE58A03" w14:textId="77777777" w:rsidR="000077C7" w:rsidRPr="00DE2CF7" w:rsidRDefault="000077C7" w:rsidP="00DE2CF7">
      <w:pPr>
        <w:rPr>
          <w:b/>
          <w:bCs/>
          <w:szCs w:val="22"/>
          <w:lang w:val="sr-Latn-ME"/>
        </w:rPr>
      </w:pPr>
    </w:p>
    <w:p w14:paraId="13EC7095" w14:textId="77777777" w:rsidR="00AF765E" w:rsidRPr="00DE2CF7" w:rsidRDefault="007453E0" w:rsidP="00DE2CF7">
      <w:pPr>
        <w:ind w:left="12" w:right="224"/>
        <w:rPr>
          <w:szCs w:val="22"/>
          <w:lang w:val="sr-Latn-ME"/>
        </w:rPr>
      </w:pPr>
      <w:r w:rsidRPr="00DE2CF7">
        <w:rPr>
          <w:szCs w:val="22"/>
          <w:lang w:val="sr-Latn-ME"/>
        </w:rPr>
        <w:t>Liječenj</w:t>
      </w:r>
      <w:r w:rsidR="00DD60B8" w:rsidRPr="00DE2CF7">
        <w:rPr>
          <w:szCs w:val="22"/>
          <w:lang w:val="sr-Latn-ME"/>
        </w:rPr>
        <w:t>e plućne arterijske hipertenzije (PAH) radi poboljšanja kapaciteta za obavljanje fizičkih aktivnosti i drugih simptoma, kod pacijenata sa SZO funkcionalnom klasom III. Efikasnost je pokazana kod:</w:t>
      </w:r>
    </w:p>
    <w:p w14:paraId="70A7AF49" w14:textId="77777777" w:rsidR="00DD60B8" w:rsidRPr="00DE2CF7" w:rsidRDefault="00AA54BB" w:rsidP="00DE2CF7">
      <w:pPr>
        <w:pStyle w:val="ListParagraph"/>
        <w:numPr>
          <w:ilvl w:val="0"/>
          <w:numId w:val="33"/>
        </w:numPr>
        <w:ind w:right="224"/>
        <w:rPr>
          <w:szCs w:val="22"/>
          <w:lang w:val="sr-Latn-ME"/>
        </w:rPr>
      </w:pPr>
      <w:r w:rsidRPr="00DE2CF7">
        <w:rPr>
          <w:szCs w:val="22"/>
          <w:lang w:val="sr-Latn-ME"/>
        </w:rPr>
        <w:t xml:space="preserve">primarne </w:t>
      </w:r>
      <w:r w:rsidR="00DD60B8" w:rsidRPr="00DE2CF7">
        <w:rPr>
          <w:szCs w:val="22"/>
          <w:lang w:val="sr-Latn-ME"/>
        </w:rPr>
        <w:t xml:space="preserve">(idiopatske i </w:t>
      </w:r>
      <w:r w:rsidR="007453E0" w:rsidRPr="00DE2CF7">
        <w:rPr>
          <w:szCs w:val="22"/>
          <w:lang w:val="sr-Latn-ME"/>
        </w:rPr>
        <w:t>nasljedn</w:t>
      </w:r>
      <w:r w:rsidR="00DD60B8" w:rsidRPr="00DE2CF7">
        <w:rPr>
          <w:szCs w:val="22"/>
          <w:lang w:val="sr-Latn-ME"/>
        </w:rPr>
        <w:t>e) plućne arterijske hipertenzije</w:t>
      </w:r>
      <w:r w:rsidRPr="00DE2CF7">
        <w:rPr>
          <w:szCs w:val="22"/>
          <w:lang w:val="sr-Latn-ME"/>
        </w:rPr>
        <w:t>,</w:t>
      </w:r>
    </w:p>
    <w:p w14:paraId="6BFC7555" w14:textId="77777777" w:rsidR="00DD60B8" w:rsidRPr="00DE2CF7" w:rsidRDefault="00DD60B8" w:rsidP="00DE2CF7">
      <w:pPr>
        <w:pStyle w:val="ListParagraph"/>
        <w:numPr>
          <w:ilvl w:val="0"/>
          <w:numId w:val="33"/>
        </w:numPr>
        <w:ind w:right="224"/>
        <w:rPr>
          <w:szCs w:val="22"/>
          <w:lang w:val="sr-Latn-ME"/>
        </w:rPr>
      </w:pPr>
      <w:r w:rsidRPr="00DE2CF7">
        <w:rPr>
          <w:szCs w:val="22"/>
          <w:lang w:val="sr-Latn-ME"/>
        </w:rPr>
        <w:t xml:space="preserve">PAH </w:t>
      </w:r>
      <w:r w:rsidR="00435BE5" w:rsidRPr="00DE2CF7">
        <w:rPr>
          <w:szCs w:val="22"/>
          <w:lang w:val="sr-Latn-ME"/>
        </w:rPr>
        <w:t xml:space="preserve">koja se javlja </w:t>
      </w:r>
      <w:r w:rsidRPr="00DE2CF7">
        <w:rPr>
          <w:szCs w:val="22"/>
          <w:lang w:val="sr-Latn-ME"/>
        </w:rPr>
        <w:t xml:space="preserve">kao </w:t>
      </w:r>
      <w:r w:rsidR="007453E0" w:rsidRPr="00DE2CF7">
        <w:rPr>
          <w:szCs w:val="22"/>
          <w:lang w:val="sr-Latn-ME"/>
        </w:rPr>
        <w:t>posljed</w:t>
      </w:r>
      <w:r w:rsidRPr="00DE2CF7">
        <w:rPr>
          <w:szCs w:val="22"/>
          <w:lang w:val="sr-Latn-ME"/>
        </w:rPr>
        <w:t>ic</w:t>
      </w:r>
      <w:r w:rsidR="00435BE5" w:rsidRPr="00DE2CF7">
        <w:rPr>
          <w:szCs w:val="22"/>
          <w:lang w:val="sr-Latn-ME"/>
        </w:rPr>
        <w:t>a</w:t>
      </w:r>
      <w:r w:rsidRPr="00DE2CF7">
        <w:rPr>
          <w:szCs w:val="22"/>
          <w:lang w:val="sr-Latn-ME"/>
        </w:rPr>
        <w:t xml:space="preserve"> sklerodermije bez značajne intersticijalne bolesti pluća</w:t>
      </w:r>
      <w:r w:rsidR="00AA54BB" w:rsidRPr="00DE2CF7">
        <w:rPr>
          <w:szCs w:val="22"/>
          <w:lang w:val="sr-Latn-ME"/>
        </w:rPr>
        <w:t>,</w:t>
      </w:r>
    </w:p>
    <w:p w14:paraId="4F2E3AC9" w14:textId="77777777" w:rsidR="00DD60B8" w:rsidRPr="00DE2CF7" w:rsidRDefault="00DD60B8" w:rsidP="00DE2CF7">
      <w:pPr>
        <w:pStyle w:val="ListParagraph"/>
        <w:numPr>
          <w:ilvl w:val="0"/>
          <w:numId w:val="33"/>
        </w:numPr>
        <w:ind w:right="224"/>
        <w:rPr>
          <w:szCs w:val="22"/>
          <w:lang w:val="sr-Latn-ME"/>
        </w:rPr>
      </w:pPr>
      <w:r w:rsidRPr="00DE2CF7">
        <w:rPr>
          <w:szCs w:val="22"/>
          <w:lang w:val="sr-Latn-ME"/>
        </w:rPr>
        <w:t xml:space="preserve">PAH udružene sa kongenitalnim sistemsko-pulmonalnim šantom i </w:t>
      </w:r>
      <w:r w:rsidRPr="00DE2CF7">
        <w:rPr>
          <w:i/>
          <w:szCs w:val="22"/>
          <w:lang w:val="sr-Latn-ME"/>
        </w:rPr>
        <w:t>Eisenmenger</w:t>
      </w:r>
      <w:r w:rsidRPr="00DE2CF7">
        <w:rPr>
          <w:szCs w:val="22"/>
          <w:lang w:val="sr-Latn-ME"/>
        </w:rPr>
        <w:t>-ovom fiziologijom.</w:t>
      </w:r>
    </w:p>
    <w:p w14:paraId="3B920311" w14:textId="77777777" w:rsidR="00DD60B8" w:rsidRPr="00DE2CF7" w:rsidRDefault="00DD60B8" w:rsidP="00DE2CF7">
      <w:pPr>
        <w:rPr>
          <w:i/>
          <w:szCs w:val="22"/>
          <w:lang w:val="sr-Latn-ME"/>
        </w:rPr>
      </w:pPr>
    </w:p>
    <w:p w14:paraId="6B8C790B" w14:textId="77777777" w:rsidR="00DD60B8" w:rsidRPr="00DE2CF7" w:rsidRDefault="0052678D" w:rsidP="00DE2CF7">
      <w:pPr>
        <w:rPr>
          <w:szCs w:val="22"/>
          <w:lang w:val="sr-Latn-ME"/>
        </w:rPr>
      </w:pPr>
      <w:r w:rsidRPr="00DE2CF7">
        <w:rPr>
          <w:szCs w:val="22"/>
          <w:lang w:val="sr-Latn-ME"/>
        </w:rPr>
        <w:t xml:space="preserve">Neka poboljšanja su </w:t>
      </w:r>
      <w:r w:rsidR="00435BE5" w:rsidRPr="00DE2CF7">
        <w:rPr>
          <w:szCs w:val="22"/>
          <w:lang w:val="sr-Latn-ME"/>
        </w:rPr>
        <w:t xml:space="preserve">zapažena </w:t>
      </w:r>
      <w:r w:rsidRPr="00DE2CF7">
        <w:rPr>
          <w:szCs w:val="22"/>
          <w:lang w:val="sr-Latn-ME"/>
        </w:rPr>
        <w:t>i</w:t>
      </w:r>
      <w:r w:rsidR="00DD60B8" w:rsidRPr="00DE2CF7">
        <w:rPr>
          <w:szCs w:val="22"/>
          <w:lang w:val="sr-Latn-ME"/>
        </w:rPr>
        <w:t xml:space="preserve"> kod pacijenata sa plućnom arterijskom hipertenzijom SZO funkcionalne k</w:t>
      </w:r>
      <w:r w:rsidR="0024020F" w:rsidRPr="00DE2CF7">
        <w:rPr>
          <w:szCs w:val="22"/>
          <w:lang w:val="sr-Latn-ME"/>
        </w:rPr>
        <w:t>las</w:t>
      </w:r>
      <w:r w:rsidR="00DD60B8" w:rsidRPr="00DE2CF7">
        <w:rPr>
          <w:szCs w:val="22"/>
          <w:lang w:val="sr-Latn-ME"/>
        </w:rPr>
        <w:t>e II (</w:t>
      </w:r>
      <w:r w:rsidR="007453E0" w:rsidRPr="00DE2CF7">
        <w:rPr>
          <w:szCs w:val="22"/>
          <w:lang w:val="sr-Latn-ME"/>
        </w:rPr>
        <w:t>vidjeti</w:t>
      </w:r>
      <w:r w:rsidR="00DD60B8" w:rsidRPr="00DE2CF7">
        <w:rPr>
          <w:szCs w:val="22"/>
          <w:lang w:val="sr-Latn-ME"/>
        </w:rPr>
        <w:t xml:space="preserve"> </w:t>
      </w:r>
      <w:r w:rsidR="007453E0" w:rsidRPr="00DE2CF7">
        <w:rPr>
          <w:szCs w:val="22"/>
          <w:lang w:val="sr-Latn-ME"/>
        </w:rPr>
        <w:t>odjeljak</w:t>
      </w:r>
      <w:r w:rsidR="00DD60B8" w:rsidRPr="00DE2CF7">
        <w:rPr>
          <w:szCs w:val="22"/>
          <w:lang w:val="sr-Latn-ME"/>
        </w:rPr>
        <w:t xml:space="preserve"> 5.1).</w:t>
      </w:r>
    </w:p>
    <w:p w14:paraId="070C7AFC" w14:textId="77777777" w:rsidR="00DD60B8" w:rsidRPr="00DE2CF7" w:rsidRDefault="00DD60B8" w:rsidP="00DE2CF7">
      <w:pPr>
        <w:rPr>
          <w:szCs w:val="22"/>
          <w:lang w:val="sr-Latn-ME"/>
        </w:rPr>
      </w:pPr>
      <w:r w:rsidRPr="00DE2CF7">
        <w:rPr>
          <w:szCs w:val="22"/>
          <w:lang w:val="sr-Latn-ME"/>
        </w:rPr>
        <w:t>L</w:t>
      </w:r>
      <w:r w:rsidR="007453E0" w:rsidRPr="00DE2CF7">
        <w:rPr>
          <w:szCs w:val="22"/>
          <w:lang w:val="sr-Latn-ME"/>
        </w:rPr>
        <w:t>ij</w:t>
      </w:r>
      <w:r w:rsidRPr="00DE2CF7">
        <w:rPr>
          <w:szCs w:val="22"/>
          <w:lang w:val="sr-Latn-ME"/>
        </w:rPr>
        <w:t>ek Bosentan Pharmasci</w:t>
      </w:r>
      <w:r w:rsidR="0038528C" w:rsidRPr="00DE2CF7">
        <w:rPr>
          <w:szCs w:val="22"/>
          <w:lang w:val="sr-Latn-ME"/>
        </w:rPr>
        <w:t>en</w:t>
      </w:r>
      <w:r w:rsidRPr="00DE2CF7">
        <w:rPr>
          <w:szCs w:val="22"/>
          <w:lang w:val="sr-Latn-ME"/>
        </w:rPr>
        <w:t>ce je takođe indikovan za smanjenje broja novih ulkusa</w:t>
      </w:r>
      <w:r w:rsidR="00AA54BB" w:rsidRPr="00DE2CF7">
        <w:rPr>
          <w:szCs w:val="22"/>
          <w:lang w:val="sr-Latn-ME"/>
        </w:rPr>
        <w:t xml:space="preserve"> </w:t>
      </w:r>
      <w:r w:rsidRPr="00DE2CF7">
        <w:rPr>
          <w:szCs w:val="22"/>
          <w:lang w:val="sr-Latn-ME"/>
        </w:rPr>
        <w:t>na prstima kod pacijenata sa sistemskom s</w:t>
      </w:r>
      <w:r w:rsidR="0038528C" w:rsidRPr="00DE2CF7">
        <w:rPr>
          <w:szCs w:val="22"/>
          <w:lang w:val="sr-Latn-ME"/>
        </w:rPr>
        <w:t>k</w:t>
      </w:r>
      <w:r w:rsidRPr="00DE2CF7">
        <w:rPr>
          <w:szCs w:val="22"/>
          <w:lang w:val="sr-Latn-ME"/>
        </w:rPr>
        <w:t xml:space="preserve">lerozom </w:t>
      </w:r>
      <w:r w:rsidR="0052678D" w:rsidRPr="00DE2CF7">
        <w:rPr>
          <w:szCs w:val="22"/>
          <w:lang w:val="sr-Latn-ME"/>
        </w:rPr>
        <w:t>i</w:t>
      </w:r>
      <w:r w:rsidRPr="00DE2CF7">
        <w:rPr>
          <w:szCs w:val="22"/>
          <w:lang w:val="sr-Latn-ME"/>
        </w:rPr>
        <w:t xml:space="preserve"> aktivnim ulkusima na prstima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5.1).</w:t>
      </w:r>
    </w:p>
    <w:p w14:paraId="04D6BCE3" w14:textId="77777777" w:rsidR="00AB6F1E" w:rsidRPr="00DE2CF7" w:rsidRDefault="00AB6F1E" w:rsidP="00DE2CF7">
      <w:pPr>
        <w:rPr>
          <w:szCs w:val="22"/>
          <w:lang w:val="sr-Latn-ME"/>
        </w:rPr>
      </w:pPr>
    </w:p>
    <w:p w14:paraId="3D1911CE" w14:textId="77777777" w:rsidR="00092B66" w:rsidRPr="00DE2CF7" w:rsidRDefault="00092B66" w:rsidP="00DE2CF7">
      <w:pPr>
        <w:rPr>
          <w:b/>
          <w:bCs/>
          <w:szCs w:val="22"/>
          <w:lang w:val="sr-Latn-ME"/>
        </w:rPr>
      </w:pPr>
      <w:r w:rsidRPr="00DE2CF7">
        <w:rPr>
          <w:b/>
          <w:bCs/>
          <w:szCs w:val="22"/>
          <w:lang w:val="sr-Latn-ME"/>
        </w:rPr>
        <w:t xml:space="preserve">4.2. </w:t>
      </w:r>
      <w:r w:rsidRPr="00DE2CF7">
        <w:rPr>
          <w:b/>
          <w:bCs/>
          <w:szCs w:val="22"/>
          <w:lang w:val="sr-Latn-ME"/>
        </w:rPr>
        <w:tab/>
        <w:t>Doziranje i način primjene</w:t>
      </w:r>
    </w:p>
    <w:p w14:paraId="05CCCE4D" w14:textId="77777777" w:rsidR="00AB6F1E" w:rsidRPr="00DE2CF7" w:rsidRDefault="00AB6F1E" w:rsidP="00DE2CF7">
      <w:pPr>
        <w:tabs>
          <w:tab w:val="clear" w:pos="284"/>
          <w:tab w:val="left" w:pos="540"/>
          <w:tab w:val="left" w:pos="569"/>
        </w:tabs>
        <w:jc w:val="left"/>
        <w:rPr>
          <w:b/>
          <w:bCs/>
          <w:szCs w:val="22"/>
          <w:lang w:val="sr-Latn-ME"/>
        </w:rPr>
      </w:pPr>
    </w:p>
    <w:p w14:paraId="1D1317DF" w14:textId="77777777" w:rsidR="007453E0" w:rsidRPr="00DE2CF7" w:rsidRDefault="007453E0" w:rsidP="00DE2CF7">
      <w:pPr>
        <w:pStyle w:val="Heading2"/>
        <w:keepLines/>
        <w:spacing w:after="4"/>
        <w:jc w:val="both"/>
        <w:rPr>
          <w:rFonts w:ascii="Times New Roman" w:hAnsi="Times New Roman" w:cs="Times New Roman"/>
          <w:i w:val="0"/>
          <w:color w:val="0D0D0D" w:themeColor="text1" w:themeTint="F2"/>
          <w:sz w:val="22"/>
          <w:szCs w:val="22"/>
          <w:u w:val="single"/>
          <w:lang w:val="sr-Latn-ME"/>
        </w:rPr>
      </w:pPr>
      <w:r w:rsidRPr="00DE2CF7">
        <w:rPr>
          <w:rFonts w:ascii="Times New Roman" w:hAnsi="Times New Roman" w:cs="Times New Roman"/>
          <w:i w:val="0"/>
          <w:color w:val="0D0D0D" w:themeColor="text1" w:themeTint="F2"/>
          <w:sz w:val="22"/>
          <w:szCs w:val="22"/>
          <w:u w:val="single"/>
          <w:lang w:val="sr-Latn-ME"/>
        </w:rPr>
        <w:t>Način primjene</w:t>
      </w:r>
    </w:p>
    <w:p w14:paraId="00878CD3" w14:textId="77777777" w:rsidR="007453E0" w:rsidRPr="00DE2CF7" w:rsidRDefault="007453E0" w:rsidP="00DE2CF7">
      <w:pPr>
        <w:rPr>
          <w:szCs w:val="22"/>
          <w:lang w:val="sr-Latn-ME"/>
        </w:rPr>
      </w:pPr>
    </w:p>
    <w:p w14:paraId="6B3220B7" w14:textId="77777777" w:rsidR="007453E0" w:rsidRPr="00DE2CF7" w:rsidRDefault="007453E0" w:rsidP="00DE2CF7">
      <w:pPr>
        <w:ind w:left="12" w:right="224"/>
        <w:rPr>
          <w:color w:val="0D0D0D" w:themeColor="text1" w:themeTint="F2"/>
          <w:szCs w:val="22"/>
          <w:lang w:val="sr-Latn-ME"/>
        </w:rPr>
      </w:pPr>
      <w:r w:rsidRPr="00DE2CF7">
        <w:rPr>
          <w:color w:val="0D0D0D" w:themeColor="text1" w:themeTint="F2"/>
          <w:szCs w:val="22"/>
          <w:lang w:val="sr-Latn-ME"/>
        </w:rPr>
        <w:t xml:space="preserve">Tablete treba uzimati oralno, ujutro i uveče, sa ili bez hrane. Potrebno je film tablete progutati sa vodom. </w:t>
      </w:r>
    </w:p>
    <w:p w14:paraId="7D1DF0CF" w14:textId="77777777" w:rsidR="0052678D" w:rsidRPr="00DE2CF7" w:rsidRDefault="0052678D" w:rsidP="00DE2CF7">
      <w:pPr>
        <w:rPr>
          <w:szCs w:val="22"/>
          <w:u w:val="single"/>
          <w:lang w:val="sr-Latn-ME"/>
        </w:rPr>
      </w:pPr>
      <w:r w:rsidRPr="00DE2CF7">
        <w:rPr>
          <w:szCs w:val="22"/>
          <w:u w:val="single"/>
          <w:lang w:val="sr-Latn-ME"/>
        </w:rPr>
        <w:t>Doziranje</w:t>
      </w:r>
    </w:p>
    <w:p w14:paraId="00AC22F9" w14:textId="77777777" w:rsidR="00AB6F1E" w:rsidRPr="00DE2CF7" w:rsidRDefault="00AB6F1E" w:rsidP="00DE2CF7">
      <w:pPr>
        <w:rPr>
          <w:szCs w:val="22"/>
          <w:u w:val="single"/>
          <w:lang w:val="sr-Latn-ME"/>
        </w:rPr>
      </w:pPr>
    </w:p>
    <w:p w14:paraId="66C661FA" w14:textId="77777777" w:rsidR="0052678D" w:rsidRPr="00DE2CF7" w:rsidRDefault="0052678D" w:rsidP="00DE2CF7">
      <w:pPr>
        <w:rPr>
          <w:szCs w:val="22"/>
          <w:u w:val="single"/>
          <w:lang w:val="sr-Latn-ME"/>
        </w:rPr>
      </w:pPr>
      <w:r w:rsidRPr="00DE2CF7">
        <w:rPr>
          <w:szCs w:val="22"/>
          <w:u w:val="single"/>
          <w:lang w:val="sr-Latn-ME"/>
        </w:rPr>
        <w:t>Plućna arterijska hipertenzija</w:t>
      </w:r>
    </w:p>
    <w:p w14:paraId="63A9A483" w14:textId="77777777" w:rsidR="0052678D" w:rsidRPr="00DE2CF7" w:rsidRDefault="0052678D" w:rsidP="00DE2CF7">
      <w:pPr>
        <w:rPr>
          <w:szCs w:val="22"/>
          <w:lang w:val="sr-Latn-ME"/>
        </w:rPr>
      </w:pPr>
    </w:p>
    <w:p w14:paraId="7E192215" w14:textId="77777777" w:rsidR="00AB6F1E" w:rsidRPr="00DE2CF7" w:rsidRDefault="007453E0" w:rsidP="00DE2CF7">
      <w:pPr>
        <w:rPr>
          <w:szCs w:val="22"/>
          <w:lang w:val="sr-Latn-ME"/>
        </w:rPr>
      </w:pPr>
      <w:r w:rsidRPr="00DE2CF7">
        <w:rPr>
          <w:szCs w:val="22"/>
          <w:lang w:val="sr-Latn-ME"/>
        </w:rPr>
        <w:t>Liječenj</w:t>
      </w:r>
      <w:r w:rsidR="00C456C4" w:rsidRPr="00DE2CF7">
        <w:rPr>
          <w:szCs w:val="22"/>
          <w:lang w:val="sr-Latn-ME"/>
        </w:rPr>
        <w:t xml:space="preserve">e treba da započne i prati isključivo </w:t>
      </w:r>
      <w:r w:rsidR="001165AF" w:rsidRPr="00DE2CF7">
        <w:rPr>
          <w:szCs w:val="22"/>
          <w:lang w:val="sr-Latn-ME"/>
        </w:rPr>
        <w:t>ljekar</w:t>
      </w:r>
      <w:r w:rsidR="00C456C4" w:rsidRPr="00DE2CF7">
        <w:rPr>
          <w:szCs w:val="22"/>
          <w:lang w:val="sr-Latn-ME"/>
        </w:rPr>
        <w:t xml:space="preserve"> koji ima iskustva u </w:t>
      </w:r>
      <w:r w:rsidRPr="00DE2CF7">
        <w:rPr>
          <w:szCs w:val="22"/>
          <w:lang w:val="sr-Latn-ME"/>
        </w:rPr>
        <w:t>liječenj</w:t>
      </w:r>
      <w:r w:rsidR="00C456C4" w:rsidRPr="00DE2CF7">
        <w:rPr>
          <w:szCs w:val="22"/>
          <w:lang w:val="sr-Latn-ME"/>
        </w:rPr>
        <w:t>u PAH.</w:t>
      </w:r>
      <w:r w:rsidR="00AB6F1E" w:rsidRPr="00DE2CF7">
        <w:rPr>
          <w:szCs w:val="22"/>
          <w:lang w:val="sr-Latn-ME"/>
        </w:rPr>
        <w:t xml:space="preserve"> </w:t>
      </w:r>
    </w:p>
    <w:p w14:paraId="253D806F" w14:textId="77777777" w:rsidR="0052678D" w:rsidRPr="00DE2CF7" w:rsidRDefault="00AB6F1E" w:rsidP="00DE2CF7">
      <w:pPr>
        <w:rPr>
          <w:szCs w:val="22"/>
          <w:lang w:val="sr-Latn-ME"/>
        </w:rPr>
      </w:pPr>
      <w:r w:rsidRPr="00DE2CF7">
        <w:rPr>
          <w:szCs w:val="22"/>
          <w:lang w:val="sr-Latn-ME"/>
        </w:rPr>
        <w:t xml:space="preserve">U pakovanju lijeka je Kartica </w:t>
      </w:r>
      <w:r w:rsidR="008B0D15" w:rsidRPr="00DE2CF7">
        <w:rPr>
          <w:szCs w:val="22"/>
          <w:lang w:val="sr-Latn-ME"/>
        </w:rPr>
        <w:t>upozorenja</w:t>
      </w:r>
      <w:r w:rsidRPr="00DE2CF7">
        <w:rPr>
          <w:szCs w:val="22"/>
          <w:lang w:val="sr-Latn-ME"/>
        </w:rPr>
        <w:t xml:space="preserve"> za pacijenta</w:t>
      </w:r>
      <w:r w:rsidR="00957E0A" w:rsidRPr="00DE2CF7">
        <w:rPr>
          <w:szCs w:val="22"/>
          <w:lang w:val="sr-Latn-ME"/>
        </w:rPr>
        <w:t>,</w:t>
      </w:r>
      <w:r w:rsidRPr="00DE2CF7">
        <w:rPr>
          <w:szCs w:val="22"/>
          <w:lang w:val="sr-Latn-ME"/>
        </w:rPr>
        <w:t xml:space="preserve"> koja sadrži važne </w:t>
      </w:r>
      <w:r w:rsidR="008B0D15" w:rsidRPr="00DE2CF7">
        <w:rPr>
          <w:szCs w:val="22"/>
          <w:lang w:val="sr-Latn-ME"/>
        </w:rPr>
        <w:t xml:space="preserve">bezbjednosne </w:t>
      </w:r>
      <w:r w:rsidR="00F53C36" w:rsidRPr="00DE2CF7">
        <w:rPr>
          <w:szCs w:val="22"/>
          <w:lang w:val="sr-Latn-ME"/>
        </w:rPr>
        <w:t>informacije kojih pacijenti</w:t>
      </w:r>
      <w:r w:rsidRPr="00DE2CF7">
        <w:rPr>
          <w:szCs w:val="22"/>
          <w:lang w:val="sr-Latn-ME"/>
        </w:rPr>
        <w:t xml:space="preserve"> mora</w:t>
      </w:r>
      <w:r w:rsidR="00F53C36" w:rsidRPr="00DE2CF7">
        <w:rPr>
          <w:szCs w:val="22"/>
          <w:lang w:val="sr-Latn-ME"/>
        </w:rPr>
        <w:t>ju biti svjesni prije i tokom liječenja lijekom Bosentan Pharmascience.</w:t>
      </w:r>
    </w:p>
    <w:p w14:paraId="4374DF17" w14:textId="77777777" w:rsidR="0052678D" w:rsidRPr="00DE2CF7" w:rsidRDefault="0052678D" w:rsidP="00DE2CF7">
      <w:pPr>
        <w:rPr>
          <w:szCs w:val="22"/>
          <w:lang w:val="sr-Latn-ME"/>
        </w:rPr>
      </w:pPr>
    </w:p>
    <w:p w14:paraId="759F5B1B" w14:textId="77777777" w:rsidR="00C456C4" w:rsidRPr="00DE2CF7" w:rsidRDefault="00C456C4" w:rsidP="00DE2CF7">
      <w:pPr>
        <w:rPr>
          <w:szCs w:val="22"/>
          <w:u w:val="single"/>
          <w:lang w:val="sr-Latn-ME"/>
        </w:rPr>
      </w:pPr>
      <w:r w:rsidRPr="00DE2CF7">
        <w:rPr>
          <w:szCs w:val="22"/>
          <w:u w:val="single"/>
          <w:lang w:val="sr-Latn-ME"/>
        </w:rPr>
        <w:t>Odrasli</w:t>
      </w:r>
    </w:p>
    <w:p w14:paraId="7D770E45" w14:textId="77777777" w:rsidR="00C456C4" w:rsidRPr="00DE2CF7" w:rsidRDefault="00C456C4" w:rsidP="00DE2CF7">
      <w:pPr>
        <w:rPr>
          <w:szCs w:val="22"/>
          <w:lang w:val="sr-Latn-ME"/>
        </w:rPr>
      </w:pPr>
      <w:r w:rsidRPr="00DE2CF7">
        <w:rPr>
          <w:szCs w:val="22"/>
          <w:lang w:val="sr-Latn-ME"/>
        </w:rPr>
        <w:t>Kod odraslih pacijenata</w:t>
      </w:r>
      <w:r w:rsidR="007347AE" w:rsidRPr="00DE2CF7">
        <w:rPr>
          <w:szCs w:val="22"/>
          <w:lang w:val="sr-Latn-ME"/>
        </w:rPr>
        <w:t>,</w:t>
      </w:r>
      <w:r w:rsidRPr="00DE2CF7">
        <w:rPr>
          <w:szCs w:val="22"/>
          <w:lang w:val="sr-Latn-ME"/>
        </w:rPr>
        <w:t xml:space="preserve"> </w:t>
      </w:r>
      <w:r w:rsidR="007453E0" w:rsidRPr="00DE2CF7">
        <w:rPr>
          <w:szCs w:val="22"/>
          <w:lang w:val="sr-Latn-ME"/>
        </w:rPr>
        <w:t>liječenj</w:t>
      </w:r>
      <w:r w:rsidRPr="00DE2CF7">
        <w:rPr>
          <w:szCs w:val="22"/>
          <w:lang w:val="sr-Latn-ME"/>
        </w:rPr>
        <w:t xml:space="preserve">e </w:t>
      </w:r>
      <w:r w:rsidR="008C28F0" w:rsidRPr="00DE2CF7">
        <w:rPr>
          <w:szCs w:val="22"/>
          <w:lang w:val="sr-Latn-ME"/>
        </w:rPr>
        <w:t xml:space="preserve">lijekom Bosentan Pharmascience </w:t>
      </w:r>
      <w:r w:rsidRPr="00DE2CF7">
        <w:rPr>
          <w:szCs w:val="22"/>
          <w:lang w:val="sr-Latn-ME"/>
        </w:rPr>
        <w:t>t</w:t>
      </w:r>
      <w:r w:rsidR="008C28F0" w:rsidRPr="00DE2CF7">
        <w:rPr>
          <w:szCs w:val="22"/>
          <w:lang w:val="sr-Latn-ME"/>
        </w:rPr>
        <w:t>r</w:t>
      </w:r>
      <w:r w:rsidRPr="00DE2CF7">
        <w:rPr>
          <w:szCs w:val="22"/>
          <w:lang w:val="sr-Latn-ME"/>
        </w:rPr>
        <w:t xml:space="preserve">eba započeti dozom od 62,5 mg dva puta dnevno tokom 4 </w:t>
      </w:r>
      <w:r w:rsidR="001165AF" w:rsidRPr="00DE2CF7">
        <w:rPr>
          <w:szCs w:val="22"/>
          <w:lang w:val="sr-Latn-ME"/>
        </w:rPr>
        <w:t>nedjelje</w:t>
      </w:r>
      <w:r w:rsidRPr="00DE2CF7">
        <w:rPr>
          <w:szCs w:val="22"/>
          <w:lang w:val="sr-Latn-ME"/>
        </w:rPr>
        <w:t xml:space="preserve">, a zatim povećavati dozu do doze održavanja od 125 mg dva puta dnevno. Iste preporuke treba </w:t>
      </w:r>
      <w:r w:rsidR="001165AF" w:rsidRPr="00DE2CF7">
        <w:rPr>
          <w:szCs w:val="22"/>
          <w:lang w:val="sr-Latn-ME"/>
        </w:rPr>
        <w:t>primijenit</w:t>
      </w:r>
      <w:r w:rsidRPr="00DE2CF7">
        <w:rPr>
          <w:szCs w:val="22"/>
          <w:lang w:val="sr-Latn-ME"/>
        </w:rPr>
        <w:t>i pri ponovnom uvođenju</w:t>
      </w:r>
      <w:r w:rsidR="001165AF" w:rsidRPr="00DE2CF7">
        <w:rPr>
          <w:szCs w:val="22"/>
          <w:lang w:val="sr-Latn-ME"/>
        </w:rPr>
        <w:t xml:space="preserve"> lijeka </w:t>
      </w:r>
      <w:r w:rsidRPr="00DE2CF7">
        <w:rPr>
          <w:szCs w:val="22"/>
          <w:lang w:val="sr-Latn-ME"/>
        </w:rPr>
        <w:t xml:space="preserve">Bosentan Pharamscience </w:t>
      </w:r>
      <w:r w:rsidR="003E63C6" w:rsidRPr="00DE2CF7">
        <w:rPr>
          <w:szCs w:val="22"/>
          <w:lang w:val="sr-Latn-ME"/>
        </w:rPr>
        <w:t>posl</w:t>
      </w:r>
      <w:r w:rsidR="0038528C" w:rsidRPr="00DE2CF7">
        <w:rPr>
          <w:szCs w:val="22"/>
          <w:lang w:val="sr-Latn-ME"/>
        </w:rPr>
        <w:t>i</w:t>
      </w:r>
      <w:r w:rsidR="003E63C6" w:rsidRPr="00DE2CF7">
        <w:rPr>
          <w:szCs w:val="22"/>
          <w:lang w:val="sr-Latn-ME"/>
        </w:rPr>
        <w:t xml:space="preserve">je </w:t>
      </w:r>
      <w:r w:rsidRPr="00DE2CF7">
        <w:rPr>
          <w:szCs w:val="22"/>
          <w:lang w:val="sr-Latn-ME"/>
        </w:rPr>
        <w:t xml:space="preserve">prekida </w:t>
      </w:r>
      <w:r w:rsidR="007453E0" w:rsidRPr="00DE2CF7">
        <w:rPr>
          <w:szCs w:val="22"/>
          <w:lang w:val="sr-Latn-ME"/>
        </w:rPr>
        <w:t>liječenj</w:t>
      </w:r>
      <w:r w:rsidRPr="00DE2CF7">
        <w:rPr>
          <w:szCs w:val="22"/>
          <w:lang w:val="sr-Latn-ME"/>
        </w:rPr>
        <w:t>a (</w:t>
      </w:r>
      <w:r w:rsidR="007453E0" w:rsidRPr="00DE2CF7">
        <w:rPr>
          <w:szCs w:val="22"/>
          <w:lang w:val="sr-Latn-ME"/>
        </w:rPr>
        <w:t>vidjeti</w:t>
      </w:r>
      <w:r w:rsidRPr="00DE2CF7">
        <w:rPr>
          <w:szCs w:val="22"/>
          <w:lang w:val="sr-Latn-ME"/>
        </w:rPr>
        <w:t xml:space="preserve"> </w:t>
      </w:r>
      <w:r w:rsidR="007F5475" w:rsidRPr="00DE2CF7">
        <w:rPr>
          <w:szCs w:val="22"/>
          <w:lang w:val="sr-Latn-ME"/>
        </w:rPr>
        <w:t>odjeljak</w:t>
      </w:r>
      <w:r w:rsidRPr="00DE2CF7">
        <w:rPr>
          <w:szCs w:val="22"/>
          <w:lang w:val="sr-Latn-ME"/>
        </w:rPr>
        <w:t xml:space="preserve"> 4.4).</w:t>
      </w:r>
    </w:p>
    <w:p w14:paraId="5B6B69D2" w14:textId="77777777" w:rsidR="00C456C4" w:rsidRPr="00DE2CF7" w:rsidRDefault="00C456C4" w:rsidP="00DE2CF7">
      <w:pPr>
        <w:rPr>
          <w:szCs w:val="22"/>
          <w:lang w:val="sr-Latn-ME"/>
        </w:rPr>
      </w:pPr>
    </w:p>
    <w:p w14:paraId="42C787C3" w14:textId="77777777" w:rsidR="00C456C4" w:rsidRPr="00DE2CF7" w:rsidRDefault="00C456C4" w:rsidP="00DE2CF7">
      <w:pPr>
        <w:rPr>
          <w:i/>
          <w:szCs w:val="22"/>
          <w:u w:val="single"/>
          <w:lang w:val="sr-Latn-ME"/>
        </w:rPr>
      </w:pPr>
      <w:r w:rsidRPr="00DE2CF7">
        <w:rPr>
          <w:i/>
          <w:szCs w:val="22"/>
          <w:u w:val="single"/>
          <w:lang w:val="sr-Latn-ME"/>
        </w:rPr>
        <w:t>Pedijatrijska populacija</w:t>
      </w:r>
    </w:p>
    <w:p w14:paraId="7BB021F2" w14:textId="77777777" w:rsidR="008B0D15" w:rsidRPr="00DE2CF7" w:rsidRDefault="00C456C4" w:rsidP="00DE2CF7">
      <w:pPr>
        <w:rPr>
          <w:szCs w:val="22"/>
          <w:lang w:val="sr-Latn-ME"/>
        </w:rPr>
      </w:pPr>
      <w:r w:rsidRPr="00DE2CF7">
        <w:rPr>
          <w:szCs w:val="22"/>
          <w:lang w:val="sr-Latn-ME"/>
        </w:rPr>
        <w:t xml:space="preserve">Pedijatrijski farmakokinetički podaci </w:t>
      </w:r>
      <w:r w:rsidR="00957E0A" w:rsidRPr="00DE2CF7">
        <w:rPr>
          <w:szCs w:val="22"/>
          <w:lang w:val="sr-Latn-ME"/>
        </w:rPr>
        <w:t xml:space="preserve">su </w:t>
      </w:r>
      <w:r w:rsidRPr="00DE2CF7">
        <w:rPr>
          <w:szCs w:val="22"/>
          <w:lang w:val="sr-Latn-ME"/>
        </w:rPr>
        <w:t xml:space="preserve">pokazali da su koncentracije bosentana </w:t>
      </w:r>
      <w:r w:rsidR="00344619" w:rsidRPr="00DE2CF7">
        <w:rPr>
          <w:szCs w:val="22"/>
          <w:lang w:val="sr-Latn-ME"/>
        </w:rPr>
        <w:t xml:space="preserve">u plazmi </w:t>
      </w:r>
      <w:r w:rsidRPr="00DE2CF7">
        <w:rPr>
          <w:szCs w:val="22"/>
          <w:lang w:val="sr-Latn-ME"/>
        </w:rPr>
        <w:t>kod</w:t>
      </w:r>
      <w:r w:rsidR="00344619" w:rsidRPr="00DE2CF7">
        <w:rPr>
          <w:szCs w:val="22"/>
          <w:lang w:val="sr-Latn-ME"/>
        </w:rPr>
        <w:t xml:space="preserve"> djece</w:t>
      </w:r>
      <w:r w:rsidR="008B0D15" w:rsidRPr="00DE2CF7">
        <w:rPr>
          <w:szCs w:val="22"/>
          <w:lang w:val="sr-Latn-ME"/>
        </w:rPr>
        <w:t xml:space="preserve"> sa PAH-om uzrasta od 1 </w:t>
      </w:r>
      <w:r w:rsidR="00957E0A" w:rsidRPr="00DE2CF7">
        <w:rPr>
          <w:szCs w:val="22"/>
          <w:lang w:val="sr-Latn-ME"/>
        </w:rPr>
        <w:t xml:space="preserve">do </w:t>
      </w:r>
      <w:r w:rsidR="008B0D15" w:rsidRPr="00DE2CF7">
        <w:rPr>
          <w:szCs w:val="22"/>
          <w:lang w:val="sr-Latn-ME"/>
        </w:rPr>
        <w:t>15 godina</w:t>
      </w:r>
      <w:r w:rsidR="00957E0A" w:rsidRPr="00DE2CF7">
        <w:rPr>
          <w:szCs w:val="22"/>
          <w:lang w:val="sr-Latn-ME"/>
        </w:rPr>
        <w:t xml:space="preserve"> </w:t>
      </w:r>
      <w:r w:rsidRPr="00DE2CF7">
        <w:rPr>
          <w:szCs w:val="22"/>
          <w:lang w:val="sr-Latn-ME"/>
        </w:rPr>
        <w:t xml:space="preserve">bile u </w:t>
      </w:r>
      <w:r w:rsidR="00344619" w:rsidRPr="00DE2CF7">
        <w:rPr>
          <w:szCs w:val="22"/>
          <w:lang w:val="sr-Latn-ME"/>
        </w:rPr>
        <w:t>prosjek</w:t>
      </w:r>
      <w:r w:rsidRPr="00DE2CF7">
        <w:rPr>
          <w:szCs w:val="22"/>
          <w:lang w:val="sr-Latn-ME"/>
        </w:rPr>
        <w:t>u niže nego kod odraslih pacijenata</w:t>
      </w:r>
      <w:r w:rsidR="00D337FD" w:rsidRPr="00DE2CF7">
        <w:rPr>
          <w:szCs w:val="22"/>
          <w:lang w:val="sr-Latn-ME"/>
        </w:rPr>
        <w:t>,</w:t>
      </w:r>
      <w:r w:rsidRPr="00DE2CF7">
        <w:rPr>
          <w:szCs w:val="22"/>
          <w:lang w:val="sr-Latn-ME"/>
        </w:rPr>
        <w:t xml:space="preserve"> </w:t>
      </w:r>
      <w:r w:rsidR="005F51E9" w:rsidRPr="00DE2CF7">
        <w:rPr>
          <w:szCs w:val="22"/>
          <w:lang w:val="sr-Latn-ME"/>
        </w:rPr>
        <w:t>i</w:t>
      </w:r>
      <w:r w:rsidRPr="00DE2CF7">
        <w:rPr>
          <w:szCs w:val="22"/>
          <w:lang w:val="sr-Latn-ME"/>
        </w:rPr>
        <w:t xml:space="preserve"> nije dolazilo do njihovog povećanja sa povećanjem</w:t>
      </w:r>
      <w:r w:rsidR="005F51E9" w:rsidRPr="00DE2CF7">
        <w:rPr>
          <w:szCs w:val="22"/>
          <w:lang w:val="sr-Latn-ME"/>
        </w:rPr>
        <w:t xml:space="preserve"> doze </w:t>
      </w:r>
      <w:r w:rsidR="00D337FD" w:rsidRPr="00DE2CF7">
        <w:rPr>
          <w:szCs w:val="22"/>
          <w:lang w:val="sr-Latn-ME"/>
        </w:rPr>
        <w:t>bosentana</w:t>
      </w:r>
      <w:r w:rsidR="00FE2372" w:rsidRPr="00DE2CF7">
        <w:rPr>
          <w:szCs w:val="22"/>
          <w:lang w:val="sr-Latn-ME"/>
        </w:rPr>
        <w:t xml:space="preserve"> i</w:t>
      </w:r>
      <w:r w:rsidR="005F51E9" w:rsidRPr="00DE2CF7">
        <w:rPr>
          <w:szCs w:val="22"/>
          <w:lang w:val="sr-Latn-ME"/>
        </w:rPr>
        <w:t xml:space="preserve">znad 2 mg/kg </w:t>
      </w:r>
      <w:r w:rsidR="00FE2372" w:rsidRPr="00DE2CF7">
        <w:rPr>
          <w:szCs w:val="22"/>
          <w:lang w:val="sr-Latn-ME"/>
        </w:rPr>
        <w:t>tjelesn</w:t>
      </w:r>
      <w:r w:rsidR="005F51E9" w:rsidRPr="00DE2CF7">
        <w:rPr>
          <w:szCs w:val="22"/>
          <w:lang w:val="sr-Latn-ME"/>
        </w:rPr>
        <w:t>e težine</w:t>
      </w:r>
      <w:r w:rsidR="008B0D15" w:rsidRPr="00DE2CF7">
        <w:rPr>
          <w:szCs w:val="22"/>
          <w:lang w:val="sr-Latn-ME"/>
        </w:rPr>
        <w:t xml:space="preserve"> ili povećanjem učestalosti doziranja sa </w:t>
      </w:r>
      <w:r w:rsidR="005F51E9" w:rsidRPr="00DE2CF7">
        <w:rPr>
          <w:szCs w:val="22"/>
          <w:lang w:val="sr-Latn-ME"/>
        </w:rPr>
        <w:t xml:space="preserve">dva </w:t>
      </w:r>
      <w:r w:rsidR="008B0D15" w:rsidRPr="00DE2CF7">
        <w:rPr>
          <w:szCs w:val="22"/>
          <w:lang w:val="sr-Latn-ME"/>
        </w:rPr>
        <w:t xml:space="preserve">na tri </w:t>
      </w:r>
      <w:r w:rsidR="005F51E9" w:rsidRPr="00DE2CF7">
        <w:rPr>
          <w:szCs w:val="22"/>
          <w:lang w:val="sr-Latn-ME"/>
        </w:rPr>
        <w:t>puta dnevno (</w:t>
      </w:r>
      <w:r w:rsidR="007453E0" w:rsidRPr="00DE2CF7">
        <w:rPr>
          <w:szCs w:val="22"/>
          <w:lang w:val="sr-Latn-ME"/>
        </w:rPr>
        <w:t>vidjeti</w:t>
      </w:r>
      <w:r w:rsidR="005F51E9" w:rsidRPr="00DE2CF7">
        <w:rPr>
          <w:szCs w:val="22"/>
          <w:lang w:val="sr-Latn-ME"/>
        </w:rPr>
        <w:t xml:space="preserve"> </w:t>
      </w:r>
      <w:r w:rsidR="007453E0" w:rsidRPr="00DE2CF7">
        <w:rPr>
          <w:szCs w:val="22"/>
          <w:lang w:val="sr-Latn-ME"/>
        </w:rPr>
        <w:t>odjeljak</w:t>
      </w:r>
      <w:r w:rsidR="005F51E9" w:rsidRPr="00DE2CF7">
        <w:rPr>
          <w:szCs w:val="22"/>
          <w:lang w:val="sr-Latn-ME"/>
        </w:rPr>
        <w:t xml:space="preserve"> 5.2). </w:t>
      </w:r>
      <w:r w:rsidR="003855BA" w:rsidRPr="00DE2CF7">
        <w:rPr>
          <w:szCs w:val="22"/>
          <w:lang w:val="sr-Latn-ME"/>
        </w:rPr>
        <w:t>Povećanje doze ili učestalosti doziranja vjerovatno neće dovesti do dodatne kliničke koristi.</w:t>
      </w:r>
      <w:r w:rsidR="003855BA" w:rsidRPr="00DE2CF7">
        <w:rPr>
          <w:szCs w:val="22"/>
          <w:lang w:val="sr-Latn-ME"/>
        </w:rPr>
        <w:cr/>
      </w:r>
      <w:r w:rsidRPr="00DE2CF7">
        <w:rPr>
          <w:szCs w:val="22"/>
          <w:lang w:val="sr-Latn-ME"/>
        </w:rPr>
        <w:t xml:space="preserve"> </w:t>
      </w:r>
      <w:r w:rsidR="005F51E9" w:rsidRPr="00DE2CF7">
        <w:rPr>
          <w:szCs w:val="22"/>
          <w:lang w:val="sr-Latn-ME"/>
        </w:rPr>
        <w:t xml:space="preserve"> </w:t>
      </w:r>
    </w:p>
    <w:p w14:paraId="2F134683" w14:textId="77777777" w:rsidR="003855BA" w:rsidRPr="00DE2CF7" w:rsidRDefault="003855BA" w:rsidP="00DE2CF7">
      <w:pPr>
        <w:rPr>
          <w:szCs w:val="22"/>
          <w:lang w:val="sr-Latn-ME"/>
        </w:rPr>
      </w:pPr>
      <w:r w:rsidRPr="00DE2CF7">
        <w:rPr>
          <w:szCs w:val="22"/>
          <w:lang w:val="sr-Latn-ME"/>
        </w:rPr>
        <w:t>Na osnovu ovih farmakokinetičkih podataka, kada se koristi kod djece sa PAH-om uzrasta 1 godine i starije,</w:t>
      </w:r>
      <w:r w:rsidR="00957E0A" w:rsidRPr="00DE2CF7">
        <w:rPr>
          <w:szCs w:val="22"/>
          <w:lang w:val="sr-Latn-ME"/>
        </w:rPr>
        <w:t xml:space="preserve"> </w:t>
      </w:r>
      <w:r w:rsidRPr="00DE2CF7">
        <w:rPr>
          <w:szCs w:val="22"/>
          <w:lang w:val="sr-Latn-ME"/>
        </w:rPr>
        <w:t>preporučena početna i doza održavanja je 2 mg/kg tjelesne mase, ujutru i uveče.</w:t>
      </w:r>
    </w:p>
    <w:p w14:paraId="1184E456" w14:textId="77777777" w:rsidR="005F51E9" w:rsidRPr="00DE2CF7" w:rsidRDefault="005F51E9" w:rsidP="00DE2CF7">
      <w:pPr>
        <w:rPr>
          <w:szCs w:val="22"/>
          <w:lang w:val="sr-Latn-ME"/>
        </w:rPr>
      </w:pPr>
    </w:p>
    <w:p w14:paraId="32387B6E" w14:textId="77777777" w:rsidR="00982A63" w:rsidRPr="00DE2CF7" w:rsidRDefault="00982A63" w:rsidP="00DE2CF7">
      <w:pPr>
        <w:rPr>
          <w:szCs w:val="22"/>
          <w:lang w:val="sr-Latn-ME"/>
        </w:rPr>
      </w:pPr>
      <w:r w:rsidRPr="00DE2CF7">
        <w:rPr>
          <w:szCs w:val="22"/>
          <w:lang w:val="sr-Latn-ME"/>
        </w:rPr>
        <w:t>Kod novorođenčadi sa perzistentnom plućnom hipertenzijom (PPHN –</w:t>
      </w:r>
      <w:r w:rsidR="00957E0A" w:rsidRPr="00DE2CF7">
        <w:rPr>
          <w:szCs w:val="22"/>
          <w:lang w:val="sr-Latn-ME"/>
        </w:rPr>
        <w:t xml:space="preserve"> engl.</w:t>
      </w:r>
      <w:r w:rsidRPr="00DE2CF7">
        <w:rPr>
          <w:szCs w:val="22"/>
          <w:lang w:val="sr-Latn-ME"/>
        </w:rPr>
        <w:t xml:space="preserve"> </w:t>
      </w:r>
      <w:r w:rsidRPr="00DE2CF7">
        <w:rPr>
          <w:i/>
          <w:szCs w:val="22"/>
          <w:lang w:val="sr-Latn-ME"/>
        </w:rPr>
        <w:t>persistant pulmonary hypertension of newborn</w:t>
      </w:r>
      <w:r w:rsidRPr="00DE2CF7">
        <w:rPr>
          <w:szCs w:val="22"/>
          <w:lang w:val="sr-Latn-ME"/>
        </w:rPr>
        <w:t xml:space="preserve">), nije se pokazala korist </w:t>
      </w:r>
      <w:r w:rsidR="004374E0" w:rsidRPr="00DE2CF7">
        <w:rPr>
          <w:szCs w:val="22"/>
          <w:lang w:val="sr-Latn-ME"/>
        </w:rPr>
        <w:t xml:space="preserve">primjene </w:t>
      </w:r>
      <w:r w:rsidRPr="00DE2CF7">
        <w:rPr>
          <w:szCs w:val="22"/>
          <w:lang w:val="sr-Latn-ME"/>
        </w:rPr>
        <w:t xml:space="preserve">bosentana u standardnom </w:t>
      </w:r>
      <w:r w:rsidR="007453E0" w:rsidRPr="00DE2CF7">
        <w:rPr>
          <w:szCs w:val="22"/>
          <w:lang w:val="sr-Latn-ME"/>
        </w:rPr>
        <w:t>liječenj</w:t>
      </w:r>
      <w:r w:rsidRPr="00DE2CF7">
        <w:rPr>
          <w:szCs w:val="22"/>
          <w:lang w:val="sr-Latn-ME"/>
        </w:rPr>
        <w:t>u. Nije moguće dati preporuke o doziranju (</w:t>
      </w:r>
      <w:r w:rsidR="007453E0" w:rsidRPr="00DE2CF7">
        <w:rPr>
          <w:szCs w:val="22"/>
          <w:lang w:val="sr-Latn-ME"/>
        </w:rPr>
        <w:t>vidjeti</w:t>
      </w:r>
      <w:r w:rsidRPr="00DE2CF7">
        <w:rPr>
          <w:szCs w:val="22"/>
          <w:lang w:val="sr-Latn-ME"/>
        </w:rPr>
        <w:t xml:space="preserve"> od</w:t>
      </w:r>
      <w:r w:rsidR="0038528C" w:rsidRPr="00DE2CF7">
        <w:rPr>
          <w:szCs w:val="22"/>
          <w:lang w:val="sr-Latn-ME"/>
        </w:rPr>
        <w:t>j</w:t>
      </w:r>
      <w:r w:rsidRPr="00DE2CF7">
        <w:rPr>
          <w:szCs w:val="22"/>
          <w:lang w:val="sr-Latn-ME"/>
        </w:rPr>
        <w:t>eljke 5.1 i 5.2).</w:t>
      </w:r>
    </w:p>
    <w:p w14:paraId="3BE3E9AD" w14:textId="77777777" w:rsidR="0090133B" w:rsidRPr="00DE2CF7" w:rsidRDefault="0090133B" w:rsidP="00DE2CF7">
      <w:pPr>
        <w:rPr>
          <w:szCs w:val="22"/>
          <w:lang w:val="sr-Latn-ME"/>
        </w:rPr>
      </w:pPr>
    </w:p>
    <w:p w14:paraId="31886CF6" w14:textId="77777777" w:rsidR="00982A63" w:rsidRPr="00DE2CF7" w:rsidRDefault="00982A63" w:rsidP="00DE2CF7">
      <w:pPr>
        <w:rPr>
          <w:i/>
          <w:szCs w:val="22"/>
          <w:lang w:val="sr-Latn-ME"/>
        </w:rPr>
      </w:pPr>
      <w:r w:rsidRPr="00DE2CF7">
        <w:rPr>
          <w:i/>
          <w:szCs w:val="22"/>
          <w:lang w:val="sr-Latn-ME"/>
        </w:rPr>
        <w:t>Postupak u slučaju pogoršanja PAH</w:t>
      </w:r>
    </w:p>
    <w:p w14:paraId="59C8EE69" w14:textId="77777777" w:rsidR="00982A63" w:rsidRPr="00DE2CF7" w:rsidRDefault="00982A63" w:rsidP="00DE2CF7">
      <w:pPr>
        <w:rPr>
          <w:szCs w:val="22"/>
          <w:lang w:val="sr-Latn-ME"/>
        </w:rPr>
      </w:pPr>
      <w:r w:rsidRPr="00DE2CF7">
        <w:rPr>
          <w:szCs w:val="22"/>
          <w:lang w:val="sr-Latn-ME"/>
        </w:rPr>
        <w:t xml:space="preserve">U slučaju pogoršanja kliničke slike (npr. smanjenje pređenog puta u 6-minutnom testu hoda za najmanje 10% u poređenju sa </w:t>
      </w:r>
      <w:r w:rsidR="003E63C6" w:rsidRPr="00DE2CF7">
        <w:rPr>
          <w:szCs w:val="22"/>
          <w:lang w:val="sr-Latn-ME"/>
        </w:rPr>
        <w:t>mjeren</w:t>
      </w:r>
      <w:r w:rsidRPr="00DE2CF7">
        <w:rPr>
          <w:szCs w:val="22"/>
          <w:lang w:val="sr-Latn-ME"/>
        </w:rPr>
        <w:t>jima</w:t>
      </w:r>
      <w:r w:rsidR="003E63C6" w:rsidRPr="00DE2CF7">
        <w:rPr>
          <w:szCs w:val="22"/>
          <w:lang w:val="sr-Latn-ME"/>
        </w:rPr>
        <w:t xml:space="preserve"> prije </w:t>
      </w:r>
      <w:r w:rsidR="007453E0" w:rsidRPr="00DE2CF7">
        <w:rPr>
          <w:szCs w:val="22"/>
          <w:lang w:val="sr-Latn-ME"/>
        </w:rPr>
        <w:t>liječenj</w:t>
      </w:r>
      <w:r w:rsidRPr="00DE2CF7">
        <w:rPr>
          <w:szCs w:val="22"/>
          <w:lang w:val="sr-Latn-ME"/>
        </w:rPr>
        <w:t xml:space="preserve">a) uprkos </w:t>
      </w:r>
      <w:r w:rsidR="007453E0" w:rsidRPr="00DE2CF7">
        <w:rPr>
          <w:szCs w:val="22"/>
          <w:lang w:val="sr-Latn-ME"/>
        </w:rPr>
        <w:t>liječenj</w:t>
      </w:r>
      <w:r w:rsidRPr="00DE2CF7">
        <w:rPr>
          <w:szCs w:val="22"/>
          <w:lang w:val="sr-Latn-ME"/>
        </w:rPr>
        <w:t xml:space="preserve">u </w:t>
      </w:r>
      <w:r w:rsidR="00823F72" w:rsidRPr="00DE2CF7">
        <w:rPr>
          <w:szCs w:val="22"/>
          <w:lang w:val="sr-Latn-ME"/>
        </w:rPr>
        <w:t>lijek</w:t>
      </w:r>
      <w:r w:rsidRPr="00DE2CF7">
        <w:rPr>
          <w:szCs w:val="22"/>
          <w:lang w:val="sr-Latn-ME"/>
        </w:rPr>
        <w:t xml:space="preserve">om </w:t>
      </w:r>
      <w:r w:rsidR="00757200" w:rsidRPr="00DE2CF7">
        <w:rPr>
          <w:szCs w:val="22"/>
          <w:lang w:val="sr-Latn-ME"/>
        </w:rPr>
        <w:t>B</w:t>
      </w:r>
      <w:r w:rsidR="0090133B" w:rsidRPr="00DE2CF7">
        <w:rPr>
          <w:szCs w:val="22"/>
          <w:lang w:val="sr-Latn-ME"/>
        </w:rPr>
        <w:t>osentan</w:t>
      </w:r>
      <w:r w:rsidR="00757200" w:rsidRPr="00DE2CF7">
        <w:rPr>
          <w:szCs w:val="22"/>
          <w:lang w:val="sr-Latn-ME"/>
        </w:rPr>
        <w:t xml:space="preserve"> Pharmascience</w:t>
      </w:r>
      <w:r w:rsidRPr="00DE2CF7">
        <w:rPr>
          <w:szCs w:val="22"/>
          <w:lang w:val="sr-Latn-ME"/>
        </w:rPr>
        <w:t xml:space="preserve"> tokom najmanje 8 </w:t>
      </w:r>
      <w:r w:rsidR="003E63C6" w:rsidRPr="00DE2CF7">
        <w:rPr>
          <w:szCs w:val="22"/>
          <w:lang w:val="sr-Latn-ME"/>
        </w:rPr>
        <w:t>nedjelja</w:t>
      </w:r>
      <w:r w:rsidRPr="00DE2CF7">
        <w:rPr>
          <w:szCs w:val="22"/>
          <w:lang w:val="sr-Latn-ME"/>
        </w:rPr>
        <w:t xml:space="preserve"> (ciljnom dozom tokom najmanje 4 </w:t>
      </w:r>
      <w:r w:rsidR="001165AF" w:rsidRPr="00DE2CF7">
        <w:rPr>
          <w:szCs w:val="22"/>
          <w:lang w:val="sr-Latn-ME"/>
        </w:rPr>
        <w:t>nedjelje</w:t>
      </w:r>
      <w:r w:rsidRPr="00DE2CF7">
        <w:rPr>
          <w:szCs w:val="22"/>
          <w:lang w:val="sr-Latn-ME"/>
        </w:rPr>
        <w:t xml:space="preserve">), treba razmotriti alternativnu terapiju. Međutim, kod pojedinih pacijenata kod kojih nije došlo do poboljšanja </w:t>
      </w:r>
      <w:r w:rsidR="0056231E" w:rsidRPr="00DE2CF7">
        <w:rPr>
          <w:szCs w:val="22"/>
          <w:lang w:val="sr-Latn-ME"/>
        </w:rPr>
        <w:t xml:space="preserve">nakon </w:t>
      </w:r>
      <w:r w:rsidRPr="00DE2CF7">
        <w:rPr>
          <w:szCs w:val="22"/>
          <w:lang w:val="sr-Latn-ME"/>
        </w:rPr>
        <w:t xml:space="preserve">8 </w:t>
      </w:r>
      <w:r w:rsidR="003E63C6" w:rsidRPr="00DE2CF7">
        <w:rPr>
          <w:szCs w:val="22"/>
          <w:lang w:val="sr-Latn-ME"/>
        </w:rPr>
        <w:t>nedjelja</w:t>
      </w:r>
      <w:r w:rsidRPr="00DE2CF7">
        <w:rPr>
          <w:szCs w:val="22"/>
          <w:lang w:val="sr-Latn-ME"/>
        </w:rPr>
        <w:t xml:space="preserve"> </w:t>
      </w:r>
      <w:r w:rsidR="007453E0" w:rsidRPr="00DE2CF7">
        <w:rPr>
          <w:szCs w:val="22"/>
          <w:lang w:val="sr-Latn-ME"/>
        </w:rPr>
        <w:t>liječenj</w:t>
      </w:r>
      <w:r w:rsidRPr="00DE2CF7">
        <w:rPr>
          <w:szCs w:val="22"/>
          <w:lang w:val="sr-Latn-ME"/>
        </w:rPr>
        <w:t>a</w:t>
      </w:r>
      <w:r w:rsidR="00204807" w:rsidRPr="00DE2CF7">
        <w:rPr>
          <w:szCs w:val="22"/>
          <w:lang w:val="sr-Latn-ME"/>
        </w:rPr>
        <w:t xml:space="preserve"> lijekom Bosentan Pharmascience</w:t>
      </w:r>
      <w:r w:rsidRPr="00DE2CF7">
        <w:rPr>
          <w:szCs w:val="22"/>
          <w:lang w:val="sr-Latn-ME"/>
        </w:rPr>
        <w:t>, odgovor na terapiju može se još uv</w:t>
      </w:r>
      <w:r w:rsidR="0031679F" w:rsidRPr="00DE2CF7">
        <w:rPr>
          <w:szCs w:val="22"/>
          <w:lang w:val="sr-Latn-ME"/>
        </w:rPr>
        <w:t>ij</w:t>
      </w:r>
      <w:r w:rsidRPr="00DE2CF7">
        <w:rPr>
          <w:szCs w:val="22"/>
          <w:lang w:val="sr-Latn-ME"/>
        </w:rPr>
        <w:t xml:space="preserve">ek javiti </w:t>
      </w:r>
      <w:r w:rsidR="0056231E" w:rsidRPr="00DE2CF7">
        <w:rPr>
          <w:szCs w:val="22"/>
          <w:lang w:val="sr-Latn-ME"/>
        </w:rPr>
        <w:t xml:space="preserve">nakon </w:t>
      </w:r>
      <w:r w:rsidRPr="00DE2CF7">
        <w:rPr>
          <w:szCs w:val="22"/>
          <w:lang w:val="sr-Latn-ME"/>
        </w:rPr>
        <w:t xml:space="preserve">dodatnih 4 do 8 </w:t>
      </w:r>
      <w:r w:rsidR="003E63C6" w:rsidRPr="00DE2CF7">
        <w:rPr>
          <w:szCs w:val="22"/>
          <w:lang w:val="sr-Latn-ME"/>
        </w:rPr>
        <w:t>nedjelja</w:t>
      </w:r>
      <w:r w:rsidRPr="00DE2CF7">
        <w:rPr>
          <w:szCs w:val="22"/>
          <w:lang w:val="sr-Latn-ME"/>
        </w:rPr>
        <w:t xml:space="preserve"> </w:t>
      </w:r>
      <w:r w:rsidR="007453E0" w:rsidRPr="00DE2CF7">
        <w:rPr>
          <w:szCs w:val="22"/>
          <w:lang w:val="sr-Latn-ME"/>
        </w:rPr>
        <w:t>liječenj</w:t>
      </w:r>
      <w:r w:rsidRPr="00DE2CF7">
        <w:rPr>
          <w:szCs w:val="22"/>
          <w:lang w:val="sr-Latn-ME"/>
        </w:rPr>
        <w:t>a.</w:t>
      </w:r>
    </w:p>
    <w:p w14:paraId="0C6F1235" w14:textId="77777777" w:rsidR="00A0530B" w:rsidRPr="00DE2CF7" w:rsidRDefault="00A0530B" w:rsidP="00DE2CF7">
      <w:pPr>
        <w:rPr>
          <w:szCs w:val="22"/>
          <w:lang w:val="sr-Latn-ME"/>
        </w:rPr>
      </w:pPr>
    </w:p>
    <w:p w14:paraId="1C1A297D" w14:textId="77777777" w:rsidR="00982A63" w:rsidRPr="00DE2CF7" w:rsidRDefault="00982A63" w:rsidP="00DE2CF7">
      <w:pPr>
        <w:rPr>
          <w:szCs w:val="22"/>
          <w:lang w:val="sr-Latn-ME"/>
        </w:rPr>
      </w:pPr>
      <w:r w:rsidRPr="00DE2CF7">
        <w:rPr>
          <w:szCs w:val="22"/>
          <w:lang w:val="sr-Latn-ME"/>
        </w:rPr>
        <w:t xml:space="preserve">U slučaju </w:t>
      </w:r>
      <w:r w:rsidR="00204807" w:rsidRPr="00DE2CF7">
        <w:rPr>
          <w:szCs w:val="22"/>
          <w:lang w:val="sr-Latn-ME"/>
        </w:rPr>
        <w:t xml:space="preserve">naknadnog </w:t>
      </w:r>
      <w:r w:rsidRPr="00DE2CF7">
        <w:rPr>
          <w:szCs w:val="22"/>
          <w:lang w:val="sr-Latn-ME"/>
        </w:rPr>
        <w:t>pogoršanja kliničke sli</w:t>
      </w:r>
      <w:r w:rsidR="0090133B" w:rsidRPr="00DE2CF7">
        <w:rPr>
          <w:szCs w:val="22"/>
          <w:lang w:val="sr-Latn-ME"/>
        </w:rPr>
        <w:t>ke uprkos prim</w:t>
      </w:r>
      <w:r w:rsidR="006E200E" w:rsidRPr="00DE2CF7">
        <w:rPr>
          <w:szCs w:val="22"/>
          <w:lang w:val="sr-Latn-ME"/>
        </w:rPr>
        <w:t>j</w:t>
      </w:r>
      <w:r w:rsidR="0090133B" w:rsidRPr="00DE2CF7">
        <w:rPr>
          <w:szCs w:val="22"/>
          <w:lang w:val="sr-Latn-ME"/>
        </w:rPr>
        <w:t>eni</w:t>
      </w:r>
      <w:r w:rsidR="001165AF" w:rsidRPr="00DE2CF7">
        <w:rPr>
          <w:szCs w:val="22"/>
          <w:lang w:val="sr-Latn-ME"/>
        </w:rPr>
        <w:t xml:space="preserve"> lijeka </w:t>
      </w:r>
      <w:r w:rsidR="00757200" w:rsidRPr="00DE2CF7">
        <w:rPr>
          <w:szCs w:val="22"/>
          <w:lang w:val="sr-Latn-ME"/>
        </w:rPr>
        <w:t>B</w:t>
      </w:r>
      <w:r w:rsidR="0090133B" w:rsidRPr="00DE2CF7">
        <w:rPr>
          <w:szCs w:val="22"/>
          <w:lang w:val="sr-Latn-ME"/>
        </w:rPr>
        <w:t>osentan</w:t>
      </w:r>
      <w:r w:rsidR="00757200" w:rsidRPr="00DE2CF7">
        <w:rPr>
          <w:szCs w:val="22"/>
          <w:lang w:val="sr-Latn-ME"/>
        </w:rPr>
        <w:t xml:space="preserve"> Pharmascience</w:t>
      </w:r>
      <w:r w:rsidRPr="00DE2CF7">
        <w:rPr>
          <w:szCs w:val="22"/>
          <w:lang w:val="sr-Latn-ME"/>
        </w:rPr>
        <w:t xml:space="preserve"> (tj. </w:t>
      </w:r>
      <w:r w:rsidR="0056231E" w:rsidRPr="00DE2CF7">
        <w:rPr>
          <w:szCs w:val="22"/>
          <w:lang w:val="sr-Latn-ME"/>
        </w:rPr>
        <w:t xml:space="preserve">nakon </w:t>
      </w:r>
      <w:r w:rsidRPr="00DE2CF7">
        <w:rPr>
          <w:szCs w:val="22"/>
          <w:lang w:val="sr-Latn-ME"/>
        </w:rPr>
        <w:t xml:space="preserve">nekoliko </w:t>
      </w:r>
      <w:r w:rsidR="003E63C6" w:rsidRPr="00DE2CF7">
        <w:rPr>
          <w:szCs w:val="22"/>
          <w:lang w:val="sr-Latn-ME"/>
        </w:rPr>
        <w:t>mjesec</w:t>
      </w:r>
      <w:r w:rsidRPr="00DE2CF7">
        <w:rPr>
          <w:szCs w:val="22"/>
          <w:lang w:val="sr-Latn-ME"/>
        </w:rPr>
        <w:t xml:space="preserve">i </w:t>
      </w:r>
      <w:r w:rsidR="007453E0" w:rsidRPr="00DE2CF7">
        <w:rPr>
          <w:szCs w:val="22"/>
          <w:lang w:val="sr-Latn-ME"/>
        </w:rPr>
        <w:t>liječenj</w:t>
      </w:r>
      <w:r w:rsidR="00A0530B" w:rsidRPr="00DE2CF7">
        <w:rPr>
          <w:szCs w:val="22"/>
          <w:lang w:val="sr-Latn-ME"/>
        </w:rPr>
        <w:t>a)</w:t>
      </w:r>
      <w:r w:rsidR="0031679F" w:rsidRPr="00DE2CF7">
        <w:rPr>
          <w:szCs w:val="22"/>
          <w:lang w:val="sr-Latn-ME"/>
        </w:rPr>
        <w:t>,</w:t>
      </w:r>
      <w:r w:rsidRPr="00DE2CF7">
        <w:rPr>
          <w:szCs w:val="22"/>
          <w:lang w:val="sr-Latn-ME"/>
        </w:rPr>
        <w:t xml:space="preserve"> terapiju treba ponovo razmotriti. Kod pojedinih pacijenata koji nisu odgovorili na dozu od 125 mg</w:t>
      </w:r>
      <w:r w:rsidR="001165AF" w:rsidRPr="00DE2CF7">
        <w:rPr>
          <w:szCs w:val="22"/>
          <w:lang w:val="sr-Latn-ME"/>
        </w:rPr>
        <w:t xml:space="preserve"> lijeka </w:t>
      </w:r>
      <w:r w:rsidR="00A0530B" w:rsidRPr="00DE2CF7">
        <w:rPr>
          <w:szCs w:val="22"/>
          <w:lang w:val="sr-Latn-ME"/>
        </w:rPr>
        <w:t>bosentan</w:t>
      </w:r>
      <w:r w:rsidRPr="00DE2CF7">
        <w:rPr>
          <w:szCs w:val="22"/>
          <w:lang w:val="sr-Latn-ME"/>
        </w:rPr>
        <w:t xml:space="preserve"> dva puta dnevno, može doći do blagog poboljšanja fizičkih sposobnosti kada se doza poveća na 250 mg dva puta dnevno. Međutim, treba izvršiti pažljivu </w:t>
      </w:r>
      <w:r w:rsidR="003E63C6" w:rsidRPr="00DE2CF7">
        <w:rPr>
          <w:szCs w:val="22"/>
          <w:lang w:val="sr-Latn-ME"/>
        </w:rPr>
        <w:t>procjen</w:t>
      </w:r>
      <w:r w:rsidRPr="00DE2CF7">
        <w:rPr>
          <w:szCs w:val="22"/>
          <w:lang w:val="sr-Latn-ME"/>
        </w:rPr>
        <w:t>u odnosa koristi i rizika, uzimajući u obzir da je toksično d</w:t>
      </w:r>
      <w:r w:rsidR="0038528C" w:rsidRPr="00DE2CF7">
        <w:rPr>
          <w:szCs w:val="22"/>
          <w:lang w:val="sr-Latn-ME"/>
        </w:rPr>
        <w:t>j</w:t>
      </w:r>
      <w:r w:rsidRPr="00DE2CF7">
        <w:rPr>
          <w:szCs w:val="22"/>
          <w:lang w:val="sr-Latn-ME"/>
        </w:rPr>
        <w:t>elovanje na jetru dozno-zavisno (</w:t>
      </w:r>
      <w:r w:rsidR="007453E0" w:rsidRPr="00DE2CF7">
        <w:rPr>
          <w:szCs w:val="22"/>
          <w:lang w:val="sr-Latn-ME"/>
        </w:rPr>
        <w:t>vidjeti</w:t>
      </w:r>
      <w:r w:rsidRPr="00DE2CF7">
        <w:rPr>
          <w:szCs w:val="22"/>
          <w:lang w:val="sr-Latn-ME"/>
        </w:rPr>
        <w:t xml:space="preserve"> od</w:t>
      </w:r>
      <w:r w:rsidR="0031679F" w:rsidRPr="00DE2CF7">
        <w:rPr>
          <w:szCs w:val="22"/>
          <w:lang w:val="sr-Latn-ME"/>
        </w:rPr>
        <w:t>j</w:t>
      </w:r>
      <w:r w:rsidRPr="00DE2CF7">
        <w:rPr>
          <w:szCs w:val="22"/>
          <w:lang w:val="sr-Latn-ME"/>
        </w:rPr>
        <w:t>eljke 4.4 i 5.1).</w:t>
      </w:r>
    </w:p>
    <w:p w14:paraId="32B656A9" w14:textId="77777777" w:rsidR="0090133B" w:rsidRPr="00DE2CF7" w:rsidRDefault="0090133B" w:rsidP="00DE2CF7">
      <w:pPr>
        <w:rPr>
          <w:szCs w:val="22"/>
          <w:lang w:val="sr-Latn-ME"/>
        </w:rPr>
      </w:pPr>
    </w:p>
    <w:p w14:paraId="1827585B" w14:textId="77777777" w:rsidR="00982A63" w:rsidRPr="00DE2CF7" w:rsidRDefault="00982A63" w:rsidP="00DE2CF7">
      <w:pPr>
        <w:rPr>
          <w:i/>
          <w:szCs w:val="22"/>
          <w:lang w:val="sr-Latn-ME"/>
        </w:rPr>
      </w:pPr>
      <w:r w:rsidRPr="00DE2CF7">
        <w:rPr>
          <w:i/>
          <w:szCs w:val="22"/>
          <w:lang w:val="sr-Latn-ME"/>
        </w:rPr>
        <w:t xml:space="preserve">Prekid </w:t>
      </w:r>
      <w:r w:rsidR="007453E0" w:rsidRPr="00DE2CF7">
        <w:rPr>
          <w:i/>
          <w:szCs w:val="22"/>
          <w:lang w:val="sr-Latn-ME"/>
        </w:rPr>
        <w:t>liječenj</w:t>
      </w:r>
      <w:r w:rsidRPr="00DE2CF7">
        <w:rPr>
          <w:i/>
          <w:szCs w:val="22"/>
          <w:lang w:val="sr-Latn-ME"/>
        </w:rPr>
        <w:t>a</w:t>
      </w:r>
    </w:p>
    <w:p w14:paraId="38754F0F" w14:textId="77777777" w:rsidR="00982A63" w:rsidRPr="00DE2CF7" w:rsidRDefault="00982A63" w:rsidP="00DE2CF7">
      <w:pPr>
        <w:rPr>
          <w:szCs w:val="22"/>
          <w:lang w:val="sr-Latn-ME"/>
        </w:rPr>
      </w:pPr>
      <w:r w:rsidRPr="00DE2CF7">
        <w:rPr>
          <w:szCs w:val="22"/>
          <w:lang w:val="sr-Latn-ME"/>
        </w:rPr>
        <w:t xml:space="preserve">Nema dovoljno podataka o </w:t>
      </w:r>
      <w:r w:rsidR="007453E0" w:rsidRPr="00DE2CF7">
        <w:rPr>
          <w:szCs w:val="22"/>
          <w:lang w:val="sr-Latn-ME"/>
        </w:rPr>
        <w:t>posljed</w:t>
      </w:r>
      <w:r w:rsidRPr="00DE2CF7">
        <w:rPr>
          <w:szCs w:val="22"/>
          <w:lang w:val="sr-Latn-ME"/>
        </w:rPr>
        <w:t>icama naglo</w:t>
      </w:r>
      <w:r w:rsidR="00A0530B" w:rsidRPr="00DE2CF7">
        <w:rPr>
          <w:szCs w:val="22"/>
          <w:lang w:val="sr-Latn-ME"/>
        </w:rPr>
        <w:t xml:space="preserve">g prekida </w:t>
      </w:r>
      <w:r w:rsidR="004374E0" w:rsidRPr="00DE2CF7">
        <w:rPr>
          <w:szCs w:val="22"/>
          <w:lang w:val="sr-Latn-ME"/>
        </w:rPr>
        <w:t xml:space="preserve">primjene </w:t>
      </w:r>
      <w:r w:rsidR="001165AF" w:rsidRPr="00DE2CF7">
        <w:rPr>
          <w:szCs w:val="22"/>
          <w:lang w:val="sr-Latn-ME"/>
        </w:rPr>
        <w:t xml:space="preserve">lijeka </w:t>
      </w:r>
      <w:r w:rsidR="00757200" w:rsidRPr="00DE2CF7">
        <w:rPr>
          <w:szCs w:val="22"/>
          <w:lang w:val="sr-Latn-ME"/>
        </w:rPr>
        <w:t>B</w:t>
      </w:r>
      <w:r w:rsidR="00A0530B" w:rsidRPr="00DE2CF7">
        <w:rPr>
          <w:szCs w:val="22"/>
          <w:lang w:val="sr-Latn-ME"/>
        </w:rPr>
        <w:t>osentan</w:t>
      </w:r>
      <w:r w:rsidR="00757200" w:rsidRPr="00DE2CF7">
        <w:rPr>
          <w:szCs w:val="22"/>
          <w:lang w:val="sr-Latn-ME"/>
        </w:rPr>
        <w:t xml:space="preserve"> Pharmascience</w:t>
      </w:r>
      <w:r w:rsidRPr="00DE2CF7">
        <w:rPr>
          <w:szCs w:val="22"/>
          <w:lang w:val="sr-Latn-ME"/>
        </w:rPr>
        <w:t xml:space="preserve"> kod pacijenata sa plućnom aterijskom hipertenzijom. Nema ni dokaza o akutnom pogoršanju bolesti (</w:t>
      </w:r>
      <w:r w:rsidRPr="00DE2CF7">
        <w:rPr>
          <w:i/>
          <w:szCs w:val="22"/>
          <w:lang w:val="sr-Latn-ME"/>
        </w:rPr>
        <w:t xml:space="preserve">rebound </w:t>
      </w:r>
      <w:r w:rsidRPr="00DE2CF7">
        <w:rPr>
          <w:szCs w:val="22"/>
          <w:lang w:val="sr-Latn-ME"/>
        </w:rPr>
        <w:t xml:space="preserve">efektu). Međutim, </w:t>
      </w:r>
      <w:r w:rsidR="00757200" w:rsidRPr="00DE2CF7">
        <w:rPr>
          <w:szCs w:val="22"/>
          <w:lang w:val="sr-Latn-ME"/>
        </w:rPr>
        <w:t xml:space="preserve">kako bi </w:t>
      </w:r>
      <w:r w:rsidRPr="00DE2CF7">
        <w:rPr>
          <w:szCs w:val="22"/>
          <w:lang w:val="sr-Latn-ME"/>
        </w:rPr>
        <w:t>se izb</w:t>
      </w:r>
      <w:r w:rsidR="00757200" w:rsidRPr="00DE2CF7">
        <w:rPr>
          <w:szCs w:val="22"/>
          <w:lang w:val="sr-Latn-ME"/>
        </w:rPr>
        <w:t>j</w:t>
      </w:r>
      <w:r w:rsidRPr="00DE2CF7">
        <w:rPr>
          <w:szCs w:val="22"/>
          <w:lang w:val="sr-Latn-ME"/>
        </w:rPr>
        <w:t xml:space="preserve">eglo moguće pogoršanje bolesti zbog potencijalnog </w:t>
      </w:r>
      <w:r w:rsidRPr="00DE2CF7">
        <w:rPr>
          <w:i/>
          <w:szCs w:val="22"/>
          <w:lang w:val="sr-Latn-ME"/>
        </w:rPr>
        <w:t xml:space="preserve">rebound </w:t>
      </w:r>
      <w:r w:rsidRPr="00DE2CF7">
        <w:rPr>
          <w:szCs w:val="22"/>
          <w:lang w:val="sr-Latn-ME"/>
        </w:rPr>
        <w:t>efekta, treba razmotriti postepeno smanjivanje doze</w:t>
      </w:r>
      <w:r w:rsidR="001165AF" w:rsidRPr="00DE2CF7">
        <w:rPr>
          <w:szCs w:val="22"/>
          <w:lang w:val="sr-Latn-ME"/>
        </w:rPr>
        <w:t xml:space="preserve"> lijeka </w:t>
      </w:r>
      <w:r w:rsidRPr="00DE2CF7">
        <w:rPr>
          <w:szCs w:val="22"/>
          <w:lang w:val="sr-Latn-ME"/>
        </w:rPr>
        <w:t xml:space="preserve">(prepoloviti dozu tokom 3 do 7 dana). Preporučuje se intenzivno praćenje pacijenata </w:t>
      </w:r>
      <w:r w:rsidR="00204807" w:rsidRPr="00DE2CF7">
        <w:rPr>
          <w:szCs w:val="22"/>
          <w:lang w:val="sr-Latn-ME"/>
        </w:rPr>
        <w:t>tokom perioda</w:t>
      </w:r>
      <w:r w:rsidR="003E63C6" w:rsidRPr="00DE2CF7">
        <w:rPr>
          <w:szCs w:val="22"/>
          <w:lang w:val="sr-Latn-ME"/>
        </w:rPr>
        <w:t xml:space="preserve"> </w:t>
      </w:r>
      <w:r w:rsidRPr="00DE2CF7">
        <w:rPr>
          <w:szCs w:val="22"/>
          <w:lang w:val="sr-Latn-ME"/>
        </w:rPr>
        <w:t>obustavljanja terapije.</w:t>
      </w:r>
    </w:p>
    <w:p w14:paraId="0766CE8A" w14:textId="77777777" w:rsidR="0090133B" w:rsidRPr="00DE2CF7" w:rsidRDefault="00982A63" w:rsidP="00DE2CF7">
      <w:pPr>
        <w:rPr>
          <w:szCs w:val="22"/>
          <w:lang w:val="sr-Latn-ME"/>
        </w:rPr>
      </w:pPr>
      <w:r w:rsidRPr="00DE2CF7">
        <w:rPr>
          <w:szCs w:val="22"/>
          <w:lang w:val="sr-Latn-ME"/>
        </w:rPr>
        <w:t>Kada se d</w:t>
      </w:r>
      <w:r w:rsidR="001516DC" w:rsidRPr="00DE2CF7">
        <w:rPr>
          <w:szCs w:val="22"/>
          <w:lang w:val="sr-Latn-ME"/>
        </w:rPr>
        <w:t xml:space="preserve">onese odluka o </w:t>
      </w:r>
      <w:r w:rsidR="007C26FA" w:rsidRPr="00DE2CF7">
        <w:rPr>
          <w:szCs w:val="22"/>
          <w:lang w:val="sr-Latn-ME"/>
        </w:rPr>
        <w:t>ukidanju lijeka</w:t>
      </w:r>
      <w:r w:rsidR="001165AF" w:rsidRPr="00DE2CF7">
        <w:rPr>
          <w:szCs w:val="22"/>
          <w:lang w:val="sr-Latn-ME"/>
        </w:rPr>
        <w:t xml:space="preserve"> </w:t>
      </w:r>
      <w:r w:rsidR="00757200" w:rsidRPr="00DE2CF7">
        <w:rPr>
          <w:szCs w:val="22"/>
          <w:lang w:val="sr-Latn-ME"/>
        </w:rPr>
        <w:t>Bosentan Pharmascience</w:t>
      </w:r>
      <w:r w:rsidRPr="00DE2CF7">
        <w:rPr>
          <w:szCs w:val="22"/>
          <w:lang w:val="sr-Latn-ME"/>
        </w:rPr>
        <w:t xml:space="preserve">, to treba uraditi postepeno, uz uvođenje </w:t>
      </w:r>
      <w:r w:rsidR="00A0530B" w:rsidRPr="00DE2CF7">
        <w:rPr>
          <w:szCs w:val="22"/>
          <w:lang w:val="sr-Latn-ME"/>
        </w:rPr>
        <w:t>a</w:t>
      </w:r>
      <w:r w:rsidRPr="00DE2CF7">
        <w:rPr>
          <w:szCs w:val="22"/>
          <w:lang w:val="sr-Latn-ME"/>
        </w:rPr>
        <w:t>lternativne terapije.</w:t>
      </w:r>
    </w:p>
    <w:p w14:paraId="0E0E40AE" w14:textId="77777777" w:rsidR="0090133B" w:rsidRPr="00DE2CF7" w:rsidRDefault="0090133B" w:rsidP="00DE2CF7">
      <w:pPr>
        <w:rPr>
          <w:color w:val="FF0000"/>
          <w:szCs w:val="22"/>
          <w:lang w:val="sr-Latn-ME"/>
        </w:rPr>
      </w:pPr>
    </w:p>
    <w:p w14:paraId="53D3FDB2" w14:textId="77777777" w:rsidR="00982A63" w:rsidRPr="00DE2CF7" w:rsidRDefault="00982A63" w:rsidP="00DE2CF7">
      <w:pPr>
        <w:rPr>
          <w:szCs w:val="22"/>
          <w:u w:val="single"/>
          <w:lang w:val="sr-Latn-ME"/>
        </w:rPr>
      </w:pPr>
      <w:r w:rsidRPr="00DE2CF7">
        <w:rPr>
          <w:szCs w:val="22"/>
          <w:u w:val="single"/>
          <w:lang w:val="sr-Latn-ME"/>
        </w:rPr>
        <w:t>Sistemska skleroza sa već postojećim ulkusima na prstima</w:t>
      </w:r>
    </w:p>
    <w:p w14:paraId="06B86F22" w14:textId="77777777" w:rsidR="001516DC" w:rsidRPr="00DE2CF7" w:rsidRDefault="007453E0" w:rsidP="00DE2CF7">
      <w:pPr>
        <w:rPr>
          <w:szCs w:val="22"/>
          <w:lang w:val="sr-Latn-ME"/>
        </w:rPr>
      </w:pPr>
      <w:r w:rsidRPr="00DE2CF7">
        <w:rPr>
          <w:szCs w:val="22"/>
          <w:lang w:val="sr-Latn-ME"/>
        </w:rPr>
        <w:t>Liječenj</w:t>
      </w:r>
      <w:r w:rsidR="00982A63" w:rsidRPr="00DE2CF7">
        <w:rPr>
          <w:szCs w:val="22"/>
          <w:lang w:val="sr-Latn-ME"/>
        </w:rPr>
        <w:t xml:space="preserve">e treba da započne i prati samo </w:t>
      </w:r>
      <w:r w:rsidR="001165AF" w:rsidRPr="00DE2CF7">
        <w:rPr>
          <w:szCs w:val="22"/>
          <w:lang w:val="sr-Latn-ME"/>
        </w:rPr>
        <w:t>ljekar</w:t>
      </w:r>
      <w:r w:rsidR="00982A63" w:rsidRPr="00DE2CF7">
        <w:rPr>
          <w:szCs w:val="22"/>
          <w:lang w:val="sr-Latn-ME"/>
        </w:rPr>
        <w:t xml:space="preserve"> sa iskustvom u </w:t>
      </w:r>
      <w:r w:rsidRPr="00DE2CF7">
        <w:rPr>
          <w:szCs w:val="22"/>
          <w:lang w:val="sr-Latn-ME"/>
        </w:rPr>
        <w:t>liječenj</w:t>
      </w:r>
      <w:r w:rsidR="00982A63" w:rsidRPr="00DE2CF7">
        <w:rPr>
          <w:szCs w:val="22"/>
          <w:lang w:val="sr-Latn-ME"/>
        </w:rPr>
        <w:t>u sistemske skleroze.</w:t>
      </w:r>
    </w:p>
    <w:p w14:paraId="6C8C1A2E" w14:textId="77777777" w:rsidR="00757200" w:rsidRPr="00DE2CF7" w:rsidRDefault="00757200" w:rsidP="00DE2CF7">
      <w:pPr>
        <w:rPr>
          <w:szCs w:val="22"/>
          <w:lang w:val="sr-Latn-ME"/>
        </w:rPr>
      </w:pPr>
      <w:r w:rsidRPr="00DE2CF7">
        <w:rPr>
          <w:szCs w:val="22"/>
          <w:lang w:val="sr-Latn-ME"/>
        </w:rPr>
        <w:t>U pakovanje lijeka uključena je Kartica upozorenj</w:t>
      </w:r>
      <w:r w:rsidR="00877901" w:rsidRPr="00DE2CF7">
        <w:rPr>
          <w:szCs w:val="22"/>
          <w:lang w:val="sr-Latn-ME"/>
        </w:rPr>
        <w:t>a</w:t>
      </w:r>
      <w:r w:rsidRPr="00DE2CF7">
        <w:rPr>
          <w:szCs w:val="22"/>
          <w:lang w:val="sr-Latn-ME"/>
        </w:rPr>
        <w:t xml:space="preserve"> za pacijenta koja sadrži važne </w:t>
      </w:r>
      <w:r w:rsidR="00877901" w:rsidRPr="00DE2CF7">
        <w:rPr>
          <w:szCs w:val="22"/>
          <w:lang w:val="sr-Latn-ME"/>
        </w:rPr>
        <w:t>bezbjednosne</w:t>
      </w:r>
      <w:r w:rsidRPr="00DE2CF7">
        <w:rPr>
          <w:szCs w:val="22"/>
          <w:lang w:val="sr-Latn-ME"/>
        </w:rPr>
        <w:t xml:space="preserve"> informacije kojih pacijenti moraju biti svjesni prije i tokom terapije lijekom Bosentan Pharmascience.</w:t>
      </w:r>
    </w:p>
    <w:p w14:paraId="55D544B4" w14:textId="71BCE45F" w:rsidR="001516DC" w:rsidRDefault="001516DC" w:rsidP="00DE2CF7">
      <w:pPr>
        <w:rPr>
          <w:szCs w:val="22"/>
          <w:lang w:val="sr-Latn-ME"/>
        </w:rPr>
      </w:pPr>
    </w:p>
    <w:p w14:paraId="7691FDAE" w14:textId="3A3D9113" w:rsidR="007F261C" w:rsidRDefault="007F261C" w:rsidP="00DE2CF7">
      <w:pPr>
        <w:rPr>
          <w:szCs w:val="22"/>
          <w:lang w:val="sr-Latn-ME"/>
        </w:rPr>
      </w:pPr>
    </w:p>
    <w:p w14:paraId="66F361D6" w14:textId="77777777" w:rsidR="007F261C" w:rsidRPr="00DE2CF7" w:rsidRDefault="007F261C" w:rsidP="00DE2CF7">
      <w:pPr>
        <w:rPr>
          <w:szCs w:val="22"/>
          <w:lang w:val="sr-Latn-ME"/>
        </w:rPr>
      </w:pPr>
    </w:p>
    <w:p w14:paraId="71B9A01A" w14:textId="77777777" w:rsidR="00982A63" w:rsidRPr="00DE2CF7" w:rsidRDefault="00982A63" w:rsidP="00DE2CF7">
      <w:pPr>
        <w:rPr>
          <w:i/>
          <w:szCs w:val="22"/>
          <w:u w:val="single"/>
          <w:lang w:val="sr-Latn-ME"/>
        </w:rPr>
      </w:pPr>
      <w:r w:rsidRPr="00DE2CF7">
        <w:rPr>
          <w:i/>
          <w:szCs w:val="22"/>
          <w:u w:val="single"/>
          <w:lang w:val="sr-Latn-ME"/>
        </w:rPr>
        <w:lastRenderedPageBreak/>
        <w:t>Odrasli</w:t>
      </w:r>
    </w:p>
    <w:p w14:paraId="7940092B" w14:textId="77777777" w:rsidR="00982A63" w:rsidRPr="00DE2CF7" w:rsidRDefault="007453E0" w:rsidP="00DE2CF7">
      <w:pPr>
        <w:rPr>
          <w:szCs w:val="22"/>
          <w:lang w:val="sr-Latn-ME"/>
        </w:rPr>
      </w:pPr>
      <w:r w:rsidRPr="00DE2CF7">
        <w:rPr>
          <w:szCs w:val="22"/>
          <w:lang w:val="sr-Latn-ME"/>
        </w:rPr>
        <w:t>Liječenj</w:t>
      </w:r>
      <w:r w:rsidR="00982A63" w:rsidRPr="00DE2CF7">
        <w:rPr>
          <w:szCs w:val="22"/>
          <w:lang w:val="sr-Latn-ME"/>
        </w:rPr>
        <w:t>e l</w:t>
      </w:r>
      <w:r w:rsidR="003453DD" w:rsidRPr="00DE2CF7">
        <w:rPr>
          <w:szCs w:val="22"/>
          <w:lang w:val="sr-Latn-ME"/>
        </w:rPr>
        <w:t>ij</w:t>
      </w:r>
      <w:r w:rsidR="00982A63" w:rsidRPr="00DE2CF7">
        <w:rPr>
          <w:szCs w:val="22"/>
          <w:lang w:val="sr-Latn-ME"/>
        </w:rPr>
        <w:t xml:space="preserve">ekom </w:t>
      </w:r>
      <w:r w:rsidR="003453DD" w:rsidRPr="00DE2CF7">
        <w:rPr>
          <w:szCs w:val="22"/>
          <w:lang w:val="sr-Latn-ME"/>
        </w:rPr>
        <w:t>Bosentan Pharmascience</w:t>
      </w:r>
      <w:r w:rsidR="00982A63" w:rsidRPr="00DE2CF7">
        <w:rPr>
          <w:szCs w:val="22"/>
          <w:lang w:val="sr-Latn-ME"/>
        </w:rPr>
        <w:t xml:space="preserve"> treba započeti dozom od 62,5 mg dva puta dnevno tokom 4 </w:t>
      </w:r>
      <w:r w:rsidR="001165AF" w:rsidRPr="00DE2CF7">
        <w:rPr>
          <w:szCs w:val="22"/>
          <w:lang w:val="sr-Latn-ME"/>
        </w:rPr>
        <w:t>nedjelje</w:t>
      </w:r>
      <w:r w:rsidR="00982A63" w:rsidRPr="00DE2CF7">
        <w:rPr>
          <w:szCs w:val="22"/>
          <w:lang w:val="sr-Latn-ME"/>
        </w:rPr>
        <w:t xml:space="preserve"> i zatim povećati dozu do doze održavanja od 125 mg dva puta dnevno. Iste preporuke važe i pri ponovnom uvođenju</w:t>
      </w:r>
      <w:r w:rsidR="001165AF" w:rsidRPr="00DE2CF7">
        <w:rPr>
          <w:szCs w:val="22"/>
          <w:lang w:val="sr-Latn-ME"/>
        </w:rPr>
        <w:t xml:space="preserve"> lijeka </w:t>
      </w:r>
      <w:r w:rsidR="003453DD" w:rsidRPr="00DE2CF7">
        <w:rPr>
          <w:szCs w:val="22"/>
          <w:lang w:val="sr-Latn-ME"/>
        </w:rPr>
        <w:t>Bosentan Pharmascience</w:t>
      </w:r>
      <w:r w:rsidR="00982A63" w:rsidRPr="00DE2CF7">
        <w:rPr>
          <w:szCs w:val="22"/>
          <w:lang w:val="sr-Latn-ME"/>
        </w:rPr>
        <w:t xml:space="preserve"> nakon prekida </w:t>
      </w:r>
      <w:r w:rsidRPr="00DE2CF7">
        <w:rPr>
          <w:szCs w:val="22"/>
          <w:lang w:val="sr-Latn-ME"/>
        </w:rPr>
        <w:t>liječenj</w:t>
      </w:r>
      <w:r w:rsidR="00982A63" w:rsidRPr="00DE2CF7">
        <w:rPr>
          <w:szCs w:val="22"/>
          <w:lang w:val="sr-Latn-ME"/>
        </w:rPr>
        <w:t>a (</w:t>
      </w:r>
      <w:r w:rsidRPr="00DE2CF7">
        <w:rPr>
          <w:szCs w:val="22"/>
          <w:lang w:val="sr-Latn-ME"/>
        </w:rPr>
        <w:t>vidjeti</w:t>
      </w:r>
      <w:r w:rsidR="00982A63" w:rsidRPr="00DE2CF7">
        <w:rPr>
          <w:szCs w:val="22"/>
          <w:lang w:val="sr-Latn-ME"/>
        </w:rPr>
        <w:t xml:space="preserve"> </w:t>
      </w:r>
      <w:r w:rsidRPr="00DE2CF7">
        <w:rPr>
          <w:szCs w:val="22"/>
          <w:lang w:val="sr-Latn-ME"/>
        </w:rPr>
        <w:t>odjeljak</w:t>
      </w:r>
      <w:r w:rsidR="00982A63" w:rsidRPr="00DE2CF7">
        <w:rPr>
          <w:szCs w:val="22"/>
          <w:lang w:val="sr-Latn-ME"/>
        </w:rPr>
        <w:t xml:space="preserve"> 4.4).</w:t>
      </w:r>
    </w:p>
    <w:p w14:paraId="28AC9D0D" w14:textId="77777777" w:rsidR="005F51E9" w:rsidRPr="00DE2CF7" w:rsidRDefault="005F51E9" w:rsidP="00DE2CF7">
      <w:pPr>
        <w:rPr>
          <w:szCs w:val="22"/>
          <w:lang w:val="sr-Latn-ME"/>
        </w:rPr>
      </w:pPr>
    </w:p>
    <w:p w14:paraId="0111BAE4" w14:textId="77777777" w:rsidR="001516DC" w:rsidRPr="00DE2CF7" w:rsidRDefault="00792B2F" w:rsidP="00DE2CF7">
      <w:pPr>
        <w:rPr>
          <w:szCs w:val="22"/>
          <w:lang w:val="sr-Latn-ME"/>
        </w:rPr>
      </w:pPr>
      <w:r w:rsidRPr="00DE2CF7">
        <w:rPr>
          <w:szCs w:val="22"/>
          <w:lang w:val="sr-Latn-ME"/>
        </w:rPr>
        <w:t>Iskustvo vezano uz ovu indikaciju ograničeno je šestomjesečnim trajanjem kontroli</w:t>
      </w:r>
      <w:r w:rsidR="008D03CA" w:rsidRPr="00DE2CF7">
        <w:rPr>
          <w:szCs w:val="22"/>
          <w:lang w:val="sr-Latn-ME"/>
        </w:rPr>
        <w:t>s</w:t>
      </w:r>
      <w:r w:rsidRPr="00DE2CF7">
        <w:rPr>
          <w:szCs w:val="22"/>
          <w:lang w:val="sr-Latn-ME"/>
        </w:rPr>
        <w:t>ane kliničke</w:t>
      </w:r>
      <w:r w:rsidR="008D03CA" w:rsidRPr="00DE2CF7">
        <w:rPr>
          <w:szCs w:val="22"/>
          <w:lang w:val="sr-Latn-ME"/>
        </w:rPr>
        <w:t xml:space="preserve"> </w:t>
      </w:r>
      <w:r w:rsidRPr="00DE2CF7">
        <w:rPr>
          <w:szCs w:val="22"/>
          <w:lang w:val="sr-Latn-ME"/>
        </w:rPr>
        <w:t>studije</w:t>
      </w:r>
      <w:r w:rsidRPr="00DE2CF7" w:rsidDel="00792B2F">
        <w:rPr>
          <w:szCs w:val="22"/>
          <w:lang w:val="sr-Latn-ME"/>
        </w:rPr>
        <w:t xml:space="preserve"> </w:t>
      </w:r>
      <w:r w:rsidR="00982A63" w:rsidRPr="00DE2CF7">
        <w:rPr>
          <w:szCs w:val="22"/>
          <w:lang w:val="sr-Latn-ME"/>
        </w:rPr>
        <w:t>(</w:t>
      </w:r>
      <w:r w:rsidR="007453E0" w:rsidRPr="00DE2CF7">
        <w:rPr>
          <w:szCs w:val="22"/>
          <w:lang w:val="sr-Latn-ME"/>
        </w:rPr>
        <w:t>vidjeti</w:t>
      </w:r>
      <w:r w:rsidR="00982A63" w:rsidRPr="00DE2CF7">
        <w:rPr>
          <w:szCs w:val="22"/>
          <w:lang w:val="sr-Latn-ME"/>
        </w:rPr>
        <w:t xml:space="preserve"> </w:t>
      </w:r>
      <w:r w:rsidR="007453E0" w:rsidRPr="00DE2CF7">
        <w:rPr>
          <w:szCs w:val="22"/>
          <w:lang w:val="sr-Latn-ME"/>
        </w:rPr>
        <w:t>odjeljak</w:t>
      </w:r>
      <w:r w:rsidR="00982A63" w:rsidRPr="00DE2CF7">
        <w:rPr>
          <w:szCs w:val="22"/>
          <w:lang w:val="sr-Latn-ME"/>
        </w:rPr>
        <w:t xml:space="preserve"> 5.1).</w:t>
      </w:r>
    </w:p>
    <w:p w14:paraId="203B7507" w14:textId="77777777" w:rsidR="001516DC" w:rsidRPr="00DE2CF7" w:rsidRDefault="001516DC" w:rsidP="00DE2CF7">
      <w:pPr>
        <w:rPr>
          <w:szCs w:val="22"/>
          <w:lang w:val="sr-Latn-ME"/>
        </w:rPr>
      </w:pPr>
    </w:p>
    <w:p w14:paraId="240549DD" w14:textId="77777777" w:rsidR="001516DC" w:rsidRPr="00DE2CF7" w:rsidRDefault="00982A63" w:rsidP="00DE2CF7">
      <w:pPr>
        <w:rPr>
          <w:szCs w:val="22"/>
          <w:lang w:val="sr-Latn-ME"/>
        </w:rPr>
      </w:pPr>
      <w:r w:rsidRPr="00DE2CF7">
        <w:rPr>
          <w:szCs w:val="22"/>
          <w:lang w:val="sr-Latn-ME"/>
        </w:rPr>
        <w:t>Treba redovno prov</w:t>
      </w:r>
      <w:r w:rsidR="00EA730A" w:rsidRPr="00DE2CF7">
        <w:rPr>
          <w:szCs w:val="22"/>
          <w:lang w:val="sr-Latn-ME"/>
        </w:rPr>
        <w:t>j</w:t>
      </w:r>
      <w:r w:rsidRPr="00DE2CF7">
        <w:rPr>
          <w:szCs w:val="22"/>
          <w:lang w:val="sr-Latn-ME"/>
        </w:rPr>
        <w:t>eravati odgovor pacijenta na terapiju</w:t>
      </w:r>
      <w:r w:rsidR="00EA730A" w:rsidRPr="00DE2CF7">
        <w:rPr>
          <w:szCs w:val="22"/>
          <w:lang w:val="sr-Latn-ME"/>
        </w:rPr>
        <w:t>,</w:t>
      </w:r>
      <w:r w:rsidRPr="00DE2CF7">
        <w:rPr>
          <w:szCs w:val="22"/>
          <w:lang w:val="sr-Latn-ME"/>
        </w:rPr>
        <w:t xml:space="preserve"> kao i potrebu za </w:t>
      </w:r>
      <w:r w:rsidR="007C26FA" w:rsidRPr="00DE2CF7">
        <w:rPr>
          <w:szCs w:val="22"/>
          <w:lang w:val="sr-Latn-ME"/>
        </w:rPr>
        <w:t>dugotrajnom terapijom</w:t>
      </w:r>
      <w:r w:rsidRPr="00DE2CF7">
        <w:rPr>
          <w:szCs w:val="22"/>
          <w:lang w:val="sr-Latn-ME"/>
        </w:rPr>
        <w:t xml:space="preserve">. Treba pažljivo </w:t>
      </w:r>
      <w:r w:rsidR="003E63C6" w:rsidRPr="00DE2CF7">
        <w:rPr>
          <w:szCs w:val="22"/>
          <w:lang w:val="sr-Latn-ME"/>
        </w:rPr>
        <w:t>proc</w:t>
      </w:r>
      <w:r w:rsidR="00EA730A" w:rsidRPr="00DE2CF7">
        <w:rPr>
          <w:szCs w:val="22"/>
          <w:lang w:val="sr-Latn-ME"/>
        </w:rPr>
        <w:t>i</w:t>
      </w:r>
      <w:r w:rsidR="003E63C6" w:rsidRPr="00DE2CF7">
        <w:rPr>
          <w:szCs w:val="22"/>
          <w:lang w:val="sr-Latn-ME"/>
        </w:rPr>
        <w:t>jen</w:t>
      </w:r>
      <w:r w:rsidRPr="00DE2CF7">
        <w:rPr>
          <w:szCs w:val="22"/>
          <w:lang w:val="sr-Latn-ME"/>
        </w:rPr>
        <w:t>iti odnos koristi i rizika, s obzirom na to da je bosentan toksičan za jetru (</w:t>
      </w:r>
      <w:r w:rsidR="007453E0" w:rsidRPr="00DE2CF7">
        <w:rPr>
          <w:szCs w:val="22"/>
          <w:lang w:val="sr-Latn-ME"/>
        </w:rPr>
        <w:t>vidjeti</w:t>
      </w:r>
      <w:r w:rsidRPr="00DE2CF7">
        <w:rPr>
          <w:szCs w:val="22"/>
          <w:lang w:val="sr-Latn-ME"/>
        </w:rPr>
        <w:t xml:space="preserve"> od</w:t>
      </w:r>
      <w:r w:rsidR="003453DD" w:rsidRPr="00DE2CF7">
        <w:rPr>
          <w:szCs w:val="22"/>
          <w:lang w:val="sr-Latn-ME"/>
        </w:rPr>
        <w:t>j</w:t>
      </w:r>
      <w:r w:rsidRPr="00DE2CF7">
        <w:rPr>
          <w:szCs w:val="22"/>
          <w:lang w:val="sr-Latn-ME"/>
        </w:rPr>
        <w:t>eljke 4.4 i 4.8).</w:t>
      </w:r>
    </w:p>
    <w:p w14:paraId="79EF6ABA" w14:textId="77777777" w:rsidR="001516DC" w:rsidRPr="00DE2CF7" w:rsidRDefault="001516DC" w:rsidP="00DE2CF7">
      <w:pPr>
        <w:rPr>
          <w:szCs w:val="22"/>
          <w:lang w:val="sr-Latn-ME"/>
        </w:rPr>
      </w:pPr>
    </w:p>
    <w:p w14:paraId="70DE560B" w14:textId="77777777" w:rsidR="00982A63" w:rsidRPr="00DE2CF7" w:rsidRDefault="00982A63" w:rsidP="00DE2CF7">
      <w:pPr>
        <w:rPr>
          <w:i/>
          <w:szCs w:val="22"/>
          <w:u w:val="single"/>
          <w:lang w:val="sr-Latn-ME"/>
        </w:rPr>
      </w:pPr>
      <w:r w:rsidRPr="00DE2CF7">
        <w:rPr>
          <w:i/>
          <w:szCs w:val="22"/>
          <w:u w:val="single"/>
          <w:lang w:val="sr-Latn-ME"/>
        </w:rPr>
        <w:t>Pedijatrijska populacija</w:t>
      </w:r>
    </w:p>
    <w:p w14:paraId="1C97DEF5" w14:textId="77777777" w:rsidR="00982A63" w:rsidRPr="00DE2CF7" w:rsidRDefault="008D03CA" w:rsidP="00DE2CF7">
      <w:pPr>
        <w:rPr>
          <w:szCs w:val="22"/>
          <w:lang w:val="sr-Latn-ME"/>
        </w:rPr>
      </w:pPr>
      <w:r w:rsidRPr="00DE2CF7">
        <w:rPr>
          <w:szCs w:val="22"/>
          <w:lang w:val="sr-Latn-ME"/>
        </w:rPr>
        <w:t>Nema podataka</w:t>
      </w:r>
      <w:r w:rsidR="00982A63" w:rsidRPr="00DE2CF7">
        <w:rPr>
          <w:szCs w:val="22"/>
          <w:lang w:val="sr-Latn-ME"/>
        </w:rPr>
        <w:t xml:space="preserve"> o bezb</w:t>
      </w:r>
      <w:r w:rsidR="006E200E" w:rsidRPr="00DE2CF7">
        <w:rPr>
          <w:szCs w:val="22"/>
          <w:lang w:val="sr-Latn-ME"/>
        </w:rPr>
        <w:t>j</w:t>
      </w:r>
      <w:r w:rsidR="00982A63" w:rsidRPr="00DE2CF7">
        <w:rPr>
          <w:szCs w:val="22"/>
          <w:lang w:val="sr-Latn-ME"/>
        </w:rPr>
        <w:t>ednosti i efikasnosti kod pacijenata mlađih od 18 godina. Farmakokinetički podaci za l</w:t>
      </w:r>
      <w:r w:rsidR="003453DD" w:rsidRPr="00DE2CF7">
        <w:rPr>
          <w:szCs w:val="22"/>
          <w:lang w:val="sr-Latn-ME"/>
        </w:rPr>
        <w:t>ij</w:t>
      </w:r>
      <w:r w:rsidR="00982A63" w:rsidRPr="00DE2CF7">
        <w:rPr>
          <w:szCs w:val="22"/>
          <w:lang w:val="sr-Latn-ME"/>
        </w:rPr>
        <w:t xml:space="preserve">ek </w:t>
      </w:r>
      <w:r w:rsidR="003453DD" w:rsidRPr="00DE2CF7">
        <w:rPr>
          <w:szCs w:val="22"/>
          <w:lang w:val="sr-Latn-ME"/>
        </w:rPr>
        <w:t>Bosentan Pharmascience</w:t>
      </w:r>
      <w:r w:rsidR="00982A63" w:rsidRPr="00DE2CF7">
        <w:rPr>
          <w:szCs w:val="22"/>
          <w:lang w:val="sr-Latn-ME"/>
        </w:rPr>
        <w:t xml:space="preserve"> kod male</w:t>
      </w:r>
      <w:r w:rsidR="00344619" w:rsidRPr="00DE2CF7">
        <w:rPr>
          <w:szCs w:val="22"/>
          <w:lang w:val="sr-Latn-ME"/>
        </w:rPr>
        <w:t xml:space="preserve"> djece </w:t>
      </w:r>
      <w:r w:rsidR="00982A63" w:rsidRPr="00DE2CF7">
        <w:rPr>
          <w:szCs w:val="22"/>
          <w:lang w:val="sr-Latn-ME"/>
        </w:rPr>
        <w:t>sa ovom bolešću nisu dostupni.</w:t>
      </w:r>
    </w:p>
    <w:p w14:paraId="09511355" w14:textId="77777777" w:rsidR="001516DC" w:rsidRPr="00DE2CF7" w:rsidRDefault="001516DC" w:rsidP="00DE2CF7">
      <w:pPr>
        <w:rPr>
          <w:szCs w:val="22"/>
          <w:lang w:val="sr-Latn-ME"/>
        </w:rPr>
      </w:pPr>
    </w:p>
    <w:p w14:paraId="065F4B72" w14:textId="77777777" w:rsidR="00982A63" w:rsidRPr="00DE2CF7" w:rsidRDefault="00982A63" w:rsidP="00DE2CF7">
      <w:pPr>
        <w:rPr>
          <w:i/>
          <w:szCs w:val="22"/>
          <w:u w:val="single"/>
          <w:lang w:val="sr-Latn-ME"/>
        </w:rPr>
      </w:pPr>
      <w:r w:rsidRPr="00DE2CF7">
        <w:rPr>
          <w:i/>
          <w:szCs w:val="22"/>
          <w:u w:val="single"/>
          <w:lang w:val="sr-Latn-ME"/>
        </w:rPr>
        <w:t>Posebne populacije</w:t>
      </w:r>
    </w:p>
    <w:p w14:paraId="10DE044C" w14:textId="77777777" w:rsidR="001516DC" w:rsidRPr="00DE2CF7" w:rsidRDefault="001516DC" w:rsidP="00DE2CF7">
      <w:pPr>
        <w:rPr>
          <w:i/>
          <w:szCs w:val="22"/>
          <w:u w:val="single"/>
          <w:lang w:val="sr-Latn-ME"/>
        </w:rPr>
      </w:pPr>
    </w:p>
    <w:p w14:paraId="30578DB5" w14:textId="77777777" w:rsidR="00982A63" w:rsidRPr="00DE2CF7" w:rsidRDefault="00982A63" w:rsidP="00DE2CF7">
      <w:pPr>
        <w:rPr>
          <w:i/>
          <w:szCs w:val="22"/>
          <w:lang w:val="sr-Latn-ME"/>
        </w:rPr>
      </w:pPr>
      <w:r w:rsidRPr="00DE2CF7">
        <w:rPr>
          <w:i/>
          <w:szCs w:val="22"/>
          <w:lang w:val="sr-Latn-ME"/>
        </w:rPr>
        <w:t>Pacijenti sa oštećenjem funkcije jetre</w:t>
      </w:r>
    </w:p>
    <w:p w14:paraId="29E43824" w14:textId="77777777" w:rsidR="00982A63" w:rsidRPr="00DE2CF7" w:rsidRDefault="00823F72" w:rsidP="00DE2CF7">
      <w:pPr>
        <w:rPr>
          <w:szCs w:val="22"/>
          <w:lang w:val="sr-Latn-ME"/>
        </w:rPr>
      </w:pPr>
      <w:r w:rsidRPr="00DE2CF7">
        <w:rPr>
          <w:szCs w:val="22"/>
          <w:lang w:val="sr-Latn-ME"/>
        </w:rPr>
        <w:t>Lijek</w:t>
      </w:r>
      <w:r w:rsidR="00982A63" w:rsidRPr="00DE2CF7">
        <w:rPr>
          <w:szCs w:val="22"/>
          <w:lang w:val="sr-Latn-ME"/>
        </w:rPr>
        <w:t xml:space="preserve"> </w:t>
      </w:r>
      <w:r w:rsidR="003453DD" w:rsidRPr="00DE2CF7">
        <w:rPr>
          <w:szCs w:val="22"/>
          <w:lang w:val="sr-Latn-ME"/>
        </w:rPr>
        <w:t>Bosentan Pharmascience</w:t>
      </w:r>
      <w:r w:rsidR="00982A63" w:rsidRPr="00DE2CF7">
        <w:rPr>
          <w:szCs w:val="22"/>
          <w:lang w:val="sr-Latn-ME"/>
        </w:rPr>
        <w:t xml:space="preserve"> je kontraindikovan kod pacijenata sa u</w:t>
      </w:r>
      <w:r w:rsidR="003E63C6" w:rsidRPr="00DE2CF7">
        <w:rPr>
          <w:szCs w:val="22"/>
          <w:lang w:val="sr-Latn-ME"/>
        </w:rPr>
        <w:t>mjeren</w:t>
      </w:r>
      <w:r w:rsidR="00982A63" w:rsidRPr="00DE2CF7">
        <w:rPr>
          <w:szCs w:val="22"/>
          <w:lang w:val="sr-Latn-ME"/>
        </w:rPr>
        <w:t>im do teškim poremećajem funkcije jetre (</w:t>
      </w:r>
      <w:r w:rsidR="007453E0" w:rsidRPr="00DE2CF7">
        <w:rPr>
          <w:szCs w:val="22"/>
          <w:lang w:val="sr-Latn-ME"/>
        </w:rPr>
        <w:t>vidjeti</w:t>
      </w:r>
      <w:r w:rsidR="00982A63" w:rsidRPr="00DE2CF7">
        <w:rPr>
          <w:szCs w:val="22"/>
          <w:lang w:val="sr-Latn-ME"/>
        </w:rPr>
        <w:t xml:space="preserve"> od</w:t>
      </w:r>
      <w:r w:rsidR="003453DD" w:rsidRPr="00DE2CF7">
        <w:rPr>
          <w:szCs w:val="22"/>
          <w:lang w:val="sr-Latn-ME"/>
        </w:rPr>
        <w:t>j</w:t>
      </w:r>
      <w:r w:rsidR="00982A63" w:rsidRPr="00DE2CF7">
        <w:rPr>
          <w:szCs w:val="22"/>
          <w:lang w:val="sr-Latn-ME"/>
        </w:rPr>
        <w:t xml:space="preserve">eljke 4.3, 4.4 i 5.2). Nije potrebno prilagođavanje doze kod pacijenata sa blagim oštećenjem funkcije jetre (tj. </w:t>
      </w:r>
      <w:r w:rsidR="00982A63" w:rsidRPr="00DE2CF7">
        <w:rPr>
          <w:i/>
          <w:szCs w:val="22"/>
          <w:lang w:val="sr-Latn-ME"/>
        </w:rPr>
        <w:t>Child-Pugh</w:t>
      </w:r>
      <w:r w:rsidR="00982A63" w:rsidRPr="00DE2CF7">
        <w:rPr>
          <w:szCs w:val="22"/>
          <w:lang w:val="sr-Latn-ME"/>
        </w:rPr>
        <w:t xml:space="preserve"> klasa A) (</w:t>
      </w:r>
      <w:r w:rsidR="007453E0" w:rsidRPr="00DE2CF7">
        <w:rPr>
          <w:szCs w:val="22"/>
          <w:lang w:val="sr-Latn-ME"/>
        </w:rPr>
        <w:t>vidjeti</w:t>
      </w:r>
      <w:r w:rsidR="00982A63" w:rsidRPr="00DE2CF7">
        <w:rPr>
          <w:szCs w:val="22"/>
          <w:lang w:val="sr-Latn-ME"/>
        </w:rPr>
        <w:t xml:space="preserve"> </w:t>
      </w:r>
      <w:r w:rsidR="007453E0" w:rsidRPr="00DE2CF7">
        <w:rPr>
          <w:szCs w:val="22"/>
          <w:lang w:val="sr-Latn-ME"/>
        </w:rPr>
        <w:t>odjeljak</w:t>
      </w:r>
      <w:r w:rsidR="00982A63" w:rsidRPr="00DE2CF7">
        <w:rPr>
          <w:szCs w:val="22"/>
          <w:lang w:val="sr-Latn-ME"/>
        </w:rPr>
        <w:t xml:space="preserve"> 5.2).</w:t>
      </w:r>
    </w:p>
    <w:p w14:paraId="334A7952" w14:textId="77777777" w:rsidR="001516DC" w:rsidRPr="00DE2CF7" w:rsidRDefault="001516DC" w:rsidP="00DE2CF7">
      <w:pPr>
        <w:rPr>
          <w:szCs w:val="22"/>
          <w:lang w:val="sr-Latn-ME"/>
        </w:rPr>
      </w:pPr>
    </w:p>
    <w:p w14:paraId="4B1D1A20" w14:textId="77777777" w:rsidR="00982A63" w:rsidRPr="00DE2CF7" w:rsidRDefault="00982A63" w:rsidP="00DE2CF7">
      <w:pPr>
        <w:rPr>
          <w:i/>
          <w:szCs w:val="22"/>
          <w:lang w:val="sr-Latn-ME"/>
        </w:rPr>
      </w:pPr>
      <w:r w:rsidRPr="00DE2CF7">
        <w:rPr>
          <w:i/>
          <w:szCs w:val="22"/>
          <w:lang w:val="sr-Latn-ME"/>
        </w:rPr>
        <w:t>Pacijenti sa oštećenjem funkcije bubrega</w:t>
      </w:r>
    </w:p>
    <w:p w14:paraId="36802793" w14:textId="77777777" w:rsidR="00982A63" w:rsidRPr="00DE2CF7" w:rsidRDefault="00982A63" w:rsidP="00DE2CF7">
      <w:pPr>
        <w:rPr>
          <w:szCs w:val="22"/>
          <w:lang w:val="sr-Latn-ME"/>
        </w:rPr>
      </w:pPr>
      <w:r w:rsidRPr="00DE2CF7">
        <w:rPr>
          <w:szCs w:val="22"/>
          <w:lang w:val="sr-Latn-ME"/>
        </w:rPr>
        <w:t>Nije potrebno prilagođavanje doze kod pacijenata sa oštećenjem funkcije bubrega. Nije potrebno prilagođavanje doze kod pacijenata na dijalizi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5.2).</w:t>
      </w:r>
    </w:p>
    <w:p w14:paraId="6D7B0618" w14:textId="77777777" w:rsidR="001516DC" w:rsidRPr="00DE2CF7" w:rsidRDefault="001516DC" w:rsidP="00DE2CF7">
      <w:pPr>
        <w:rPr>
          <w:szCs w:val="22"/>
          <w:lang w:val="sr-Latn-ME"/>
        </w:rPr>
      </w:pPr>
    </w:p>
    <w:p w14:paraId="23A5C2CD" w14:textId="77777777" w:rsidR="00982A63" w:rsidRPr="00DE2CF7" w:rsidRDefault="00982A63" w:rsidP="00DE2CF7">
      <w:pPr>
        <w:rPr>
          <w:i/>
          <w:szCs w:val="22"/>
          <w:lang w:val="sr-Latn-ME"/>
        </w:rPr>
      </w:pPr>
      <w:r w:rsidRPr="00DE2CF7">
        <w:rPr>
          <w:i/>
          <w:szCs w:val="22"/>
          <w:lang w:val="sr-Latn-ME"/>
        </w:rPr>
        <w:t>Starije os</w:t>
      </w:r>
      <w:r w:rsidR="002407A5" w:rsidRPr="00DE2CF7">
        <w:rPr>
          <w:i/>
          <w:szCs w:val="22"/>
          <w:lang w:val="sr-Latn-ME"/>
        </w:rPr>
        <w:t>obe</w:t>
      </w:r>
    </w:p>
    <w:p w14:paraId="292F0485" w14:textId="77777777" w:rsidR="00982A63" w:rsidRPr="00DE2CF7" w:rsidRDefault="00982A63" w:rsidP="00DE2CF7">
      <w:pPr>
        <w:rPr>
          <w:szCs w:val="22"/>
          <w:lang w:val="sr-Latn-ME"/>
        </w:rPr>
      </w:pPr>
      <w:r w:rsidRPr="00DE2CF7">
        <w:rPr>
          <w:szCs w:val="22"/>
          <w:lang w:val="sr-Latn-ME"/>
        </w:rPr>
        <w:t>Nije potrebno prilagođavanje doze kod pacijenata starijih od 65 godina.</w:t>
      </w:r>
    </w:p>
    <w:p w14:paraId="0BCD3830" w14:textId="77777777" w:rsidR="00092B66" w:rsidRPr="00DE2CF7" w:rsidRDefault="00092B66" w:rsidP="00DE2CF7">
      <w:pPr>
        <w:rPr>
          <w:szCs w:val="22"/>
          <w:lang w:val="sr-Latn-ME"/>
        </w:rPr>
      </w:pPr>
    </w:p>
    <w:p w14:paraId="5AF1430E" w14:textId="77777777" w:rsidR="00982A63" w:rsidRPr="00DE2CF7" w:rsidRDefault="00982A63" w:rsidP="00DE2CF7">
      <w:pPr>
        <w:rPr>
          <w:b/>
          <w:szCs w:val="22"/>
          <w:lang w:val="sr-Latn-ME"/>
        </w:rPr>
      </w:pPr>
      <w:r w:rsidRPr="00DE2CF7">
        <w:rPr>
          <w:b/>
          <w:szCs w:val="22"/>
          <w:lang w:val="sr-Latn-ME"/>
        </w:rPr>
        <w:t>4.3. Kontraindikacije</w:t>
      </w:r>
    </w:p>
    <w:p w14:paraId="74A66412" w14:textId="77777777" w:rsidR="008D03CA" w:rsidRPr="00DE2CF7" w:rsidRDefault="008D03CA" w:rsidP="00DE2CF7">
      <w:pPr>
        <w:rPr>
          <w:b/>
          <w:szCs w:val="22"/>
          <w:lang w:val="sr-Latn-ME"/>
        </w:rPr>
      </w:pPr>
    </w:p>
    <w:p w14:paraId="2E5A0DA3" w14:textId="77777777" w:rsidR="001516DC" w:rsidRPr="00DE2CF7" w:rsidRDefault="00982A63" w:rsidP="00DE2CF7">
      <w:pPr>
        <w:pStyle w:val="ListParagraph"/>
        <w:numPr>
          <w:ilvl w:val="0"/>
          <w:numId w:val="34"/>
        </w:numPr>
        <w:rPr>
          <w:szCs w:val="22"/>
          <w:lang w:val="sr-Latn-ME"/>
        </w:rPr>
      </w:pPr>
      <w:r w:rsidRPr="00DE2CF7">
        <w:rPr>
          <w:szCs w:val="22"/>
          <w:lang w:val="sr-Latn-ME"/>
        </w:rPr>
        <w:t>Preos</w:t>
      </w:r>
      <w:r w:rsidR="00EA730A" w:rsidRPr="00DE2CF7">
        <w:rPr>
          <w:szCs w:val="22"/>
          <w:lang w:val="sr-Latn-ME"/>
        </w:rPr>
        <w:t>j</w:t>
      </w:r>
      <w:r w:rsidRPr="00DE2CF7">
        <w:rPr>
          <w:szCs w:val="22"/>
          <w:lang w:val="sr-Latn-ME"/>
        </w:rPr>
        <w:t>etljivost na aktivnu supstancu ili na bilo koju od pomoćnih supstanci navedenih u od</w:t>
      </w:r>
      <w:r w:rsidR="008778CB" w:rsidRPr="00DE2CF7">
        <w:rPr>
          <w:szCs w:val="22"/>
          <w:lang w:val="sr-Latn-ME"/>
        </w:rPr>
        <w:t>j</w:t>
      </w:r>
      <w:r w:rsidRPr="00DE2CF7">
        <w:rPr>
          <w:szCs w:val="22"/>
          <w:lang w:val="sr-Latn-ME"/>
        </w:rPr>
        <w:t>eljku 6.1.</w:t>
      </w:r>
    </w:p>
    <w:p w14:paraId="4FC9ECDF" w14:textId="77777777" w:rsidR="001516DC" w:rsidRPr="00DE2CF7" w:rsidRDefault="00982A63" w:rsidP="00DE2CF7">
      <w:pPr>
        <w:pStyle w:val="ListParagraph"/>
        <w:numPr>
          <w:ilvl w:val="0"/>
          <w:numId w:val="34"/>
        </w:numPr>
        <w:rPr>
          <w:szCs w:val="22"/>
          <w:lang w:val="sr-Latn-ME"/>
        </w:rPr>
      </w:pPr>
      <w:r w:rsidRPr="00DE2CF7">
        <w:rPr>
          <w:szCs w:val="22"/>
          <w:lang w:val="sr-Latn-ME"/>
        </w:rPr>
        <w:t>U</w:t>
      </w:r>
      <w:r w:rsidR="003E63C6" w:rsidRPr="00DE2CF7">
        <w:rPr>
          <w:szCs w:val="22"/>
          <w:lang w:val="sr-Latn-ME"/>
        </w:rPr>
        <w:t>mjeren</w:t>
      </w:r>
      <w:r w:rsidRPr="00DE2CF7">
        <w:rPr>
          <w:szCs w:val="22"/>
          <w:lang w:val="sr-Latn-ME"/>
        </w:rPr>
        <w:t xml:space="preserve">a do teška </w:t>
      </w:r>
      <w:r w:rsidR="00EA730A" w:rsidRPr="00DE2CF7">
        <w:rPr>
          <w:szCs w:val="22"/>
          <w:lang w:val="sr-Latn-ME"/>
        </w:rPr>
        <w:t xml:space="preserve">oštećenja funkcije </w:t>
      </w:r>
      <w:r w:rsidRPr="00DE2CF7">
        <w:rPr>
          <w:szCs w:val="22"/>
          <w:lang w:val="sr-Latn-ME"/>
        </w:rPr>
        <w:t xml:space="preserve">jetre, tj. </w:t>
      </w:r>
      <w:r w:rsidRPr="00DE2CF7">
        <w:rPr>
          <w:i/>
          <w:szCs w:val="22"/>
          <w:lang w:val="sr-Latn-ME"/>
        </w:rPr>
        <w:t>Child-Pugh</w:t>
      </w:r>
      <w:r w:rsidRPr="00DE2CF7">
        <w:rPr>
          <w:szCs w:val="22"/>
          <w:lang w:val="sr-Latn-ME"/>
        </w:rPr>
        <w:t xml:space="preserve"> klasa B ili C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5.2).</w:t>
      </w:r>
    </w:p>
    <w:p w14:paraId="10910BDE" w14:textId="77777777" w:rsidR="001516DC" w:rsidRPr="00DE2CF7" w:rsidRDefault="00982A63" w:rsidP="00DE2CF7">
      <w:pPr>
        <w:pStyle w:val="ListParagraph"/>
        <w:numPr>
          <w:ilvl w:val="0"/>
          <w:numId w:val="34"/>
        </w:numPr>
        <w:rPr>
          <w:szCs w:val="22"/>
          <w:lang w:val="sr-Latn-ME"/>
        </w:rPr>
      </w:pPr>
      <w:r w:rsidRPr="00DE2CF7">
        <w:rPr>
          <w:szCs w:val="22"/>
          <w:lang w:val="sr-Latn-ME"/>
        </w:rPr>
        <w:t xml:space="preserve">Početne </w:t>
      </w:r>
      <w:r w:rsidR="002407A5" w:rsidRPr="00DE2CF7">
        <w:rPr>
          <w:szCs w:val="22"/>
          <w:lang w:val="sr-Latn-ME"/>
        </w:rPr>
        <w:t>vrijednost</w:t>
      </w:r>
      <w:r w:rsidRPr="00DE2CF7">
        <w:rPr>
          <w:szCs w:val="22"/>
          <w:lang w:val="sr-Latn-ME"/>
        </w:rPr>
        <w:t xml:space="preserve">i aminotransferaza jetre, tj. aspartat aminotransferaze (AST) i/ili alanin </w:t>
      </w:r>
      <w:r w:rsidR="00EA730A" w:rsidRPr="00DE2CF7">
        <w:rPr>
          <w:szCs w:val="22"/>
          <w:lang w:val="sr-Latn-ME"/>
        </w:rPr>
        <w:t xml:space="preserve">aminotransferaze </w:t>
      </w:r>
      <w:r w:rsidRPr="00DE2CF7">
        <w:rPr>
          <w:szCs w:val="22"/>
          <w:lang w:val="sr-Latn-ME"/>
        </w:rPr>
        <w:t xml:space="preserve">(ALT), 3 ili više puta veće od gornje granice normalnih </w:t>
      </w:r>
      <w:r w:rsidR="002407A5" w:rsidRPr="00DE2CF7">
        <w:rPr>
          <w:szCs w:val="22"/>
          <w:lang w:val="sr-Latn-ME"/>
        </w:rPr>
        <w:t>vrijednost</w:t>
      </w:r>
      <w:r w:rsidRPr="00DE2CF7">
        <w:rPr>
          <w:szCs w:val="22"/>
          <w:lang w:val="sr-Latn-ME"/>
        </w:rPr>
        <w:t xml:space="preserve">i (engl. </w:t>
      </w:r>
      <w:r w:rsidRPr="00DE2CF7">
        <w:rPr>
          <w:i/>
          <w:szCs w:val="22"/>
          <w:lang w:val="sr-Latn-ME"/>
        </w:rPr>
        <w:t>upper limit of normal</w:t>
      </w:r>
      <w:r w:rsidRPr="00DE2CF7">
        <w:rPr>
          <w:szCs w:val="22"/>
          <w:lang w:val="sr-Latn-ME"/>
        </w:rPr>
        <w:t xml:space="preserve">, ULN;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4.4).</w:t>
      </w:r>
    </w:p>
    <w:p w14:paraId="278109DC" w14:textId="77777777" w:rsidR="001516DC" w:rsidRPr="00DE2CF7" w:rsidRDefault="00982A63" w:rsidP="00DE2CF7">
      <w:pPr>
        <w:pStyle w:val="ListParagraph"/>
        <w:numPr>
          <w:ilvl w:val="0"/>
          <w:numId w:val="34"/>
        </w:numPr>
        <w:rPr>
          <w:szCs w:val="22"/>
          <w:lang w:val="sr-Latn-ME"/>
        </w:rPr>
      </w:pPr>
      <w:r w:rsidRPr="00DE2CF7">
        <w:rPr>
          <w:szCs w:val="22"/>
          <w:lang w:val="sr-Latn-ME"/>
        </w:rPr>
        <w:t>Istovremena prim</w:t>
      </w:r>
      <w:r w:rsidR="006E200E" w:rsidRPr="00DE2CF7">
        <w:rPr>
          <w:szCs w:val="22"/>
          <w:lang w:val="sr-Latn-ME"/>
        </w:rPr>
        <w:t>j</w:t>
      </w:r>
      <w:r w:rsidRPr="00DE2CF7">
        <w:rPr>
          <w:szCs w:val="22"/>
          <w:lang w:val="sr-Latn-ME"/>
        </w:rPr>
        <w:t>ena ciklosporina 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4.5).</w:t>
      </w:r>
    </w:p>
    <w:p w14:paraId="1C63F7F8" w14:textId="77777777" w:rsidR="001516DC" w:rsidRPr="00DE2CF7" w:rsidRDefault="00982A63" w:rsidP="00DE2CF7">
      <w:pPr>
        <w:pStyle w:val="ListParagraph"/>
        <w:numPr>
          <w:ilvl w:val="0"/>
          <w:numId w:val="34"/>
        </w:numPr>
        <w:rPr>
          <w:szCs w:val="22"/>
          <w:lang w:val="sr-Latn-ME"/>
        </w:rPr>
      </w:pPr>
      <w:r w:rsidRPr="00DE2CF7">
        <w:rPr>
          <w:szCs w:val="22"/>
          <w:lang w:val="sr-Latn-ME"/>
        </w:rPr>
        <w:t>Trudnoća (</w:t>
      </w:r>
      <w:r w:rsidR="007453E0" w:rsidRPr="00DE2CF7">
        <w:rPr>
          <w:szCs w:val="22"/>
          <w:lang w:val="sr-Latn-ME"/>
        </w:rPr>
        <w:t>vidjeti</w:t>
      </w:r>
      <w:r w:rsidRPr="00DE2CF7">
        <w:rPr>
          <w:szCs w:val="22"/>
          <w:lang w:val="sr-Latn-ME"/>
        </w:rPr>
        <w:t xml:space="preserve"> od</w:t>
      </w:r>
      <w:r w:rsidR="003453DD" w:rsidRPr="00DE2CF7">
        <w:rPr>
          <w:szCs w:val="22"/>
          <w:lang w:val="sr-Latn-ME"/>
        </w:rPr>
        <w:t>j</w:t>
      </w:r>
      <w:r w:rsidRPr="00DE2CF7">
        <w:rPr>
          <w:szCs w:val="22"/>
          <w:lang w:val="sr-Latn-ME"/>
        </w:rPr>
        <w:t>eljke 4.4 i 4.6).</w:t>
      </w:r>
    </w:p>
    <w:p w14:paraId="422C9DAA" w14:textId="77777777" w:rsidR="00982A63" w:rsidRPr="00DE2CF7" w:rsidRDefault="00982A63" w:rsidP="00DE2CF7">
      <w:pPr>
        <w:pStyle w:val="ListParagraph"/>
        <w:numPr>
          <w:ilvl w:val="0"/>
          <w:numId w:val="34"/>
        </w:numPr>
        <w:rPr>
          <w:szCs w:val="22"/>
          <w:lang w:val="sr-Latn-ME"/>
        </w:rPr>
      </w:pPr>
      <w:r w:rsidRPr="00DE2CF7">
        <w:rPr>
          <w:szCs w:val="22"/>
          <w:lang w:val="sr-Latn-ME"/>
        </w:rPr>
        <w:t>Žene u reproduktivnom periodu koje ne koriste pouzdane metode kontracepcije (</w:t>
      </w:r>
      <w:r w:rsidR="007453E0" w:rsidRPr="00DE2CF7">
        <w:rPr>
          <w:szCs w:val="22"/>
          <w:lang w:val="sr-Latn-ME"/>
        </w:rPr>
        <w:t>vidjeti</w:t>
      </w:r>
      <w:r w:rsidRPr="00DE2CF7">
        <w:rPr>
          <w:szCs w:val="22"/>
          <w:lang w:val="sr-Latn-ME"/>
        </w:rPr>
        <w:t xml:space="preserve"> od</w:t>
      </w:r>
      <w:r w:rsidR="003453DD" w:rsidRPr="00DE2CF7">
        <w:rPr>
          <w:szCs w:val="22"/>
          <w:lang w:val="sr-Latn-ME"/>
        </w:rPr>
        <w:t>j</w:t>
      </w:r>
      <w:r w:rsidRPr="00DE2CF7">
        <w:rPr>
          <w:szCs w:val="22"/>
          <w:lang w:val="sr-Latn-ME"/>
        </w:rPr>
        <w:t xml:space="preserve">eljke 4.4, 4.5 i </w:t>
      </w:r>
    </w:p>
    <w:p w14:paraId="44A961EB" w14:textId="77777777" w:rsidR="00982A63" w:rsidRPr="00DE2CF7" w:rsidRDefault="00982A63" w:rsidP="00DE2CF7">
      <w:pPr>
        <w:rPr>
          <w:szCs w:val="22"/>
          <w:lang w:val="sr-Latn-ME"/>
        </w:rPr>
      </w:pPr>
      <w:r w:rsidRPr="00DE2CF7">
        <w:rPr>
          <w:szCs w:val="22"/>
          <w:lang w:val="sr-Latn-ME"/>
        </w:rPr>
        <w:t>4.6).</w:t>
      </w:r>
    </w:p>
    <w:p w14:paraId="311E4213" w14:textId="77777777" w:rsidR="001516DC" w:rsidRPr="00DE2CF7" w:rsidRDefault="001516DC" w:rsidP="00DE2CF7">
      <w:pPr>
        <w:rPr>
          <w:szCs w:val="22"/>
          <w:lang w:val="sr-Latn-ME"/>
        </w:rPr>
      </w:pPr>
    </w:p>
    <w:p w14:paraId="70D9943D" w14:textId="77777777" w:rsidR="00092B66" w:rsidRPr="00DE2CF7" w:rsidRDefault="00092B66" w:rsidP="00DE2CF7">
      <w:pPr>
        <w:tabs>
          <w:tab w:val="clear" w:pos="284"/>
          <w:tab w:val="left" w:pos="540"/>
          <w:tab w:val="left" w:pos="569"/>
        </w:tabs>
        <w:jc w:val="left"/>
        <w:rPr>
          <w:b/>
          <w:bCs/>
          <w:szCs w:val="22"/>
          <w:lang w:val="sr-Latn-ME"/>
        </w:rPr>
      </w:pPr>
      <w:r w:rsidRPr="00DE2CF7">
        <w:rPr>
          <w:b/>
          <w:bCs/>
          <w:szCs w:val="22"/>
          <w:lang w:val="sr-Latn-ME"/>
        </w:rPr>
        <w:t xml:space="preserve">4.4. </w:t>
      </w:r>
      <w:r w:rsidRPr="00DE2CF7">
        <w:rPr>
          <w:b/>
          <w:bCs/>
          <w:szCs w:val="22"/>
          <w:lang w:val="sr-Latn-ME"/>
        </w:rPr>
        <w:tab/>
        <w:t>Posebna upozorenja i mjere opreza pri upotrebi lijeka</w:t>
      </w:r>
    </w:p>
    <w:p w14:paraId="6618D0FC" w14:textId="77777777" w:rsidR="001516DC" w:rsidRPr="00DE2CF7" w:rsidRDefault="001516DC" w:rsidP="00DE2CF7">
      <w:pPr>
        <w:rPr>
          <w:b/>
          <w:szCs w:val="22"/>
          <w:lang w:val="sr-Latn-ME"/>
        </w:rPr>
      </w:pPr>
    </w:p>
    <w:p w14:paraId="611631E1" w14:textId="77777777" w:rsidR="00982A63" w:rsidRPr="00DE2CF7" w:rsidRDefault="000A1F07" w:rsidP="00DE2CF7">
      <w:pPr>
        <w:rPr>
          <w:szCs w:val="22"/>
          <w:lang w:val="sr-Latn-ME"/>
        </w:rPr>
      </w:pPr>
      <w:r w:rsidRPr="00DE2CF7">
        <w:rPr>
          <w:szCs w:val="22"/>
          <w:lang w:val="sr-Latn-ME"/>
        </w:rPr>
        <w:t>Efikasnost</w:t>
      </w:r>
      <w:r w:rsidR="001165AF" w:rsidRPr="00DE2CF7">
        <w:rPr>
          <w:szCs w:val="22"/>
          <w:lang w:val="sr-Latn-ME"/>
        </w:rPr>
        <w:t xml:space="preserve"> lijeka </w:t>
      </w:r>
      <w:r w:rsidR="008778CB" w:rsidRPr="00DE2CF7">
        <w:rPr>
          <w:szCs w:val="22"/>
          <w:lang w:val="sr-Latn-ME"/>
        </w:rPr>
        <w:t>B</w:t>
      </w:r>
      <w:r w:rsidRPr="00DE2CF7">
        <w:rPr>
          <w:szCs w:val="22"/>
          <w:lang w:val="sr-Latn-ME"/>
        </w:rPr>
        <w:t>osentan</w:t>
      </w:r>
      <w:r w:rsidR="008778CB" w:rsidRPr="00DE2CF7">
        <w:rPr>
          <w:szCs w:val="22"/>
          <w:lang w:val="sr-Latn-ME"/>
        </w:rPr>
        <w:t xml:space="preserve"> Pharmascience</w:t>
      </w:r>
      <w:r w:rsidR="00982A63" w:rsidRPr="00DE2CF7">
        <w:rPr>
          <w:szCs w:val="22"/>
          <w:lang w:val="sr-Latn-ME"/>
        </w:rPr>
        <w:t xml:space="preserve"> nije utvrđena kod pacijenata sa teškom plućnom arterijskom hipertenzijom. </w:t>
      </w:r>
      <w:r w:rsidR="008D03CA" w:rsidRPr="00DE2CF7">
        <w:rPr>
          <w:szCs w:val="22"/>
          <w:lang w:val="sr-Latn-ME"/>
        </w:rPr>
        <w:t xml:space="preserve">Ako se kliničko stanje pogorša, trebalo </w:t>
      </w:r>
      <w:r w:rsidR="007C26FA" w:rsidRPr="00DE2CF7">
        <w:rPr>
          <w:szCs w:val="22"/>
          <w:lang w:val="sr-Latn-ME"/>
        </w:rPr>
        <w:t>bi razmotriti</w:t>
      </w:r>
      <w:r w:rsidR="008D03CA" w:rsidRPr="00DE2CF7">
        <w:rPr>
          <w:szCs w:val="22"/>
          <w:lang w:val="sr-Latn-ME"/>
        </w:rPr>
        <w:t xml:space="preserve"> p</w:t>
      </w:r>
      <w:r w:rsidR="00982A63" w:rsidRPr="00DE2CF7">
        <w:rPr>
          <w:szCs w:val="22"/>
          <w:lang w:val="sr-Latn-ME"/>
        </w:rPr>
        <w:t>relazak na terapiju koja se preporučuje u teškoj fazi bolesti (npr. epoprostenol) (</w:t>
      </w:r>
      <w:r w:rsidR="007453E0" w:rsidRPr="00DE2CF7">
        <w:rPr>
          <w:szCs w:val="22"/>
          <w:lang w:val="sr-Latn-ME"/>
        </w:rPr>
        <w:t>vidjeti</w:t>
      </w:r>
      <w:r w:rsidR="00982A63" w:rsidRPr="00DE2CF7">
        <w:rPr>
          <w:szCs w:val="22"/>
          <w:lang w:val="sr-Latn-ME"/>
        </w:rPr>
        <w:t xml:space="preserve"> </w:t>
      </w:r>
      <w:r w:rsidR="007453E0" w:rsidRPr="00DE2CF7">
        <w:rPr>
          <w:szCs w:val="22"/>
          <w:lang w:val="sr-Latn-ME"/>
        </w:rPr>
        <w:t>odjeljak</w:t>
      </w:r>
      <w:r w:rsidR="00982A63" w:rsidRPr="00DE2CF7">
        <w:rPr>
          <w:szCs w:val="22"/>
          <w:lang w:val="sr-Latn-ME"/>
        </w:rPr>
        <w:t xml:space="preserve"> 4.2).</w:t>
      </w:r>
    </w:p>
    <w:p w14:paraId="2B8478E1" w14:textId="77777777" w:rsidR="00982A63" w:rsidRPr="00DE2CF7" w:rsidRDefault="00982A63" w:rsidP="00DE2CF7">
      <w:pPr>
        <w:rPr>
          <w:szCs w:val="22"/>
          <w:lang w:val="sr-Latn-ME"/>
        </w:rPr>
      </w:pPr>
      <w:r w:rsidRPr="00DE2CF7">
        <w:rPr>
          <w:szCs w:val="22"/>
          <w:lang w:val="sr-Latn-ME"/>
        </w:rPr>
        <w:t xml:space="preserve">Odnos koristi i rizika za bosentan nije utvrđen kod pacijenata sa </w:t>
      </w:r>
      <w:r w:rsidR="000A1F07" w:rsidRPr="00DE2CF7">
        <w:rPr>
          <w:szCs w:val="22"/>
          <w:lang w:val="sr-Latn-ME"/>
        </w:rPr>
        <w:t xml:space="preserve">PAH </w:t>
      </w:r>
      <w:r w:rsidRPr="00DE2CF7">
        <w:rPr>
          <w:szCs w:val="22"/>
          <w:lang w:val="sr-Latn-ME"/>
        </w:rPr>
        <w:t>SZO</w:t>
      </w:r>
      <w:r w:rsidR="001516DC" w:rsidRPr="00DE2CF7">
        <w:rPr>
          <w:szCs w:val="22"/>
          <w:lang w:val="sr-Latn-ME"/>
        </w:rPr>
        <w:t xml:space="preserve"> </w:t>
      </w:r>
      <w:r w:rsidRPr="00DE2CF7">
        <w:rPr>
          <w:szCs w:val="22"/>
          <w:lang w:val="sr-Latn-ME"/>
        </w:rPr>
        <w:t>funkcionalne klase I.</w:t>
      </w:r>
    </w:p>
    <w:p w14:paraId="141E180C" w14:textId="77777777" w:rsidR="00982A63" w:rsidRPr="00DE2CF7" w:rsidRDefault="000A1F07" w:rsidP="00DE2CF7">
      <w:pPr>
        <w:rPr>
          <w:szCs w:val="22"/>
          <w:lang w:val="sr-Latn-ME"/>
        </w:rPr>
      </w:pPr>
      <w:r w:rsidRPr="00DE2CF7">
        <w:rPr>
          <w:szCs w:val="22"/>
          <w:lang w:val="sr-Latn-ME"/>
        </w:rPr>
        <w:t xml:space="preserve">Terapiju </w:t>
      </w:r>
      <w:r w:rsidR="00823F72" w:rsidRPr="00DE2CF7">
        <w:rPr>
          <w:szCs w:val="22"/>
          <w:lang w:val="sr-Latn-ME"/>
        </w:rPr>
        <w:t>lijek</w:t>
      </w:r>
      <w:r w:rsidRPr="00DE2CF7">
        <w:rPr>
          <w:szCs w:val="22"/>
          <w:lang w:val="sr-Latn-ME"/>
        </w:rPr>
        <w:t xml:space="preserve">om </w:t>
      </w:r>
      <w:r w:rsidR="008778CB" w:rsidRPr="00DE2CF7">
        <w:rPr>
          <w:szCs w:val="22"/>
          <w:lang w:val="sr-Latn-ME"/>
        </w:rPr>
        <w:t>B</w:t>
      </w:r>
      <w:r w:rsidRPr="00DE2CF7">
        <w:rPr>
          <w:szCs w:val="22"/>
          <w:lang w:val="sr-Latn-ME"/>
        </w:rPr>
        <w:t>osentan</w:t>
      </w:r>
      <w:r w:rsidR="008778CB" w:rsidRPr="00DE2CF7">
        <w:rPr>
          <w:szCs w:val="22"/>
          <w:lang w:val="sr-Latn-ME"/>
        </w:rPr>
        <w:t xml:space="preserve"> Pharmascience</w:t>
      </w:r>
      <w:r w:rsidR="00982A63" w:rsidRPr="00DE2CF7">
        <w:rPr>
          <w:szCs w:val="22"/>
          <w:lang w:val="sr-Latn-ME"/>
        </w:rPr>
        <w:t xml:space="preserve"> treba započeti jedino ako je sistemski sistolni krvni pritisak viši od 85 mm Hg. </w:t>
      </w:r>
      <w:r w:rsidRPr="00DE2CF7">
        <w:rPr>
          <w:szCs w:val="22"/>
          <w:lang w:val="sr-Latn-ME"/>
        </w:rPr>
        <w:t>Nije pokazano da l</w:t>
      </w:r>
      <w:r w:rsidR="003453DD" w:rsidRPr="00DE2CF7">
        <w:rPr>
          <w:szCs w:val="22"/>
          <w:lang w:val="sr-Latn-ME"/>
        </w:rPr>
        <w:t>ij</w:t>
      </w:r>
      <w:r w:rsidRPr="00DE2CF7">
        <w:rPr>
          <w:szCs w:val="22"/>
          <w:lang w:val="sr-Latn-ME"/>
        </w:rPr>
        <w:t xml:space="preserve">ek </w:t>
      </w:r>
      <w:r w:rsidR="008778CB" w:rsidRPr="00DE2CF7">
        <w:rPr>
          <w:szCs w:val="22"/>
          <w:lang w:val="sr-Latn-ME"/>
        </w:rPr>
        <w:t>B</w:t>
      </w:r>
      <w:r w:rsidRPr="00DE2CF7">
        <w:rPr>
          <w:szCs w:val="22"/>
          <w:lang w:val="sr-Latn-ME"/>
        </w:rPr>
        <w:t>osentan</w:t>
      </w:r>
      <w:r w:rsidR="00982A63" w:rsidRPr="00DE2CF7">
        <w:rPr>
          <w:szCs w:val="22"/>
          <w:lang w:val="sr-Latn-ME"/>
        </w:rPr>
        <w:t xml:space="preserve"> </w:t>
      </w:r>
      <w:r w:rsidR="008778CB" w:rsidRPr="00DE2CF7">
        <w:rPr>
          <w:szCs w:val="22"/>
          <w:lang w:val="sr-Latn-ME"/>
        </w:rPr>
        <w:t xml:space="preserve">Pharmascience </w:t>
      </w:r>
      <w:r w:rsidR="00982A63" w:rsidRPr="00DE2CF7">
        <w:rPr>
          <w:szCs w:val="22"/>
          <w:lang w:val="sr-Latn-ME"/>
        </w:rPr>
        <w:t>ima koristan efekat na iz</w:t>
      </w:r>
      <w:r w:rsidR="007453E0" w:rsidRPr="00DE2CF7">
        <w:rPr>
          <w:szCs w:val="22"/>
          <w:lang w:val="sr-Latn-ME"/>
        </w:rPr>
        <w:t>liječenj</w:t>
      </w:r>
      <w:r w:rsidR="00982A63" w:rsidRPr="00DE2CF7">
        <w:rPr>
          <w:szCs w:val="22"/>
          <w:lang w:val="sr-Latn-ME"/>
        </w:rPr>
        <w:t xml:space="preserve">e postojećih ulkusa na prstima. </w:t>
      </w:r>
    </w:p>
    <w:p w14:paraId="618D42B3" w14:textId="77777777" w:rsidR="000A1F07" w:rsidRPr="00DE2CF7" w:rsidRDefault="000A1F07" w:rsidP="00DE2CF7">
      <w:pPr>
        <w:rPr>
          <w:szCs w:val="22"/>
          <w:lang w:val="sr-Latn-ME"/>
        </w:rPr>
      </w:pPr>
    </w:p>
    <w:p w14:paraId="0344ABAA" w14:textId="77777777" w:rsidR="00982A63" w:rsidRPr="00DE2CF7" w:rsidRDefault="00982A63" w:rsidP="00DE2CF7">
      <w:pPr>
        <w:rPr>
          <w:szCs w:val="22"/>
          <w:u w:val="single"/>
          <w:lang w:val="sr-Latn-ME"/>
        </w:rPr>
      </w:pPr>
      <w:r w:rsidRPr="00DE2CF7">
        <w:rPr>
          <w:szCs w:val="22"/>
          <w:u w:val="single"/>
          <w:lang w:val="sr-Latn-ME"/>
        </w:rPr>
        <w:t>Funkcija jetre</w:t>
      </w:r>
    </w:p>
    <w:p w14:paraId="7C7A5C0A" w14:textId="77777777" w:rsidR="000A1F07" w:rsidRPr="00DE2CF7" w:rsidRDefault="00982A63" w:rsidP="00DE2CF7">
      <w:pPr>
        <w:rPr>
          <w:szCs w:val="22"/>
          <w:lang w:val="sr-Latn-ME"/>
        </w:rPr>
      </w:pPr>
      <w:r w:rsidRPr="00DE2CF7">
        <w:rPr>
          <w:szCs w:val="22"/>
          <w:lang w:val="sr-Latn-ME"/>
        </w:rPr>
        <w:t>Povećanja vr</w:t>
      </w:r>
      <w:r w:rsidR="003453DD" w:rsidRPr="00DE2CF7">
        <w:rPr>
          <w:szCs w:val="22"/>
          <w:lang w:val="sr-Latn-ME"/>
        </w:rPr>
        <w:t>ij</w:t>
      </w:r>
      <w:r w:rsidRPr="00DE2CF7">
        <w:rPr>
          <w:szCs w:val="22"/>
          <w:lang w:val="sr-Latn-ME"/>
        </w:rPr>
        <w:t>ednosti aminotransferaza jetre, tj. aspartat i alanin aminotransferaza (AST i/ili ALT), udružena sa prim</w:t>
      </w:r>
      <w:r w:rsidR="006E200E" w:rsidRPr="00DE2CF7">
        <w:rPr>
          <w:szCs w:val="22"/>
          <w:lang w:val="sr-Latn-ME"/>
        </w:rPr>
        <w:t>j</w:t>
      </w:r>
      <w:r w:rsidRPr="00DE2CF7">
        <w:rPr>
          <w:szCs w:val="22"/>
          <w:lang w:val="sr-Latn-ME"/>
        </w:rPr>
        <w:t>enom bosentana su dozno-zavisna. Prom</w:t>
      </w:r>
      <w:r w:rsidR="003453DD" w:rsidRPr="00DE2CF7">
        <w:rPr>
          <w:szCs w:val="22"/>
          <w:lang w:val="sr-Latn-ME"/>
        </w:rPr>
        <w:t>j</w:t>
      </w:r>
      <w:r w:rsidRPr="00DE2CF7">
        <w:rPr>
          <w:szCs w:val="22"/>
          <w:lang w:val="sr-Latn-ME"/>
        </w:rPr>
        <w:t>ene vr</w:t>
      </w:r>
      <w:r w:rsidR="003453DD" w:rsidRPr="00DE2CF7">
        <w:rPr>
          <w:szCs w:val="22"/>
          <w:lang w:val="sr-Latn-ME"/>
        </w:rPr>
        <w:t>ij</w:t>
      </w:r>
      <w:r w:rsidRPr="00DE2CF7">
        <w:rPr>
          <w:szCs w:val="22"/>
          <w:lang w:val="sr-Latn-ME"/>
        </w:rPr>
        <w:t xml:space="preserve">ednosti enzima jetre obično se javljaju u prvih 26 </w:t>
      </w:r>
      <w:r w:rsidR="003E63C6" w:rsidRPr="00DE2CF7">
        <w:rPr>
          <w:szCs w:val="22"/>
          <w:lang w:val="sr-Latn-ME"/>
        </w:rPr>
        <w:t>nedjelja</w:t>
      </w:r>
      <w:r w:rsidRPr="00DE2CF7">
        <w:rPr>
          <w:szCs w:val="22"/>
          <w:lang w:val="sr-Latn-ME"/>
        </w:rPr>
        <w:t xml:space="preserve"> </w:t>
      </w:r>
      <w:r w:rsidR="007453E0" w:rsidRPr="00DE2CF7">
        <w:rPr>
          <w:szCs w:val="22"/>
          <w:lang w:val="sr-Latn-ME"/>
        </w:rPr>
        <w:t>liječenj</w:t>
      </w:r>
      <w:r w:rsidRPr="00DE2CF7">
        <w:rPr>
          <w:szCs w:val="22"/>
          <w:lang w:val="sr-Latn-ME"/>
        </w:rPr>
        <w:t xml:space="preserve">a, ali se takođe mogu javiti i kasnije u toku </w:t>
      </w:r>
      <w:r w:rsidR="007453E0" w:rsidRPr="00DE2CF7">
        <w:rPr>
          <w:szCs w:val="22"/>
          <w:lang w:val="sr-Latn-ME"/>
        </w:rPr>
        <w:t>liječenj</w:t>
      </w:r>
      <w:r w:rsidRPr="00DE2CF7">
        <w:rPr>
          <w:szCs w:val="22"/>
          <w:lang w:val="sr-Latn-ME"/>
        </w:rPr>
        <w:t>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4.8). Povećanje vr</w:t>
      </w:r>
      <w:r w:rsidR="003453DD" w:rsidRPr="00DE2CF7">
        <w:rPr>
          <w:szCs w:val="22"/>
          <w:lang w:val="sr-Latn-ME"/>
        </w:rPr>
        <w:t>ij</w:t>
      </w:r>
      <w:r w:rsidRPr="00DE2CF7">
        <w:rPr>
          <w:szCs w:val="22"/>
          <w:lang w:val="sr-Latn-ME"/>
        </w:rPr>
        <w:t xml:space="preserve">ednosti </w:t>
      </w:r>
      <w:r w:rsidRPr="00DE2CF7">
        <w:rPr>
          <w:szCs w:val="22"/>
          <w:lang w:val="sr-Latn-ME"/>
        </w:rPr>
        <w:lastRenderedPageBreak/>
        <w:t>enzima jetre d</w:t>
      </w:r>
      <w:r w:rsidR="003453DD" w:rsidRPr="00DE2CF7">
        <w:rPr>
          <w:szCs w:val="22"/>
          <w:lang w:val="sr-Latn-ME"/>
        </w:rPr>
        <w:t>j</w:t>
      </w:r>
      <w:r w:rsidRPr="00DE2CF7">
        <w:rPr>
          <w:szCs w:val="22"/>
          <w:lang w:val="sr-Latn-ME"/>
        </w:rPr>
        <w:t>elimično može biti uzrokovano kompetitivnom inhibicijom eliminacije žučnih soli iz hepatocita, kao i drugim, još neutvrđenim mehanizmima poremećaja funkcije jetre. Nije isključen ni imunološki mehanizam</w:t>
      </w:r>
      <w:r w:rsidR="003453DD" w:rsidRPr="00DE2CF7">
        <w:rPr>
          <w:szCs w:val="22"/>
          <w:lang w:val="sr-Latn-ME"/>
        </w:rPr>
        <w:t xml:space="preserve">, kao ni </w:t>
      </w:r>
      <w:r w:rsidRPr="00DE2CF7">
        <w:rPr>
          <w:szCs w:val="22"/>
          <w:lang w:val="sr-Latn-ME"/>
        </w:rPr>
        <w:t>nakupljanje bosentana u hepatocitima koje dovodi do citolize sa potencijalnim teškim oštećenjem jetre. Rizik od disfunkcije jetre može takođe biti povećan kada se l</w:t>
      </w:r>
      <w:r w:rsidR="003453DD" w:rsidRPr="00DE2CF7">
        <w:rPr>
          <w:szCs w:val="22"/>
          <w:lang w:val="sr-Latn-ME"/>
        </w:rPr>
        <w:t>j</w:t>
      </w:r>
      <w:r w:rsidRPr="00DE2CF7">
        <w:rPr>
          <w:szCs w:val="22"/>
          <w:lang w:val="sr-Latn-ME"/>
        </w:rPr>
        <w:t>ekovi koji su inhibitori pumpe za izlučivanje žučnih soli, npr. rifampicin, glibenklamid i ciklosporin A (</w:t>
      </w:r>
      <w:r w:rsidR="007453E0" w:rsidRPr="00DE2CF7">
        <w:rPr>
          <w:szCs w:val="22"/>
          <w:lang w:val="sr-Latn-ME"/>
        </w:rPr>
        <w:t>vidjeti</w:t>
      </w:r>
      <w:r w:rsidRPr="00DE2CF7">
        <w:rPr>
          <w:szCs w:val="22"/>
          <w:lang w:val="sr-Latn-ME"/>
        </w:rPr>
        <w:t xml:space="preserve"> od</w:t>
      </w:r>
      <w:r w:rsidR="003453DD" w:rsidRPr="00DE2CF7">
        <w:rPr>
          <w:szCs w:val="22"/>
          <w:lang w:val="sr-Latn-ME"/>
        </w:rPr>
        <w:t>j</w:t>
      </w:r>
      <w:r w:rsidRPr="00DE2CF7">
        <w:rPr>
          <w:szCs w:val="22"/>
          <w:lang w:val="sr-Latn-ME"/>
        </w:rPr>
        <w:t>eljke 4.3 i 4.5), prim</w:t>
      </w:r>
      <w:r w:rsidR="006E200E" w:rsidRPr="00DE2CF7">
        <w:rPr>
          <w:szCs w:val="22"/>
          <w:lang w:val="sr-Latn-ME"/>
        </w:rPr>
        <w:t>j</w:t>
      </w:r>
      <w:r w:rsidRPr="00DE2CF7">
        <w:rPr>
          <w:szCs w:val="22"/>
          <w:lang w:val="sr-Latn-ME"/>
        </w:rPr>
        <w:t>enjuju istovremeno sa bosentanom, ali su o ovome dostupni ograničeni podaci.</w:t>
      </w:r>
    </w:p>
    <w:p w14:paraId="7D29F02E" w14:textId="77777777" w:rsidR="000A1F07" w:rsidRPr="00DE2CF7" w:rsidRDefault="000A1F07" w:rsidP="00DE2CF7">
      <w:pPr>
        <w:rPr>
          <w:szCs w:val="22"/>
          <w:lang w:val="sr-Latn-ME"/>
        </w:rPr>
      </w:pPr>
    </w:p>
    <w:tbl>
      <w:tblPr>
        <w:tblStyle w:val="TableGrid0"/>
        <w:tblW w:w="0" w:type="auto"/>
        <w:tblLook w:val="04A0" w:firstRow="1" w:lastRow="0" w:firstColumn="1" w:lastColumn="0" w:noHBand="0" w:noVBand="1"/>
      </w:tblPr>
      <w:tblGrid>
        <w:gridCol w:w="2065"/>
        <w:gridCol w:w="7564"/>
      </w:tblGrid>
      <w:tr w:rsidR="004C2A15" w:rsidRPr="00FE77AC" w14:paraId="052A3142" w14:textId="77777777" w:rsidTr="007C26FA">
        <w:trPr>
          <w:trHeight w:val="1295"/>
        </w:trPr>
        <w:tc>
          <w:tcPr>
            <w:tcW w:w="9629" w:type="dxa"/>
            <w:gridSpan w:val="2"/>
          </w:tcPr>
          <w:p w14:paraId="4CF011EA" w14:textId="77777777" w:rsidR="004C2A15" w:rsidRPr="00DE2CF7" w:rsidRDefault="004C2A15" w:rsidP="00DE2CF7">
            <w:pPr>
              <w:rPr>
                <w:b/>
                <w:szCs w:val="22"/>
                <w:lang w:val="sr-Latn-ME"/>
              </w:rPr>
            </w:pPr>
            <w:r w:rsidRPr="00DE2CF7">
              <w:rPr>
                <w:b/>
                <w:szCs w:val="22"/>
                <w:lang w:val="sr-Latn-ME"/>
              </w:rPr>
              <w:t xml:space="preserve">Vrijednosti aminotransferaza jetre moraju biti izmjereni prije početka liječenja i nakon toga u mjesečnim intervalima za vrijeme trajanja liječenja lijekom Bosentan Pharmascience. Vrijednosti aminotransferaza jetre se takođe </w:t>
            </w:r>
            <w:r w:rsidR="007C26FA" w:rsidRPr="00DE2CF7">
              <w:rPr>
                <w:b/>
                <w:szCs w:val="22"/>
                <w:lang w:val="sr-Latn-ME"/>
              </w:rPr>
              <w:t>moraju mjeriti</w:t>
            </w:r>
            <w:r w:rsidRPr="00DE2CF7">
              <w:rPr>
                <w:b/>
                <w:szCs w:val="22"/>
                <w:lang w:val="sr-Latn-ME"/>
              </w:rPr>
              <w:t xml:space="preserve"> 2 nedjelje nakon svakog povećanja doze. </w:t>
            </w:r>
          </w:p>
          <w:p w14:paraId="30EC2BEE" w14:textId="77777777" w:rsidR="004C2A15" w:rsidRPr="00DE2CF7" w:rsidRDefault="004C2A15" w:rsidP="00DE2CF7">
            <w:pPr>
              <w:rPr>
                <w:szCs w:val="22"/>
                <w:lang w:val="sr-Latn-ME"/>
              </w:rPr>
            </w:pPr>
          </w:p>
          <w:p w14:paraId="6F5E0ED8" w14:textId="77777777" w:rsidR="004C2A15" w:rsidRPr="00DE2CF7" w:rsidRDefault="004C2A15" w:rsidP="00DE2CF7">
            <w:pPr>
              <w:rPr>
                <w:b/>
                <w:szCs w:val="22"/>
                <w:u w:val="single"/>
                <w:lang w:val="sr-Latn-ME"/>
              </w:rPr>
            </w:pPr>
            <w:r w:rsidRPr="00DE2CF7">
              <w:rPr>
                <w:b/>
                <w:szCs w:val="22"/>
                <w:u w:val="single"/>
                <w:lang w:val="sr-Latn-ME"/>
              </w:rPr>
              <w:t xml:space="preserve">Preporuke u slučaju povećanja vrijednosti ALT/AST </w:t>
            </w:r>
          </w:p>
          <w:p w14:paraId="066C55F4" w14:textId="77777777" w:rsidR="004C2A15" w:rsidRPr="00DE2CF7" w:rsidRDefault="004C2A15" w:rsidP="00DE2CF7">
            <w:pPr>
              <w:rPr>
                <w:szCs w:val="22"/>
                <w:lang w:val="sr-Latn-ME"/>
              </w:rPr>
            </w:pPr>
          </w:p>
        </w:tc>
      </w:tr>
      <w:tr w:rsidR="000A1F07" w:rsidRPr="00DE2CF7" w14:paraId="0133F7F9" w14:textId="77777777" w:rsidTr="007C26FA">
        <w:tc>
          <w:tcPr>
            <w:tcW w:w="2065" w:type="dxa"/>
            <w:tcBorders>
              <w:bottom w:val="single" w:sz="4" w:space="0" w:color="auto"/>
            </w:tcBorders>
          </w:tcPr>
          <w:p w14:paraId="3EB06C9F" w14:textId="77777777" w:rsidR="000A1F07" w:rsidRPr="00DE2CF7" w:rsidRDefault="000A1F07" w:rsidP="00DE2CF7">
            <w:pPr>
              <w:rPr>
                <w:b/>
                <w:szCs w:val="22"/>
                <w:u w:val="single"/>
                <w:lang w:val="sr-Latn-ME"/>
              </w:rPr>
            </w:pPr>
            <w:r w:rsidRPr="00DE2CF7">
              <w:rPr>
                <w:b/>
                <w:szCs w:val="22"/>
                <w:lang w:val="sr-Latn-ME"/>
              </w:rPr>
              <w:t>ALT/AST nivoi</w:t>
            </w:r>
          </w:p>
        </w:tc>
        <w:tc>
          <w:tcPr>
            <w:tcW w:w="7564" w:type="dxa"/>
            <w:tcBorders>
              <w:bottom w:val="single" w:sz="4" w:space="0" w:color="auto"/>
            </w:tcBorders>
          </w:tcPr>
          <w:p w14:paraId="1143D9B8" w14:textId="77777777" w:rsidR="000A1F07" w:rsidRPr="00DE2CF7" w:rsidRDefault="000A1F07" w:rsidP="00DE2CF7">
            <w:pPr>
              <w:rPr>
                <w:b/>
                <w:szCs w:val="22"/>
                <w:lang w:val="sr-Latn-ME"/>
              </w:rPr>
            </w:pPr>
            <w:r w:rsidRPr="00DE2CF7">
              <w:rPr>
                <w:b/>
                <w:szCs w:val="22"/>
                <w:lang w:val="sr-Latn-ME"/>
              </w:rPr>
              <w:t xml:space="preserve">Preporuke za </w:t>
            </w:r>
            <w:r w:rsidR="007453E0" w:rsidRPr="00DE2CF7">
              <w:rPr>
                <w:b/>
                <w:szCs w:val="22"/>
                <w:lang w:val="sr-Latn-ME"/>
              </w:rPr>
              <w:t>liječenj</w:t>
            </w:r>
            <w:r w:rsidRPr="00DE2CF7">
              <w:rPr>
                <w:b/>
                <w:szCs w:val="22"/>
                <w:lang w:val="sr-Latn-ME"/>
              </w:rPr>
              <w:t>e i praćenje</w:t>
            </w:r>
          </w:p>
          <w:p w14:paraId="73042608" w14:textId="77777777" w:rsidR="000A1F07" w:rsidRPr="00DE2CF7" w:rsidRDefault="000A1F07" w:rsidP="00DE2CF7">
            <w:pPr>
              <w:rPr>
                <w:b/>
                <w:szCs w:val="22"/>
                <w:u w:val="single"/>
                <w:lang w:val="sr-Latn-ME"/>
              </w:rPr>
            </w:pPr>
          </w:p>
        </w:tc>
      </w:tr>
      <w:tr w:rsidR="000A1F07" w:rsidRPr="00FE77AC" w14:paraId="3618F3F5" w14:textId="77777777" w:rsidTr="007C26FA">
        <w:tc>
          <w:tcPr>
            <w:tcW w:w="2065" w:type="dxa"/>
            <w:tcBorders>
              <w:bottom w:val="nil"/>
              <w:right w:val="nil"/>
            </w:tcBorders>
          </w:tcPr>
          <w:p w14:paraId="41BCB0B2" w14:textId="77777777" w:rsidR="000A1F07" w:rsidRPr="00DE2CF7" w:rsidRDefault="000A1F07" w:rsidP="00DE2CF7">
            <w:pPr>
              <w:rPr>
                <w:szCs w:val="22"/>
                <w:u w:val="single"/>
                <w:lang w:val="sr-Latn-ME"/>
              </w:rPr>
            </w:pPr>
            <w:r w:rsidRPr="00DE2CF7">
              <w:rPr>
                <w:szCs w:val="22"/>
                <w:lang w:val="sr-Latn-ME"/>
              </w:rPr>
              <w:t>&gt; 3 i ≤ 5 x ULN</w:t>
            </w:r>
          </w:p>
        </w:tc>
        <w:tc>
          <w:tcPr>
            <w:tcW w:w="7564" w:type="dxa"/>
            <w:tcBorders>
              <w:left w:val="nil"/>
              <w:bottom w:val="nil"/>
            </w:tcBorders>
          </w:tcPr>
          <w:p w14:paraId="7ED38111" w14:textId="77777777" w:rsidR="000A1F07" w:rsidRPr="00DE2CF7" w:rsidRDefault="000A1F07" w:rsidP="00DE2CF7">
            <w:pPr>
              <w:rPr>
                <w:szCs w:val="22"/>
                <w:lang w:val="sr-Latn-ME"/>
              </w:rPr>
            </w:pPr>
            <w:r w:rsidRPr="00DE2CF7">
              <w:rPr>
                <w:szCs w:val="22"/>
                <w:lang w:val="sr-Latn-ME"/>
              </w:rPr>
              <w:t xml:space="preserve">Rezultat treba da bude potvrđen drugim testom </w:t>
            </w:r>
            <w:r w:rsidR="008778CB" w:rsidRPr="00DE2CF7">
              <w:rPr>
                <w:szCs w:val="22"/>
                <w:lang w:val="sr-Latn-ME"/>
              </w:rPr>
              <w:t>funkcije jetre</w:t>
            </w:r>
            <w:r w:rsidRPr="00DE2CF7">
              <w:rPr>
                <w:szCs w:val="22"/>
                <w:lang w:val="sr-Latn-ME"/>
              </w:rPr>
              <w:t>; ako je potvrđen, odluka o</w:t>
            </w:r>
            <w:r w:rsidR="00EA730A" w:rsidRPr="00DE2CF7">
              <w:rPr>
                <w:szCs w:val="22"/>
                <w:lang w:val="sr-Latn-ME"/>
              </w:rPr>
              <w:t xml:space="preserve"> </w:t>
            </w:r>
            <w:r w:rsidRPr="00DE2CF7">
              <w:rPr>
                <w:szCs w:val="22"/>
                <w:lang w:val="sr-Latn-ME"/>
              </w:rPr>
              <w:t xml:space="preserve">nastavku </w:t>
            </w:r>
            <w:r w:rsidR="007453E0" w:rsidRPr="00DE2CF7">
              <w:rPr>
                <w:szCs w:val="22"/>
                <w:lang w:val="sr-Latn-ME"/>
              </w:rPr>
              <w:t>liječenj</w:t>
            </w:r>
            <w:r w:rsidRPr="00DE2CF7">
              <w:rPr>
                <w:szCs w:val="22"/>
                <w:lang w:val="sr-Latn-ME"/>
              </w:rPr>
              <w:t>a l</w:t>
            </w:r>
            <w:r w:rsidR="003453DD" w:rsidRPr="00DE2CF7">
              <w:rPr>
                <w:szCs w:val="22"/>
                <w:lang w:val="sr-Latn-ME"/>
              </w:rPr>
              <w:t>ij</w:t>
            </w:r>
            <w:r w:rsidRPr="00DE2CF7">
              <w:rPr>
                <w:szCs w:val="22"/>
                <w:lang w:val="sr-Latn-ME"/>
              </w:rPr>
              <w:t xml:space="preserve">ekom </w:t>
            </w:r>
            <w:r w:rsidR="008778CB" w:rsidRPr="00DE2CF7">
              <w:rPr>
                <w:szCs w:val="22"/>
                <w:lang w:val="sr-Latn-ME"/>
              </w:rPr>
              <w:t>B</w:t>
            </w:r>
            <w:r w:rsidRPr="00DE2CF7">
              <w:rPr>
                <w:szCs w:val="22"/>
                <w:lang w:val="sr-Latn-ME"/>
              </w:rPr>
              <w:t>osentan</w:t>
            </w:r>
            <w:r w:rsidR="00CE384D" w:rsidRPr="00DE2CF7">
              <w:rPr>
                <w:szCs w:val="22"/>
                <w:lang w:val="sr-Latn-ME"/>
              </w:rPr>
              <w:t xml:space="preserve"> Pharmascience</w:t>
            </w:r>
            <w:r w:rsidRPr="00DE2CF7">
              <w:rPr>
                <w:szCs w:val="22"/>
                <w:lang w:val="sr-Latn-ME"/>
              </w:rPr>
              <w:t xml:space="preserve">, </w:t>
            </w:r>
            <w:r w:rsidR="004374E0" w:rsidRPr="00DE2CF7">
              <w:rPr>
                <w:szCs w:val="22"/>
                <w:lang w:val="sr-Latn-ME"/>
              </w:rPr>
              <w:t>vjerovatn</w:t>
            </w:r>
            <w:r w:rsidRPr="00DE2CF7">
              <w:rPr>
                <w:szCs w:val="22"/>
                <w:lang w:val="sr-Latn-ME"/>
              </w:rPr>
              <w:t xml:space="preserve">o uz smanjenu dozu, ili </w:t>
            </w:r>
            <w:r w:rsidR="00CF7C36" w:rsidRPr="00DE2CF7">
              <w:rPr>
                <w:szCs w:val="22"/>
                <w:lang w:val="sr-Latn-ME"/>
              </w:rPr>
              <w:t xml:space="preserve">o </w:t>
            </w:r>
            <w:r w:rsidRPr="00DE2CF7">
              <w:rPr>
                <w:szCs w:val="22"/>
                <w:lang w:val="sr-Latn-ME"/>
              </w:rPr>
              <w:t xml:space="preserve">prekidu </w:t>
            </w:r>
            <w:r w:rsidR="004374E0" w:rsidRPr="00DE2CF7">
              <w:rPr>
                <w:szCs w:val="22"/>
                <w:lang w:val="sr-Latn-ME"/>
              </w:rPr>
              <w:t xml:space="preserve">primjene </w:t>
            </w:r>
            <w:r w:rsidR="001165AF" w:rsidRPr="00DE2CF7">
              <w:rPr>
                <w:szCs w:val="22"/>
                <w:lang w:val="sr-Latn-ME"/>
              </w:rPr>
              <w:t xml:space="preserve">lijeka </w:t>
            </w:r>
            <w:r w:rsidR="00CE384D" w:rsidRPr="00DE2CF7">
              <w:rPr>
                <w:szCs w:val="22"/>
                <w:lang w:val="sr-Latn-ME"/>
              </w:rPr>
              <w:t>B</w:t>
            </w:r>
            <w:r w:rsidRPr="00DE2CF7">
              <w:rPr>
                <w:szCs w:val="22"/>
                <w:lang w:val="sr-Latn-ME"/>
              </w:rPr>
              <w:t>osentan</w:t>
            </w:r>
            <w:r w:rsidR="00CE384D" w:rsidRPr="00DE2CF7">
              <w:rPr>
                <w:szCs w:val="22"/>
                <w:lang w:val="sr-Latn-ME"/>
              </w:rPr>
              <w:t xml:space="preserve"> Pharmascience</w:t>
            </w:r>
            <w:r w:rsidRPr="00DE2CF7">
              <w:rPr>
                <w:szCs w:val="22"/>
                <w:lang w:val="sr-Latn-ME"/>
              </w:rPr>
              <w:t xml:space="preserve">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4.2) treba da se donese na individualnoj osnovi. Praćenje vr</w:t>
            </w:r>
            <w:r w:rsidR="003453DD" w:rsidRPr="00DE2CF7">
              <w:rPr>
                <w:szCs w:val="22"/>
                <w:lang w:val="sr-Latn-ME"/>
              </w:rPr>
              <w:t>ij</w:t>
            </w:r>
            <w:r w:rsidRPr="00DE2CF7">
              <w:rPr>
                <w:szCs w:val="22"/>
                <w:lang w:val="sr-Latn-ME"/>
              </w:rPr>
              <w:t xml:space="preserve">ednosti aminotransferaza treba da se nastavi najmanje svake 2 </w:t>
            </w:r>
            <w:r w:rsidR="001165AF" w:rsidRPr="00DE2CF7">
              <w:rPr>
                <w:szCs w:val="22"/>
                <w:lang w:val="sr-Latn-ME"/>
              </w:rPr>
              <w:t>nedjelje</w:t>
            </w:r>
            <w:r w:rsidRPr="00DE2CF7">
              <w:rPr>
                <w:szCs w:val="22"/>
                <w:lang w:val="sr-Latn-ME"/>
              </w:rPr>
              <w:t>. Ako se vr</w:t>
            </w:r>
            <w:r w:rsidR="003453DD" w:rsidRPr="00DE2CF7">
              <w:rPr>
                <w:szCs w:val="22"/>
                <w:lang w:val="sr-Latn-ME"/>
              </w:rPr>
              <w:t>ij</w:t>
            </w:r>
            <w:r w:rsidRPr="00DE2CF7">
              <w:rPr>
                <w:szCs w:val="22"/>
                <w:lang w:val="sr-Latn-ME"/>
              </w:rPr>
              <w:t>ednosti aminotransferaza vrate na vr</w:t>
            </w:r>
            <w:r w:rsidR="003453DD" w:rsidRPr="00DE2CF7">
              <w:rPr>
                <w:szCs w:val="22"/>
                <w:lang w:val="sr-Latn-ME"/>
              </w:rPr>
              <w:t>ij</w:t>
            </w:r>
            <w:r w:rsidRPr="00DE2CF7">
              <w:rPr>
                <w:szCs w:val="22"/>
                <w:lang w:val="sr-Latn-ME"/>
              </w:rPr>
              <w:t>ednosti</w:t>
            </w:r>
            <w:r w:rsidR="003E63C6" w:rsidRPr="00DE2CF7">
              <w:rPr>
                <w:szCs w:val="22"/>
                <w:lang w:val="sr-Latn-ME"/>
              </w:rPr>
              <w:t xml:space="preserve"> prije </w:t>
            </w:r>
            <w:r w:rsidR="007453E0" w:rsidRPr="00DE2CF7">
              <w:rPr>
                <w:szCs w:val="22"/>
                <w:lang w:val="sr-Latn-ME"/>
              </w:rPr>
              <w:t>liječenj</w:t>
            </w:r>
            <w:r w:rsidRPr="00DE2CF7">
              <w:rPr>
                <w:szCs w:val="22"/>
                <w:lang w:val="sr-Latn-ME"/>
              </w:rPr>
              <w:t>a, treba razmotriti nastavak ili ponovno uvođenje</w:t>
            </w:r>
            <w:r w:rsidR="001165AF" w:rsidRPr="00DE2CF7">
              <w:rPr>
                <w:szCs w:val="22"/>
                <w:lang w:val="sr-Latn-ME"/>
              </w:rPr>
              <w:t xml:space="preserve"> lijeka </w:t>
            </w:r>
            <w:r w:rsidR="00CE384D" w:rsidRPr="00DE2CF7">
              <w:rPr>
                <w:szCs w:val="22"/>
                <w:lang w:val="sr-Latn-ME"/>
              </w:rPr>
              <w:t>B</w:t>
            </w:r>
            <w:r w:rsidRPr="00DE2CF7">
              <w:rPr>
                <w:szCs w:val="22"/>
                <w:lang w:val="sr-Latn-ME"/>
              </w:rPr>
              <w:t>osentan</w:t>
            </w:r>
            <w:r w:rsidR="00CE384D" w:rsidRPr="00DE2CF7">
              <w:rPr>
                <w:szCs w:val="22"/>
                <w:lang w:val="sr-Latn-ME"/>
              </w:rPr>
              <w:t xml:space="preserve"> Pharmascience</w:t>
            </w:r>
            <w:r w:rsidRPr="00DE2CF7">
              <w:rPr>
                <w:szCs w:val="22"/>
                <w:lang w:val="sr-Latn-ME"/>
              </w:rPr>
              <w:t xml:space="preserve"> u skladu sa uslovima opisanim u nastavku.</w:t>
            </w:r>
          </w:p>
          <w:p w14:paraId="130B5DC4" w14:textId="77777777" w:rsidR="000A1F07" w:rsidRPr="00DE2CF7" w:rsidRDefault="000A1F07" w:rsidP="00DE2CF7">
            <w:pPr>
              <w:rPr>
                <w:szCs w:val="22"/>
                <w:u w:val="single"/>
                <w:lang w:val="sr-Latn-ME"/>
              </w:rPr>
            </w:pPr>
          </w:p>
        </w:tc>
      </w:tr>
      <w:tr w:rsidR="000A1F07" w:rsidRPr="00FE77AC" w14:paraId="4B561D2D" w14:textId="77777777" w:rsidTr="007C26FA">
        <w:tc>
          <w:tcPr>
            <w:tcW w:w="2065" w:type="dxa"/>
            <w:tcBorders>
              <w:top w:val="nil"/>
              <w:bottom w:val="nil"/>
              <w:right w:val="nil"/>
            </w:tcBorders>
          </w:tcPr>
          <w:p w14:paraId="7653C9FA" w14:textId="77777777" w:rsidR="000A1F07" w:rsidRPr="00DE2CF7" w:rsidRDefault="000A1F07" w:rsidP="00DE2CF7">
            <w:pPr>
              <w:rPr>
                <w:szCs w:val="22"/>
                <w:u w:val="single"/>
                <w:lang w:val="sr-Latn-ME"/>
              </w:rPr>
            </w:pPr>
            <w:r w:rsidRPr="00DE2CF7">
              <w:rPr>
                <w:szCs w:val="22"/>
                <w:lang w:val="sr-Latn-ME"/>
              </w:rPr>
              <w:t>&gt; 5 i ≤ 8 x ULN</w:t>
            </w:r>
          </w:p>
        </w:tc>
        <w:tc>
          <w:tcPr>
            <w:tcW w:w="7564" w:type="dxa"/>
            <w:tcBorders>
              <w:top w:val="nil"/>
              <w:left w:val="nil"/>
              <w:bottom w:val="nil"/>
            </w:tcBorders>
          </w:tcPr>
          <w:p w14:paraId="07788312" w14:textId="77777777" w:rsidR="000A1F07" w:rsidRPr="00DE2CF7" w:rsidRDefault="000A1F07" w:rsidP="00DE2CF7">
            <w:pPr>
              <w:rPr>
                <w:szCs w:val="22"/>
                <w:lang w:val="sr-Latn-ME"/>
              </w:rPr>
            </w:pPr>
            <w:r w:rsidRPr="00DE2CF7">
              <w:rPr>
                <w:szCs w:val="22"/>
                <w:lang w:val="sr-Latn-ME"/>
              </w:rPr>
              <w:t xml:space="preserve">Rezultat treba da bude potvrđen drugim testom </w:t>
            </w:r>
            <w:r w:rsidR="00CE384D" w:rsidRPr="00DE2CF7">
              <w:rPr>
                <w:szCs w:val="22"/>
                <w:lang w:val="sr-Latn-ME"/>
              </w:rPr>
              <w:t>funkcije jetre</w:t>
            </w:r>
            <w:r w:rsidRPr="00DE2CF7">
              <w:rPr>
                <w:szCs w:val="22"/>
                <w:lang w:val="sr-Latn-ME"/>
              </w:rPr>
              <w:t xml:space="preserve">: ako je potvrđen, </w:t>
            </w:r>
            <w:r w:rsidR="007453E0" w:rsidRPr="00DE2CF7">
              <w:rPr>
                <w:szCs w:val="22"/>
                <w:lang w:val="sr-Latn-ME"/>
              </w:rPr>
              <w:t>liječenj</w:t>
            </w:r>
            <w:r w:rsidRPr="00DE2CF7">
              <w:rPr>
                <w:szCs w:val="22"/>
                <w:lang w:val="sr-Latn-ME"/>
              </w:rPr>
              <w:t>e treba da se zaustavi i vr</w:t>
            </w:r>
            <w:r w:rsidR="00D64485" w:rsidRPr="00DE2CF7">
              <w:rPr>
                <w:szCs w:val="22"/>
                <w:lang w:val="sr-Latn-ME"/>
              </w:rPr>
              <w:t>ij</w:t>
            </w:r>
            <w:r w:rsidRPr="00DE2CF7">
              <w:rPr>
                <w:szCs w:val="22"/>
                <w:lang w:val="sr-Latn-ME"/>
              </w:rPr>
              <w:t xml:space="preserve">ednosti aminotransferaza prate najmanje svake 2 </w:t>
            </w:r>
            <w:r w:rsidR="001165AF" w:rsidRPr="00DE2CF7">
              <w:rPr>
                <w:szCs w:val="22"/>
                <w:lang w:val="sr-Latn-ME"/>
              </w:rPr>
              <w:t>nedjelje</w:t>
            </w:r>
            <w:r w:rsidRPr="00DE2CF7">
              <w:rPr>
                <w:szCs w:val="22"/>
                <w:lang w:val="sr-Latn-ME"/>
              </w:rPr>
              <w:t>. Ako se vr</w:t>
            </w:r>
            <w:r w:rsidR="00D64485" w:rsidRPr="00DE2CF7">
              <w:rPr>
                <w:szCs w:val="22"/>
                <w:lang w:val="sr-Latn-ME"/>
              </w:rPr>
              <w:t>ij</w:t>
            </w:r>
            <w:r w:rsidRPr="00DE2CF7">
              <w:rPr>
                <w:szCs w:val="22"/>
                <w:lang w:val="sr-Latn-ME"/>
              </w:rPr>
              <w:t>ednosti aminotransferaza vrate na vr</w:t>
            </w:r>
            <w:r w:rsidR="00D64485" w:rsidRPr="00DE2CF7">
              <w:rPr>
                <w:szCs w:val="22"/>
                <w:lang w:val="sr-Latn-ME"/>
              </w:rPr>
              <w:t>ij</w:t>
            </w:r>
            <w:r w:rsidRPr="00DE2CF7">
              <w:rPr>
                <w:szCs w:val="22"/>
                <w:lang w:val="sr-Latn-ME"/>
              </w:rPr>
              <w:t>ednosti</w:t>
            </w:r>
            <w:r w:rsidR="003E63C6" w:rsidRPr="00DE2CF7">
              <w:rPr>
                <w:szCs w:val="22"/>
                <w:lang w:val="sr-Latn-ME"/>
              </w:rPr>
              <w:t xml:space="preserve"> prije </w:t>
            </w:r>
            <w:r w:rsidR="007453E0" w:rsidRPr="00DE2CF7">
              <w:rPr>
                <w:szCs w:val="22"/>
                <w:lang w:val="sr-Latn-ME"/>
              </w:rPr>
              <w:t>liječenj</w:t>
            </w:r>
            <w:r w:rsidRPr="00DE2CF7">
              <w:rPr>
                <w:szCs w:val="22"/>
                <w:lang w:val="sr-Latn-ME"/>
              </w:rPr>
              <w:t>a, treba razmotriti ponovno uvođenje</w:t>
            </w:r>
            <w:r w:rsidR="001165AF" w:rsidRPr="00DE2CF7">
              <w:rPr>
                <w:szCs w:val="22"/>
                <w:lang w:val="sr-Latn-ME"/>
              </w:rPr>
              <w:t xml:space="preserve"> lijeka </w:t>
            </w:r>
            <w:r w:rsidR="00561663" w:rsidRPr="00DE2CF7">
              <w:rPr>
                <w:szCs w:val="22"/>
                <w:lang w:val="sr-Latn-ME"/>
              </w:rPr>
              <w:t>Bosentan Pharmascience</w:t>
            </w:r>
            <w:r w:rsidRPr="00DE2CF7">
              <w:rPr>
                <w:szCs w:val="22"/>
                <w:lang w:val="sr-Latn-ME"/>
              </w:rPr>
              <w:t xml:space="preserve"> u skladu sa uslovima opisanim u nastavku.</w:t>
            </w:r>
          </w:p>
          <w:p w14:paraId="3548F7C5" w14:textId="77777777" w:rsidR="00CF7C36" w:rsidRPr="00DE2CF7" w:rsidRDefault="00CF7C36" w:rsidP="00DE2CF7">
            <w:pPr>
              <w:rPr>
                <w:szCs w:val="22"/>
                <w:lang w:val="sr-Latn-ME"/>
              </w:rPr>
            </w:pPr>
          </w:p>
        </w:tc>
      </w:tr>
      <w:tr w:rsidR="000A1F07" w:rsidRPr="00FE77AC" w14:paraId="313C9723" w14:textId="77777777" w:rsidTr="007C26FA">
        <w:tc>
          <w:tcPr>
            <w:tcW w:w="2065" w:type="dxa"/>
            <w:tcBorders>
              <w:top w:val="nil"/>
              <w:bottom w:val="nil"/>
              <w:right w:val="nil"/>
            </w:tcBorders>
          </w:tcPr>
          <w:p w14:paraId="41AA34AB" w14:textId="77777777" w:rsidR="000A1F07" w:rsidRPr="00DE2CF7" w:rsidRDefault="000A1F07" w:rsidP="00DE2CF7">
            <w:pPr>
              <w:rPr>
                <w:szCs w:val="22"/>
                <w:u w:val="single"/>
                <w:lang w:val="sr-Latn-ME"/>
              </w:rPr>
            </w:pPr>
            <w:r w:rsidRPr="00DE2CF7">
              <w:rPr>
                <w:szCs w:val="22"/>
                <w:lang w:val="sr-Latn-ME"/>
              </w:rPr>
              <w:t>&gt; 8 x ULN</w:t>
            </w:r>
          </w:p>
        </w:tc>
        <w:tc>
          <w:tcPr>
            <w:tcW w:w="7564" w:type="dxa"/>
            <w:tcBorders>
              <w:top w:val="nil"/>
              <w:left w:val="nil"/>
              <w:bottom w:val="nil"/>
            </w:tcBorders>
          </w:tcPr>
          <w:p w14:paraId="39B35E7C" w14:textId="77777777" w:rsidR="000A1F07" w:rsidRPr="00DE2CF7" w:rsidRDefault="007453E0" w:rsidP="00DE2CF7">
            <w:pPr>
              <w:rPr>
                <w:szCs w:val="22"/>
                <w:lang w:val="sr-Latn-ME"/>
              </w:rPr>
            </w:pPr>
            <w:r w:rsidRPr="00DE2CF7">
              <w:rPr>
                <w:szCs w:val="22"/>
                <w:lang w:val="sr-Latn-ME"/>
              </w:rPr>
              <w:t>Liječenj</w:t>
            </w:r>
            <w:r w:rsidR="000A1F07" w:rsidRPr="00DE2CF7">
              <w:rPr>
                <w:szCs w:val="22"/>
                <w:lang w:val="sr-Latn-ME"/>
              </w:rPr>
              <w:t>e se mora prekinuti i ponovno uvođenje</w:t>
            </w:r>
            <w:r w:rsidR="001165AF" w:rsidRPr="00DE2CF7">
              <w:rPr>
                <w:szCs w:val="22"/>
                <w:lang w:val="sr-Latn-ME"/>
              </w:rPr>
              <w:t xml:space="preserve"> lijeka </w:t>
            </w:r>
            <w:r w:rsidR="00561663" w:rsidRPr="00DE2CF7">
              <w:rPr>
                <w:szCs w:val="22"/>
                <w:lang w:val="sr-Latn-ME"/>
              </w:rPr>
              <w:t>B</w:t>
            </w:r>
            <w:r w:rsidR="000A1F07" w:rsidRPr="00DE2CF7">
              <w:rPr>
                <w:szCs w:val="22"/>
                <w:lang w:val="sr-Latn-ME"/>
              </w:rPr>
              <w:t xml:space="preserve">osentan </w:t>
            </w:r>
            <w:r w:rsidR="00561663" w:rsidRPr="00DE2CF7">
              <w:rPr>
                <w:szCs w:val="22"/>
                <w:lang w:val="sr-Latn-ME"/>
              </w:rPr>
              <w:t xml:space="preserve">Pharmascience </w:t>
            </w:r>
            <w:r w:rsidR="000A1F07" w:rsidRPr="00DE2CF7">
              <w:rPr>
                <w:szCs w:val="22"/>
                <w:lang w:val="sr-Latn-ME"/>
              </w:rPr>
              <w:t>ne treba razmatrati</w:t>
            </w:r>
            <w:r w:rsidR="00561663" w:rsidRPr="00DE2CF7">
              <w:rPr>
                <w:szCs w:val="22"/>
                <w:lang w:val="sr-Latn-ME"/>
              </w:rPr>
              <w:t>.</w:t>
            </w:r>
          </w:p>
        </w:tc>
      </w:tr>
      <w:tr w:rsidR="000A1F07" w:rsidRPr="00FE77AC" w14:paraId="615FD740" w14:textId="77777777" w:rsidTr="007C26FA">
        <w:trPr>
          <w:trHeight w:val="779"/>
        </w:trPr>
        <w:tc>
          <w:tcPr>
            <w:tcW w:w="9629" w:type="dxa"/>
            <w:gridSpan w:val="2"/>
            <w:tcBorders>
              <w:top w:val="nil"/>
            </w:tcBorders>
          </w:tcPr>
          <w:p w14:paraId="7C7ED641" w14:textId="77777777" w:rsidR="00CF7C36" w:rsidRPr="00DE2CF7" w:rsidRDefault="00CF7C36" w:rsidP="00DE2CF7">
            <w:pPr>
              <w:rPr>
                <w:b/>
                <w:szCs w:val="22"/>
                <w:lang w:val="sr-Latn-ME"/>
              </w:rPr>
            </w:pPr>
          </w:p>
          <w:p w14:paraId="28EE72D3" w14:textId="77777777" w:rsidR="000A1F07" w:rsidRPr="00DE2CF7" w:rsidRDefault="000A1F07" w:rsidP="00DE2CF7">
            <w:pPr>
              <w:rPr>
                <w:szCs w:val="22"/>
                <w:lang w:val="sr-Latn-ME"/>
              </w:rPr>
            </w:pPr>
            <w:r w:rsidRPr="00DE2CF7">
              <w:rPr>
                <w:b/>
                <w:szCs w:val="22"/>
                <w:lang w:val="sr-Latn-ME"/>
              </w:rPr>
              <w:t>U slučaju udruženih kliničkih simptoma oštećenja jetre</w:t>
            </w:r>
            <w:r w:rsidRPr="00DE2CF7">
              <w:rPr>
                <w:szCs w:val="22"/>
                <w:lang w:val="sr-Latn-ME"/>
              </w:rPr>
              <w:t>, tj. mučnine, povraćanja, groznice, abdominalnog bola, žutice, neuobičajene letargije ili iscrpljenosti, sindroma sličnog gripu (artralgije, mialgije, groznice),</w:t>
            </w:r>
            <w:r w:rsidR="004C2A15" w:rsidRPr="00DE2CF7">
              <w:rPr>
                <w:szCs w:val="22"/>
                <w:lang w:val="sr-Latn-ME"/>
              </w:rPr>
              <w:t xml:space="preserve"> </w:t>
            </w:r>
            <w:r w:rsidR="007453E0" w:rsidRPr="00DE2CF7">
              <w:rPr>
                <w:b/>
                <w:szCs w:val="22"/>
                <w:lang w:val="sr-Latn-ME"/>
              </w:rPr>
              <w:t>liječenj</w:t>
            </w:r>
            <w:r w:rsidRPr="00DE2CF7">
              <w:rPr>
                <w:b/>
                <w:szCs w:val="22"/>
                <w:lang w:val="sr-Latn-ME"/>
              </w:rPr>
              <w:t xml:space="preserve">e se mora prekinuti </w:t>
            </w:r>
            <w:r w:rsidR="0033427D" w:rsidRPr="00DE2CF7">
              <w:rPr>
                <w:b/>
                <w:szCs w:val="22"/>
                <w:lang w:val="sr-Latn-ME"/>
              </w:rPr>
              <w:t xml:space="preserve">bez razmatranja </w:t>
            </w:r>
            <w:r w:rsidRPr="00DE2CF7">
              <w:rPr>
                <w:b/>
                <w:szCs w:val="22"/>
                <w:lang w:val="sr-Latn-ME"/>
              </w:rPr>
              <w:t>ponovno</w:t>
            </w:r>
            <w:r w:rsidR="0033427D" w:rsidRPr="00DE2CF7">
              <w:rPr>
                <w:b/>
                <w:szCs w:val="22"/>
                <w:lang w:val="sr-Latn-ME"/>
              </w:rPr>
              <w:t>g</w:t>
            </w:r>
            <w:r w:rsidRPr="00DE2CF7">
              <w:rPr>
                <w:b/>
                <w:szCs w:val="22"/>
                <w:lang w:val="sr-Latn-ME"/>
              </w:rPr>
              <w:t xml:space="preserve"> </w:t>
            </w:r>
            <w:r w:rsidR="0033427D" w:rsidRPr="00DE2CF7">
              <w:rPr>
                <w:b/>
                <w:szCs w:val="22"/>
                <w:lang w:val="sr-Latn-ME"/>
              </w:rPr>
              <w:t xml:space="preserve">liječenja </w:t>
            </w:r>
            <w:r w:rsidR="001165AF" w:rsidRPr="00DE2CF7">
              <w:rPr>
                <w:b/>
                <w:szCs w:val="22"/>
                <w:lang w:val="sr-Latn-ME"/>
              </w:rPr>
              <w:t>lijek</w:t>
            </w:r>
            <w:r w:rsidR="0033427D" w:rsidRPr="00DE2CF7">
              <w:rPr>
                <w:b/>
                <w:szCs w:val="22"/>
                <w:lang w:val="sr-Latn-ME"/>
              </w:rPr>
              <w:t>om</w:t>
            </w:r>
            <w:r w:rsidR="001165AF" w:rsidRPr="00DE2CF7">
              <w:rPr>
                <w:b/>
                <w:szCs w:val="22"/>
                <w:lang w:val="sr-Latn-ME"/>
              </w:rPr>
              <w:t xml:space="preserve"> </w:t>
            </w:r>
            <w:r w:rsidR="00561663" w:rsidRPr="00DE2CF7">
              <w:rPr>
                <w:b/>
                <w:szCs w:val="22"/>
                <w:lang w:val="sr-Latn-ME"/>
              </w:rPr>
              <w:t>B</w:t>
            </w:r>
            <w:r w:rsidRPr="00DE2CF7">
              <w:rPr>
                <w:b/>
                <w:szCs w:val="22"/>
                <w:lang w:val="sr-Latn-ME"/>
              </w:rPr>
              <w:t>osentan</w:t>
            </w:r>
            <w:r w:rsidR="00561663" w:rsidRPr="00DE2CF7">
              <w:rPr>
                <w:b/>
                <w:szCs w:val="22"/>
                <w:lang w:val="sr-Latn-ME"/>
              </w:rPr>
              <w:t xml:space="preserve"> Pharmascience</w:t>
            </w:r>
            <w:r w:rsidRPr="00DE2CF7">
              <w:rPr>
                <w:b/>
                <w:szCs w:val="22"/>
                <w:lang w:val="sr-Latn-ME"/>
              </w:rPr>
              <w:t>.</w:t>
            </w:r>
          </w:p>
          <w:p w14:paraId="5EB7E231" w14:textId="77777777" w:rsidR="000A1F07" w:rsidRPr="00DE2CF7" w:rsidRDefault="000A1F07" w:rsidP="00DE2CF7">
            <w:pPr>
              <w:rPr>
                <w:szCs w:val="22"/>
                <w:lang w:val="sr-Latn-ME"/>
              </w:rPr>
            </w:pPr>
          </w:p>
          <w:p w14:paraId="4F6D4DF6" w14:textId="77777777" w:rsidR="000A1F07" w:rsidRPr="00DE2CF7" w:rsidRDefault="000A1F07" w:rsidP="00DE2CF7">
            <w:pPr>
              <w:rPr>
                <w:i/>
                <w:szCs w:val="22"/>
                <w:u w:val="single"/>
                <w:lang w:val="sr-Latn-ME"/>
              </w:rPr>
            </w:pPr>
            <w:r w:rsidRPr="00DE2CF7">
              <w:rPr>
                <w:i/>
                <w:szCs w:val="22"/>
                <w:u w:val="single"/>
                <w:lang w:val="sr-Latn-ME"/>
              </w:rPr>
              <w:t>Ponovno uvođenje terapije</w:t>
            </w:r>
          </w:p>
          <w:p w14:paraId="2F54C03E" w14:textId="77777777" w:rsidR="000A1F07" w:rsidRPr="00DE2CF7" w:rsidRDefault="000A1F07" w:rsidP="00DE2CF7">
            <w:pPr>
              <w:rPr>
                <w:szCs w:val="22"/>
                <w:lang w:val="sr-Latn-ME"/>
              </w:rPr>
            </w:pPr>
            <w:r w:rsidRPr="00DE2CF7">
              <w:rPr>
                <w:szCs w:val="22"/>
                <w:lang w:val="sr-Latn-ME"/>
              </w:rPr>
              <w:t xml:space="preserve">Ponovno uvođenje </w:t>
            </w:r>
            <w:r w:rsidR="007453E0" w:rsidRPr="00DE2CF7">
              <w:rPr>
                <w:szCs w:val="22"/>
                <w:lang w:val="sr-Latn-ME"/>
              </w:rPr>
              <w:t>liječenj</w:t>
            </w:r>
            <w:r w:rsidRPr="00DE2CF7">
              <w:rPr>
                <w:szCs w:val="22"/>
                <w:lang w:val="sr-Latn-ME"/>
              </w:rPr>
              <w:t>a l</w:t>
            </w:r>
            <w:r w:rsidR="00D64485" w:rsidRPr="00DE2CF7">
              <w:rPr>
                <w:szCs w:val="22"/>
                <w:lang w:val="sr-Latn-ME"/>
              </w:rPr>
              <w:t>ij</w:t>
            </w:r>
            <w:r w:rsidRPr="00DE2CF7">
              <w:rPr>
                <w:szCs w:val="22"/>
                <w:lang w:val="sr-Latn-ME"/>
              </w:rPr>
              <w:t xml:space="preserve">ekom </w:t>
            </w:r>
            <w:r w:rsidR="00561663" w:rsidRPr="00DE2CF7">
              <w:rPr>
                <w:szCs w:val="22"/>
                <w:lang w:val="sr-Latn-ME"/>
              </w:rPr>
              <w:t>B</w:t>
            </w:r>
            <w:r w:rsidRPr="00DE2CF7">
              <w:rPr>
                <w:szCs w:val="22"/>
                <w:lang w:val="sr-Latn-ME"/>
              </w:rPr>
              <w:t xml:space="preserve">osentan </w:t>
            </w:r>
            <w:r w:rsidR="00561663" w:rsidRPr="00DE2CF7">
              <w:rPr>
                <w:szCs w:val="22"/>
                <w:lang w:val="sr-Latn-ME"/>
              </w:rPr>
              <w:t xml:space="preserve">Pharmascience </w:t>
            </w:r>
            <w:r w:rsidRPr="00DE2CF7">
              <w:rPr>
                <w:szCs w:val="22"/>
                <w:lang w:val="sr-Latn-ME"/>
              </w:rPr>
              <w:t>treba razmotr</w:t>
            </w:r>
            <w:r w:rsidR="0033427D" w:rsidRPr="00DE2CF7">
              <w:rPr>
                <w:szCs w:val="22"/>
                <w:lang w:val="sr-Latn-ME"/>
              </w:rPr>
              <w:t>iti</w:t>
            </w:r>
            <w:r w:rsidRPr="00DE2CF7">
              <w:rPr>
                <w:szCs w:val="22"/>
                <w:lang w:val="sr-Latn-ME"/>
              </w:rPr>
              <w:t xml:space="preserve"> jedino ako koristi od </w:t>
            </w:r>
            <w:r w:rsidR="007453E0" w:rsidRPr="00DE2CF7">
              <w:rPr>
                <w:szCs w:val="22"/>
                <w:lang w:val="sr-Latn-ME"/>
              </w:rPr>
              <w:t>liječenj</w:t>
            </w:r>
            <w:r w:rsidRPr="00DE2CF7">
              <w:rPr>
                <w:szCs w:val="22"/>
                <w:lang w:val="sr-Latn-ME"/>
              </w:rPr>
              <w:t xml:space="preserve">a </w:t>
            </w:r>
            <w:r w:rsidR="0033427D" w:rsidRPr="00DE2CF7">
              <w:rPr>
                <w:szCs w:val="22"/>
                <w:lang w:val="sr-Latn-ME"/>
              </w:rPr>
              <w:t xml:space="preserve">lijekom Bosentan </w:t>
            </w:r>
            <w:r w:rsidR="007C26FA" w:rsidRPr="00DE2CF7">
              <w:rPr>
                <w:szCs w:val="22"/>
                <w:lang w:val="sr-Latn-ME"/>
              </w:rPr>
              <w:t>Pharmascience nadmašuju moguće</w:t>
            </w:r>
            <w:r w:rsidRPr="00DE2CF7">
              <w:rPr>
                <w:szCs w:val="22"/>
                <w:lang w:val="sr-Latn-ME"/>
              </w:rPr>
              <w:t xml:space="preserve"> rizike i kada su vr</w:t>
            </w:r>
            <w:r w:rsidR="00D64485" w:rsidRPr="00DE2CF7">
              <w:rPr>
                <w:szCs w:val="22"/>
                <w:lang w:val="sr-Latn-ME"/>
              </w:rPr>
              <w:t>ij</w:t>
            </w:r>
            <w:r w:rsidRPr="00DE2CF7">
              <w:rPr>
                <w:szCs w:val="22"/>
                <w:lang w:val="sr-Latn-ME"/>
              </w:rPr>
              <w:t>ednosti aminotransferaza jetre u okviru vr</w:t>
            </w:r>
            <w:r w:rsidR="00876014" w:rsidRPr="00DE2CF7">
              <w:rPr>
                <w:szCs w:val="22"/>
                <w:lang w:val="sr-Latn-ME"/>
              </w:rPr>
              <w:t>ij</w:t>
            </w:r>
            <w:r w:rsidRPr="00DE2CF7">
              <w:rPr>
                <w:szCs w:val="22"/>
                <w:lang w:val="sr-Latn-ME"/>
              </w:rPr>
              <w:t>ednosti</w:t>
            </w:r>
            <w:r w:rsidR="003E63C6" w:rsidRPr="00DE2CF7">
              <w:rPr>
                <w:szCs w:val="22"/>
                <w:lang w:val="sr-Latn-ME"/>
              </w:rPr>
              <w:t xml:space="preserve"> prije </w:t>
            </w:r>
            <w:r w:rsidR="007453E0" w:rsidRPr="00DE2CF7">
              <w:rPr>
                <w:szCs w:val="22"/>
                <w:lang w:val="sr-Latn-ME"/>
              </w:rPr>
              <w:t>liječenj</w:t>
            </w:r>
            <w:r w:rsidRPr="00DE2CF7">
              <w:rPr>
                <w:szCs w:val="22"/>
                <w:lang w:val="sr-Latn-ME"/>
              </w:rPr>
              <w:t xml:space="preserve">a. </w:t>
            </w:r>
            <w:r w:rsidR="00876014" w:rsidRPr="00DE2CF7">
              <w:rPr>
                <w:szCs w:val="22"/>
                <w:lang w:val="sr-Latn-ME"/>
              </w:rPr>
              <w:t>Preporučuje se s</w:t>
            </w:r>
            <w:r w:rsidRPr="00DE2CF7">
              <w:rPr>
                <w:szCs w:val="22"/>
                <w:lang w:val="sr-Latn-ME"/>
              </w:rPr>
              <w:t>av</w:t>
            </w:r>
            <w:r w:rsidR="00876014" w:rsidRPr="00DE2CF7">
              <w:rPr>
                <w:szCs w:val="22"/>
                <w:lang w:val="sr-Latn-ME"/>
              </w:rPr>
              <w:t>j</w:t>
            </w:r>
            <w:r w:rsidRPr="00DE2CF7">
              <w:rPr>
                <w:szCs w:val="22"/>
                <w:lang w:val="sr-Latn-ME"/>
              </w:rPr>
              <w:t>et hepatologa</w:t>
            </w:r>
            <w:r w:rsidR="00876014" w:rsidRPr="00DE2CF7">
              <w:rPr>
                <w:szCs w:val="22"/>
                <w:lang w:val="sr-Latn-ME"/>
              </w:rPr>
              <w:t>.</w:t>
            </w:r>
            <w:r w:rsidRPr="00DE2CF7">
              <w:rPr>
                <w:szCs w:val="22"/>
                <w:lang w:val="sr-Latn-ME"/>
              </w:rPr>
              <w:t xml:space="preserve"> Ponovno uvođenje </w:t>
            </w:r>
            <w:r w:rsidR="00876014" w:rsidRPr="00DE2CF7">
              <w:rPr>
                <w:szCs w:val="22"/>
                <w:lang w:val="sr-Latn-ME"/>
              </w:rPr>
              <w:t xml:space="preserve">treba </w:t>
            </w:r>
            <w:r w:rsidR="00CF7C36" w:rsidRPr="00DE2CF7">
              <w:rPr>
                <w:szCs w:val="22"/>
                <w:lang w:val="sr-Latn-ME"/>
              </w:rPr>
              <w:t xml:space="preserve">da bude </w:t>
            </w:r>
            <w:r w:rsidR="00876014" w:rsidRPr="00DE2CF7">
              <w:rPr>
                <w:szCs w:val="22"/>
                <w:lang w:val="sr-Latn-ME"/>
              </w:rPr>
              <w:t xml:space="preserve">u skladu </w:t>
            </w:r>
            <w:r w:rsidR="005E0C10" w:rsidRPr="00DE2CF7">
              <w:rPr>
                <w:szCs w:val="22"/>
                <w:lang w:val="sr-Latn-ME"/>
              </w:rPr>
              <w:t>sa smjernicama</w:t>
            </w:r>
            <w:r w:rsidRPr="00DE2CF7">
              <w:rPr>
                <w:szCs w:val="22"/>
                <w:lang w:val="sr-Latn-ME"/>
              </w:rPr>
              <w:t xml:space="preserve"> opisan</w:t>
            </w:r>
            <w:r w:rsidR="00876014" w:rsidRPr="00DE2CF7">
              <w:rPr>
                <w:szCs w:val="22"/>
                <w:lang w:val="sr-Latn-ME"/>
              </w:rPr>
              <w:t>im</w:t>
            </w:r>
            <w:r w:rsidRPr="00DE2CF7">
              <w:rPr>
                <w:szCs w:val="22"/>
                <w:lang w:val="sr-Latn-ME"/>
              </w:rPr>
              <w:t xml:space="preserve"> u od</w:t>
            </w:r>
            <w:r w:rsidR="00876014" w:rsidRPr="00DE2CF7">
              <w:rPr>
                <w:szCs w:val="22"/>
                <w:lang w:val="sr-Latn-ME"/>
              </w:rPr>
              <w:t>j</w:t>
            </w:r>
            <w:r w:rsidRPr="00DE2CF7">
              <w:rPr>
                <w:szCs w:val="22"/>
                <w:lang w:val="sr-Latn-ME"/>
              </w:rPr>
              <w:t xml:space="preserve">eljku 4.2. </w:t>
            </w:r>
            <w:r w:rsidRPr="00DE2CF7">
              <w:rPr>
                <w:b/>
                <w:szCs w:val="22"/>
                <w:lang w:val="sr-Latn-ME"/>
              </w:rPr>
              <w:t>Vr</w:t>
            </w:r>
            <w:r w:rsidR="00876014" w:rsidRPr="00DE2CF7">
              <w:rPr>
                <w:b/>
                <w:szCs w:val="22"/>
                <w:lang w:val="sr-Latn-ME"/>
              </w:rPr>
              <w:t>ij</w:t>
            </w:r>
            <w:r w:rsidRPr="00DE2CF7">
              <w:rPr>
                <w:b/>
                <w:szCs w:val="22"/>
                <w:lang w:val="sr-Latn-ME"/>
              </w:rPr>
              <w:t xml:space="preserve">ednosti aminotransferaza </w:t>
            </w:r>
            <w:r w:rsidR="00876014" w:rsidRPr="00DE2CF7">
              <w:rPr>
                <w:b/>
                <w:szCs w:val="22"/>
                <w:lang w:val="sr-Latn-ME"/>
              </w:rPr>
              <w:t>treba provjer</w:t>
            </w:r>
            <w:r w:rsidR="00CF1179" w:rsidRPr="00DE2CF7">
              <w:rPr>
                <w:b/>
                <w:szCs w:val="22"/>
                <w:lang w:val="sr-Latn-ME"/>
              </w:rPr>
              <w:t>iti do 3 dana nakon ponovnog poč</w:t>
            </w:r>
            <w:r w:rsidR="00876014" w:rsidRPr="00DE2CF7">
              <w:rPr>
                <w:b/>
                <w:szCs w:val="22"/>
                <w:lang w:val="sr-Latn-ME"/>
              </w:rPr>
              <w:t xml:space="preserve">etka liječenja, </w:t>
            </w:r>
            <w:r w:rsidRPr="00DE2CF7">
              <w:rPr>
                <w:b/>
                <w:szCs w:val="22"/>
                <w:lang w:val="sr-Latn-ME"/>
              </w:rPr>
              <w:t xml:space="preserve"> zatim ponovo </w:t>
            </w:r>
            <w:r w:rsidR="005E0C10" w:rsidRPr="00DE2CF7">
              <w:rPr>
                <w:b/>
                <w:szCs w:val="22"/>
                <w:lang w:val="sr-Latn-ME"/>
              </w:rPr>
              <w:t xml:space="preserve">nakon </w:t>
            </w:r>
            <w:r w:rsidRPr="00DE2CF7">
              <w:rPr>
                <w:b/>
                <w:szCs w:val="22"/>
                <w:lang w:val="sr-Latn-ME"/>
              </w:rPr>
              <w:t>sl</w:t>
            </w:r>
            <w:r w:rsidR="00876014" w:rsidRPr="00DE2CF7">
              <w:rPr>
                <w:b/>
                <w:szCs w:val="22"/>
                <w:lang w:val="sr-Latn-ME"/>
              </w:rPr>
              <w:t>j</w:t>
            </w:r>
            <w:r w:rsidRPr="00DE2CF7">
              <w:rPr>
                <w:b/>
                <w:szCs w:val="22"/>
                <w:lang w:val="sr-Latn-ME"/>
              </w:rPr>
              <w:t xml:space="preserve">edeće 2 </w:t>
            </w:r>
            <w:r w:rsidR="001165AF" w:rsidRPr="00DE2CF7">
              <w:rPr>
                <w:b/>
                <w:szCs w:val="22"/>
                <w:lang w:val="sr-Latn-ME"/>
              </w:rPr>
              <w:t>nedjelje</w:t>
            </w:r>
            <w:r w:rsidRPr="00DE2CF7">
              <w:rPr>
                <w:b/>
                <w:szCs w:val="22"/>
                <w:lang w:val="sr-Latn-ME"/>
              </w:rPr>
              <w:t>, a zatim u skladu sa gore navedenim</w:t>
            </w:r>
            <w:r w:rsidR="00876014" w:rsidRPr="00DE2CF7">
              <w:rPr>
                <w:b/>
                <w:szCs w:val="22"/>
                <w:lang w:val="sr-Latn-ME"/>
              </w:rPr>
              <w:t xml:space="preserve"> preporukama</w:t>
            </w:r>
            <w:r w:rsidRPr="00DE2CF7">
              <w:rPr>
                <w:b/>
                <w:szCs w:val="22"/>
                <w:lang w:val="sr-Latn-ME"/>
              </w:rPr>
              <w:t>.</w:t>
            </w:r>
          </w:p>
        </w:tc>
      </w:tr>
    </w:tbl>
    <w:p w14:paraId="34D18C17" w14:textId="77777777" w:rsidR="00982A63" w:rsidRPr="00DE2CF7" w:rsidRDefault="00982A63" w:rsidP="00DE2CF7">
      <w:pPr>
        <w:rPr>
          <w:szCs w:val="22"/>
          <w:lang w:val="sr-Latn-ME"/>
        </w:rPr>
      </w:pPr>
      <w:r w:rsidRPr="00DE2CF7">
        <w:rPr>
          <w:szCs w:val="22"/>
          <w:lang w:val="sr-Latn-ME"/>
        </w:rPr>
        <w:t xml:space="preserve">ULN = </w:t>
      </w:r>
      <w:r w:rsidR="00CF7C36" w:rsidRPr="00DE2CF7">
        <w:rPr>
          <w:szCs w:val="22"/>
          <w:lang w:val="sr-Latn-ME"/>
        </w:rPr>
        <w:t xml:space="preserve">engl. </w:t>
      </w:r>
      <w:r w:rsidRPr="00DE2CF7">
        <w:rPr>
          <w:i/>
          <w:szCs w:val="22"/>
          <w:lang w:val="sr-Latn-ME"/>
        </w:rPr>
        <w:t>Upper Limit of Normal</w:t>
      </w:r>
      <w:r w:rsidRPr="00DE2CF7">
        <w:rPr>
          <w:szCs w:val="22"/>
          <w:lang w:val="sr-Latn-ME"/>
        </w:rPr>
        <w:t xml:space="preserve"> (gornja granica normalne </w:t>
      </w:r>
      <w:r w:rsidR="002407A5" w:rsidRPr="00DE2CF7">
        <w:rPr>
          <w:szCs w:val="22"/>
          <w:lang w:val="sr-Latn-ME"/>
        </w:rPr>
        <w:t>vrijednost</w:t>
      </w:r>
      <w:r w:rsidRPr="00DE2CF7">
        <w:rPr>
          <w:szCs w:val="22"/>
          <w:lang w:val="sr-Latn-ME"/>
        </w:rPr>
        <w:t>i)</w:t>
      </w:r>
    </w:p>
    <w:p w14:paraId="65F82006" w14:textId="77777777" w:rsidR="000A1F07" w:rsidRPr="00DE2CF7" w:rsidRDefault="000A1F07" w:rsidP="00DE2CF7">
      <w:pPr>
        <w:rPr>
          <w:szCs w:val="22"/>
          <w:lang w:val="sr-Latn-ME"/>
        </w:rPr>
      </w:pPr>
    </w:p>
    <w:p w14:paraId="7AF185EE" w14:textId="77777777" w:rsidR="00982A63" w:rsidRPr="00DE2CF7" w:rsidRDefault="00982A63" w:rsidP="00DE2CF7">
      <w:pPr>
        <w:rPr>
          <w:szCs w:val="22"/>
          <w:u w:val="single"/>
          <w:lang w:val="sr-Latn-ME"/>
        </w:rPr>
      </w:pPr>
      <w:r w:rsidRPr="00DE2CF7">
        <w:rPr>
          <w:szCs w:val="22"/>
          <w:u w:val="single"/>
          <w:lang w:val="sr-Latn-ME"/>
        </w:rPr>
        <w:t>Koncentracija hemoglobina</w:t>
      </w:r>
    </w:p>
    <w:p w14:paraId="1EABF00D" w14:textId="77777777" w:rsidR="00982A63" w:rsidRPr="00DE2CF7" w:rsidRDefault="007453E0" w:rsidP="00DE2CF7">
      <w:pPr>
        <w:rPr>
          <w:szCs w:val="22"/>
          <w:lang w:val="sr-Latn-ME"/>
        </w:rPr>
      </w:pPr>
      <w:r w:rsidRPr="00DE2CF7">
        <w:rPr>
          <w:szCs w:val="22"/>
          <w:lang w:val="sr-Latn-ME"/>
        </w:rPr>
        <w:t>Liječenj</w:t>
      </w:r>
      <w:r w:rsidR="00982A63" w:rsidRPr="00DE2CF7">
        <w:rPr>
          <w:szCs w:val="22"/>
          <w:lang w:val="sr-Latn-ME"/>
        </w:rPr>
        <w:t>e bosentanom je bilo udruženo sa dozno-zavisnim smanjenjima koncentracije hemoglobina (</w:t>
      </w:r>
      <w:r w:rsidRPr="00DE2CF7">
        <w:rPr>
          <w:szCs w:val="22"/>
          <w:lang w:val="sr-Latn-ME"/>
        </w:rPr>
        <w:t>vidjeti</w:t>
      </w:r>
      <w:r w:rsidR="00982A63" w:rsidRPr="00DE2CF7">
        <w:rPr>
          <w:szCs w:val="22"/>
          <w:lang w:val="sr-Latn-ME"/>
        </w:rPr>
        <w:t xml:space="preserve"> </w:t>
      </w:r>
      <w:r w:rsidRPr="00DE2CF7">
        <w:rPr>
          <w:szCs w:val="22"/>
          <w:lang w:val="sr-Latn-ME"/>
        </w:rPr>
        <w:t>odjeljak</w:t>
      </w:r>
      <w:r w:rsidR="00982A63" w:rsidRPr="00DE2CF7">
        <w:rPr>
          <w:szCs w:val="22"/>
          <w:lang w:val="sr-Latn-ME"/>
        </w:rPr>
        <w:t xml:space="preserve"> 4.8). U placebom kontrolisanim studijama, smanjenja koncentracije hemoglobina povezana sa bosentanom nisu bila progresivna, i stabilizovala su se </w:t>
      </w:r>
      <w:r w:rsidR="0056231E" w:rsidRPr="00DE2CF7">
        <w:rPr>
          <w:szCs w:val="22"/>
          <w:lang w:val="sr-Latn-ME"/>
        </w:rPr>
        <w:t xml:space="preserve">nakon </w:t>
      </w:r>
      <w:r w:rsidR="00982A63" w:rsidRPr="00DE2CF7">
        <w:rPr>
          <w:szCs w:val="22"/>
          <w:lang w:val="sr-Latn-ME"/>
        </w:rPr>
        <w:t xml:space="preserve">4-12 </w:t>
      </w:r>
      <w:r w:rsidR="003E63C6" w:rsidRPr="00DE2CF7">
        <w:rPr>
          <w:szCs w:val="22"/>
          <w:lang w:val="sr-Latn-ME"/>
        </w:rPr>
        <w:t>nedjelja</w:t>
      </w:r>
      <w:r w:rsidR="00982A63" w:rsidRPr="00DE2CF7">
        <w:rPr>
          <w:szCs w:val="22"/>
          <w:lang w:val="sr-Latn-ME"/>
        </w:rPr>
        <w:t xml:space="preserve"> </w:t>
      </w:r>
      <w:r w:rsidRPr="00DE2CF7">
        <w:rPr>
          <w:szCs w:val="22"/>
          <w:lang w:val="sr-Latn-ME"/>
        </w:rPr>
        <w:t>liječenj</w:t>
      </w:r>
      <w:r w:rsidR="00982A63" w:rsidRPr="00DE2CF7">
        <w:rPr>
          <w:szCs w:val="22"/>
          <w:lang w:val="sr-Latn-ME"/>
        </w:rPr>
        <w:t>a. Preporučuje se prov</w:t>
      </w:r>
      <w:r w:rsidR="001B607B" w:rsidRPr="00DE2CF7">
        <w:rPr>
          <w:szCs w:val="22"/>
          <w:lang w:val="sr-Latn-ME"/>
        </w:rPr>
        <w:t>j</w:t>
      </w:r>
      <w:r w:rsidR="00982A63" w:rsidRPr="00DE2CF7">
        <w:rPr>
          <w:szCs w:val="22"/>
          <w:lang w:val="sr-Latn-ME"/>
        </w:rPr>
        <w:t>eravanje koncentracije hemoglobina</w:t>
      </w:r>
      <w:r w:rsidR="003E63C6" w:rsidRPr="00DE2CF7">
        <w:rPr>
          <w:szCs w:val="22"/>
          <w:lang w:val="sr-Latn-ME"/>
        </w:rPr>
        <w:t xml:space="preserve"> prije </w:t>
      </w:r>
      <w:r w:rsidR="00982A63" w:rsidRPr="00DE2CF7">
        <w:rPr>
          <w:szCs w:val="22"/>
          <w:lang w:val="sr-Latn-ME"/>
        </w:rPr>
        <w:t xml:space="preserve">početka </w:t>
      </w:r>
      <w:r w:rsidRPr="00DE2CF7">
        <w:rPr>
          <w:szCs w:val="22"/>
          <w:lang w:val="sr-Latn-ME"/>
        </w:rPr>
        <w:t>liječenj</w:t>
      </w:r>
      <w:r w:rsidR="00982A63" w:rsidRPr="00DE2CF7">
        <w:rPr>
          <w:szCs w:val="22"/>
          <w:lang w:val="sr-Latn-ME"/>
        </w:rPr>
        <w:t xml:space="preserve">a, svakog </w:t>
      </w:r>
      <w:r w:rsidR="003E63C6" w:rsidRPr="00DE2CF7">
        <w:rPr>
          <w:szCs w:val="22"/>
          <w:lang w:val="sr-Latn-ME"/>
        </w:rPr>
        <w:t>mjesec</w:t>
      </w:r>
      <w:r w:rsidR="00982A63" w:rsidRPr="00DE2CF7">
        <w:rPr>
          <w:szCs w:val="22"/>
          <w:lang w:val="sr-Latn-ME"/>
        </w:rPr>
        <w:t>a za</w:t>
      </w:r>
      <w:r w:rsidR="003E63C6" w:rsidRPr="00DE2CF7">
        <w:rPr>
          <w:szCs w:val="22"/>
          <w:lang w:val="sr-Latn-ME"/>
        </w:rPr>
        <w:t xml:space="preserve"> vrijeme </w:t>
      </w:r>
      <w:r w:rsidR="00982A63" w:rsidRPr="00DE2CF7">
        <w:rPr>
          <w:szCs w:val="22"/>
          <w:lang w:val="sr-Latn-ME"/>
        </w:rPr>
        <w:t xml:space="preserve">prva 4 </w:t>
      </w:r>
      <w:r w:rsidR="003E63C6" w:rsidRPr="00DE2CF7">
        <w:rPr>
          <w:szCs w:val="22"/>
          <w:lang w:val="sr-Latn-ME"/>
        </w:rPr>
        <w:t>mjesec</w:t>
      </w:r>
      <w:r w:rsidR="00982A63" w:rsidRPr="00DE2CF7">
        <w:rPr>
          <w:szCs w:val="22"/>
          <w:lang w:val="sr-Latn-ME"/>
        </w:rPr>
        <w:t xml:space="preserve">a i zatim kvartalno. Ako se javi klinički značajno smanjenje u koncentraciji hemoglobina, dalja </w:t>
      </w:r>
      <w:r w:rsidR="003E63C6" w:rsidRPr="00DE2CF7">
        <w:rPr>
          <w:szCs w:val="22"/>
          <w:lang w:val="sr-Latn-ME"/>
        </w:rPr>
        <w:t>procjen</w:t>
      </w:r>
      <w:r w:rsidR="00982A63" w:rsidRPr="00DE2CF7">
        <w:rPr>
          <w:szCs w:val="22"/>
          <w:lang w:val="sr-Latn-ME"/>
        </w:rPr>
        <w:t xml:space="preserve">a i ispitivanje treba preduzeti da se odredi uzrok i potreba za specifičnim </w:t>
      </w:r>
      <w:r w:rsidRPr="00DE2CF7">
        <w:rPr>
          <w:szCs w:val="22"/>
          <w:lang w:val="sr-Latn-ME"/>
        </w:rPr>
        <w:t>liječenj</w:t>
      </w:r>
      <w:r w:rsidR="00982A63" w:rsidRPr="00DE2CF7">
        <w:rPr>
          <w:szCs w:val="22"/>
          <w:lang w:val="sr-Latn-ME"/>
        </w:rPr>
        <w:t>em. U postmarketinškom periodu, bili su prijavljeni slučajevi anemije koji su zaht</w:t>
      </w:r>
      <w:r w:rsidR="001B607B" w:rsidRPr="00DE2CF7">
        <w:rPr>
          <w:szCs w:val="22"/>
          <w:lang w:val="sr-Latn-ME"/>
        </w:rPr>
        <w:t>ij</w:t>
      </w:r>
      <w:r w:rsidR="00982A63" w:rsidRPr="00DE2CF7">
        <w:rPr>
          <w:szCs w:val="22"/>
          <w:lang w:val="sr-Latn-ME"/>
        </w:rPr>
        <w:t>evali transfuziju eritrocita (</w:t>
      </w:r>
      <w:r w:rsidRPr="00DE2CF7">
        <w:rPr>
          <w:szCs w:val="22"/>
          <w:lang w:val="sr-Latn-ME"/>
        </w:rPr>
        <w:t>vidjeti</w:t>
      </w:r>
      <w:r w:rsidR="00982A63" w:rsidRPr="00DE2CF7">
        <w:rPr>
          <w:szCs w:val="22"/>
          <w:lang w:val="sr-Latn-ME"/>
        </w:rPr>
        <w:t xml:space="preserve"> </w:t>
      </w:r>
      <w:r w:rsidRPr="00DE2CF7">
        <w:rPr>
          <w:szCs w:val="22"/>
          <w:lang w:val="sr-Latn-ME"/>
        </w:rPr>
        <w:t>odjeljak</w:t>
      </w:r>
      <w:r w:rsidR="00982A63" w:rsidRPr="00DE2CF7">
        <w:rPr>
          <w:szCs w:val="22"/>
          <w:lang w:val="sr-Latn-ME"/>
        </w:rPr>
        <w:t xml:space="preserve"> 4.8).</w:t>
      </w:r>
    </w:p>
    <w:p w14:paraId="4524EE7A" w14:textId="77777777" w:rsidR="000A1F07" w:rsidRPr="00DE2CF7" w:rsidRDefault="000A1F07" w:rsidP="00DE2CF7">
      <w:pPr>
        <w:rPr>
          <w:szCs w:val="22"/>
          <w:lang w:val="sr-Latn-ME"/>
        </w:rPr>
      </w:pPr>
    </w:p>
    <w:p w14:paraId="34DD8A4C" w14:textId="77777777" w:rsidR="00982A63" w:rsidRPr="00DE2CF7" w:rsidRDefault="00982A63" w:rsidP="00DE2CF7">
      <w:pPr>
        <w:rPr>
          <w:szCs w:val="22"/>
          <w:u w:val="single"/>
          <w:lang w:val="sr-Latn-ME"/>
        </w:rPr>
      </w:pPr>
      <w:r w:rsidRPr="00DE2CF7">
        <w:rPr>
          <w:szCs w:val="22"/>
          <w:u w:val="single"/>
          <w:lang w:val="sr-Latn-ME"/>
        </w:rPr>
        <w:lastRenderedPageBreak/>
        <w:t>Žene u reproduktivnom periodu</w:t>
      </w:r>
    </w:p>
    <w:p w14:paraId="320F667E" w14:textId="77777777" w:rsidR="00982A63" w:rsidRPr="00DE2CF7" w:rsidRDefault="00982A63" w:rsidP="00DE2CF7">
      <w:pPr>
        <w:rPr>
          <w:szCs w:val="22"/>
          <w:lang w:val="sr-Latn-ME"/>
        </w:rPr>
      </w:pPr>
      <w:r w:rsidRPr="00DE2CF7">
        <w:rPr>
          <w:szCs w:val="22"/>
          <w:lang w:val="sr-Latn-ME"/>
        </w:rPr>
        <w:t>Pošto l</w:t>
      </w:r>
      <w:r w:rsidR="00B30BB4" w:rsidRPr="00DE2CF7">
        <w:rPr>
          <w:szCs w:val="22"/>
          <w:lang w:val="sr-Latn-ME"/>
        </w:rPr>
        <w:t>ij</w:t>
      </w:r>
      <w:r w:rsidRPr="00DE2CF7">
        <w:rPr>
          <w:szCs w:val="22"/>
          <w:lang w:val="sr-Latn-ME"/>
        </w:rPr>
        <w:t xml:space="preserve">ek </w:t>
      </w:r>
      <w:r w:rsidR="005F1D1B" w:rsidRPr="00DE2CF7">
        <w:rPr>
          <w:szCs w:val="22"/>
          <w:lang w:val="sr-Latn-ME"/>
        </w:rPr>
        <w:t xml:space="preserve">Bosentan Pharmascience </w:t>
      </w:r>
      <w:r w:rsidRPr="00DE2CF7">
        <w:rPr>
          <w:szCs w:val="22"/>
          <w:lang w:val="sr-Latn-ME"/>
        </w:rPr>
        <w:t xml:space="preserve">može </w:t>
      </w:r>
      <w:r w:rsidR="001B607B" w:rsidRPr="00DE2CF7">
        <w:rPr>
          <w:szCs w:val="22"/>
          <w:lang w:val="sr-Latn-ME"/>
        </w:rPr>
        <w:t xml:space="preserve">da </w:t>
      </w:r>
      <w:r w:rsidR="005E0C10" w:rsidRPr="00DE2CF7">
        <w:rPr>
          <w:szCs w:val="22"/>
          <w:lang w:val="sr-Latn-ME"/>
        </w:rPr>
        <w:t xml:space="preserve">smanji </w:t>
      </w:r>
      <w:r w:rsidR="007C26FA" w:rsidRPr="00DE2CF7">
        <w:rPr>
          <w:szCs w:val="22"/>
          <w:lang w:val="sr-Latn-ME"/>
        </w:rPr>
        <w:t>efikasnost hormonskih</w:t>
      </w:r>
      <w:r w:rsidRPr="00DE2CF7">
        <w:rPr>
          <w:szCs w:val="22"/>
          <w:lang w:val="sr-Latn-ME"/>
        </w:rPr>
        <w:t xml:space="preserve"> kontraceptiv</w:t>
      </w:r>
      <w:r w:rsidR="005F1D1B" w:rsidRPr="00DE2CF7">
        <w:rPr>
          <w:szCs w:val="22"/>
          <w:lang w:val="sr-Latn-ME"/>
        </w:rPr>
        <w:t>a</w:t>
      </w:r>
      <w:r w:rsidRPr="00DE2CF7">
        <w:rPr>
          <w:szCs w:val="22"/>
          <w:lang w:val="sr-Latn-ME"/>
        </w:rPr>
        <w:t xml:space="preserve">, a uzimajući u obzir rizik </w:t>
      </w:r>
      <w:r w:rsidR="005E0C10" w:rsidRPr="00DE2CF7">
        <w:rPr>
          <w:szCs w:val="22"/>
          <w:lang w:val="sr-Latn-ME"/>
        </w:rPr>
        <w:t>od pogoršanja</w:t>
      </w:r>
      <w:r w:rsidRPr="00DE2CF7">
        <w:rPr>
          <w:szCs w:val="22"/>
          <w:lang w:val="sr-Latn-ME"/>
        </w:rPr>
        <w:t xml:space="preserve"> plućn</w:t>
      </w:r>
      <w:r w:rsidR="005E0C10" w:rsidRPr="00DE2CF7">
        <w:rPr>
          <w:szCs w:val="22"/>
          <w:lang w:val="sr-Latn-ME"/>
        </w:rPr>
        <w:t>e</w:t>
      </w:r>
      <w:r w:rsidRPr="00DE2CF7">
        <w:rPr>
          <w:szCs w:val="22"/>
          <w:lang w:val="sr-Latn-ME"/>
        </w:rPr>
        <w:t xml:space="preserve"> </w:t>
      </w:r>
      <w:r w:rsidR="005E0C10" w:rsidRPr="00DE2CF7">
        <w:rPr>
          <w:szCs w:val="22"/>
          <w:lang w:val="sr-Latn-ME"/>
        </w:rPr>
        <w:t xml:space="preserve">hipertenzije </w:t>
      </w:r>
      <w:r w:rsidRPr="00DE2CF7">
        <w:rPr>
          <w:szCs w:val="22"/>
          <w:lang w:val="sr-Latn-ME"/>
        </w:rPr>
        <w:t>u trudnoći, kao i teratogene efekte prim</w:t>
      </w:r>
      <w:r w:rsidR="001B607B" w:rsidRPr="00DE2CF7">
        <w:rPr>
          <w:szCs w:val="22"/>
          <w:lang w:val="sr-Latn-ME"/>
        </w:rPr>
        <w:t>i</w:t>
      </w:r>
      <w:r w:rsidR="006E200E" w:rsidRPr="00DE2CF7">
        <w:rPr>
          <w:szCs w:val="22"/>
          <w:lang w:val="sr-Latn-ME"/>
        </w:rPr>
        <w:t>j</w:t>
      </w:r>
      <w:r w:rsidRPr="00DE2CF7">
        <w:rPr>
          <w:szCs w:val="22"/>
          <w:lang w:val="sr-Latn-ME"/>
        </w:rPr>
        <w:t>ećene kod životinja:</w:t>
      </w:r>
    </w:p>
    <w:p w14:paraId="13DBC44C" w14:textId="77777777" w:rsidR="000A1F07" w:rsidRPr="00DE2CF7" w:rsidRDefault="007453E0" w:rsidP="00DE2CF7">
      <w:pPr>
        <w:pStyle w:val="ListParagraph"/>
        <w:numPr>
          <w:ilvl w:val="0"/>
          <w:numId w:val="36"/>
        </w:numPr>
        <w:rPr>
          <w:szCs w:val="22"/>
          <w:lang w:val="sr-Latn-ME"/>
        </w:rPr>
      </w:pPr>
      <w:r w:rsidRPr="00DE2CF7">
        <w:rPr>
          <w:szCs w:val="22"/>
          <w:lang w:val="sr-Latn-ME"/>
        </w:rPr>
        <w:t>Liječenj</w:t>
      </w:r>
      <w:r w:rsidR="00982A63" w:rsidRPr="00DE2CF7">
        <w:rPr>
          <w:szCs w:val="22"/>
          <w:lang w:val="sr-Latn-ME"/>
        </w:rPr>
        <w:t>e</w:t>
      </w:r>
      <w:r w:rsidR="000A1F07" w:rsidRPr="00DE2CF7">
        <w:rPr>
          <w:szCs w:val="22"/>
          <w:lang w:val="sr-Latn-ME"/>
        </w:rPr>
        <w:t xml:space="preserve"> </w:t>
      </w:r>
      <w:r w:rsidR="00823F72" w:rsidRPr="00DE2CF7">
        <w:rPr>
          <w:szCs w:val="22"/>
          <w:lang w:val="sr-Latn-ME"/>
        </w:rPr>
        <w:t>lijek</w:t>
      </w:r>
      <w:r w:rsidR="000A1F07" w:rsidRPr="00DE2CF7">
        <w:rPr>
          <w:szCs w:val="22"/>
          <w:lang w:val="sr-Latn-ME"/>
        </w:rPr>
        <w:t xml:space="preserve">om </w:t>
      </w:r>
      <w:r w:rsidR="00882DCE" w:rsidRPr="00DE2CF7">
        <w:rPr>
          <w:szCs w:val="22"/>
          <w:lang w:val="sr-Latn-ME"/>
        </w:rPr>
        <w:t>B</w:t>
      </w:r>
      <w:r w:rsidR="000A1F07" w:rsidRPr="00DE2CF7">
        <w:rPr>
          <w:szCs w:val="22"/>
          <w:lang w:val="sr-Latn-ME"/>
        </w:rPr>
        <w:t>osentan</w:t>
      </w:r>
      <w:r w:rsidR="00982A63" w:rsidRPr="00DE2CF7">
        <w:rPr>
          <w:szCs w:val="22"/>
          <w:lang w:val="sr-Latn-ME"/>
        </w:rPr>
        <w:t xml:space="preserve"> </w:t>
      </w:r>
      <w:r w:rsidR="00882DCE" w:rsidRPr="00DE2CF7">
        <w:rPr>
          <w:szCs w:val="22"/>
          <w:lang w:val="sr-Latn-ME"/>
        </w:rPr>
        <w:t xml:space="preserve">Pharmascience </w:t>
      </w:r>
      <w:r w:rsidR="005E0C10" w:rsidRPr="00DE2CF7">
        <w:rPr>
          <w:szCs w:val="22"/>
          <w:lang w:val="sr-Latn-ME"/>
        </w:rPr>
        <w:t xml:space="preserve">se </w:t>
      </w:r>
      <w:r w:rsidR="00982A63" w:rsidRPr="00DE2CF7">
        <w:rPr>
          <w:szCs w:val="22"/>
          <w:lang w:val="sr-Latn-ME"/>
        </w:rPr>
        <w:t xml:space="preserve">ne </w:t>
      </w:r>
      <w:r w:rsidR="007C26FA" w:rsidRPr="00DE2CF7">
        <w:rPr>
          <w:szCs w:val="22"/>
          <w:lang w:val="sr-Latn-ME"/>
        </w:rPr>
        <w:t>smije započeti</w:t>
      </w:r>
      <w:r w:rsidR="00982A63" w:rsidRPr="00DE2CF7">
        <w:rPr>
          <w:szCs w:val="22"/>
          <w:lang w:val="sr-Latn-ME"/>
        </w:rPr>
        <w:t xml:space="preserve"> kod žena u reproduktivnom periodu</w:t>
      </w:r>
      <w:r w:rsidR="001B607B" w:rsidRPr="00DE2CF7">
        <w:rPr>
          <w:szCs w:val="22"/>
          <w:lang w:val="sr-Latn-ME"/>
        </w:rPr>
        <w:t xml:space="preserve"> </w:t>
      </w:r>
      <w:r w:rsidR="00982A63" w:rsidRPr="00DE2CF7">
        <w:rPr>
          <w:szCs w:val="22"/>
          <w:lang w:val="sr-Latn-ME"/>
        </w:rPr>
        <w:t xml:space="preserve">osim ako ne praktikuju upotrebu pouzdane </w:t>
      </w:r>
      <w:r w:rsidR="00882DCE" w:rsidRPr="00DE2CF7">
        <w:rPr>
          <w:szCs w:val="22"/>
          <w:lang w:val="sr-Latn-ME"/>
        </w:rPr>
        <w:t xml:space="preserve">metode </w:t>
      </w:r>
      <w:r w:rsidR="00982A63" w:rsidRPr="00DE2CF7">
        <w:rPr>
          <w:szCs w:val="22"/>
          <w:lang w:val="sr-Latn-ME"/>
        </w:rPr>
        <w:t xml:space="preserve">kontracepcije </w:t>
      </w:r>
      <w:r w:rsidR="00882DCE" w:rsidRPr="00DE2CF7">
        <w:rPr>
          <w:szCs w:val="22"/>
          <w:lang w:val="sr-Latn-ME"/>
        </w:rPr>
        <w:t>i ako</w:t>
      </w:r>
      <w:r w:rsidR="00982A63" w:rsidRPr="00DE2CF7">
        <w:rPr>
          <w:szCs w:val="22"/>
          <w:lang w:val="sr-Latn-ME"/>
        </w:rPr>
        <w:t xml:space="preserve"> rezultat testa na trudnoću</w:t>
      </w:r>
      <w:r w:rsidR="003E63C6" w:rsidRPr="00DE2CF7">
        <w:rPr>
          <w:szCs w:val="22"/>
          <w:lang w:val="sr-Latn-ME"/>
        </w:rPr>
        <w:t xml:space="preserve"> prije </w:t>
      </w:r>
      <w:r w:rsidR="00982A63" w:rsidRPr="00DE2CF7">
        <w:rPr>
          <w:szCs w:val="22"/>
          <w:lang w:val="sr-Latn-ME"/>
        </w:rPr>
        <w:t xml:space="preserve">početka </w:t>
      </w:r>
      <w:r w:rsidRPr="00DE2CF7">
        <w:rPr>
          <w:szCs w:val="22"/>
          <w:lang w:val="sr-Latn-ME"/>
        </w:rPr>
        <w:t>liječenj</w:t>
      </w:r>
      <w:r w:rsidR="00982A63" w:rsidRPr="00DE2CF7">
        <w:rPr>
          <w:szCs w:val="22"/>
          <w:lang w:val="sr-Latn-ME"/>
        </w:rPr>
        <w:t xml:space="preserve">a </w:t>
      </w:r>
      <w:r w:rsidR="00882DCE" w:rsidRPr="00DE2CF7">
        <w:rPr>
          <w:szCs w:val="22"/>
          <w:lang w:val="sr-Latn-ME"/>
        </w:rPr>
        <w:t>nije negativan</w:t>
      </w:r>
      <w:r w:rsidR="001B607B" w:rsidRPr="00DE2CF7">
        <w:rPr>
          <w:szCs w:val="22"/>
          <w:lang w:val="sr-Latn-ME"/>
        </w:rPr>
        <w:t>.</w:t>
      </w:r>
    </w:p>
    <w:p w14:paraId="710646E3" w14:textId="77777777" w:rsidR="000A1F07" w:rsidRPr="00DE2CF7" w:rsidRDefault="00982A63" w:rsidP="00DE2CF7">
      <w:pPr>
        <w:pStyle w:val="ListParagraph"/>
        <w:numPr>
          <w:ilvl w:val="0"/>
          <w:numId w:val="36"/>
        </w:numPr>
        <w:rPr>
          <w:szCs w:val="22"/>
          <w:lang w:val="sr-Latn-ME"/>
        </w:rPr>
      </w:pPr>
      <w:r w:rsidRPr="00DE2CF7">
        <w:rPr>
          <w:szCs w:val="22"/>
          <w:lang w:val="sr-Latn-ME"/>
        </w:rPr>
        <w:t xml:space="preserve">Hormonski kontraceptivi ne mogu biti jedina metoda kontracepcije tokom </w:t>
      </w:r>
      <w:r w:rsidR="007453E0" w:rsidRPr="00DE2CF7">
        <w:rPr>
          <w:szCs w:val="22"/>
          <w:lang w:val="sr-Latn-ME"/>
        </w:rPr>
        <w:t>liječenj</w:t>
      </w:r>
      <w:r w:rsidRPr="00DE2CF7">
        <w:rPr>
          <w:szCs w:val="22"/>
          <w:lang w:val="sr-Latn-ME"/>
        </w:rPr>
        <w:t>a l</w:t>
      </w:r>
      <w:r w:rsidR="00B30BB4" w:rsidRPr="00DE2CF7">
        <w:rPr>
          <w:szCs w:val="22"/>
          <w:lang w:val="sr-Latn-ME"/>
        </w:rPr>
        <w:t>ij</w:t>
      </w:r>
      <w:r w:rsidRPr="00DE2CF7">
        <w:rPr>
          <w:szCs w:val="22"/>
          <w:lang w:val="sr-Latn-ME"/>
        </w:rPr>
        <w:t xml:space="preserve">ekom </w:t>
      </w:r>
      <w:r w:rsidR="00882DCE" w:rsidRPr="00DE2CF7">
        <w:rPr>
          <w:szCs w:val="22"/>
          <w:lang w:val="sr-Latn-ME"/>
        </w:rPr>
        <w:t>B</w:t>
      </w:r>
      <w:r w:rsidR="007D44F3" w:rsidRPr="00DE2CF7">
        <w:rPr>
          <w:szCs w:val="22"/>
          <w:lang w:val="sr-Latn-ME"/>
        </w:rPr>
        <w:t>osentan</w:t>
      </w:r>
      <w:r w:rsidR="00882DCE" w:rsidRPr="00DE2CF7">
        <w:rPr>
          <w:szCs w:val="22"/>
          <w:lang w:val="sr-Latn-ME"/>
        </w:rPr>
        <w:t xml:space="preserve"> Pharmascience</w:t>
      </w:r>
      <w:r w:rsidR="001B607B" w:rsidRPr="00DE2CF7">
        <w:rPr>
          <w:szCs w:val="22"/>
          <w:lang w:val="sr-Latn-ME"/>
        </w:rPr>
        <w:t>.</w:t>
      </w:r>
    </w:p>
    <w:p w14:paraId="18DA63E9" w14:textId="77777777" w:rsidR="000A1F07" w:rsidRPr="00DE2CF7" w:rsidRDefault="00B30BB4" w:rsidP="00DE2CF7">
      <w:pPr>
        <w:pStyle w:val="ListParagraph"/>
        <w:numPr>
          <w:ilvl w:val="0"/>
          <w:numId w:val="36"/>
        </w:numPr>
        <w:rPr>
          <w:szCs w:val="22"/>
          <w:lang w:val="sr-Latn-ME"/>
        </w:rPr>
      </w:pPr>
      <w:r w:rsidRPr="00DE2CF7">
        <w:rPr>
          <w:szCs w:val="22"/>
          <w:lang w:val="sr-Latn-ME"/>
        </w:rPr>
        <w:t>P</w:t>
      </w:r>
      <w:r w:rsidR="0090133B" w:rsidRPr="00DE2CF7">
        <w:rPr>
          <w:szCs w:val="22"/>
          <w:lang w:val="sr-Latn-ME"/>
        </w:rPr>
        <w:t>reporučuj</w:t>
      </w:r>
      <w:r w:rsidR="00882DCE" w:rsidRPr="00DE2CF7">
        <w:rPr>
          <w:szCs w:val="22"/>
          <w:lang w:val="sr-Latn-ME"/>
        </w:rPr>
        <w:t xml:space="preserve">e se testiranje na trudnoću </w:t>
      </w:r>
      <w:r w:rsidR="00861750" w:rsidRPr="00DE2CF7">
        <w:rPr>
          <w:szCs w:val="22"/>
          <w:lang w:val="sr-Latn-ME"/>
        </w:rPr>
        <w:t xml:space="preserve">tokom liječenja kako bi se </w:t>
      </w:r>
      <w:r w:rsidR="007C26FA" w:rsidRPr="00DE2CF7">
        <w:rPr>
          <w:szCs w:val="22"/>
          <w:lang w:val="sr-Latn-ME"/>
        </w:rPr>
        <w:t>trudnoća rano</w:t>
      </w:r>
      <w:r w:rsidR="0090133B" w:rsidRPr="00DE2CF7">
        <w:rPr>
          <w:szCs w:val="22"/>
          <w:lang w:val="sr-Latn-ME"/>
        </w:rPr>
        <w:t xml:space="preserve"> otkri</w:t>
      </w:r>
      <w:r w:rsidR="00861750" w:rsidRPr="00DE2CF7">
        <w:rPr>
          <w:szCs w:val="22"/>
          <w:lang w:val="sr-Latn-ME"/>
        </w:rPr>
        <w:t>la.</w:t>
      </w:r>
    </w:p>
    <w:p w14:paraId="0D37956C" w14:textId="77777777" w:rsidR="001B607B" w:rsidRPr="00DE2CF7" w:rsidRDefault="001B607B" w:rsidP="00DE2CF7">
      <w:pPr>
        <w:rPr>
          <w:szCs w:val="22"/>
          <w:lang w:val="sr-Latn-ME"/>
        </w:rPr>
      </w:pPr>
    </w:p>
    <w:p w14:paraId="286C176B" w14:textId="77777777" w:rsidR="0090133B" w:rsidRPr="00DE2CF7" w:rsidRDefault="0090133B" w:rsidP="00DE2CF7">
      <w:pPr>
        <w:rPr>
          <w:szCs w:val="22"/>
          <w:lang w:val="sr-Latn-ME"/>
        </w:rPr>
      </w:pPr>
      <w:r w:rsidRPr="00DE2CF7">
        <w:rPr>
          <w:szCs w:val="22"/>
          <w:lang w:val="sr-Latn-ME"/>
        </w:rPr>
        <w:t xml:space="preserve">Za više informacija, </w:t>
      </w:r>
      <w:r w:rsidR="007453E0" w:rsidRPr="00DE2CF7">
        <w:rPr>
          <w:szCs w:val="22"/>
          <w:lang w:val="sr-Latn-ME"/>
        </w:rPr>
        <w:t>vidjeti</w:t>
      </w:r>
      <w:r w:rsidRPr="00DE2CF7">
        <w:rPr>
          <w:szCs w:val="22"/>
          <w:lang w:val="sr-Latn-ME"/>
        </w:rPr>
        <w:t xml:space="preserve"> od</w:t>
      </w:r>
      <w:r w:rsidR="001B607B" w:rsidRPr="00DE2CF7">
        <w:rPr>
          <w:szCs w:val="22"/>
          <w:lang w:val="sr-Latn-ME"/>
        </w:rPr>
        <w:t>j</w:t>
      </w:r>
      <w:r w:rsidRPr="00DE2CF7">
        <w:rPr>
          <w:szCs w:val="22"/>
          <w:lang w:val="sr-Latn-ME"/>
        </w:rPr>
        <w:t xml:space="preserve">eljke 4.5 i 4.6. </w:t>
      </w:r>
    </w:p>
    <w:p w14:paraId="55CB2CC6" w14:textId="77777777" w:rsidR="000A1F07" w:rsidRPr="00DE2CF7" w:rsidRDefault="000A1F07" w:rsidP="00DE2CF7">
      <w:pPr>
        <w:rPr>
          <w:szCs w:val="22"/>
          <w:lang w:val="sr-Latn-ME"/>
        </w:rPr>
      </w:pPr>
    </w:p>
    <w:p w14:paraId="6E819E04" w14:textId="77777777" w:rsidR="0090133B" w:rsidRPr="00DE2CF7" w:rsidRDefault="0090133B" w:rsidP="00DE2CF7">
      <w:pPr>
        <w:rPr>
          <w:szCs w:val="22"/>
          <w:u w:val="single"/>
          <w:lang w:val="sr-Latn-ME"/>
        </w:rPr>
      </w:pPr>
      <w:r w:rsidRPr="00DE2CF7">
        <w:rPr>
          <w:szCs w:val="22"/>
          <w:u w:val="single"/>
          <w:lang w:val="sr-Latn-ME"/>
        </w:rPr>
        <w:t>Okluzivna bolest plućnih vena</w:t>
      </w:r>
    </w:p>
    <w:p w14:paraId="7D97E37B" w14:textId="77777777" w:rsidR="005C2DDF" w:rsidRPr="00DE2CF7" w:rsidRDefault="005C2DDF" w:rsidP="00DE2CF7">
      <w:pPr>
        <w:rPr>
          <w:szCs w:val="22"/>
          <w:u w:val="single"/>
          <w:lang w:val="sr-Latn-ME"/>
        </w:rPr>
      </w:pPr>
    </w:p>
    <w:p w14:paraId="46FED268" w14:textId="77777777" w:rsidR="0090133B" w:rsidRPr="00DE2CF7" w:rsidRDefault="0090133B" w:rsidP="00DE2CF7">
      <w:pPr>
        <w:rPr>
          <w:szCs w:val="22"/>
          <w:lang w:val="sr-Latn-ME"/>
        </w:rPr>
      </w:pPr>
      <w:r w:rsidRPr="00DE2CF7">
        <w:rPr>
          <w:szCs w:val="22"/>
          <w:lang w:val="sr-Latn-ME"/>
        </w:rPr>
        <w:t>Slučajevi plućn</w:t>
      </w:r>
      <w:r w:rsidR="005C2DDF" w:rsidRPr="00DE2CF7">
        <w:rPr>
          <w:szCs w:val="22"/>
          <w:lang w:val="sr-Latn-ME"/>
        </w:rPr>
        <w:t xml:space="preserve">og edema su bili prijavljeni kod primjene </w:t>
      </w:r>
      <w:r w:rsidRPr="00DE2CF7">
        <w:rPr>
          <w:szCs w:val="22"/>
          <w:lang w:val="sr-Latn-ME"/>
        </w:rPr>
        <w:t>vazodilatator</w:t>
      </w:r>
      <w:r w:rsidR="005C2DDF" w:rsidRPr="00DE2CF7">
        <w:rPr>
          <w:szCs w:val="22"/>
          <w:lang w:val="sr-Latn-ME"/>
        </w:rPr>
        <w:t>a (uglavnom prostacik</w:t>
      </w:r>
      <w:r w:rsidR="004909BD" w:rsidRPr="00DE2CF7">
        <w:rPr>
          <w:szCs w:val="22"/>
          <w:lang w:val="sr-Latn-ME"/>
        </w:rPr>
        <w:t>lina</w:t>
      </w:r>
      <w:r w:rsidR="005C2DDF" w:rsidRPr="00DE2CF7">
        <w:rPr>
          <w:szCs w:val="22"/>
          <w:lang w:val="sr-Latn-ME"/>
        </w:rPr>
        <w:t>)</w:t>
      </w:r>
      <w:r w:rsidRPr="00DE2CF7">
        <w:rPr>
          <w:szCs w:val="22"/>
          <w:lang w:val="sr-Latn-ME"/>
        </w:rPr>
        <w:t xml:space="preserve"> kod pacijenata sa okluzivnom bolešću plućnih vena. Zato, ukoliko se</w:t>
      </w:r>
      <w:r w:rsidR="005C2DDF" w:rsidRPr="00DE2CF7">
        <w:rPr>
          <w:szCs w:val="22"/>
          <w:lang w:val="sr-Latn-ME"/>
        </w:rPr>
        <w:t xml:space="preserve"> pojave znakovi plućnog </w:t>
      </w:r>
      <w:r w:rsidR="007C26FA" w:rsidRPr="00DE2CF7">
        <w:rPr>
          <w:szCs w:val="22"/>
          <w:lang w:val="sr-Latn-ME"/>
        </w:rPr>
        <w:t>edema kod</w:t>
      </w:r>
      <w:r w:rsidR="005C2DDF" w:rsidRPr="00DE2CF7">
        <w:rPr>
          <w:szCs w:val="22"/>
          <w:lang w:val="sr-Latn-ME"/>
        </w:rPr>
        <w:t xml:space="preserve"> primjene lijeka Bosentan </w:t>
      </w:r>
      <w:r w:rsidR="007C26FA" w:rsidRPr="00DE2CF7">
        <w:rPr>
          <w:szCs w:val="22"/>
          <w:lang w:val="sr-Latn-ME"/>
        </w:rPr>
        <w:t>Pharmascience kod</w:t>
      </w:r>
      <w:r w:rsidRPr="00DE2CF7">
        <w:rPr>
          <w:szCs w:val="22"/>
          <w:lang w:val="sr-Latn-ME"/>
        </w:rPr>
        <w:t xml:space="preserve"> pacijenata sa PAH-om, mogućnost udružene okluzivne bolesti vena treba razmotriti. U postmarketinškom periodu</w:t>
      </w:r>
      <w:r w:rsidR="001B607B" w:rsidRPr="00DE2CF7">
        <w:rPr>
          <w:szCs w:val="22"/>
          <w:lang w:val="sr-Latn-ME"/>
        </w:rPr>
        <w:t>,</w:t>
      </w:r>
      <w:r w:rsidRPr="00DE2CF7">
        <w:rPr>
          <w:szCs w:val="22"/>
          <w:lang w:val="sr-Latn-ME"/>
        </w:rPr>
        <w:t xml:space="preserve"> r</w:t>
      </w:r>
      <w:r w:rsidR="005C2DDF" w:rsidRPr="00DE2CF7">
        <w:rPr>
          <w:szCs w:val="22"/>
          <w:lang w:val="sr-Latn-ME"/>
        </w:rPr>
        <w:t>ij</w:t>
      </w:r>
      <w:r w:rsidRPr="00DE2CF7">
        <w:rPr>
          <w:szCs w:val="22"/>
          <w:lang w:val="sr-Latn-ME"/>
        </w:rPr>
        <w:t>etk</w:t>
      </w:r>
      <w:r w:rsidR="005C2DDF" w:rsidRPr="00DE2CF7">
        <w:rPr>
          <w:szCs w:val="22"/>
          <w:lang w:val="sr-Latn-ME"/>
        </w:rPr>
        <w:t>o su zabilježeni</w:t>
      </w:r>
      <w:r w:rsidRPr="00DE2CF7">
        <w:rPr>
          <w:szCs w:val="22"/>
          <w:lang w:val="sr-Latn-ME"/>
        </w:rPr>
        <w:t xml:space="preserve"> </w:t>
      </w:r>
      <w:r w:rsidR="001B496F" w:rsidRPr="00DE2CF7">
        <w:rPr>
          <w:szCs w:val="22"/>
          <w:lang w:val="sr-Latn-ME"/>
        </w:rPr>
        <w:t>slučajevi plućnog</w:t>
      </w:r>
      <w:r w:rsidRPr="00DE2CF7">
        <w:rPr>
          <w:szCs w:val="22"/>
          <w:lang w:val="sr-Latn-ME"/>
        </w:rPr>
        <w:t xml:space="preserve"> edema kod pacijenata l</w:t>
      </w:r>
      <w:r w:rsidR="005C2DDF" w:rsidRPr="00DE2CF7">
        <w:rPr>
          <w:szCs w:val="22"/>
          <w:lang w:val="sr-Latn-ME"/>
        </w:rPr>
        <w:t>ij</w:t>
      </w:r>
      <w:r w:rsidRPr="00DE2CF7">
        <w:rPr>
          <w:szCs w:val="22"/>
          <w:lang w:val="sr-Latn-ME"/>
        </w:rPr>
        <w:t>ečenih</w:t>
      </w:r>
      <w:r w:rsidR="004909BD" w:rsidRPr="00DE2CF7">
        <w:rPr>
          <w:szCs w:val="22"/>
          <w:lang w:val="sr-Latn-ME"/>
        </w:rPr>
        <w:t xml:space="preserve"> lijekom</w:t>
      </w:r>
      <w:r w:rsidRPr="00DE2CF7">
        <w:rPr>
          <w:szCs w:val="22"/>
          <w:lang w:val="sr-Latn-ME"/>
        </w:rPr>
        <w:t xml:space="preserve"> </w:t>
      </w:r>
      <w:r w:rsidR="004909BD" w:rsidRPr="00DE2CF7">
        <w:rPr>
          <w:szCs w:val="22"/>
          <w:lang w:val="sr-Latn-ME"/>
        </w:rPr>
        <w:t>B</w:t>
      </w:r>
      <w:r w:rsidRPr="00DE2CF7">
        <w:rPr>
          <w:szCs w:val="22"/>
          <w:lang w:val="sr-Latn-ME"/>
        </w:rPr>
        <w:t>osentan</w:t>
      </w:r>
      <w:r w:rsidR="004909BD" w:rsidRPr="00DE2CF7">
        <w:rPr>
          <w:szCs w:val="22"/>
          <w:lang w:val="sr-Latn-ME"/>
        </w:rPr>
        <w:t xml:space="preserve"> Pharmascience</w:t>
      </w:r>
      <w:r w:rsidRPr="00DE2CF7">
        <w:rPr>
          <w:szCs w:val="22"/>
          <w:lang w:val="sr-Latn-ME"/>
        </w:rPr>
        <w:t xml:space="preserve">, </w:t>
      </w:r>
      <w:r w:rsidR="001B607B" w:rsidRPr="00DE2CF7">
        <w:rPr>
          <w:szCs w:val="22"/>
          <w:lang w:val="sr-Latn-ME"/>
        </w:rPr>
        <w:t xml:space="preserve">i </w:t>
      </w:r>
      <w:r w:rsidRPr="00DE2CF7">
        <w:rPr>
          <w:szCs w:val="22"/>
          <w:lang w:val="sr-Latn-ME"/>
        </w:rPr>
        <w:t>kod kojih je postojala sumnja na dijagnozu okluzivne bolesti plućnih vena.</w:t>
      </w:r>
    </w:p>
    <w:p w14:paraId="38DAA8D6" w14:textId="77777777" w:rsidR="007D44F3" w:rsidRPr="00DE2CF7" w:rsidRDefault="007D44F3" w:rsidP="00DE2CF7">
      <w:pPr>
        <w:rPr>
          <w:szCs w:val="22"/>
          <w:lang w:val="sr-Latn-ME"/>
        </w:rPr>
      </w:pPr>
    </w:p>
    <w:p w14:paraId="378BF767" w14:textId="77777777" w:rsidR="0090133B" w:rsidRPr="00DE2CF7" w:rsidRDefault="0090133B" w:rsidP="00DE2CF7">
      <w:pPr>
        <w:rPr>
          <w:szCs w:val="22"/>
          <w:u w:val="single"/>
          <w:lang w:val="sr-Latn-ME"/>
        </w:rPr>
      </w:pPr>
      <w:r w:rsidRPr="00DE2CF7">
        <w:rPr>
          <w:szCs w:val="22"/>
          <w:u w:val="single"/>
          <w:lang w:val="sr-Latn-ME"/>
        </w:rPr>
        <w:t>Pacijenti sa plućnom arterijskom hipertenzijom i istovremenom insuficijencijom l</w:t>
      </w:r>
      <w:r w:rsidR="005C2DDF" w:rsidRPr="00DE2CF7">
        <w:rPr>
          <w:szCs w:val="22"/>
          <w:u w:val="single"/>
          <w:lang w:val="sr-Latn-ME"/>
        </w:rPr>
        <w:t>ij</w:t>
      </w:r>
      <w:r w:rsidRPr="00DE2CF7">
        <w:rPr>
          <w:szCs w:val="22"/>
          <w:u w:val="single"/>
          <w:lang w:val="sr-Latn-ME"/>
        </w:rPr>
        <w:t>eve komore</w:t>
      </w:r>
    </w:p>
    <w:p w14:paraId="0F9F0635" w14:textId="77777777" w:rsidR="005C2DDF" w:rsidRPr="00DE2CF7" w:rsidRDefault="005C2DDF" w:rsidP="00DE2CF7">
      <w:pPr>
        <w:rPr>
          <w:szCs w:val="22"/>
          <w:u w:val="single"/>
          <w:lang w:val="sr-Latn-ME"/>
        </w:rPr>
      </w:pPr>
    </w:p>
    <w:p w14:paraId="62BDE649" w14:textId="77777777" w:rsidR="0090133B" w:rsidRPr="00DE2CF7" w:rsidRDefault="0090133B" w:rsidP="00DE2CF7">
      <w:pPr>
        <w:rPr>
          <w:szCs w:val="22"/>
          <w:lang w:val="sr-Latn-ME"/>
        </w:rPr>
      </w:pPr>
      <w:r w:rsidRPr="00DE2CF7">
        <w:rPr>
          <w:szCs w:val="22"/>
          <w:lang w:val="sr-Latn-ME"/>
        </w:rPr>
        <w:t>Nije sprovedena specifična studija kod pacijenata sa plućnom hipertenzijom i istovremenom disfunkcijom l</w:t>
      </w:r>
      <w:r w:rsidR="005C2DDF" w:rsidRPr="00DE2CF7">
        <w:rPr>
          <w:szCs w:val="22"/>
          <w:lang w:val="sr-Latn-ME"/>
        </w:rPr>
        <w:t>ij</w:t>
      </w:r>
      <w:r w:rsidRPr="00DE2CF7">
        <w:rPr>
          <w:szCs w:val="22"/>
          <w:lang w:val="sr-Latn-ME"/>
        </w:rPr>
        <w:t>eve komore. Međutim, 1611 pacijenata (804 pacijenta l</w:t>
      </w:r>
      <w:r w:rsidR="005C2DDF" w:rsidRPr="00DE2CF7">
        <w:rPr>
          <w:szCs w:val="22"/>
          <w:lang w:val="sr-Latn-ME"/>
        </w:rPr>
        <w:t>ij</w:t>
      </w:r>
      <w:r w:rsidRPr="00DE2CF7">
        <w:rPr>
          <w:szCs w:val="22"/>
          <w:lang w:val="sr-Latn-ME"/>
        </w:rPr>
        <w:t>ečenih bosentanom i 807 pacijenata koji su dobijali placebo) sa teškom hroničnom srčanom insuficijencijom (</w:t>
      </w:r>
      <w:r w:rsidR="001B607B" w:rsidRPr="00DE2CF7">
        <w:rPr>
          <w:szCs w:val="22"/>
          <w:lang w:val="sr-Latn-ME"/>
        </w:rPr>
        <w:t xml:space="preserve">engl. </w:t>
      </w:r>
      <w:r w:rsidRPr="00DE2CF7">
        <w:rPr>
          <w:i/>
          <w:szCs w:val="22"/>
          <w:lang w:val="sr-Latn-ME"/>
        </w:rPr>
        <w:t>Chronic Heart Failure</w:t>
      </w:r>
      <w:r w:rsidRPr="00DE2CF7">
        <w:rPr>
          <w:szCs w:val="22"/>
          <w:lang w:val="sr-Latn-ME"/>
        </w:rPr>
        <w:t>, CHF) je bilo na terapiji u pros</w:t>
      </w:r>
      <w:r w:rsidR="005C2DDF" w:rsidRPr="00DE2CF7">
        <w:rPr>
          <w:szCs w:val="22"/>
          <w:lang w:val="sr-Latn-ME"/>
        </w:rPr>
        <w:t>j</w:t>
      </w:r>
      <w:r w:rsidRPr="00DE2CF7">
        <w:rPr>
          <w:szCs w:val="22"/>
          <w:lang w:val="sr-Latn-ME"/>
        </w:rPr>
        <w:t>ečnom trajanju od 1,5 godine u placebom kontrolisanoj studiji (studija AC-052-301/302 [ENABLE-1&amp;2]). U ovoj studiji bila je povećana incidencija hospitalizacije zbog CHF za</w:t>
      </w:r>
      <w:r w:rsidR="003E63C6" w:rsidRPr="00DE2CF7">
        <w:rPr>
          <w:szCs w:val="22"/>
          <w:lang w:val="sr-Latn-ME"/>
        </w:rPr>
        <w:t xml:space="preserve"> vrijeme </w:t>
      </w:r>
      <w:r w:rsidRPr="00DE2CF7">
        <w:rPr>
          <w:szCs w:val="22"/>
          <w:lang w:val="sr-Latn-ME"/>
        </w:rPr>
        <w:t xml:space="preserve">prvih 4-8 </w:t>
      </w:r>
      <w:r w:rsidR="003E63C6" w:rsidRPr="00DE2CF7">
        <w:rPr>
          <w:szCs w:val="22"/>
          <w:lang w:val="sr-Latn-ME"/>
        </w:rPr>
        <w:t>nedjelja</w:t>
      </w:r>
      <w:r w:rsidRPr="00DE2CF7">
        <w:rPr>
          <w:szCs w:val="22"/>
          <w:lang w:val="sr-Latn-ME"/>
        </w:rPr>
        <w:t xml:space="preserve"> </w:t>
      </w:r>
      <w:r w:rsidR="007453E0" w:rsidRPr="00DE2CF7">
        <w:rPr>
          <w:szCs w:val="22"/>
          <w:lang w:val="sr-Latn-ME"/>
        </w:rPr>
        <w:t>liječenj</w:t>
      </w:r>
      <w:r w:rsidRPr="00DE2CF7">
        <w:rPr>
          <w:szCs w:val="22"/>
          <w:lang w:val="sr-Latn-ME"/>
        </w:rPr>
        <w:t>a bosentanom, koja je mogla biti rezultat retencije tečnosti. U ovoj studiji</w:t>
      </w:r>
      <w:r w:rsidR="005C2DDF" w:rsidRPr="00DE2CF7">
        <w:rPr>
          <w:szCs w:val="22"/>
          <w:lang w:val="sr-Latn-ME"/>
        </w:rPr>
        <w:t>,</w:t>
      </w:r>
      <w:r w:rsidRPr="00DE2CF7">
        <w:rPr>
          <w:szCs w:val="22"/>
          <w:lang w:val="sr-Latn-ME"/>
        </w:rPr>
        <w:t xml:space="preserve"> retencija tečnosti se manifestovala ranim dobijanjem na težini, smanjenjem koncentracije hemoglobina i povećanjem incidencije edema nogu. Na kraju ove studije, nije bilo razlike u ukupnim hospitalizacijama zbog srčane insuficijencije niti mortaliteta između pacijenata koji su dobijali bosentan i onih koji su dobijali placebo. Zbog toga je preporučeno da pacijenti budu praćeni u slučaju pojave znakova retencije tečnosti (npr. povećanje težine), naročito ukoliko istovremeno imaju tešku sistolnu disfunkciju. Ako se ovo javi, preporučuje se početak </w:t>
      </w:r>
      <w:r w:rsidR="007453E0" w:rsidRPr="00DE2CF7">
        <w:rPr>
          <w:szCs w:val="22"/>
          <w:lang w:val="sr-Latn-ME"/>
        </w:rPr>
        <w:t>liječenj</w:t>
      </w:r>
      <w:r w:rsidRPr="00DE2CF7">
        <w:rPr>
          <w:szCs w:val="22"/>
          <w:lang w:val="sr-Latn-ME"/>
        </w:rPr>
        <w:t xml:space="preserve">a diureticima, ili </w:t>
      </w:r>
      <w:r w:rsidR="007C304D" w:rsidRPr="00DE2CF7">
        <w:rPr>
          <w:szCs w:val="22"/>
          <w:lang w:val="sr-Latn-ME"/>
        </w:rPr>
        <w:t xml:space="preserve">da </w:t>
      </w:r>
      <w:r w:rsidRPr="00DE2CF7">
        <w:rPr>
          <w:szCs w:val="22"/>
          <w:lang w:val="sr-Latn-ME"/>
        </w:rPr>
        <w:t xml:space="preserve">se doza postojećih diuretika poveća. </w:t>
      </w:r>
      <w:r w:rsidR="007453E0" w:rsidRPr="00DE2CF7">
        <w:rPr>
          <w:szCs w:val="22"/>
          <w:lang w:val="sr-Latn-ME"/>
        </w:rPr>
        <w:t>Liječenj</w:t>
      </w:r>
      <w:r w:rsidRPr="00DE2CF7">
        <w:rPr>
          <w:szCs w:val="22"/>
          <w:lang w:val="sr-Latn-ME"/>
        </w:rPr>
        <w:t>e diureticima treba da bude razmotreno kod pacijenata sa dokazanom retencijom tečnosti</w:t>
      </w:r>
      <w:r w:rsidR="003E63C6" w:rsidRPr="00DE2CF7">
        <w:rPr>
          <w:szCs w:val="22"/>
          <w:lang w:val="sr-Latn-ME"/>
        </w:rPr>
        <w:t xml:space="preserve"> prije </w:t>
      </w:r>
      <w:r w:rsidRPr="00DE2CF7">
        <w:rPr>
          <w:szCs w:val="22"/>
          <w:lang w:val="sr-Latn-ME"/>
        </w:rPr>
        <w:t xml:space="preserve">početka </w:t>
      </w:r>
      <w:r w:rsidR="007453E0" w:rsidRPr="00DE2CF7">
        <w:rPr>
          <w:szCs w:val="22"/>
          <w:lang w:val="sr-Latn-ME"/>
        </w:rPr>
        <w:t>liječenj</w:t>
      </w:r>
      <w:r w:rsidRPr="00DE2CF7">
        <w:rPr>
          <w:szCs w:val="22"/>
          <w:lang w:val="sr-Latn-ME"/>
        </w:rPr>
        <w:t>a l</w:t>
      </w:r>
      <w:r w:rsidR="005C2DDF" w:rsidRPr="00DE2CF7">
        <w:rPr>
          <w:szCs w:val="22"/>
          <w:lang w:val="sr-Latn-ME"/>
        </w:rPr>
        <w:t>ij</w:t>
      </w:r>
      <w:r w:rsidRPr="00DE2CF7">
        <w:rPr>
          <w:szCs w:val="22"/>
          <w:lang w:val="sr-Latn-ME"/>
        </w:rPr>
        <w:t xml:space="preserve">ekom </w:t>
      </w:r>
      <w:r w:rsidR="005C2DDF" w:rsidRPr="00DE2CF7">
        <w:rPr>
          <w:szCs w:val="22"/>
          <w:lang w:val="sr-Latn-ME"/>
        </w:rPr>
        <w:t>Bosentan Pharmascience</w:t>
      </w:r>
      <w:r w:rsidRPr="00DE2CF7">
        <w:rPr>
          <w:szCs w:val="22"/>
          <w:lang w:val="sr-Latn-ME"/>
        </w:rPr>
        <w:t>.</w:t>
      </w:r>
    </w:p>
    <w:p w14:paraId="2A385FDA" w14:textId="77777777" w:rsidR="007C26FA" w:rsidRPr="00DE2CF7" w:rsidRDefault="007C26FA" w:rsidP="00DE2CF7">
      <w:pPr>
        <w:rPr>
          <w:szCs w:val="22"/>
          <w:lang w:val="sr-Latn-ME"/>
        </w:rPr>
      </w:pPr>
    </w:p>
    <w:p w14:paraId="4FC20629" w14:textId="77777777" w:rsidR="0090133B" w:rsidRPr="00DE2CF7" w:rsidRDefault="0090133B" w:rsidP="00DE2CF7">
      <w:pPr>
        <w:rPr>
          <w:szCs w:val="22"/>
          <w:u w:val="single"/>
          <w:lang w:val="sr-Latn-ME"/>
        </w:rPr>
      </w:pPr>
      <w:r w:rsidRPr="00DE2CF7">
        <w:rPr>
          <w:szCs w:val="22"/>
          <w:u w:val="single"/>
          <w:lang w:val="sr-Latn-ME"/>
        </w:rPr>
        <w:t>Plućna arterijska hipertenzija udružena sa HIV infekcijom</w:t>
      </w:r>
    </w:p>
    <w:p w14:paraId="6173362C" w14:textId="77777777" w:rsidR="00DE6F82" w:rsidRPr="00DE2CF7" w:rsidRDefault="00DE6F82" w:rsidP="00DE2CF7">
      <w:pPr>
        <w:rPr>
          <w:szCs w:val="22"/>
          <w:u w:val="single"/>
          <w:lang w:val="sr-Latn-ME"/>
        </w:rPr>
      </w:pPr>
    </w:p>
    <w:p w14:paraId="1BF229AD" w14:textId="77777777" w:rsidR="0090133B" w:rsidRPr="00DE2CF7" w:rsidRDefault="0090133B" w:rsidP="00DE2CF7">
      <w:pPr>
        <w:rPr>
          <w:szCs w:val="22"/>
          <w:lang w:val="sr-Latn-ME"/>
        </w:rPr>
      </w:pPr>
      <w:r w:rsidRPr="00DE2CF7">
        <w:rPr>
          <w:szCs w:val="22"/>
          <w:lang w:val="sr-Latn-ME"/>
        </w:rPr>
        <w:t>Postoji ograničeno iskustvo kliničkih studija sa upotrebom</w:t>
      </w:r>
      <w:r w:rsidR="001165AF" w:rsidRPr="00DE2CF7">
        <w:rPr>
          <w:szCs w:val="22"/>
          <w:lang w:val="sr-Latn-ME"/>
        </w:rPr>
        <w:t xml:space="preserve"> lijeka </w:t>
      </w:r>
      <w:r w:rsidR="00DE6F82" w:rsidRPr="00DE2CF7">
        <w:rPr>
          <w:szCs w:val="22"/>
          <w:lang w:val="sr-Latn-ME"/>
        </w:rPr>
        <w:t>Bosentan Pharmascience</w:t>
      </w:r>
      <w:r w:rsidRPr="00DE2CF7">
        <w:rPr>
          <w:szCs w:val="22"/>
          <w:lang w:val="sr-Latn-ME"/>
        </w:rPr>
        <w:t xml:space="preserve"> kod pacijenata sa PAH-om udruženim sa HIV infekcijom, na terapiji antiretrovirusnim l</w:t>
      </w:r>
      <w:r w:rsidR="00DE6F82" w:rsidRPr="00DE2CF7">
        <w:rPr>
          <w:szCs w:val="22"/>
          <w:lang w:val="sr-Latn-ME"/>
        </w:rPr>
        <w:t>j</w:t>
      </w:r>
      <w:r w:rsidRPr="00DE2CF7">
        <w:rPr>
          <w:szCs w:val="22"/>
          <w:lang w:val="sr-Latn-ME"/>
        </w:rPr>
        <w:t>ekovima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5.1). Studija interakcije između bosentana i kombinacije lopinavira + ritonavira kod zdravih ispitanika pokazala je povećane koncentracije bosentana u plazmi sa najvišim nivoom u toku prva 4 dana </w:t>
      </w:r>
      <w:r w:rsidR="007453E0" w:rsidRPr="00DE2CF7">
        <w:rPr>
          <w:szCs w:val="22"/>
          <w:lang w:val="sr-Latn-ME"/>
        </w:rPr>
        <w:t>liječenj</w:t>
      </w:r>
      <w:r w:rsidRPr="00DE2CF7">
        <w:rPr>
          <w:szCs w:val="22"/>
          <w:lang w:val="sr-Latn-ME"/>
        </w:rPr>
        <w:t>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4.5). Kada se započinje </w:t>
      </w:r>
      <w:r w:rsidR="007453E0" w:rsidRPr="00DE2CF7">
        <w:rPr>
          <w:szCs w:val="22"/>
          <w:lang w:val="sr-Latn-ME"/>
        </w:rPr>
        <w:t>liječenj</w:t>
      </w:r>
      <w:r w:rsidRPr="00DE2CF7">
        <w:rPr>
          <w:szCs w:val="22"/>
          <w:lang w:val="sr-Latn-ME"/>
        </w:rPr>
        <w:t>e l</w:t>
      </w:r>
      <w:r w:rsidR="003121BA" w:rsidRPr="00DE2CF7">
        <w:rPr>
          <w:szCs w:val="22"/>
          <w:lang w:val="sr-Latn-ME"/>
        </w:rPr>
        <w:t>ij</w:t>
      </w:r>
      <w:r w:rsidRPr="00DE2CF7">
        <w:rPr>
          <w:szCs w:val="22"/>
          <w:lang w:val="sr-Latn-ME"/>
        </w:rPr>
        <w:t xml:space="preserve">ekom </w:t>
      </w:r>
      <w:r w:rsidR="003121BA" w:rsidRPr="00DE2CF7">
        <w:rPr>
          <w:szCs w:val="22"/>
          <w:lang w:val="sr-Latn-ME"/>
        </w:rPr>
        <w:t>Bosentan Pharmascience</w:t>
      </w:r>
      <w:r w:rsidRPr="00DE2CF7">
        <w:rPr>
          <w:szCs w:val="22"/>
          <w:lang w:val="sr-Latn-ME"/>
        </w:rPr>
        <w:t xml:space="preserve"> kod pacijenata kojima su propisani inhibitori proteaze sa pojačivačem ritonavirom, pacijentovu podnošljivost</w:t>
      </w:r>
      <w:r w:rsidR="001165AF" w:rsidRPr="00DE2CF7">
        <w:rPr>
          <w:szCs w:val="22"/>
          <w:lang w:val="sr-Latn-ME"/>
        </w:rPr>
        <w:t xml:space="preserve"> lijeka </w:t>
      </w:r>
      <w:r w:rsidR="003121BA" w:rsidRPr="00DE2CF7">
        <w:rPr>
          <w:szCs w:val="22"/>
          <w:lang w:val="sr-Latn-ME"/>
        </w:rPr>
        <w:t>Bosentan Pharmascience</w:t>
      </w:r>
      <w:r w:rsidRPr="00DE2CF7">
        <w:rPr>
          <w:szCs w:val="22"/>
          <w:lang w:val="sr-Latn-ME"/>
        </w:rPr>
        <w:t xml:space="preserve"> potrebno je pratiti sa posebnom pažnjom na početku faze uvođenja, zbog rizika od hipotenzije i testova funkcije jetre. Povećani dugoročni rizik od hepatotoksičnosti i hematoloških neželjenih događaja ne može se isključiti kada se bosentan koristi u kombinaciji sa antiretrovirusnim l</w:t>
      </w:r>
      <w:r w:rsidR="003121BA" w:rsidRPr="00DE2CF7">
        <w:rPr>
          <w:szCs w:val="22"/>
          <w:lang w:val="sr-Latn-ME"/>
        </w:rPr>
        <w:t>j</w:t>
      </w:r>
      <w:r w:rsidRPr="00DE2CF7">
        <w:rPr>
          <w:szCs w:val="22"/>
          <w:lang w:val="sr-Latn-ME"/>
        </w:rPr>
        <w:t>ekovima. Zbog potencijala za interakcije koje su vezane za indukcioni efekat bosentana na CYP450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4.5), koji može uticati na efikasnost antiretroviralne terapije, ove pacijente treba takođe pažljivo pratiti u pogledu njihove HIV infekcije.</w:t>
      </w:r>
    </w:p>
    <w:p w14:paraId="343596B5" w14:textId="77777777" w:rsidR="007D44F3" w:rsidRPr="00DE2CF7" w:rsidRDefault="007D44F3" w:rsidP="00DE2CF7">
      <w:pPr>
        <w:rPr>
          <w:szCs w:val="22"/>
          <w:lang w:val="sr-Latn-ME"/>
        </w:rPr>
      </w:pPr>
    </w:p>
    <w:p w14:paraId="06E374D3" w14:textId="77777777" w:rsidR="0087250B" w:rsidRDefault="0087250B" w:rsidP="00DE2CF7">
      <w:pPr>
        <w:rPr>
          <w:szCs w:val="22"/>
          <w:u w:val="single"/>
          <w:lang w:val="sr-Latn-ME"/>
        </w:rPr>
      </w:pPr>
    </w:p>
    <w:p w14:paraId="5F0578AD" w14:textId="77777777" w:rsidR="0090133B" w:rsidRPr="00DE2CF7" w:rsidRDefault="0090133B" w:rsidP="00DE2CF7">
      <w:pPr>
        <w:rPr>
          <w:szCs w:val="22"/>
          <w:u w:val="single"/>
          <w:lang w:val="sr-Latn-ME"/>
        </w:rPr>
      </w:pPr>
      <w:r w:rsidRPr="00DE2CF7">
        <w:rPr>
          <w:szCs w:val="22"/>
          <w:u w:val="single"/>
          <w:lang w:val="sr-Latn-ME"/>
        </w:rPr>
        <w:t xml:space="preserve">Plućna hipertenzija kao </w:t>
      </w:r>
      <w:r w:rsidR="007453E0" w:rsidRPr="00DE2CF7">
        <w:rPr>
          <w:szCs w:val="22"/>
          <w:u w:val="single"/>
          <w:lang w:val="sr-Latn-ME"/>
        </w:rPr>
        <w:t>posljed</w:t>
      </w:r>
      <w:r w:rsidRPr="00DE2CF7">
        <w:rPr>
          <w:szCs w:val="22"/>
          <w:u w:val="single"/>
          <w:lang w:val="sr-Latn-ME"/>
        </w:rPr>
        <w:t>ica hronične opstruktivne plućne bolesti (HOBP)</w:t>
      </w:r>
    </w:p>
    <w:p w14:paraId="6FF35D43" w14:textId="77777777" w:rsidR="003121BA" w:rsidRPr="00DE2CF7" w:rsidRDefault="003121BA" w:rsidP="00DE2CF7">
      <w:pPr>
        <w:rPr>
          <w:szCs w:val="22"/>
          <w:u w:val="single"/>
          <w:lang w:val="sr-Latn-ME"/>
        </w:rPr>
      </w:pPr>
    </w:p>
    <w:p w14:paraId="664DBA11" w14:textId="77777777" w:rsidR="0090133B" w:rsidRPr="00DE2CF7" w:rsidRDefault="0090133B" w:rsidP="00DE2CF7">
      <w:pPr>
        <w:rPr>
          <w:szCs w:val="22"/>
          <w:lang w:val="sr-Latn-ME"/>
        </w:rPr>
      </w:pPr>
      <w:r w:rsidRPr="00DE2CF7">
        <w:rPr>
          <w:szCs w:val="22"/>
          <w:lang w:val="sr-Latn-ME"/>
        </w:rPr>
        <w:t>Bezb</w:t>
      </w:r>
      <w:r w:rsidR="006E200E" w:rsidRPr="00DE2CF7">
        <w:rPr>
          <w:szCs w:val="22"/>
          <w:lang w:val="sr-Latn-ME"/>
        </w:rPr>
        <w:t>j</w:t>
      </w:r>
      <w:r w:rsidRPr="00DE2CF7">
        <w:rPr>
          <w:szCs w:val="22"/>
          <w:lang w:val="sr-Latn-ME"/>
        </w:rPr>
        <w:t>ednost i podnošljivost bose</w:t>
      </w:r>
      <w:r w:rsidR="0078419C" w:rsidRPr="00DE2CF7">
        <w:rPr>
          <w:szCs w:val="22"/>
          <w:lang w:val="sr-Latn-ME"/>
        </w:rPr>
        <w:t xml:space="preserve">ntana ispitana je u </w:t>
      </w:r>
      <w:r w:rsidR="005021B3" w:rsidRPr="00DE2CF7">
        <w:rPr>
          <w:szCs w:val="22"/>
          <w:lang w:val="sr-Latn-ME"/>
        </w:rPr>
        <w:t>istraživačkoj</w:t>
      </w:r>
      <w:r w:rsidRPr="00DE2CF7">
        <w:rPr>
          <w:szCs w:val="22"/>
          <w:lang w:val="sr-Latn-ME"/>
        </w:rPr>
        <w:t>, nekontrolisanoj 12-ned</w:t>
      </w:r>
      <w:r w:rsidR="007C304D" w:rsidRPr="00DE2CF7">
        <w:rPr>
          <w:szCs w:val="22"/>
          <w:lang w:val="sr-Latn-ME"/>
        </w:rPr>
        <w:t>j</w:t>
      </w:r>
      <w:r w:rsidRPr="00DE2CF7">
        <w:rPr>
          <w:szCs w:val="22"/>
          <w:lang w:val="sr-Latn-ME"/>
        </w:rPr>
        <w:t xml:space="preserve">eljnoj studiji kod 11 pacijenata sa plućnom hipertenzijom kao </w:t>
      </w:r>
      <w:r w:rsidR="007453E0" w:rsidRPr="00DE2CF7">
        <w:rPr>
          <w:szCs w:val="22"/>
          <w:lang w:val="sr-Latn-ME"/>
        </w:rPr>
        <w:t>posljed</w:t>
      </w:r>
      <w:r w:rsidRPr="00DE2CF7">
        <w:rPr>
          <w:szCs w:val="22"/>
          <w:lang w:val="sr-Latn-ME"/>
        </w:rPr>
        <w:t xml:space="preserve">icom teške HOPB (faza III prema klasifikaciji GOLD). </w:t>
      </w:r>
      <w:r w:rsidRPr="00DE2CF7">
        <w:rPr>
          <w:szCs w:val="22"/>
          <w:lang w:val="sr-Latn-ME"/>
        </w:rPr>
        <w:lastRenderedPageBreak/>
        <w:t>Uočeno je povećanje minutn</w:t>
      </w:r>
      <w:r w:rsidR="0078419C" w:rsidRPr="00DE2CF7">
        <w:rPr>
          <w:szCs w:val="22"/>
          <w:lang w:val="sr-Latn-ME"/>
        </w:rPr>
        <w:t>e ventilacije</w:t>
      </w:r>
      <w:r w:rsidRPr="00DE2CF7">
        <w:rPr>
          <w:szCs w:val="22"/>
          <w:lang w:val="sr-Latn-ME"/>
        </w:rPr>
        <w:t xml:space="preserve"> i smanjenje zasićenosti kiseonikom, a najčešći neželjeni događaj </w:t>
      </w:r>
      <w:r w:rsidR="007C304D" w:rsidRPr="00DE2CF7">
        <w:rPr>
          <w:szCs w:val="22"/>
          <w:lang w:val="sr-Latn-ME"/>
        </w:rPr>
        <w:t xml:space="preserve">bila </w:t>
      </w:r>
      <w:r w:rsidRPr="00DE2CF7">
        <w:rPr>
          <w:szCs w:val="22"/>
          <w:lang w:val="sr-Latn-ME"/>
        </w:rPr>
        <w:t>je dispnea, koja je nestala prekidom terapije bosentanom.</w:t>
      </w:r>
    </w:p>
    <w:p w14:paraId="4EE7F937" w14:textId="77777777" w:rsidR="007D44F3" w:rsidRPr="00DE2CF7" w:rsidRDefault="007D44F3" w:rsidP="00DE2CF7">
      <w:pPr>
        <w:rPr>
          <w:szCs w:val="22"/>
          <w:lang w:val="sr-Latn-ME"/>
        </w:rPr>
      </w:pPr>
    </w:p>
    <w:p w14:paraId="3450810F" w14:textId="77777777" w:rsidR="0090133B" w:rsidRPr="00DE2CF7" w:rsidRDefault="0090133B" w:rsidP="00DE2CF7">
      <w:pPr>
        <w:rPr>
          <w:szCs w:val="22"/>
          <w:u w:val="single"/>
          <w:lang w:val="sr-Latn-ME"/>
        </w:rPr>
      </w:pPr>
      <w:r w:rsidRPr="00DE2CF7">
        <w:rPr>
          <w:szCs w:val="22"/>
          <w:u w:val="single"/>
          <w:lang w:val="sr-Latn-ME"/>
        </w:rPr>
        <w:t>Istovremena prim</w:t>
      </w:r>
      <w:r w:rsidR="0038528C" w:rsidRPr="00DE2CF7">
        <w:rPr>
          <w:szCs w:val="22"/>
          <w:u w:val="single"/>
          <w:lang w:val="sr-Latn-ME"/>
        </w:rPr>
        <w:t>j</w:t>
      </w:r>
      <w:r w:rsidRPr="00DE2CF7">
        <w:rPr>
          <w:szCs w:val="22"/>
          <w:u w:val="single"/>
          <w:lang w:val="sr-Latn-ME"/>
        </w:rPr>
        <w:t>ena sa drugim l</w:t>
      </w:r>
      <w:r w:rsidR="00B154A2" w:rsidRPr="00DE2CF7">
        <w:rPr>
          <w:szCs w:val="22"/>
          <w:u w:val="single"/>
          <w:lang w:val="sr-Latn-ME"/>
        </w:rPr>
        <w:t>j</w:t>
      </w:r>
      <w:r w:rsidRPr="00DE2CF7">
        <w:rPr>
          <w:szCs w:val="22"/>
          <w:u w:val="single"/>
          <w:lang w:val="sr-Latn-ME"/>
        </w:rPr>
        <w:t>ekovima</w:t>
      </w:r>
    </w:p>
    <w:p w14:paraId="0F73DA45" w14:textId="77777777" w:rsidR="00B154A2" w:rsidRPr="00DE2CF7" w:rsidRDefault="00B154A2" w:rsidP="00DE2CF7">
      <w:pPr>
        <w:rPr>
          <w:szCs w:val="22"/>
          <w:u w:val="single"/>
          <w:lang w:val="sr-Latn-ME"/>
        </w:rPr>
      </w:pPr>
    </w:p>
    <w:p w14:paraId="6A8936EC" w14:textId="77777777" w:rsidR="00B65C72" w:rsidRPr="00DE2CF7" w:rsidRDefault="0090133B" w:rsidP="00DE2CF7">
      <w:pPr>
        <w:rPr>
          <w:szCs w:val="22"/>
          <w:lang w:val="sr-Latn-ME"/>
        </w:rPr>
      </w:pPr>
      <w:r w:rsidRPr="00DE2CF7">
        <w:rPr>
          <w:szCs w:val="22"/>
          <w:lang w:val="sr-Latn-ME"/>
        </w:rPr>
        <w:t>Istovremena prim</w:t>
      </w:r>
      <w:r w:rsidR="0038528C" w:rsidRPr="00DE2CF7">
        <w:rPr>
          <w:szCs w:val="22"/>
          <w:lang w:val="sr-Latn-ME"/>
        </w:rPr>
        <w:t>j</w:t>
      </w:r>
      <w:r w:rsidRPr="00DE2CF7">
        <w:rPr>
          <w:szCs w:val="22"/>
          <w:lang w:val="sr-Latn-ME"/>
        </w:rPr>
        <w:t>ena</w:t>
      </w:r>
      <w:r w:rsidR="001165AF" w:rsidRPr="00DE2CF7">
        <w:rPr>
          <w:szCs w:val="22"/>
          <w:lang w:val="sr-Latn-ME"/>
        </w:rPr>
        <w:t xml:space="preserve"> lijeka </w:t>
      </w:r>
      <w:r w:rsidR="00B154A2" w:rsidRPr="00DE2CF7">
        <w:rPr>
          <w:szCs w:val="22"/>
          <w:lang w:val="sr-Latn-ME"/>
        </w:rPr>
        <w:t>Bosentan Pharmascience</w:t>
      </w:r>
      <w:r w:rsidRPr="00DE2CF7">
        <w:rPr>
          <w:szCs w:val="22"/>
          <w:lang w:val="sr-Latn-ME"/>
        </w:rPr>
        <w:t xml:space="preserve"> i ciklosporina A je kontraindikovana (</w:t>
      </w:r>
      <w:r w:rsidR="007453E0" w:rsidRPr="00DE2CF7">
        <w:rPr>
          <w:szCs w:val="22"/>
          <w:lang w:val="sr-Latn-ME"/>
        </w:rPr>
        <w:t>vidjeti</w:t>
      </w:r>
      <w:r w:rsidRPr="00DE2CF7">
        <w:rPr>
          <w:szCs w:val="22"/>
          <w:lang w:val="sr-Latn-ME"/>
        </w:rPr>
        <w:t xml:space="preserve"> od</w:t>
      </w:r>
      <w:r w:rsidR="00B154A2" w:rsidRPr="00DE2CF7">
        <w:rPr>
          <w:szCs w:val="22"/>
          <w:lang w:val="sr-Latn-ME"/>
        </w:rPr>
        <w:t>j</w:t>
      </w:r>
      <w:r w:rsidRPr="00DE2CF7">
        <w:rPr>
          <w:szCs w:val="22"/>
          <w:lang w:val="sr-Latn-ME"/>
        </w:rPr>
        <w:t>eljke 4.3 i 4.5).</w:t>
      </w:r>
      <w:r w:rsidR="007D44F3" w:rsidRPr="00DE2CF7">
        <w:rPr>
          <w:szCs w:val="22"/>
          <w:lang w:val="sr-Latn-ME"/>
        </w:rPr>
        <w:t xml:space="preserve"> </w:t>
      </w:r>
    </w:p>
    <w:p w14:paraId="2D0CDBDE" w14:textId="77777777" w:rsidR="0090133B" w:rsidRPr="00DE2CF7" w:rsidRDefault="0090133B" w:rsidP="00DE2CF7">
      <w:pPr>
        <w:rPr>
          <w:szCs w:val="22"/>
          <w:lang w:val="sr-Latn-ME"/>
        </w:rPr>
      </w:pPr>
      <w:r w:rsidRPr="00DE2CF7">
        <w:rPr>
          <w:szCs w:val="22"/>
          <w:lang w:val="sr-Latn-ME"/>
        </w:rPr>
        <w:t>Istovremena prim</w:t>
      </w:r>
      <w:r w:rsidR="0038528C" w:rsidRPr="00DE2CF7">
        <w:rPr>
          <w:szCs w:val="22"/>
          <w:lang w:val="sr-Latn-ME"/>
        </w:rPr>
        <w:t>j</w:t>
      </w:r>
      <w:r w:rsidR="007D44F3" w:rsidRPr="00DE2CF7">
        <w:rPr>
          <w:szCs w:val="22"/>
          <w:lang w:val="sr-Latn-ME"/>
        </w:rPr>
        <w:t>ena</w:t>
      </w:r>
      <w:r w:rsidR="001165AF" w:rsidRPr="00DE2CF7">
        <w:rPr>
          <w:szCs w:val="22"/>
          <w:lang w:val="sr-Latn-ME"/>
        </w:rPr>
        <w:t xml:space="preserve"> lijeka </w:t>
      </w:r>
      <w:r w:rsidR="00B154A2" w:rsidRPr="00DE2CF7">
        <w:rPr>
          <w:szCs w:val="22"/>
          <w:lang w:val="sr-Latn-ME"/>
        </w:rPr>
        <w:t>Bosentan Pharmascience</w:t>
      </w:r>
      <w:r w:rsidRPr="00DE2CF7">
        <w:rPr>
          <w:szCs w:val="22"/>
          <w:lang w:val="sr-Latn-ME"/>
        </w:rPr>
        <w:t xml:space="preserve"> sa glibenklamidom, flukonazolom i rifampicinom se ne preporučuje. Za više pojedinosti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4.5.</w:t>
      </w:r>
    </w:p>
    <w:p w14:paraId="615BAF36" w14:textId="77777777" w:rsidR="007D44F3" w:rsidRPr="00DE2CF7" w:rsidRDefault="007D44F3" w:rsidP="00DE2CF7">
      <w:pPr>
        <w:rPr>
          <w:szCs w:val="22"/>
          <w:lang w:val="sr-Latn-ME"/>
        </w:rPr>
      </w:pPr>
    </w:p>
    <w:p w14:paraId="155D831C" w14:textId="77777777" w:rsidR="0090133B" w:rsidRPr="00DE2CF7" w:rsidRDefault="0090133B" w:rsidP="00DE2CF7">
      <w:pPr>
        <w:rPr>
          <w:szCs w:val="22"/>
          <w:lang w:val="sr-Latn-ME"/>
        </w:rPr>
      </w:pPr>
      <w:r w:rsidRPr="00DE2CF7">
        <w:rPr>
          <w:szCs w:val="22"/>
          <w:lang w:val="sr-Latn-ME"/>
        </w:rPr>
        <w:t>Istovremenu prim</w:t>
      </w:r>
      <w:r w:rsidR="0038528C" w:rsidRPr="00DE2CF7">
        <w:rPr>
          <w:szCs w:val="22"/>
          <w:lang w:val="sr-Latn-ME"/>
        </w:rPr>
        <w:t>j</w:t>
      </w:r>
      <w:r w:rsidRPr="00DE2CF7">
        <w:rPr>
          <w:szCs w:val="22"/>
          <w:lang w:val="sr-Latn-ME"/>
        </w:rPr>
        <w:t>enu inhibitora CY</w:t>
      </w:r>
      <w:r w:rsidR="005736DC" w:rsidRPr="00DE2CF7">
        <w:rPr>
          <w:szCs w:val="22"/>
          <w:lang w:val="sr-Latn-ME"/>
        </w:rPr>
        <w:t>P3A4 i CYP2C9 sa l</w:t>
      </w:r>
      <w:r w:rsidR="00B154A2" w:rsidRPr="00DE2CF7">
        <w:rPr>
          <w:szCs w:val="22"/>
          <w:lang w:val="sr-Latn-ME"/>
        </w:rPr>
        <w:t>ij</w:t>
      </w:r>
      <w:r w:rsidR="005736DC" w:rsidRPr="00DE2CF7">
        <w:rPr>
          <w:szCs w:val="22"/>
          <w:lang w:val="sr-Latn-ME"/>
        </w:rPr>
        <w:t xml:space="preserve">ekom </w:t>
      </w:r>
      <w:r w:rsidR="00A559D7" w:rsidRPr="00DE2CF7">
        <w:rPr>
          <w:szCs w:val="22"/>
          <w:lang w:val="sr-Latn-ME"/>
        </w:rPr>
        <w:t>B</w:t>
      </w:r>
      <w:r w:rsidR="005736DC" w:rsidRPr="00DE2CF7">
        <w:rPr>
          <w:szCs w:val="22"/>
          <w:lang w:val="sr-Latn-ME"/>
        </w:rPr>
        <w:t>osentan</w:t>
      </w:r>
      <w:r w:rsidRPr="00DE2CF7">
        <w:rPr>
          <w:szCs w:val="22"/>
          <w:lang w:val="sr-Latn-ME"/>
        </w:rPr>
        <w:t xml:space="preserve"> </w:t>
      </w:r>
      <w:r w:rsidR="00A559D7" w:rsidRPr="00DE2CF7">
        <w:rPr>
          <w:szCs w:val="22"/>
          <w:lang w:val="sr-Latn-ME"/>
        </w:rPr>
        <w:t xml:space="preserve">Pharmascience </w:t>
      </w:r>
      <w:r w:rsidRPr="00DE2CF7">
        <w:rPr>
          <w:szCs w:val="22"/>
          <w:lang w:val="sr-Latn-ME"/>
        </w:rPr>
        <w:t>treba izb</w:t>
      </w:r>
      <w:r w:rsidR="00B154A2" w:rsidRPr="00DE2CF7">
        <w:rPr>
          <w:szCs w:val="22"/>
          <w:lang w:val="sr-Latn-ME"/>
        </w:rPr>
        <w:t>j</w:t>
      </w:r>
      <w:r w:rsidRPr="00DE2CF7">
        <w:rPr>
          <w:szCs w:val="22"/>
          <w:lang w:val="sr-Latn-ME"/>
        </w:rPr>
        <w:t>egavati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4.5).</w:t>
      </w:r>
    </w:p>
    <w:p w14:paraId="3F7B9081" w14:textId="77777777" w:rsidR="0090133B" w:rsidRPr="00DE2CF7" w:rsidRDefault="0090133B" w:rsidP="00DE2CF7">
      <w:pPr>
        <w:rPr>
          <w:szCs w:val="22"/>
          <w:lang w:val="sr-Latn-ME"/>
        </w:rPr>
      </w:pPr>
    </w:p>
    <w:p w14:paraId="02637BB6" w14:textId="77777777" w:rsidR="00092B66" w:rsidRPr="00DE2CF7" w:rsidRDefault="00092B66" w:rsidP="00DE2CF7">
      <w:pPr>
        <w:tabs>
          <w:tab w:val="clear" w:pos="284"/>
          <w:tab w:val="left" w:pos="540"/>
          <w:tab w:val="left" w:pos="569"/>
        </w:tabs>
        <w:jc w:val="left"/>
        <w:rPr>
          <w:b/>
          <w:bCs/>
          <w:szCs w:val="22"/>
          <w:lang w:val="sr-Latn-ME"/>
        </w:rPr>
      </w:pPr>
      <w:r w:rsidRPr="00DE2CF7">
        <w:rPr>
          <w:b/>
          <w:bCs/>
          <w:szCs w:val="22"/>
          <w:lang w:val="sr-Latn-ME"/>
        </w:rPr>
        <w:t>4.5.</w:t>
      </w:r>
      <w:r w:rsidRPr="00DE2CF7">
        <w:rPr>
          <w:b/>
          <w:bCs/>
          <w:szCs w:val="22"/>
          <w:lang w:val="sr-Latn-ME"/>
        </w:rPr>
        <w:tab/>
        <w:t>Interakcije sa drugim ljekovima i druge vrste interakcija</w:t>
      </w:r>
    </w:p>
    <w:p w14:paraId="3D8D963C" w14:textId="77777777" w:rsidR="007D44F3" w:rsidRPr="00DE2CF7" w:rsidRDefault="007D44F3" w:rsidP="00DE2CF7">
      <w:pPr>
        <w:rPr>
          <w:szCs w:val="22"/>
          <w:lang w:val="sr-Latn-ME"/>
        </w:rPr>
      </w:pPr>
    </w:p>
    <w:p w14:paraId="7BC96093" w14:textId="77777777" w:rsidR="0090133B" w:rsidRPr="00DE2CF7" w:rsidRDefault="0090133B" w:rsidP="00DE2CF7">
      <w:pPr>
        <w:rPr>
          <w:szCs w:val="22"/>
          <w:lang w:val="sr-Latn-ME"/>
        </w:rPr>
      </w:pPr>
      <w:r w:rsidRPr="00DE2CF7">
        <w:rPr>
          <w:szCs w:val="22"/>
          <w:lang w:val="sr-Latn-ME"/>
        </w:rPr>
        <w:t xml:space="preserve">Bosentan je induktor citohroma P450 (CYP) izoenzima CYP2C9 i CYP3A4. </w:t>
      </w:r>
      <w:r w:rsidRPr="00DE2CF7">
        <w:rPr>
          <w:i/>
          <w:szCs w:val="22"/>
          <w:lang w:val="sr-Latn-ME"/>
        </w:rPr>
        <w:t>In vitro</w:t>
      </w:r>
      <w:r w:rsidRPr="00DE2CF7">
        <w:rPr>
          <w:szCs w:val="22"/>
          <w:lang w:val="sr-Latn-ME"/>
        </w:rPr>
        <w:t xml:space="preserve"> podaci takođe sugerišu indukciju CYP2C19. </w:t>
      </w:r>
      <w:r w:rsidR="007453E0" w:rsidRPr="00DE2CF7">
        <w:rPr>
          <w:szCs w:val="22"/>
          <w:lang w:val="sr-Latn-ME"/>
        </w:rPr>
        <w:t>Posljed</w:t>
      </w:r>
      <w:r w:rsidRPr="00DE2CF7">
        <w:rPr>
          <w:szCs w:val="22"/>
          <w:lang w:val="sr-Latn-ME"/>
        </w:rPr>
        <w:t xml:space="preserve">ično, koncentracije u plazmi supstanci metabolizovanih ovim izoenzimima biće smanjene kada se </w:t>
      </w:r>
      <w:r w:rsidR="004374E0" w:rsidRPr="00DE2CF7">
        <w:rPr>
          <w:szCs w:val="22"/>
          <w:lang w:val="sr-Latn-ME"/>
        </w:rPr>
        <w:t>prim</w:t>
      </w:r>
      <w:r w:rsidR="007C304D" w:rsidRPr="00DE2CF7">
        <w:rPr>
          <w:szCs w:val="22"/>
          <w:lang w:val="sr-Latn-ME"/>
        </w:rPr>
        <w:t>i</w:t>
      </w:r>
      <w:r w:rsidR="004374E0" w:rsidRPr="00DE2CF7">
        <w:rPr>
          <w:szCs w:val="22"/>
          <w:lang w:val="sr-Latn-ME"/>
        </w:rPr>
        <w:t xml:space="preserve">jene </w:t>
      </w:r>
      <w:r w:rsidRPr="00DE2CF7">
        <w:rPr>
          <w:szCs w:val="22"/>
          <w:lang w:val="sr-Latn-ME"/>
        </w:rPr>
        <w:t>istovremeno sa bosentanom. Mogućnost izm</w:t>
      </w:r>
      <w:r w:rsidR="00B154A2" w:rsidRPr="00DE2CF7">
        <w:rPr>
          <w:szCs w:val="22"/>
          <w:lang w:val="sr-Latn-ME"/>
        </w:rPr>
        <w:t>j</w:t>
      </w:r>
      <w:r w:rsidRPr="00DE2CF7">
        <w:rPr>
          <w:szCs w:val="22"/>
          <w:lang w:val="sr-Latn-ME"/>
        </w:rPr>
        <w:t>ene efikasnosti l</w:t>
      </w:r>
      <w:r w:rsidR="00B154A2" w:rsidRPr="00DE2CF7">
        <w:rPr>
          <w:szCs w:val="22"/>
          <w:lang w:val="sr-Latn-ME"/>
        </w:rPr>
        <w:t>j</w:t>
      </w:r>
      <w:r w:rsidRPr="00DE2CF7">
        <w:rPr>
          <w:szCs w:val="22"/>
          <w:lang w:val="sr-Latn-ME"/>
        </w:rPr>
        <w:t>ekova koji se metabolišu ovim izoenzimima treba razmotriti. Doziranje ovih l</w:t>
      </w:r>
      <w:r w:rsidR="00B154A2" w:rsidRPr="00DE2CF7">
        <w:rPr>
          <w:szCs w:val="22"/>
          <w:lang w:val="sr-Latn-ME"/>
        </w:rPr>
        <w:t>j</w:t>
      </w:r>
      <w:r w:rsidRPr="00DE2CF7">
        <w:rPr>
          <w:szCs w:val="22"/>
          <w:lang w:val="sr-Latn-ME"/>
        </w:rPr>
        <w:t xml:space="preserve">ekova može da </w:t>
      </w:r>
      <w:r w:rsidR="00925CF3" w:rsidRPr="00DE2CF7">
        <w:rPr>
          <w:szCs w:val="22"/>
          <w:lang w:val="sr-Latn-ME"/>
        </w:rPr>
        <w:t xml:space="preserve">zahtijeva </w:t>
      </w:r>
      <w:r w:rsidRPr="00DE2CF7">
        <w:rPr>
          <w:szCs w:val="22"/>
          <w:lang w:val="sr-Latn-ME"/>
        </w:rPr>
        <w:t xml:space="preserve">prilagođavanje </w:t>
      </w:r>
      <w:r w:rsidR="007C26FA" w:rsidRPr="00DE2CF7">
        <w:rPr>
          <w:szCs w:val="22"/>
          <w:lang w:val="sr-Latn-ME"/>
        </w:rPr>
        <w:t>nakon uvođenja</w:t>
      </w:r>
      <w:r w:rsidRPr="00DE2CF7">
        <w:rPr>
          <w:szCs w:val="22"/>
          <w:lang w:val="sr-Latn-ME"/>
        </w:rPr>
        <w:t>, prom</w:t>
      </w:r>
      <w:r w:rsidR="00925CF3" w:rsidRPr="00DE2CF7">
        <w:rPr>
          <w:szCs w:val="22"/>
          <w:lang w:val="sr-Latn-ME"/>
        </w:rPr>
        <w:t>j</w:t>
      </w:r>
      <w:r w:rsidRPr="00DE2CF7">
        <w:rPr>
          <w:szCs w:val="22"/>
          <w:lang w:val="sr-Latn-ME"/>
        </w:rPr>
        <w:t xml:space="preserve">ene doze ili prekida istovremenog </w:t>
      </w:r>
      <w:r w:rsidR="007453E0" w:rsidRPr="00DE2CF7">
        <w:rPr>
          <w:szCs w:val="22"/>
          <w:lang w:val="sr-Latn-ME"/>
        </w:rPr>
        <w:t>liječenj</w:t>
      </w:r>
      <w:r w:rsidRPr="00DE2CF7">
        <w:rPr>
          <w:szCs w:val="22"/>
          <w:lang w:val="sr-Latn-ME"/>
        </w:rPr>
        <w:t>a</w:t>
      </w:r>
      <w:r w:rsidR="007D44F3" w:rsidRPr="00DE2CF7">
        <w:rPr>
          <w:szCs w:val="22"/>
          <w:lang w:val="sr-Latn-ME"/>
        </w:rPr>
        <w:t xml:space="preserve"> l</w:t>
      </w:r>
      <w:r w:rsidR="00B154A2" w:rsidRPr="00DE2CF7">
        <w:rPr>
          <w:szCs w:val="22"/>
          <w:lang w:val="sr-Latn-ME"/>
        </w:rPr>
        <w:t>ij</w:t>
      </w:r>
      <w:r w:rsidR="007D44F3" w:rsidRPr="00DE2CF7">
        <w:rPr>
          <w:szCs w:val="22"/>
          <w:lang w:val="sr-Latn-ME"/>
        </w:rPr>
        <w:t xml:space="preserve">ekom </w:t>
      </w:r>
      <w:r w:rsidR="00925CF3" w:rsidRPr="00DE2CF7">
        <w:rPr>
          <w:szCs w:val="22"/>
          <w:lang w:val="sr-Latn-ME"/>
        </w:rPr>
        <w:t>Bosentan Pharmascience</w:t>
      </w:r>
      <w:r w:rsidRPr="00DE2CF7">
        <w:rPr>
          <w:szCs w:val="22"/>
          <w:lang w:val="sr-Latn-ME"/>
        </w:rPr>
        <w:t>.</w:t>
      </w:r>
    </w:p>
    <w:p w14:paraId="778AE401" w14:textId="77777777" w:rsidR="005736DC" w:rsidRPr="00DE2CF7" w:rsidRDefault="005736DC" w:rsidP="00DE2CF7">
      <w:pPr>
        <w:rPr>
          <w:szCs w:val="22"/>
          <w:lang w:val="sr-Latn-ME"/>
        </w:rPr>
      </w:pPr>
    </w:p>
    <w:p w14:paraId="2659FD44" w14:textId="77777777" w:rsidR="0090133B" w:rsidRPr="00DE2CF7" w:rsidRDefault="0090133B" w:rsidP="00DE2CF7">
      <w:pPr>
        <w:rPr>
          <w:szCs w:val="22"/>
          <w:lang w:val="sr-Latn-ME"/>
        </w:rPr>
      </w:pPr>
      <w:r w:rsidRPr="00DE2CF7">
        <w:rPr>
          <w:szCs w:val="22"/>
          <w:lang w:val="sr-Latn-ME"/>
        </w:rPr>
        <w:t>Bosentan se metaboliše preko CYP2C9 i CYP3A4. Inhibicija ovih izoenzima može povećati koncentraciju bosentana u plazmi (</w:t>
      </w:r>
      <w:r w:rsidR="007453E0" w:rsidRPr="00DE2CF7">
        <w:rPr>
          <w:szCs w:val="22"/>
          <w:lang w:val="sr-Latn-ME"/>
        </w:rPr>
        <w:t>vidjeti</w:t>
      </w:r>
      <w:r w:rsidRPr="00DE2CF7">
        <w:rPr>
          <w:szCs w:val="22"/>
          <w:lang w:val="sr-Latn-ME"/>
        </w:rPr>
        <w:t xml:space="preserve"> ketokonazol). Uticaj CYP2C9 inhibitora n</w:t>
      </w:r>
      <w:r w:rsidR="00925CF3" w:rsidRPr="00DE2CF7">
        <w:rPr>
          <w:szCs w:val="22"/>
          <w:lang w:val="sr-Latn-ME"/>
        </w:rPr>
        <w:t xml:space="preserve">a koncentraciju bosentana nije </w:t>
      </w:r>
      <w:r w:rsidRPr="00DE2CF7">
        <w:rPr>
          <w:szCs w:val="22"/>
          <w:lang w:val="sr-Latn-ME"/>
        </w:rPr>
        <w:t xml:space="preserve">ispitan. Kombinaciju treba </w:t>
      </w:r>
      <w:r w:rsidR="001165AF" w:rsidRPr="00DE2CF7">
        <w:rPr>
          <w:szCs w:val="22"/>
          <w:lang w:val="sr-Latn-ME"/>
        </w:rPr>
        <w:t>primijenit</w:t>
      </w:r>
      <w:r w:rsidRPr="00DE2CF7">
        <w:rPr>
          <w:szCs w:val="22"/>
          <w:lang w:val="sr-Latn-ME"/>
        </w:rPr>
        <w:t>i sa oprezom.</w:t>
      </w:r>
    </w:p>
    <w:p w14:paraId="6555D9C4" w14:textId="77777777" w:rsidR="005736DC" w:rsidRPr="00DE2CF7" w:rsidRDefault="005736DC" w:rsidP="00DE2CF7">
      <w:pPr>
        <w:rPr>
          <w:szCs w:val="22"/>
          <w:lang w:val="sr-Latn-ME"/>
        </w:rPr>
      </w:pPr>
    </w:p>
    <w:p w14:paraId="299019A8" w14:textId="77777777" w:rsidR="0090133B" w:rsidRPr="00DE2CF7" w:rsidRDefault="0090133B" w:rsidP="00DE2CF7">
      <w:pPr>
        <w:rPr>
          <w:szCs w:val="22"/>
          <w:lang w:val="sr-Latn-ME"/>
        </w:rPr>
      </w:pPr>
      <w:r w:rsidRPr="00DE2CF7">
        <w:rPr>
          <w:i/>
          <w:szCs w:val="22"/>
          <w:lang w:val="sr-Latn-ME"/>
        </w:rPr>
        <w:t>Flukonazol i drugi inhibitori CYP2C9 i CYP</w:t>
      </w:r>
      <w:r w:rsidRPr="00DE2CF7">
        <w:rPr>
          <w:szCs w:val="22"/>
          <w:lang w:val="sr-Latn-ME"/>
        </w:rPr>
        <w:t>3A4: Istovremena prim</w:t>
      </w:r>
      <w:r w:rsidR="0038528C" w:rsidRPr="00DE2CF7">
        <w:rPr>
          <w:szCs w:val="22"/>
          <w:lang w:val="sr-Latn-ME"/>
        </w:rPr>
        <w:t>j</w:t>
      </w:r>
      <w:r w:rsidRPr="00DE2CF7">
        <w:rPr>
          <w:szCs w:val="22"/>
          <w:lang w:val="sr-Latn-ME"/>
        </w:rPr>
        <w:t>ena sa flukonazolom, koji inhibira uglavnom CYP2C9, ali do određenog stepena i CYP3A4, može voditi velikom povećanju koncentracije bosentana u plazmi. Kombinovanje se ne preporučuje. Iz istog razloga se ne preporučuje ni istovremena prim</w:t>
      </w:r>
      <w:r w:rsidR="0038528C" w:rsidRPr="00DE2CF7">
        <w:rPr>
          <w:szCs w:val="22"/>
          <w:lang w:val="sr-Latn-ME"/>
        </w:rPr>
        <w:t>j</w:t>
      </w:r>
      <w:r w:rsidRPr="00DE2CF7">
        <w:rPr>
          <w:szCs w:val="22"/>
          <w:lang w:val="sr-Latn-ME"/>
        </w:rPr>
        <w:t xml:space="preserve">ena jakog CYP3A4 inhibitora (kao što </w:t>
      </w:r>
      <w:r w:rsidR="007C304D" w:rsidRPr="00DE2CF7">
        <w:rPr>
          <w:szCs w:val="22"/>
          <w:lang w:val="sr-Latn-ME"/>
        </w:rPr>
        <w:t xml:space="preserve">su </w:t>
      </w:r>
      <w:r w:rsidRPr="00DE2CF7">
        <w:rPr>
          <w:szCs w:val="22"/>
          <w:lang w:val="sr-Latn-ME"/>
        </w:rPr>
        <w:t>ketokonazol, itrakonazol ili ritonavir) kao i CYP2C9 inhibitora (kao što je vorikonazol) sa bosentanom.</w:t>
      </w:r>
    </w:p>
    <w:p w14:paraId="183519A0" w14:textId="77777777" w:rsidR="005736DC" w:rsidRPr="00DE2CF7" w:rsidRDefault="005736DC" w:rsidP="00DE2CF7">
      <w:pPr>
        <w:rPr>
          <w:szCs w:val="22"/>
          <w:lang w:val="sr-Latn-ME"/>
        </w:rPr>
      </w:pPr>
    </w:p>
    <w:p w14:paraId="4824CF90" w14:textId="77777777" w:rsidR="0090133B" w:rsidRPr="00DE2CF7" w:rsidRDefault="0090133B" w:rsidP="00DE2CF7">
      <w:pPr>
        <w:rPr>
          <w:szCs w:val="22"/>
          <w:lang w:val="sr-Latn-ME"/>
        </w:rPr>
      </w:pPr>
      <w:r w:rsidRPr="00DE2CF7">
        <w:rPr>
          <w:i/>
          <w:szCs w:val="22"/>
          <w:lang w:val="sr-Latn-ME"/>
        </w:rPr>
        <w:t>Ciklosporin A</w:t>
      </w:r>
      <w:r w:rsidRPr="00DE2CF7">
        <w:rPr>
          <w:szCs w:val="22"/>
          <w:lang w:val="sr-Latn-ME"/>
        </w:rPr>
        <w:t>: is</w:t>
      </w:r>
      <w:r w:rsidR="005736DC" w:rsidRPr="00DE2CF7">
        <w:rPr>
          <w:szCs w:val="22"/>
          <w:lang w:val="sr-Latn-ME"/>
        </w:rPr>
        <w:t>tovremena prim</w:t>
      </w:r>
      <w:r w:rsidR="006E200E" w:rsidRPr="00DE2CF7">
        <w:rPr>
          <w:szCs w:val="22"/>
          <w:lang w:val="sr-Latn-ME"/>
        </w:rPr>
        <w:t>j</w:t>
      </w:r>
      <w:r w:rsidR="005736DC" w:rsidRPr="00DE2CF7">
        <w:rPr>
          <w:szCs w:val="22"/>
          <w:lang w:val="sr-Latn-ME"/>
        </w:rPr>
        <w:t>ena</w:t>
      </w:r>
      <w:r w:rsidR="001165AF" w:rsidRPr="00DE2CF7">
        <w:rPr>
          <w:szCs w:val="22"/>
          <w:lang w:val="sr-Latn-ME"/>
        </w:rPr>
        <w:t xml:space="preserve"> lijeka </w:t>
      </w:r>
      <w:r w:rsidR="00A559D7" w:rsidRPr="00DE2CF7">
        <w:rPr>
          <w:szCs w:val="22"/>
          <w:lang w:val="sr-Latn-ME"/>
        </w:rPr>
        <w:t>B</w:t>
      </w:r>
      <w:r w:rsidR="005736DC" w:rsidRPr="00DE2CF7">
        <w:rPr>
          <w:szCs w:val="22"/>
          <w:lang w:val="sr-Latn-ME"/>
        </w:rPr>
        <w:t>osentan</w:t>
      </w:r>
      <w:r w:rsidR="00A559D7" w:rsidRPr="00DE2CF7">
        <w:rPr>
          <w:szCs w:val="22"/>
          <w:lang w:val="sr-Latn-ME"/>
        </w:rPr>
        <w:t xml:space="preserve"> Pharmascience</w:t>
      </w:r>
      <w:r w:rsidRPr="00DE2CF7">
        <w:rPr>
          <w:szCs w:val="22"/>
          <w:lang w:val="sr-Latn-ME"/>
        </w:rPr>
        <w:t xml:space="preserve"> i ciklosporina A (inhibitora kalcineurina) je kontraindikovana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4.3). Kod istovremene prim</w:t>
      </w:r>
      <w:r w:rsidR="006E200E" w:rsidRPr="00DE2CF7">
        <w:rPr>
          <w:szCs w:val="22"/>
          <w:lang w:val="sr-Latn-ME"/>
        </w:rPr>
        <w:t>j</w:t>
      </w:r>
      <w:r w:rsidRPr="00DE2CF7">
        <w:rPr>
          <w:szCs w:val="22"/>
          <w:lang w:val="sr-Latn-ME"/>
        </w:rPr>
        <w:t>ene, početne koncentracije bosentana bile su približno 30 puta veće od onih iz</w:t>
      </w:r>
      <w:r w:rsidR="003E63C6" w:rsidRPr="00DE2CF7">
        <w:rPr>
          <w:szCs w:val="22"/>
          <w:lang w:val="sr-Latn-ME"/>
        </w:rPr>
        <w:t>mjeren</w:t>
      </w:r>
      <w:r w:rsidRPr="00DE2CF7">
        <w:rPr>
          <w:szCs w:val="22"/>
          <w:lang w:val="sr-Latn-ME"/>
        </w:rPr>
        <w:t>ih samo sa bosentanom. U stanju ravnoteže, koncentracije bosentana u plazmi bile su 3 do 4 puta veće nego samo sa bosentanom. Mehanizam ove interakcije je naj</w:t>
      </w:r>
      <w:r w:rsidR="004374E0" w:rsidRPr="00DE2CF7">
        <w:rPr>
          <w:szCs w:val="22"/>
          <w:lang w:val="sr-Latn-ME"/>
        </w:rPr>
        <w:t>vjerovatn</w:t>
      </w:r>
      <w:r w:rsidRPr="00DE2CF7">
        <w:rPr>
          <w:szCs w:val="22"/>
          <w:lang w:val="sr-Latn-ME"/>
        </w:rPr>
        <w:t>ije inhibicija preuzimanja bosentana u hepatocite, posredovanog transportnim proteinima, koju prouzrokuje ciklosporin. Koncentracije ciklosporina A (CYP3A4 supstrata) u krvi smanjile su se za približno 50%. Ovo je naj</w:t>
      </w:r>
      <w:r w:rsidR="004374E0" w:rsidRPr="00DE2CF7">
        <w:rPr>
          <w:szCs w:val="22"/>
          <w:lang w:val="sr-Latn-ME"/>
        </w:rPr>
        <w:t>vjerovatn</w:t>
      </w:r>
      <w:r w:rsidRPr="00DE2CF7">
        <w:rPr>
          <w:szCs w:val="22"/>
          <w:lang w:val="sr-Latn-ME"/>
        </w:rPr>
        <w:t xml:space="preserve">ije </w:t>
      </w:r>
      <w:r w:rsidR="007453E0" w:rsidRPr="00DE2CF7">
        <w:rPr>
          <w:szCs w:val="22"/>
          <w:lang w:val="sr-Latn-ME"/>
        </w:rPr>
        <w:t>posljed</w:t>
      </w:r>
      <w:r w:rsidRPr="00DE2CF7">
        <w:rPr>
          <w:szCs w:val="22"/>
          <w:lang w:val="sr-Latn-ME"/>
        </w:rPr>
        <w:t>ica indukcije CYP3A4 izazvane bosentanom.</w:t>
      </w:r>
    </w:p>
    <w:p w14:paraId="473BA93E" w14:textId="77777777" w:rsidR="005736DC" w:rsidRPr="00DE2CF7" w:rsidRDefault="005736DC" w:rsidP="00DE2CF7">
      <w:pPr>
        <w:rPr>
          <w:szCs w:val="22"/>
          <w:lang w:val="sr-Latn-ME"/>
        </w:rPr>
      </w:pPr>
    </w:p>
    <w:p w14:paraId="56D898DF" w14:textId="77777777" w:rsidR="0090133B" w:rsidRPr="00DE2CF7" w:rsidRDefault="0090133B" w:rsidP="00DE2CF7">
      <w:pPr>
        <w:rPr>
          <w:szCs w:val="22"/>
          <w:lang w:val="sr-Latn-ME"/>
        </w:rPr>
      </w:pPr>
      <w:r w:rsidRPr="00DE2CF7">
        <w:rPr>
          <w:i/>
          <w:szCs w:val="22"/>
          <w:lang w:val="sr-Latn-ME"/>
        </w:rPr>
        <w:t>Takrolimus, sirolimus</w:t>
      </w:r>
      <w:r w:rsidRPr="00DE2CF7">
        <w:rPr>
          <w:szCs w:val="22"/>
          <w:lang w:val="sr-Latn-ME"/>
        </w:rPr>
        <w:t>: istovremena prim</w:t>
      </w:r>
      <w:r w:rsidR="006E200E" w:rsidRPr="00DE2CF7">
        <w:rPr>
          <w:szCs w:val="22"/>
          <w:lang w:val="sr-Latn-ME"/>
        </w:rPr>
        <w:t>j</w:t>
      </w:r>
      <w:r w:rsidRPr="00DE2CF7">
        <w:rPr>
          <w:szCs w:val="22"/>
          <w:lang w:val="sr-Latn-ME"/>
        </w:rPr>
        <w:t>ena takrolimusa ili sirolimusa sa bosentanom nije bila ispitana kod ljudi, ali može dovesti do povećanja koncentracije bosentana u plazmi po analogiji sa istovremenom prim</w:t>
      </w:r>
      <w:r w:rsidR="006E200E" w:rsidRPr="00DE2CF7">
        <w:rPr>
          <w:szCs w:val="22"/>
          <w:lang w:val="sr-Latn-ME"/>
        </w:rPr>
        <w:t>j</w:t>
      </w:r>
      <w:r w:rsidRPr="00DE2CF7">
        <w:rPr>
          <w:szCs w:val="22"/>
          <w:lang w:val="sr-Latn-ME"/>
        </w:rPr>
        <w:t>enom ciklosporina A. Takođe, bosentan može da smanji koncentracije takrolimusa i sirolimusa u plazmi. Zbog toga, istovremena prim</w:t>
      </w:r>
      <w:r w:rsidR="006E200E" w:rsidRPr="00DE2CF7">
        <w:rPr>
          <w:szCs w:val="22"/>
          <w:lang w:val="sr-Latn-ME"/>
        </w:rPr>
        <w:t>j</w:t>
      </w:r>
      <w:r w:rsidRPr="00DE2CF7">
        <w:rPr>
          <w:szCs w:val="22"/>
          <w:lang w:val="sr-Latn-ME"/>
        </w:rPr>
        <w:t xml:space="preserve">ena bosentana sa takrolimusom ili sirolimusom nije preporučljiva. </w:t>
      </w:r>
    </w:p>
    <w:p w14:paraId="4E6D8BB0" w14:textId="77777777" w:rsidR="0090133B" w:rsidRPr="00DE2CF7" w:rsidRDefault="0090133B" w:rsidP="00DE2CF7">
      <w:pPr>
        <w:rPr>
          <w:szCs w:val="22"/>
          <w:lang w:val="sr-Latn-ME"/>
        </w:rPr>
      </w:pPr>
      <w:r w:rsidRPr="00DE2CF7">
        <w:rPr>
          <w:szCs w:val="22"/>
          <w:lang w:val="sr-Latn-ME"/>
        </w:rPr>
        <w:t>Pacijente kojima je potrebna ova kombinacija bi trebalo pažljivo pratiti zbog neželjenih događaja vezanih za bosentan i zbog koncentracije takrolimusa ili sirolimusa u krvi.</w:t>
      </w:r>
    </w:p>
    <w:p w14:paraId="5B94AF42" w14:textId="77777777" w:rsidR="005736DC" w:rsidRPr="00DE2CF7" w:rsidRDefault="005736DC" w:rsidP="00DE2CF7">
      <w:pPr>
        <w:rPr>
          <w:szCs w:val="22"/>
          <w:lang w:val="sr-Latn-ME"/>
        </w:rPr>
      </w:pPr>
    </w:p>
    <w:p w14:paraId="72146C63" w14:textId="77777777" w:rsidR="0090133B" w:rsidRPr="00DE2CF7" w:rsidRDefault="0090133B" w:rsidP="00DE2CF7">
      <w:pPr>
        <w:rPr>
          <w:szCs w:val="22"/>
          <w:lang w:val="sr-Latn-ME"/>
        </w:rPr>
      </w:pPr>
      <w:r w:rsidRPr="00DE2CF7">
        <w:rPr>
          <w:i/>
          <w:szCs w:val="22"/>
          <w:lang w:val="sr-Latn-ME"/>
        </w:rPr>
        <w:t>Glibenklamid</w:t>
      </w:r>
      <w:r w:rsidRPr="00DE2CF7">
        <w:rPr>
          <w:szCs w:val="22"/>
          <w:lang w:val="sr-Latn-ME"/>
        </w:rPr>
        <w:t>: istovremena prim</w:t>
      </w:r>
      <w:r w:rsidR="006E200E" w:rsidRPr="00DE2CF7">
        <w:rPr>
          <w:szCs w:val="22"/>
          <w:lang w:val="sr-Latn-ME"/>
        </w:rPr>
        <w:t>j</w:t>
      </w:r>
      <w:r w:rsidRPr="00DE2CF7">
        <w:rPr>
          <w:szCs w:val="22"/>
          <w:lang w:val="sr-Latn-ME"/>
        </w:rPr>
        <w:t xml:space="preserve">ena bosentana od 125 mg dva puta dnevno tokom 5 dana smanjila je koncentracije glibenklamida (CYP3A4 supstrata) u plazmi za 40%, sa snažnim značajnim smanjenjem hipoglikemijskog efekta. Koncentracije bosentana u plazmi bile su takođe smanjene za 29%. Pored toga, povećana incidencija povišenih </w:t>
      </w:r>
      <w:r w:rsidR="002407A5" w:rsidRPr="00DE2CF7">
        <w:rPr>
          <w:szCs w:val="22"/>
          <w:lang w:val="sr-Latn-ME"/>
        </w:rPr>
        <w:t>vrijednost</w:t>
      </w:r>
      <w:r w:rsidRPr="00DE2CF7">
        <w:rPr>
          <w:szCs w:val="22"/>
          <w:lang w:val="sr-Latn-ME"/>
        </w:rPr>
        <w:t>i aminotransferaza je bila prim</w:t>
      </w:r>
      <w:r w:rsidR="006E200E" w:rsidRPr="00DE2CF7">
        <w:rPr>
          <w:szCs w:val="22"/>
          <w:lang w:val="sr-Latn-ME"/>
        </w:rPr>
        <w:t>ij</w:t>
      </w:r>
      <w:r w:rsidRPr="00DE2CF7">
        <w:rPr>
          <w:szCs w:val="22"/>
          <w:lang w:val="sr-Latn-ME"/>
        </w:rPr>
        <w:t xml:space="preserve">ećena kod pacijenata koji su primali istovremenu terapiju. </w:t>
      </w:r>
      <w:r w:rsidR="00FD3142" w:rsidRPr="00DE2CF7">
        <w:rPr>
          <w:szCs w:val="22"/>
          <w:lang w:val="sr-Latn-ME"/>
        </w:rPr>
        <w:t xml:space="preserve">Oba lijeka, </w:t>
      </w:r>
      <w:r w:rsidRPr="00DE2CF7">
        <w:rPr>
          <w:szCs w:val="22"/>
          <w:lang w:val="sr-Latn-ME"/>
        </w:rPr>
        <w:t>glibenklamid i bosentan</w:t>
      </w:r>
      <w:r w:rsidR="00902F29" w:rsidRPr="00DE2CF7">
        <w:rPr>
          <w:szCs w:val="22"/>
          <w:lang w:val="sr-Latn-ME"/>
        </w:rPr>
        <w:t>,</w:t>
      </w:r>
      <w:r w:rsidRPr="00DE2CF7">
        <w:rPr>
          <w:szCs w:val="22"/>
          <w:lang w:val="sr-Latn-ME"/>
        </w:rPr>
        <w:t xml:space="preserve"> inhibiraju pumpu za izlučivanje žučnih soli, što može da objasni povišene </w:t>
      </w:r>
      <w:r w:rsidR="002407A5" w:rsidRPr="00DE2CF7">
        <w:rPr>
          <w:szCs w:val="22"/>
          <w:lang w:val="sr-Latn-ME"/>
        </w:rPr>
        <w:t>vrijednost</w:t>
      </w:r>
      <w:r w:rsidRPr="00DE2CF7">
        <w:rPr>
          <w:szCs w:val="22"/>
          <w:lang w:val="sr-Latn-ME"/>
        </w:rPr>
        <w:t xml:space="preserve">i aminotransferaza. </w:t>
      </w:r>
      <w:r w:rsidR="00FD3142" w:rsidRPr="00DE2CF7">
        <w:rPr>
          <w:szCs w:val="22"/>
          <w:lang w:val="sr-Latn-ME"/>
        </w:rPr>
        <w:t>Zbog se o</w:t>
      </w:r>
      <w:r w:rsidRPr="00DE2CF7">
        <w:rPr>
          <w:szCs w:val="22"/>
          <w:lang w:val="sr-Latn-ME"/>
        </w:rPr>
        <w:t xml:space="preserve">va kombinacija ne </w:t>
      </w:r>
      <w:r w:rsidR="007C26FA" w:rsidRPr="00DE2CF7">
        <w:rPr>
          <w:szCs w:val="22"/>
          <w:lang w:val="sr-Latn-ME"/>
        </w:rPr>
        <w:t>smije primjenjivati</w:t>
      </w:r>
      <w:r w:rsidR="00FD3142" w:rsidRPr="00DE2CF7">
        <w:rPr>
          <w:szCs w:val="22"/>
          <w:lang w:val="sr-Latn-ME"/>
        </w:rPr>
        <w:t>.</w:t>
      </w:r>
      <w:r w:rsidRPr="00DE2CF7">
        <w:rPr>
          <w:szCs w:val="22"/>
          <w:lang w:val="sr-Latn-ME"/>
        </w:rPr>
        <w:t xml:space="preserve"> </w:t>
      </w:r>
      <w:r w:rsidR="00FD3142" w:rsidRPr="00DE2CF7">
        <w:rPr>
          <w:szCs w:val="22"/>
          <w:lang w:val="sr-Latn-ME"/>
        </w:rPr>
        <w:t xml:space="preserve">Podaci </w:t>
      </w:r>
      <w:r w:rsidR="007C26FA" w:rsidRPr="00DE2CF7">
        <w:rPr>
          <w:szCs w:val="22"/>
          <w:lang w:val="sr-Latn-ME"/>
        </w:rPr>
        <w:t>o interakcijama</w:t>
      </w:r>
      <w:r w:rsidRPr="00DE2CF7">
        <w:rPr>
          <w:szCs w:val="22"/>
          <w:lang w:val="sr-Latn-ME"/>
        </w:rPr>
        <w:t xml:space="preserve"> sa drugim derivatima sulfoniluree</w:t>
      </w:r>
      <w:r w:rsidR="00FD3142" w:rsidRPr="00DE2CF7">
        <w:rPr>
          <w:szCs w:val="22"/>
          <w:lang w:val="sr-Latn-ME"/>
        </w:rPr>
        <w:t xml:space="preserve"> nisu dostupni</w:t>
      </w:r>
      <w:r w:rsidRPr="00DE2CF7">
        <w:rPr>
          <w:szCs w:val="22"/>
          <w:lang w:val="sr-Latn-ME"/>
        </w:rPr>
        <w:t>.</w:t>
      </w:r>
    </w:p>
    <w:p w14:paraId="148F0402" w14:textId="77777777" w:rsidR="005736DC" w:rsidRPr="00DE2CF7" w:rsidRDefault="005736DC" w:rsidP="00DE2CF7">
      <w:pPr>
        <w:rPr>
          <w:i/>
          <w:szCs w:val="22"/>
          <w:lang w:val="sr-Latn-ME"/>
        </w:rPr>
      </w:pPr>
    </w:p>
    <w:p w14:paraId="4D9985E3" w14:textId="77777777" w:rsidR="0090133B" w:rsidRPr="00DE2CF7" w:rsidRDefault="0090133B" w:rsidP="00DE2CF7">
      <w:pPr>
        <w:rPr>
          <w:szCs w:val="22"/>
          <w:lang w:val="sr-Latn-ME"/>
        </w:rPr>
      </w:pPr>
      <w:r w:rsidRPr="00DE2CF7">
        <w:rPr>
          <w:i/>
          <w:szCs w:val="22"/>
          <w:lang w:val="sr-Latn-ME"/>
        </w:rPr>
        <w:t>Rifampicin</w:t>
      </w:r>
      <w:r w:rsidRPr="00DE2CF7">
        <w:rPr>
          <w:szCs w:val="22"/>
          <w:lang w:val="sr-Latn-ME"/>
        </w:rPr>
        <w:t>: istovremena prim</w:t>
      </w:r>
      <w:r w:rsidR="006E200E" w:rsidRPr="00DE2CF7">
        <w:rPr>
          <w:szCs w:val="22"/>
          <w:lang w:val="sr-Latn-ME"/>
        </w:rPr>
        <w:t>j</w:t>
      </w:r>
      <w:r w:rsidRPr="00DE2CF7">
        <w:rPr>
          <w:szCs w:val="22"/>
          <w:lang w:val="sr-Latn-ME"/>
        </w:rPr>
        <w:t xml:space="preserve">ena 125 mg bosentana dva puta dnevno sa rifampicinom, jakim induktorom CYP2C9 i CYP3A4, kod 9 zdravih ispitanika tokom 7 dana, smanjila je koncentracije bosentana u plazmi za </w:t>
      </w:r>
      <w:r w:rsidRPr="00DE2CF7">
        <w:rPr>
          <w:szCs w:val="22"/>
          <w:lang w:val="sr-Latn-ME"/>
        </w:rPr>
        <w:lastRenderedPageBreak/>
        <w:t>58%, i ovo smanjenje je moglo dostići skoro 90% u pojedinom slučaju. Kao rezultat, značajno smanjenje efekta bosentana se očekuje kada se prim</w:t>
      </w:r>
      <w:r w:rsidR="006E200E" w:rsidRPr="00DE2CF7">
        <w:rPr>
          <w:szCs w:val="22"/>
          <w:lang w:val="sr-Latn-ME"/>
        </w:rPr>
        <w:t>j</w:t>
      </w:r>
      <w:r w:rsidRPr="00DE2CF7">
        <w:rPr>
          <w:szCs w:val="22"/>
          <w:lang w:val="sr-Latn-ME"/>
        </w:rPr>
        <w:t xml:space="preserve">eni istovremeno sa rifampicinom. Istovremena upotreba rifampicina i </w:t>
      </w:r>
      <w:r w:rsidR="000775B2" w:rsidRPr="00DE2CF7">
        <w:rPr>
          <w:szCs w:val="22"/>
          <w:lang w:val="sr-Latn-ME"/>
        </w:rPr>
        <w:t>lijeka Bosentan Pharmascience</w:t>
      </w:r>
      <w:r w:rsidRPr="00DE2CF7">
        <w:rPr>
          <w:szCs w:val="22"/>
          <w:lang w:val="sr-Latn-ME"/>
        </w:rPr>
        <w:t xml:space="preserve"> se ne preporučuje. Podaci za druge CYP3A4 induktore, npr. karbamazepin, fenobarbital, fenitoin i kantarion su nedostupni, ali </w:t>
      </w:r>
      <w:r w:rsidR="00902F29" w:rsidRPr="00DE2CF7">
        <w:rPr>
          <w:szCs w:val="22"/>
          <w:lang w:val="sr-Latn-ME"/>
        </w:rPr>
        <w:t xml:space="preserve">se očekuje da </w:t>
      </w:r>
      <w:r w:rsidRPr="00DE2CF7">
        <w:rPr>
          <w:szCs w:val="22"/>
          <w:lang w:val="sr-Latn-ME"/>
        </w:rPr>
        <w:t>njihova istovremena prim</w:t>
      </w:r>
      <w:r w:rsidR="006E200E" w:rsidRPr="00DE2CF7">
        <w:rPr>
          <w:szCs w:val="22"/>
          <w:lang w:val="sr-Latn-ME"/>
        </w:rPr>
        <w:t>j</w:t>
      </w:r>
      <w:r w:rsidRPr="00DE2CF7">
        <w:rPr>
          <w:szCs w:val="22"/>
          <w:lang w:val="sr-Latn-ME"/>
        </w:rPr>
        <w:t>ena vodi smanjenju sistemske izloženosti bosentanu. Klinički značajno smanjenje efikasnosti se ne može isključiti.</w:t>
      </w:r>
    </w:p>
    <w:p w14:paraId="15B2220B" w14:textId="77777777" w:rsidR="005736DC" w:rsidRPr="00DE2CF7" w:rsidRDefault="005736DC" w:rsidP="00DE2CF7">
      <w:pPr>
        <w:rPr>
          <w:szCs w:val="22"/>
          <w:lang w:val="sr-Latn-ME"/>
        </w:rPr>
      </w:pPr>
    </w:p>
    <w:p w14:paraId="6DD0CBE5" w14:textId="77777777" w:rsidR="0090133B" w:rsidRPr="00DE2CF7" w:rsidRDefault="0090133B" w:rsidP="00DE2CF7">
      <w:pPr>
        <w:rPr>
          <w:szCs w:val="22"/>
          <w:lang w:val="sr-Latn-ME"/>
        </w:rPr>
      </w:pPr>
      <w:r w:rsidRPr="00DE2CF7">
        <w:rPr>
          <w:i/>
          <w:szCs w:val="22"/>
          <w:lang w:val="sr-Latn-ME"/>
        </w:rPr>
        <w:t>Lopinavir + ritonavir (i drugi inhibitori proteaze pojačani ritonavirom)</w:t>
      </w:r>
      <w:r w:rsidRPr="00DE2CF7">
        <w:rPr>
          <w:szCs w:val="22"/>
          <w:lang w:val="sr-Latn-ME"/>
        </w:rPr>
        <w:t>: istovremena prim</w:t>
      </w:r>
      <w:r w:rsidR="006E200E" w:rsidRPr="00DE2CF7">
        <w:rPr>
          <w:szCs w:val="22"/>
          <w:lang w:val="sr-Latn-ME"/>
        </w:rPr>
        <w:t>j</w:t>
      </w:r>
      <w:r w:rsidRPr="00DE2CF7">
        <w:rPr>
          <w:szCs w:val="22"/>
          <w:lang w:val="sr-Latn-ME"/>
        </w:rPr>
        <w:t>ena 125 mg bosentana dva puta dnevno sa 400 mg lopinavira i 100 mg ritonavira dva puta dnev</w:t>
      </w:r>
      <w:r w:rsidR="000775B2" w:rsidRPr="00DE2CF7">
        <w:rPr>
          <w:szCs w:val="22"/>
          <w:lang w:val="sr-Latn-ME"/>
        </w:rPr>
        <w:t>no, tokom 9</w:t>
      </w:r>
      <w:r w:rsidR="00902F29" w:rsidRPr="00DE2CF7">
        <w:rPr>
          <w:szCs w:val="22"/>
          <w:lang w:val="sr-Latn-ME"/>
        </w:rPr>
        <w:t>,</w:t>
      </w:r>
      <w:r w:rsidRPr="00DE2CF7">
        <w:rPr>
          <w:szCs w:val="22"/>
          <w:lang w:val="sr-Latn-ME"/>
        </w:rPr>
        <w:t>5 dana kod zdravih dobrovoljaca, dala je početne koncentracije bosentana u plazmi koje su bile približno 48 puta više od onih iz</w:t>
      </w:r>
      <w:r w:rsidR="003E63C6" w:rsidRPr="00DE2CF7">
        <w:rPr>
          <w:szCs w:val="22"/>
          <w:lang w:val="sr-Latn-ME"/>
        </w:rPr>
        <w:t>mjeren</w:t>
      </w:r>
      <w:r w:rsidRPr="00DE2CF7">
        <w:rPr>
          <w:szCs w:val="22"/>
          <w:lang w:val="sr-Latn-ME"/>
        </w:rPr>
        <w:t xml:space="preserve">ih nakon </w:t>
      </w:r>
      <w:r w:rsidR="004374E0" w:rsidRPr="00DE2CF7">
        <w:rPr>
          <w:szCs w:val="22"/>
          <w:lang w:val="sr-Latn-ME"/>
        </w:rPr>
        <w:t xml:space="preserve">primjene </w:t>
      </w:r>
      <w:r w:rsidRPr="00DE2CF7">
        <w:rPr>
          <w:szCs w:val="22"/>
          <w:lang w:val="sr-Latn-ME"/>
        </w:rPr>
        <w:t>samo bosentana. Devetog dana, koncentracije bosentana u plazmi bile su približno 5 puta više nego pri prim</w:t>
      </w:r>
      <w:r w:rsidR="006E200E" w:rsidRPr="00DE2CF7">
        <w:rPr>
          <w:szCs w:val="22"/>
          <w:lang w:val="sr-Latn-ME"/>
        </w:rPr>
        <w:t>j</w:t>
      </w:r>
      <w:r w:rsidRPr="00DE2CF7">
        <w:rPr>
          <w:szCs w:val="22"/>
          <w:lang w:val="sr-Latn-ME"/>
        </w:rPr>
        <w:t>eni samo bosentana. Inhibicija preuzimanja u hepatocite, posredovanog transportnim proteinima, i inhibicija CYP 3A4, izazvane ritonavirom, koje smanjuju klirens bosentana, po svemu sudeći su uzroci ove interakcije. Pri istovremenoj prim</w:t>
      </w:r>
      <w:r w:rsidR="006E200E" w:rsidRPr="00DE2CF7">
        <w:rPr>
          <w:szCs w:val="22"/>
          <w:lang w:val="sr-Latn-ME"/>
        </w:rPr>
        <w:t>j</w:t>
      </w:r>
      <w:r w:rsidRPr="00DE2CF7">
        <w:rPr>
          <w:szCs w:val="22"/>
          <w:lang w:val="sr-Latn-ME"/>
        </w:rPr>
        <w:t>eni sa lopinavirom i ritonavirom ili sa drugim inhibitorima proteaze pojačanim ritonavirom, potrebno je da se pr</w:t>
      </w:r>
      <w:r w:rsidR="005736DC" w:rsidRPr="00DE2CF7">
        <w:rPr>
          <w:szCs w:val="22"/>
          <w:lang w:val="sr-Latn-ME"/>
        </w:rPr>
        <w:t>ati podnošljivost</w:t>
      </w:r>
      <w:r w:rsidR="001165AF" w:rsidRPr="00DE2CF7">
        <w:rPr>
          <w:szCs w:val="22"/>
          <w:lang w:val="sr-Latn-ME"/>
        </w:rPr>
        <w:t xml:space="preserve"> lijeka </w:t>
      </w:r>
      <w:r w:rsidR="00A559D7" w:rsidRPr="00DE2CF7">
        <w:rPr>
          <w:szCs w:val="22"/>
          <w:lang w:val="sr-Latn-ME"/>
        </w:rPr>
        <w:t>B</w:t>
      </w:r>
      <w:r w:rsidR="005736DC" w:rsidRPr="00DE2CF7">
        <w:rPr>
          <w:szCs w:val="22"/>
          <w:lang w:val="sr-Latn-ME"/>
        </w:rPr>
        <w:t>osentan</w:t>
      </w:r>
      <w:r w:rsidR="00A559D7" w:rsidRPr="00DE2CF7">
        <w:rPr>
          <w:szCs w:val="22"/>
          <w:lang w:val="sr-Latn-ME"/>
        </w:rPr>
        <w:t xml:space="preserve"> Pharmascience</w:t>
      </w:r>
      <w:r w:rsidRPr="00DE2CF7">
        <w:rPr>
          <w:szCs w:val="22"/>
          <w:lang w:val="sr-Latn-ME"/>
        </w:rPr>
        <w:t>.</w:t>
      </w:r>
    </w:p>
    <w:p w14:paraId="7E2B1077" w14:textId="77777777" w:rsidR="005736DC" w:rsidRPr="00DE2CF7" w:rsidRDefault="005736DC" w:rsidP="00DE2CF7">
      <w:pPr>
        <w:rPr>
          <w:szCs w:val="22"/>
          <w:lang w:val="sr-Latn-ME"/>
        </w:rPr>
      </w:pPr>
    </w:p>
    <w:p w14:paraId="5523A43C" w14:textId="77777777" w:rsidR="0090133B" w:rsidRPr="00DE2CF7" w:rsidRDefault="00F32ACD" w:rsidP="00DE2CF7">
      <w:pPr>
        <w:rPr>
          <w:szCs w:val="22"/>
          <w:lang w:val="sr-Latn-ME"/>
        </w:rPr>
      </w:pPr>
      <w:r w:rsidRPr="00DE2CF7">
        <w:rPr>
          <w:szCs w:val="22"/>
          <w:lang w:val="sr-Latn-ME"/>
        </w:rPr>
        <w:t xml:space="preserve">Nakon </w:t>
      </w:r>
      <w:r w:rsidR="0090133B" w:rsidRPr="00DE2CF7">
        <w:rPr>
          <w:szCs w:val="22"/>
          <w:lang w:val="sr-Latn-ME"/>
        </w:rPr>
        <w:t xml:space="preserve">istovremene </w:t>
      </w:r>
      <w:r w:rsidR="004374E0" w:rsidRPr="00DE2CF7">
        <w:rPr>
          <w:szCs w:val="22"/>
          <w:lang w:val="sr-Latn-ME"/>
        </w:rPr>
        <w:t xml:space="preserve">primjene </w:t>
      </w:r>
      <w:r w:rsidR="000775B2" w:rsidRPr="00DE2CF7">
        <w:rPr>
          <w:szCs w:val="22"/>
          <w:lang w:val="sr-Latn-ME"/>
        </w:rPr>
        <w:t>bosentana tokom 9</w:t>
      </w:r>
      <w:r w:rsidR="00902F29" w:rsidRPr="00DE2CF7">
        <w:rPr>
          <w:szCs w:val="22"/>
          <w:lang w:val="sr-Latn-ME"/>
        </w:rPr>
        <w:t>,</w:t>
      </w:r>
      <w:r w:rsidR="0090133B" w:rsidRPr="00DE2CF7">
        <w:rPr>
          <w:szCs w:val="22"/>
          <w:lang w:val="sr-Latn-ME"/>
        </w:rPr>
        <w:t>5 dana, izloženost</w:t>
      </w:r>
      <w:r w:rsidR="000775B2" w:rsidRPr="00DE2CF7">
        <w:rPr>
          <w:szCs w:val="22"/>
          <w:lang w:val="sr-Latn-ME"/>
        </w:rPr>
        <w:t>i</w:t>
      </w:r>
      <w:r w:rsidR="0090133B" w:rsidRPr="00DE2CF7">
        <w:rPr>
          <w:szCs w:val="22"/>
          <w:lang w:val="sr-Latn-ME"/>
        </w:rPr>
        <w:t xml:space="preserve"> lopinaviru i ritonaviru u plazmi </w:t>
      </w:r>
      <w:r w:rsidR="000775B2" w:rsidRPr="00DE2CF7">
        <w:rPr>
          <w:szCs w:val="22"/>
          <w:lang w:val="sr-Latn-ME"/>
        </w:rPr>
        <w:t xml:space="preserve">su </w:t>
      </w:r>
      <w:r w:rsidR="0090133B" w:rsidRPr="00DE2CF7">
        <w:rPr>
          <w:szCs w:val="22"/>
          <w:lang w:val="sr-Latn-ME"/>
        </w:rPr>
        <w:t>se smanjil</w:t>
      </w:r>
      <w:r w:rsidR="000775B2" w:rsidRPr="00DE2CF7">
        <w:rPr>
          <w:szCs w:val="22"/>
          <w:lang w:val="sr-Latn-ME"/>
        </w:rPr>
        <w:t>e</w:t>
      </w:r>
      <w:r w:rsidR="0090133B" w:rsidRPr="00DE2CF7">
        <w:rPr>
          <w:szCs w:val="22"/>
          <w:lang w:val="sr-Latn-ME"/>
        </w:rPr>
        <w:t xml:space="preserve"> na nivo koji nije bio klinički značajan (za približno 14%, odnosno 17%). Međutim, puna indukcija od strane bosenta</w:t>
      </w:r>
      <w:r w:rsidR="000775B2" w:rsidRPr="00DE2CF7">
        <w:rPr>
          <w:szCs w:val="22"/>
          <w:lang w:val="sr-Latn-ME"/>
        </w:rPr>
        <w:t xml:space="preserve">na možda nije bila dostignuta, </w:t>
      </w:r>
      <w:r w:rsidR="007C26FA" w:rsidRPr="00DE2CF7">
        <w:rPr>
          <w:szCs w:val="22"/>
          <w:lang w:val="sr-Latn-ME"/>
        </w:rPr>
        <w:t>pa dalje</w:t>
      </w:r>
      <w:r w:rsidR="0090133B" w:rsidRPr="00DE2CF7">
        <w:rPr>
          <w:szCs w:val="22"/>
          <w:lang w:val="sr-Latn-ME"/>
        </w:rPr>
        <w:t xml:space="preserve"> smanjenje inhibitora proteaze nije moguće isključiti. Preporučuje se odgovarajuće praćenje terapije HIV infekcije. Slični efekti se mogu očekivati sa drugim inhibitorima proteaze pojačanim ritonavirom (</w:t>
      </w:r>
      <w:r w:rsidR="007453E0" w:rsidRPr="00DE2CF7">
        <w:rPr>
          <w:szCs w:val="22"/>
          <w:lang w:val="sr-Latn-ME"/>
        </w:rPr>
        <w:t>vidjeti</w:t>
      </w:r>
      <w:r w:rsidR="0090133B" w:rsidRPr="00DE2CF7">
        <w:rPr>
          <w:szCs w:val="22"/>
          <w:lang w:val="sr-Latn-ME"/>
        </w:rPr>
        <w:t xml:space="preserve"> </w:t>
      </w:r>
      <w:r w:rsidR="007453E0" w:rsidRPr="00DE2CF7">
        <w:rPr>
          <w:szCs w:val="22"/>
          <w:lang w:val="sr-Latn-ME"/>
        </w:rPr>
        <w:t>odjeljak</w:t>
      </w:r>
      <w:r w:rsidR="0090133B" w:rsidRPr="00DE2CF7">
        <w:rPr>
          <w:szCs w:val="22"/>
          <w:lang w:val="sr-Latn-ME"/>
        </w:rPr>
        <w:t xml:space="preserve"> 4.4).</w:t>
      </w:r>
    </w:p>
    <w:p w14:paraId="53606724" w14:textId="77777777" w:rsidR="005736DC" w:rsidRPr="00DE2CF7" w:rsidRDefault="005736DC" w:rsidP="00DE2CF7">
      <w:pPr>
        <w:rPr>
          <w:i/>
          <w:szCs w:val="22"/>
          <w:lang w:val="sr-Latn-ME"/>
        </w:rPr>
      </w:pPr>
    </w:p>
    <w:p w14:paraId="3461A5A6" w14:textId="77777777" w:rsidR="0090133B" w:rsidRPr="00DE2CF7" w:rsidRDefault="0090133B" w:rsidP="00DE2CF7">
      <w:pPr>
        <w:rPr>
          <w:szCs w:val="22"/>
          <w:lang w:val="sr-Latn-ME"/>
        </w:rPr>
      </w:pPr>
      <w:r w:rsidRPr="00DE2CF7">
        <w:rPr>
          <w:i/>
          <w:szCs w:val="22"/>
          <w:lang w:val="sr-Latn-ME"/>
        </w:rPr>
        <w:t>Drugi antiretrovirusni l</w:t>
      </w:r>
      <w:r w:rsidR="000775B2" w:rsidRPr="00DE2CF7">
        <w:rPr>
          <w:i/>
          <w:szCs w:val="22"/>
          <w:lang w:val="sr-Latn-ME"/>
        </w:rPr>
        <w:t>j</w:t>
      </w:r>
      <w:r w:rsidRPr="00DE2CF7">
        <w:rPr>
          <w:i/>
          <w:szCs w:val="22"/>
          <w:lang w:val="sr-Latn-ME"/>
        </w:rPr>
        <w:t>ekovi:</w:t>
      </w:r>
      <w:r w:rsidRPr="00DE2CF7">
        <w:rPr>
          <w:szCs w:val="22"/>
          <w:lang w:val="sr-Latn-ME"/>
        </w:rPr>
        <w:t xml:space="preserve"> nema specifične preporuke za druge dostupne antiretrovirusne l</w:t>
      </w:r>
      <w:r w:rsidR="000775B2" w:rsidRPr="00DE2CF7">
        <w:rPr>
          <w:szCs w:val="22"/>
          <w:lang w:val="sr-Latn-ME"/>
        </w:rPr>
        <w:t>j</w:t>
      </w:r>
      <w:r w:rsidRPr="00DE2CF7">
        <w:rPr>
          <w:szCs w:val="22"/>
          <w:lang w:val="sr-Latn-ME"/>
        </w:rPr>
        <w:t>ekove zbog nedostatka podataka. Zbog značajne hepatoksičnosti nevirapina</w:t>
      </w:r>
      <w:r w:rsidR="000775B2" w:rsidRPr="00DE2CF7">
        <w:rPr>
          <w:szCs w:val="22"/>
          <w:lang w:val="sr-Latn-ME"/>
        </w:rPr>
        <w:t>,</w:t>
      </w:r>
      <w:r w:rsidRPr="00DE2CF7">
        <w:rPr>
          <w:szCs w:val="22"/>
          <w:lang w:val="sr-Latn-ME"/>
        </w:rPr>
        <w:t xml:space="preserve"> koja </w:t>
      </w:r>
      <w:r w:rsidR="00706F05" w:rsidRPr="00DE2CF7">
        <w:rPr>
          <w:szCs w:val="22"/>
          <w:lang w:val="sr-Latn-ME"/>
        </w:rPr>
        <w:t xml:space="preserve">bi mogla pojačati </w:t>
      </w:r>
      <w:r w:rsidR="007C26FA" w:rsidRPr="00DE2CF7">
        <w:rPr>
          <w:szCs w:val="22"/>
          <w:lang w:val="sr-Latn-ME"/>
        </w:rPr>
        <w:t>hepatotoksičnost bosentana</w:t>
      </w:r>
      <w:r w:rsidRPr="00DE2CF7">
        <w:rPr>
          <w:szCs w:val="22"/>
          <w:lang w:val="sr-Latn-ME"/>
        </w:rPr>
        <w:t xml:space="preserve">,  kombinacija </w:t>
      </w:r>
      <w:r w:rsidR="00706F05" w:rsidRPr="00DE2CF7">
        <w:rPr>
          <w:szCs w:val="22"/>
          <w:lang w:val="sr-Latn-ME"/>
        </w:rPr>
        <w:t xml:space="preserve">nevirapina i bosentana </w:t>
      </w:r>
      <w:r w:rsidRPr="00DE2CF7">
        <w:rPr>
          <w:szCs w:val="22"/>
          <w:lang w:val="sr-Latn-ME"/>
        </w:rPr>
        <w:t>se ne preporučuje.</w:t>
      </w:r>
    </w:p>
    <w:p w14:paraId="211C956B" w14:textId="77777777" w:rsidR="005736DC" w:rsidRPr="00DE2CF7" w:rsidRDefault="005736DC" w:rsidP="00DE2CF7">
      <w:pPr>
        <w:rPr>
          <w:szCs w:val="22"/>
          <w:lang w:val="sr-Latn-ME"/>
        </w:rPr>
      </w:pPr>
    </w:p>
    <w:p w14:paraId="609CE19E" w14:textId="77777777" w:rsidR="0090133B" w:rsidRPr="00DE2CF7" w:rsidRDefault="0090133B" w:rsidP="00DE2CF7">
      <w:pPr>
        <w:rPr>
          <w:szCs w:val="22"/>
          <w:lang w:val="sr-Latn-ME"/>
        </w:rPr>
      </w:pPr>
      <w:r w:rsidRPr="00DE2CF7">
        <w:rPr>
          <w:i/>
          <w:szCs w:val="22"/>
          <w:lang w:val="sr-Latn-ME"/>
        </w:rPr>
        <w:t>Hormonski kontraceptivi:</w:t>
      </w:r>
      <w:r w:rsidRPr="00DE2CF7">
        <w:rPr>
          <w:szCs w:val="22"/>
          <w:lang w:val="sr-Latn-ME"/>
        </w:rPr>
        <w:t xml:space="preserve"> istovremena prim</w:t>
      </w:r>
      <w:r w:rsidR="006E200E" w:rsidRPr="00DE2CF7">
        <w:rPr>
          <w:szCs w:val="22"/>
          <w:lang w:val="sr-Latn-ME"/>
        </w:rPr>
        <w:t>j</w:t>
      </w:r>
      <w:r w:rsidRPr="00DE2CF7">
        <w:rPr>
          <w:szCs w:val="22"/>
          <w:lang w:val="sr-Latn-ME"/>
        </w:rPr>
        <w:t xml:space="preserve">ena 125 mg bosentana dva puta dnevno tokom 7 dana sa pojedinačnom dozom oralnog kontraceptiva koji sadrži noretisteron 1 </w:t>
      </w:r>
      <w:r w:rsidR="007C26FA" w:rsidRPr="00DE2CF7">
        <w:rPr>
          <w:szCs w:val="22"/>
          <w:lang w:val="sr-Latn-ME"/>
        </w:rPr>
        <w:t>mg i</w:t>
      </w:r>
      <w:r w:rsidRPr="00DE2CF7">
        <w:rPr>
          <w:szCs w:val="22"/>
          <w:lang w:val="sr-Latn-ME"/>
        </w:rPr>
        <w:t xml:space="preserve"> etinilestradiol 35 </w:t>
      </w:r>
      <w:r w:rsidR="000775B2" w:rsidRPr="00DE2CF7">
        <w:rPr>
          <w:szCs w:val="22"/>
          <w:lang w:val="sr-Latn-ME"/>
        </w:rPr>
        <w:t>mcg</w:t>
      </w:r>
      <w:r w:rsidRPr="00DE2CF7">
        <w:rPr>
          <w:szCs w:val="22"/>
          <w:lang w:val="sr-Latn-ME"/>
        </w:rPr>
        <w:t xml:space="preserve"> smanjila je PIK noretisterona i etinilestradiola za 14%, odnosno 31%. Ipak, smanjenja izloženosti su bila čak do 56%, odnosno 66%, po pojedinačom ispitaniku. Zbog toga se kontraceptivi bazirani samo na hormonima, bez obzira na način </w:t>
      </w:r>
      <w:r w:rsidR="004374E0" w:rsidRPr="00DE2CF7">
        <w:rPr>
          <w:szCs w:val="22"/>
          <w:lang w:val="sr-Latn-ME"/>
        </w:rPr>
        <w:t xml:space="preserve">primjene </w:t>
      </w:r>
      <w:r w:rsidRPr="00DE2CF7">
        <w:rPr>
          <w:szCs w:val="22"/>
          <w:lang w:val="sr-Latn-ME"/>
        </w:rPr>
        <w:t>(tj. oralni, injekcioni, transdermalni ili implantabilni oblici), ne smatraju pouzdanom metodom kontracepcije (</w:t>
      </w:r>
      <w:r w:rsidR="007453E0" w:rsidRPr="00DE2CF7">
        <w:rPr>
          <w:szCs w:val="22"/>
          <w:lang w:val="sr-Latn-ME"/>
        </w:rPr>
        <w:t>vidjeti</w:t>
      </w:r>
      <w:r w:rsidRPr="00DE2CF7">
        <w:rPr>
          <w:szCs w:val="22"/>
          <w:lang w:val="sr-Latn-ME"/>
        </w:rPr>
        <w:t xml:space="preserve"> od</w:t>
      </w:r>
      <w:r w:rsidR="00252096" w:rsidRPr="00DE2CF7">
        <w:rPr>
          <w:szCs w:val="22"/>
          <w:lang w:val="sr-Latn-ME"/>
        </w:rPr>
        <w:t>j</w:t>
      </w:r>
      <w:r w:rsidRPr="00DE2CF7">
        <w:rPr>
          <w:szCs w:val="22"/>
          <w:lang w:val="sr-Latn-ME"/>
        </w:rPr>
        <w:t>eljke 4.4 i 4.6).</w:t>
      </w:r>
    </w:p>
    <w:p w14:paraId="7D8849A1" w14:textId="77777777" w:rsidR="005736DC" w:rsidRPr="00DE2CF7" w:rsidRDefault="005736DC" w:rsidP="00DE2CF7">
      <w:pPr>
        <w:rPr>
          <w:szCs w:val="22"/>
          <w:lang w:val="sr-Latn-ME"/>
        </w:rPr>
      </w:pPr>
    </w:p>
    <w:p w14:paraId="707DA085" w14:textId="77777777" w:rsidR="0090133B" w:rsidRPr="00DE2CF7" w:rsidRDefault="0090133B" w:rsidP="00DE2CF7">
      <w:pPr>
        <w:rPr>
          <w:szCs w:val="22"/>
          <w:lang w:val="sr-Latn-ME"/>
        </w:rPr>
      </w:pPr>
      <w:r w:rsidRPr="00DE2CF7">
        <w:rPr>
          <w:i/>
          <w:szCs w:val="22"/>
          <w:lang w:val="sr-Latn-ME"/>
        </w:rPr>
        <w:t>Varfarin:</w:t>
      </w:r>
      <w:r w:rsidRPr="00DE2CF7">
        <w:rPr>
          <w:szCs w:val="22"/>
          <w:lang w:val="sr-Latn-ME"/>
        </w:rPr>
        <w:t xml:space="preserve"> istovremena prim</w:t>
      </w:r>
      <w:r w:rsidR="006E200E" w:rsidRPr="00DE2CF7">
        <w:rPr>
          <w:szCs w:val="22"/>
          <w:lang w:val="sr-Latn-ME"/>
        </w:rPr>
        <w:t>j</w:t>
      </w:r>
      <w:r w:rsidRPr="00DE2CF7">
        <w:rPr>
          <w:szCs w:val="22"/>
          <w:lang w:val="sr-Latn-ME"/>
        </w:rPr>
        <w:t xml:space="preserve">ena 500 mg bosentana dva puta dnevno tokom 6 dana smanjila je koncentracije u plazmi i S-varfarina (CYP2C9 supstrat) i R-varfarina (CYP3A4 supstrat) za 29%, odnosno 38%. Kliničko iskustvo istovremene </w:t>
      </w:r>
      <w:r w:rsidR="004374E0" w:rsidRPr="00DE2CF7">
        <w:rPr>
          <w:szCs w:val="22"/>
          <w:lang w:val="sr-Latn-ME"/>
        </w:rPr>
        <w:t xml:space="preserve">primjene </w:t>
      </w:r>
      <w:r w:rsidRPr="00DE2CF7">
        <w:rPr>
          <w:szCs w:val="22"/>
          <w:lang w:val="sr-Latn-ME"/>
        </w:rPr>
        <w:t>bosentana sa varfarinom kod pacijenata sa plućnom arterijskom hipertenzijom nije pokazalo klinički značajne prom</w:t>
      </w:r>
      <w:r w:rsidR="005D08D6" w:rsidRPr="00DE2CF7">
        <w:rPr>
          <w:szCs w:val="22"/>
          <w:lang w:val="sr-Latn-ME"/>
        </w:rPr>
        <w:t>j</w:t>
      </w:r>
      <w:r w:rsidRPr="00DE2CF7">
        <w:rPr>
          <w:szCs w:val="22"/>
          <w:lang w:val="sr-Latn-ME"/>
        </w:rPr>
        <w:t>ene u vr</w:t>
      </w:r>
      <w:r w:rsidR="005D08D6" w:rsidRPr="00DE2CF7">
        <w:rPr>
          <w:szCs w:val="22"/>
          <w:lang w:val="sr-Latn-ME"/>
        </w:rPr>
        <w:t>ij</w:t>
      </w:r>
      <w:r w:rsidRPr="00DE2CF7">
        <w:rPr>
          <w:szCs w:val="22"/>
          <w:lang w:val="sr-Latn-ME"/>
        </w:rPr>
        <w:t xml:space="preserve">ednostima internacionalnog normalizovanog odnosa (engl. </w:t>
      </w:r>
      <w:r w:rsidRPr="00DE2CF7">
        <w:rPr>
          <w:i/>
          <w:szCs w:val="22"/>
          <w:lang w:val="sr-Latn-ME"/>
        </w:rPr>
        <w:t>International Normalized Ratio</w:t>
      </w:r>
      <w:r w:rsidRPr="00DE2CF7">
        <w:rPr>
          <w:szCs w:val="22"/>
          <w:lang w:val="sr-Latn-ME"/>
        </w:rPr>
        <w:t xml:space="preserve">, INR) ili </w:t>
      </w:r>
      <w:r w:rsidR="000218C7" w:rsidRPr="00DE2CF7">
        <w:rPr>
          <w:szCs w:val="22"/>
          <w:lang w:val="sr-Latn-ME"/>
        </w:rPr>
        <w:t xml:space="preserve">u </w:t>
      </w:r>
      <w:r w:rsidRPr="00DE2CF7">
        <w:rPr>
          <w:szCs w:val="22"/>
          <w:lang w:val="sr-Latn-ME"/>
        </w:rPr>
        <w:t xml:space="preserve">dozi varfarina (između početne i krajnje </w:t>
      </w:r>
      <w:r w:rsidR="002407A5" w:rsidRPr="00DE2CF7">
        <w:rPr>
          <w:szCs w:val="22"/>
          <w:lang w:val="sr-Latn-ME"/>
        </w:rPr>
        <w:t>vrijednost</w:t>
      </w:r>
      <w:r w:rsidRPr="00DE2CF7">
        <w:rPr>
          <w:szCs w:val="22"/>
          <w:lang w:val="sr-Latn-ME"/>
        </w:rPr>
        <w:t>i u kliničkim studijama). Pored toga, učestalost prom</w:t>
      </w:r>
      <w:r w:rsidR="005D08D6" w:rsidRPr="00DE2CF7">
        <w:rPr>
          <w:szCs w:val="22"/>
          <w:lang w:val="sr-Latn-ME"/>
        </w:rPr>
        <w:t>j</w:t>
      </w:r>
      <w:r w:rsidRPr="00DE2CF7">
        <w:rPr>
          <w:szCs w:val="22"/>
          <w:lang w:val="sr-Latn-ME"/>
        </w:rPr>
        <w:t>ena u dozi varfarina za</w:t>
      </w:r>
      <w:r w:rsidR="003E63C6" w:rsidRPr="00DE2CF7">
        <w:rPr>
          <w:szCs w:val="22"/>
          <w:lang w:val="sr-Latn-ME"/>
        </w:rPr>
        <w:t xml:space="preserve"> vrijeme </w:t>
      </w:r>
      <w:r w:rsidRPr="00DE2CF7">
        <w:rPr>
          <w:szCs w:val="22"/>
          <w:lang w:val="sr-Latn-ME"/>
        </w:rPr>
        <w:t>studija zbog prom</w:t>
      </w:r>
      <w:r w:rsidR="00252096" w:rsidRPr="00DE2CF7">
        <w:rPr>
          <w:szCs w:val="22"/>
          <w:lang w:val="sr-Latn-ME"/>
        </w:rPr>
        <w:t>j</w:t>
      </w:r>
      <w:r w:rsidRPr="00DE2CF7">
        <w:rPr>
          <w:szCs w:val="22"/>
          <w:lang w:val="sr-Latn-ME"/>
        </w:rPr>
        <w:t xml:space="preserve">ena u INR ili zbog neželjenih događaja bila je slična između pacijenata tretiranih bosentanom i placebom. Nije potrebno prilagođavanje doze varfarina i sličnih oralnih antikoagulanasa u početku </w:t>
      </w:r>
      <w:r w:rsidR="004374E0" w:rsidRPr="00DE2CF7">
        <w:rPr>
          <w:szCs w:val="22"/>
          <w:lang w:val="sr-Latn-ME"/>
        </w:rPr>
        <w:t xml:space="preserve">primjene </w:t>
      </w:r>
      <w:r w:rsidRPr="00DE2CF7">
        <w:rPr>
          <w:szCs w:val="22"/>
          <w:lang w:val="sr-Latn-ME"/>
        </w:rPr>
        <w:t xml:space="preserve">bosentana, ali intenzivno praćenje INR-a je preporučljivo, naročito u početku </w:t>
      </w:r>
      <w:r w:rsidR="007453E0" w:rsidRPr="00DE2CF7">
        <w:rPr>
          <w:szCs w:val="22"/>
          <w:lang w:val="sr-Latn-ME"/>
        </w:rPr>
        <w:t>liječenj</w:t>
      </w:r>
      <w:r w:rsidRPr="00DE2CF7">
        <w:rPr>
          <w:szCs w:val="22"/>
          <w:lang w:val="sr-Latn-ME"/>
        </w:rPr>
        <w:t>a bosentanom i kod povećanja doze.</w:t>
      </w:r>
    </w:p>
    <w:p w14:paraId="1E83F20C" w14:textId="77777777" w:rsidR="005736DC" w:rsidRPr="00DE2CF7" w:rsidRDefault="005736DC" w:rsidP="00DE2CF7">
      <w:pPr>
        <w:rPr>
          <w:szCs w:val="22"/>
          <w:lang w:val="sr-Latn-ME"/>
        </w:rPr>
      </w:pPr>
    </w:p>
    <w:p w14:paraId="46E98735" w14:textId="77777777" w:rsidR="005736DC" w:rsidRPr="00DE2CF7" w:rsidRDefault="0090133B" w:rsidP="00DE2CF7">
      <w:pPr>
        <w:rPr>
          <w:szCs w:val="22"/>
          <w:lang w:val="sr-Latn-ME"/>
        </w:rPr>
      </w:pPr>
      <w:r w:rsidRPr="00DE2CF7">
        <w:rPr>
          <w:i/>
          <w:szCs w:val="22"/>
          <w:lang w:val="sr-Latn-ME"/>
        </w:rPr>
        <w:t>Simvastatin</w:t>
      </w:r>
      <w:r w:rsidRPr="00DE2CF7">
        <w:rPr>
          <w:szCs w:val="22"/>
          <w:lang w:val="sr-Latn-ME"/>
        </w:rPr>
        <w:t>: istovremena prim</w:t>
      </w:r>
      <w:r w:rsidR="006E200E" w:rsidRPr="00DE2CF7">
        <w:rPr>
          <w:szCs w:val="22"/>
          <w:lang w:val="sr-Latn-ME"/>
        </w:rPr>
        <w:t>j</w:t>
      </w:r>
      <w:r w:rsidRPr="00DE2CF7">
        <w:rPr>
          <w:szCs w:val="22"/>
          <w:lang w:val="sr-Latn-ME"/>
        </w:rPr>
        <w:t>ena 125 mg bosentana dva puta dnevno tokom 5 dana smanjila je koncentracije u plazmi simvastatina (CYP3A4 supstrat), i njegovog aktivnog β-hidroksi kiselog metabolita za 34%, odnosno 46%. Istovremena prim</w:t>
      </w:r>
      <w:r w:rsidR="006E200E" w:rsidRPr="00DE2CF7">
        <w:rPr>
          <w:szCs w:val="22"/>
          <w:lang w:val="sr-Latn-ME"/>
        </w:rPr>
        <w:t>j</w:t>
      </w:r>
      <w:r w:rsidRPr="00DE2CF7">
        <w:rPr>
          <w:szCs w:val="22"/>
          <w:lang w:val="sr-Latn-ME"/>
        </w:rPr>
        <w:t>ena simvastatina nije uticala na koncentracije bosentana u plazmi. Praćenje nivoa holesterola i naknadno prilagođavanje doziranja treba razmotriti.</w:t>
      </w:r>
    </w:p>
    <w:p w14:paraId="07F4D5B9" w14:textId="77777777" w:rsidR="005736DC" w:rsidRPr="00DE2CF7" w:rsidRDefault="005736DC" w:rsidP="00DE2CF7">
      <w:pPr>
        <w:rPr>
          <w:szCs w:val="22"/>
          <w:lang w:val="sr-Latn-ME"/>
        </w:rPr>
      </w:pPr>
    </w:p>
    <w:p w14:paraId="56B7C909" w14:textId="77777777" w:rsidR="0090133B" w:rsidRPr="00DE2CF7" w:rsidRDefault="0090133B" w:rsidP="00DE2CF7">
      <w:pPr>
        <w:rPr>
          <w:szCs w:val="22"/>
          <w:lang w:val="sr-Latn-ME"/>
        </w:rPr>
      </w:pPr>
      <w:r w:rsidRPr="00DE2CF7">
        <w:rPr>
          <w:i/>
          <w:szCs w:val="22"/>
          <w:lang w:val="sr-Latn-ME"/>
        </w:rPr>
        <w:t>Ketokonazol</w:t>
      </w:r>
      <w:r w:rsidRPr="00DE2CF7">
        <w:rPr>
          <w:szCs w:val="22"/>
          <w:lang w:val="sr-Latn-ME"/>
        </w:rPr>
        <w:t>: istovremena prim</w:t>
      </w:r>
      <w:r w:rsidR="006E200E" w:rsidRPr="00DE2CF7">
        <w:rPr>
          <w:szCs w:val="22"/>
          <w:lang w:val="sr-Latn-ME"/>
        </w:rPr>
        <w:t>j</w:t>
      </w:r>
      <w:r w:rsidRPr="00DE2CF7">
        <w:rPr>
          <w:szCs w:val="22"/>
          <w:lang w:val="sr-Latn-ME"/>
        </w:rPr>
        <w:t xml:space="preserve">ena 62,5 mg bosentana dva puta dnevno sa ketokonazolom, jakim inhibitorom CYP3A4, tokom 6 dana, povećala je koncentracije bosentana u plazmi približno 2 puta. Nije bilo neophodno prilagođavanje doze bosentana. Mada nije pokazano kroz </w:t>
      </w:r>
      <w:r w:rsidRPr="00DE2CF7">
        <w:rPr>
          <w:i/>
          <w:szCs w:val="22"/>
          <w:lang w:val="sr-Latn-ME"/>
        </w:rPr>
        <w:t>in vivo</w:t>
      </w:r>
      <w:r w:rsidRPr="00DE2CF7">
        <w:rPr>
          <w:szCs w:val="22"/>
          <w:lang w:val="sr-Latn-ME"/>
        </w:rPr>
        <w:t xml:space="preserve"> studije, slična povećanja koncentracija bosentana u plazmi se očekuju sa drugim jakim inhibitorima CYP3A4 (kao što su itrakonazol ili ritonavir). Ipak, kada se kombinuje sa CYP3A4 inhibitorom, kod pacijenata koji su slabi metabolizeri CYP2C9, postoji rizik od povećanja koncentracija bosentana u plazmi</w:t>
      </w:r>
      <w:r w:rsidR="00252096" w:rsidRPr="00DE2CF7">
        <w:rPr>
          <w:szCs w:val="22"/>
          <w:lang w:val="sr-Latn-ME"/>
        </w:rPr>
        <w:t>,</w:t>
      </w:r>
      <w:r w:rsidRPr="00DE2CF7">
        <w:rPr>
          <w:szCs w:val="22"/>
          <w:lang w:val="sr-Latn-ME"/>
        </w:rPr>
        <w:t xml:space="preserve"> što može biti jačeg intenziteta i time voditi </w:t>
      </w:r>
      <w:r w:rsidR="007C26FA" w:rsidRPr="00DE2CF7">
        <w:rPr>
          <w:szCs w:val="22"/>
          <w:lang w:val="sr-Latn-ME"/>
        </w:rPr>
        <w:t>potencijalnim štetnim</w:t>
      </w:r>
      <w:r w:rsidRPr="00DE2CF7">
        <w:rPr>
          <w:szCs w:val="22"/>
          <w:lang w:val="sr-Latn-ME"/>
        </w:rPr>
        <w:t xml:space="preserve"> </w:t>
      </w:r>
      <w:r w:rsidR="005D08D6" w:rsidRPr="00DE2CF7">
        <w:rPr>
          <w:szCs w:val="22"/>
          <w:lang w:val="sr-Latn-ME"/>
        </w:rPr>
        <w:t xml:space="preserve">neželjenim </w:t>
      </w:r>
      <w:r w:rsidRPr="00DE2CF7">
        <w:rPr>
          <w:szCs w:val="22"/>
          <w:lang w:val="sr-Latn-ME"/>
        </w:rPr>
        <w:t>događajima.</w:t>
      </w:r>
    </w:p>
    <w:p w14:paraId="63A84C43" w14:textId="77777777" w:rsidR="005736DC" w:rsidRPr="00DE2CF7" w:rsidRDefault="005736DC" w:rsidP="00DE2CF7">
      <w:pPr>
        <w:rPr>
          <w:szCs w:val="22"/>
          <w:lang w:val="sr-Latn-ME"/>
        </w:rPr>
      </w:pPr>
    </w:p>
    <w:p w14:paraId="4A82990E" w14:textId="77777777" w:rsidR="0090133B" w:rsidRPr="00DE2CF7" w:rsidRDefault="0090133B" w:rsidP="00DE2CF7">
      <w:pPr>
        <w:rPr>
          <w:szCs w:val="22"/>
          <w:lang w:val="sr-Latn-ME"/>
        </w:rPr>
      </w:pPr>
      <w:r w:rsidRPr="00DE2CF7">
        <w:rPr>
          <w:i/>
          <w:szCs w:val="22"/>
          <w:lang w:val="sr-Latn-ME"/>
        </w:rPr>
        <w:lastRenderedPageBreak/>
        <w:t>Epoprostenol</w:t>
      </w:r>
      <w:r w:rsidRPr="00DE2CF7">
        <w:rPr>
          <w:szCs w:val="22"/>
          <w:lang w:val="sr-Latn-ME"/>
        </w:rPr>
        <w:t xml:space="preserve">: ograničeni podaci dobijeni iz studije (AC-052-356, (BREATHE-3)) u kojoj je 10 pedijatrijskih pacijenata primalo kombinaciju bosentana i epoprostenola ukazuju da su </w:t>
      </w:r>
      <w:r w:rsidR="003E63C6" w:rsidRPr="00DE2CF7">
        <w:rPr>
          <w:szCs w:val="22"/>
          <w:lang w:val="sr-Latn-ME"/>
        </w:rPr>
        <w:t>posl</w:t>
      </w:r>
      <w:r w:rsidR="00F32ACD" w:rsidRPr="00DE2CF7">
        <w:rPr>
          <w:szCs w:val="22"/>
          <w:lang w:val="sr-Latn-ME"/>
        </w:rPr>
        <w:t>i</w:t>
      </w:r>
      <w:r w:rsidR="003E63C6" w:rsidRPr="00DE2CF7">
        <w:rPr>
          <w:szCs w:val="22"/>
          <w:lang w:val="sr-Latn-ME"/>
        </w:rPr>
        <w:t xml:space="preserve">je </w:t>
      </w:r>
      <w:r w:rsidR="004374E0" w:rsidRPr="00DE2CF7">
        <w:rPr>
          <w:szCs w:val="22"/>
          <w:lang w:val="sr-Latn-ME"/>
        </w:rPr>
        <w:t xml:space="preserve">primjene </w:t>
      </w:r>
      <w:r w:rsidRPr="00DE2CF7">
        <w:rPr>
          <w:szCs w:val="22"/>
          <w:lang w:val="sr-Latn-ME"/>
        </w:rPr>
        <w:t>ob</w:t>
      </w:r>
      <w:r w:rsidR="005D08D6" w:rsidRPr="00DE2CF7">
        <w:rPr>
          <w:szCs w:val="22"/>
          <w:lang w:val="sr-Latn-ME"/>
        </w:rPr>
        <w:t>j</w:t>
      </w:r>
      <w:r w:rsidRPr="00DE2CF7">
        <w:rPr>
          <w:szCs w:val="22"/>
          <w:lang w:val="sr-Latn-ME"/>
        </w:rPr>
        <w:t>e, pojedinačne i ponovljene doze, C</w:t>
      </w:r>
      <w:r w:rsidRPr="00DE2CF7">
        <w:rPr>
          <w:szCs w:val="22"/>
          <w:vertAlign w:val="subscript"/>
          <w:lang w:val="sr-Latn-ME"/>
        </w:rPr>
        <w:t>max</w:t>
      </w:r>
      <w:r w:rsidRPr="00DE2CF7">
        <w:rPr>
          <w:szCs w:val="22"/>
          <w:lang w:val="sr-Latn-ME"/>
        </w:rPr>
        <w:t xml:space="preserve"> i PIK vr</w:t>
      </w:r>
      <w:r w:rsidR="005D08D6" w:rsidRPr="00DE2CF7">
        <w:rPr>
          <w:szCs w:val="22"/>
          <w:lang w:val="sr-Latn-ME"/>
        </w:rPr>
        <w:t>ij</w:t>
      </w:r>
      <w:r w:rsidRPr="00DE2CF7">
        <w:rPr>
          <w:szCs w:val="22"/>
          <w:lang w:val="sr-Latn-ME"/>
        </w:rPr>
        <w:t>ednosti bosentana bile slične kod pacijenata sa ili bez kontinuirane infuzije epoproste</w:t>
      </w:r>
      <w:r w:rsidR="005D08D6" w:rsidRPr="00DE2CF7">
        <w:rPr>
          <w:szCs w:val="22"/>
          <w:lang w:val="sr-Latn-ME"/>
        </w:rPr>
        <w:t xml:space="preserve">nola </w:t>
      </w:r>
      <w:r w:rsidRPr="00DE2CF7">
        <w:rPr>
          <w:szCs w:val="22"/>
          <w:lang w:val="sr-Latn-ME"/>
        </w:rPr>
        <w:t>(</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5.1). </w:t>
      </w:r>
    </w:p>
    <w:p w14:paraId="0F368B73" w14:textId="77777777" w:rsidR="005736DC" w:rsidRPr="00DE2CF7" w:rsidRDefault="005736DC" w:rsidP="00DE2CF7">
      <w:pPr>
        <w:rPr>
          <w:szCs w:val="22"/>
          <w:lang w:val="sr-Latn-ME"/>
        </w:rPr>
      </w:pPr>
    </w:p>
    <w:p w14:paraId="3A907AB1" w14:textId="77777777" w:rsidR="005736DC" w:rsidRPr="00DE2CF7" w:rsidRDefault="0090133B" w:rsidP="00DE2CF7">
      <w:pPr>
        <w:rPr>
          <w:szCs w:val="22"/>
          <w:lang w:val="sr-Latn-ME"/>
        </w:rPr>
      </w:pPr>
      <w:r w:rsidRPr="00DE2CF7">
        <w:rPr>
          <w:i/>
          <w:szCs w:val="22"/>
          <w:lang w:val="sr-Latn-ME"/>
        </w:rPr>
        <w:t>Sildenafil:</w:t>
      </w:r>
      <w:r w:rsidRPr="00DE2CF7">
        <w:rPr>
          <w:szCs w:val="22"/>
          <w:lang w:val="sr-Latn-ME"/>
        </w:rPr>
        <w:t xml:space="preserve"> istovremena prim</w:t>
      </w:r>
      <w:r w:rsidR="006E200E" w:rsidRPr="00DE2CF7">
        <w:rPr>
          <w:szCs w:val="22"/>
          <w:lang w:val="sr-Latn-ME"/>
        </w:rPr>
        <w:t>j</w:t>
      </w:r>
      <w:r w:rsidRPr="00DE2CF7">
        <w:rPr>
          <w:szCs w:val="22"/>
          <w:lang w:val="sr-Latn-ME"/>
        </w:rPr>
        <w:t>ena 125 mg bosentana dva puta dnevno (</w:t>
      </w:r>
      <w:r w:rsidR="00AD7934" w:rsidRPr="00DE2CF7">
        <w:rPr>
          <w:szCs w:val="22"/>
          <w:lang w:val="sr-Latn-ME"/>
        </w:rPr>
        <w:t xml:space="preserve">u </w:t>
      </w:r>
      <w:r w:rsidRPr="00DE2CF7">
        <w:rPr>
          <w:szCs w:val="22"/>
          <w:lang w:val="sr-Latn-ME"/>
        </w:rPr>
        <w:t>stanj</w:t>
      </w:r>
      <w:r w:rsidR="00AD7934" w:rsidRPr="00DE2CF7">
        <w:rPr>
          <w:szCs w:val="22"/>
          <w:lang w:val="sr-Latn-ME"/>
        </w:rPr>
        <w:t>u dinamičk</w:t>
      </w:r>
      <w:r w:rsidRPr="00DE2CF7">
        <w:rPr>
          <w:szCs w:val="22"/>
          <w:lang w:val="sr-Latn-ME"/>
        </w:rPr>
        <w:t>e ravnoteže) sa 80 mg sildenafila</w:t>
      </w:r>
      <w:r w:rsidR="005736DC" w:rsidRPr="00DE2CF7">
        <w:rPr>
          <w:szCs w:val="22"/>
          <w:lang w:val="sr-Latn-ME"/>
        </w:rPr>
        <w:t xml:space="preserve"> </w:t>
      </w:r>
      <w:r w:rsidRPr="00DE2CF7">
        <w:rPr>
          <w:szCs w:val="22"/>
          <w:lang w:val="sr-Latn-ME"/>
        </w:rPr>
        <w:t>tri puta dnevno (u stanju</w:t>
      </w:r>
      <w:r w:rsidR="00AD7934" w:rsidRPr="00DE2CF7">
        <w:rPr>
          <w:szCs w:val="22"/>
          <w:lang w:val="sr-Latn-ME"/>
        </w:rPr>
        <w:t xml:space="preserve"> dinamičke</w:t>
      </w:r>
      <w:r w:rsidRPr="00DE2CF7">
        <w:rPr>
          <w:szCs w:val="22"/>
          <w:lang w:val="sr-Latn-ME"/>
        </w:rPr>
        <w:t xml:space="preserve"> ravnoteže) tokom 6 dana kod zdravih dobrovoljaca dovelo je do smanjenja PIK-a sildenafila za 63% i povećanja PIK bosentana za 50%. Preporučuje se oprez u slučaju istovremene prim</w:t>
      </w:r>
      <w:r w:rsidR="006E200E" w:rsidRPr="00DE2CF7">
        <w:rPr>
          <w:szCs w:val="22"/>
          <w:lang w:val="sr-Latn-ME"/>
        </w:rPr>
        <w:t>j</w:t>
      </w:r>
      <w:r w:rsidRPr="00DE2CF7">
        <w:rPr>
          <w:szCs w:val="22"/>
          <w:lang w:val="sr-Latn-ME"/>
        </w:rPr>
        <w:t>ene.</w:t>
      </w:r>
    </w:p>
    <w:p w14:paraId="53BFAFD1" w14:textId="77777777" w:rsidR="005736DC" w:rsidRPr="00DE2CF7" w:rsidRDefault="005736DC" w:rsidP="00DE2CF7">
      <w:pPr>
        <w:rPr>
          <w:szCs w:val="22"/>
          <w:lang w:val="sr-Latn-ME"/>
        </w:rPr>
      </w:pPr>
    </w:p>
    <w:p w14:paraId="7BC8C4C1" w14:textId="77777777" w:rsidR="005736DC" w:rsidRPr="00DE2CF7" w:rsidRDefault="005736DC" w:rsidP="00DE2CF7">
      <w:pPr>
        <w:rPr>
          <w:szCs w:val="22"/>
          <w:lang w:val="sr-Latn-ME"/>
        </w:rPr>
      </w:pPr>
      <w:r w:rsidRPr="00DE2CF7">
        <w:rPr>
          <w:i/>
          <w:szCs w:val="22"/>
          <w:lang w:val="sr-Latn-ME"/>
        </w:rPr>
        <w:t>Tadalafil</w:t>
      </w:r>
      <w:r w:rsidRPr="00DE2CF7">
        <w:rPr>
          <w:szCs w:val="22"/>
          <w:lang w:val="sr-Latn-ME"/>
        </w:rPr>
        <w:t xml:space="preserve">: </w:t>
      </w:r>
      <w:r w:rsidR="00AD7934" w:rsidRPr="00DE2CF7">
        <w:rPr>
          <w:szCs w:val="22"/>
          <w:lang w:val="sr-Latn-ME"/>
        </w:rPr>
        <w:t xml:space="preserve">bosentan </w:t>
      </w:r>
      <w:r w:rsidRPr="00DE2CF7">
        <w:rPr>
          <w:szCs w:val="22"/>
          <w:lang w:val="sr-Latn-ME"/>
        </w:rPr>
        <w:t>(125 mg dva puta dnevno) smanj</w:t>
      </w:r>
      <w:r w:rsidR="00AD7934" w:rsidRPr="00DE2CF7">
        <w:rPr>
          <w:szCs w:val="22"/>
          <w:lang w:val="sr-Latn-ME"/>
        </w:rPr>
        <w:t xml:space="preserve">io </w:t>
      </w:r>
      <w:r w:rsidR="007C26FA" w:rsidRPr="00DE2CF7">
        <w:rPr>
          <w:szCs w:val="22"/>
          <w:lang w:val="sr-Latn-ME"/>
        </w:rPr>
        <w:t>je sistemsku</w:t>
      </w:r>
      <w:r w:rsidRPr="00DE2CF7">
        <w:rPr>
          <w:szCs w:val="22"/>
          <w:lang w:val="sr-Latn-ME"/>
        </w:rPr>
        <w:t xml:space="preserve"> izloženost tadalafila (40 mg jednom dnevno) za 42% i C</w:t>
      </w:r>
      <w:r w:rsidRPr="00DE2CF7">
        <w:rPr>
          <w:szCs w:val="22"/>
          <w:vertAlign w:val="subscript"/>
          <w:lang w:val="sr-Latn-ME"/>
        </w:rPr>
        <w:t>max</w:t>
      </w:r>
      <w:r w:rsidRPr="00DE2CF7">
        <w:rPr>
          <w:szCs w:val="22"/>
          <w:lang w:val="sr-Latn-ME"/>
        </w:rPr>
        <w:t xml:space="preserve"> za 27% </w:t>
      </w:r>
      <w:r w:rsidR="0011318D" w:rsidRPr="00DE2CF7">
        <w:rPr>
          <w:szCs w:val="22"/>
          <w:lang w:val="sr-Latn-ME"/>
        </w:rPr>
        <w:t>nakon istovremene primjene višestrukih doza</w:t>
      </w:r>
      <w:r w:rsidRPr="00DE2CF7">
        <w:rPr>
          <w:szCs w:val="22"/>
          <w:lang w:val="sr-Latn-ME"/>
        </w:rPr>
        <w:t xml:space="preserve">. Tadalafil ne utiče na sistemsku izloženost bosentana </w:t>
      </w:r>
      <w:r w:rsidR="00AD78F7" w:rsidRPr="00DE2CF7">
        <w:rPr>
          <w:szCs w:val="22"/>
          <w:lang w:val="sr-Latn-ME"/>
        </w:rPr>
        <w:t xml:space="preserve">ili njegovih metabolite </w:t>
      </w:r>
      <w:r w:rsidRPr="00DE2CF7">
        <w:rPr>
          <w:szCs w:val="22"/>
          <w:lang w:val="sr-Latn-ME"/>
        </w:rPr>
        <w:t xml:space="preserve">(PIK </w:t>
      </w:r>
      <w:r w:rsidR="00AD78F7" w:rsidRPr="00DE2CF7">
        <w:rPr>
          <w:szCs w:val="22"/>
          <w:lang w:val="sr-Latn-ME"/>
        </w:rPr>
        <w:t>i</w:t>
      </w:r>
      <w:r w:rsidRPr="00DE2CF7">
        <w:rPr>
          <w:szCs w:val="22"/>
          <w:lang w:val="sr-Latn-ME"/>
        </w:rPr>
        <w:t xml:space="preserve"> C</w:t>
      </w:r>
      <w:r w:rsidRPr="00DE2CF7">
        <w:rPr>
          <w:szCs w:val="22"/>
          <w:vertAlign w:val="subscript"/>
          <w:lang w:val="sr-Latn-ME"/>
        </w:rPr>
        <w:t>max</w:t>
      </w:r>
      <w:r w:rsidRPr="00DE2CF7">
        <w:rPr>
          <w:szCs w:val="22"/>
          <w:lang w:val="sr-Latn-ME"/>
        </w:rPr>
        <w:t>)</w:t>
      </w:r>
      <w:r w:rsidR="00AD78F7" w:rsidRPr="00DE2CF7">
        <w:rPr>
          <w:szCs w:val="22"/>
          <w:lang w:val="sr-Latn-ME"/>
        </w:rPr>
        <w:t>.</w:t>
      </w:r>
    </w:p>
    <w:p w14:paraId="60312C87" w14:textId="77777777" w:rsidR="005736DC" w:rsidRPr="00DE2CF7" w:rsidRDefault="005736DC" w:rsidP="00DE2CF7">
      <w:pPr>
        <w:rPr>
          <w:szCs w:val="22"/>
          <w:lang w:val="sr-Latn-ME"/>
        </w:rPr>
      </w:pPr>
    </w:p>
    <w:p w14:paraId="5986202B" w14:textId="77777777" w:rsidR="0090133B" w:rsidRPr="00DE2CF7" w:rsidRDefault="0090133B" w:rsidP="00DE2CF7">
      <w:pPr>
        <w:rPr>
          <w:szCs w:val="22"/>
          <w:lang w:val="sr-Latn-ME"/>
        </w:rPr>
      </w:pPr>
      <w:r w:rsidRPr="00DE2CF7">
        <w:rPr>
          <w:i/>
          <w:szCs w:val="22"/>
          <w:lang w:val="sr-Latn-ME"/>
        </w:rPr>
        <w:t>Digoksin:</w:t>
      </w:r>
      <w:r w:rsidRPr="00DE2CF7">
        <w:rPr>
          <w:szCs w:val="22"/>
          <w:lang w:val="sr-Latn-ME"/>
        </w:rPr>
        <w:t xml:space="preserve"> istovremena prim</w:t>
      </w:r>
      <w:r w:rsidR="006E200E" w:rsidRPr="00DE2CF7">
        <w:rPr>
          <w:szCs w:val="22"/>
          <w:lang w:val="sr-Latn-ME"/>
        </w:rPr>
        <w:t>j</w:t>
      </w:r>
      <w:r w:rsidRPr="00DE2CF7">
        <w:rPr>
          <w:szCs w:val="22"/>
          <w:lang w:val="sr-Latn-ME"/>
        </w:rPr>
        <w:t>ena 500 mg bosentana dva puta dnevno sa digoksinom, tokom 7 dana, smanjila je PIK, C</w:t>
      </w:r>
      <w:r w:rsidRPr="00DE2CF7">
        <w:rPr>
          <w:szCs w:val="22"/>
          <w:vertAlign w:val="subscript"/>
          <w:lang w:val="sr-Latn-ME"/>
        </w:rPr>
        <w:t>max</w:t>
      </w:r>
      <w:r w:rsidRPr="00DE2CF7">
        <w:rPr>
          <w:szCs w:val="22"/>
          <w:lang w:val="sr-Latn-ME"/>
        </w:rPr>
        <w:t xml:space="preserve"> i C</w:t>
      </w:r>
      <w:r w:rsidRPr="00DE2CF7">
        <w:rPr>
          <w:szCs w:val="22"/>
          <w:vertAlign w:val="subscript"/>
          <w:lang w:val="sr-Latn-ME"/>
        </w:rPr>
        <w:t xml:space="preserve">min </w:t>
      </w:r>
      <w:r w:rsidRPr="00DE2CF7">
        <w:rPr>
          <w:szCs w:val="22"/>
          <w:lang w:val="sr-Latn-ME"/>
        </w:rPr>
        <w:t xml:space="preserve">digoksina za 12%, 9%, odnosno 23%. </w:t>
      </w:r>
      <w:r w:rsidR="00AD7934" w:rsidRPr="00DE2CF7">
        <w:rPr>
          <w:szCs w:val="22"/>
          <w:lang w:val="sr-Latn-ME"/>
        </w:rPr>
        <w:t>Mogući m</w:t>
      </w:r>
      <w:r w:rsidRPr="00DE2CF7">
        <w:rPr>
          <w:szCs w:val="22"/>
          <w:lang w:val="sr-Latn-ME"/>
        </w:rPr>
        <w:t xml:space="preserve">ehanizam </w:t>
      </w:r>
      <w:r w:rsidR="00AD7934" w:rsidRPr="00DE2CF7">
        <w:rPr>
          <w:szCs w:val="22"/>
          <w:lang w:val="sr-Latn-ME"/>
        </w:rPr>
        <w:t xml:space="preserve">te </w:t>
      </w:r>
      <w:r w:rsidRPr="00DE2CF7">
        <w:rPr>
          <w:szCs w:val="22"/>
          <w:lang w:val="sr-Latn-ME"/>
        </w:rPr>
        <w:t xml:space="preserve">interakcije </w:t>
      </w:r>
      <w:r w:rsidR="007C26FA" w:rsidRPr="00DE2CF7">
        <w:rPr>
          <w:szCs w:val="22"/>
          <w:lang w:val="sr-Latn-ME"/>
        </w:rPr>
        <w:t>jeste indukcija</w:t>
      </w:r>
      <w:r w:rsidRPr="00DE2CF7">
        <w:rPr>
          <w:szCs w:val="22"/>
          <w:lang w:val="sr-Latn-ME"/>
        </w:rPr>
        <w:t xml:space="preserve"> P-glikoproteina. Za ovu interakciju je malo </w:t>
      </w:r>
      <w:r w:rsidR="004374E0" w:rsidRPr="00DE2CF7">
        <w:rPr>
          <w:szCs w:val="22"/>
          <w:lang w:val="sr-Latn-ME"/>
        </w:rPr>
        <w:t>vjerovatn</w:t>
      </w:r>
      <w:r w:rsidRPr="00DE2CF7">
        <w:rPr>
          <w:szCs w:val="22"/>
          <w:lang w:val="sr-Latn-ME"/>
        </w:rPr>
        <w:t>o da je klinički značajna.</w:t>
      </w:r>
    </w:p>
    <w:p w14:paraId="098CE565" w14:textId="77777777" w:rsidR="005736DC" w:rsidRPr="00DE2CF7" w:rsidRDefault="005736DC" w:rsidP="00DE2CF7">
      <w:pPr>
        <w:rPr>
          <w:szCs w:val="22"/>
          <w:lang w:val="sr-Latn-ME"/>
        </w:rPr>
      </w:pPr>
    </w:p>
    <w:p w14:paraId="7D490A03" w14:textId="77777777" w:rsidR="0090133B" w:rsidRPr="00DE2CF7" w:rsidRDefault="0090133B" w:rsidP="00DE2CF7">
      <w:pPr>
        <w:rPr>
          <w:szCs w:val="22"/>
          <w:u w:val="single"/>
          <w:lang w:val="sr-Latn-ME"/>
        </w:rPr>
      </w:pPr>
      <w:r w:rsidRPr="00DE2CF7">
        <w:rPr>
          <w:szCs w:val="22"/>
          <w:u w:val="single"/>
          <w:lang w:val="sr-Latn-ME"/>
        </w:rPr>
        <w:t>Pedijatrijska populacija</w:t>
      </w:r>
    </w:p>
    <w:p w14:paraId="76120960" w14:textId="77777777" w:rsidR="0090133B" w:rsidRPr="00DE2CF7" w:rsidRDefault="0090133B" w:rsidP="00DE2CF7">
      <w:pPr>
        <w:rPr>
          <w:szCs w:val="22"/>
          <w:lang w:val="sr-Latn-ME"/>
        </w:rPr>
      </w:pPr>
      <w:r w:rsidRPr="00DE2CF7">
        <w:rPr>
          <w:szCs w:val="22"/>
          <w:lang w:val="sr-Latn-ME"/>
        </w:rPr>
        <w:t>Studije interakcija su sprovođene samo kod odraslih.</w:t>
      </w:r>
    </w:p>
    <w:p w14:paraId="2CFEA47B" w14:textId="77777777" w:rsidR="0090133B" w:rsidRPr="00DE2CF7" w:rsidRDefault="0090133B" w:rsidP="00DE2CF7">
      <w:pPr>
        <w:rPr>
          <w:szCs w:val="22"/>
          <w:lang w:val="sr-Latn-ME"/>
        </w:rPr>
      </w:pPr>
    </w:p>
    <w:p w14:paraId="3FF8DF38" w14:textId="77777777" w:rsidR="00092B66" w:rsidRPr="00DE2CF7" w:rsidRDefault="00092B66" w:rsidP="00DE2CF7">
      <w:pPr>
        <w:tabs>
          <w:tab w:val="clear" w:pos="284"/>
          <w:tab w:val="left" w:pos="540"/>
          <w:tab w:val="left" w:pos="569"/>
        </w:tabs>
        <w:jc w:val="left"/>
        <w:rPr>
          <w:b/>
          <w:szCs w:val="22"/>
          <w:lang w:val="sr-Latn-ME"/>
        </w:rPr>
      </w:pPr>
      <w:r w:rsidRPr="00DE2CF7">
        <w:rPr>
          <w:b/>
          <w:bCs/>
          <w:szCs w:val="22"/>
          <w:lang w:val="sr-Latn-ME"/>
        </w:rPr>
        <w:t xml:space="preserve">4.6. </w:t>
      </w:r>
      <w:r w:rsidRPr="00DE2CF7">
        <w:rPr>
          <w:b/>
          <w:bCs/>
          <w:szCs w:val="22"/>
          <w:lang w:val="sr-Latn-ME"/>
        </w:rPr>
        <w:tab/>
      </w:r>
      <w:r w:rsidRPr="00DE2CF7">
        <w:rPr>
          <w:b/>
          <w:szCs w:val="22"/>
          <w:lang w:val="sr-Latn-ME"/>
        </w:rPr>
        <w:t>Plodnost, trudnoća i dojenje</w:t>
      </w:r>
    </w:p>
    <w:p w14:paraId="49984DB2" w14:textId="77777777" w:rsidR="00054610" w:rsidRPr="00DE2CF7" w:rsidRDefault="00054610" w:rsidP="00DE2CF7">
      <w:pPr>
        <w:rPr>
          <w:b/>
          <w:szCs w:val="22"/>
          <w:lang w:val="sr-Latn-ME"/>
        </w:rPr>
      </w:pPr>
    </w:p>
    <w:p w14:paraId="72E98425" w14:textId="77777777" w:rsidR="0090133B" w:rsidRPr="00DE2CF7" w:rsidRDefault="0090133B" w:rsidP="00DE2CF7">
      <w:pPr>
        <w:rPr>
          <w:szCs w:val="22"/>
          <w:u w:val="single"/>
          <w:lang w:val="sr-Latn-ME"/>
        </w:rPr>
      </w:pPr>
      <w:r w:rsidRPr="00DE2CF7">
        <w:rPr>
          <w:szCs w:val="22"/>
          <w:u w:val="single"/>
          <w:lang w:val="sr-Latn-ME"/>
        </w:rPr>
        <w:t>Trudnoća</w:t>
      </w:r>
    </w:p>
    <w:p w14:paraId="037F8185" w14:textId="77777777" w:rsidR="00286D3A" w:rsidRPr="00DE2CF7" w:rsidRDefault="00286D3A" w:rsidP="00DE2CF7">
      <w:pPr>
        <w:rPr>
          <w:szCs w:val="22"/>
          <w:u w:val="single"/>
          <w:lang w:val="sr-Latn-ME"/>
        </w:rPr>
      </w:pPr>
    </w:p>
    <w:p w14:paraId="4D988B61" w14:textId="77777777" w:rsidR="0090133B" w:rsidRPr="00DE2CF7" w:rsidRDefault="0090133B" w:rsidP="00DE2CF7">
      <w:pPr>
        <w:rPr>
          <w:szCs w:val="22"/>
          <w:lang w:val="sr-Latn-ME"/>
        </w:rPr>
      </w:pPr>
      <w:r w:rsidRPr="00DE2CF7">
        <w:rPr>
          <w:szCs w:val="22"/>
          <w:lang w:val="sr-Latn-ME"/>
        </w:rPr>
        <w:t>Studije na životinjama su pokazale reproduktivnu toksičnost (teratogenost, embriotoksičnost</w:t>
      </w:r>
      <w:r w:rsidR="00252096" w:rsidRPr="00DE2CF7">
        <w:rPr>
          <w:szCs w:val="22"/>
          <w:lang w:val="sr-Latn-ME"/>
        </w:rPr>
        <w:t>;</w:t>
      </w:r>
      <w:r w:rsidRPr="00DE2CF7">
        <w:rPr>
          <w:szCs w:val="22"/>
          <w:lang w:val="sr-Latn-ME"/>
        </w:rPr>
        <w:t xml:space="preserve">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5.3). Ne postoje pouzdani podaci o upotrebi</w:t>
      </w:r>
      <w:r w:rsidR="00286D3A" w:rsidRPr="00DE2CF7">
        <w:rPr>
          <w:szCs w:val="22"/>
          <w:lang w:val="sr-Latn-ME"/>
        </w:rPr>
        <w:t xml:space="preserve"> lijeka Bosentan Pharmascience </w:t>
      </w:r>
      <w:r w:rsidRPr="00DE2CF7">
        <w:rPr>
          <w:szCs w:val="22"/>
          <w:lang w:val="sr-Latn-ME"/>
        </w:rPr>
        <w:t>kod trudnica. Potencijalni rizik za ljude je još uv</w:t>
      </w:r>
      <w:r w:rsidR="00252096" w:rsidRPr="00DE2CF7">
        <w:rPr>
          <w:szCs w:val="22"/>
          <w:lang w:val="sr-Latn-ME"/>
        </w:rPr>
        <w:t>ij</w:t>
      </w:r>
      <w:r w:rsidRPr="00DE2CF7">
        <w:rPr>
          <w:szCs w:val="22"/>
          <w:lang w:val="sr-Latn-ME"/>
        </w:rPr>
        <w:t xml:space="preserve">ek </w:t>
      </w:r>
      <w:r w:rsidR="00054610" w:rsidRPr="00DE2CF7">
        <w:rPr>
          <w:szCs w:val="22"/>
          <w:lang w:val="sr-Latn-ME"/>
        </w:rPr>
        <w:t>nepoznat. L</w:t>
      </w:r>
      <w:r w:rsidR="00286D3A" w:rsidRPr="00DE2CF7">
        <w:rPr>
          <w:szCs w:val="22"/>
          <w:lang w:val="sr-Latn-ME"/>
        </w:rPr>
        <w:t>ij</w:t>
      </w:r>
      <w:r w:rsidR="00054610" w:rsidRPr="00DE2CF7">
        <w:rPr>
          <w:szCs w:val="22"/>
          <w:lang w:val="sr-Latn-ME"/>
        </w:rPr>
        <w:t xml:space="preserve">ek </w:t>
      </w:r>
      <w:r w:rsidR="00286D3A" w:rsidRPr="00DE2CF7">
        <w:rPr>
          <w:szCs w:val="22"/>
          <w:lang w:val="sr-Latn-ME"/>
        </w:rPr>
        <w:t>Bosentan Pharmascience</w:t>
      </w:r>
      <w:r w:rsidRPr="00DE2CF7">
        <w:rPr>
          <w:szCs w:val="22"/>
          <w:lang w:val="sr-Latn-ME"/>
        </w:rPr>
        <w:t xml:space="preserve"> je kontraindikovan tokom trudnoće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4.3).</w:t>
      </w:r>
    </w:p>
    <w:p w14:paraId="7027EDB0" w14:textId="77777777" w:rsidR="007C26FA" w:rsidRPr="00DE2CF7" w:rsidRDefault="007C26FA" w:rsidP="00DE2CF7">
      <w:pPr>
        <w:rPr>
          <w:szCs w:val="22"/>
          <w:lang w:val="sr-Latn-ME"/>
        </w:rPr>
      </w:pPr>
    </w:p>
    <w:p w14:paraId="46D676E4" w14:textId="77777777" w:rsidR="0090133B" w:rsidRPr="00DE2CF7" w:rsidRDefault="00286D3A" w:rsidP="00DE2CF7">
      <w:pPr>
        <w:rPr>
          <w:szCs w:val="22"/>
          <w:u w:val="single"/>
          <w:lang w:val="sr-Latn-ME"/>
        </w:rPr>
      </w:pPr>
      <w:r w:rsidRPr="00DE2CF7">
        <w:rPr>
          <w:szCs w:val="22"/>
          <w:u w:val="single"/>
          <w:lang w:val="sr-Latn-ME"/>
        </w:rPr>
        <w:t>Ž</w:t>
      </w:r>
      <w:r w:rsidR="0090133B" w:rsidRPr="00DE2CF7">
        <w:rPr>
          <w:szCs w:val="22"/>
          <w:u w:val="single"/>
          <w:lang w:val="sr-Latn-ME"/>
        </w:rPr>
        <w:t xml:space="preserve">ena u reproduktivnom </w:t>
      </w:r>
      <w:r w:rsidRPr="00DE2CF7">
        <w:rPr>
          <w:szCs w:val="22"/>
          <w:u w:val="single"/>
          <w:lang w:val="sr-Latn-ME"/>
        </w:rPr>
        <w:t>periodu</w:t>
      </w:r>
    </w:p>
    <w:p w14:paraId="2C9BEFB5" w14:textId="77777777" w:rsidR="00286D3A" w:rsidRPr="00DE2CF7" w:rsidRDefault="00286D3A" w:rsidP="00DE2CF7">
      <w:pPr>
        <w:rPr>
          <w:szCs w:val="22"/>
          <w:u w:val="single"/>
          <w:lang w:val="sr-Latn-ME"/>
        </w:rPr>
      </w:pPr>
    </w:p>
    <w:p w14:paraId="7547B54A" w14:textId="77777777" w:rsidR="0090133B" w:rsidRPr="00DE2CF7" w:rsidRDefault="0090133B" w:rsidP="00DE2CF7">
      <w:pPr>
        <w:rPr>
          <w:szCs w:val="22"/>
          <w:lang w:val="sr-Latn-ME"/>
        </w:rPr>
      </w:pPr>
      <w:r w:rsidRPr="00DE2CF7">
        <w:rPr>
          <w:szCs w:val="22"/>
          <w:lang w:val="sr-Latn-ME"/>
        </w:rPr>
        <w:t>Pr</w:t>
      </w:r>
      <w:r w:rsidR="00815CCC" w:rsidRPr="00DE2CF7">
        <w:rPr>
          <w:szCs w:val="22"/>
          <w:lang w:val="sr-Latn-ME"/>
        </w:rPr>
        <w:t>ij</w:t>
      </w:r>
      <w:r w:rsidRPr="00DE2CF7">
        <w:rPr>
          <w:szCs w:val="22"/>
          <w:lang w:val="sr-Latn-ME"/>
        </w:rPr>
        <w:t xml:space="preserve">e početka </w:t>
      </w:r>
      <w:r w:rsidR="007453E0" w:rsidRPr="00DE2CF7">
        <w:rPr>
          <w:szCs w:val="22"/>
          <w:lang w:val="sr-Latn-ME"/>
        </w:rPr>
        <w:t>liječenj</w:t>
      </w:r>
      <w:r w:rsidRPr="00DE2CF7">
        <w:rPr>
          <w:szCs w:val="22"/>
          <w:lang w:val="sr-Latn-ME"/>
        </w:rPr>
        <w:t>a l</w:t>
      </w:r>
      <w:r w:rsidR="00286D3A" w:rsidRPr="00DE2CF7">
        <w:rPr>
          <w:szCs w:val="22"/>
          <w:lang w:val="sr-Latn-ME"/>
        </w:rPr>
        <w:t>ij</w:t>
      </w:r>
      <w:r w:rsidRPr="00DE2CF7">
        <w:rPr>
          <w:szCs w:val="22"/>
          <w:lang w:val="sr-Latn-ME"/>
        </w:rPr>
        <w:t xml:space="preserve">ekom </w:t>
      </w:r>
      <w:r w:rsidR="008577E6" w:rsidRPr="00DE2CF7">
        <w:rPr>
          <w:szCs w:val="22"/>
          <w:lang w:val="sr-Latn-ME"/>
        </w:rPr>
        <w:t>B</w:t>
      </w:r>
      <w:r w:rsidR="00054610" w:rsidRPr="00DE2CF7">
        <w:rPr>
          <w:szCs w:val="22"/>
          <w:lang w:val="sr-Latn-ME"/>
        </w:rPr>
        <w:t>osentan</w:t>
      </w:r>
      <w:r w:rsidR="008577E6" w:rsidRPr="00DE2CF7">
        <w:rPr>
          <w:szCs w:val="22"/>
          <w:lang w:val="sr-Latn-ME"/>
        </w:rPr>
        <w:t xml:space="preserve"> Pharmascience</w:t>
      </w:r>
      <w:r w:rsidRPr="00DE2CF7">
        <w:rPr>
          <w:szCs w:val="22"/>
          <w:lang w:val="sr-Latn-ME"/>
        </w:rPr>
        <w:t xml:space="preserve"> žena u reproduktivnom periodu, potrebno je prov</w:t>
      </w:r>
      <w:r w:rsidR="00286D3A" w:rsidRPr="00DE2CF7">
        <w:rPr>
          <w:szCs w:val="22"/>
          <w:lang w:val="sr-Latn-ME"/>
        </w:rPr>
        <w:t>j</w:t>
      </w:r>
      <w:r w:rsidRPr="00DE2CF7">
        <w:rPr>
          <w:szCs w:val="22"/>
          <w:lang w:val="sr-Latn-ME"/>
        </w:rPr>
        <w:t>eriti da nisu trudne, dati im odgovarajući sav</w:t>
      </w:r>
      <w:r w:rsidR="00815CCC" w:rsidRPr="00DE2CF7">
        <w:rPr>
          <w:szCs w:val="22"/>
          <w:lang w:val="sr-Latn-ME"/>
        </w:rPr>
        <w:t>j</w:t>
      </w:r>
      <w:r w:rsidRPr="00DE2CF7">
        <w:rPr>
          <w:szCs w:val="22"/>
          <w:lang w:val="sr-Latn-ME"/>
        </w:rPr>
        <w:t xml:space="preserve">et o pouzdanim metodama kontracepcije, i </w:t>
      </w:r>
      <w:r w:rsidR="007C26FA" w:rsidRPr="00DE2CF7">
        <w:rPr>
          <w:szCs w:val="22"/>
          <w:lang w:val="sr-Latn-ME"/>
        </w:rPr>
        <w:t>inicirati pouzdanu</w:t>
      </w:r>
      <w:r w:rsidRPr="00DE2CF7">
        <w:rPr>
          <w:szCs w:val="22"/>
          <w:lang w:val="sr-Latn-ME"/>
        </w:rPr>
        <w:t xml:space="preserve"> kontracepciju. Pacijenti i </w:t>
      </w:r>
      <w:r w:rsidR="001165AF" w:rsidRPr="00DE2CF7">
        <w:rPr>
          <w:szCs w:val="22"/>
          <w:lang w:val="sr-Latn-ME"/>
        </w:rPr>
        <w:t>ljekar</w:t>
      </w:r>
      <w:r w:rsidRPr="00DE2CF7">
        <w:rPr>
          <w:szCs w:val="22"/>
          <w:lang w:val="sr-Latn-ME"/>
        </w:rPr>
        <w:t xml:space="preserve">i </w:t>
      </w:r>
      <w:r w:rsidR="00286D3A" w:rsidRPr="00DE2CF7">
        <w:rPr>
          <w:szCs w:val="22"/>
          <w:lang w:val="sr-Latn-ME"/>
        </w:rPr>
        <w:t>moraju biti svje</w:t>
      </w:r>
      <w:r w:rsidRPr="00DE2CF7">
        <w:rPr>
          <w:szCs w:val="22"/>
          <w:lang w:val="sr-Latn-ME"/>
        </w:rPr>
        <w:t>sni da zbog potencijalnih farmakokinetičkih interakcija, l</w:t>
      </w:r>
      <w:r w:rsidR="00BF7A44" w:rsidRPr="00DE2CF7">
        <w:rPr>
          <w:szCs w:val="22"/>
          <w:lang w:val="sr-Latn-ME"/>
        </w:rPr>
        <w:t>ij</w:t>
      </w:r>
      <w:r w:rsidRPr="00DE2CF7">
        <w:rPr>
          <w:szCs w:val="22"/>
          <w:lang w:val="sr-Latn-ME"/>
        </w:rPr>
        <w:t xml:space="preserve">ek </w:t>
      </w:r>
      <w:r w:rsidR="00BF7A44" w:rsidRPr="00DE2CF7">
        <w:rPr>
          <w:szCs w:val="22"/>
          <w:lang w:val="sr-Latn-ME"/>
        </w:rPr>
        <w:t>Bosentan Pharmascience</w:t>
      </w:r>
      <w:r w:rsidRPr="00DE2CF7">
        <w:rPr>
          <w:szCs w:val="22"/>
          <w:lang w:val="sr-Latn-ME"/>
        </w:rPr>
        <w:t xml:space="preserve"> može učiniti hormonske kontraceptive neefikasnim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4.5). Zbog toga, žene u reproduktivnom periodu ne </w:t>
      </w:r>
      <w:r w:rsidR="00815CCC" w:rsidRPr="00DE2CF7">
        <w:rPr>
          <w:szCs w:val="22"/>
          <w:lang w:val="sr-Latn-ME"/>
        </w:rPr>
        <w:t xml:space="preserve">smiju </w:t>
      </w:r>
      <w:r w:rsidRPr="00DE2CF7">
        <w:rPr>
          <w:szCs w:val="22"/>
          <w:lang w:val="sr-Latn-ME"/>
        </w:rPr>
        <w:t>da koriste hormonske kontraceptive (uključujući oralne, injekcione, transdermalne ili implantabilne oblike) kao jedinu metodu kontracepcije</w:t>
      </w:r>
      <w:r w:rsidR="00815CCC" w:rsidRPr="00DE2CF7">
        <w:rPr>
          <w:szCs w:val="22"/>
          <w:lang w:val="sr-Latn-ME"/>
        </w:rPr>
        <w:t>,</w:t>
      </w:r>
      <w:r w:rsidRPr="00DE2CF7">
        <w:rPr>
          <w:szCs w:val="22"/>
          <w:lang w:val="sr-Latn-ME"/>
        </w:rPr>
        <w:t xml:space="preserve"> već moraju koristiti dodatnu ili alternativnu pouzdanu metodu kontracepcije. Ako postoji bilo kakva </w:t>
      </w:r>
      <w:r w:rsidR="00AE09E0" w:rsidRPr="00DE2CF7">
        <w:rPr>
          <w:szCs w:val="22"/>
          <w:lang w:val="sr-Latn-ME"/>
        </w:rPr>
        <w:t xml:space="preserve">nedoumica </w:t>
      </w:r>
      <w:r w:rsidRPr="00DE2CF7">
        <w:rPr>
          <w:szCs w:val="22"/>
          <w:lang w:val="sr-Latn-ME"/>
        </w:rPr>
        <w:t>o tome koji kontraceptiv treba sav</w:t>
      </w:r>
      <w:r w:rsidR="00BF7A44" w:rsidRPr="00DE2CF7">
        <w:rPr>
          <w:szCs w:val="22"/>
          <w:lang w:val="sr-Latn-ME"/>
        </w:rPr>
        <w:t>j</w:t>
      </w:r>
      <w:r w:rsidRPr="00DE2CF7">
        <w:rPr>
          <w:szCs w:val="22"/>
          <w:lang w:val="sr-Latn-ME"/>
        </w:rPr>
        <w:t xml:space="preserve">etovati </w:t>
      </w:r>
      <w:r w:rsidR="00815CCC" w:rsidRPr="00DE2CF7">
        <w:rPr>
          <w:szCs w:val="22"/>
          <w:lang w:val="sr-Latn-ME"/>
        </w:rPr>
        <w:t>pojedinačnoj pacijentkinji</w:t>
      </w:r>
      <w:r w:rsidRPr="00DE2CF7">
        <w:rPr>
          <w:szCs w:val="22"/>
          <w:lang w:val="sr-Latn-ME"/>
        </w:rPr>
        <w:t>, preporučuje se konsultacija sa ginekologom. Zbog mogućeg izostanka efekta hormonske kontracepcije za</w:t>
      </w:r>
      <w:r w:rsidR="003E63C6" w:rsidRPr="00DE2CF7">
        <w:rPr>
          <w:szCs w:val="22"/>
          <w:lang w:val="sr-Latn-ME"/>
        </w:rPr>
        <w:t xml:space="preserve"> vrijeme </w:t>
      </w:r>
      <w:r w:rsidR="007453E0" w:rsidRPr="00DE2CF7">
        <w:rPr>
          <w:szCs w:val="22"/>
          <w:lang w:val="sr-Latn-ME"/>
        </w:rPr>
        <w:t>liječenj</w:t>
      </w:r>
      <w:r w:rsidRPr="00DE2CF7">
        <w:rPr>
          <w:szCs w:val="22"/>
          <w:lang w:val="sr-Latn-ME"/>
        </w:rPr>
        <w:t>a l</w:t>
      </w:r>
      <w:r w:rsidR="00BF7A44" w:rsidRPr="00DE2CF7">
        <w:rPr>
          <w:szCs w:val="22"/>
          <w:lang w:val="sr-Latn-ME"/>
        </w:rPr>
        <w:t>ij</w:t>
      </w:r>
      <w:r w:rsidRPr="00DE2CF7">
        <w:rPr>
          <w:szCs w:val="22"/>
          <w:lang w:val="sr-Latn-ME"/>
        </w:rPr>
        <w:t xml:space="preserve">ekom </w:t>
      </w:r>
      <w:r w:rsidR="00BF7A44" w:rsidRPr="00DE2CF7">
        <w:rPr>
          <w:szCs w:val="22"/>
          <w:lang w:val="sr-Latn-ME"/>
        </w:rPr>
        <w:t>Bosentan Pharmascience</w:t>
      </w:r>
      <w:r w:rsidRPr="00DE2CF7">
        <w:rPr>
          <w:szCs w:val="22"/>
          <w:lang w:val="sr-Latn-ME"/>
        </w:rPr>
        <w:t xml:space="preserve">, i takođe imajući u vidu </w:t>
      </w:r>
      <w:r w:rsidR="00AE09E0" w:rsidRPr="00DE2CF7">
        <w:rPr>
          <w:szCs w:val="22"/>
          <w:lang w:val="sr-Latn-ME"/>
        </w:rPr>
        <w:t xml:space="preserve">da u trudnoći dolazi do teškog </w:t>
      </w:r>
      <w:r w:rsidR="007C26FA" w:rsidRPr="00DE2CF7">
        <w:rPr>
          <w:szCs w:val="22"/>
          <w:lang w:val="sr-Latn-ME"/>
        </w:rPr>
        <w:t>pogoršanja plućne</w:t>
      </w:r>
      <w:r w:rsidRPr="00DE2CF7">
        <w:rPr>
          <w:szCs w:val="22"/>
          <w:lang w:val="sr-Latn-ME"/>
        </w:rPr>
        <w:t xml:space="preserve"> hipertenzij</w:t>
      </w:r>
      <w:r w:rsidR="00AE09E0" w:rsidRPr="00DE2CF7">
        <w:rPr>
          <w:szCs w:val="22"/>
          <w:lang w:val="sr-Latn-ME"/>
        </w:rPr>
        <w:t>e</w:t>
      </w:r>
      <w:r w:rsidRPr="00DE2CF7">
        <w:rPr>
          <w:szCs w:val="22"/>
          <w:lang w:val="sr-Latn-ME"/>
        </w:rPr>
        <w:t xml:space="preserve">, </w:t>
      </w:r>
      <w:r w:rsidR="00AE09E0" w:rsidRPr="00DE2CF7">
        <w:rPr>
          <w:szCs w:val="22"/>
          <w:lang w:val="sr-Latn-ME"/>
        </w:rPr>
        <w:t xml:space="preserve">preporučuju se </w:t>
      </w:r>
      <w:r w:rsidRPr="00DE2CF7">
        <w:rPr>
          <w:szCs w:val="22"/>
          <w:lang w:val="sr-Latn-ME"/>
        </w:rPr>
        <w:t>m</w:t>
      </w:r>
      <w:r w:rsidR="00BF7A44" w:rsidRPr="00DE2CF7">
        <w:rPr>
          <w:szCs w:val="22"/>
          <w:lang w:val="sr-Latn-ME"/>
        </w:rPr>
        <w:t>j</w:t>
      </w:r>
      <w:r w:rsidRPr="00DE2CF7">
        <w:rPr>
          <w:szCs w:val="22"/>
          <w:lang w:val="sr-Latn-ME"/>
        </w:rPr>
        <w:t>esečni testovi</w:t>
      </w:r>
      <w:r w:rsidR="00AE09E0" w:rsidRPr="00DE2CF7">
        <w:rPr>
          <w:szCs w:val="22"/>
          <w:lang w:val="sr-Latn-ME"/>
        </w:rPr>
        <w:t xml:space="preserve"> na</w:t>
      </w:r>
      <w:r w:rsidRPr="00DE2CF7">
        <w:rPr>
          <w:szCs w:val="22"/>
          <w:lang w:val="sr-Latn-ME"/>
        </w:rPr>
        <w:t xml:space="preserve"> trudnoć</w:t>
      </w:r>
      <w:r w:rsidR="00AE09E0" w:rsidRPr="00DE2CF7">
        <w:rPr>
          <w:szCs w:val="22"/>
          <w:lang w:val="sr-Latn-ME"/>
        </w:rPr>
        <w:t>u</w:t>
      </w:r>
      <w:r w:rsidRPr="00DE2CF7">
        <w:rPr>
          <w:szCs w:val="22"/>
          <w:lang w:val="sr-Latn-ME"/>
        </w:rPr>
        <w:t xml:space="preserve"> za</w:t>
      </w:r>
      <w:r w:rsidR="003E63C6" w:rsidRPr="00DE2CF7">
        <w:rPr>
          <w:szCs w:val="22"/>
          <w:lang w:val="sr-Latn-ME"/>
        </w:rPr>
        <w:t xml:space="preserve"> vrijeme </w:t>
      </w:r>
      <w:r w:rsidR="007453E0" w:rsidRPr="00DE2CF7">
        <w:rPr>
          <w:szCs w:val="22"/>
          <w:lang w:val="sr-Latn-ME"/>
        </w:rPr>
        <w:t>liječenj</w:t>
      </w:r>
      <w:r w:rsidRPr="00DE2CF7">
        <w:rPr>
          <w:szCs w:val="22"/>
          <w:lang w:val="sr-Latn-ME"/>
        </w:rPr>
        <w:t>a l</w:t>
      </w:r>
      <w:r w:rsidR="00BF7A44" w:rsidRPr="00DE2CF7">
        <w:rPr>
          <w:szCs w:val="22"/>
          <w:lang w:val="sr-Latn-ME"/>
        </w:rPr>
        <w:t>ij</w:t>
      </w:r>
      <w:r w:rsidRPr="00DE2CF7">
        <w:rPr>
          <w:szCs w:val="22"/>
          <w:lang w:val="sr-Latn-ME"/>
        </w:rPr>
        <w:t xml:space="preserve">ekom </w:t>
      </w:r>
      <w:r w:rsidR="008577E6" w:rsidRPr="00DE2CF7">
        <w:rPr>
          <w:szCs w:val="22"/>
          <w:lang w:val="sr-Latn-ME"/>
        </w:rPr>
        <w:t>B</w:t>
      </w:r>
      <w:r w:rsidR="00054610" w:rsidRPr="00DE2CF7">
        <w:rPr>
          <w:szCs w:val="22"/>
          <w:lang w:val="sr-Latn-ME"/>
        </w:rPr>
        <w:t>osentan</w:t>
      </w:r>
      <w:r w:rsidR="008577E6" w:rsidRPr="00DE2CF7">
        <w:rPr>
          <w:szCs w:val="22"/>
          <w:lang w:val="sr-Latn-ME"/>
        </w:rPr>
        <w:t xml:space="preserve"> Pharmascience</w:t>
      </w:r>
      <w:r w:rsidR="00815CCC" w:rsidRPr="00DE2CF7">
        <w:rPr>
          <w:szCs w:val="22"/>
          <w:lang w:val="sr-Latn-ME"/>
        </w:rPr>
        <w:t>,</w:t>
      </w:r>
      <w:r w:rsidRPr="00DE2CF7">
        <w:rPr>
          <w:szCs w:val="22"/>
          <w:lang w:val="sr-Latn-ME"/>
        </w:rPr>
        <w:t xml:space="preserve"> kako bi </w:t>
      </w:r>
      <w:r w:rsidR="00AE09E0" w:rsidRPr="00DE2CF7">
        <w:rPr>
          <w:szCs w:val="22"/>
          <w:lang w:val="sr-Latn-ME"/>
        </w:rPr>
        <w:t xml:space="preserve">se trudnoća </w:t>
      </w:r>
      <w:r w:rsidRPr="00DE2CF7">
        <w:rPr>
          <w:szCs w:val="22"/>
          <w:lang w:val="sr-Latn-ME"/>
        </w:rPr>
        <w:t>rano otkri</w:t>
      </w:r>
      <w:r w:rsidR="00AE09E0" w:rsidRPr="00DE2CF7">
        <w:rPr>
          <w:szCs w:val="22"/>
          <w:lang w:val="sr-Latn-ME"/>
        </w:rPr>
        <w:t>la.</w:t>
      </w:r>
    </w:p>
    <w:p w14:paraId="5B02BD1C" w14:textId="77777777" w:rsidR="00054610" w:rsidRPr="00DE2CF7" w:rsidRDefault="00054610" w:rsidP="00DE2CF7">
      <w:pPr>
        <w:rPr>
          <w:szCs w:val="22"/>
          <w:lang w:val="sr-Latn-ME"/>
        </w:rPr>
      </w:pPr>
    </w:p>
    <w:p w14:paraId="131DC44D" w14:textId="77777777" w:rsidR="0090133B" w:rsidRPr="00DE2CF7" w:rsidRDefault="0090133B" w:rsidP="00DE2CF7">
      <w:pPr>
        <w:rPr>
          <w:szCs w:val="22"/>
          <w:u w:val="single"/>
          <w:lang w:val="sr-Latn-ME"/>
        </w:rPr>
      </w:pPr>
      <w:r w:rsidRPr="00DE2CF7">
        <w:rPr>
          <w:szCs w:val="22"/>
          <w:u w:val="single"/>
          <w:lang w:val="sr-Latn-ME"/>
        </w:rPr>
        <w:t>Dojenje</w:t>
      </w:r>
    </w:p>
    <w:p w14:paraId="78006B60" w14:textId="77777777" w:rsidR="0090133B" w:rsidRPr="00DE2CF7" w:rsidRDefault="0090133B" w:rsidP="00DE2CF7">
      <w:pPr>
        <w:rPr>
          <w:szCs w:val="22"/>
          <w:lang w:val="sr-Latn-ME"/>
        </w:rPr>
      </w:pPr>
      <w:r w:rsidRPr="00DE2CF7">
        <w:rPr>
          <w:szCs w:val="22"/>
          <w:lang w:val="sr-Latn-ME"/>
        </w:rPr>
        <w:t>Nije poznato da li se bosentan izlučuje u humano ml</w:t>
      </w:r>
      <w:r w:rsidR="00BF7A44" w:rsidRPr="00DE2CF7">
        <w:rPr>
          <w:szCs w:val="22"/>
          <w:lang w:val="sr-Latn-ME"/>
        </w:rPr>
        <w:t>ij</w:t>
      </w:r>
      <w:r w:rsidRPr="00DE2CF7">
        <w:rPr>
          <w:szCs w:val="22"/>
          <w:lang w:val="sr-Latn-ME"/>
        </w:rPr>
        <w:t>eko. Ne preporučuje se dojenje tokom terapije l</w:t>
      </w:r>
      <w:r w:rsidR="00BF7A44" w:rsidRPr="00DE2CF7">
        <w:rPr>
          <w:szCs w:val="22"/>
          <w:lang w:val="sr-Latn-ME"/>
        </w:rPr>
        <w:t>ij</w:t>
      </w:r>
      <w:r w:rsidRPr="00DE2CF7">
        <w:rPr>
          <w:szCs w:val="22"/>
          <w:lang w:val="sr-Latn-ME"/>
        </w:rPr>
        <w:t xml:space="preserve">ekom </w:t>
      </w:r>
      <w:r w:rsidR="00BF7A44" w:rsidRPr="00DE2CF7">
        <w:rPr>
          <w:szCs w:val="22"/>
          <w:lang w:val="sr-Latn-ME"/>
        </w:rPr>
        <w:t>Bosentan Pharmascience</w:t>
      </w:r>
      <w:r w:rsidR="00054610" w:rsidRPr="00DE2CF7">
        <w:rPr>
          <w:szCs w:val="22"/>
          <w:lang w:val="sr-Latn-ME"/>
        </w:rPr>
        <w:t>.</w:t>
      </w:r>
    </w:p>
    <w:p w14:paraId="61750619" w14:textId="77777777" w:rsidR="0087250B" w:rsidRDefault="0087250B" w:rsidP="00DE2CF7">
      <w:pPr>
        <w:rPr>
          <w:szCs w:val="22"/>
          <w:u w:val="single"/>
          <w:lang w:val="sr-Latn-ME"/>
        </w:rPr>
      </w:pPr>
    </w:p>
    <w:p w14:paraId="6177CA4B" w14:textId="77777777" w:rsidR="0090133B" w:rsidRPr="00DE2CF7" w:rsidRDefault="00092B66" w:rsidP="00DE2CF7">
      <w:pPr>
        <w:rPr>
          <w:szCs w:val="22"/>
          <w:u w:val="single"/>
          <w:lang w:val="sr-Latn-ME"/>
        </w:rPr>
      </w:pPr>
      <w:r w:rsidRPr="00DE2CF7">
        <w:rPr>
          <w:szCs w:val="22"/>
          <w:u w:val="single"/>
          <w:lang w:val="sr-Latn-ME"/>
        </w:rPr>
        <w:t>Plodnost</w:t>
      </w:r>
    </w:p>
    <w:p w14:paraId="4B987796" w14:textId="77777777" w:rsidR="00BF7A44" w:rsidRPr="00DE2CF7" w:rsidRDefault="00BF7A44" w:rsidP="00DE2CF7">
      <w:pPr>
        <w:rPr>
          <w:szCs w:val="22"/>
          <w:u w:val="single"/>
          <w:lang w:val="sr-Latn-ME"/>
        </w:rPr>
      </w:pPr>
    </w:p>
    <w:p w14:paraId="33309540" w14:textId="77777777" w:rsidR="0090133B" w:rsidRPr="00DE2CF7" w:rsidRDefault="0090133B" w:rsidP="00DE2CF7">
      <w:pPr>
        <w:rPr>
          <w:szCs w:val="22"/>
          <w:lang w:val="sr-Latn-ME"/>
        </w:rPr>
      </w:pPr>
      <w:r w:rsidRPr="00DE2CF7">
        <w:rPr>
          <w:szCs w:val="22"/>
          <w:lang w:val="sr-Latn-ME"/>
        </w:rPr>
        <w:t>Studije na životinjama su pokazale efekat na testise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5.3). U studiji u kojoj se proučavao uticaj bosentana na funkciju testisa kod muškaraca sa PAH, </w:t>
      </w:r>
      <w:r w:rsidR="00E87D35" w:rsidRPr="00DE2CF7">
        <w:rPr>
          <w:szCs w:val="22"/>
          <w:lang w:val="sr-Latn-ME"/>
        </w:rPr>
        <w:t xml:space="preserve">6 </w:t>
      </w:r>
      <w:r w:rsidRPr="00DE2CF7">
        <w:rPr>
          <w:szCs w:val="22"/>
          <w:lang w:val="sr-Latn-ME"/>
        </w:rPr>
        <w:t xml:space="preserve">od 24 pacijenta </w:t>
      </w:r>
      <w:r w:rsidR="00E87D35" w:rsidRPr="00DE2CF7">
        <w:rPr>
          <w:szCs w:val="22"/>
          <w:lang w:val="sr-Latn-ME"/>
        </w:rPr>
        <w:t xml:space="preserve">(25%) </w:t>
      </w:r>
      <w:r w:rsidRPr="00DE2CF7">
        <w:rPr>
          <w:szCs w:val="22"/>
          <w:lang w:val="sr-Latn-ME"/>
        </w:rPr>
        <w:t>je imalo smanjenu koncentraciju spermatozoida u odnosu na početne vr</w:t>
      </w:r>
      <w:r w:rsidR="00BF7A44" w:rsidRPr="00DE2CF7">
        <w:rPr>
          <w:szCs w:val="22"/>
          <w:lang w:val="sr-Latn-ME"/>
        </w:rPr>
        <w:t>ij</w:t>
      </w:r>
      <w:r w:rsidRPr="00DE2CF7">
        <w:rPr>
          <w:szCs w:val="22"/>
          <w:lang w:val="sr-Latn-ME"/>
        </w:rPr>
        <w:t xml:space="preserve">ednosti za najmanje </w:t>
      </w:r>
      <w:r w:rsidR="00972AC5" w:rsidRPr="00DE2CF7">
        <w:rPr>
          <w:szCs w:val="22"/>
          <w:lang w:val="sr-Latn-ME"/>
        </w:rPr>
        <w:t>50</w:t>
      </w:r>
      <w:r w:rsidRPr="00DE2CF7">
        <w:rPr>
          <w:szCs w:val="22"/>
          <w:lang w:val="sr-Latn-ME"/>
        </w:rPr>
        <w:t xml:space="preserve">%, </w:t>
      </w:r>
      <w:r w:rsidR="0065646A" w:rsidRPr="00DE2CF7">
        <w:rPr>
          <w:szCs w:val="22"/>
          <w:lang w:val="sr-Latn-ME"/>
        </w:rPr>
        <w:t>nakon 6</w:t>
      </w:r>
      <w:r w:rsidRPr="00DE2CF7">
        <w:rPr>
          <w:szCs w:val="22"/>
          <w:lang w:val="sr-Latn-ME"/>
        </w:rPr>
        <w:t xml:space="preserve"> </w:t>
      </w:r>
      <w:r w:rsidR="003E63C6" w:rsidRPr="00DE2CF7">
        <w:rPr>
          <w:szCs w:val="22"/>
          <w:lang w:val="sr-Latn-ME"/>
        </w:rPr>
        <w:t>mjesec</w:t>
      </w:r>
      <w:r w:rsidRPr="00DE2CF7">
        <w:rPr>
          <w:szCs w:val="22"/>
          <w:lang w:val="sr-Latn-ME"/>
        </w:rPr>
        <w:t xml:space="preserve">i </w:t>
      </w:r>
      <w:r w:rsidR="007453E0" w:rsidRPr="00DE2CF7">
        <w:rPr>
          <w:szCs w:val="22"/>
          <w:lang w:val="sr-Latn-ME"/>
        </w:rPr>
        <w:t>liječenj</w:t>
      </w:r>
      <w:r w:rsidRPr="00DE2CF7">
        <w:rPr>
          <w:szCs w:val="22"/>
          <w:lang w:val="sr-Latn-ME"/>
        </w:rPr>
        <w:t>a</w:t>
      </w:r>
      <w:r w:rsidR="00972AC5" w:rsidRPr="00DE2CF7">
        <w:rPr>
          <w:szCs w:val="22"/>
          <w:lang w:val="sr-Latn-ME"/>
        </w:rPr>
        <w:t>.</w:t>
      </w:r>
      <w:r w:rsidRPr="00DE2CF7">
        <w:rPr>
          <w:szCs w:val="22"/>
          <w:lang w:val="sr-Latn-ME"/>
        </w:rPr>
        <w:t xml:space="preserve"> Na osnovu ovih podataka i pre</w:t>
      </w:r>
      <w:r w:rsidR="00972AC5" w:rsidRPr="00DE2CF7">
        <w:rPr>
          <w:szCs w:val="22"/>
          <w:lang w:val="sr-Latn-ME"/>
        </w:rPr>
        <w:t>t</w:t>
      </w:r>
      <w:r w:rsidRPr="00DE2CF7">
        <w:rPr>
          <w:szCs w:val="22"/>
          <w:lang w:val="sr-Latn-ME"/>
        </w:rPr>
        <w:t xml:space="preserve">kliničkih podataka, ne može se isključiti mogućnost </w:t>
      </w:r>
      <w:r w:rsidR="00FC6425" w:rsidRPr="00DE2CF7">
        <w:rPr>
          <w:szCs w:val="22"/>
          <w:lang w:val="sr-Latn-ME"/>
        </w:rPr>
        <w:t xml:space="preserve">štetnog </w:t>
      </w:r>
      <w:r w:rsidR="0065646A" w:rsidRPr="00DE2CF7">
        <w:rPr>
          <w:szCs w:val="22"/>
          <w:lang w:val="sr-Latn-ME"/>
        </w:rPr>
        <w:t>uticaja bosentana</w:t>
      </w:r>
      <w:r w:rsidRPr="00DE2CF7">
        <w:rPr>
          <w:szCs w:val="22"/>
          <w:lang w:val="sr-Latn-ME"/>
        </w:rPr>
        <w:t xml:space="preserve"> na spermatogenezu kod muškaraca. Kod</w:t>
      </w:r>
      <w:r w:rsidR="00344619" w:rsidRPr="00DE2CF7">
        <w:rPr>
          <w:szCs w:val="22"/>
          <w:lang w:val="sr-Latn-ME"/>
        </w:rPr>
        <w:t xml:space="preserve"> djece </w:t>
      </w:r>
      <w:r w:rsidRPr="00DE2CF7">
        <w:rPr>
          <w:szCs w:val="22"/>
          <w:lang w:val="sr-Latn-ME"/>
        </w:rPr>
        <w:t xml:space="preserve">muškog pola takođe ne može da se isključi dugoročan uticaj na plodnost nakon </w:t>
      </w:r>
      <w:r w:rsidR="007453E0" w:rsidRPr="00DE2CF7">
        <w:rPr>
          <w:szCs w:val="22"/>
          <w:lang w:val="sr-Latn-ME"/>
        </w:rPr>
        <w:t>liječenj</w:t>
      </w:r>
      <w:r w:rsidRPr="00DE2CF7">
        <w:rPr>
          <w:szCs w:val="22"/>
          <w:lang w:val="sr-Latn-ME"/>
        </w:rPr>
        <w:t xml:space="preserve">a </w:t>
      </w:r>
      <w:r w:rsidR="00DD47CF" w:rsidRPr="00DE2CF7">
        <w:rPr>
          <w:szCs w:val="22"/>
          <w:lang w:val="sr-Latn-ME"/>
        </w:rPr>
        <w:t>lijekom B</w:t>
      </w:r>
      <w:r w:rsidRPr="00DE2CF7">
        <w:rPr>
          <w:szCs w:val="22"/>
          <w:lang w:val="sr-Latn-ME"/>
        </w:rPr>
        <w:t>osentan</w:t>
      </w:r>
      <w:r w:rsidR="00DD47CF" w:rsidRPr="00DE2CF7">
        <w:rPr>
          <w:szCs w:val="22"/>
          <w:lang w:val="sr-Latn-ME"/>
        </w:rPr>
        <w:t xml:space="preserve"> Pharmascience</w:t>
      </w:r>
      <w:r w:rsidRPr="00DE2CF7">
        <w:rPr>
          <w:szCs w:val="22"/>
          <w:lang w:val="sr-Latn-ME"/>
        </w:rPr>
        <w:t>.</w:t>
      </w:r>
    </w:p>
    <w:p w14:paraId="01EC84FB" w14:textId="77777777" w:rsidR="003F55A4" w:rsidRPr="00DE2CF7" w:rsidRDefault="003F55A4" w:rsidP="00DE2CF7">
      <w:pPr>
        <w:tabs>
          <w:tab w:val="clear" w:pos="284"/>
          <w:tab w:val="left" w:pos="540"/>
          <w:tab w:val="left" w:pos="569"/>
        </w:tabs>
        <w:ind w:left="540" w:hanging="540"/>
        <w:jc w:val="left"/>
        <w:rPr>
          <w:b/>
          <w:bCs/>
          <w:szCs w:val="22"/>
          <w:lang w:val="sr-Latn-ME"/>
        </w:rPr>
      </w:pPr>
      <w:r w:rsidRPr="00DE2CF7">
        <w:rPr>
          <w:b/>
          <w:bCs/>
          <w:szCs w:val="22"/>
          <w:lang w:val="sr-Latn-ME"/>
        </w:rPr>
        <w:lastRenderedPageBreak/>
        <w:t xml:space="preserve">4.7. </w:t>
      </w:r>
      <w:r w:rsidRPr="00DE2CF7">
        <w:rPr>
          <w:b/>
          <w:bCs/>
          <w:szCs w:val="22"/>
          <w:lang w:val="sr-Latn-ME"/>
        </w:rPr>
        <w:tab/>
        <w:t>Uticaj na sposobnost upravljanja vozilima i rukovanje mašinama</w:t>
      </w:r>
    </w:p>
    <w:p w14:paraId="69B63047" w14:textId="77777777" w:rsidR="00BF7A44" w:rsidRPr="00DE2CF7" w:rsidRDefault="00BF7A44" w:rsidP="00DE2CF7">
      <w:pPr>
        <w:rPr>
          <w:szCs w:val="22"/>
          <w:lang w:val="sr-Latn-ME"/>
        </w:rPr>
      </w:pPr>
    </w:p>
    <w:p w14:paraId="0D66FC40" w14:textId="77777777" w:rsidR="0090133B" w:rsidRPr="00DE2CF7" w:rsidRDefault="0090133B" w:rsidP="00DE2CF7">
      <w:pPr>
        <w:rPr>
          <w:szCs w:val="22"/>
          <w:lang w:val="sr-Latn-ME"/>
        </w:rPr>
      </w:pPr>
      <w:r w:rsidRPr="00DE2CF7">
        <w:rPr>
          <w:szCs w:val="22"/>
          <w:lang w:val="sr-Latn-ME"/>
        </w:rPr>
        <w:t>Ni</w:t>
      </w:r>
      <w:r w:rsidR="00BF7A44" w:rsidRPr="00DE2CF7">
        <w:rPr>
          <w:szCs w:val="22"/>
          <w:lang w:val="sr-Latn-ME"/>
        </w:rPr>
        <w:t>je</w:t>
      </w:r>
      <w:r w:rsidRPr="00DE2CF7">
        <w:rPr>
          <w:szCs w:val="22"/>
          <w:lang w:val="sr-Latn-ME"/>
        </w:rPr>
        <w:t xml:space="preserve">su sprovedene specifične studije za </w:t>
      </w:r>
      <w:r w:rsidR="003E63C6" w:rsidRPr="00DE2CF7">
        <w:rPr>
          <w:szCs w:val="22"/>
          <w:lang w:val="sr-Latn-ME"/>
        </w:rPr>
        <w:t>procjen</w:t>
      </w:r>
      <w:r w:rsidRPr="00DE2CF7">
        <w:rPr>
          <w:szCs w:val="22"/>
          <w:lang w:val="sr-Latn-ME"/>
        </w:rPr>
        <w:t>u direktnog uticaja</w:t>
      </w:r>
      <w:r w:rsidR="001165AF" w:rsidRPr="00DE2CF7">
        <w:rPr>
          <w:szCs w:val="22"/>
          <w:lang w:val="sr-Latn-ME"/>
        </w:rPr>
        <w:t xml:space="preserve"> lijeka </w:t>
      </w:r>
      <w:r w:rsidR="00DD47CF" w:rsidRPr="00DE2CF7">
        <w:rPr>
          <w:szCs w:val="22"/>
          <w:lang w:val="sr-Latn-ME"/>
        </w:rPr>
        <w:t>B</w:t>
      </w:r>
      <w:r w:rsidR="00054610" w:rsidRPr="00DE2CF7">
        <w:rPr>
          <w:szCs w:val="22"/>
          <w:lang w:val="sr-Latn-ME"/>
        </w:rPr>
        <w:t>osentan</w:t>
      </w:r>
      <w:r w:rsidR="00DD47CF" w:rsidRPr="00DE2CF7">
        <w:rPr>
          <w:szCs w:val="22"/>
          <w:lang w:val="sr-Latn-ME"/>
        </w:rPr>
        <w:t xml:space="preserve"> Pharmascience</w:t>
      </w:r>
      <w:r w:rsidRPr="00DE2CF7">
        <w:rPr>
          <w:szCs w:val="22"/>
          <w:lang w:val="sr-Latn-ME"/>
        </w:rPr>
        <w:t xml:space="preserve"> na sposobnost upravljanja vozilima i rukovanja mašinama. Međutim, l</w:t>
      </w:r>
      <w:r w:rsidR="00BF7A44" w:rsidRPr="00DE2CF7">
        <w:rPr>
          <w:szCs w:val="22"/>
          <w:lang w:val="sr-Latn-ME"/>
        </w:rPr>
        <w:t>ij</w:t>
      </w:r>
      <w:r w:rsidRPr="00DE2CF7">
        <w:rPr>
          <w:szCs w:val="22"/>
          <w:lang w:val="sr-Latn-ME"/>
        </w:rPr>
        <w:t xml:space="preserve">ek </w:t>
      </w:r>
      <w:r w:rsidR="00BF7A44" w:rsidRPr="00DE2CF7">
        <w:rPr>
          <w:szCs w:val="22"/>
          <w:lang w:val="sr-Latn-ME"/>
        </w:rPr>
        <w:t>Bosentan Pharmascience</w:t>
      </w:r>
      <w:r w:rsidRPr="00DE2CF7">
        <w:rPr>
          <w:szCs w:val="22"/>
          <w:lang w:val="sr-Latn-ME"/>
        </w:rPr>
        <w:t xml:space="preserve"> može izazvati hipotenziju</w:t>
      </w:r>
      <w:r w:rsidR="00E87D35" w:rsidRPr="00DE2CF7">
        <w:rPr>
          <w:szCs w:val="22"/>
          <w:lang w:val="sr-Latn-ME"/>
        </w:rPr>
        <w:t>,</w:t>
      </w:r>
      <w:r w:rsidRPr="00DE2CF7">
        <w:rPr>
          <w:szCs w:val="22"/>
          <w:lang w:val="sr-Latn-ME"/>
        </w:rPr>
        <w:t xml:space="preserve"> sa simptomima vrtoglavice, zamagljenog vida ili sinkope</w:t>
      </w:r>
      <w:r w:rsidR="00BF7A44" w:rsidRPr="00DE2CF7">
        <w:rPr>
          <w:szCs w:val="22"/>
          <w:lang w:val="sr-Latn-ME"/>
        </w:rPr>
        <w:t>,</w:t>
      </w:r>
      <w:r w:rsidRPr="00DE2CF7">
        <w:rPr>
          <w:szCs w:val="22"/>
          <w:lang w:val="sr-Latn-ME"/>
        </w:rPr>
        <w:t xml:space="preserve"> što može da utiče na sposobnost upravljanja vozilima ili rukovanja mašinama.</w:t>
      </w:r>
    </w:p>
    <w:p w14:paraId="42E7CF4F" w14:textId="77777777" w:rsidR="00AD78F7" w:rsidRPr="00DE2CF7" w:rsidRDefault="00AD78F7" w:rsidP="00DE2CF7">
      <w:pPr>
        <w:rPr>
          <w:szCs w:val="22"/>
          <w:lang w:val="sr-Latn-ME"/>
        </w:rPr>
      </w:pPr>
    </w:p>
    <w:p w14:paraId="5208DC0B" w14:textId="77777777" w:rsidR="0090133B" w:rsidRPr="00DE2CF7" w:rsidRDefault="0090133B" w:rsidP="00DE2CF7">
      <w:pPr>
        <w:rPr>
          <w:b/>
          <w:szCs w:val="22"/>
          <w:lang w:val="sr-Latn-ME"/>
        </w:rPr>
      </w:pPr>
      <w:r w:rsidRPr="00DE2CF7">
        <w:rPr>
          <w:b/>
          <w:szCs w:val="22"/>
          <w:lang w:val="sr-Latn-ME"/>
        </w:rPr>
        <w:t>4.8. Neželjena dejstva</w:t>
      </w:r>
    </w:p>
    <w:p w14:paraId="38EE83BD" w14:textId="77777777" w:rsidR="00420036" w:rsidRPr="00DE2CF7" w:rsidRDefault="00420036" w:rsidP="00DE2CF7">
      <w:pPr>
        <w:rPr>
          <w:b/>
          <w:szCs w:val="22"/>
          <w:lang w:val="sr-Latn-ME"/>
        </w:rPr>
      </w:pPr>
    </w:p>
    <w:p w14:paraId="3140B929" w14:textId="77777777" w:rsidR="0090133B" w:rsidRPr="00DE2CF7" w:rsidRDefault="0090133B" w:rsidP="00DE2CF7">
      <w:pPr>
        <w:rPr>
          <w:szCs w:val="22"/>
          <w:lang w:val="sr-Latn-ME"/>
        </w:rPr>
      </w:pPr>
      <w:r w:rsidRPr="00DE2CF7">
        <w:rPr>
          <w:szCs w:val="22"/>
          <w:lang w:val="sr-Latn-ME"/>
        </w:rPr>
        <w:t>U 20 placebom kontrolisanih studija, sprovedenih kod različitih terapijskih indikacija, ukupno 2486 pacijenata je l</w:t>
      </w:r>
      <w:r w:rsidR="00420036" w:rsidRPr="00DE2CF7">
        <w:rPr>
          <w:szCs w:val="22"/>
          <w:lang w:val="sr-Latn-ME"/>
        </w:rPr>
        <w:t>ij</w:t>
      </w:r>
      <w:r w:rsidRPr="00DE2CF7">
        <w:rPr>
          <w:szCs w:val="22"/>
          <w:lang w:val="sr-Latn-ME"/>
        </w:rPr>
        <w:t>ečeno bosentanom u dnevnim dozama od 100 mg do 2000 mg, a 1838 pacijenata je primalo placebo. Pros</w:t>
      </w:r>
      <w:r w:rsidR="00E371EB" w:rsidRPr="00DE2CF7">
        <w:rPr>
          <w:szCs w:val="22"/>
          <w:lang w:val="sr-Latn-ME"/>
        </w:rPr>
        <w:t>j</w:t>
      </w:r>
      <w:r w:rsidRPr="00DE2CF7">
        <w:rPr>
          <w:szCs w:val="22"/>
          <w:lang w:val="sr-Latn-ME"/>
        </w:rPr>
        <w:t xml:space="preserve">ečno trajanje </w:t>
      </w:r>
      <w:r w:rsidR="007453E0" w:rsidRPr="00DE2CF7">
        <w:rPr>
          <w:szCs w:val="22"/>
          <w:lang w:val="sr-Latn-ME"/>
        </w:rPr>
        <w:t>liječenj</w:t>
      </w:r>
      <w:r w:rsidRPr="00DE2CF7">
        <w:rPr>
          <w:szCs w:val="22"/>
          <w:lang w:val="sr-Latn-ME"/>
        </w:rPr>
        <w:t xml:space="preserve">a </w:t>
      </w:r>
      <w:r w:rsidR="00B20A68" w:rsidRPr="00DE2CF7">
        <w:rPr>
          <w:szCs w:val="22"/>
          <w:lang w:val="sr-Latn-ME"/>
        </w:rPr>
        <w:t>iznosilo je</w:t>
      </w:r>
      <w:r w:rsidRPr="00DE2CF7">
        <w:rPr>
          <w:szCs w:val="22"/>
          <w:lang w:val="sr-Latn-ME"/>
        </w:rPr>
        <w:t xml:space="preserve"> 45 </w:t>
      </w:r>
      <w:r w:rsidR="003E63C6" w:rsidRPr="00DE2CF7">
        <w:rPr>
          <w:szCs w:val="22"/>
          <w:lang w:val="sr-Latn-ME"/>
        </w:rPr>
        <w:t>nedjelja</w:t>
      </w:r>
      <w:r w:rsidRPr="00DE2CF7">
        <w:rPr>
          <w:szCs w:val="22"/>
          <w:lang w:val="sr-Latn-ME"/>
        </w:rPr>
        <w:t>. Neželjene reakcije na l</w:t>
      </w:r>
      <w:r w:rsidR="00420036" w:rsidRPr="00DE2CF7">
        <w:rPr>
          <w:szCs w:val="22"/>
          <w:lang w:val="sr-Latn-ME"/>
        </w:rPr>
        <w:t>ij</w:t>
      </w:r>
      <w:r w:rsidRPr="00DE2CF7">
        <w:rPr>
          <w:szCs w:val="22"/>
          <w:lang w:val="sr-Latn-ME"/>
        </w:rPr>
        <w:t>ek su definisane kao događaji koji su se javili kod najmanje 1% pacijenata koji su primali bosentan i sa učestalošću od najmanje 0,5% većom nego kod onih koji su primali placebo. Najčešće neželjene reakcije su glavobolja (11,5%), edem/zadržavanje tečnosti (13,2%), abnormalni nalazi funkcije jetre (10,9%) i anemija/smanjenje koncentracije hemoglobina (9,9%).</w:t>
      </w:r>
    </w:p>
    <w:p w14:paraId="1B0C2905" w14:textId="77777777" w:rsidR="0090133B" w:rsidRPr="00DE2CF7" w:rsidRDefault="007453E0" w:rsidP="00DE2CF7">
      <w:pPr>
        <w:rPr>
          <w:szCs w:val="22"/>
          <w:lang w:val="sr-Latn-ME"/>
        </w:rPr>
      </w:pPr>
      <w:r w:rsidRPr="00DE2CF7">
        <w:rPr>
          <w:szCs w:val="22"/>
          <w:lang w:val="sr-Latn-ME"/>
        </w:rPr>
        <w:t>Liječenj</w:t>
      </w:r>
      <w:r w:rsidR="0090133B" w:rsidRPr="00DE2CF7">
        <w:rPr>
          <w:szCs w:val="22"/>
          <w:lang w:val="sr-Latn-ME"/>
        </w:rPr>
        <w:t>e bosentanom bilo je udruženo sa dozno-zavisnim povećanjima vr</w:t>
      </w:r>
      <w:r w:rsidR="00420036" w:rsidRPr="00DE2CF7">
        <w:rPr>
          <w:szCs w:val="22"/>
          <w:lang w:val="sr-Latn-ME"/>
        </w:rPr>
        <w:t>ij</w:t>
      </w:r>
      <w:r w:rsidR="0090133B" w:rsidRPr="00DE2CF7">
        <w:rPr>
          <w:szCs w:val="22"/>
          <w:lang w:val="sr-Latn-ME"/>
        </w:rPr>
        <w:t>ednosti aminotransferaza jetre i smanjenjima koncentracije hemoglobina (</w:t>
      </w:r>
      <w:r w:rsidRPr="00DE2CF7">
        <w:rPr>
          <w:szCs w:val="22"/>
          <w:lang w:val="sr-Latn-ME"/>
        </w:rPr>
        <w:t>vidjeti</w:t>
      </w:r>
      <w:r w:rsidR="0090133B" w:rsidRPr="00DE2CF7">
        <w:rPr>
          <w:szCs w:val="22"/>
          <w:lang w:val="sr-Latn-ME"/>
        </w:rPr>
        <w:t xml:space="preserve"> </w:t>
      </w:r>
      <w:r w:rsidRPr="00DE2CF7">
        <w:rPr>
          <w:szCs w:val="22"/>
          <w:lang w:val="sr-Latn-ME"/>
        </w:rPr>
        <w:t>odjeljak</w:t>
      </w:r>
      <w:r w:rsidR="0090133B" w:rsidRPr="00DE2CF7">
        <w:rPr>
          <w:szCs w:val="22"/>
          <w:lang w:val="sr-Latn-ME"/>
        </w:rPr>
        <w:t xml:space="preserve"> 4.4).</w:t>
      </w:r>
    </w:p>
    <w:p w14:paraId="3C8E7776" w14:textId="77777777" w:rsidR="005F51E9" w:rsidRPr="00DE2CF7" w:rsidRDefault="0090133B" w:rsidP="00DE2CF7">
      <w:pPr>
        <w:rPr>
          <w:szCs w:val="22"/>
          <w:lang w:val="sr-Latn-ME"/>
        </w:rPr>
      </w:pPr>
      <w:r w:rsidRPr="00DE2CF7">
        <w:rPr>
          <w:szCs w:val="22"/>
          <w:lang w:val="sr-Latn-ME"/>
        </w:rPr>
        <w:t>Neželjene reakcije prim</w:t>
      </w:r>
      <w:r w:rsidR="006E200E" w:rsidRPr="00DE2CF7">
        <w:rPr>
          <w:szCs w:val="22"/>
          <w:lang w:val="sr-Latn-ME"/>
        </w:rPr>
        <w:t>ij</w:t>
      </w:r>
      <w:r w:rsidRPr="00DE2CF7">
        <w:rPr>
          <w:szCs w:val="22"/>
          <w:lang w:val="sr-Latn-ME"/>
        </w:rPr>
        <w:t xml:space="preserve">ećene u 20 placebom kontrolisanih studija i postmarektinškom iskustvu sa bosentanom </w:t>
      </w:r>
      <w:r w:rsidR="00E371EB" w:rsidRPr="00DE2CF7">
        <w:rPr>
          <w:szCs w:val="22"/>
          <w:lang w:val="sr-Latn-ME"/>
        </w:rPr>
        <w:t>navedene</w:t>
      </w:r>
      <w:r w:rsidRPr="00DE2CF7">
        <w:rPr>
          <w:szCs w:val="22"/>
          <w:lang w:val="sr-Latn-ME"/>
        </w:rPr>
        <w:t xml:space="preserve"> su prema učestalosti</w:t>
      </w:r>
      <w:r w:rsidR="001C439B" w:rsidRPr="00DE2CF7">
        <w:rPr>
          <w:szCs w:val="22"/>
          <w:lang w:val="sr-Latn-ME"/>
        </w:rPr>
        <w:t>,</w:t>
      </w:r>
      <w:r w:rsidRPr="00DE2CF7">
        <w:rPr>
          <w:szCs w:val="22"/>
          <w:lang w:val="sr-Latn-ME"/>
        </w:rPr>
        <w:t xml:space="preserve"> koristeći sl</w:t>
      </w:r>
      <w:r w:rsidR="00420036" w:rsidRPr="00DE2CF7">
        <w:rPr>
          <w:szCs w:val="22"/>
          <w:lang w:val="sr-Latn-ME"/>
        </w:rPr>
        <w:t>j</w:t>
      </w:r>
      <w:r w:rsidRPr="00DE2CF7">
        <w:rPr>
          <w:szCs w:val="22"/>
          <w:lang w:val="sr-Latn-ME"/>
        </w:rPr>
        <w:t>edeću konvenciju: veoma čest</w:t>
      </w:r>
      <w:r w:rsidR="002508A6" w:rsidRPr="00DE2CF7">
        <w:rPr>
          <w:szCs w:val="22"/>
          <w:lang w:val="sr-Latn-ME"/>
        </w:rPr>
        <w:t>o</w:t>
      </w:r>
      <w:r w:rsidRPr="00DE2CF7">
        <w:rPr>
          <w:szCs w:val="22"/>
          <w:lang w:val="sr-Latn-ME"/>
        </w:rPr>
        <w:t xml:space="preserve"> (≥1/10); čest</w:t>
      </w:r>
      <w:r w:rsidR="002508A6" w:rsidRPr="00DE2CF7">
        <w:rPr>
          <w:szCs w:val="22"/>
          <w:lang w:val="sr-Latn-ME"/>
        </w:rPr>
        <w:t>o</w:t>
      </w:r>
      <w:r w:rsidRPr="00DE2CF7">
        <w:rPr>
          <w:szCs w:val="22"/>
          <w:lang w:val="sr-Latn-ME"/>
        </w:rPr>
        <w:t xml:space="preserve"> (≥1/100 i &lt;1/10); povremen</w:t>
      </w:r>
      <w:r w:rsidR="002508A6" w:rsidRPr="00DE2CF7">
        <w:rPr>
          <w:szCs w:val="22"/>
          <w:lang w:val="sr-Latn-ME"/>
        </w:rPr>
        <w:t>o</w:t>
      </w:r>
      <w:r w:rsidRPr="00DE2CF7">
        <w:rPr>
          <w:szCs w:val="22"/>
          <w:lang w:val="sr-Latn-ME"/>
        </w:rPr>
        <w:t xml:space="preserve"> (≥1/1000 i &lt; 1/100); r</w:t>
      </w:r>
      <w:r w:rsidR="00624BD3" w:rsidRPr="00DE2CF7">
        <w:rPr>
          <w:szCs w:val="22"/>
          <w:lang w:val="sr-Latn-ME"/>
        </w:rPr>
        <w:t>ij</w:t>
      </w:r>
      <w:r w:rsidRPr="00DE2CF7">
        <w:rPr>
          <w:szCs w:val="22"/>
          <w:lang w:val="sr-Latn-ME"/>
        </w:rPr>
        <w:t>etk</w:t>
      </w:r>
      <w:r w:rsidR="002508A6" w:rsidRPr="00DE2CF7">
        <w:rPr>
          <w:szCs w:val="22"/>
          <w:lang w:val="sr-Latn-ME"/>
        </w:rPr>
        <w:t>o</w:t>
      </w:r>
      <w:r w:rsidRPr="00DE2CF7">
        <w:rPr>
          <w:szCs w:val="22"/>
          <w:lang w:val="sr-Latn-ME"/>
        </w:rPr>
        <w:t xml:space="preserve"> (≥1/10000 i &lt;1/1000); veoma r</w:t>
      </w:r>
      <w:r w:rsidR="00624BD3" w:rsidRPr="00DE2CF7">
        <w:rPr>
          <w:szCs w:val="22"/>
          <w:lang w:val="sr-Latn-ME"/>
        </w:rPr>
        <w:t>ij</w:t>
      </w:r>
      <w:r w:rsidRPr="00DE2CF7">
        <w:rPr>
          <w:szCs w:val="22"/>
          <w:lang w:val="sr-Latn-ME"/>
        </w:rPr>
        <w:t>etk</w:t>
      </w:r>
      <w:r w:rsidR="002508A6" w:rsidRPr="00DE2CF7">
        <w:rPr>
          <w:szCs w:val="22"/>
          <w:lang w:val="sr-Latn-ME"/>
        </w:rPr>
        <w:t>o</w:t>
      </w:r>
      <w:r w:rsidRPr="00DE2CF7">
        <w:rPr>
          <w:szCs w:val="22"/>
          <w:lang w:val="sr-Latn-ME"/>
        </w:rPr>
        <w:t xml:space="preserve"> (&lt;1/10000); nepoznat</w:t>
      </w:r>
      <w:r w:rsidR="002508A6" w:rsidRPr="00DE2CF7">
        <w:rPr>
          <w:szCs w:val="22"/>
          <w:lang w:val="sr-Latn-ME"/>
        </w:rPr>
        <w:t>o</w:t>
      </w:r>
      <w:r w:rsidRPr="00DE2CF7">
        <w:rPr>
          <w:szCs w:val="22"/>
          <w:lang w:val="sr-Latn-ME"/>
        </w:rPr>
        <w:t xml:space="preserve"> (</w:t>
      </w:r>
      <w:r w:rsidR="00B81CED" w:rsidRPr="00DE2CF7">
        <w:rPr>
          <w:szCs w:val="22"/>
          <w:lang w:val="sr-Latn-ME"/>
        </w:rPr>
        <w:t xml:space="preserve">učestalost se </w:t>
      </w:r>
      <w:r w:rsidRPr="00DE2CF7">
        <w:rPr>
          <w:szCs w:val="22"/>
          <w:lang w:val="sr-Latn-ME"/>
        </w:rPr>
        <w:t xml:space="preserve">ne može </w:t>
      </w:r>
      <w:r w:rsidR="003E63C6" w:rsidRPr="00DE2CF7">
        <w:rPr>
          <w:szCs w:val="22"/>
          <w:lang w:val="sr-Latn-ME"/>
        </w:rPr>
        <w:t>proc</w:t>
      </w:r>
      <w:r w:rsidR="00E371EB" w:rsidRPr="00DE2CF7">
        <w:rPr>
          <w:szCs w:val="22"/>
          <w:lang w:val="sr-Latn-ME"/>
        </w:rPr>
        <w:t>i</w:t>
      </w:r>
      <w:r w:rsidR="003E63C6" w:rsidRPr="00DE2CF7">
        <w:rPr>
          <w:szCs w:val="22"/>
          <w:lang w:val="sr-Latn-ME"/>
        </w:rPr>
        <w:t>jen</w:t>
      </w:r>
      <w:r w:rsidRPr="00DE2CF7">
        <w:rPr>
          <w:szCs w:val="22"/>
          <w:lang w:val="sr-Latn-ME"/>
        </w:rPr>
        <w:t>iti na osnovu dostupnih podataka).</w:t>
      </w:r>
    </w:p>
    <w:p w14:paraId="4089D11E" w14:textId="77777777" w:rsidR="00380512" w:rsidRPr="00DE2CF7" w:rsidRDefault="0090133B" w:rsidP="00DE2CF7">
      <w:pPr>
        <w:rPr>
          <w:szCs w:val="22"/>
          <w:lang w:val="sr-Latn-ME"/>
        </w:rPr>
      </w:pPr>
      <w:r w:rsidRPr="00DE2CF7">
        <w:rPr>
          <w:szCs w:val="22"/>
          <w:lang w:val="sr-Latn-ME"/>
        </w:rPr>
        <w:t>U okviru svake grupe učestalosti, neželjene reakcije su prikazane u opadajućem redosl</w:t>
      </w:r>
      <w:r w:rsidR="00420036" w:rsidRPr="00DE2CF7">
        <w:rPr>
          <w:szCs w:val="22"/>
          <w:lang w:val="sr-Latn-ME"/>
        </w:rPr>
        <w:t>j</w:t>
      </w:r>
      <w:r w:rsidRPr="00DE2CF7">
        <w:rPr>
          <w:szCs w:val="22"/>
          <w:lang w:val="sr-Latn-ME"/>
        </w:rPr>
        <w:t>edu prema ozbiljnosti. Nema klinički značajnih razlika u neželjenim reakcijama prim</w:t>
      </w:r>
      <w:r w:rsidR="006E200E" w:rsidRPr="00DE2CF7">
        <w:rPr>
          <w:szCs w:val="22"/>
          <w:lang w:val="sr-Latn-ME"/>
        </w:rPr>
        <w:t>ij</w:t>
      </w:r>
      <w:r w:rsidRPr="00DE2CF7">
        <w:rPr>
          <w:szCs w:val="22"/>
          <w:lang w:val="sr-Latn-ME"/>
        </w:rPr>
        <w:t>ećenim između ukupnog zbira podataka i odobrenih indikacija.</w:t>
      </w:r>
    </w:p>
    <w:p w14:paraId="02285148" w14:textId="77777777" w:rsidR="0065646A" w:rsidRPr="00DE2CF7" w:rsidRDefault="0065646A" w:rsidP="00DE2CF7">
      <w:pPr>
        <w:rPr>
          <w:szCs w:val="22"/>
          <w:lang w:val="sr-Latn-ME"/>
        </w:rPr>
      </w:pPr>
    </w:p>
    <w:tbl>
      <w:tblPr>
        <w:tblStyle w:val="TableGrid0"/>
        <w:tblW w:w="0" w:type="auto"/>
        <w:tblLook w:val="04A0" w:firstRow="1" w:lastRow="0" w:firstColumn="1" w:lastColumn="0" w:noHBand="0" w:noVBand="1"/>
      </w:tblPr>
      <w:tblGrid>
        <w:gridCol w:w="3823"/>
        <w:gridCol w:w="1417"/>
        <w:gridCol w:w="4389"/>
      </w:tblGrid>
      <w:tr w:rsidR="00380512" w:rsidRPr="00DE2CF7" w14:paraId="6598501E" w14:textId="77777777" w:rsidTr="0065646A">
        <w:tc>
          <w:tcPr>
            <w:tcW w:w="3823" w:type="dxa"/>
          </w:tcPr>
          <w:p w14:paraId="5FC2E16A" w14:textId="77777777" w:rsidR="00380512" w:rsidRPr="00DE2CF7" w:rsidRDefault="00380512" w:rsidP="00DE2CF7">
            <w:pPr>
              <w:rPr>
                <w:b/>
                <w:szCs w:val="22"/>
                <w:lang w:val="sr-Latn-ME"/>
              </w:rPr>
            </w:pPr>
            <w:r w:rsidRPr="00DE2CF7">
              <w:rPr>
                <w:b/>
                <w:szCs w:val="22"/>
                <w:lang w:val="sr-Latn-ME"/>
              </w:rPr>
              <w:t>Klasa sistema organa</w:t>
            </w:r>
          </w:p>
        </w:tc>
        <w:tc>
          <w:tcPr>
            <w:tcW w:w="1417" w:type="dxa"/>
          </w:tcPr>
          <w:p w14:paraId="524E8A6F" w14:textId="77777777" w:rsidR="00380512" w:rsidRPr="00DE2CF7" w:rsidRDefault="00380512" w:rsidP="00DE2CF7">
            <w:pPr>
              <w:rPr>
                <w:b/>
                <w:szCs w:val="22"/>
                <w:lang w:val="sr-Latn-ME"/>
              </w:rPr>
            </w:pPr>
            <w:r w:rsidRPr="00DE2CF7">
              <w:rPr>
                <w:b/>
                <w:szCs w:val="22"/>
                <w:lang w:val="sr-Latn-ME"/>
              </w:rPr>
              <w:t>Učestalost</w:t>
            </w:r>
          </w:p>
        </w:tc>
        <w:tc>
          <w:tcPr>
            <w:tcW w:w="4389" w:type="dxa"/>
          </w:tcPr>
          <w:p w14:paraId="2A219686" w14:textId="77777777" w:rsidR="00380512" w:rsidRPr="00DE2CF7" w:rsidRDefault="00380512" w:rsidP="00DE2CF7">
            <w:pPr>
              <w:rPr>
                <w:b/>
                <w:szCs w:val="22"/>
                <w:lang w:val="sr-Latn-ME"/>
              </w:rPr>
            </w:pPr>
            <w:r w:rsidRPr="00DE2CF7">
              <w:rPr>
                <w:b/>
                <w:szCs w:val="22"/>
                <w:lang w:val="sr-Latn-ME"/>
              </w:rPr>
              <w:t>Neželjena reakcija</w:t>
            </w:r>
          </w:p>
        </w:tc>
      </w:tr>
      <w:tr w:rsidR="00380512" w:rsidRPr="00FE77AC" w14:paraId="606F9181" w14:textId="77777777" w:rsidTr="0065646A">
        <w:tc>
          <w:tcPr>
            <w:tcW w:w="3823" w:type="dxa"/>
            <w:vMerge w:val="restart"/>
          </w:tcPr>
          <w:p w14:paraId="1F468D01" w14:textId="77777777" w:rsidR="00380512" w:rsidRPr="00DE2CF7" w:rsidRDefault="00380512" w:rsidP="00DE2CF7">
            <w:pPr>
              <w:rPr>
                <w:szCs w:val="22"/>
                <w:lang w:val="sr-Latn-ME"/>
              </w:rPr>
            </w:pPr>
            <w:r w:rsidRPr="00DE2CF7">
              <w:rPr>
                <w:szCs w:val="22"/>
                <w:lang w:val="sr-Latn-ME"/>
              </w:rPr>
              <w:t>Poremećaji</w:t>
            </w:r>
            <w:r w:rsidR="00886CBE" w:rsidRPr="00DE2CF7">
              <w:rPr>
                <w:szCs w:val="22"/>
                <w:lang w:val="sr-Latn-ME"/>
              </w:rPr>
              <w:t xml:space="preserve"> </w:t>
            </w:r>
            <w:r w:rsidRPr="00DE2CF7">
              <w:rPr>
                <w:szCs w:val="22"/>
                <w:lang w:val="sr-Latn-ME"/>
              </w:rPr>
              <w:t>krvi i limfnog sistema</w:t>
            </w:r>
          </w:p>
        </w:tc>
        <w:tc>
          <w:tcPr>
            <w:tcW w:w="1417" w:type="dxa"/>
          </w:tcPr>
          <w:p w14:paraId="709C2DBC" w14:textId="77777777" w:rsidR="00380512" w:rsidRPr="00DE2CF7" w:rsidRDefault="00380512" w:rsidP="00DE2CF7">
            <w:pPr>
              <w:rPr>
                <w:szCs w:val="22"/>
                <w:lang w:val="sr-Latn-ME"/>
              </w:rPr>
            </w:pPr>
            <w:r w:rsidRPr="00DE2CF7">
              <w:rPr>
                <w:szCs w:val="22"/>
                <w:lang w:val="sr-Latn-ME"/>
              </w:rPr>
              <w:t>Čest</w:t>
            </w:r>
            <w:r w:rsidR="0029144D" w:rsidRPr="00DE2CF7">
              <w:rPr>
                <w:szCs w:val="22"/>
                <w:lang w:val="sr-Latn-ME"/>
              </w:rPr>
              <w:t>o</w:t>
            </w:r>
          </w:p>
        </w:tc>
        <w:tc>
          <w:tcPr>
            <w:tcW w:w="4389" w:type="dxa"/>
          </w:tcPr>
          <w:p w14:paraId="3293855A" w14:textId="77777777" w:rsidR="00380512" w:rsidRPr="00DE2CF7" w:rsidRDefault="00380512" w:rsidP="00DE2CF7">
            <w:pPr>
              <w:rPr>
                <w:szCs w:val="22"/>
                <w:lang w:val="sr-Latn-ME"/>
              </w:rPr>
            </w:pPr>
            <w:r w:rsidRPr="00DE2CF7">
              <w:rPr>
                <w:szCs w:val="22"/>
                <w:lang w:val="sr-Latn-ME"/>
              </w:rPr>
              <w:t>Anemija, smanjenje koncentracije hemoglobina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4.4)</w:t>
            </w:r>
          </w:p>
        </w:tc>
      </w:tr>
      <w:tr w:rsidR="00380512" w:rsidRPr="00FE77AC" w14:paraId="38CCDE10" w14:textId="77777777" w:rsidTr="0065646A">
        <w:tc>
          <w:tcPr>
            <w:tcW w:w="3823" w:type="dxa"/>
            <w:vMerge/>
          </w:tcPr>
          <w:p w14:paraId="332DEA77" w14:textId="77777777" w:rsidR="00380512" w:rsidRPr="00DE2CF7" w:rsidRDefault="00380512" w:rsidP="00DE2CF7">
            <w:pPr>
              <w:rPr>
                <w:szCs w:val="22"/>
                <w:lang w:val="sr-Latn-ME"/>
              </w:rPr>
            </w:pPr>
          </w:p>
        </w:tc>
        <w:tc>
          <w:tcPr>
            <w:tcW w:w="1417" w:type="dxa"/>
          </w:tcPr>
          <w:p w14:paraId="0388A097" w14:textId="77777777" w:rsidR="00380512" w:rsidRPr="00DE2CF7" w:rsidRDefault="00380512" w:rsidP="00DE2CF7">
            <w:pPr>
              <w:rPr>
                <w:szCs w:val="22"/>
                <w:lang w:val="sr-Latn-ME"/>
              </w:rPr>
            </w:pPr>
            <w:r w:rsidRPr="00DE2CF7">
              <w:rPr>
                <w:szCs w:val="22"/>
                <w:lang w:val="sr-Latn-ME"/>
              </w:rPr>
              <w:t>Nepoznat</w:t>
            </w:r>
            <w:r w:rsidR="0029144D" w:rsidRPr="00DE2CF7">
              <w:rPr>
                <w:szCs w:val="22"/>
                <w:lang w:val="sr-Latn-ME"/>
              </w:rPr>
              <w:t>o</w:t>
            </w:r>
          </w:p>
        </w:tc>
        <w:tc>
          <w:tcPr>
            <w:tcW w:w="4389" w:type="dxa"/>
          </w:tcPr>
          <w:p w14:paraId="2B856DAA" w14:textId="77777777" w:rsidR="00380512" w:rsidRPr="00DE2CF7" w:rsidRDefault="00380512" w:rsidP="00DE2CF7">
            <w:pPr>
              <w:jc w:val="left"/>
              <w:rPr>
                <w:szCs w:val="22"/>
                <w:lang w:val="sr-Latn-ME"/>
              </w:rPr>
            </w:pPr>
            <w:r w:rsidRPr="00DE2CF7">
              <w:rPr>
                <w:szCs w:val="22"/>
                <w:lang w:val="sr-Latn-ME"/>
              </w:rPr>
              <w:t>Anemija ili smanjenje koncentracije hemoglobina koje zaht</w:t>
            </w:r>
            <w:r w:rsidR="003C0FE0" w:rsidRPr="00DE2CF7">
              <w:rPr>
                <w:szCs w:val="22"/>
                <w:lang w:val="sr-Latn-ME"/>
              </w:rPr>
              <w:t>ij</w:t>
            </w:r>
            <w:r w:rsidRPr="00DE2CF7">
              <w:rPr>
                <w:szCs w:val="22"/>
                <w:lang w:val="sr-Latn-ME"/>
              </w:rPr>
              <w:t>eva transfuziju eritrocita</w:t>
            </w:r>
            <w:r w:rsidR="001C439B" w:rsidRPr="00DE2CF7">
              <w:rPr>
                <w:szCs w:val="22"/>
                <w:vertAlign w:val="superscript"/>
                <w:lang w:val="sr-Latn-ME"/>
              </w:rPr>
              <w:t>1</w:t>
            </w:r>
          </w:p>
        </w:tc>
      </w:tr>
      <w:tr w:rsidR="00380512" w:rsidRPr="00DE2CF7" w14:paraId="248FD106" w14:textId="77777777" w:rsidTr="0065646A">
        <w:tc>
          <w:tcPr>
            <w:tcW w:w="3823" w:type="dxa"/>
            <w:vMerge/>
          </w:tcPr>
          <w:p w14:paraId="266FD458" w14:textId="77777777" w:rsidR="00380512" w:rsidRPr="00DE2CF7" w:rsidRDefault="00380512" w:rsidP="00DE2CF7">
            <w:pPr>
              <w:rPr>
                <w:szCs w:val="22"/>
                <w:lang w:val="sr-Latn-ME"/>
              </w:rPr>
            </w:pPr>
          </w:p>
        </w:tc>
        <w:tc>
          <w:tcPr>
            <w:tcW w:w="1417" w:type="dxa"/>
          </w:tcPr>
          <w:p w14:paraId="2B320737" w14:textId="77777777" w:rsidR="00380512" w:rsidRPr="00DE2CF7" w:rsidRDefault="00380512" w:rsidP="00DE2CF7">
            <w:pPr>
              <w:rPr>
                <w:szCs w:val="22"/>
                <w:lang w:val="sr-Latn-ME"/>
              </w:rPr>
            </w:pPr>
            <w:r w:rsidRPr="00DE2CF7">
              <w:rPr>
                <w:szCs w:val="22"/>
                <w:lang w:val="sr-Latn-ME"/>
              </w:rPr>
              <w:t>Povremen</w:t>
            </w:r>
            <w:r w:rsidR="0029144D" w:rsidRPr="00DE2CF7">
              <w:rPr>
                <w:szCs w:val="22"/>
                <w:lang w:val="sr-Latn-ME"/>
              </w:rPr>
              <w:t>o</w:t>
            </w:r>
          </w:p>
        </w:tc>
        <w:tc>
          <w:tcPr>
            <w:tcW w:w="4389" w:type="dxa"/>
          </w:tcPr>
          <w:p w14:paraId="394B9B41" w14:textId="77777777" w:rsidR="00380512" w:rsidRPr="00DE2CF7" w:rsidRDefault="00380512" w:rsidP="00DE2CF7">
            <w:pPr>
              <w:rPr>
                <w:szCs w:val="22"/>
                <w:lang w:val="sr-Latn-ME"/>
              </w:rPr>
            </w:pPr>
            <w:r w:rsidRPr="00DE2CF7">
              <w:rPr>
                <w:szCs w:val="22"/>
                <w:lang w:val="sr-Latn-ME"/>
              </w:rPr>
              <w:t>Trombocitopenija</w:t>
            </w:r>
            <w:r w:rsidRPr="00DE2CF7">
              <w:rPr>
                <w:szCs w:val="22"/>
                <w:vertAlign w:val="superscript"/>
                <w:lang w:val="sr-Latn-ME"/>
              </w:rPr>
              <w:t>1</w:t>
            </w:r>
          </w:p>
        </w:tc>
      </w:tr>
      <w:tr w:rsidR="00380512" w:rsidRPr="00DE2CF7" w14:paraId="605783DE" w14:textId="77777777" w:rsidTr="0065646A">
        <w:tc>
          <w:tcPr>
            <w:tcW w:w="3823" w:type="dxa"/>
            <w:vMerge/>
          </w:tcPr>
          <w:p w14:paraId="3C52A6CD" w14:textId="77777777" w:rsidR="00380512" w:rsidRPr="00DE2CF7" w:rsidRDefault="00380512" w:rsidP="00DE2CF7">
            <w:pPr>
              <w:rPr>
                <w:szCs w:val="22"/>
                <w:lang w:val="sr-Latn-ME"/>
              </w:rPr>
            </w:pPr>
          </w:p>
        </w:tc>
        <w:tc>
          <w:tcPr>
            <w:tcW w:w="1417" w:type="dxa"/>
          </w:tcPr>
          <w:p w14:paraId="49D5D539" w14:textId="77777777" w:rsidR="00380512" w:rsidRPr="00DE2CF7" w:rsidRDefault="00380512" w:rsidP="00DE2CF7">
            <w:pPr>
              <w:rPr>
                <w:szCs w:val="22"/>
                <w:lang w:val="sr-Latn-ME"/>
              </w:rPr>
            </w:pPr>
            <w:r w:rsidRPr="00DE2CF7">
              <w:rPr>
                <w:szCs w:val="22"/>
                <w:lang w:val="sr-Latn-ME"/>
              </w:rPr>
              <w:t>Povremen</w:t>
            </w:r>
            <w:r w:rsidR="0029144D" w:rsidRPr="00DE2CF7">
              <w:rPr>
                <w:szCs w:val="22"/>
                <w:lang w:val="sr-Latn-ME"/>
              </w:rPr>
              <w:t>o</w:t>
            </w:r>
          </w:p>
        </w:tc>
        <w:tc>
          <w:tcPr>
            <w:tcW w:w="4389" w:type="dxa"/>
          </w:tcPr>
          <w:p w14:paraId="2B61C1E0" w14:textId="77777777" w:rsidR="00380512" w:rsidRPr="00DE2CF7" w:rsidRDefault="00380512" w:rsidP="00DE2CF7">
            <w:pPr>
              <w:rPr>
                <w:szCs w:val="22"/>
                <w:lang w:val="sr-Latn-ME"/>
              </w:rPr>
            </w:pPr>
            <w:r w:rsidRPr="00DE2CF7">
              <w:rPr>
                <w:szCs w:val="22"/>
                <w:lang w:val="sr-Latn-ME"/>
              </w:rPr>
              <w:t>Neutropenija, leukopenija</w:t>
            </w:r>
            <w:r w:rsidRPr="00DE2CF7">
              <w:rPr>
                <w:szCs w:val="22"/>
                <w:vertAlign w:val="superscript"/>
                <w:lang w:val="sr-Latn-ME"/>
              </w:rPr>
              <w:t>1</w:t>
            </w:r>
          </w:p>
        </w:tc>
      </w:tr>
      <w:tr w:rsidR="00380512" w:rsidRPr="00FE77AC" w14:paraId="4987D933" w14:textId="77777777" w:rsidTr="0065646A">
        <w:tc>
          <w:tcPr>
            <w:tcW w:w="3823" w:type="dxa"/>
            <w:vMerge w:val="restart"/>
          </w:tcPr>
          <w:p w14:paraId="186ABF28" w14:textId="77777777" w:rsidR="00380512" w:rsidRPr="00DE2CF7" w:rsidRDefault="00886CBE" w:rsidP="00DE2CF7">
            <w:pPr>
              <w:rPr>
                <w:szCs w:val="22"/>
                <w:lang w:val="sr-Latn-ME"/>
              </w:rPr>
            </w:pPr>
            <w:r w:rsidRPr="00DE2CF7">
              <w:rPr>
                <w:szCs w:val="22"/>
                <w:lang w:val="sr-Latn-ME"/>
              </w:rPr>
              <w:t>Imunološki poremećaji</w:t>
            </w:r>
          </w:p>
        </w:tc>
        <w:tc>
          <w:tcPr>
            <w:tcW w:w="1417" w:type="dxa"/>
          </w:tcPr>
          <w:p w14:paraId="52341D66" w14:textId="77777777" w:rsidR="00380512" w:rsidRPr="00DE2CF7" w:rsidRDefault="00380512" w:rsidP="00DE2CF7">
            <w:pPr>
              <w:rPr>
                <w:szCs w:val="22"/>
                <w:lang w:val="sr-Latn-ME"/>
              </w:rPr>
            </w:pPr>
            <w:r w:rsidRPr="00DE2CF7">
              <w:rPr>
                <w:szCs w:val="22"/>
                <w:lang w:val="sr-Latn-ME"/>
              </w:rPr>
              <w:t>Čest</w:t>
            </w:r>
            <w:r w:rsidR="003C0FE0" w:rsidRPr="00DE2CF7">
              <w:rPr>
                <w:szCs w:val="22"/>
                <w:lang w:val="sr-Latn-ME"/>
              </w:rPr>
              <w:t>o</w:t>
            </w:r>
          </w:p>
        </w:tc>
        <w:tc>
          <w:tcPr>
            <w:tcW w:w="4389" w:type="dxa"/>
          </w:tcPr>
          <w:p w14:paraId="3458B0EA" w14:textId="77777777" w:rsidR="00380512" w:rsidRPr="00DE2CF7" w:rsidRDefault="00380512" w:rsidP="00DE2CF7">
            <w:pPr>
              <w:rPr>
                <w:szCs w:val="22"/>
                <w:lang w:val="sr-Latn-ME"/>
              </w:rPr>
            </w:pPr>
            <w:r w:rsidRPr="00DE2CF7">
              <w:rPr>
                <w:szCs w:val="22"/>
                <w:lang w:val="sr-Latn-ME"/>
              </w:rPr>
              <w:t>Reakcije preos</w:t>
            </w:r>
            <w:r w:rsidR="003C0FE0" w:rsidRPr="00DE2CF7">
              <w:rPr>
                <w:szCs w:val="22"/>
                <w:lang w:val="sr-Latn-ME"/>
              </w:rPr>
              <w:t>j</w:t>
            </w:r>
            <w:r w:rsidRPr="00DE2CF7">
              <w:rPr>
                <w:szCs w:val="22"/>
                <w:lang w:val="sr-Latn-ME"/>
              </w:rPr>
              <w:t>etljivosti (uključujući dermatitis, pruritus i osip)</w:t>
            </w:r>
            <w:r w:rsidRPr="00DE2CF7">
              <w:rPr>
                <w:szCs w:val="22"/>
                <w:vertAlign w:val="superscript"/>
                <w:lang w:val="sr-Latn-ME"/>
              </w:rPr>
              <w:t>2</w:t>
            </w:r>
          </w:p>
        </w:tc>
      </w:tr>
      <w:tr w:rsidR="00380512" w:rsidRPr="00DE2CF7" w14:paraId="5F1BA69C" w14:textId="77777777" w:rsidTr="0065646A">
        <w:tc>
          <w:tcPr>
            <w:tcW w:w="3823" w:type="dxa"/>
            <w:vMerge/>
          </w:tcPr>
          <w:p w14:paraId="7BA44B59" w14:textId="77777777" w:rsidR="00380512" w:rsidRPr="00DE2CF7" w:rsidRDefault="00380512" w:rsidP="00DE2CF7">
            <w:pPr>
              <w:rPr>
                <w:szCs w:val="22"/>
                <w:lang w:val="sr-Latn-ME"/>
              </w:rPr>
            </w:pPr>
          </w:p>
        </w:tc>
        <w:tc>
          <w:tcPr>
            <w:tcW w:w="1417" w:type="dxa"/>
          </w:tcPr>
          <w:p w14:paraId="68EB7CA8" w14:textId="77777777" w:rsidR="00380512" w:rsidRPr="00DE2CF7" w:rsidRDefault="00380512" w:rsidP="00DE2CF7">
            <w:pPr>
              <w:rPr>
                <w:szCs w:val="22"/>
                <w:lang w:val="sr-Latn-ME"/>
              </w:rPr>
            </w:pPr>
            <w:r w:rsidRPr="00DE2CF7">
              <w:rPr>
                <w:szCs w:val="22"/>
                <w:lang w:val="sr-Latn-ME"/>
              </w:rPr>
              <w:t>R</w:t>
            </w:r>
            <w:r w:rsidR="003C0FE0" w:rsidRPr="00DE2CF7">
              <w:rPr>
                <w:szCs w:val="22"/>
                <w:lang w:val="sr-Latn-ME"/>
              </w:rPr>
              <w:t>ije</w:t>
            </w:r>
            <w:r w:rsidRPr="00DE2CF7">
              <w:rPr>
                <w:szCs w:val="22"/>
                <w:lang w:val="sr-Latn-ME"/>
              </w:rPr>
              <w:t>tk</w:t>
            </w:r>
            <w:r w:rsidR="003C0FE0" w:rsidRPr="00DE2CF7">
              <w:rPr>
                <w:szCs w:val="22"/>
                <w:lang w:val="sr-Latn-ME"/>
              </w:rPr>
              <w:t>o</w:t>
            </w:r>
          </w:p>
        </w:tc>
        <w:tc>
          <w:tcPr>
            <w:tcW w:w="4389" w:type="dxa"/>
          </w:tcPr>
          <w:p w14:paraId="2D1A2574" w14:textId="77777777" w:rsidR="00380512" w:rsidRPr="00DE2CF7" w:rsidRDefault="00380512" w:rsidP="00DE2CF7">
            <w:pPr>
              <w:rPr>
                <w:szCs w:val="22"/>
                <w:lang w:val="sr-Latn-ME"/>
              </w:rPr>
            </w:pPr>
            <w:r w:rsidRPr="00DE2CF7">
              <w:rPr>
                <w:szCs w:val="22"/>
                <w:lang w:val="sr-Latn-ME"/>
              </w:rPr>
              <w:t>Anafilaksa i/ili angioedem</w:t>
            </w:r>
            <w:r w:rsidRPr="00DE2CF7">
              <w:rPr>
                <w:szCs w:val="22"/>
                <w:vertAlign w:val="superscript"/>
                <w:lang w:val="sr-Latn-ME"/>
              </w:rPr>
              <w:t>1</w:t>
            </w:r>
          </w:p>
        </w:tc>
      </w:tr>
      <w:tr w:rsidR="00380512" w:rsidRPr="00DE2CF7" w14:paraId="59FE0240" w14:textId="77777777" w:rsidTr="0065646A">
        <w:tc>
          <w:tcPr>
            <w:tcW w:w="3823" w:type="dxa"/>
            <w:vMerge w:val="restart"/>
          </w:tcPr>
          <w:p w14:paraId="42D395D9" w14:textId="77777777" w:rsidR="00380512" w:rsidRPr="00DE2CF7" w:rsidRDefault="00380512" w:rsidP="00DE2CF7">
            <w:pPr>
              <w:rPr>
                <w:szCs w:val="22"/>
                <w:lang w:val="sr-Latn-ME"/>
              </w:rPr>
            </w:pPr>
            <w:r w:rsidRPr="00DE2CF7">
              <w:rPr>
                <w:szCs w:val="22"/>
                <w:lang w:val="sr-Latn-ME"/>
              </w:rPr>
              <w:t>Poremećaji nervnog sistema</w:t>
            </w:r>
            <w:r w:rsidR="00886CBE" w:rsidRPr="00DE2CF7">
              <w:rPr>
                <w:szCs w:val="22"/>
                <w:lang w:val="sr-Latn-ME"/>
              </w:rPr>
              <w:t xml:space="preserve"> </w:t>
            </w:r>
          </w:p>
        </w:tc>
        <w:tc>
          <w:tcPr>
            <w:tcW w:w="1417" w:type="dxa"/>
          </w:tcPr>
          <w:p w14:paraId="4A28843E" w14:textId="77777777" w:rsidR="00380512" w:rsidRPr="00DE2CF7" w:rsidRDefault="00380512" w:rsidP="00DE2CF7">
            <w:pPr>
              <w:rPr>
                <w:szCs w:val="22"/>
                <w:lang w:val="sr-Latn-ME"/>
              </w:rPr>
            </w:pPr>
            <w:r w:rsidRPr="00DE2CF7">
              <w:rPr>
                <w:szCs w:val="22"/>
                <w:lang w:val="sr-Latn-ME"/>
              </w:rPr>
              <w:t>Veoma čest</w:t>
            </w:r>
            <w:r w:rsidR="003C0FE0" w:rsidRPr="00DE2CF7">
              <w:rPr>
                <w:szCs w:val="22"/>
                <w:lang w:val="sr-Latn-ME"/>
              </w:rPr>
              <w:t>o</w:t>
            </w:r>
          </w:p>
        </w:tc>
        <w:tc>
          <w:tcPr>
            <w:tcW w:w="4389" w:type="dxa"/>
          </w:tcPr>
          <w:p w14:paraId="0F661345" w14:textId="77777777" w:rsidR="00380512" w:rsidRPr="00DE2CF7" w:rsidRDefault="00380512" w:rsidP="00DE2CF7">
            <w:pPr>
              <w:rPr>
                <w:szCs w:val="22"/>
                <w:lang w:val="sr-Latn-ME"/>
              </w:rPr>
            </w:pPr>
            <w:r w:rsidRPr="00DE2CF7">
              <w:rPr>
                <w:szCs w:val="22"/>
                <w:lang w:val="sr-Latn-ME"/>
              </w:rPr>
              <w:t>Glavobolja</w:t>
            </w:r>
            <w:r w:rsidRPr="00DE2CF7">
              <w:rPr>
                <w:szCs w:val="22"/>
                <w:vertAlign w:val="superscript"/>
                <w:lang w:val="sr-Latn-ME"/>
              </w:rPr>
              <w:t>3</w:t>
            </w:r>
          </w:p>
        </w:tc>
      </w:tr>
      <w:tr w:rsidR="00380512" w:rsidRPr="00DE2CF7" w14:paraId="09D11515" w14:textId="77777777" w:rsidTr="0065646A">
        <w:tc>
          <w:tcPr>
            <w:tcW w:w="3823" w:type="dxa"/>
            <w:vMerge/>
          </w:tcPr>
          <w:p w14:paraId="00A93655" w14:textId="77777777" w:rsidR="00380512" w:rsidRPr="00DE2CF7" w:rsidRDefault="00380512" w:rsidP="00DE2CF7">
            <w:pPr>
              <w:rPr>
                <w:szCs w:val="22"/>
                <w:lang w:val="sr-Latn-ME"/>
              </w:rPr>
            </w:pPr>
          </w:p>
        </w:tc>
        <w:tc>
          <w:tcPr>
            <w:tcW w:w="1417" w:type="dxa"/>
          </w:tcPr>
          <w:p w14:paraId="76960FA0" w14:textId="77777777" w:rsidR="00380512" w:rsidRPr="00DE2CF7" w:rsidRDefault="00380512" w:rsidP="00DE2CF7">
            <w:pPr>
              <w:rPr>
                <w:szCs w:val="22"/>
                <w:lang w:val="sr-Latn-ME"/>
              </w:rPr>
            </w:pPr>
            <w:r w:rsidRPr="00DE2CF7">
              <w:rPr>
                <w:szCs w:val="22"/>
                <w:lang w:val="sr-Latn-ME"/>
              </w:rPr>
              <w:t>Čest</w:t>
            </w:r>
            <w:r w:rsidR="003C0FE0" w:rsidRPr="00DE2CF7">
              <w:rPr>
                <w:szCs w:val="22"/>
                <w:lang w:val="sr-Latn-ME"/>
              </w:rPr>
              <w:t>o</w:t>
            </w:r>
          </w:p>
        </w:tc>
        <w:tc>
          <w:tcPr>
            <w:tcW w:w="4389" w:type="dxa"/>
          </w:tcPr>
          <w:p w14:paraId="75E26888" w14:textId="77777777" w:rsidR="00380512" w:rsidRPr="00DE2CF7" w:rsidRDefault="00380512" w:rsidP="00DE2CF7">
            <w:pPr>
              <w:rPr>
                <w:szCs w:val="22"/>
                <w:lang w:val="sr-Latn-ME"/>
              </w:rPr>
            </w:pPr>
            <w:r w:rsidRPr="00DE2CF7">
              <w:rPr>
                <w:szCs w:val="22"/>
                <w:lang w:val="sr-Latn-ME"/>
              </w:rPr>
              <w:t>Sinkopa</w:t>
            </w:r>
            <w:r w:rsidRPr="00DE2CF7">
              <w:rPr>
                <w:szCs w:val="22"/>
                <w:vertAlign w:val="superscript"/>
                <w:lang w:val="sr-Latn-ME"/>
              </w:rPr>
              <w:t>1, 4</w:t>
            </w:r>
          </w:p>
        </w:tc>
      </w:tr>
      <w:tr w:rsidR="00380512" w:rsidRPr="00DE2CF7" w14:paraId="587AD827" w14:textId="77777777" w:rsidTr="0065646A">
        <w:tc>
          <w:tcPr>
            <w:tcW w:w="3823" w:type="dxa"/>
          </w:tcPr>
          <w:p w14:paraId="35227ADB" w14:textId="77777777" w:rsidR="00380512" w:rsidRPr="00DE2CF7" w:rsidRDefault="00380512" w:rsidP="00DE2CF7">
            <w:pPr>
              <w:rPr>
                <w:szCs w:val="22"/>
                <w:lang w:val="sr-Latn-ME"/>
              </w:rPr>
            </w:pPr>
            <w:r w:rsidRPr="00DE2CF7">
              <w:rPr>
                <w:szCs w:val="22"/>
                <w:lang w:val="sr-Latn-ME"/>
              </w:rPr>
              <w:t>Poremećaji oka</w:t>
            </w:r>
          </w:p>
        </w:tc>
        <w:tc>
          <w:tcPr>
            <w:tcW w:w="1417" w:type="dxa"/>
          </w:tcPr>
          <w:p w14:paraId="06CFEE31" w14:textId="77777777" w:rsidR="00380512" w:rsidRPr="00DE2CF7" w:rsidRDefault="00380512" w:rsidP="00DE2CF7">
            <w:pPr>
              <w:rPr>
                <w:szCs w:val="22"/>
                <w:lang w:val="sr-Latn-ME"/>
              </w:rPr>
            </w:pPr>
            <w:r w:rsidRPr="00DE2CF7">
              <w:rPr>
                <w:szCs w:val="22"/>
                <w:lang w:val="sr-Latn-ME"/>
              </w:rPr>
              <w:t>Nepoznat</w:t>
            </w:r>
            <w:r w:rsidR="003C0FE0" w:rsidRPr="00DE2CF7">
              <w:rPr>
                <w:szCs w:val="22"/>
                <w:lang w:val="sr-Latn-ME"/>
              </w:rPr>
              <w:t>o</w:t>
            </w:r>
          </w:p>
        </w:tc>
        <w:tc>
          <w:tcPr>
            <w:tcW w:w="4389" w:type="dxa"/>
          </w:tcPr>
          <w:p w14:paraId="71F17DFA" w14:textId="77777777" w:rsidR="00380512" w:rsidRPr="00DE2CF7" w:rsidRDefault="00380512" w:rsidP="00DE2CF7">
            <w:pPr>
              <w:rPr>
                <w:szCs w:val="22"/>
                <w:lang w:val="sr-Latn-ME"/>
              </w:rPr>
            </w:pPr>
            <w:r w:rsidRPr="00DE2CF7">
              <w:rPr>
                <w:szCs w:val="22"/>
                <w:lang w:val="sr-Latn-ME"/>
              </w:rPr>
              <w:t>Zamagljen vid</w:t>
            </w:r>
            <w:r w:rsidRPr="00DE2CF7">
              <w:rPr>
                <w:szCs w:val="22"/>
                <w:vertAlign w:val="superscript"/>
                <w:lang w:val="sr-Latn-ME"/>
              </w:rPr>
              <w:t>1</w:t>
            </w:r>
          </w:p>
        </w:tc>
      </w:tr>
      <w:tr w:rsidR="00380512" w:rsidRPr="00DE2CF7" w14:paraId="2F2DA800" w14:textId="77777777" w:rsidTr="0065646A">
        <w:trPr>
          <w:trHeight w:val="91"/>
        </w:trPr>
        <w:tc>
          <w:tcPr>
            <w:tcW w:w="3823" w:type="dxa"/>
          </w:tcPr>
          <w:p w14:paraId="7BC34594" w14:textId="77777777" w:rsidR="00380512" w:rsidRPr="00DE2CF7" w:rsidRDefault="00380512" w:rsidP="00DE2CF7">
            <w:pPr>
              <w:rPr>
                <w:szCs w:val="22"/>
                <w:lang w:val="sr-Latn-ME"/>
              </w:rPr>
            </w:pPr>
            <w:r w:rsidRPr="00DE2CF7">
              <w:rPr>
                <w:szCs w:val="22"/>
                <w:lang w:val="sr-Latn-ME"/>
              </w:rPr>
              <w:t>Kardiološki poremećaji</w:t>
            </w:r>
          </w:p>
        </w:tc>
        <w:tc>
          <w:tcPr>
            <w:tcW w:w="1417" w:type="dxa"/>
          </w:tcPr>
          <w:p w14:paraId="0D5130CF" w14:textId="77777777" w:rsidR="00380512" w:rsidRPr="00DE2CF7" w:rsidRDefault="00380512" w:rsidP="00DE2CF7">
            <w:pPr>
              <w:rPr>
                <w:szCs w:val="22"/>
                <w:lang w:val="sr-Latn-ME"/>
              </w:rPr>
            </w:pPr>
            <w:r w:rsidRPr="00DE2CF7">
              <w:rPr>
                <w:szCs w:val="22"/>
                <w:lang w:val="sr-Latn-ME"/>
              </w:rPr>
              <w:t>Čest</w:t>
            </w:r>
            <w:r w:rsidR="003C0FE0" w:rsidRPr="00DE2CF7">
              <w:rPr>
                <w:szCs w:val="22"/>
                <w:lang w:val="sr-Latn-ME"/>
              </w:rPr>
              <w:t>o</w:t>
            </w:r>
            <w:r w:rsidRPr="00DE2CF7">
              <w:rPr>
                <w:szCs w:val="22"/>
                <w:lang w:val="sr-Latn-ME"/>
              </w:rPr>
              <w:t xml:space="preserve"> </w:t>
            </w:r>
          </w:p>
        </w:tc>
        <w:tc>
          <w:tcPr>
            <w:tcW w:w="4389" w:type="dxa"/>
          </w:tcPr>
          <w:p w14:paraId="7ECA3A5B" w14:textId="77777777" w:rsidR="00380512" w:rsidRPr="00DE2CF7" w:rsidRDefault="00380512" w:rsidP="00DE2CF7">
            <w:pPr>
              <w:rPr>
                <w:szCs w:val="22"/>
                <w:lang w:val="sr-Latn-ME"/>
              </w:rPr>
            </w:pPr>
            <w:r w:rsidRPr="00DE2CF7">
              <w:rPr>
                <w:szCs w:val="22"/>
                <w:lang w:val="sr-Latn-ME"/>
              </w:rPr>
              <w:t>Palpitacije</w:t>
            </w:r>
            <w:r w:rsidRPr="00DE2CF7">
              <w:rPr>
                <w:szCs w:val="22"/>
                <w:vertAlign w:val="superscript"/>
                <w:lang w:val="sr-Latn-ME"/>
              </w:rPr>
              <w:t>1, 4</w:t>
            </w:r>
          </w:p>
        </w:tc>
      </w:tr>
      <w:tr w:rsidR="00624BD3" w:rsidRPr="00DE2CF7" w14:paraId="0BD6F792" w14:textId="77777777" w:rsidTr="0065646A">
        <w:trPr>
          <w:trHeight w:val="91"/>
        </w:trPr>
        <w:tc>
          <w:tcPr>
            <w:tcW w:w="3823" w:type="dxa"/>
            <w:vMerge w:val="restart"/>
          </w:tcPr>
          <w:p w14:paraId="0592D40E" w14:textId="77777777" w:rsidR="00624BD3" w:rsidRPr="00DE2CF7" w:rsidRDefault="00624BD3" w:rsidP="00DE2CF7">
            <w:pPr>
              <w:rPr>
                <w:szCs w:val="22"/>
                <w:lang w:val="sr-Latn-ME"/>
              </w:rPr>
            </w:pPr>
            <w:r w:rsidRPr="00DE2CF7">
              <w:rPr>
                <w:szCs w:val="22"/>
                <w:lang w:val="sr-Latn-ME"/>
              </w:rPr>
              <w:t>Vaskularni poremećaji</w:t>
            </w:r>
          </w:p>
        </w:tc>
        <w:tc>
          <w:tcPr>
            <w:tcW w:w="1417" w:type="dxa"/>
          </w:tcPr>
          <w:p w14:paraId="6CDDDE92" w14:textId="77777777" w:rsidR="00624BD3" w:rsidRPr="00DE2CF7" w:rsidRDefault="00624BD3" w:rsidP="00DE2CF7">
            <w:pPr>
              <w:rPr>
                <w:szCs w:val="22"/>
                <w:lang w:val="sr-Latn-ME"/>
              </w:rPr>
            </w:pPr>
            <w:r w:rsidRPr="00DE2CF7">
              <w:rPr>
                <w:szCs w:val="22"/>
                <w:lang w:val="sr-Latn-ME"/>
              </w:rPr>
              <w:t>Čest</w:t>
            </w:r>
            <w:r w:rsidR="003C0FE0" w:rsidRPr="00DE2CF7">
              <w:rPr>
                <w:szCs w:val="22"/>
                <w:lang w:val="sr-Latn-ME"/>
              </w:rPr>
              <w:t>o</w:t>
            </w:r>
          </w:p>
        </w:tc>
        <w:tc>
          <w:tcPr>
            <w:tcW w:w="4389" w:type="dxa"/>
          </w:tcPr>
          <w:p w14:paraId="16B07DCE" w14:textId="77777777" w:rsidR="00624BD3" w:rsidRPr="00DE2CF7" w:rsidRDefault="00624BD3" w:rsidP="00DE2CF7">
            <w:pPr>
              <w:rPr>
                <w:szCs w:val="22"/>
                <w:lang w:val="sr-Latn-ME"/>
              </w:rPr>
            </w:pPr>
            <w:r w:rsidRPr="00DE2CF7">
              <w:rPr>
                <w:szCs w:val="22"/>
                <w:lang w:val="sr-Latn-ME"/>
              </w:rPr>
              <w:t>Crvenilo uz os</w:t>
            </w:r>
            <w:r w:rsidR="003C0FE0" w:rsidRPr="00DE2CF7">
              <w:rPr>
                <w:szCs w:val="22"/>
                <w:lang w:val="sr-Latn-ME"/>
              </w:rPr>
              <w:t>j</w:t>
            </w:r>
            <w:r w:rsidRPr="00DE2CF7">
              <w:rPr>
                <w:szCs w:val="22"/>
                <w:lang w:val="sr-Latn-ME"/>
              </w:rPr>
              <w:t>ećaj vrućine</w:t>
            </w:r>
          </w:p>
        </w:tc>
      </w:tr>
      <w:tr w:rsidR="00624BD3" w:rsidRPr="00DE2CF7" w14:paraId="108A9A90" w14:textId="77777777" w:rsidTr="0065646A">
        <w:tc>
          <w:tcPr>
            <w:tcW w:w="3823" w:type="dxa"/>
            <w:vMerge/>
          </w:tcPr>
          <w:p w14:paraId="50E44433" w14:textId="77777777" w:rsidR="00624BD3" w:rsidRPr="00DE2CF7" w:rsidRDefault="00624BD3" w:rsidP="00DE2CF7">
            <w:pPr>
              <w:rPr>
                <w:szCs w:val="22"/>
                <w:lang w:val="sr-Latn-ME"/>
              </w:rPr>
            </w:pPr>
          </w:p>
        </w:tc>
        <w:tc>
          <w:tcPr>
            <w:tcW w:w="1417" w:type="dxa"/>
          </w:tcPr>
          <w:p w14:paraId="60194027" w14:textId="77777777" w:rsidR="00624BD3" w:rsidRPr="00DE2CF7" w:rsidRDefault="00624BD3" w:rsidP="00DE2CF7">
            <w:pPr>
              <w:rPr>
                <w:szCs w:val="22"/>
                <w:lang w:val="sr-Latn-ME"/>
              </w:rPr>
            </w:pPr>
            <w:r w:rsidRPr="00DE2CF7">
              <w:rPr>
                <w:szCs w:val="22"/>
                <w:lang w:val="sr-Latn-ME"/>
              </w:rPr>
              <w:t>Čest</w:t>
            </w:r>
            <w:r w:rsidR="003C0FE0" w:rsidRPr="00DE2CF7">
              <w:rPr>
                <w:szCs w:val="22"/>
                <w:lang w:val="sr-Latn-ME"/>
              </w:rPr>
              <w:t>o</w:t>
            </w:r>
          </w:p>
        </w:tc>
        <w:tc>
          <w:tcPr>
            <w:tcW w:w="4389" w:type="dxa"/>
          </w:tcPr>
          <w:p w14:paraId="43BEFA06" w14:textId="77777777" w:rsidR="00624BD3" w:rsidRPr="00DE2CF7" w:rsidRDefault="00624BD3" w:rsidP="00DE2CF7">
            <w:pPr>
              <w:rPr>
                <w:szCs w:val="22"/>
                <w:vertAlign w:val="superscript"/>
                <w:lang w:val="sr-Latn-ME"/>
              </w:rPr>
            </w:pPr>
            <w:r w:rsidRPr="00DE2CF7">
              <w:rPr>
                <w:szCs w:val="22"/>
                <w:lang w:val="sr-Latn-ME"/>
              </w:rPr>
              <w:t>Hipotenzija</w:t>
            </w:r>
            <w:r w:rsidRPr="00DE2CF7">
              <w:rPr>
                <w:szCs w:val="22"/>
                <w:vertAlign w:val="superscript"/>
                <w:lang w:val="sr-Latn-ME"/>
              </w:rPr>
              <w:t>1, 4</w:t>
            </w:r>
          </w:p>
        </w:tc>
      </w:tr>
      <w:tr w:rsidR="00380512" w:rsidRPr="00DE2CF7" w14:paraId="10F56FD9" w14:textId="77777777" w:rsidTr="0065646A">
        <w:tc>
          <w:tcPr>
            <w:tcW w:w="3823" w:type="dxa"/>
          </w:tcPr>
          <w:p w14:paraId="30584CBF" w14:textId="77777777" w:rsidR="00380512" w:rsidRPr="00DE2CF7" w:rsidRDefault="00380512" w:rsidP="00DE2CF7">
            <w:pPr>
              <w:rPr>
                <w:szCs w:val="22"/>
                <w:lang w:val="sr-Latn-ME"/>
              </w:rPr>
            </w:pPr>
            <w:r w:rsidRPr="00DE2CF7">
              <w:rPr>
                <w:szCs w:val="22"/>
                <w:lang w:val="sr-Latn-ME"/>
              </w:rPr>
              <w:t xml:space="preserve">Respiratorni, torakalni </w:t>
            </w:r>
            <w:r w:rsidR="0047034A" w:rsidRPr="00DE2CF7">
              <w:rPr>
                <w:szCs w:val="22"/>
                <w:lang w:val="sr-Latn-ME"/>
              </w:rPr>
              <w:t xml:space="preserve">i </w:t>
            </w:r>
            <w:r w:rsidRPr="00DE2CF7">
              <w:rPr>
                <w:szCs w:val="22"/>
                <w:lang w:val="sr-Latn-ME"/>
              </w:rPr>
              <w:t>medijastinalni poremećaji</w:t>
            </w:r>
          </w:p>
        </w:tc>
        <w:tc>
          <w:tcPr>
            <w:tcW w:w="1417" w:type="dxa"/>
          </w:tcPr>
          <w:p w14:paraId="46850B56" w14:textId="77777777" w:rsidR="00380512" w:rsidRPr="00DE2CF7" w:rsidRDefault="00624BD3" w:rsidP="00DE2CF7">
            <w:pPr>
              <w:rPr>
                <w:szCs w:val="22"/>
                <w:lang w:val="sr-Latn-ME"/>
              </w:rPr>
            </w:pPr>
            <w:r w:rsidRPr="00DE2CF7">
              <w:rPr>
                <w:szCs w:val="22"/>
                <w:lang w:val="sr-Latn-ME"/>
              </w:rPr>
              <w:t>Čest</w:t>
            </w:r>
            <w:r w:rsidR="00314991" w:rsidRPr="00DE2CF7">
              <w:rPr>
                <w:szCs w:val="22"/>
                <w:lang w:val="sr-Latn-ME"/>
              </w:rPr>
              <w:t>o</w:t>
            </w:r>
          </w:p>
        </w:tc>
        <w:tc>
          <w:tcPr>
            <w:tcW w:w="4389" w:type="dxa"/>
          </w:tcPr>
          <w:p w14:paraId="7910B4CF" w14:textId="77777777" w:rsidR="00380512" w:rsidRPr="00DE2CF7" w:rsidRDefault="00380512" w:rsidP="00DE2CF7">
            <w:pPr>
              <w:rPr>
                <w:szCs w:val="22"/>
                <w:lang w:val="sr-Latn-ME"/>
              </w:rPr>
            </w:pPr>
            <w:r w:rsidRPr="00DE2CF7">
              <w:rPr>
                <w:szCs w:val="22"/>
                <w:lang w:val="sr-Latn-ME"/>
              </w:rPr>
              <w:t>Nazalna kongestija</w:t>
            </w:r>
            <w:r w:rsidRPr="00DE2CF7">
              <w:rPr>
                <w:szCs w:val="22"/>
                <w:vertAlign w:val="superscript"/>
                <w:lang w:val="sr-Latn-ME"/>
              </w:rPr>
              <w:t>1</w:t>
            </w:r>
          </w:p>
        </w:tc>
      </w:tr>
      <w:tr w:rsidR="00380512" w:rsidRPr="00DE2CF7" w14:paraId="7BCC76B9" w14:textId="77777777" w:rsidTr="0065646A">
        <w:tc>
          <w:tcPr>
            <w:tcW w:w="3823" w:type="dxa"/>
          </w:tcPr>
          <w:p w14:paraId="32D09B0B" w14:textId="77777777" w:rsidR="00380512" w:rsidRPr="00DE2CF7" w:rsidRDefault="00380512" w:rsidP="00DE2CF7">
            <w:pPr>
              <w:rPr>
                <w:szCs w:val="22"/>
                <w:lang w:val="sr-Latn-ME"/>
              </w:rPr>
            </w:pPr>
            <w:r w:rsidRPr="00DE2CF7">
              <w:rPr>
                <w:szCs w:val="22"/>
                <w:lang w:val="sr-Latn-ME"/>
              </w:rPr>
              <w:t>Gastrointestinalni poremećaji</w:t>
            </w:r>
          </w:p>
        </w:tc>
        <w:tc>
          <w:tcPr>
            <w:tcW w:w="1417" w:type="dxa"/>
          </w:tcPr>
          <w:p w14:paraId="07D8CC37" w14:textId="77777777" w:rsidR="00380512" w:rsidRPr="00DE2CF7" w:rsidRDefault="0047034A" w:rsidP="00DE2CF7">
            <w:pPr>
              <w:rPr>
                <w:szCs w:val="22"/>
                <w:lang w:val="sr-Latn-ME"/>
              </w:rPr>
            </w:pPr>
            <w:r w:rsidRPr="00DE2CF7">
              <w:rPr>
                <w:szCs w:val="22"/>
                <w:lang w:val="sr-Latn-ME"/>
              </w:rPr>
              <w:t>Čest</w:t>
            </w:r>
            <w:r w:rsidR="00314991" w:rsidRPr="00DE2CF7">
              <w:rPr>
                <w:szCs w:val="22"/>
                <w:lang w:val="sr-Latn-ME"/>
              </w:rPr>
              <w:t>o</w:t>
            </w:r>
          </w:p>
        </w:tc>
        <w:tc>
          <w:tcPr>
            <w:tcW w:w="4389" w:type="dxa"/>
          </w:tcPr>
          <w:p w14:paraId="231F1DF1" w14:textId="77777777" w:rsidR="00380512" w:rsidRPr="00DE2CF7" w:rsidRDefault="0047034A" w:rsidP="00DE2CF7">
            <w:pPr>
              <w:rPr>
                <w:szCs w:val="22"/>
                <w:lang w:val="sr-Latn-ME"/>
              </w:rPr>
            </w:pPr>
            <w:r w:rsidRPr="00DE2CF7">
              <w:rPr>
                <w:szCs w:val="22"/>
                <w:lang w:val="sr-Latn-ME"/>
              </w:rPr>
              <w:t>Gastroezofagealna refluksna bolest, Dijareja</w:t>
            </w:r>
          </w:p>
        </w:tc>
      </w:tr>
      <w:tr w:rsidR="0047034A" w:rsidRPr="00FE77AC" w14:paraId="45FB44BF" w14:textId="77777777" w:rsidTr="0065646A">
        <w:tc>
          <w:tcPr>
            <w:tcW w:w="3823" w:type="dxa"/>
            <w:vMerge w:val="restart"/>
          </w:tcPr>
          <w:p w14:paraId="6DF37EAE" w14:textId="77777777" w:rsidR="0047034A" w:rsidRPr="00DE2CF7" w:rsidRDefault="0047034A" w:rsidP="00DE2CF7">
            <w:pPr>
              <w:rPr>
                <w:szCs w:val="22"/>
                <w:lang w:val="sr-Latn-ME"/>
              </w:rPr>
            </w:pPr>
            <w:r w:rsidRPr="00DE2CF7">
              <w:rPr>
                <w:szCs w:val="22"/>
                <w:lang w:val="sr-Latn-ME"/>
              </w:rPr>
              <w:t>Hepatobilijarni poremećaji</w:t>
            </w:r>
          </w:p>
        </w:tc>
        <w:tc>
          <w:tcPr>
            <w:tcW w:w="1417" w:type="dxa"/>
          </w:tcPr>
          <w:p w14:paraId="314FD392" w14:textId="77777777" w:rsidR="0047034A" w:rsidRPr="00DE2CF7" w:rsidRDefault="0047034A" w:rsidP="00DE2CF7">
            <w:pPr>
              <w:rPr>
                <w:szCs w:val="22"/>
                <w:lang w:val="sr-Latn-ME"/>
              </w:rPr>
            </w:pPr>
            <w:r w:rsidRPr="00DE2CF7">
              <w:rPr>
                <w:szCs w:val="22"/>
                <w:lang w:val="sr-Latn-ME"/>
              </w:rPr>
              <w:t>Veoma čest</w:t>
            </w:r>
            <w:r w:rsidR="00314991" w:rsidRPr="00DE2CF7">
              <w:rPr>
                <w:szCs w:val="22"/>
                <w:lang w:val="sr-Latn-ME"/>
              </w:rPr>
              <w:t>o</w:t>
            </w:r>
          </w:p>
        </w:tc>
        <w:tc>
          <w:tcPr>
            <w:tcW w:w="4389" w:type="dxa"/>
          </w:tcPr>
          <w:p w14:paraId="5E745357" w14:textId="77777777" w:rsidR="004C0901" w:rsidRPr="00DE2CF7" w:rsidRDefault="004C0901" w:rsidP="00DE2CF7">
            <w:pPr>
              <w:rPr>
                <w:szCs w:val="22"/>
                <w:lang w:val="sr-Latn-ME"/>
              </w:rPr>
            </w:pPr>
            <w:r w:rsidRPr="00DE2CF7">
              <w:rPr>
                <w:szCs w:val="22"/>
                <w:lang w:val="sr-Latn-ME"/>
              </w:rPr>
              <w:t>Odstupanja u rezultatima pretraga</w:t>
            </w:r>
          </w:p>
          <w:p w14:paraId="2FAE1F80" w14:textId="77777777" w:rsidR="0047034A" w:rsidRPr="00DE2CF7" w:rsidRDefault="004C0901" w:rsidP="00DE2CF7">
            <w:pPr>
              <w:rPr>
                <w:szCs w:val="22"/>
                <w:lang w:val="sr-Latn-ME"/>
              </w:rPr>
            </w:pPr>
            <w:r w:rsidRPr="00DE2CF7">
              <w:rPr>
                <w:szCs w:val="22"/>
                <w:lang w:val="sr-Latn-ME"/>
              </w:rPr>
              <w:t xml:space="preserve">funkcije jetre </w:t>
            </w:r>
            <w:r w:rsidR="0047034A" w:rsidRPr="00DE2CF7">
              <w:rPr>
                <w:szCs w:val="22"/>
                <w:lang w:val="sr-Latn-ME"/>
              </w:rPr>
              <w:t>(</w:t>
            </w:r>
            <w:r w:rsidR="007453E0" w:rsidRPr="00DE2CF7">
              <w:rPr>
                <w:szCs w:val="22"/>
                <w:lang w:val="sr-Latn-ME"/>
              </w:rPr>
              <w:t>vidjeti</w:t>
            </w:r>
            <w:r w:rsidR="0047034A" w:rsidRPr="00DE2CF7">
              <w:rPr>
                <w:szCs w:val="22"/>
                <w:lang w:val="sr-Latn-ME"/>
              </w:rPr>
              <w:t xml:space="preserve"> </w:t>
            </w:r>
            <w:r w:rsidR="007453E0" w:rsidRPr="00DE2CF7">
              <w:rPr>
                <w:szCs w:val="22"/>
                <w:lang w:val="sr-Latn-ME"/>
              </w:rPr>
              <w:t>odjeljak</w:t>
            </w:r>
            <w:r w:rsidR="0047034A" w:rsidRPr="00DE2CF7">
              <w:rPr>
                <w:szCs w:val="22"/>
                <w:lang w:val="sr-Latn-ME"/>
              </w:rPr>
              <w:t xml:space="preserve"> 4.4)</w:t>
            </w:r>
          </w:p>
        </w:tc>
      </w:tr>
      <w:tr w:rsidR="0047034A" w:rsidRPr="00FE77AC" w14:paraId="54E2C941" w14:textId="77777777" w:rsidTr="0065646A">
        <w:tc>
          <w:tcPr>
            <w:tcW w:w="3823" w:type="dxa"/>
            <w:vMerge/>
          </w:tcPr>
          <w:p w14:paraId="538925A8" w14:textId="77777777" w:rsidR="0047034A" w:rsidRPr="00DE2CF7" w:rsidRDefault="0047034A" w:rsidP="00DE2CF7">
            <w:pPr>
              <w:rPr>
                <w:szCs w:val="22"/>
                <w:lang w:val="sr-Latn-ME"/>
              </w:rPr>
            </w:pPr>
          </w:p>
        </w:tc>
        <w:tc>
          <w:tcPr>
            <w:tcW w:w="1417" w:type="dxa"/>
          </w:tcPr>
          <w:p w14:paraId="4F7688CE" w14:textId="77777777" w:rsidR="0047034A" w:rsidRPr="00DE2CF7" w:rsidRDefault="0047034A" w:rsidP="00DE2CF7">
            <w:pPr>
              <w:rPr>
                <w:szCs w:val="22"/>
                <w:lang w:val="sr-Latn-ME"/>
              </w:rPr>
            </w:pPr>
            <w:r w:rsidRPr="00DE2CF7">
              <w:rPr>
                <w:szCs w:val="22"/>
                <w:lang w:val="sr-Latn-ME"/>
              </w:rPr>
              <w:t>Povremen</w:t>
            </w:r>
            <w:r w:rsidR="00A0711E" w:rsidRPr="00DE2CF7">
              <w:rPr>
                <w:szCs w:val="22"/>
                <w:lang w:val="sr-Latn-ME"/>
              </w:rPr>
              <w:t>o</w:t>
            </w:r>
          </w:p>
        </w:tc>
        <w:tc>
          <w:tcPr>
            <w:tcW w:w="4389" w:type="dxa"/>
          </w:tcPr>
          <w:p w14:paraId="116B1A76" w14:textId="77777777" w:rsidR="0047034A" w:rsidRPr="00DE2CF7" w:rsidRDefault="0047034A" w:rsidP="00DE2CF7">
            <w:pPr>
              <w:jc w:val="left"/>
              <w:rPr>
                <w:szCs w:val="22"/>
                <w:lang w:val="sr-Latn-ME"/>
              </w:rPr>
            </w:pPr>
            <w:r w:rsidRPr="00DE2CF7">
              <w:rPr>
                <w:szCs w:val="22"/>
                <w:lang w:val="sr-Latn-ME"/>
              </w:rPr>
              <w:t>Povišene vr</w:t>
            </w:r>
            <w:r w:rsidR="00624BD3" w:rsidRPr="00DE2CF7">
              <w:rPr>
                <w:szCs w:val="22"/>
                <w:lang w:val="sr-Latn-ME"/>
              </w:rPr>
              <w:t>ij</w:t>
            </w:r>
            <w:r w:rsidRPr="00DE2CF7">
              <w:rPr>
                <w:szCs w:val="22"/>
                <w:lang w:val="sr-Latn-ME"/>
              </w:rPr>
              <w:t>ednosti aminotransferaza udružene sa hepatitisom (uključujući moguće pogoršanje postojećeg hepatitisa) i/ili žuticom</w:t>
            </w:r>
            <w:r w:rsidRPr="00DE2CF7">
              <w:rPr>
                <w:szCs w:val="22"/>
                <w:vertAlign w:val="superscript"/>
                <w:lang w:val="sr-Latn-ME"/>
              </w:rPr>
              <w:t>1</w:t>
            </w:r>
            <w:r w:rsidRPr="00DE2CF7">
              <w:rPr>
                <w:szCs w:val="22"/>
                <w:lang w:val="sr-Latn-ME"/>
              </w:rPr>
              <w:t xml:space="preserve">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4.4)</w:t>
            </w:r>
          </w:p>
        </w:tc>
      </w:tr>
      <w:tr w:rsidR="0047034A" w:rsidRPr="00DE2CF7" w14:paraId="52F68FEE" w14:textId="77777777" w:rsidTr="0065646A">
        <w:trPr>
          <w:trHeight w:val="221"/>
        </w:trPr>
        <w:tc>
          <w:tcPr>
            <w:tcW w:w="3823" w:type="dxa"/>
            <w:vMerge/>
          </w:tcPr>
          <w:p w14:paraId="1B4F98C9" w14:textId="77777777" w:rsidR="0047034A" w:rsidRPr="00DE2CF7" w:rsidRDefault="0047034A" w:rsidP="00DE2CF7">
            <w:pPr>
              <w:rPr>
                <w:szCs w:val="22"/>
                <w:lang w:val="sr-Latn-ME"/>
              </w:rPr>
            </w:pPr>
          </w:p>
        </w:tc>
        <w:tc>
          <w:tcPr>
            <w:tcW w:w="1417" w:type="dxa"/>
          </w:tcPr>
          <w:p w14:paraId="57A50626" w14:textId="77777777" w:rsidR="0047034A" w:rsidRPr="00DE2CF7" w:rsidRDefault="0047034A" w:rsidP="00DE2CF7">
            <w:pPr>
              <w:rPr>
                <w:szCs w:val="22"/>
                <w:lang w:val="sr-Latn-ME"/>
              </w:rPr>
            </w:pPr>
            <w:r w:rsidRPr="00DE2CF7">
              <w:rPr>
                <w:szCs w:val="22"/>
                <w:lang w:val="sr-Latn-ME"/>
              </w:rPr>
              <w:t>R</w:t>
            </w:r>
            <w:r w:rsidR="00624BD3" w:rsidRPr="00DE2CF7">
              <w:rPr>
                <w:szCs w:val="22"/>
                <w:lang w:val="sr-Latn-ME"/>
              </w:rPr>
              <w:t>ij</w:t>
            </w:r>
            <w:r w:rsidRPr="00DE2CF7">
              <w:rPr>
                <w:szCs w:val="22"/>
                <w:lang w:val="sr-Latn-ME"/>
              </w:rPr>
              <w:t>etk</w:t>
            </w:r>
            <w:r w:rsidR="008B1688" w:rsidRPr="00DE2CF7">
              <w:rPr>
                <w:szCs w:val="22"/>
                <w:lang w:val="sr-Latn-ME"/>
              </w:rPr>
              <w:t>o</w:t>
            </w:r>
          </w:p>
        </w:tc>
        <w:tc>
          <w:tcPr>
            <w:tcW w:w="4389" w:type="dxa"/>
          </w:tcPr>
          <w:p w14:paraId="70E9C34F" w14:textId="77777777" w:rsidR="0047034A" w:rsidRPr="00DE2CF7" w:rsidRDefault="0047034A" w:rsidP="00DE2CF7">
            <w:pPr>
              <w:rPr>
                <w:szCs w:val="22"/>
                <w:lang w:val="sr-Latn-ME"/>
              </w:rPr>
            </w:pPr>
            <w:r w:rsidRPr="00DE2CF7">
              <w:rPr>
                <w:szCs w:val="22"/>
                <w:lang w:val="sr-Latn-ME"/>
              </w:rPr>
              <w:t>Ciroza jetre, insuficijencija jetre</w:t>
            </w:r>
            <w:r w:rsidRPr="00DE2CF7">
              <w:rPr>
                <w:szCs w:val="22"/>
                <w:vertAlign w:val="superscript"/>
                <w:lang w:val="sr-Latn-ME"/>
              </w:rPr>
              <w:t>1</w:t>
            </w:r>
          </w:p>
        </w:tc>
      </w:tr>
      <w:tr w:rsidR="00380512" w:rsidRPr="00DE2CF7" w14:paraId="1C0C05E5" w14:textId="77777777" w:rsidTr="0065646A">
        <w:trPr>
          <w:trHeight w:val="281"/>
        </w:trPr>
        <w:tc>
          <w:tcPr>
            <w:tcW w:w="3823" w:type="dxa"/>
          </w:tcPr>
          <w:p w14:paraId="57FC7C65" w14:textId="77777777" w:rsidR="00380512" w:rsidRPr="00DE2CF7" w:rsidRDefault="0047034A" w:rsidP="00DE2CF7">
            <w:pPr>
              <w:rPr>
                <w:szCs w:val="22"/>
                <w:lang w:val="sr-Latn-ME"/>
              </w:rPr>
            </w:pPr>
            <w:r w:rsidRPr="00DE2CF7">
              <w:rPr>
                <w:szCs w:val="22"/>
                <w:lang w:val="sr-Latn-ME"/>
              </w:rPr>
              <w:t>Poremećaji kože i potkožnog tkiva</w:t>
            </w:r>
          </w:p>
        </w:tc>
        <w:tc>
          <w:tcPr>
            <w:tcW w:w="1417" w:type="dxa"/>
          </w:tcPr>
          <w:p w14:paraId="0C3D0DDB" w14:textId="77777777" w:rsidR="00380512" w:rsidRPr="00DE2CF7" w:rsidRDefault="0047034A" w:rsidP="00DE2CF7">
            <w:pPr>
              <w:rPr>
                <w:szCs w:val="22"/>
                <w:lang w:val="sr-Latn-ME"/>
              </w:rPr>
            </w:pPr>
            <w:r w:rsidRPr="00DE2CF7">
              <w:rPr>
                <w:szCs w:val="22"/>
                <w:lang w:val="sr-Latn-ME"/>
              </w:rPr>
              <w:t>Čest</w:t>
            </w:r>
            <w:r w:rsidR="008B1688" w:rsidRPr="00DE2CF7">
              <w:rPr>
                <w:szCs w:val="22"/>
                <w:lang w:val="sr-Latn-ME"/>
              </w:rPr>
              <w:t>o</w:t>
            </w:r>
          </w:p>
        </w:tc>
        <w:tc>
          <w:tcPr>
            <w:tcW w:w="4389" w:type="dxa"/>
          </w:tcPr>
          <w:p w14:paraId="1D4931E6" w14:textId="77777777" w:rsidR="00380512" w:rsidRPr="00DE2CF7" w:rsidRDefault="004C0901" w:rsidP="00DE2CF7">
            <w:pPr>
              <w:rPr>
                <w:szCs w:val="22"/>
                <w:lang w:val="sr-Latn-ME"/>
              </w:rPr>
            </w:pPr>
            <w:r w:rsidRPr="00DE2CF7">
              <w:rPr>
                <w:szCs w:val="22"/>
                <w:lang w:val="sr-Latn-ME"/>
              </w:rPr>
              <w:t>Eritem</w:t>
            </w:r>
          </w:p>
        </w:tc>
      </w:tr>
      <w:tr w:rsidR="0047034A" w:rsidRPr="00DE2CF7" w14:paraId="0DECCE1B" w14:textId="77777777" w:rsidTr="0065646A">
        <w:tc>
          <w:tcPr>
            <w:tcW w:w="3823" w:type="dxa"/>
          </w:tcPr>
          <w:p w14:paraId="144AE4A8" w14:textId="77777777" w:rsidR="0047034A" w:rsidRPr="00DE2CF7" w:rsidRDefault="0047034A" w:rsidP="00DE2CF7">
            <w:pPr>
              <w:rPr>
                <w:szCs w:val="22"/>
                <w:lang w:val="sr-Latn-ME"/>
              </w:rPr>
            </w:pPr>
            <w:r w:rsidRPr="00DE2CF7">
              <w:rPr>
                <w:szCs w:val="22"/>
                <w:lang w:val="sr-Latn-ME"/>
              </w:rPr>
              <w:lastRenderedPageBreak/>
              <w:t>Opšti poremećaji i reakcije na m</w:t>
            </w:r>
            <w:r w:rsidR="00624BD3" w:rsidRPr="00DE2CF7">
              <w:rPr>
                <w:szCs w:val="22"/>
                <w:lang w:val="sr-Latn-ME"/>
              </w:rPr>
              <w:t>j</w:t>
            </w:r>
            <w:r w:rsidRPr="00DE2CF7">
              <w:rPr>
                <w:szCs w:val="22"/>
                <w:lang w:val="sr-Latn-ME"/>
              </w:rPr>
              <w:t>estu prim</w:t>
            </w:r>
            <w:r w:rsidR="006E200E" w:rsidRPr="00DE2CF7">
              <w:rPr>
                <w:szCs w:val="22"/>
                <w:lang w:val="sr-Latn-ME"/>
              </w:rPr>
              <w:t>j</w:t>
            </w:r>
            <w:r w:rsidRPr="00DE2CF7">
              <w:rPr>
                <w:szCs w:val="22"/>
                <w:lang w:val="sr-Latn-ME"/>
              </w:rPr>
              <w:t>ene</w:t>
            </w:r>
          </w:p>
        </w:tc>
        <w:tc>
          <w:tcPr>
            <w:tcW w:w="1417" w:type="dxa"/>
          </w:tcPr>
          <w:p w14:paraId="1832B8EE" w14:textId="77777777" w:rsidR="0047034A" w:rsidRPr="00DE2CF7" w:rsidRDefault="0047034A" w:rsidP="00DE2CF7">
            <w:pPr>
              <w:rPr>
                <w:szCs w:val="22"/>
                <w:lang w:val="sr-Latn-ME"/>
              </w:rPr>
            </w:pPr>
            <w:r w:rsidRPr="00DE2CF7">
              <w:rPr>
                <w:szCs w:val="22"/>
                <w:lang w:val="sr-Latn-ME"/>
              </w:rPr>
              <w:t>Veoma čest</w:t>
            </w:r>
            <w:r w:rsidR="008B1688" w:rsidRPr="00DE2CF7">
              <w:rPr>
                <w:szCs w:val="22"/>
                <w:lang w:val="sr-Latn-ME"/>
              </w:rPr>
              <w:t>o</w:t>
            </w:r>
          </w:p>
        </w:tc>
        <w:tc>
          <w:tcPr>
            <w:tcW w:w="4389" w:type="dxa"/>
          </w:tcPr>
          <w:p w14:paraId="6CED4944" w14:textId="77777777" w:rsidR="0047034A" w:rsidRPr="00DE2CF7" w:rsidRDefault="0047034A" w:rsidP="00DE2CF7">
            <w:pPr>
              <w:rPr>
                <w:szCs w:val="22"/>
                <w:lang w:val="sr-Latn-ME"/>
              </w:rPr>
            </w:pPr>
            <w:r w:rsidRPr="00DE2CF7">
              <w:rPr>
                <w:szCs w:val="22"/>
                <w:lang w:val="sr-Latn-ME"/>
              </w:rPr>
              <w:t>Edem, zadržavanje tečnosti</w:t>
            </w:r>
            <w:r w:rsidRPr="00DE2CF7">
              <w:rPr>
                <w:szCs w:val="22"/>
                <w:vertAlign w:val="superscript"/>
                <w:lang w:val="sr-Latn-ME"/>
              </w:rPr>
              <w:t>5</w:t>
            </w:r>
          </w:p>
          <w:p w14:paraId="6620A87E" w14:textId="77777777" w:rsidR="0047034A" w:rsidRPr="00DE2CF7" w:rsidRDefault="0047034A" w:rsidP="00DE2CF7">
            <w:pPr>
              <w:rPr>
                <w:szCs w:val="22"/>
                <w:lang w:val="sr-Latn-ME"/>
              </w:rPr>
            </w:pPr>
          </w:p>
        </w:tc>
      </w:tr>
    </w:tbl>
    <w:p w14:paraId="50AB9D9A" w14:textId="77777777" w:rsidR="0090133B" w:rsidRPr="00DE2CF7" w:rsidRDefault="0090133B" w:rsidP="00DE2CF7">
      <w:pPr>
        <w:rPr>
          <w:szCs w:val="22"/>
          <w:lang w:val="sr-Latn-ME"/>
        </w:rPr>
      </w:pPr>
      <w:r w:rsidRPr="00DE2CF7">
        <w:rPr>
          <w:szCs w:val="22"/>
          <w:lang w:val="sr-Latn-ME"/>
        </w:rPr>
        <w:t>¹Podaci dobijeni iz postmarketinškog iskustva, učestalosti koje se baziraju na statističkom modelovanju podataka iz placebom kontrolisanih kliničkih ispitivanja.</w:t>
      </w:r>
    </w:p>
    <w:p w14:paraId="62C9F4D6" w14:textId="77777777" w:rsidR="0090133B" w:rsidRPr="00DE2CF7" w:rsidRDefault="0090133B" w:rsidP="00DE2CF7">
      <w:pPr>
        <w:rPr>
          <w:szCs w:val="22"/>
          <w:lang w:val="sr-Latn-ME"/>
        </w:rPr>
      </w:pPr>
      <w:r w:rsidRPr="00DE2CF7">
        <w:rPr>
          <w:szCs w:val="22"/>
          <w:lang w:val="sr-Latn-ME"/>
        </w:rPr>
        <w:t>²Reakcije preos</w:t>
      </w:r>
      <w:r w:rsidR="009C4EAF" w:rsidRPr="00DE2CF7">
        <w:rPr>
          <w:szCs w:val="22"/>
          <w:lang w:val="sr-Latn-ME"/>
        </w:rPr>
        <w:t>j</w:t>
      </w:r>
      <w:r w:rsidRPr="00DE2CF7">
        <w:rPr>
          <w:szCs w:val="22"/>
          <w:lang w:val="sr-Latn-ME"/>
        </w:rPr>
        <w:t>etljivosti prijavljene su kod 9,9% pacijenata koji su primali bosentan i kod 9,1% pacijenata koji su primali placebo.</w:t>
      </w:r>
    </w:p>
    <w:p w14:paraId="78C2920D" w14:textId="77777777" w:rsidR="0090133B" w:rsidRPr="00DE2CF7" w:rsidRDefault="0090133B" w:rsidP="00DE2CF7">
      <w:pPr>
        <w:rPr>
          <w:szCs w:val="22"/>
          <w:lang w:val="sr-Latn-ME"/>
        </w:rPr>
      </w:pPr>
      <w:r w:rsidRPr="00DE2CF7">
        <w:rPr>
          <w:szCs w:val="22"/>
          <w:lang w:val="sr-Latn-ME"/>
        </w:rPr>
        <w:t>³Glavobolja je bila prijavljena kod 11,5% pacijenata koji su primali bosentan i kod 9,8% pacijenata koji su primali placebo.</w:t>
      </w:r>
    </w:p>
    <w:p w14:paraId="5B69F488" w14:textId="77777777" w:rsidR="005A4604" w:rsidRPr="00DE2CF7" w:rsidRDefault="0090133B" w:rsidP="00DE2CF7">
      <w:pPr>
        <w:rPr>
          <w:szCs w:val="22"/>
          <w:lang w:val="sr-Latn-ME"/>
        </w:rPr>
      </w:pPr>
      <w:r w:rsidRPr="00DE2CF7">
        <w:rPr>
          <w:szCs w:val="22"/>
          <w:vertAlign w:val="superscript"/>
          <w:lang w:val="sr-Latn-ME"/>
        </w:rPr>
        <w:t>4</w:t>
      </w:r>
      <w:r w:rsidRPr="00DE2CF7">
        <w:rPr>
          <w:szCs w:val="22"/>
          <w:lang w:val="sr-Latn-ME"/>
        </w:rPr>
        <w:t>Ovi tipovi reakacije mogu biti povezani sa osnovnom bolešću.</w:t>
      </w:r>
    </w:p>
    <w:p w14:paraId="0AD6F055" w14:textId="77777777" w:rsidR="0090133B" w:rsidRPr="00DE2CF7" w:rsidRDefault="0090133B" w:rsidP="00DE2CF7">
      <w:pPr>
        <w:rPr>
          <w:szCs w:val="22"/>
          <w:lang w:val="sr-Latn-ME"/>
        </w:rPr>
      </w:pPr>
      <w:r w:rsidRPr="00DE2CF7">
        <w:rPr>
          <w:szCs w:val="22"/>
          <w:vertAlign w:val="superscript"/>
          <w:lang w:val="sr-Latn-ME"/>
        </w:rPr>
        <w:t>5</w:t>
      </w:r>
      <w:r w:rsidRPr="00DE2CF7">
        <w:rPr>
          <w:szCs w:val="22"/>
          <w:lang w:val="sr-Latn-ME"/>
        </w:rPr>
        <w:t>Edem ili zadržavanje tečnosti bili su prijavljeni kod 13,2% pacijenata koji su primali bonsentan i kod 10,9% pacijenata koji su primali placebo.</w:t>
      </w:r>
    </w:p>
    <w:p w14:paraId="72CEA812" w14:textId="77777777" w:rsidR="005A4604" w:rsidRPr="00DE2CF7" w:rsidRDefault="005A4604" w:rsidP="00DE2CF7">
      <w:pPr>
        <w:rPr>
          <w:szCs w:val="22"/>
          <w:lang w:val="sr-Latn-ME"/>
        </w:rPr>
      </w:pPr>
    </w:p>
    <w:p w14:paraId="7D12A768" w14:textId="77777777" w:rsidR="0090133B" w:rsidRPr="00DE2CF7" w:rsidRDefault="0090133B" w:rsidP="00DE2CF7">
      <w:pPr>
        <w:rPr>
          <w:szCs w:val="22"/>
          <w:lang w:val="sr-Latn-ME"/>
        </w:rPr>
      </w:pPr>
      <w:r w:rsidRPr="00DE2CF7">
        <w:rPr>
          <w:szCs w:val="22"/>
          <w:lang w:val="sr-Latn-ME"/>
        </w:rPr>
        <w:t>U postmarketinškom periodu, r</w:t>
      </w:r>
      <w:r w:rsidR="009C4EAF" w:rsidRPr="00DE2CF7">
        <w:rPr>
          <w:szCs w:val="22"/>
          <w:lang w:val="sr-Latn-ME"/>
        </w:rPr>
        <w:t>ij</w:t>
      </w:r>
      <w:r w:rsidRPr="00DE2CF7">
        <w:rPr>
          <w:szCs w:val="22"/>
          <w:lang w:val="sr-Latn-ME"/>
        </w:rPr>
        <w:t xml:space="preserve">etki slučajevi neobjašnjive ciroze jetre prijavljeni su nakon produžene terapije </w:t>
      </w:r>
      <w:r w:rsidR="009C4EAF" w:rsidRPr="00DE2CF7">
        <w:rPr>
          <w:szCs w:val="22"/>
          <w:lang w:val="sr-Latn-ME"/>
        </w:rPr>
        <w:t>b</w:t>
      </w:r>
      <w:r w:rsidRPr="00DE2CF7">
        <w:rPr>
          <w:szCs w:val="22"/>
          <w:lang w:val="sr-Latn-ME"/>
        </w:rPr>
        <w:t>osentan</w:t>
      </w:r>
      <w:r w:rsidR="009C4EAF" w:rsidRPr="00DE2CF7">
        <w:rPr>
          <w:szCs w:val="22"/>
          <w:lang w:val="sr-Latn-ME"/>
        </w:rPr>
        <w:t>om</w:t>
      </w:r>
      <w:r w:rsidR="00C411F3" w:rsidRPr="00DE2CF7">
        <w:rPr>
          <w:szCs w:val="22"/>
          <w:lang w:val="sr-Latn-ME"/>
        </w:rPr>
        <w:t xml:space="preserve"> </w:t>
      </w:r>
      <w:r w:rsidRPr="00DE2CF7">
        <w:rPr>
          <w:szCs w:val="22"/>
          <w:lang w:val="sr-Latn-ME"/>
        </w:rPr>
        <w:t>kod pacijenata sa višestrukim komorbiditetima i terapijama l</w:t>
      </w:r>
      <w:r w:rsidR="00624BD3" w:rsidRPr="00DE2CF7">
        <w:rPr>
          <w:szCs w:val="22"/>
          <w:lang w:val="sr-Latn-ME"/>
        </w:rPr>
        <w:t>j</w:t>
      </w:r>
      <w:r w:rsidRPr="00DE2CF7">
        <w:rPr>
          <w:szCs w:val="22"/>
          <w:lang w:val="sr-Latn-ME"/>
        </w:rPr>
        <w:t xml:space="preserve">ekovima. Takođe je bilo i </w:t>
      </w:r>
      <w:r w:rsidR="0065646A" w:rsidRPr="00DE2CF7">
        <w:rPr>
          <w:szCs w:val="22"/>
          <w:lang w:val="sr-Latn-ME"/>
        </w:rPr>
        <w:t>rijetkih prijava</w:t>
      </w:r>
      <w:r w:rsidRPr="00DE2CF7">
        <w:rPr>
          <w:szCs w:val="22"/>
          <w:lang w:val="sr-Latn-ME"/>
        </w:rPr>
        <w:t xml:space="preserve"> insuficijencije jetre. Ovi slučajevi </w:t>
      </w:r>
      <w:r w:rsidR="00C411F3" w:rsidRPr="00DE2CF7">
        <w:rPr>
          <w:szCs w:val="22"/>
          <w:lang w:val="sr-Latn-ME"/>
        </w:rPr>
        <w:t>ukazuju na</w:t>
      </w:r>
      <w:r w:rsidRPr="00DE2CF7">
        <w:rPr>
          <w:szCs w:val="22"/>
          <w:lang w:val="sr-Latn-ME"/>
        </w:rPr>
        <w:t xml:space="preserve"> veliku važnost striktnog pridržavanja m</w:t>
      </w:r>
      <w:r w:rsidR="00624BD3" w:rsidRPr="00DE2CF7">
        <w:rPr>
          <w:szCs w:val="22"/>
          <w:lang w:val="sr-Latn-ME"/>
        </w:rPr>
        <w:t>j</w:t>
      </w:r>
      <w:r w:rsidRPr="00DE2CF7">
        <w:rPr>
          <w:szCs w:val="22"/>
          <w:lang w:val="sr-Latn-ME"/>
        </w:rPr>
        <w:t>esečnog rasporeda praćenja funkcije jetre za</w:t>
      </w:r>
      <w:r w:rsidR="003E63C6" w:rsidRPr="00DE2CF7">
        <w:rPr>
          <w:szCs w:val="22"/>
          <w:lang w:val="sr-Latn-ME"/>
        </w:rPr>
        <w:t xml:space="preserve"> vrijeme </w:t>
      </w:r>
      <w:r w:rsidRPr="00DE2CF7">
        <w:rPr>
          <w:szCs w:val="22"/>
          <w:lang w:val="sr-Latn-ME"/>
        </w:rPr>
        <w:t xml:space="preserve">terapije </w:t>
      </w:r>
      <w:r w:rsidR="009C4EAF" w:rsidRPr="00DE2CF7">
        <w:rPr>
          <w:szCs w:val="22"/>
          <w:lang w:val="sr-Latn-ME"/>
        </w:rPr>
        <w:t>b</w:t>
      </w:r>
      <w:r w:rsidR="00624BD3" w:rsidRPr="00DE2CF7">
        <w:rPr>
          <w:szCs w:val="22"/>
          <w:lang w:val="sr-Latn-ME"/>
        </w:rPr>
        <w:t>osentan</w:t>
      </w:r>
      <w:r w:rsidR="009C4EAF" w:rsidRPr="00DE2CF7">
        <w:rPr>
          <w:szCs w:val="22"/>
          <w:lang w:val="sr-Latn-ME"/>
        </w:rPr>
        <w:t xml:space="preserve">om </w:t>
      </w:r>
      <w:r w:rsidRPr="00DE2CF7">
        <w:rPr>
          <w:szCs w:val="22"/>
          <w:lang w:val="sr-Latn-ME"/>
        </w:rPr>
        <w:t>(</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4.4).</w:t>
      </w:r>
    </w:p>
    <w:p w14:paraId="4FAD3E23" w14:textId="77777777" w:rsidR="004C0901" w:rsidRPr="00DE2CF7" w:rsidRDefault="004C0901" w:rsidP="00DE2CF7">
      <w:pPr>
        <w:rPr>
          <w:szCs w:val="22"/>
          <w:u w:val="single"/>
          <w:lang w:val="sr-Latn-ME"/>
        </w:rPr>
      </w:pPr>
    </w:p>
    <w:p w14:paraId="44359A35" w14:textId="77777777" w:rsidR="0090133B" w:rsidRPr="00DE2CF7" w:rsidRDefault="0090133B" w:rsidP="00DE2CF7">
      <w:pPr>
        <w:rPr>
          <w:szCs w:val="22"/>
          <w:u w:val="single"/>
          <w:lang w:val="sr-Latn-ME"/>
        </w:rPr>
      </w:pPr>
      <w:r w:rsidRPr="00DE2CF7">
        <w:rPr>
          <w:szCs w:val="22"/>
          <w:u w:val="single"/>
          <w:lang w:val="sr-Latn-ME"/>
        </w:rPr>
        <w:t>Pedijatrijska populacija</w:t>
      </w:r>
    </w:p>
    <w:p w14:paraId="5769C6C2" w14:textId="77777777" w:rsidR="005A4604" w:rsidRPr="00DE2CF7" w:rsidRDefault="005A4604" w:rsidP="00DE2CF7">
      <w:pPr>
        <w:rPr>
          <w:szCs w:val="22"/>
          <w:u w:val="single"/>
          <w:lang w:val="sr-Latn-ME"/>
        </w:rPr>
      </w:pPr>
    </w:p>
    <w:p w14:paraId="0FFAE2B6" w14:textId="77777777" w:rsidR="0090133B" w:rsidRPr="00DE2CF7" w:rsidRDefault="0090133B" w:rsidP="00DE2CF7">
      <w:pPr>
        <w:rPr>
          <w:i/>
          <w:szCs w:val="22"/>
          <w:u w:val="single"/>
          <w:lang w:val="sr-Latn-ME"/>
        </w:rPr>
      </w:pPr>
      <w:r w:rsidRPr="00DE2CF7">
        <w:rPr>
          <w:i/>
          <w:szCs w:val="22"/>
          <w:u w:val="single"/>
          <w:lang w:val="sr-Latn-ME"/>
        </w:rPr>
        <w:t>Nekontrolisane studije kod pedijatrijskih pacijenata</w:t>
      </w:r>
    </w:p>
    <w:p w14:paraId="26D8189D" w14:textId="77777777" w:rsidR="00624BD3" w:rsidRPr="00DE2CF7" w:rsidRDefault="00624BD3" w:rsidP="00DE2CF7">
      <w:pPr>
        <w:rPr>
          <w:i/>
          <w:szCs w:val="22"/>
          <w:lang w:val="sr-Latn-ME"/>
        </w:rPr>
      </w:pPr>
    </w:p>
    <w:p w14:paraId="4B35173A" w14:textId="77777777" w:rsidR="0090133B" w:rsidRPr="00DE2CF7" w:rsidRDefault="0090133B" w:rsidP="00DE2CF7">
      <w:pPr>
        <w:rPr>
          <w:szCs w:val="22"/>
          <w:lang w:val="sr-Latn-ME"/>
        </w:rPr>
      </w:pPr>
      <w:r w:rsidRPr="00DE2CF7">
        <w:rPr>
          <w:szCs w:val="22"/>
          <w:lang w:val="sr-Latn-ME"/>
        </w:rPr>
        <w:t>Bezb</w:t>
      </w:r>
      <w:r w:rsidR="006E200E" w:rsidRPr="00DE2CF7">
        <w:rPr>
          <w:szCs w:val="22"/>
          <w:lang w:val="sr-Latn-ME"/>
        </w:rPr>
        <w:t>j</w:t>
      </w:r>
      <w:r w:rsidRPr="00DE2CF7">
        <w:rPr>
          <w:szCs w:val="22"/>
          <w:lang w:val="sr-Latn-ME"/>
        </w:rPr>
        <w:t>ednosni profil u prvoj nekontrolisanoj pedijatrijskoj studiji sprovedenoj sa film tabletom (BREATHE-3:</w:t>
      </w:r>
      <w:r w:rsidR="00624BD3" w:rsidRPr="00DE2CF7">
        <w:rPr>
          <w:szCs w:val="22"/>
          <w:lang w:val="sr-Latn-ME"/>
        </w:rPr>
        <w:t xml:space="preserve"> </w:t>
      </w:r>
      <w:r w:rsidRPr="00DE2CF7">
        <w:rPr>
          <w:szCs w:val="22"/>
          <w:lang w:val="sr-Latn-ME"/>
        </w:rPr>
        <w:t>n = 19, medijana uzrasta 10 godina, [raspon 3 – 15 godina], otvoreno doziranje bosentan</w:t>
      </w:r>
      <w:r w:rsidR="00624BD3" w:rsidRPr="00DE2CF7">
        <w:rPr>
          <w:szCs w:val="22"/>
          <w:lang w:val="sr-Latn-ME"/>
        </w:rPr>
        <w:t>a</w:t>
      </w:r>
      <w:r w:rsidRPr="00DE2CF7">
        <w:rPr>
          <w:szCs w:val="22"/>
          <w:lang w:val="sr-Latn-ME"/>
        </w:rPr>
        <w:t xml:space="preserve"> 2 mg/kg dva puta dnevno; </w:t>
      </w:r>
      <w:r w:rsidR="007453E0" w:rsidRPr="00DE2CF7">
        <w:rPr>
          <w:szCs w:val="22"/>
          <w:lang w:val="sr-Latn-ME"/>
        </w:rPr>
        <w:t>liječenj</w:t>
      </w:r>
      <w:r w:rsidRPr="00DE2CF7">
        <w:rPr>
          <w:szCs w:val="22"/>
          <w:lang w:val="sr-Latn-ME"/>
        </w:rPr>
        <w:t xml:space="preserve">e u trajanju od 12 </w:t>
      </w:r>
      <w:r w:rsidR="003E63C6" w:rsidRPr="00DE2CF7">
        <w:rPr>
          <w:szCs w:val="22"/>
          <w:lang w:val="sr-Latn-ME"/>
        </w:rPr>
        <w:t>nedjelja</w:t>
      </w:r>
      <w:r w:rsidRPr="00DE2CF7">
        <w:rPr>
          <w:szCs w:val="22"/>
          <w:lang w:val="sr-Latn-ME"/>
        </w:rPr>
        <w:t>) je bio sličan onom prim</w:t>
      </w:r>
      <w:r w:rsidR="006E200E" w:rsidRPr="00DE2CF7">
        <w:rPr>
          <w:szCs w:val="22"/>
          <w:lang w:val="sr-Latn-ME"/>
        </w:rPr>
        <w:t>ij</w:t>
      </w:r>
      <w:r w:rsidRPr="00DE2CF7">
        <w:rPr>
          <w:szCs w:val="22"/>
          <w:lang w:val="sr-Latn-ME"/>
        </w:rPr>
        <w:t xml:space="preserve">ećenom u pivotalnim studijama kod odraslih pacijenata sa PAH-om. U BREATHE-3, najčešće neželjene reakcije bile su crvenilo (21%), glavobolja i abnormalni nalaz funkcije jetre (svaki 16%). </w:t>
      </w:r>
    </w:p>
    <w:p w14:paraId="4EC8DDE4" w14:textId="77777777" w:rsidR="0090133B" w:rsidRPr="00DE2CF7" w:rsidRDefault="0090133B" w:rsidP="00DE2CF7">
      <w:pPr>
        <w:rPr>
          <w:szCs w:val="22"/>
          <w:lang w:val="sr-Latn-ME"/>
        </w:rPr>
      </w:pPr>
      <w:r w:rsidRPr="00DE2CF7">
        <w:rPr>
          <w:szCs w:val="22"/>
          <w:lang w:val="sr-Latn-ME"/>
        </w:rPr>
        <w:t>Analiza objedinjenih podataka iz nekontrolisanih pedijatrijskih studija sprovedenih kod pacijenata sa PAH-om l</w:t>
      </w:r>
      <w:r w:rsidR="00CC7C1D" w:rsidRPr="00DE2CF7">
        <w:rPr>
          <w:szCs w:val="22"/>
          <w:lang w:val="sr-Latn-ME"/>
        </w:rPr>
        <w:t>ij</w:t>
      </w:r>
      <w:r w:rsidRPr="00DE2CF7">
        <w:rPr>
          <w:szCs w:val="22"/>
          <w:lang w:val="sr-Latn-ME"/>
        </w:rPr>
        <w:t>ečenih disperzibilnim tabletama bosentana od 32 mg (FUTURE 1/2, FUTURE 3/produžetak) je uključila ukupno 100</w:t>
      </w:r>
      <w:r w:rsidR="00344619" w:rsidRPr="00DE2CF7">
        <w:rPr>
          <w:szCs w:val="22"/>
          <w:lang w:val="sr-Latn-ME"/>
        </w:rPr>
        <w:t xml:space="preserve"> djece </w:t>
      </w:r>
      <w:r w:rsidRPr="00DE2CF7">
        <w:rPr>
          <w:szCs w:val="22"/>
          <w:lang w:val="sr-Latn-ME"/>
        </w:rPr>
        <w:t>na terapiji</w:t>
      </w:r>
      <w:r w:rsidR="00C411F3" w:rsidRPr="00DE2CF7">
        <w:rPr>
          <w:szCs w:val="22"/>
          <w:lang w:val="sr-Latn-ME"/>
        </w:rPr>
        <w:t xml:space="preserve"> </w:t>
      </w:r>
      <w:r w:rsidR="00D8095B" w:rsidRPr="00DE2CF7">
        <w:rPr>
          <w:szCs w:val="22"/>
          <w:lang w:val="sr-Latn-ME"/>
        </w:rPr>
        <w:t>b</w:t>
      </w:r>
      <w:r w:rsidRPr="00DE2CF7">
        <w:rPr>
          <w:szCs w:val="22"/>
          <w:lang w:val="sr-Latn-ME"/>
        </w:rPr>
        <w:t>osentan</w:t>
      </w:r>
      <w:r w:rsidR="00D8095B" w:rsidRPr="00DE2CF7">
        <w:rPr>
          <w:szCs w:val="22"/>
          <w:lang w:val="sr-Latn-ME"/>
        </w:rPr>
        <w:t>om u dozi</w:t>
      </w:r>
      <w:r w:rsidRPr="00DE2CF7">
        <w:rPr>
          <w:szCs w:val="22"/>
          <w:lang w:val="sr-Latn-ME"/>
        </w:rPr>
        <w:t xml:space="preserve"> 2 mg/kg dva puta na dan (n=33), 2 mg/kg tri puta na dan (n=31), ili 4 mg/kg dva puta na dan (n=36). Pri uključivanju u studiju, šest pacijenata je bilo uzrasta između 3 </w:t>
      </w:r>
      <w:r w:rsidR="003E63C6" w:rsidRPr="00DE2CF7">
        <w:rPr>
          <w:szCs w:val="22"/>
          <w:lang w:val="sr-Latn-ME"/>
        </w:rPr>
        <w:t>mjesec</w:t>
      </w:r>
      <w:r w:rsidRPr="00DE2CF7">
        <w:rPr>
          <w:szCs w:val="22"/>
          <w:lang w:val="sr-Latn-ME"/>
        </w:rPr>
        <w:t>a i 1 godine, 15</w:t>
      </w:r>
      <w:r w:rsidR="00344619" w:rsidRPr="00DE2CF7">
        <w:rPr>
          <w:szCs w:val="22"/>
          <w:lang w:val="sr-Latn-ME"/>
        </w:rPr>
        <w:t xml:space="preserve"> djece </w:t>
      </w:r>
      <w:r w:rsidRPr="00DE2CF7">
        <w:rPr>
          <w:szCs w:val="22"/>
          <w:lang w:val="sr-Latn-ME"/>
        </w:rPr>
        <w:t>je bilo uzrasta između 1 i 2 godine i 79</w:t>
      </w:r>
      <w:r w:rsidR="00344619" w:rsidRPr="00DE2CF7">
        <w:rPr>
          <w:szCs w:val="22"/>
          <w:lang w:val="sr-Latn-ME"/>
        </w:rPr>
        <w:t xml:space="preserve"> djece </w:t>
      </w:r>
      <w:r w:rsidRPr="00DE2CF7">
        <w:rPr>
          <w:szCs w:val="22"/>
          <w:lang w:val="sr-Latn-ME"/>
        </w:rPr>
        <w:t>između 2 i 12 godina. Medijana vreme</w:t>
      </w:r>
      <w:r w:rsidR="00CC7C1D" w:rsidRPr="00DE2CF7">
        <w:rPr>
          <w:szCs w:val="22"/>
          <w:lang w:val="sr-Latn-ME"/>
        </w:rPr>
        <w:t>na trajanja terapije je bila 71.</w:t>
      </w:r>
      <w:r w:rsidRPr="00DE2CF7">
        <w:rPr>
          <w:szCs w:val="22"/>
          <w:lang w:val="sr-Latn-ME"/>
        </w:rPr>
        <w:t xml:space="preserve">8 </w:t>
      </w:r>
      <w:r w:rsidR="003E63C6" w:rsidRPr="00DE2CF7">
        <w:rPr>
          <w:szCs w:val="22"/>
          <w:lang w:val="sr-Latn-ME"/>
        </w:rPr>
        <w:t>nedjelja</w:t>
      </w:r>
      <w:r w:rsidRPr="00DE2CF7">
        <w:rPr>
          <w:szCs w:val="22"/>
          <w:lang w:val="sr-Latn-ME"/>
        </w:rPr>
        <w:t xml:space="preserve"> (raspon 0,4 – 258 </w:t>
      </w:r>
      <w:r w:rsidR="003E63C6" w:rsidRPr="00DE2CF7">
        <w:rPr>
          <w:szCs w:val="22"/>
          <w:lang w:val="sr-Latn-ME"/>
        </w:rPr>
        <w:t>nedjelja</w:t>
      </w:r>
      <w:r w:rsidRPr="00DE2CF7">
        <w:rPr>
          <w:szCs w:val="22"/>
          <w:lang w:val="sr-Latn-ME"/>
        </w:rPr>
        <w:t>).</w:t>
      </w:r>
    </w:p>
    <w:p w14:paraId="0AF55B28" w14:textId="77777777" w:rsidR="005A4604" w:rsidRPr="00DE2CF7" w:rsidRDefault="005A4604" w:rsidP="00DE2CF7">
      <w:pPr>
        <w:rPr>
          <w:szCs w:val="22"/>
          <w:lang w:val="sr-Latn-ME"/>
        </w:rPr>
      </w:pPr>
    </w:p>
    <w:p w14:paraId="01B6D385" w14:textId="77777777" w:rsidR="0090133B" w:rsidRPr="00DE2CF7" w:rsidRDefault="0090133B" w:rsidP="00DE2CF7">
      <w:pPr>
        <w:rPr>
          <w:szCs w:val="22"/>
          <w:lang w:val="sr-Latn-ME"/>
        </w:rPr>
      </w:pPr>
      <w:r w:rsidRPr="00DE2CF7">
        <w:rPr>
          <w:szCs w:val="22"/>
          <w:lang w:val="sr-Latn-ME"/>
        </w:rPr>
        <w:t>Bezb</w:t>
      </w:r>
      <w:r w:rsidR="006E200E" w:rsidRPr="00DE2CF7">
        <w:rPr>
          <w:szCs w:val="22"/>
          <w:lang w:val="sr-Latn-ME"/>
        </w:rPr>
        <w:t>j</w:t>
      </w:r>
      <w:r w:rsidRPr="00DE2CF7">
        <w:rPr>
          <w:szCs w:val="22"/>
          <w:lang w:val="sr-Latn-ME"/>
        </w:rPr>
        <w:t>ednosni profil u ovoj analizi objedinjenih podataka nekontrolisanih pedijatrijskih studija je bio sličan onom prim</w:t>
      </w:r>
      <w:r w:rsidR="006E200E" w:rsidRPr="00DE2CF7">
        <w:rPr>
          <w:szCs w:val="22"/>
          <w:lang w:val="sr-Latn-ME"/>
        </w:rPr>
        <w:t>ij</w:t>
      </w:r>
      <w:r w:rsidRPr="00DE2CF7">
        <w:rPr>
          <w:szCs w:val="22"/>
          <w:lang w:val="sr-Latn-ME"/>
        </w:rPr>
        <w:t>ećenom u pivotalnim studijama kod odraslih pacijenata sa PAH izuzev kod infekcija, koje su bile češće prijavljene nego kod odraslih (69,0% u odnosu na 41,3%). Ova razlika u učestalosti infekcije može biti d</w:t>
      </w:r>
      <w:r w:rsidR="00CC7C1D" w:rsidRPr="00DE2CF7">
        <w:rPr>
          <w:szCs w:val="22"/>
          <w:lang w:val="sr-Latn-ME"/>
        </w:rPr>
        <w:t>j</w:t>
      </w:r>
      <w:r w:rsidRPr="00DE2CF7">
        <w:rPr>
          <w:szCs w:val="22"/>
          <w:lang w:val="sr-Latn-ME"/>
        </w:rPr>
        <w:t xml:space="preserve">elimično usled duže medijane vremena izloženosti pedijatrijske grupe (medijana 71,8 </w:t>
      </w:r>
      <w:r w:rsidR="003E63C6" w:rsidRPr="00DE2CF7">
        <w:rPr>
          <w:szCs w:val="22"/>
          <w:lang w:val="sr-Latn-ME"/>
        </w:rPr>
        <w:t>nedjelja</w:t>
      </w:r>
      <w:r w:rsidRPr="00DE2CF7">
        <w:rPr>
          <w:szCs w:val="22"/>
          <w:lang w:val="sr-Latn-ME"/>
        </w:rPr>
        <w:t xml:space="preserve">) u poređenju sa grupom odraslih (medijana 17,4 </w:t>
      </w:r>
      <w:r w:rsidR="003E63C6" w:rsidRPr="00DE2CF7">
        <w:rPr>
          <w:szCs w:val="22"/>
          <w:lang w:val="sr-Latn-ME"/>
        </w:rPr>
        <w:t>nedjelja</w:t>
      </w:r>
      <w:r w:rsidRPr="00DE2CF7">
        <w:rPr>
          <w:szCs w:val="22"/>
          <w:lang w:val="sr-Latn-ME"/>
        </w:rPr>
        <w:t>). Najčešći neželjeni događaji su bili infekcije gornjeg respiratornog trakta (25%), plućna (arterijska) hipertenzija (20%), nazofaringitis (17%), pireksija (15%), povraćanje (13%), bronhitis (10%), abdominalni bol (10%) i dijareja (10%). Nije bilo relevantne razlike u učestalosti neželjenih događaja među pacijentima starijim i mlađim od 2 godine, međutim ovo je zasnovano na samo 21 d</w:t>
      </w:r>
      <w:r w:rsidR="00CC7C1D" w:rsidRPr="00DE2CF7">
        <w:rPr>
          <w:szCs w:val="22"/>
          <w:lang w:val="sr-Latn-ME"/>
        </w:rPr>
        <w:t>j</w:t>
      </w:r>
      <w:r w:rsidRPr="00DE2CF7">
        <w:rPr>
          <w:szCs w:val="22"/>
          <w:lang w:val="sr-Latn-ME"/>
        </w:rPr>
        <w:t xml:space="preserve">etetu mlađem od 2 godine, uključujući 6 pacijenata uzrasta od 3 </w:t>
      </w:r>
      <w:r w:rsidR="003E63C6" w:rsidRPr="00DE2CF7">
        <w:rPr>
          <w:szCs w:val="22"/>
          <w:lang w:val="sr-Latn-ME"/>
        </w:rPr>
        <w:t>mjesec</w:t>
      </w:r>
      <w:r w:rsidRPr="00DE2CF7">
        <w:rPr>
          <w:szCs w:val="22"/>
          <w:lang w:val="sr-Latn-ME"/>
        </w:rPr>
        <w:t xml:space="preserve">a do 1 godine. Neželjeni događaji poremećaja jetre i anemije/sniženja hemoglobin se javilo </w:t>
      </w:r>
      <w:r w:rsidR="00CC7C1D" w:rsidRPr="00DE2CF7">
        <w:rPr>
          <w:szCs w:val="22"/>
          <w:lang w:val="sr-Latn-ME"/>
        </w:rPr>
        <w:t>kod</w:t>
      </w:r>
      <w:r w:rsidRPr="00DE2CF7">
        <w:rPr>
          <w:szCs w:val="22"/>
          <w:lang w:val="sr-Latn-ME"/>
        </w:rPr>
        <w:t xml:space="preserve"> 9% i 5% pacijenata.</w:t>
      </w:r>
    </w:p>
    <w:p w14:paraId="5DDD3B74" w14:textId="77777777" w:rsidR="005A4604" w:rsidRPr="00DE2CF7" w:rsidRDefault="005A4604" w:rsidP="00DE2CF7">
      <w:pPr>
        <w:rPr>
          <w:szCs w:val="22"/>
          <w:lang w:val="sr-Latn-ME"/>
        </w:rPr>
      </w:pPr>
    </w:p>
    <w:p w14:paraId="0B3EBC72" w14:textId="77777777" w:rsidR="005A4604" w:rsidRPr="00DE2CF7" w:rsidRDefault="0090133B" w:rsidP="00DE2CF7">
      <w:pPr>
        <w:rPr>
          <w:szCs w:val="22"/>
          <w:lang w:val="sr-Latn-ME"/>
        </w:rPr>
      </w:pPr>
      <w:r w:rsidRPr="00DE2CF7">
        <w:rPr>
          <w:szCs w:val="22"/>
          <w:lang w:val="sr-Latn-ME"/>
        </w:rPr>
        <w:t>U randomizovanoj, placebom kontrolisanoj studiji, sprovedenoj na pacijentima sa PPHN-om (FUTURE-4), ukupno 13 novorođenčadi je l</w:t>
      </w:r>
      <w:r w:rsidR="00CC7C1D" w:rsidRPr="00DE2CF7">
        <w:rPr>
          <w:szCs w:val="22"/>
          <w:lang w:val="sr-Latn-ME"/>
        </w:rPr>
        <w:t>ij</w:t>
      </w:r>
      <w:r w:rsidRPr="00DE2CF7">
        <w:rPr>
          <w:szCs w:val="22"/>
          <w:lang w:val="sr-Latn-ME"/>
        </w:rPr>
        <w:t xml:space="preserve">ečeno bosentanom u obliku disperzibilnih tableta dozom od 2 mg/kg dva puta na dan (8 pacijenata je primalo placebo). Medijana trajanja </w:t>
      </w:r>
      <w:r w:rsidR="007453E0" w:rsidRPr="00DE2CF7">
        <w:rPr>
          <w:szCs w:val="22"/>
          <w:lang w:val="sr-Latn-ME"/>
        </w:rPr>
        <w:t>liječenj</w:t>
      </w:r>
      <w:r w:rsidRPr="00DE2CF7">
        <w:rPr>
          <w:szCs w:val="22"/>
          <w:lang w:val="sr-Latn-ME"/>
        </w:rPr>
        <w:t>a bosentanom odnosno placebom, je bila 4</w:t>
      </w:r>
      <w:r w:rsidR="00CC7C1D" w:rsidRPr="00DE2CF7">
        <w:rPr>
          <w:szCs w:val="22"/>
          <w:lang w:val="sr-Latn-ME"/>
        </w:rPr>
        <w:t>.</w:t>
      </w:r>
      <w:r w:rsidRPr="00DE2CF7">
        <w:rPr>
          <w:szCs w:val="22"/>
          <w:lang w:val="sr-Latn-ME"/>
        </w:rPr>
        <w:t>5 dana (raspon 0</w:t>
      </w:r>
      <w:r w:rsidR="00CC7C1D" w:rsidRPr="00DE2CF7">
        <w:rPr>
          <w:szCs w:val="22"/>
          <w:lang w:val="sr-Latn-ME"/>
        </w:rPr>
        <w:t>.5 – 10.</w:t>
      </w:r>
      <w:r w:rsidRPr="00DE2CF7">
        <w:rPr>
          <w:szCs w:val="22"/>
          <w:lang w:val="sr-Latn-ME"/>
        </w:rPr>
        <w:t>0 dana) odnosno 4</w:t>
      </w:r>
      <w:r w:rsidR="00CC7C1D" w:rsidRPr="00DE2CF7">
        <w:rPr>
          <w:szCs w:val="22"/>
          <w:lang w:val="sr-Latn-ME"/>
        </w:rPr>
        <w:t>.0 dana (raspon 2.5 – 6.</w:t>
      </w:r>
      <w:r w:rsidRPr="00DE2CF7">
        <w:rPr>
          <w:szCs w:val="22"/>
          <w:lang w:val="sr-Latn-ME"/>
        </w:rPr>
        <w:t>5 dana). Najčešći neželjeni događaji kod pacijenata koji su primali bosentan i placebo su bili anemija ili smanjenje hemoglobina (kod 7</w:t>
      </w:r>
      <w:r w:rsidR="002B0D4A" w:rsidRPr="00DE2CF7">
        <w:rPr>
          <w:szCs w:val="22"/>
          <w:lang w:val="sr-Latn-ME"/>
        </w:rPr>
        <w:t>,</w:t>
      </w:r>
      <w:r w:rsidRPr="00DE2CF7">
        <w:rPr>
          <w:szCs w:val="22"/>
          <w:lang w:val="sr-Latn-ME"/>
        </w:rPr>
        <w:t xml:space="preserve"> odnosno 2 pacijenta), generalizovani edem (kod 3</w:t>
      </w:r>
      <w:r w:rsidR="002B0D4A" w:rsidRPr="00DE2CF7">
        <w:rPr>
          <w:szCs w:val="22"/>
          <w:lang w:val="sr-Latn-ME"/>
        </w:rPr>
        <w:t>,</w:t>
      </w:r>
      <w:r w:rsidRPr="00DE2CF7">
        <w:rPr>
          <w:szCs w:val="22"/>
          <w:lang w:val="sr-Latn-ME"/>
        </w:rPr>
        <w:t xml:space="preserve"> odnosno 0 pacijenata), i povraćanje (kod 2</w:t>
      </w:r>
      <w:r w:rsidR="002B0D4A" w:rsidRPr="00DE2CF7">
        <w:rPr>
          <w:szCs w:val="22"/>
          <w:lang w:val="sr-Latn-ME"/>
        </w:rPr>
        <w:t>,</w:t>
      </w:r>
      <w:r w:rsidRPr="00DE2CF7">
        <w:rPr>
          <w:szCs w:val="22"/>
          <w:lang w:val="sr-Latn-ME"/>
        </w:rPr>
        <w:t xml:space="preserve"> odnosno 0 pacijenata).  </w:t>
      </w:r>
    </w:p>
    <w:p w14:paraId="00D009BB" w14:textId="77777777" w:rsidR="005A4604" w:rsidRPr="00DE2CF7" w:rsidRDefault="005A4604" w:rsidP="00DE2CF7">
      <w:pPr>
        <w:rPr>
          <w:szCs w:val="22"/>
          <w:lang w:val="sr-Latn-ME"/>
        </w:rPr>
      </w:pPr>
    </w:p>
    <w:p w14:paraId="4811F3C5" w14:textId="77777777" w:rsidR="005A0BA5" w:rsidRPr="00DE2CF7" w:rsidRDefault="005A0BA5" w:rsidP="00DE2CF7">
      <w:pPr>
        <w:rPr>
          <w:szCs w:val="22"/>
          <w:u w:val="single"/>
          <w:lang w:val="sr-Latn-ME"/>
        </w:rPr>
      </w:pPr>
      <w:r w:rsidRPr="00DE2CF7">
        <w:rPr>
          <w:szCs w:val="22"/>
          <w:u w:val="single"/>
          <w:lang w:val="sr-Latn-ME"/>
        </w:rPr>
        <w:t>Odstupanja u rezultatima laboratorijskih pretraga</w:t>
      </w:r>
    </w:p>
    <w:p w14:paraId="73C1A62E" w14:textId="77777777" w:rsidR="005A0BA5" w:rsidRPr="00DE2CF7" w:rsidRDefault="005A0BA5" w:rsidP="00DE2CF7">
      <w:pPr>
        <w:rPr>
          <w:szCs w:val="22"/>
          <w:u w:val="single"/>
          <w:lang w:val="sr-Latn-ME"/>
        </w:rPr>
      </w:pPr>
    </w:p>
    <w:p w14:paraId="6711214E" w14:textId="77777777" w:rsidR="005A0BA5" w:rsidRPr="00DE2CF7" w:rsidRDefault="005A0BA5" w:rsidP="00DE2CF7">
      <w:pPr>
        <w:rPr>
          <w:i/>
          <w:szCs w:val="22"/>
          <w:lang w:val="sr-Latn-ME"/>
        </w:rPr>
      </w:pPr>
      <w:r w:rsidRPr="00DE2CF7">
        <w:rPr>
          <w:i/>
          <w:szCs w:val="22"/>
          <w:lang w:val="sr-Latn-ME"/>
        </w:rPr>
        <w:t>Odstupanja u rezultatima laboratorijskih pretraga funkcije jetre</w:t>
      </w:r>
    </w:p>
    <w:p w14:paraId="17378B13" w14:textId="77777777" w:rsidR="009D738B" w:rsidRPr="00DE2CF7" w:rsidRDefault="009D738B" w:rsidP="00DE2CF7">
      <w:pPr>
        <w:rPr>
          <w:i/>
          <w:szCs w:val="22"/>
          <w:lang w:val="sr-Latn-ME"/>
        </w:rPr>
      </w:pPr>
    </w:p>
    <w:p w14:paraId="48DF144B" w14:textId="77777777" w:rsidR="005A0BA5" w:rsidRPr="00DE2CF7" w:rsidRDefault="009D738B" w:rsidP="00DE2CF7">
      <w:pPr>
        <w:rPr>
          <w:szCs w:val="22"/>
          <w:lang w:val="sr-Latn-ME"/>
        </w:rPr>
      </w:pPr>
      <w:r w:rsidRPr="00DE2CF7">
        <w:rPr>
          <w:szCs w:val="22"/>
          <w:lang w:val="sr-Latn-ME"/>
        </w:rPr>
        <w:lastRenderedPageBreak/>
        <w:t>Tokom kliničkog</w:t>
      </w:r>
      <w:r w:rsidR="0090133B" w:rsidRPr="00DE2CF7">
        <w:rPr>
          <w:szCs w:val="22"/>
          <w:lang w:val="sr-Latn-ME"/>
        </w:rPr>
        <w:t xml:space="preserve"> program</w:t>
      </w:r>
      <w:r w:rsidR="005A0BA5" w:rsidRPr="00DE2CF7">
        <w:rPr>
          <w:szCs w:val="22"/>
          <w:lang w:val="sr-Latn-ME"/>
        </w:rPr>
        <w:t>a</w:t>
      </w:r>
      <w:r w:rsidR="0090133B" w:rsidRPr="00DE2CF7">
        <w:rPr>
          <w:szCs w:val="22"/>
          <w:lang w:val="sr-Latn-ME"/>
        </w:rPr>
        <w:t>, dozno-zavisna povećanja vr</w:t>
      </w:r>
      <w:r w:rsidR="00CC7C1D" w:rsidRPr="00DE2CF7">
        <w:rPr>
          <w:szCs w:val="22"/>
          <w:lang w:val="sr-Latn-ME"/>
        </w:rPr>
        <w:t>ij</w:t>
      </w:r>
      <w:r w:rsidR="0090133B" w:rsidRPr="00DE2CF7">
        <w:rPr>
          <w:szCs w:val="22"/>
          <w:lang w:val="sr-Latn-ME"/>
        </w:rPr>
        <w:t xml:space="preserve">ednosti aminotransferaza jetre su se generalno javljala tokom prvih 26 </w:t>
      </w:r>
      <w:r w:rsidR="003E63C6" w:rsidRPr="00DE2CF7">
        <w:rPr>
          <w:szCs w:val="22"/>
          <w:lang w:val="sr-Latn-ME"/>
        </w:rPr>
        <w:t>nedjelja</w:t>
      </w:r>
      <w:r w:rsidR="0090133B" w:rsidRPr="00DE2CF7">
        <w:rPr>
          <w:szCs w:val="22"/>
          <w:lang w:val="sr-Latn-ME"/>
        </w:rPr>
        <w:t xml:space="preserve"> </w:t>
      </w:r>
      <w:r w:rsidR="007453E0" w:rsidRPr="00DE2CF7">
        <w:rPr>
          <w:szCs w:val="22"/>
          <w:lang w:val="sr-Latn-ME"/>
        </w:rPr>
        <w:t>liječenj</w:t>
      </w:r>
      <w:r w:rsidR="0090133B" w:rsidRPr="00DE2CF7">
        <w:rPr>
          <w:szCs w:val="22"/>
          <w:lang w:val="sr-Latn-ME"/>
        </w:rPr>
        <w:t xml:space="preserve">a, obično su se razvijala postepeno, i bila su uglavnom asimptomatska. U postmarketinškom periodu </w:t>
      </w:r>
      <w:r w:rsidR="005A0BA5" w:rsidRPr="00DE2CF7">
        <w:rPr>
          <w:szCs w:val="22"/>
          <w:lang w:val="sr-Latn-ME"/>
        </w:rPr>
        <w:t xml:space="preserve">zabilježeni </w:t>
      </w:r>
      <w:r w:rsidR="007C26FA" w:rsidRPr="00DE2CF7">
        <w:rPr>
          <w:szCs w:val="22"/>
          <w:lang w:val="sr-Latn-ME"/>
        </w:rPr>
        <w:t>su rijetki</w:t>
      </w:r>
      <w:r w:rsidR="0090133B" w:rsidRPr="00DE2CF7">
        <w:rPr>
          <w:szCs w:val="22"/>
          <w:lang w:val="sr-Latn-ME"/>
        </w:rPr>
        <w:t xml:space="preserve"> slučajevi ciroze jetre i insuficijencije jetre.</w:t>
      </w:r>
      <w:r w:rsidR="005A4604" w:rsidRPr="00DE2CF7">
        <w:rPr>
          <w:szCs w:val="22"/>
          <w:lang w:val="sr-Latn-ME"/>
        </w:rPr>
        <w:t xml:space="preserve"> </w:t>
      </w:r>
    </w:p>
    <w:p w14:paraId="311A6A86" w14:textId="77777777" w:rsidR="005A4604" w:rsidRPr="00DE2CF7" w:rsidRDefault="0090133B" w:rsidP="00DE2CF7">
      <w:pPr>
        <w:rPr>
          <w:szCs w:val="22"/>
          <w:lang w:val="sr-Latn-ME"/>
        </w:rPr>
      </w:pPr>
      <w:r w:rsidRPr="00DE2CF7">
        <w:rPr>
          <w:szCs w:val="22"/>
          <w:lang w:val="sr-Latn-ME"/>
        </w:rPr>
        <w:t>Mehanizam ovog neželjenog dejstva je nejasan. Ova povećanja vr</w:t>
      </w:r>
      <w:r w:rsidR="00CC7C1D" w:rsidRPr="00DE2CF7">
        <w:rPr>
          <w:szCs w:val="22"/>
          <w:lang w:val="sr-Latn-ME"/>
        </w:rPr>
        <w:t>ij</w:t>
      </w:r>
      <w:r w:rsidRPr="00DE2CF7">
        <w:rPr>
          <w:szCs w:val="22"/>
          <w:lang w:val="sr-Latn-ME"/>
        </w:rPr>
        <w:t xml:space="preserve">ednosti aminotransferaza mogu da se povuku spontano u nastavku </w:t>
      </w:r>
      <w:r w:rsidR="007453E0" w:rsidRPr="00DE2CF7">
        <w:rPr>
          <w:szCs w:val="22"/>
          <w:lang w:val="sr-Latn-ME"/>
        </w:rPr>
        <w:t>liječenj</w:t>
      </w:r>
      <w:r w:rsidRPr="00DE2CF7">
        <w:rPr>
          <w:szCs w:val="22"/>
          <w:lang w:val="sr-Latn-ME"/>
        </w:rPr>
        <w:t>a sa održavajućom dozom</w:t>
      </w:r>
      <w:r w:rsidR="001165AF" w:rsidRPr="00DE2CF7">
        <w:rPr>
          <w:szCs w:val="22"/>
          <w:lang w:val="sr-Latn-ME"/>
        </w:rPr>
        <w:t xml:space="preserve"> </w:t>
      </w:r>
      <w:r w:rsidR="004D4A2B" w:rsidRPr="00DE2CF7">
        <w:rPr>
          <w:szCs w:val="22"/>
          <w:lang w:val="sr-Latn-ME"/>
        </w:rPr>
        <w:t>b</w:t>
      </w:r>
      <w:r w:rsidRPr="00DE2CF7">
        <w:rPr>
          <w:szCs w:val="22"/>
          <w:lang w:val="sr-Latn-ME"/>
        </w:rPr>
        <w:t>osentan</w:t>
      </w:r>
      <w:r w:rsidR="004D4A2B" w:rsidRPr="00DE2CF7">
        <w:rPr>
          <w:szCs w:val="22"/>
          <w:lang w:val="sr-Latn-ME"/>
        </w:rPr>
        <w:t>a</w:t>
      </w:r>
      <w:r w:rsidRPr="00DE2CF7">
        <w:rPr>
          <w:szCs w:val="22"/>
          <w:lang w:val="sr-Latn-ME"/>
        </w:rPr>
        <w:t xml:space="preserve"> ili nakon smanjenja doze, ali prekid ili obustava mogu da budu neophodni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4.4).</w:t>
      </w:r>
    </w:p>
    <w:p w14:paraId="5D755205" w14:textId="77777777" w:rsidR="005A4604" w:rsidRPr="00DE2CF7" w:rsidRDefault="005A4604" w:rsidP="00DE2CF7">
      <w:pPr>
        <w:rPr>
          <w:szCs w:val="22"/>
          <w:lang w:val="sr-Latn-ME"/>
        </w:rPr>
      </w:pPr>
    </w:p>
    <w:p w14:paraId="78D8849F" w14:textId="77777777" w:rsidR="0090133B" w:rsidRPr="00DE2CF7" w:rsidRDefault="0090133B" w:rsidP="00DE2CF7">
      <w:pPr>
        <w:rPr>
          <w:szCs w:val="22"/>
          <w:lang w:val="sr-Latn-ME"/>
        </w:rPr>
      </w:pPr>
      <w:r w:rsidRPr="00DE2CF7">
        <w:rPr>
          <w:szCs w:val="22"/>
          <w:lang w:val="sr-Latn-ME"/>
        </w:rPr>
        <w:t xml:space="preserve">U 20 integrisanih placebom kontrolisanih studija, povećanja </w:t>
      </w:r>
      <w:r w:rsidR="002407A5" w:rsidRPr="00DE2CF7">
        <w:rPr>
          <w:szCs w:val="22"/>
          <w:lang w:val="sr-Latn-ME"/>
        </w:rPr>
        <w:t>vrijednost</w:t>
      </w:r>
      <w:r w:rsidRPr="00DE2CF7">
        <w:rPr>
          <w:szCs w:val="22"/>
          <w:lang w:val="sr-Latn-ME"/>
        </w:rPr>
        <w:t>i aminotransferaza jetre ≥3 puta od gornje granice normale (ULN) su prim</w:t>
      </w:r>
      <w:r w:rsidR="006E200E" w:rsidRPr="00DE2CF7">
        <w:rPr>
          <w:szCs w:val="22"/>
          <w:lang w:val="sr-Latn-ME"/>
        </w:rPr>
        <w:t>ij</w:t>
      </w:r>
      <w:r w:rsidRPr="00DE2CF7">
        <w:rPr>
          <w:szCs w:val="22"/>
          <w:lang w:val="sr-Latn-ME"/>
        </w:rPr>
        <w:t>ećena kod 11,2% pacijenata l</w:t>
      </w:r>
      <w:r w:rsidR="00CC7C1D" w:rsidRPr="00DE2CF7">
        <w:rPr>
          <w:szCs w:val="22"/>
          <w:lang w:val="sr-Latn-ME"/>
        </w:rPr>
        <w:t>ij</w:t>
      </w:r>
      <w:r w:rsidRPr="00DE2CF7">
        <w:rPr>
          <w:szCs w:val="22"/>
          <w:lang w:val="sr-Latn-ME"/>
        </w:rPr>
        <w:t xml:space="preserve">ečenih bosentanom u poređenju sa 2,4% pacijenata koji su primali placebo. Povećanja </w:t>
      </w:r>
      <w:r w:rsidR="001E61C0" w:rsidRPr="00DE2CF7">
        <w:rPr>
          <w:szCs w:val="22"/>
          <w:lang w:val="sr-Latn-ME"/>
        </w:rPr>
        <w:t xml:space="preserve">za </w:t>
      </w:r>
      <w:r w:rsidRPr="00DE2CF7">
        <w:rPr>
          <w:szCs w:val="22"/>
          <w:lang w:val="sr-Latn-ME"/>
        </w:rPr>
        <w:t>≥ 8 x ULN prim</w:t>
      </w:r>
      <w:r w:rsidR="006E200E" w:rsidRPr="00DE2CF7">
        <w:rPr>
          <w:szCs w:val="22"/>
          <w:lang w:val="sr-Latn-ME"/>
        </w:rPr>
        <w:t>ij</w:t>
      </w:r>
      <w:r w:rsidRPr="00DE2CF7">
        <w:rPr>
          <w:szCs w:val="22"/>
          <w:lang w:val="sr-Latn-ME"/>
        </w:rPr>
        <w:t>ećena su kod 3,6% pacijenata l</w:t>
      </w:r>
      <w:r w:rsidR="00CC7C1D" w:rsidRPr="00DE2CF7">
        <w:rPr>
          <w:szCs w:val="22"/>
          <w:lang w:val="sr-Latn-ME"/>
        </w:rPr>
        <w:t>ij</w:t>
      </w:r>
      <w:r w:rsidRPr="00DE2CF7">
        <w:rPr>
          <w:szCs w:val="22"/>
          <w:lang w:val="sr-Latn-ME"/>
        </w:rPr>
        <w:t>ečenih bosentanom i kod 0,4% pacijenata l</w:t>
      </w:r>
      <w:r w:rsidR="00CC7C1D" w:rsidRPr="00DE2CF7">
        <w:rPr>
          <w:szCs w:val="22"/>
          <w:lang w:val="sr-Latn-ME"/>
        </w:rPr>
        <w:t>ij</w:t>
      </w:r>
      <w:r w:rsidRPr="00DE2CF7">
        <w:rPr>
          <w:szCs w:val="22"/>
          <w:lang w:val="sr-Latn-ME"/>
        </w:rPr>
        <w:t>ečenih placebom. Povećanja vr</w:t>
      </w:r>
      <w:r w:rsidR="00CC7C1D" w:rsidRPr="00DE2CF7">
        <w:rPr>
          <w:szCs w:val="22"/>
          <w:lang w:val="sr-Latn-ME"/>
        </w:rPr>
        <w:t>ij</w:t>
      </w:r>
      <w:r w:rsidRPr="00DE2CF7">
        <w:rPr>
          <w:szCs w:val="22"/>
          <w:lang w:val="sr-Latn-ME"/>
        </w:rPr>
        <w:t>ednosti aminotransferaza bila su udružena sa povećanom koncentracijom bilirubina (≥ 2 x ULN) bez dokaza o bilijarnoj opstrukciji kod 0,2% (5 pacijenata) na bosentanu i kod 0,3% (6 pacijenata) na placebu.</w:t>
      </w:r>
    </w:p>
    <w:p w14:paraId="2564BCCD" w14:textId="77777777" w:rsidR="0090133B" w:rsidRPr="00DE2CF7" w:rsidRDefault="0090133B" w:rsidP="00DE2CF7">
      <w:pPr>
        <w:rPr>
          <w:szCs w:val="22"/>
          <w:lang w:val="sr-Latn-ME"/>
        </w:rPr>
      </w:pPr>
    </w:p>
    <w:p w14:paraId="24ABD3D3" w14:textId="77777777" w:rsidR="0090133B" w:rsidRPr="00DE2CF7" w:rsidRDefault="0090133B" w:rsidP="00DE2CF7">
      <w:pPr>
        <w:rPr>
          <w:szCs w:val="22"/>
          <w:lang w:val="sr-Latn-ME"/>
        </w:rPr>
      </w:pPr>
      <w:r w:rsidRPr="00DE2CF7">
        <w:rPr>
          <w:szCs w:val="22"/>
          <w:lang w:val="sr-Latn-ME"/>
        </w:rPr>
        <w:t>U analizi objedinjenih podataka 100 pacijenata sa PAH-om iz nekontrolisanih pedijatrijskih studija FUTURE</w:t>
      </w:r>
    </w:p>
    <w:p w14:paraId="6EEA06D6" w14:textId="77777777" w:rsidR="005A4604" w:rsidRPr="00DE2CF7" w:rsidRDefault="0090133B" w:rsidP="00DE2CF7">
      <w:pPr>
        <w:rPr>
          <w:szCs w:val="22"/>
          <w:lang w:val="sr-Latn-ME"/>
        </w:rPr>
      </w:pPr>
      <w:r w:rsidRPr="00DE2CF7">
        <w:rPr>
          <w:szCs w:val="22"/>
          <w:lang w:val="sr-Latn-ME"/>
        </w:rPr>
        <w:t>1/2 i FUTURE 3/produžetak, zab</w:t>
      </w:r>
      <w:r w:rsidR="004D4A2B" w:rsidRPr="00DE2CF7">
        <w:rPr>
          <w:szCs w:val="22"/>
          <w:lang w:val="sr-Latn-ME"/>
        </w:rPr>
        <w:t>i</w:t>
      </w:r>
      <w:r w:rsidRPr="00DE2CF7">
        <w:rPr>
          <w:szCs w:val="22"/>
          <w:lang w:val="sr-Latn-ME"/>
        </w:rPr>
        <w:t>l</w:t>
      </w:r>
      <w:r w:rsidR="004D4A2B" w:rsidRPr="00DE2CF7">
        <w:rPr>
          <w:szCs w:val="22"/>
          <w:lang w:val="sr-Latn-ME"/>
        </w:rPr>
        <w:t>j</w:t>
      </w:r>
      <w:r w:rsidRPr="00DE2CF7">
        <w:rPr>
          <w:szCs w:val="22"/>
          <w:lang w:val="sr-Latn-ME"/>
        </w:rPr>
        <w:t xml:space="preserve">eženo je povišenje </w:t>
      </w:r>
      <w:r w:rsidR="002407A5" w:rsidRPr="00DE2CF7">
        <w:rPr>
          <w:szCs w:val="22"/>
          <w:lang w:val="sr-Latn-ME"/>
        </w:rPr>
        <w:t>vrijednost</w:t>
      </w:r>
      <w:r w:rsidRPr="00DE2CF7">
        <w:rPr>
          <w:szCs w:val="22"/>
          <w:lang w:val="sr-Latn-ME"/>
        </w:rPr>
        <w:t>i aminotransferaza jetre ≥ 3 x ULN kod 2% pacijenata.</w:t>
      </w:r>
    </w:p>
    <w:p w14:paraId="231540FF" w14:textId="77777777" w:rsidR="0090133B" w:rsidRPr="00DE2CF7" w:rsidRDefault="0090133B" w:rsidP="00DE2CF7">
      <w:pPr>
        <w:rPr>
          <w:szCs w:val="22"/>
          <w:lang w:val="sr-Latn-ME"/>
        </w:rPr>
      </w:pPr>
      <w:r w:rsidRPr="00DE2CF7">
        <w:rPr>
          <w:szCs w:val="22"/>
          <w:lang w:val="sr-Latn-ME"/>
        </w:rPr>
        <w:t>U FUTURE-4 studiji koja je uključila 13 novorođenčadi sa PPHN koji su bili na terapiji bosentanom 2 mg/kg dva puta na dan, tokom manje od 10 dana (raspon 0,5 – 10,0 dana) nije bilo slučajeva povišenja vr</w:t>
      </w:r>
      <w:r w:rsidR="00CC7C1D" w:rsidRPr="00DE2CF7">
        <w:rPr>
          <w:szCs w:val="22"/>
          <w:lang w:val="sr-Latn-ME"/>
        </w:rPr>
        <w:t>ij</w:t>
      </w:r>
      <w:r w:rsidRPr="00DE2CF7">
        <w:rPr>
          <w:szCs w:val="22"/>
          <w:lang w:val="sr-Latn-ME"/>
        </w:rPr>
        <w:t xml:space="preserve">ednosti aminotransferaza jetre ≥ 3 x ULN tokom terapije, ali jedan slučaj hepatitisa se pojavio 3 dana nakon završetka </w:t>
      </w:r>
      <w:r w:rsidR="005A4604" w:rsidRPr="00DE2CF7">
        <w:rPr>
          <w:szCs w:val="22"/>
          <w:lang w:val="sr-Latn-ME"/>
        </w:rPr>
        <w:t>t</w:t>
      </w:r>
      <w:r w:rsidRPr="00DE2CF7">
        <w:rPr>
          <w:szCs w:val="22"/>
          <w:lang w:val="sr-Latn-ME"/>
        </w:rPr>
        <w:t>erapije bosentanom.</w:t>
      </w:r>
    </w:p>
    <w:p w14:paraId="016B36DB" w14:textId="77777777" w:rsidR="005A4604" w:rsidRPr="00DE2CF7" w:rsidRDefault="005A4604" w:rsidP="00DE2CF7">
      <w:pPr>
        <w:rPr>
          <w:szCs w:val="22"/>
          <w:lang w:val="sr-Latn-ME"/>
        </w:rPr>
      </w:pPr>
    </w:p>
    <w:p w14:paraId="0924163A" w14:textId="77777777" w:rsidR="0090133B" w:rsidRPr="00DE2CF7" w:rsidRDefault="0090133B" w:rsidP="00DE2CF7">
      <w:pPr>
        <w:rPr>
          <w:i/>
          <w:szCs w:val="22"/>
          <w:lang w:val="sr-Latn-ME"/>
        </w:rPr>
      </w:pPr>
      <w:r w:rsidRPr="00DE2CF7">
        <w:rPr>
          <w:i/>
          <w:szCs w:val="22"/>
          <w:lang w:val="sr-Latn-ME"/>
        </w:rPr>
        <w:t>Hemoglobin</w:t>
      </w:r>
    </w:p>
    <w:p w14:paraId="4875580F" w14:textId="77777777" w:rsidR="006139D7" w:rsidRPr="00DE2CF7" w:rsidRDefault="006139D7" w:rsidP="00DE2CF7">
      <w:pPr>
        <w:rPr>
          <w:i/>
          <w:szCs w:val="22"/>
          <w:lang w:val="sr-Latn-ME"/>
        </w:rPr>
      </w:pPr>
    </w:p>
    <w:p w14:paraId="58C00423" w14:textId="77777777" w:rsidR="005A4604" w:rsidRPr="00DE2CF7" w:rsidRDefault="001E61C0" w:rsidP="00DE2CF7">
      <w:pPr>
        <w:rPr>
          <w:szCs w:val="22"/>
          <w:lang w:val="sr-Latn-ME"/>
        </w:rPr>
      </w:pPr>
      <w:r w:rsidRPr="00DE2CF7">
        <w:rPr>
          <w:szCs w:val="22"/>
          <w:lang w:val="sr-Latn-ME"/>
        </w:rPr>
        <w:t>U placebom kontrolisanim studijama kod odraslih</w:t>
      </w:r>
      <w:r w:rsidR="0082676A" w:rsidRPr="00DE2CF7">
        <w:rPr>
          <w:szCs w:val="22"/>
          <w:lang w:val="sr-Latn-ME"/>
        </w:rPr>
        <w:t xml:space="preserve"> pacijenata</w:t>
      </w:r>
      <w:r w:rsidRPr="00DE2CF7">
        <w:rPr>
          <w:szCs w:val="22"/>
          <w:lang w:val="sr-Latn-ME"/>
        </w:rPr>
        <w:t xml:space="preserve">, </w:t>
      </w:r>
      <w:r w:rsidR="0082676A" w:rsidRPr="00DE2CF7">
        <w:rPr>
          <w:szCs w:val="22"/>
          <w:lang w:val="sr-Latn-ME"/>
        </w:rPr>
        <w:t>s</w:t>
      </w:r>
      <w:r w:rsidR="0090133B" w:rsidRPr="00DE2CF7">
        <w:rPr>
          <w:szCs w:val="22"/>
          <w:lang w:val="sr-Latn-ME"/>
        </w:rPr>
        <w:t xml:space="preserve">manjenje koncentracije hemoglobina ispod 10 g/dL u odnosu na </w:t>
      </w:r>
      <w:r w:rsidR="0082676A" w:rsidRPr="00DE2CF7">
        <w:rPr>
          <w:szCs w:val="22"/>
          <w:lang w:val="sr-Latn-ME"/>
        </w:rPr>
        <w:t xml:space="preserve">početnu </w:t>
      </w:r>
      <w:r w:rsidR="0090133B" w:rsidRPr="00DE2CF7">
        <w:rPr>
          <w:szCs w:val="22"/>
          <w:lang w:val="sr-Latn-ME"/>
        </w:rPr>
        <w:t>vr</w:t>
      </w:r>
      <w:r w:rsidR="006139D7" w:rsidRPr="00DE2CF7">
        <w:rPr>
          <w:szCs w:val="22"/>
          <w:lang w:val="sr-Latn-ME"/>
        </w:rPr>
        <w:t>ij</w:t>
      </w:r>
      <w:r w:rsidR="0090133B" w:rsidRPr="00DE2CF7">
        <w:rPr>
          <w:szCs w:val="22"/>
          <w:lang w:val="sr-Latn-ME"/>
        </w:rPr>
        <w:t>ednost prijavljeno je kod 8,0% pacijenata l</w:t>
      </w:r>
      <w:r w:rsidR="006139D7" w:rsidRPr="00DE2CF7">
        <w:rPr>
          <w:szCs w:val="22"/>
          <w:lang w:val="sr-Latn-ME"/>
        </w:rPr>
        <w:t>ij</w:t>
      </w:r>
      <w:r w:rsidR="0090133B" w:rsidRPr="00DE2CF7">
        <w:rPr>
          <w:szCs w:val="22"/>
          <w:lang w:val="sr-Latn-ME"/>
        </w:rPr>
        <w:t>ečenih bosentanom i kod 3,9% pacijenata l</w:t>
      </w:r>
      <w:r w:rsidR="006139D7" w:rsidRPr="00DE2CF7">
        <w:rPr>
          <w:szCs w:val="22"/>
          <w:lang w:val="sr-Latn-ME"/>
        </w:rPr>
        <w:t>ij</w:t>
      </w:r>
      <w:r w:rsidR="0090133B" w:rsidRPr="00DE2CF7">
        <w:rPr>
          <w:szCs w:val="22"/>
          <w:lang w:val="sr-Latn-ME"/>
        </w:rPr>
        <w:t>ečenih placebom (</w:t>
      </w:r>
      <w:r w:rsidR="007453E0" w:rsidRPr="00DE2CF7">
        <w:rPr>
          <w:szCs w:val="22"/>
          <w:lang w:val="sr-Latn-ME"/>
        </w:rPr>
        <w:t>vidjeti</w:t>
      </w:r>
      <w:r w:rsidR="0090133B" w:rsidRPr="00DE2CF7">
        <w:rPr>
          <w:szCs w:val="22"/>
          <w:lang w:val="sr-Latn-ME"/>
        </w:rPr>
        <w:t xml:space="preserve"> </w:t>
      </w:r>
      <w:r w:rsidR="007453E0" w:rsidRPr="00DE2CF7">
        <w:rPr>
          <w:szCs w:val="22"/>
          <w:lang w:val="sr-Latn-ME"/>
        </w:rPr>
        <w:t>odjeljak</w:t>
      </w:r>
      <w:r w:rsidR="0090133B" w:rsidRPr="00DE2CF7">
        <w:rPr>
          <w:szCs w:val="22"/>
          <w:lang w:val="sr-Latn-ME"/>
        </w:rPr>
        <w:t xml:space="preserve"> 4.4).</w:t>
      </w:r>
    </w:p>
    <w:p w14:paraId="596B9C36" w14:textId="77777777" w:rsidR="005A4604" w:rsidRPr="00DE2CF7" w:rsidRDefault="005A4604" w:rsidP="00DE2CF7">
      <w:pPr>
        <w:rPr>
          <w:szCs w:val="22"/>
          <w:lang w:val="sr-Latn-ME"/>
        </w:rPr>
      </w:pPr>
    </w:p>
    <w:p w14:paraId="1054BA3B" w14:textId="77777777" w:rsidR="0090133B" w:rsidRPr="00DE2CF7" w:rsidRDefault="0090133B" w:rsidP="00DE2CF7">
      <w:pPr>
        <w:rPr>
          <w:szCs w:val="22"/>
          <w:lang w:val="sr-Latn-ME"/>
        </w:rPr>
      </w:pPr>
      <w:r w:rsidRPr="00DE2CF7">
        <w:rPr>
          <w:szCs w:val="22"/>
          <w:lang w:val="sr-Latn-ME"/>
        </w:rPr>
        <w:t>U analizi objedinjenih podataka 100</w:t>
      </w:r>
      <w:r w:rsidR="00344619" w:rsidRPr="00DE2CF7">
        <w:rPr>
          <w:szCs w:val="22"/>
          <w:lang w:val="sr-Latn-ME"/>
        </w:rPr>
        <w:t xml:space="preserve"> djece </w:t>
      </w:r>
      <w:r w:rsidRPr="00DE2CF7">
        <w:rPr>
          <w:szCs w:val="22"/>
          <w:lang w:val="sr-Latn-ME"/>
        </w:rPr>
        <w:t>sa PAH-om iz nekontrolisanih pedijatrijskih studija FUTURE 1/2 I FUTURE 3/produžetak, smanjenje koncentracije hemoglobina u odnosu na početne vr</w:t>
      </w:r>
      <w:r w:rsidR="006139D7" w:rsidRPr="00DE2CF7">
        <w:rPr>
          <w:szCs w:val="22"/>
          <w:lang w:val="sr-Latn-ME"/>
        </w:rPr>
        <w:t>ij</w:t>
      </w:r>
      <w:r w:rsidRPr="00DE2CF7">
        <w:rPr>
          <w:szCs w:val="22"/>
          <w:lang w:val="sr-Latn-ME"/>
        </w:rPr>
        <w:t>ednosti na manje od 10 g/dL je prijavljeno kod 10,0% pacijenata. Nije bilo smanjenja vr</w:t>
      </w:r>
      <w:r w:rsidR="006139D7" w:rsidRPr="00DE2CF7">
        <w:rPr>
          <w:szCs w:val="22"/>
          <w:lang w:val="sr-Latn-ME"/>
        </w:rPr>
        <w:t>ij</w:t>
      </w:r>
      <w:r w:rsidRPr="00DE2CF7">
        <w:rPr>
          <w:szCs w:val="22"/>
          <w:lang w:val="sr-Latn-ME"/>
        </w:rPr>
        <w:t>ednosti ispod 8 g/dL.</w:t>
      </w:r>
    </w:p>
    <w:p w14:paraId="1D793184" w14:textId="77777777" w:rsidR="005A4604" w:rsidRPr="00DE2CF7" w:rsidRDefault="005A4604" w:rsidP="00DE2CF7">
      <w:pPr>
        <w:rPr>
          <w:szCs w:val="22"/>
          <w:lang w:val="sr-Latn-ME"/>
        </w:rPr>
      </w:pPr>
    </w:p>
    <w:p w14:paraId="4D6D64C0" w14:textId="77777777" w:rsidR="0090133B" w:rsidRPr="00DE2CF7" w:rsidRDefault="0090133B" w:rsidP="00DE2CF7">
      <w:pPr>
        <w:rPr>
          <w:szCs w:val="22"/>
          <w:lang w:val="sr-Latn-ME"/>
        </w:rPr>
      </w:pPr>
      <w:r w:rsidRPr="00DE2CF7">
        <w:rPr>
          <w:szCs w:val="22"/>
          <w:lang w:val="sr-Latn-ME"/>
        </w:rPr>
        <w:t xml:space="preserve">U FUTURE-4 studiji, </w:t>
      </w:r>
      <w:r w:rsidR="00C71739" w:rsidRPr="00DE2CF7">
        <w:rPr>
          <w:szCs w:val="22"/>
          <w:lang w:val="sr-Latn-ME"/>
        </w:rPr>
        <w:t xml:space="preserve">kod </w:t>
      </w:r>
      <w:r w:rsidRPr="00DE2CF7">
        <w:rPr>
          <w:szCs w:val="22"/>
          <w:lang w:val="sr-Latn-ME"/>
        </w:rPr>
        <w:t>6 od 13 novorođenčadi sa PPHN</w:t>
      </w:r>
      <w:r w:rsidR="00C71739" w:rsidRPr="00DE2CF7">
        <w:rPr>
          <w:szCs w:val="22"/>
          <w:lang w:val="sr-Latn-ME"/>
        </w:rPr>
        <w:t xml:space="preserve"> liječene </w:t>
      </w:r>
      <w:r w:rsidRPr="00DE2CF7">
        <w:rPr>
          <w:szCs w:val="22"/>
          <w:lang w:val="sr-Latn-ME"/>
        </w:rPr>
        <w:t xml:space="preserve">bosentanom, </w:t>
      </w:r>
      <w:r w:rsidR="00C71739" w:rsidRPr="00DE2CF7">
        <w:rPr>
          <w:szCs w:val="22"/>
          <w:lang w:val="sr-Latn-ME"/>
        </w:rPr>
        <w:t xml:space="preserve">došlo je do </w:t>
      </w:r>
      <w:r w:rsidRPr="00DE2CF7">
        <w:rPr>
          <w:szCs w:val="22"/>
          <w:lang w:val="sr-Latn-ME"/>
        </w:rPr>
        <w:t>sniženj</w:t>
      </w:r>
      <w:r w:rsidR="00C71739" w:rsidRPr="00DE2CF7">
        <w:rPr>
          <w:szCs w:val="22"/>
          <w:lang w:val="sr-Latn-ME"/>
        </w:rPr>
        <w:t>a</w:t>
      </w:r>
      <w:r w:rsidRPr="00DE2CF7">
        <w:rPr>
          <w:szCs w:val="22"/>
          <w:lang w:val="sr-Latn-ME"/>
        </w:rPr>
        <w:t xml:space="preserve"> koncentracije hemoglobina sa vr</w:t>
      </w:r>
      <w:r w:rsidR="006139D7" w:rsidRPr="00DE2CF7">
        <w:rPr>
          <w:szCs w:val="22"/>
          <w:lang w:val="sr-Latn-ME"/>
        </w:rPr>
        <w:t>ij</w:t>
      </w:r>
      <w:r w:rsidRPr="00DE2CF7">
        <w:rPr>
          <w:szCs w:val="22"/>
          <w:lang w:val="sr-Latn-ME"/>
        </w:rPr>
        <w:t xml:space="preserve">ednosti koje su bile u granicama normale na početku </w:t>
      </w:r>
      <w:r w:rsidR="007453E0" w:rsidRPr="00DE2CF7">
        <w:rPr>
          <w:szCs w:val="22"/>
          <w:lang w:val="sr-Latn-ME"/>
        </w:rPr>
        <w:t>liječenj</w:t>
      </w:r>
      <w:r w:rsidRPr="00DE2CF7">
        <w:rPr>
          <w:szCs w:val="22"/>
          <w:lang w:val="sr-Latn-ME"/>
        </w:rPr>
        <w:t xml:space="preserve">a do </w:t>
      </w:r>
      <w:r w:rsidR="002407A5" w:rsidRPr="00DE2CF7">
        <w:rPr>
          <w:szCs w:val="22"/>
          <w:lang w:val="sr-Latn-ME"/>
        </w:rPr>
        <w:t>vrijednost</w:t>
      </w:r>
      <w:r w:rsidRPr="00DE2CF7">
        <w:rPr>
          <w:szCs w:val="22"/>
          <w:lang w:val="sr-Latn-ME"/>
        </w:rPr>
        <w:t xml:space="preserve">i ispod donjih granica normale tokom terapije.  </w:t>
      </w:r>
    </w:p>
    <w:p w14:paraId="78BF04BF" w14:textId="77777777" w:rsidR="00B31EEF" w:rsidRPr="00DE2CF7" w:rsidRDefault="00B31EEF" w:rsidP="00DE2CF7">
      <w:pPr>
        <w:rPr>
          <w:szCs w:val="22"/>
          <w:lang w:val="sr-Latn-ME"/>
        </w:rPr>
      </w:pPr>
    </w:p>
    <w:p w14:paraId="5325FBE9" w14:textId="77777777" w:rsidR="00B31EEF" w:rsidRPr="00DE2CF7" w:rsidRDefault="00B31EEF" w:rsidP="00DE2CF7">
      <w:pPr>
        <w:rPr>
          <w:szCs w:val="22"/>
          <w:u w:val="single"/>
          <w:lang w:val="sr-Latn-ME"/>
        </w:rPr>
      </w:pPr>
      <w:r w:rsidRPr="00DE2CF7">
        <w:rPr>
          <w:szCs w:val="22"/>
          <w:u w:val="single"/>
          <w:lang w:val="sr-Latn-ME"/>
        </w:rPr>
        <w:t>Prijavljivanje sumnji na neželjena dejstva</w:t>
      </w:r>
    </w:p>
    <w:p w14:paraId="733E0277" w14:textId="77777777" w:rsidR="00142806" w:rsidRPr="00DE2CF7" w:rsidRDefault="00142806" w:rsidP="00DE2CF7">
      <w:pPr>
        <w:rPr>
          <w:szCs w:val="22"/>
          <w:u w:val="single"/>
          <w:lang w:val="sr-Latn-ME"/>
        </w:rPr>
      </w:pPr>
    </w:p>
    <w:p w14:paraId="2CF193DB" w14:textId="77777777" w:rsidR="00B31EEF" w:rsidRPr="00DE2CF7" w:rsidRDefault="00B31EEF" w:rsidP="00DE2CF7">
      <w:pPr>
        <w:rPr>
          <w:szCs w:val="22"/>
          <w:lang w:val="sr-Latn-ME"/>
        </w:rPr>
      </w:pPr>
      <w:r w:rsidRPr="00DE2CF7">
        <w:rPr>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AC1FF84" w14:textId="77777777" w:rsidR="00A5170F" w:rsidRPr="00DE2CF7" w:rsidRDefault="00A5170F" w:rsidP="00DE2CF7">
      <w:pPr>
        <w:rPr>
          <w:szCs w:val="22"/>
          <w:lang w:val="sr-Latn-ME"/>
        </w:rPr>
      </w:pPr>
    </w:p>
    <w:p w14:paraId="0F744552" w14:textId="77777777" w:rsidR="00B31EEF" w:rsidRPr="00DE2CF7" w:rsidRDefault="00B31EEF" w:rsidP="00DE2CF7">
      <w:pPr>
        <w:rPr>
          <w:szCs w:val="22"/>
          <w:lang w:val="sr-Latn-ME"/>
        </w:rPr>
      </w:pPr>
      <w:r w:rsidRPr="00DE2CF7">
        <w:rPr>
          <w:szCs w:val="22"/>
          <w:lang w:val="sr-Latn-ME"/>
        </w:rPr>
        <w:t xml:space="preserve">Institut za ljekove i medicinska sredstva </w:t>
      </w:r>
    </w:p>
    <w:p w14:paraId="7A941082" w14:textId="77777777" w:rsidR="00B31EEF" w:rsidRPr="00DE2CF7" w:rsidRDefault="00B31EEF" w:rsidP="00DE2CF7">
      <w:pPr>
        <w:rPr>
          <w:szCs w:val="22"/>
          <w:lang w:val="sr-Latn-ME"/>
        </w:rPr>
      </w:pPr>
      <w:r w:rsidRPr="00DE2CF7">
        <w:rPr>
          <w:szCs w:val="22"/>
          <w:lang w:val="sr-Latn-ME"/>
        </w:rPr>
        <w:t>Odjeljenje za farmakovigilancu</w:t>
      </w:r>
    </w:p>
    <w:p w14:paraId="1D4A547F" w14:textId="77777777" w:rsidR="00B31EEF" w:rsidRPr="00DE2CF7" w:rsidRDefault="00B31EEF" w:rsidP="00DE2CF7">
      <w:pPr>
        <w:rPr>
          <w:szCs w:val="22"/>
          <w:lang w:val="sr-Latn-ME"/>
        </w:rPr>
      </w:pPr>
      <w:r w:rsidRPr="00DE2CF7">
        <w:rPr>
          <w:szCs w:val="22"/>
          <w:lang w:val="sr-Latn-ME"/>
        </w:rPr>
        <w:t>Bulevar Ivana Crnojevića 64a, 81000 Podgorica</w:t>
      </w:r>
    </w:p>
    <w:p w14:paraId="3B340903" w14:textId="77777777" w:rsidR="0087250B" w:rsidRDefault="0087250B" w:rsidP="00DE2CF7">
      <w:pPr>
        <w:rPr>
          <w:szCs w:val="22"/>
          <w:lang w:val="sr-Latn-ME"/>
        </w:rPr>
      </w:pPr>
    </w:p>
    <w:p w14:paraId="564A8D48" w14:textId="77777777" w:rsidR="00B31EEF" w:rsidRPr="00DE2CF7" w:rsidRDefault="00B31EEF" w:rsidP="00DE2CF7">
      <w:pPr>
        <w:rPr>
          <w:szCs w:val="22"/>
          <w:lang w:val="sr-Latn-ME"/>
        </w:rPr>
      </w:pPr>
      <w:r w:rsidRPr="00DE2CF7">
        <w:rPr>
          <w:szCs w:val="22"/>
          <w:lang w:val="sr-Latn-ME"/>
        </w:rPr>
        <w:t>tel: +382 (0) 20 310 280</w:t>
      </w:r>
    </w:p>
    <w:p w14:paraId="051AF128" w14:textId="77777777" w:rsidR="00B31EEF" w:rsidRPr="00DE2CF7" w:rsidRDefault="00B31EEF" w:rsidP="00DE2CF7">
      <w:pPr>
        <w:rPr>
          <w:szCs w:val="22"/>
          <w:lang w:val="sr-Latn-ME"/>
        </w:rPr>
      </w:pPr>
      <w:r w:rsidRPr="00DE2CF7">
        <w:rPr>
          <w:szCs w:val="22"/>
          <w:lang w:val="sr-Latn-ME"/>
        </w:rPr>
        <w:t>fax: +382 (0) 20 310 581</w:t>
      </w:r>
    </w:p>
    <w:p w14:paraId="75A23184" w14:textId="77777777" w:rsidR="00B31EEF" w:rsidRPr="00DE2CF7" w:rsidRDefault="00B31EEF" w:rsidP="00DE2CF7">
      <w:pPr>
        <w:pStyle w:val="NoSpacing"/>
        <w:jc w:val="both"/>
        <w:rPr>
          <w:rStyle w:val="Hyperlink"/>
          <w:rFonts w:eastAsia="Calibri"/>
          <w:color w:val="0000FF" w:themeColor="hyperlink"/>
          <w:sz w:val="22"/>
          <w:szCs w:val="22"/>
          <w:lang w:val="sr-Latn-ME"/>
        </w:rPr>
      </w:pPr>
      <w:r w:rsidRPr="00DE2CF7">
        <w:rPr>
          <w:rStyle w:val="Hyperlink"/>
          <w:rFonts w:eastAsia="Calibri"/>
          <w:color w:val="0000FF" w:themeColor="hyperlink"/>
          <w:sz w:val="22"/>
          <w:szCs w:val="22"/>
          <w:lang w:val="sr-Latn-ME"/>
        </w:rPr>
        <w:t>www.cinmed.me</w:t>
      </w:r>
    </w:p>
    <w:p w14:paraId="6A5298AD" w14:textId="77777777" w:rsidR="00B31EEF" w:rsidRPr="00DE2CF7" w:rsidRDefault="00B31EEF" w:rsidP="00DE2CF7">
      <w:pPr>
        <w:pStyle w:val="NoSpacing"/>
        <w:jc w:val="both"/>
        <w:rPr>
          <w:rStyle w:val="Hyperlink"/>
          <w:rFonts w:eastAsia="Calibri"/>
          <w:color w:val="0000FF" w:themeColor="hyperlink"/>
          <w:sz w:val="22"/>
          <w:szCs w:val="22"/>
          <w:lang w:val="sr-Latn-ME"/>
        </w:rPr>
      </w:pPr>
      <w:r w:rsidRPr="00DE2CF7">
        <w:rPr>
          <w:rStyle w:val="Hyperlink"/>
          <w:rFonts w:eastAsia="Calibri"/>
          <w:color w:val="0000FF" w:themeColor="hyperlink"/>
          <w:sz w:val="22"/>
          <w:szCs w:val="22"/>
          <w:lang w:val="sr-Latn-ME"/>
        </w:rPr>
        <w:t>nezeljenadejstva@cinmed.me</w:t>
      </w:r>
    </w:p>
    <w:p w14:paraId="7DB80B45" w14:textId="77777777" w:rsidR="003F55A4" w:rsidRPr="00DE2CF7" w:rsidRDefault="00B31EEF" w:rsidP="00DE2CF7">
      <w:pPr>
        <w:tabs>
          <w:tab w:val="clear" w:pos="284"/>
          <w:tab w:val="left" w:pos="540"/>
          <w:tab w:val="left" w:pos="569"/>
        </w:tabs>
        <w:jc w:val="left"/>
        <w:rPr>
          <w:b/>
          <w:bCs/>
          <w:szCs w:val="22"/>
          <w:lang w:val="sr-Latn-ME"/>
        </w:rPr>
      </w:pPr>
      <w:r w:rsidRPr="00DE2CF7">
        <w:rPr>
          <w:szCs w:val="22"/>
          <w:lang w:val="sr-Latn-ME"/>
        </w:rPr>
        <w:t>putem IS zdravstvene zaštite</w:t>
      </w:r>
    </w:p>
    <w:p w14:paraId="69CA8244" w14:textId="77777777" w:rsidR="007F261C" w:rsidRDefault="007F261C" w:rsidP="007F261C">
      <w:pPr>
        <w:pStyle w:val="NoSpacing"/>
        <w:jc w:val="both"/>
        <w:rPr>
          <w:rFonts w:eastAsia="Calibri"/>
          <w:sz w:val="22"/>
          <w:szCs w:val="22"/>
          <w:lang w:val="sr-Latn-RS"/>
        </w:rPr>
      </w:pPr>
      <w:r>
        <w:rPr>
          <w:rFonts w:eastAsia="Calibri"/>
          <w:sz w:val="22"/>
          <w:szCs w:val="22"/>
          <w:lang w:val="sr-Latn-RS"/>
        </w:rPr>
        <w:t xml:space="preserve">QR kod za </w:t>
      </w:r>
      <w:bookmarkStart w:id="0" w:name="_GoBack"/>
      <w:r w:rsidRPr="00AC68FC">
        <w:rPr>
          <w:rFonts w:eastAsia="Calibri"/>
          <w:sz w:val="22"/>
          <w:szCs w:val="22"/>
          <w:lang w:val="sr-Latn-RS"/>
        </w:rPr>
        <w:t>online</w:t>
      </w:r>
      <w:bookmarkEnd w:id="0"/>
      <w:r>
        <w:rPr>
          <w:rFonts w:eastAsia="Calibri"/>
          <w:sz w:val="22"/>
          <w:szCs w:val="22"/>
          <w:lang w:val="sr-Latn-RS"/>
        </w:rPr>
        <w:t xml:space="preserve"> prijavu sumnje na neželjeno dejstvo lijeka:</w:t>
      </w:r>
    </w:p>
    <w:p w14:paraId="189561E3" w14:textId="5C51580D" w:rsidR="005A4604" w:rsidRDefault="005A4604" w:rsidP="00DE2CF7">
      <w:pPr>
        <w:rPr>
          <w:szCs w:val="22"/>
          <w:lang w:val="sr-Latn-ME"/>
        </w:rPr>
      </w:pPr>
    </w:p>
    <w:p w14:paraId="37ABDF16" w14:textId="14F4E848" w:rsidR="007F261C" w:rsidRDefault="007F261C" w:rsidP="00DE2CF7">
      <w:pPr>
        <w:rPr>
          <w:szCs w:val="22"/>
          <w:lang w:val="sr-Latn-ME"/>
        </w:rPr>
      </w:pPr>
      <w:r>
        <w:rPr>
          <w:noProof/>
        </w:rPr>
        <w:lastRenderedPageBreak/>
        <w:drawing>
          <wp:inline distT="0" distB="0" distL="0" distR="0" wp14:anchorId="5EF9A0D6" wp14:editId="299C2788">
            <wp:extent cx="971550" cy="971550"/>
            <wp:effectExtent l="0" t="0" r="0" b="0"/>
            <wp:docPr id="2" name="Picture 2" descr="https://cinmed.me/wp-content/uploads/2022/11/Online-prijava-NDL-QR-code-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27FDD50" w14:textId="77777777" w:rsidR="007F261C" w:rsidRPr="00DE2CF7" w:rsidRDefault="007F261C" w:rsidP="00DE2CF7">
      <w:pPr>
        <w:rPr>
          <w:szCs w:val="22"/>
          <w:lang w:val="sr-Latn-ME"/>
        </w:rPr>
      </w:pPr>
    </w:p>
    <w:p w14:paraId="35D8F2D8" w14:textId="77777777" w:rsidR="0090133B" w:rsidRPr="00DE2CF7" w:rsidRDefault="0090133B" w:rsidP="00DE2CF7">
      <w:pPr>
        <w:rPr>
          <w:b/>
          <w:szCs w:val="22"/>
          <w:lang w:val="sr-Latn-ME"/>
        </w:rPr>
      </w:pPr>
      <w:r w:rsidRPr="00DE2CF7">
        <w:rPr>
          <w:b/>
          <w:szCs w:val="22"/>
          <w:lang w:val="sr-Latn-ME"/>
        </w:rPr>
        <w:t>4.9. Predoziranje</w:t>
      </w:r>
    </w:p>
    <w:p w14:paraId="5EE916D8" w14:textId="77777777" w:rsidR="005A4604" w:rsidRPr="00DE2CF7" w:rsidRDefault="005A4604" w:rsidP="00DE2CF7">
      <w:pPr>
        <w:rPr>
          <w:b/>
          <w:szCs w:val="22"/>
          <w:lang w:val="sr-Latn-ME"/>
        </w:rPr>
      </w:pPr>
    </w:p>
    <w:p w14:paraId="2F1E3629" w14:textId="77777777" w:rsidR="0090133B" w:rsidRPr="00DE2CF7" w:rsidRDefault="0090133B" w:rsidP="00DE2CF7">
      <w:pPr>
        <w:rPr>
          <w:szCs w:val="22"/>
          <w:lang w:val="sr-Latn-ME"/>
        </w:rPr>
      </w:pPr>
      <w:r w:rsidRPr="00DE2CF7">
        <w:rPr>
          <w:szCs w:val="22"/>
          <w:lang w:val="sr-Latn-ME"/>
        </w:rPr>
        <w:t>Bosentan je bio prim</w:t>
      </w:r>
      <w:r w:rsidR="006E200E" w:rsidRPr="00DE2CF7">
        <w:rPr>
          <w:szCs w:val="22"/>
          <w:lang w:val="sr-Latn-ME"/>
        </w:rPr>
        <w:t>ij</w:t>
      </w:r>
      <w:r w:rsidRPr="00DE2CF7">
        <w:rPr>
          <w:szCs w:val="22"/>
          <w:lang w:val="sr-Latn-ME"/>
        </w:rPr>
        <w:t>enjen u pojedinačnoj dozi do 2400 mg kod zdravih ispitanika</w:t>
      </w:r>
      <w:r w:rsidR="00A30A39" w:rsidRPr="00DE2CF7">
        <w:rPr>
          <w:szCs w:val="22"/>
          <w:lang w:val="sr-Latn-ME"/>
        </w:rPr>
        <w:t>,</w:t>
      </w:r>
      <w:r w:rsidRPr="00DE2CF7">
        <w:rPr>
          <w:szCs w:val="22"/>
          <w:lang w:val="sr-Latn-ME"/>
        </w:rPr>
        <w:t xml:space="preserve"> i do 2000 mg/dan tokom 2 </w:t>
      </w:r>
      <w:r w:rsidR="003E63C6" w:rsidRPr="00DE2CF7">
        <w:rPr>
          <w:szCs w:val="22"/>
          <w:lang w:val="sr-Latn-ME"/>
        </w:rPr>
        <w:t>mjesec</w:t>
      </w:r>
      <w:r w:rsidRPr="00DE2CF7">
        <w:rPr>
          <w:szCs w:val="22"/>
          <w:lang w:val="sr-Latn-ME"/>
        </w:rPr>
        <w:t>a kod pacijenata sa bolešću različitom od plućne hipertenzije. Najčešća neželjena reakcija bila je glavobolja blagog do u</w:t>
      </w:r>
      <w:r w:rsidR="003E63C6" w:rsidRPr="00DE2CF7">
        <w:rPr>
          <w:szCs w:val="22"/>
          <w:lang w:val="sr-Latn-ME"/>
        </w:rPr>
        <w:t>mjeren</w:t>
      </w:r>
      <w:r w:rsidRPr="00DE2CF7">
        <w:rPr>
          <w:szCs w:val="22"/>
          <w:lang w:val="sr-Latn-ME"/>
        </w:rPr>
        <w:t>og intenziteta.</w:t>
      </w:r>
    </w:p>
    <w:p w14:paraId="351086A1" w14:textId="77777777" w:rsidR="005A4604" w:rsidRPr="00DE2CF7" w:rsidRDefault="005A4604" w:rsidP="00DE2CF7">
      <w:pPr>
        <w:rPr>
          <w:szCs w:val="22"/>
          <w:lang w:val="sr-Latn-ME"/>
        </w:rPr>
      </w:pPr>
    </w:p>
    <w:p w14:paraId="5609B01E" w14:textId="77777777" w:rsidR="0090133B" w:rsidRPr="00DE2CF7" w:rsidRDefault="0090133B" w:rsidP="00DE2CF7">
      <w:pPr>
        <w:rPr>
          <w:szCs w:val="22"/>
          <w:lang w:val="sr-Latn-ME"/>
        </w:rPr>
      </w:pPr>
      <w:r w:rsidRPr="00DE2CF7">
        <w:rPr>
          <w:szCs w:val="22"/>
          <w:lang w:val="sr-Latn-ME"/>
        </w:rPr>
        <w:t>Teško predoziranje može dovesti do pomenute hipotenzije zaht</w:t>
      </w:r>
      <w:r w:rsidR="00DC30E1" w:rsidRPr="00DE2CF7">
        <w:rPr>
          <w:szCs w:val="22"/>
          <w:lang w:val="sr-Latn-ME"/>
        </w:rPr>
        <w:t>ij</w:t>
      </w:r>
      <w:r w:rsidRPr="00DE2CF7">
        <w:rPr>
          <w:szCs w:val="22"/>
          <w:lang w:val="sr-Latn-ME"/>
        </w:rPr>
        <w:t>evajući aktivnu kardiovaskularnu podršku. U postmarketinškom periodu</w:t>
      </w:r>
      <w:r w:rsidR="004C4D48" w:rsidRPr="00DE2CF7">
        <w:rPr>
          <w:szCs w:val="22"/>
          <w:lang w:val="sr-Latn-ME"/>
        </w:rPr>
        <w:t>,</w:t>
      </w:r>
      <w:r w:rsidRPr="00DE2CF7">
        <w:rPr>
          <w:szCs w:val="22"/>
          <w:lang w:val="sr-Latn-ME"/>
        </w:rPr>
        <w:t xml:space="preserve"> prijavljen je jedan slučaj predoziranja sa 10000 mg bosentana </w:t>
      </w:r>
      <w:r w:rsidR="00B31EEF" w:rsidRPr="00DE2CF7">
        <w:rPr>
          <w:szCs w:val="22"/>
          <w:lang w:val="sr-Latn-ME"/>
        </w:rPr>
        <w:t xml:space="preserve">kod </w:t>
      </w:r>
      <w:r w:rsidR="00DC30E1" w:rsidRPr="00DE2CF7">
        <w:rPr>
          <w:szCs w:val="22"/>
          <w:lang w:val="sr-Latn-ME"/>
        </w:rPr>
        <w:t>pacijenta adolescenta</w:t>
      </w:r>
      <w:r w:rsidR="00A30A39" w:rsidRPr="00DE2CF7">
        <w:rPr>
          <w:szCs w:val="22"/>
          <w:lang w:val="sr-Latn-ME"/>
        </w:rPr>
        <w:t xml:space="preserve"> </w:t>
      </w:r>
      <w:r w:rsidRPr="00DE2CF7">
        <w:rPr>
          <w:szCs w:val="22"/>
          <w:lang w:val="sr-Latn-ME"/>
        </w:rPr>
        <w:t>muškog pola. Imao je simptome mučnine, povraćanja, hipotenzije, vrtoglavice, znojenja i zamagljen vid. U potpunosti se oporavio u roku od 24 sata</w:t>
      </w:r>
      <w:r w:rsidR="00A30A39" w:rsidRPr="00DE2CF7">
        <w:rPr>
          <w:szCs w:val="22"/>
          <w:lang w:val="sr-Latn-ME"/>
        </w:rPr>
        <w:t>,</w:t>
      </w:r>
      <w:r w:rsidRPr="00DE2CF7">
        <w:rPr>
          <w:szCs w:val="22"/>
          <w:lang w:val="sr-Latn-ME"/>
        </w:rPr>
        <w:t xml:space="preserve"> uz podršku </w:t>
      </w:r>
      <w:r w:rsidR="005A4604" w:rsidRPr="00DE2CF7">
        <w:rPr>
          <w:szCs w:val="22"/>
          <w:lang w:val="sr-Latn-ME"/>
        </w:rPr>
        <w:t xml:space="preserve">za održavanje </w:t>
      </w:r>
      <w:r w:rsidRPr="00DE2CF7">
        <w:rPr>
          <w:szCs w:val="22"/>
          <w:lang w:val="sr-Latn-ME"/>
        </w:rPr>
        <w:t>krvnog pritiska. Napomena: bosentan se ne uklanja dijalizom.</w:t>
      </w:r>
    </w:p>
    <w:p w14:paraId="4CB662BD" w14:textId="77777777" w:rsidR="009D738B" w:rsidRPr="00DE2CF7" w:rsidRDefault="009D738B" w:rsidP="00DE2CF7">
      <w:pPr>
        <w:rPr>
          <w:szCs w:val="22"/>
          <w:lang w:val="sr-Latn-ME"/>
        </w:rPr>
      </w:pPr>
    </w:p>
    <w:p w14:paraId="0BF6BF76" w14:textId="77777777" w:rsidR="00AD78F7" w:rsidRPr="00DE2CF7" w:rsidRDefault="00AD78F7" w:rsidP="00DE2CF7">
      <w:pPr>
        <w:rPr>
          <w:szCs w:val="22"/>
          <w:lang w:val="sr-Latn-ME"/>
        </w:rPr>
      </w:pPr>
    </w:p>
    <w:p w14:paraId="141BBA55" w14:textId="77777777" w:rsidR="0090133B" w:rsidRPr="00DE2CF7" w:rsidRDefault="0090133B" w:rsidP="00DE2CF7">
      <w:pPr>
        <w:rPr>
          <w:b/>
          <w:szCs w:val="22"/>
          <w:lang w:val="sr-Latn-ME"/>
        </w:rPr>
      </w:pPr>
      <w:r w:rsidRPr="00DE2CF7">
        <w:rPr>
          <w:b/>
          <w:szCs w:val="22"/>
          <w:lang w:val="sr-Latn-ME"/>
        </w:rPr>
        <w:t>5. FARMAKOLOŠKI PODACI</w:t>
      </w:r>
    </w:p>
    <w:p w14:paraId="06C805A8" w14:textId="77777777" w:rsidR="006139D7" w:rsidRPr="00DE2CF7" w:rsidRDefault="006139D7" w:rsidP="00DE2CF7">
      <w:pPr>
        <w:rPr>
          <w:b/>
          <w:szCs w:val="22"/>
          <w:lang w:val="sr-Latn-ME"/>
        </w:rPr>
      </w:pPr>
    </w:p>
    <w:p w14:paraId="428DA90A" w14:textId="77777777" w:rsidR="0090133B" w:rsidRPr="00DE2CF7" w:rsidRDefault="0090133B" w:rsidP="00DE2CF7">
      <w:pPr>
        <w:rPr>
          <w:b/>
          <w:szCs w:val="22"/>
          <w:lang w:val="sr-Latn-ME"/>
        </w:rPr>
      </w:pPr>
      <w:r w:rsidRPr="00DE2CF7">
        <w:rPr>
          <w:b/>
          <w:szCs w:val="22"/>
          <w:lang w:val="sr-Latn-ME"/>
        </w:rPr>
        <w:t>5.1. Farmakodinamski podaci</w:t>
      </w:r>
    </w:p>
    <w:p w14:paraId="4F9AC883" w14:textId="77777777" w:rsidR="00AD78F7" w:rsidRPr="00DE2CF7" w:rsidRDefault="00AD78F7" w:rsidP="00DE2CF7">
      <w:pPr>
        <w:rPr>
          <w:b/>
          <w:szCs w:val="22"/>
          <w:lang w:val="sr-Latn-ME"/>
        </w:rPr>
      </w:pPr>
    </w:p>
    <w:p w14:paraId="000B284E" w14:textId="77777777" w:rsidR="0090133B" w:rsidRPr="00DE2CF7" w:rsidRDefault="0090133B" w:rsidP="00DE2CF7">
      <w:pPr>
        <w:rPr>
          <w:szCs w:val="22"/>
          <w:lang w:val="sr-Latn-ME"/>
        </w:rPr>
      </w:pPr>
      <w:r w:rsidRPr="00DE2CF7">
        <w:rPr>
          <w:szCs w:val="22"/>
          <w:lang w:val="sr-Latn-ME"/>
        </w:rPr>
        <w:t>Farmakoterapijska grupa: ostali antihipertenzivi</w:t>
      </w:r>
    </w:p>
    <w:p w14:paraId="4715DC3A" w14:textId="77777777" w:rsidR="00641226" w:rsidRPr="00DE2CF7" w:rsidRDefault="00641226" w:rsidP="00DE2CF7">
      <w:pPr>
        <w:rPr>
          <w:b/>
          <w:szCs w:val="22"/>
          <w:lang w:val="sr-Latn-ME"/>
        </w:rPr>
      </w:pPr>
    </w:p>
    <w:p w14:paraId="2CAE7723" w14:textId="77777777" w:rsidR="0090133B" w:rsidRPr="00DE2CF7" w:rsidRDefault="0090133B" w:rsidP="00DE2CF7">
      <w:pPr>
        <w:rPr>
          <w:szCs w:val="22"/>
          <w:lang w:val="sr-Latn-ME"/>
        </w:rPr>
      </w:pPr>
      <w:r w:rsidRPr="00DE2CF7">
        <w:rPr>
          <w:szCs w:val="22"/>
          <w:lang w:val="sr-Latn-ME"/>
        </w:rPr>
        <w:t xml:space="preserve">ATC </w:t>
      </w:r>
      <w:r w:rsidR="00641226" w:rsidRPr="00DE2CF7">
        <w:rPr>
          <w:szCs w:val="22"/>
          <w:lang w:val="sr-Latn-ME"/>
        </w:rPr>
        <w:t>kod</w:t>
      </w:r>
      <w:r w:rsidRPr="00DE2CF7">
        <w:rPr>
          <w:szCs w:val="22"/>
          <w:lang w:val="sr-Latn-ME"/>
        </w:rPr>
        <w:t>: C02KX01</w:t>
      </w:r>
    </w:p>
    <w:p w14:paraId="3C1D4791" w14:textId="77777777" w:rsidR="0090133B" w:rsidRPr="00DE2CF7" w:rsidRDefault="0090133B" w:rsidP="00DE2CF7">
      <w:pPr>
        <w:rPr>
          <w:szCs w:val="22"/>
          <w:lang w:val="sr-Latn-ME"/>
        </w:rPr>
      </w:pPr>
    </w:p>
    <w:p w14:paraId="4A4F54F3" w14:textId="77777777" w:rsidR="0090133B" w:rsidRPr="00DE2CF7" w:rsidRDefault="0090133B" w:rsidP="00DE2CF7">
      <w:pPr>
        <w:rPr>
          <w:szCs w:val="22"/>
          <w:u w:val="single"/>
          <w:lang w:val="sr-Latn-ME"/>
        </w:rPr>
      </w:pPr>
      <w:r w:rsidRPr="00DE2CF7">
        <w:rPr>
          <w:szCs w:val="22"/>
          <w:u w:val="single"/>
          <w:lang w:val="sr-Latn-ME"/>
        </w:rPr>
        <w:t>Mehanizam dejstva</w:t>
      </w:r>
    </w:p>
    <w:p w14:paraId="607ACEDC" w14:textId="77777777" w:rsidR="005A4604" w:rsidRPr="00DE2CF7" w:rsidRDefault="005A4604" w:rsidP="00DE2CF7">
      <w:pPr>
        <w:rPr>
          <w:szCs w:val="22"/>
          <w:u w:val="single"/>
          <w:lang w:val="sr-Latn-ME"/>
        </w:rPr>
      </w:pPr>
    </w:p>
    <w:p w14:paraId="625EACEE" w14:textId="77777777" w:rsidR="005A4604" w:rsidRPr="00DE2CF7" w:rsidRDefault="0090133B" w:rsidP="00DE2CF7">
      <w:pPr>
        <w:rPr>
          <w:szCs w:val="22"/>
          <w:lang w:val="sr-Latn-ME"/>
        </w:rPr>
      </w:pPr>
      <w:r w:rsidRPr="00DE2CF7">
        <w:rPr>
          <w:szCs w:val="22"/>
          <w:lang w:val="sr-Latn-ME"/>
        </w:rPr>
        <w:t xml:space="preserve">Bosentan je dvostruki antagonista receptora za endotelin (engl. </w:t>
      </w:r>
      <w:r w:rsidRPr="00DE2CF7">
        <w:rPr>
          <w:i/>
          <w:szCs w:val="22"/>
          <w:lang w:val="sr-Latn-ME"/>
        </w:rPr>
        <w:t>endothelin receptor antagonist</w:t>
      </w:r>
      <w:r w:rsidRPr="00DE2CF7">
        <w:rPr>
          <w:szCs w:val="22"/>
          <w:lang w:val="sr-Latn-ME"/>
        </w:rPr>
        <w:t>, ERA) sa</w:t>
      </w:r>
      <w:r w:rsidR="005A4604" w:rsidRPr="00DE2CF7">
        <w:rPr>
          <w:szCs w:val="22"/>
          <w:lang w:val="sr-Latn-ME"/>
        </w:rPr>
        <w:t xml:space="preserve"> </w:t>
      </w:r>
      <w:r w:rsidRPr="00DE2CF7">
        <w:rPr>
          <w:szCs w:val="22"/>
          <w:lang w:val="sr-Latn-ME"/>
        </w:rPr>
        <w:t>afinitetom za oba tipa receptora za endotelin, A i B (ET</w:t>
      </w:r>
      <w:r w:rsidRPr="00DE2CF7">
        <w:rPr>
          <w:szCs w:val="22"/>
          <w:vertAlign w:val="subscript"/>
          <w:lang w:val="sr-Latn-ME"/>
        </w:rPr>
        <w:t>A</w:t>
      </w:r>
      <w:r w:rsidRPr="00DE2CF7">
        <w:rPr>
          <w:szCs w:val="22"/>
          <w:lang w:val="sr-Latn-ME"/>
        </w:rPr>
        <w:t xml:space="preserve"> i ET</w:t>
      </w:r>
      <w:r w:rsidRPr="00DE2CF7">
        <w:rPr>
          <w:szCs w:val="22"/>
          <w:vertAlign w:val="subscript"/>
          <w:lang w:val="sr-Latn-ME"/>
        </w:rPr>
        <w:t>B</w:t>
      </w:r>
      <w:r w:rsidRPr="00DE2CF7">
        <w:rPr>
          <w:szCs w:val="22"/>
          <w:lang w:val="sr-Latn-ME"/>
        </w:rPr>
        <w:t>). Bosentan smanjuje i plućni i sistemski vaskularni otpor</w:t>
      </w:r>
      <w:r w:rsidR="004C4D48" w:rsidRPr="00DE2CF7">
        <w:rPr>
          <w:szCs w:val="22"/>
          <w:lang w:val="sr-Latn-ME"/>
        </w:rPr>
        <w:t>,</w:t>
      </w:r>
      <w:r w:rsidRPr="00DE2CF7">
        <w:rPr>
          <w:szCs w:val="22"/>
          <w:lang w:val="sr-Latn-ME"/>
        </w:rPr>
        <w:t xml:space="preserve"> što dovodi do povećanja minutnog volumena srca bez povećanja srčane frekvencije.</w:t>
      </w:r>
    </w:p>
    <w:p w14:paraId="651D0C96" w14:textId="77777777" w:rsidR="005A4604" w:rsidRPr="00DE2CF7" w:rsidRDefault="005A4604" w:rsidP="00DE2CF7">
      <w:pPr>
        <w:rPr>
          <w:szCs w:val="22"/>
          <w:lang w:val="sr-Latn-ME"/>
        </w:rPr>
      </w:pPr>
    </w:p>
    <w:p w14:paraId="2678C670" w14:textId="77777777" w:rsidR="0090133B" w:rsidRPr="00DE2CF7" w:rsidRDefault="0090133B" w:rsidP="00DE2CF7">
      <w:pPr>
        <w:rPr>
          <w:szCs w:val="22"/>
          <w:lang w:val="sr-Latn-ME"/>
        </w:rPr>
      </w:pPr>
      <w:r w:rsidRPr="00DE2CF7">
        <w:rPr>
          <w:szCs w:val="22"/>
          <w:lang w:val="sr-Latn-ME"/>
        </w:rPr>
        <w:t>Neurohormon endotelin-1 (ET-1) je jedan od najjačih poznatih vazokonstriktora koji može da ubrza fibrozu, proliferaciju ćelija, hipertrofiju srca i remodelovanje, a d</w:t>
      </w:r>
      <w:r w:rsidR="004C4D48" w:rsidRPr="00DE2CF7">
        <w:rPr>
          <w:szCs w:val="22"/>
          <w:lang w:val="sr-Latn-ME"/>
        </w:rPr>
        <w:t>j</w:t>
      </w:r>
      <w:r w:rsidRPr="00DE2CF7">
        <w:rPr>
          <w:szCs w:val="22"/>
          <w:lang w:val="sr-Latn-ME"/>
        </w:rPr>
        <w:t>eluje i proinflamatorno. Ovi efekti su posredovani vezivanjem endotelina za ET</w:t>
      </w:r>
      <w:r w:rsidRPr="00DE2CF7">
        <w:rPr>
          <w:szCs w:val="22"/>
          <w:vertAlign w:val="subscript"/>
          <w:lang w:val="sr-Latn-ME"/>
        </w:rPr>
        <w:t>A</w:t>
      </w:r>
      <w:r w:rsidRPr="00DE2CF7">
        <w:rPr>
          <w:szCs w:val="22"/>
          <w:lang w:val="sr-Latn-ME"/>
        </w:rPr>
        <w:t xml:space="preserve"> i ET</w:t>
      </w:r>
      <w:r w:rsidRPr="00DE2CF7">
        <w:rPr>
          <w:szCs w:val="22"/>
          <w:vertAlign w:val="subscript"/>
          <w:lang w:val="sr-Latn-ME"/>
        </w:rPr>
        <w:t>B</w:t>
      </w:r>
      <w:r w:rsidRPr="00DE2CF7">
        <w:rPr>
          <w:szCs w:val="22"/>
          <w:lang w:val="sr-Latn-ME"/>
        </w:rPr>
        <w:t xml:space="preserve"> receptore lokalizovane u endotelu i vaskularnim glatkim mišićnim ćelijama. Koncentracija ET-1 u tkivima i plazmi je povećana u nekoliko kardiovaskularnih poremećaja i bolesti vezivnog tkiva, uključujući plućnu arterijsku hipertenziju, sklerodermiju, akutnu i hroničnu srčanu insuficijenciju, ishemiju miokarda, sistemsku hipertenziju i aterosklerozu, što ukazuje na patogenu ulogu ET-1 u ovim bolestima. Kod plućne arterijske hipertenzije i srčane insuficijencije, u odsustvu antagonizma na receptore za endotelin, povišene koncentracije ET-1 su strogo povezane sa težinom i prognozom ovih bolesti.</w:t>
      </w:r>
    </w:p>
    <w:p w14:paraId="02617867" w14:textId="77777777" w:rsidR="005A4604" w:rsidRPr="00DE2CF7" w:rsidRDefault="005A4604" w:rsidP="00DE2CF7">
      <w:pPr>
        <w:rPr>
          <w:szCs w:val="22"/>
          <w:lang w:val="sr-Latn-ME"/>
        </w:rPr>
      </w:pPr>
    </w:p>
    <w:p w14:paraId="7054C65B" w14:textId="77777777" w:rsidR="0090133B" w:rsidRPr="00DE2CF7" w:rsidRDefault="0090133B" w:rsidP="00DE2CF7">
      <w:pPr>
        <w:rPr>
          <w:szCs w:val="22"/>
          <w:lang w:val="sr-Latn-ME"/>
        </w:rPr>
      </w:pPr>
      <w:r w:rsidRPr="00DE2CF7">
        <w:rPr>
          <w:szCs w:val="22"/>
          <w:lang w:val="sr-Latn-ME"/>
        </w:rPr>
        <w:t>Bosentan je u kompeticiji sa ET-1 i drugim ET peptidima za vezivanje za oba receptora, ET</w:t>
      </w:r>
      <w:r w:rsidRPr="00DE2CF7">
        <w:rPr>
          <w:szCs w:val="22"/>
          <w:vertAlign w:val="subscript"/>
          <w:lang w:val="sr-Latn-ME"/>
        </w:rPr>
        <w:t>A</w:t>
      </w:r>
      <w:r w:rsidRPr="00DE2CF7">
        <w:rPr>
          <w:szCs w:val="22"/>
          <w:lang w:val="sr-Latn-ME"/>
        </w:rPr>
        <w:t xml:space="preserve"> i ET</w:t>
      </w:r>
      <w:r w:rsidRPr="00DE2CF7">
        <w:rPr>
          <w:szCs w:val="22"/>
          <w:vertAlign w:val="subscript"/>
          <w:lang w:val="sr-Latn-ME"/>
        </w:rPr>
        <w:t>B</w:t>
      </w:r>
      <w:r w:rsidRPr="00DE2CF7">
        <w:rPr>
          <w:szCs w:val="22"/>
          <w:lang w:val="sr-Latn-ME"/>
        </w:rPr>
        <w:t>, sa neznatno većim afinitetom za ET</w:t>
      </w:r>
      <w:r w:rsidRPr="00DE2CF7">
        <w:rPr>
          <w:szCs w:val="22"/>
          <w:vertAlign w:val="subscript"/>
          <w:lang w:val="sr-Latn-ME"/>
        </w:rPr>
        <w:t>A</w:t>
      </w:r>
      <w:r w:rsidRPr="00DE2CF7">
        <w:rPr>
          <w:szCs w:val="22"/>
          <w:lang w:val="sr-Latn-ME"/>
        </w:rPr>
        <w:t xml:space="preserve"> receptore (Ki = 4,1-43 nanomola) nego za ET</w:t>
      </w:r>
      <w:r w:rsidRPr="00DE2CF7">
        <w:rPr>
          <w:szCs w:val="22"/>
          <w:vertAlign w:val="subscript"/>
          <w:lang w:val="sr-Latn-ME"/>
        </w:rPr>
        <w:t>B</w:t>
      </w:r>
      <w:r w:rsidRPr="00DE2CF7">
        <w:rPr>
          <w:szCs w:val="22"/>
          <w:lang w:val="sr-Latn-ME"/>
        </w:rPr>
        <w:t xml:space="preserve"> receptore (Ki = 38-730 nanomola). Bosentan je specifičan antagonista ET receptora, tj. ne vezuje se za druge receptore.</w:t>
      </w:r>
    </w:p>
    <w:p w14:paraId="7F4A8113" w14:textId="77777777" w:rsidR="005A4604" w:rsidRPr="00DE2CF7" w:rsidRDefault="005A4604" w:rsidP="00DE2CF7">
      <w:pPr>
        <w:rPr>
          <w:szCs w:val="22"/>
          <w:u w:val="single"/>
          <w:lang w:val="sr-Latn-ME"/>
        </w:rPr>
      </w:pPr>
    </w:p>
    <w:p w14:paraId="6846BBF2" w14:textId="77777777" w:rsidR="0090133B" w:rsidRPr="00DE2CF7" w:rsidRDefault="0090133B" w:rsidP="00DE2CF7">
      <w:pPr>
        <w:rPr>
          <w:szCs w:val="22"/>
          <w:u w:val="single"/>
          <w:lang w:val="sr-Latn-ME"/>
        </w:rPr>
      </w:pPr>
      <w:r w:rsidRPr="00DE2CF7">
        <w:rPr>
          <w:szCs w:val="22"/>
          <w:u w:val="single"/>
          <w:lang w:val="sr-Latn-ME"/>
        </w:rPr>
        <w:t>Efikasnost</w:t>
      </w:r>
    </w:p>
    <w:p w14:paraId="7CA53177" w14:textId="77777777" w:rsidR="005A4604" w:rsidRPr="00DE2CF7" w:rsidRDefault="005A4604" w:rsidP="00DE2CF7">
      <w:pPr>
        <w:rPr>
          <w:szCs w:val="22"/>
          <w:lang w:val="sr-Latn-ME"/>
        </w:rPr>
      </w:pPr>
    </w:p>
    <w:p w14:paraId="68679A6A" w14:textId="77777777" w:rsidR="0090133B" w:rsidRPr="00DE2CF7" w:rsidRDefault="0099414A" w:rsidP="00DE2CF7">
      <w:pPr>
        <w:rPr>
          <w:i/>
          <w:szCs w:val="22"/>
          <w:lang w:val="sr-Latn-ME"/>
        </w:rPr>
      </w:pPr>
      <w:r w:rsidRPr="00DE2CF7">
        <w:rPr>
          <w:i/>
          <w:szCs w:val="22"/>
          <w:lang w:val="sr-Latn-ME"/>
        </w:rPr>
        <w:t xml:space="preserve">Životinjski </w:t>
      </w:r>
      <w:r w:rsidR="0090133B" w:rsidRPr="00DE2CF7">
        <w:rPr>
          <w:i/>
          <w:szCs w:val="22"/>
          <w:lang w:val="sr-Latn-ME"/>
        </w:rPr>
        <w:t>modeli</w:t>
      </w:r>
    </w:p>
    <w:p w14:paraId="699BBBD5" w14:textId="77777777" w:rsidR="0090133B" w:rsidRPr="00DE2CF7" w:rsidRDefault="0090133B" w:rsidP="00DE2CF7">
      <w:pPr>
        <w:rPr>
          <w:szCs w:val="22"/>
          <w:lang w:val="sr-Latn-ME"/>
        </w:rPr>
      </w:pPr>
      <w:r w:rsidRPr="00DE2CF7">
        <w:rPr>
          <w:szCs w:val="22"/>
          <w:lang w:val="sr-Latn-ME"/>
        </w:rPr>
        <w:t xml:space="preserve">U </w:t>
      </w:r>
      <w:r w:rsidR="0099414A" w:rsidRPr="00DE2CF7">
        <w:rPr>
          <w:szCs w:val="22"/>
          <w:lang w:val="sr-Latn-ME"/>
        </w:rPr>
        <w:t>životinjskim modelima</w:t>
      </w:r>
      <w:r w:rsidRPr="00DE2CF7">
        <w:rPr>
          <w:szCs w:val="22"/>
          <w:lang w:val="sr-Latn-ME"/>
        </w:rPr>
        <w:t xml:space="preserve"> plućne hipertenzije, bosentan je pri hroničnoj oralnoj prim</w:t>
      </w:r>
      <w:r w:rsidR="006E200E" w:rsidRPr="00DE2CF7">
        <w:rPr>
          <w:szCs w:val="22"/>
          <w:lang w:val="sr-Latn-ME"/>
        </w:rPr>
        <w:t>j</w:t>
      </w:r>
      <w:r w:rsidRPr="00DE2CF7">
        <w:rPr>
          <w:szCs w:val="22"/>
          <w:lang w:val="sr-Latn-ME"/>
        </w:rPr>
        <w:t xml:space="preserve">eni doveo do smanjenja plućnog vaskularnog otpora i vratio je u prethodno stanje plućnu vaskularnu hipertrofiju i hipertrofiju desne komore. U </w:t>
      </w:r>
      <w:r w:rsidR="0099414A" w:rsidRPr="00DE2CF7">
        <w:rPr>
          <w:szCs w:val="22"/>
          <w:lang w:val="sr-Latn-ME"/>
        </w:rPr>
        <w:t xml:space="preserve">životinjskim </w:t>
      </w:r>
      <w:r w:rsidRPr="00DE2CF7">
        <w:rPr>
          <w:szCs w:val="22"/>
          <w:lang w:val="sr-Latn-ME"/>
        </w:rPr>
        <w:t>modelima plućne fibroze, bosentan je smanjio deponovanje kolagena u plućima.</w:t>
      </w:r>
    </w:p>
    <w:p w14:paraId="1681C6BA" w14:textId="77777777" w:rsidR="005A4604" w:rsidRPr="00DE2CF7" w:rsidRDefault="005A4604" w:rsidP="00DE2CF7">
      <w:pPr>
        <w:rPr>
          <w:szCs w:val="22"/>
          <w:lang w:val="sr-Latn-ME"/>
        </w:rPr>
      </w:pPr>
    </w:p>
    <w:p w14:paraId="0BB19A13" w14:textId="77777777" w:rsidR="0087250B" w:rsidRDefault="0087250B" w:rsidP="00DE2CF7">
      <w:pPr>
        <w:rPr>
          <w:i/>
          <w:szCs w:val="22"/>
          <w:lang w:val="sr-Latn-ME"/>
        </w:rPr>
      </w:pPr>
    </w:p>
    <w:p w14:paraId="37708FD6" w14:textId="77777777" w:rsidR="0087250B" w:rsidRDefault="0087250B" w:rsidP="00DE2CF7">
      <w:pPr>
        <w:rPr>
          <w:i/>
          <w:szCs w:val="22"/>
          <w:lang w:val="sr-Latn-ME"/>
        </w:rPr>
      </w:pPr>
    </w:p>
    <w:p w14:paraId="744AE2C6" w14:textId="77777777" w:rsidR="0090133B" w:rsidRPr="00DE2CF7" w:rsidRDefault="0090133B" w:rsidP="00DE2CF7">
      <w:pPr>
        <w:rPr>
          <w:i/>
          <w:szCs w:val="22"/>
          <w:lang w:val="sr-Latn-ME"/>
        </w:rPr>
      </w:pPr>
      <w:r w:rsidRPr="00DE2CF7">
        <w:rPr>
          <w:i/>
          <w:szCs w:val="22"/>
          <w:lang w:val="sr-Latn-ME"/>
        </w:rPr>
        <w:lastRenderedPageBreak/>
        <w:t>Efikasnost kod odraslih pacijenata sa plućnom arterijskom hipertenzijom</w:t>
      </w:r>
    </w:p>
    <w:p w14:paraId="77EAC48E" w14:textId="77777777" w:rsidR="0090133B" w:rsidRPr="00DE2CF7" w:rsidRDefault="0036723C" w:rsidP="00DE2CF7">
      <w:pPr>
        <w:rPr>
          <w:szCs w:val="22"/>
          <w:lang w:val="sr-Latn-ME"/>
        </w:rPr>
      </w:pPr>
      <w:r w:rsidRPr="00DE2CF7">
        <w:rPr>
          <w:szCs w:val="22"/>
          <w:lang w:val="sr-Latn-ME"/>
        </w:rPr>
        <w:t>Dvije</w:t>
      </w:r>
      <w:r w:rsidR="0090133B" w:rsidRPr="00DE2CF7">
        <w:rPr>
          <w:szCs w:val="22"/>
          <w:lang w:val="sr-Latn-ME"/>
        </w:rPr>
        <w:t xml:space="preserve"> randomizovane, dvostruko-sl</w:t>
      </w:r>
      <w:r w:rsidR="002407A5" w:rsidRPr="00DE2CF7">
        <w:rPr>
          <w:szCs w:val="22"/>
          <w:lang w:val="sr-Latn-ME"/>
        </w:rPr>
        <w:t>ij</w:t>
      </w:r>
      <w:r w:rsidR="0090133B" w:rsidRPr="00DE2CF7">
        <w:rPr>
          <w:szCs w:val="22"/>
          <w:lang w:val="sr-Latn-ME"/>
        </w:rPr>
        <w:t xml:space="preserve">epe, multicentrične, placebom kontrolisane studije su bile sprovedene na 32 (studija AC-052-351) i 213 (studija AC-052-352 [BREATHE-1]) odraslih pacijenata sa SZO funkcionalnom klasom III-IV plućne arterijske hipertenzije (primarna plućna hipertenzija ili plućna hipertenzija uglavnom kao </w:t>
      </w:r>
      <w:r w:rsidR="007453E0" w:rsidRPr="00DE2CF7">
        <w:rPr>
          <w:szCs w:val="22"/>
          <w:lang w:val="sr-Latn-ME"/>
        </w:rPr>
        <w:t>posljed</w:t>
      </w:r>
      <w:r w:rsidR="0090133B" w:rsidRPr="00DE2CF7">
        <w:rPr>
          <w:szCs w:val="22"/>
          <w:lang w:val="sr-Latn-ME"/>
        </w:rPr>
        <w:t xml:space="preserve">ica sklerodermije). </w:t>
      </w:r>
      <w:r w:rsidR="00F32ACD" w:rsidRPr="00DE2CF7">
        <w:rPr>
          <w:szCs w:val="22"/>
          <w:lang w:val="sr-Latn-ME"/>
        </w:rPr>
        <w:t xml:space="preserve">Nakon </w:t>
      </w:r>
      <w:r w:rsidR="0090133B" w:rsidRPr="00DE2CF7">
        <w:rPr>
          <w:szCs w:val="22"/>
          <w:lang w:val="sr-Latn-ME"/>
        </w:rPr>
        <w:t xml:space="preserve">4 </w:t>
      </w:r>
      <w:r w:rsidR="001165AF" w:rsidRPr="00DE2CF7">
        <w:rPr>
          <w:szCs w:val="22"/>
          <w:lang w:val="sr-Latn-ME"/>
        </w:rPr>
        <w:t>nedjelje</w:t>
      </w:r>
      <w:r w:rsidR="0090133B" w:rsidRPr="00DE2CF7">
        <w:rPr>
          <w:szCs w:val="22"/>
          <w:lang w:val="sr-Latn-ME"/>
        </w:rPr>
        <w:t xml:space="preserve"> </w:t>
      </w:r>
      <w:r w:rsidR="004374E0" w:rsidRPr="00DE2CF7">
        <w:rPr>
          <w:szCs w:val="22"/>
          <w:lang w:val="sr-Latn-ME"/>
        </w:rPr>
        <w:t xml:space="preserve">primjene </w:t>
      </w:r>
      <w:r w:rsidR="0090133B" w:rsidRPr="00DE2CF7">
        <w:rPr>
          <w:szCs w:val="22"/>
          <w:lang w:val="sr-Latn-ME"/>
        </w:rPr>
        <w:t>bosentana od 62,5 mg dva puta dnevno, doze održavanja ispitivane u ovim studijama bile su: 125 mg dva puta dnevno u studiji AC-052-351</w:t>
      </w:r>
      <w:r w:rsidR="00763E61" w:rsidRPr="00DE2CF7">
        <w:rPr>
          <w:szCs w:val="22"/>
          <w:lang w:val="sr-Latn-ME"/>
        </w:rPr>
        <w:t>,</w:t>
      </w:r>
      <w:r w:rsidR="0090133B" w:rsidRPr="00DE2CF7">
        <w:rPr>
          <w:szCs w:val="22"/>
          <w:lang w:val="sr-Latn-ME"/>
        </w:rPr>
        <w:t xml:space="preserve"> i 125 </w:t>
      </w:r>
      <w:r w:rsidR="00B8573F" w:rsidRPr="00DE2CF7">
        <w:rPr>
          <w:szCs w:val="22"/>
          <w:lang w:val="sr-Latn-ME"/>
        </w:rPr>
        <w:t xml:space="preserve">mg dva puta dnevno </w:t>
      </w:r>
      <w:r w:rsidR="0090133B" w:rsidRPr="00DE2CF7">
        <w:rPr>
          <w:szCs w:val="22"/>
          <w:lang w:val="sr-Latn-ME"/>
        </w:rPr>
        <w:t>i 250 mg dva puta dnevno u studiji AC-052-352.</w:t>
      </w:r>
    </w:p>
    <w:p w14:paraId="04837AE5" w14:textId="77777777" w:rsidR="005A4604" w:rsidRPr="00DE2CF7" w:rsidRDefault="005A4604" w:rsidP="00DE2CF7">
      <w:pPr>
        <w:rPr>
          <w:szCs w:val="22"/>
          <w:lang w:val="sr-Latn-ME"/>
        </w:rPr>
      </w:pPr>
    </w:p>
    <w:p w14:paraId="430E47AE" w14:textId="77777777" w:rsidR="0090133B" w:rsidRPr="00DE2CF7" w:rsidRDefault="0090133B" w:rsidP="00DE2CF7">
      <w:pPr>
        <w:rPr>
          <w:szCs w:val="22"/>
          <w:lang w:val="sr-Latn-ME"/>
        </w:rPr>
      </w:pPr>
      <w:r w:rsidRPr="00DE2CF7">
        <w:rPr>
          <w:szCs w:val="22"/>
          <w:lang w:val="sr-Latn-ME"/>
        </w:rPr>
        <w:t xml:space="preserve">Bosentan je dodat terapiji koju su u tom trenutku pacijenti uzimali, a u koju su mogli biti uključeni: </w:t>
      </w:r>
      <w:r w:rsidR="00DC30E1" w:rsidRPr="00DE2CF7">
        <w:rPr>
          <w:szCs w:val="22"/>
          <w:lang w:val="sr-Latn-ME"/>
        </w:rPr>
        <w:t>a</w:t>
      </w:r>
      <w:r w:rsidRPr="00DE2CF7">
        <w:rPr>
          <w:szCs w:val="22"/>
          <w:lang w:val="sr-Latn-ME"/>
        </w:rPr>
        <w:t>ntikoagulansi, vazodilatatori (npr. blokatori kalcijumovih kanala), diuretici, kiseonik i digoksin i njihove kombinacije, ali ne i epoprostenol. Kontrola je bila placebo zajedno sa trenutnom terapijom.</w:t>
      </w:r>
    </w:p>
    <w:p w14:paraId="15E0C9A9" w14:textId="77777777" w:rsidR="0090133B" w:rsidRPr="00DE2CF7" w:rsidRDefault="0090133B" w:rsidP="00DE2CF7">
      <w:pPr>
        <w:rPr>
          <w:szCs w:val="22"/>
          <w:lang w:val="sr-Latn-ME"/>
        </w:rPr>
      </w:pPr>
      <w:r w:rsidRPr="00DE2CF7">
        <w:rPr>
          <w:szCs w:val="22"/>
          <w:lang w:val="sr-Latn-ME"/>
        </w:rPr>
        <w:t>Primarni parametar praćenja ishoda u ob</w:t>
      </w:r>
      <w:r w:rsidR="002407A5" w:rsidRPr="00DE2CF7">
        <w:rPr>
          <w:szCs w:val="22"/>
          <w:lang w:val="sr-Latn-ME"/>
        </w:rPr>
        <w:t>j</w:t>
      </w:r>
      <w:r w:rsidRPr="00DE2CF7">
        <w:rPr>
          <w:szCs w:val="22"/>
          <w:lang w:val="sr-Latn-ME"/>
        </w:rPr>
        <w:t>e studije bio je prom</w:t>
      </w:r>
      <w:r w:rsidR="002407A5" w:rsidRPr="00DE2CF7">
        <w:rPr>
          <w:szCs w:val="22"/>
          <w:lang w:val="sr-Latn-ME"/>
        </w:rPr>
        <w:t>j</w:t>
      </w:r>
      <w:r w:rsidRPr="00DE2CF7">
        <w:rPr>
          <w:szCs w:val="22"/>
          <w:lang w:val="sr-Latn-ME"/>
        </w:rPr>
        <w:t xml:space="preserve">ena u pređenom putu nakon 6 minuta, </w:t>
      </w:r>
      <w:r w:rsidR="00F32ACD" w:rsidRPr="00DE2CF7">
        <w:rPr>
          <w:szCs w:val="22"/>
          <w:lang w:val="sr-Latn-ME"/>
        </w:rPr>
        <w:t xml:space="preserve">nakon </w:t>
      </w:r>
      <w:r w:rsidRPr="00DE2CF7">
        <w:rPr>
          <w:szCs w:val="22"/>
          <w:lang w:val="sr-Latn-ME"/>
        </w:rPr>
        <w:t xml:space="preserve">12 </w:t>
      </w:r>
      <w:r w:rsidR="003E63C6" w:rsidRPr="00DE2CF7">
        <w:rPr>
          <w:szCs w:val="22"/>
          <w:lang w:val="sr-Latn-ME"/>
        </w:rPr>
        <w:t>nedjelja</w:t>
      </w:r>
      <w:r w:rsidRPr="00DE2CF7">
        <w:rPr>
          <w:szCs w:val="22"/>
          <w:lang w:val="sr-Latn-ME"/>
        </w:rPr>
        <w:t xml:space="preserve"> terapije u prvoj studiji i </w:t>
      </w:r>
      <w:r w:rsidR="003E63C6" w:rsidRPr="00DE2CF7">
        <w:rPr>
          <w:szCs w:val="22"/>
          <w:lang w:val="sr-Latn-ME"/>
        </w:rPr>
        <w:t>posl</w:t>
      </w:r>
      <w:r w:rsidR="00C41DB7" w:rsidRPr="00DE2CF7">
        <w:rPr>
          <w:szCs w:val="22"/>
          <w:lang w:val="sr-Latn-ME"/>
        </w:rPr>
        <w:t>i</w:t>
      </w:r>
      <w:r w:rsidR="003E63C6" w:rsidRPr="00DE2CF7">
        <w:rPr>
          <w:szCs w:val="22"/>
          <w:lang w:val="sr-Latn-ME"/>
        </w:rPr>
        <w:t xml:space="preserve">je </w:t>
      </w:r>
      <w:r w:rsidRPr="00DE2CF7">
        <w:rPr>
          <w:szCs w:val="22"/>
          <w:lang w:val="sr-Latn-ME"/>
        </w:rPr>
        <w:t xml:space="preserve">16 </w:t>
      </w:r>
      <w:r w:rsidR="003E63C6" w:rsidRPr="00DE2CF7">
        <w:rPr>
          <w:szCs w:val="22"/>
          <w:lang w:val="sr-Latn-ME"/>
        </w:rPr>
        <w:t>nedjelja</w:t>
      </w:r>
      <w:r w:rsidRPr="00DE2CF7">
        <w:rPr>
          <w:szCs w:val="22"/>
          <w:lang w:val="sr-Latn-ME"/>
        </w:rPr>
        <w:t xml:space="preserve"> u drugoj studiji. U ob</w:t>
      </w:r>
      <w:r w:rsidR="002407A5" w:rsidRPr="00DE2CF7">
        <w:rPr>
          <w:szCs w:val="22"/>
          <w:lang w:val="sr-Latn-ME"/>
        </w:rPr>
        <w:t>j</w:t>
      </w:r>
      <w:r w:rsidRPr="00DE2CF7">
        <w:rPr>
          <w:szCs w:val="22"/>
          <w:lang w:val="sr-Latn-ME"/>
        </w:rPr>
        <w:t xml:space="preserve">e studije </w:t>
      </w:r>
      <w:r w:rsidR="007453E0" w:rsidRPr="00DE2CF7">
        <w:rPr>
          <w:szCs w:val="22"/>
          <w:lang w:val="sr-Latn-ME"/>
        </w:rPr>
        <w:t>liječenj</w:t>
      </w:r>
      <w:r w:rsidRPr="00DE2CF7">
        <w:rPr>
          <w:szCs w:val="22"/>
          <w:lang w:val="sr-Latn-ME"/>
        </w:rPr>
        <w:t xml:space="preserve">e bosentanom dovelo je do značajnog povećanja </w:t>
      </w:r>
      <w:r w:rsidR="00E7179C" w:rsidRPr="00DE2CF7">
        <w:rPr>
          <w:szCs w:val="22"/>
          <w:lang w:val="sr-Latn-ME"/>
        </w:rPr>
        <w:t>fizičke sposobnosti</w:t>
      </w:r>
      <w:r w:rsidRPr="00DE2CF7">
        <w:rPr>
          <w:szCs w:val="22"/>
          <w:lang w:val="sr-Latn-ME"/>
        </w:rPr>
        <w:t xml:space="preserve">. Povećanja </w:t>
      </w:r>
      <w:r w:rsidR="00E7179C" w:rsidRPr="00DE2CF7">
        <w:rPr>
          <w:szCs w:val="22"/>
          <w:lang w:val="sr-Latn-ME"/>
        </w:rPr>
        <w:t xml:space="preserve">u udaljenosti </w:t>
      </w:r>
      <w:r w:rsidRPr="00DE2CF7">
        <w:rPr>
          <w:szCs w:val="22"/>
          <w:lang w:val="sr-Latn-ME"/>
        </w:rPr>
        <w:t>pređeno</w:t>
      </w:r>
      <w:r w:rsidR="00E7179C" w:rsidRPr="00DE2CF7">
        <w:rPr>
          <w:szCs w:val="22"/>
          <w:lang w:val="sr-Latn-ME"/>
        </w:rPr>
        <w:t xml:space="preserve">j </w:t>
      </w:r>
      <w:r w:rsidR="009D738B" w:rsidRPr="00DE2CF7">
        <w:rPr>
          <w:szCs w:val="22"/>
          <w:lang w:val="sr-Latn-ME"/>
        </w:rPr>
        <w:t>hodanjem u</w:t>
      </w:r>
      <w:r w:rsidRPr="00DE2CF7">
        <w:rPr>
          <w:szCs w:val="22"/>
          <w:lang w:val="sr-Latn-ME"/>
        </w:rPr>
        <w:t xml:space="preserve"> odnosu na početnu vr</w:t>
      </w:r>
      <w:r w:rsidR="002407A5" w:rsidRPr="00DE2CF7">
        <w:rPr>
          <w:szCs w:val="22"/>
          <w:lang w:val="sr-Latn-ME"/>
        </w:rPr>
        <w:t>ij</w:t>
      </w:r>
      <w:r w:rsidRPr="00DE2CF7">
        <w:rPr>
          <w:szCs w:val="22"/>
          <w:lang w:val="sr-Latn-ME"/>
        </w:rPr>
        <w:t>ednost ispravljena s obzirom na placebo iznosila su 76 metara (p= 0,02; t-test) u studiji AC-052-351</w:t>
      </w:r>
      <w:r w:rsidR="00763E61" w:rsidRPr="00DE2CF7">
        <w:rPr>
          <w:szCs w:val="22"/>
          <w:lang w:val="sr-Latn-ME"/>
        </w:rPr>
        <w:t>,</w:t>
      </w:r>
      <w:r w:rsidRPr="00DE2CF7">
        <w:rPr>
          <w:szCs w:val="22"/>
          <w:lang w:val="sr-Latn-ME"/>
        </w:rPr>
        <w:t xml:space="preserve"> i 44 metra (p= 0,0002; </w:t>
      </w:r>
      <w:r w:rsidRPr="00DE2CF7">
        <w:rPr>
          <w:i/>
          <w:szCs w:val="22"/>
          <w:lang w:val="sr-Latn-ME"/>
        </w:rPr>
        <w:t>Mann-Whitney</w:t>
      </w:r>
      <w:r w:rsidRPr="00DE2CF7">
        <w:rPr>
          <w:szCs w:val="22"/>
          <w:lang w:val="sr-Latn-ME"/>
        </w:rPr>
        <w:t xml:space="preserve"> U test) u studiji AC-052-352. Razlike između </w:t>
      </w:r>
      <w:r w:rsidR="0036723C" w:rsidRPr="00DE2CF7">
        <w:rPr>
          <w:szCs w:val="22"/>
          <w:lang w:val="sr-Latn-ME"/>
        </w:rPr>
        <w:t>dvije</w:t>
      </w:r>
      <w:r w:rsidRPr="00DE2CF7">
        <w:rPr>
          <w:szCs w:val="22"/>
          <w:lang w:val="sr-Latn-ME"/>
        </w:rPr>
        <w:t xml:space="preserve"> grupe, 125 mg dva puta dnevno i 250 mg dva puta dnevno, nisu bile statistički značajne</w:t>
      </w:r>
      <w:r w:rsidR="00DC30E1" w:rsidRPr="00DE2CF7">
        <w:rPr>
          <w:szCs w:val="22"/>
          <w:lang w:val="sr-Latn-ME"/>
        </w:rPr>
        <w:t>,</w:t>
      </w:r>
      <w:r w:rsidRPr="00DE2CF7">
        <w:rPr>
          <w:szCs w:val="22"/>
          <w:lang w:val="sr-Latn-ME"/>
        </w:rPr>
        <w:t xml:space="preserve"> ali postignut je nešto bolji kapacitet za v</w:t>
      </w:r>
      <w:r w:rsidR="00763E61" w:rsidRPr="00DE2CF7">
        <w:rPr>
          <w:szCs w:val="22"/>
          <w:lang w:val="sr-Latn-ME"/>
        </w:rPr>
        <w:t>j</w:t>
      </w:r>
      <w:r w:rsidRPr="00DE2CF7">
        <w:rPr>
          <w:szCs w:val="22"/>
          <w:lang w:val="sr-Latn-ME"/>
        </w:rPr>
        <w:t>ežbanje u grupi koja je dobijala 250 mg dva puta dnevno.</w:t>
      </w:r>
    </w:p>
    <w:p w14:paraId="6BA51E00" w14:textId="77777777" w:rsidR="005A4604" w:rsidRPr="00DE2CF7" w:rsidRDefault="005A4604" w:rsidP="00DE2CF7">
      <w:pPr>
        <w:rPr>
          <w:szCs w:val="22"/>
          <w:lang w:val="sr-Latn-ME"/>
        </w:rPr>
      </w:pPr>
    </w:p>
    <w:p w14:paraId="387CDC63" w14:textId="77777777" w:rsidR="0090133B" w:rsidRPr="00DE2CF7" w:rsidRDefault="0090133B" w:rsidP="00DE2CF7">
      <w:pPr>
        <w:rPr>
          <w:szCs w:val="22"/>
          <w:lang w:val="sr-Latn-ME"/>
        </w:rPr>
      </w:pPr>
      <w:r w:rsidRPr="00DE2CF7">
        <w:rPr>
          <w:szCs w:val="22"/>
          <w:lang w:val="sr-Latn-ME"/>
        </w:rPr>
        <w:t xml:space="preserve">Povećanje pređenog puta bilo je vidljivo nakon 4 </w:t>
      </w:r>
      <w:r w:rsidR="001165AF" w:rsidRPr="00DE2CF7">
        <w:rPr>
          <w:szCs w:val="22"/>
          <w:lang w:val="sr-Latn-ME"/>
        </w:rPr>
        <w:t>nedjelje</w:t>
      </w:r>
      <w:r w:rsidRPr="00DE2CF7">
        <w:rPr>
          <w:szCs w:val="22"/>
          <w:lang w:val="sr-Latn-ME"/>
        </w:rPr>
        <w:t xml:space="preserve"> </w:t>
      </w:r>
      <w:r w:rsidR="007453E0" w:rsidRPr="00DE2CF7">
        <w:rPr>
          <w:szCs w:val="22"/>
          <w:lang w:val="sr-Latn-ME"/>
        </w:rPr>
        <w:t>liječenj</w:t>
      </w:r>
      <w:r w:rsidRPr="00DE2CF7">
        <w:rPr>
          <w:szCs w:val="22"/>
          <w:lang w:val="sr-Latn-ME"/>
        </w:rPr>
        <w:t xml:space="preserve">a a bilo je jasno uočljivo nakon 8 </w:t>
      </w:r>
      <w:r w:rsidR="003E63C6" w:rsidRPr="00DE2CF7">
        <w:rPr>
          <w:szCs w:val="22"/>
          <w:lang w:val="sr-Latn-ME"/>
        </w:rPr>
        <w:t>nedjelja</w:t>
      </w:r>
      <w:r w:rsidRPr="00DE2CF7">
        <w:rPr>
          <w:szCs w:val="22"/>
          <w:lang w:val="sr-Latn-ME"/>
        </w:rPr>
        <w:t xml:space="preserve"> </w:t>
      </w:r>
      <w:r w:rsidR="007453E0" w:rsidRPr="00DE2CF7">
        <w:rPr>
          <w:szCs w:val="22"/>
          <w:lang w:val="sr-Latn-ME"/>
        </w:rPr>
        <w:t>liječenj</w:t>
      </w:r>
      <w:r w:rsidRPr="00DE2CF7">
        <w:rPr>
          <w:szCs w:val="22"/>
          <w:lang w:val="sr-Latn-ME"/>
        </w:rPr>
        <w:t xml:space="preserve">a, i bilo je održavano tokom 28 </w:t>
      </w:r>
      <w:r w:rsidR="003E63C6" w:rsidRPr="00DE2CF7">
        <w:rPr>
          <w:szCs w:val="22"/>
          <w:lang w:val="sr-Latn-ME"/>
        </w:rPr>
        <w:t>nedjelja</w:t>
      </w:r>
      <w:r w:rsidR="00D2364C" w:rsidRPr="00DE2CF7">
        <w:rPr>
          <w:szCs w:val="22"/>
          <w:lang w:val="sr-Latn-ME"/>
        </w:rPr>
        <w:t xml:space="preserve"> trajanja dvostruko </w:t>
      </w:r>
      <w:r w:rsidRPr="00DE2CF7">
        <w:rPr>
          <w:szCs w:val="22"/>
          <w:lang w:val="sr-Latn-ME"/>
        </w:rPr>
        <w:t>sl</w:t>
      </w:r>
      <w:r w:rsidR="00D2364C" w:rsidRPr="00DE2CF7">
        <w:rPr>
          <w:szCs w:val="22"/>
          <w:lang w:val="sr-Latn-ME"/>
        </w:rPr>
        <w:t>ij</w:t>
      </w:r>
      <w:r w:rsidRPr="00DE2CF7">
        <w:rPr>
          <w:szCs w:val="22"/>
          <w:lang w:val="sr-Latn-ME"/>
        </w:rPr>
        <w:t xml:space="preserve">epog </w:t>
      </w:r>
      <w:r w:rsidR="007453E0" w:rsidRPr="00DE2CF7">
        <w:rPr>
          <w:szCs w:val="22"/>
          <w:lang w:val="sr-Latn-ME"/>
        </w:rPr>
        <w:t>liječenj</w:t>
      </w:r>
      <w:r w:rsidRPr="00DE2CF7">
        <w:rPr>
          <w:szCs w:val="22"/>
          <w:lang w:val="sr-Latn-ME"/>
        </w:rPr>
        <w:t>a u jednoj podgrupi populacije pacijenata.</w:t>
      </w:r>
    </w:p>
    <w:p w14:paraId="291F9B82" w14:textId="77777777" w:rsidR="005A4604" w:rsidRPr="00DE2CF7" w:rsidRDefault="005A4604" w:rsidP="00DE2CF7">
      <w:pPr>
        <w:rPr>
          <w:szCs w:val="22"/>
          <w:lang w:val="sr-Latn-ME"/>
        </w:rPr>
      </w:pPr>
    </w:p>
    <w:p w14:paraId="3C9D8007" w14:textId="77777777" w:rsidR="0090133B" w:rsidRPr="00DE2CF7" w:rsidRDefault="0090133B" w:rsidP="00DE2CF7">
      <w:pPr>
        <w:rPr>
          <w:szCs w:val="22"/>
          <w:lang w:val="sr-Latn-ME"/>
        </w:rPr>
      </w:pPr>
      <w:r w:rsidRPr="00DE2CF7">
        <w:rPr>
          <w:szCs w:val="22"/>
          <w:lang w:val="sr-Latn-ME"/>
        </w:rPr>
        <w:t>U retrospektivnoj analizi pacijenata koji su odgovorili na terapiju (responderi), a koja se zasnivala na prom</w:t>
      </w:r>
      <w:r w:rsidR="00D2364C" w:rsidRPr="00DE2CF7">
        <w:rPr>
          <w:szCs w:val="22"/>
          <w:lang w:val="sr-Latn-ME"/>
        </w:rPr>
        <w:t>j</w:t>
      </w:r>
      <w:r w:rsidRPr="00DE2CF7">
        <w:rPr>
          <w:szCs w:val="22"/>
          <w:lang w:val="sr-Latn-ME"/>
        </w:rPr>
        <w:t>enama u pređenom putu, SZO funkcionalnoj klasi i dispnei, kod 95 pacijenata koji su dobijali bosentan 125 mg dva puta dnevno, u randomizovanoj placebom kontrolisanoj studiji, ustanovljeno je da je u 8. ned</w:t>
      </w:r>
      <w:r w:rsidR="00763E61" w:rsidRPr="00DE2CF7">
        <w:rPr>
          <w:szCs w:val="22"/>
          <w:lang w:val="sr-Latn-ME"/>
        </w:rPr>
        <w:t>j</w:t>
      </w:r>
      <w:r w:rsidRPr="00DE2CF7">
        <w:rPr>
          <w:szCs w:val="22"/>
          <w:lang w:val="sr-Latn-ME"/>
        </w:rPr>
        <w:t>elji 66 pacijenata imalo poboljšanje, 22 je bilo stabilno</w:t>
      </w:r>
      <w:r w:rsidR="00763E61" w:rsidRPr="00DE2CF7">
        <w:rPr>
          <w:szCs w:val="22"/>
          <w:lang w:val="sr-Latn-ME"/>
        </w:rPr>
        <w:t>,</w:t>
      </w:r>
      <w:r w:rsidRPr="00DE2CF7">
        <w:rPr>
          <w:szCs w:val="22"/>
          <w:lang w:val="sr-Latn-ME"/>
        </w:rPr>
        <w:t xml:space="preserve"> a 7 je doživ</w:t>
      </w:r>
      <w:r w:rsidR="00763E61" w:rsidRPr="00DE2CF7">
        <w:rPr>
          <w:szCs w:val="22"/>
          <w:lang w:val="sr-Latn-ME"/>
        </w:rPr>
        <w:t>j</w:t>
      </w:r>
      <w:r w:rsidRPr="00DE2CF7">
        <w:rPr>
          <w:szCs w:val="22"/>
          <w:lang w:val="sr-Latn-ME"/>
        </w:rPr>
        <w:t xml:space="preserve">elo pogoršanje. Od 22 pacijenta čije je stanje bilo stabilno nakon 8 </w:t>
      </w:r>
      <w:r w:rsidR="003E63C6" w:rsidRPr="00DE2CF7">
        <w:rPr>
          <w:szCs w:val="22"/>
          <w:lang w:val="sr-Latn-ME"/>
        </w:rPr>
        <w:t>nedjelja</w:t>
      </w:r>
      <w:r w:rsidR="00763E61" w:rsidRPr="00DE2CF7">
        <w:rPr>
          <w:szCs w:val="22"/>
          <w:lang w:val="sr-Latn-ME"/>
        </w:rPr>
        <w:t>,</w:t>
      </w:r>
      <w:r w:rsidRPr="00DE2CF7">
        <w:rPr>
          <w:szCs w:val="22"/>
          <w:lang w:val="sr-Latn-ME"/>
        </w:rPr>
        <w:t xml:space="preserve"> kod njih 6 je došlo do poboljšanja u </w:t>
      </w:r>
      <w:r w:rsidR="003E63C6" w:rsidRPr="00DE2CF7">
        <w:rPr>
          <w:szCs w:val="22"/>
          <w:lang w:val="sr-Latn-ME"/>
        </w:rPr>
        <w:t>nedjelja</w:t>
      </w:r>
      <w:r w:rsidRPr="00DE2CF7">
        <w:rPr>
          <w:szCs w:val="22"/>
          <w:lang w:val="sr-Latn-ME"/>
        </w:rPr>
        <w:t>ma 12/16</w:t>
      </w:r>
      <w:r w:rsidR="00763E61" w:rsidRPr="00DE2CF7">
        <w:rPr>
          <w:szCs w:val="22"/>
          <w:lang w:val="sr-Latn-ME"/>
        </w:rPr>
        <w:t>,</w:t>
      </w:r>
      <w:r w:rsidRPr="00DE2CF7">
        <w:rPr>
          <w:szCs w:val="22"/>
          <w:lang w:val="sr-Latn-ME"/>
        </w:rPr>
        <w:t xml:space="preserve"> a kod 4 je došlo do pogoršanja u odnosu na početnu </w:t>
      </w:r>
      <w:r w:rsidR="002407A5" w:rsidRPr="00DE2CF7">
        <w:rPr>
          <w:szCs w:val="22"/>
          <w:lang w:val="sr-Latn-ME"/>
        </w:rPr>
        <w:t>vrijednost</w:t>
      </w:r>
      <w:r w:rsidRPr="00DE2CF7">
        <w:rPr>
          <w:szCs w:val="22"/>
          <w:lang w:val="sr-Latn-ME"/>
        </w:rPr>
        <w:t xml:space="preserve">. Od 7 pacijenata kod kojih je došlo do pogoršanja u 8. nedelji, kod njih 3 je došlo do poboljšanja u </w:t>
      </w:r>
      <w:r w:rsidR="00B8573F" w:rsidRPr="00DE2CF7">
        <w:rPr>
          <w:szCs w:val="22"/>
          <w:lang w:val="sr-Latn-ME"/>
        </w:rPr>
        <w:t xml:space="preserve">nedjeljama </w:t>
      </w:r>
      <w:r w:rsidRPr="00DE2CF7">
        <w:rPr>
          <w:szCs w:val="22"/>
          <w:lang w:val="sr-Latn-ME"/>
        </w:rPr>
        <w:t>12/16</w:t>
      </w:r>
      <w:r w:rsidR="00763E61" w:rsidRPr="00DE2CF7">
        <w:rPr>
          <w:szCs w:val="22"/>
          <w:lang w:val="sr-Latn-ME"/>
        </w:rPr>
        <w:t>,</w:t>
      </w:r>
      <w:r w:rsidRPr="00DE2CF7">
        <w:rPr>
          <w:szCs w:val="22"/>
          <w:lang w:val="sr-Latn-ME"/>
        </w:rPr>
        <w:t xml:space="preserve"> a kod 4 je došlo do pogoršanja u poređenju sa početnim </w:t>
      </w:r>
      <w:r w:rsidR="002407A5" w:rsidRPr="00DE2CF7">
        <w:rPr>
          <w:szCs w:val="22"/>
          <w:lang w:val="sr-Latn-ME"/>
        </w:rPr>
        <w:t>vrijednost</w:t>
      </w:r>
      <w:r w:rsidRPr="00DE2CF7">
        <w:rPr>
          <w:szCs w:val="22"/>
          <w:lang w:val="sr-Latn-ME"/>
        </w:rPr>
        <w:t>ima.</w:t>
      </w:r>
    </w:p>
    <w:p w14:paraId="0145500F" w14:textId="77777777" w:rsidR="0090133B" w:rsidRPr="00DE2CF7" w:rsidRDefault="0090133B" w:rsidP="00DE2CF7">
      <w:pPr>
        <w:rPr>
          <w:szCs w:val="22"/>
          <w:lang w:val="sr-Latn-ME"/>
        </w:rPr>
      </w:pPr>
    </w:p>
    <w:p w14:paraId="5B1CF5D0" w14:textId="77777777" w:rsidR="0090133B" w:rsidRPr="00DE2CF7" w:rsidRDefault="0090133B" w:rsidP="00DE2CF7">
      <w:pPr>
        <w:rPr>
          <w:szCs w:val="22"/>
          <w:lang w:val="sr-Latn-ME"/>
        </w:rPr>
      </w:pPr>
      <w:r w:rsidRPr="00DE2CF7">
        <w:rPr>
          <w:szCs w:val="22"/>
          <w:lang w:val="sr-Latn-ME"/>
        </w:rPr>
        <w:t xml:space="preserve">Invazivni hemodinamski parametri određeni su samo u prvoj studiji. </w:t>
      </w:r>
      <w:r w:rsidR="007453E0" w:rsidRPr="00DE2CF7">
        <w:rPr>
          <w:szCs w:val="22"/>
          <w:lang w:val="sr-Latn-ME"/>
        </w:rPr>
        <w:t>Liječenj</w:t>
      </w:r>
      <w:r w:rsidRPr="00DE2CF7">
        <w:rPr>
          <w:szCs w:val="22"/>
          <w:lang w:val="sr-Latn-ME"/>
        </w:rPr>
        <w:t>e bosentanom dovelo je do značajnog povećanja srčanog indeksa</w:t>
      </w:r>
      <w:r w:rsidR="00B8573F" w:rsidRPr="00DE2CF7">
        <w:rPr>
          <w:szCs w:val="22"/>
          <w:lang w:val="sr-Latn-ME"/>
        </w:rPr>
        <w:t>,</w:t>
      </w:r>
      <w:r w:rsidRPr="00DE2CF7">
        <w:rPr>
          <w:szCs w:val="22"/>
          <w:lang w:val="sr-Latn-ME"/>
        </w:rPr>
        <w:t xml:space="preserve"> što je bilo udruženo sa značajnim smanjenjem plućnog arterijskog pritiska, plućnog vaskularnog otpora i pros</w:t>
      </w:r>
      <w:r w:rsidR="00D601F5" w:rsidRPr="00DE2CF7">
        <w:rPr>
          <w:szCs w:val="22"/>
          <w:lang w:val="sr-Latn-ME"/>
        </w:rPr>
        <w:t>j</w:t>
      </w:r>
      <w:r w:rsidRPr="00DE2CF7">
        <w:rPr>
          <w:szCs w:val="22"/>
          <w:lang w:val="sr-Latn-ME"/>
        </w:rPr>
        <w:t>ečnog pritiska u desnoj pretkomori.</w:t>
      </w:r>
    </w:p>
    <w:p w14:paraId="010F0668" w14:textId="77777777" w:rsidR="0090133B" w:rsidRPr="00DE2CF7" w:rsidRDefault="0090133B" w:rsidP="00DE2CF7">
      <w:pPr>
        <w:rPr>
          <w:szCs w:val="22"/>
          <w:lang w:val="sr-Latn-ME"/>
        </w:rPr>
      </w:pPr>
      <w:r w:rsidRPr="00DE2CF7">
        <w:rPr>
          <w:szCs w:val="22"/>
          <w:lang w:val="sr-Latn-ME"/>
        </w:rPr>
        <w:t xml:space="preserve">Tokom </w:t>
      </w:r>
      <w:r w:rsidR="007453E0" w:rsidRPr="00DE2CF7">
        <w:rPr>
          <w:szCs w:val="22"/>
          <w:lang w:val="sr-Latn-ME"/>
        </w:rPr>
        <w:t>liječenj</w:t>
      </w:r>
      <w:r w:rsidRPr="00DE2CF7">
        <w:rPr>
          <w:szCs w:val="22"/>
          <w:lang w:val="sr-Latn-ME"/>
        </w:rPr>
        <w:t xml:space="preserve">a bosentanom uočeno je smanjenje simptoma plućne arterijske hipertenzije. </w:t>
      </w:r>
      <w:r w:rsidR="003E63C6" w:rsidRPr="00DE2CF7">
        <w:rPr>
          <w:szCs w:val="22"/>
          <w:lang w:val="sr-Latn-ME"/>
        </w:rPr>
        <w:t>Mjeren</w:t>
      </w:r>
      <w:r w:rsidRPr="00DE2CF7">
        <w:rPr>
          <w:szCs w:val="22"/>
          <w:lang w:val="sr-Latn-ME"/>
        </w:rPr>
        <w:t>je dispnee za</w:t>
      </w:r>
      <w:r w:rsidR="003E63C6" w:rsidRPr="00DE2CF7">
        <w:rPr>
          <w:szCs w:val="22"/>
          <w:lang w:val="sr-Latn-ME"/>
        </w:rPr>
        <w:t xml:space="preserve"> vrijeme </w:t>
      </w:r>
      <w:r w:rsidRPr="00DE2CF7">
        <w:rPr>
          <w:szCs w:val="22"/>
          <w:lang w:val="sr-Latn-ME"/>
        </w:rPr>
        <w:t>testa hodanja takođe je pokazalo da je došlo do poboljšanja kod pacijenata l</w:t>
      </w:r>
      <w:r w:rsidR="00D601F5" w:rsidRPr="00DE2CF7">
        <w:rPr>
          <w:szCs w:val="22"/>
          <w:lang w:val="sr-Latn-ME"/>
        </w:rPr>
        <w:t>ij</w:t>
      </w:r>
      <w:r w:rsidRPr="00DE2CF7">
        <w:rPr>
          <w:szCs w:val="22"/>
          <w:lang w:val="sr-Latn-ME"/>
        </w:rPr>
        <w:t>ečenih bosentanom. U AC-052-352 studiji, na početku terapije 92% od 213 pacijenata imalo je SZO funkcionalnu klasu III</w:t>
      </w:r>
      <w:r w:rsidR="00B8573F" w:rsidRPr="00DE2CF7">
        <w:rPr>
          <w:szCs w:val="22"/>
          <w:lang w:val="sr-Latn-ME"/>
        </w:rPr>
        <w:t>,</w:t>
      </w:r>
      <w:r w:rsidRPr="00DE2CF7">
        <w:rPr>
          <w:szCs w:val="22"/>
          <w:lang w:val="sr-Latn-ME"/>
        </w:rPr>
        <w:t xml:space="preserve"> a 8% klasu IV. </w:t>
      </w:r>
      <w:r w:rsidR="007453E0" w:rsidRPr="00DE2CF7">
        <w:rPr>
          <w:szCs w:val="22"/>
          <w:lang w:val="sr-Latn-ME"/>
        </w:rPr>
        <w:t>Liječenj</w:t>
      </w:r>
      <w:r w:rsidRPr="00DE2CF7">
        <w:rPr>
          <w:szCs w:val="22"/>
          <w:lang w:val="sr-Latn-ME"/>
        </w:rPr>
        <w:t xml:space="preserve">e bosentanom dovelo je do poboljšanja SZO funkcionalne klase kod 42,4% pacijenata (i </w:t>
      </w:r>
      <w:r w:rsidR="00B8573F" w:rsidRPr="00DE2CF7">
        <w:rPr>
          <w:szCs w:val="22"/>
          <w:lang w:val="sr-Latn-ME"/>
        </w:rPr>
        <w:t xml:space="preserve">kod </w:t>
      </w:r>
      <w:r w:rsidRPr="00DE2CF7">
        <w:rPr>
          <w:szCs w:val="22"/>
          <w:lang w:val="sr-Latn-ME"/>
        </w:rPr>
        <w:t>30,4% pacijenata koji su dobijali placebo). Ukupna prom</w:t>
      </w:r>
      <w:r w:rsidR="00B8573F" w:rsidRPr="00DE2CF7">
        <w:rPr>
          <w:szCs w:val="22"/>
          <w:lang w:val="sr-Latn-ME"/>
        </w:rPr>
        <w:t>j</w:t>
      </w:r>
      <w:r w:rsidRPr="00DE2CF7">
        <w:rPr>
          <w:szCs w:val="22"/>
          <w:lang w:val="sr-Latn-ME"/>
        </w:rPr>
        <w:t xml:space="preserve">ena SZO funkcionalne klase, u </w:t>
      </w:r>
      <w:r w:rsidR="002407A5" w:rsidRPr="00DE2CF7">
        <w:rPr>
          <w:szCs w:val="22"/>
          <w:lang w:val="sr-Latn-ME"/>
        </w:rPr>
        <w:t>obje</w:t>
      </w:r>
      <w:r w:rsidRPr="00DE2CF7">
        <w:rPr>
          <w:szCs w:val="22"/>
          <w:lang w:val="sr-Latn-ME"/>
        </w:rPr>
        <w:t xml:space="preserve"> studije, bila je značajno bolja kod pacijenata l</w:t>
      </w:r>
      <w:r w:rsidR="00B8573F" w:rsidRPr="00DE2CF7">
        <w:rPr>
          <w:szCs w:val="22"/>
          <w:lang w:val="sr-Latn-ME"/>
        </w:rPr>
        <w:t>ij</w:t>
      </w:r>
      <w:r w:rsidRPr="00DE2CF7">
        <w:rPr>
          <w:szCs w:val="22"/>
          <w:lang w:val="sr-Latn-ME"/>
        </w:rPr>
        <w:t xml:space="preserve">ečenih bosentanom, u poređenju sa onima koji su dobijali placebo. </w:t>
      </w:r>
      <w:r w:rsidR="007453E0" w:rsidRPr="00DE2CF7">
        <w:rPr>
          <w:szCs w:val="22"/>
          <w:lang w:val="sr-Latn-ME"/>
        </w:rPr>
        <w:t>Liječenj</w:t>
      </w:r>
      <w:r w:rsidRPr="00DE2CF7">
        <w:rPr>
          <w:szCs w:val="22"/>
          <w:lang w:val="sr-Latn-ME"/>
        </w:rPr>
        <w:t>e bosentanom bilo je udruženo sa značajnim smanjenjem brzine pogoršanja kliničke slike u 28</w:t>
      </w:r>
      <w:r w:rsidR="00D33A43" w:rsidRPr="00DE2CF7">
        <w:rPr>
          <w:szCs w:val="22"/>
          <w:lang w:val="sr-Latn-ME"/>
        </w:rPr>
        <w:t>.</w:t>
      </w:r>
      <w:r w:rsidRPr="00DE2CF7">
        <w:rPr>
          <w:szCs w:val="22"/>
          <w:lang w:val="sr-Latn-ME"/>
        </w:rPr>
        <w:t xml:space="preserve"> ned</w:t>
      </w:r>
      <w:r w:rsidR="00D33A43" w:rsidRPr="00DE2CF7">
        <w:rPr>
          <w:szCs w:val="22"/>
          <w:lang w:val="sr-Latn-ME"/>
        </w:rPr>
        <w:t>j</w:t>
      </w:r>
      <w:r w:rsidRPr="00DE2CF7">
        <w:rPr>
          <w:szCs w:val="22"/>
          <w:lang w:val="sr-Latn-ME"/>
        </w:rPr>
        <w:t>elji, u odnosu na placebo (10,7% u odnosu na 37,1%; p=0,0015).</w:t>
      </w:r>
    </w:p>
    <w:p w14:paraId="38757A8E" w14:textId="77777777" w:rsidR="0090133B" w:rsidRDefault="0090133B" w:rsidP="00DE2CF7">
      <w:pPr>
        <w:rPr>
          <w:szCs w:val="22"/>
          <w:lang w:val="sr-Latn-ME"/>
        </w:rPr>
      </w:pPr>
      <w:r w:rsidRPr="00DE2CF7">
        <w:rPr>
          <w:szCs w:val="22"/>
          <w:lang w:val="sr-Latn-ME"/>
        </w:rPr>
        <w:t>U randomizovanoj, dvostrukoj sl</w:t>
      </w:r>
      <w:r w:rsidR="00680A1B" w:rsidRPr="00DE2CF7">
        <w:rPr>
          <w:szCs w:val="22"/>
          <w:lang w:val="sr-Latn-ME"/>
        </w:rPr>
        <w:t>ij</w:t>
      </w:r>
      <w:r w:rsidRPr="00DE2CF7">
        <w:rPr>
          <w:szCs w:val="22"/>
          <w:lang w:val="sr-Latn-ME"/>
        </w:rPr>
        <w:t xml:space="preserve">epoj, multicentričnoj, placebom kontrolisanoj studiji (AC-052-364 [EARLY]), 185 PAH pacijenata SZO funkcionalne klase II (srednja početna </w:t>
      </w:r>
      <w:r w:rsidR="002407A5" w:rsidRPr="00DE2CF7">
        <w:rPr>
          <w:szCs w:val="22"/>
          <w:lang w:val="sr-Latn-ME"/>
        </w:rPr>
        <w:t>vrijednost</w:t>
      </w:r>
      <w:r w:rsidRPr="00DE2CF7">
        <w:rPr>
          <w:szCs w:val="22"/>
          <w:lang w:val="sr-Latn-ME"/>
        </w:rPr>
        <w:t xml:space="preserve"> </w:t>
      </w:r>
      <w:r w:rsidR="00680A1B" w:rsidRPr="00DE2CF7">
        <w:rPr>
          <w:szCs w:val="22"/>
          <w:lang w:val="sr-Latn-ME"/>
        </w:rPr>
        <w:t xml:space="preserve">udaljenosti </w:t>
      </w:r>
      <w:r w:rsidR="007C26FA" w:rsidRPr="00DE2CF7">
        <w:rPr>
          <w:szCs w:val="22"/>
          <w:lang w:val="sr-Latn-ME"/>
        </w:rPr>
        <w:t>pređene šestominutnim</w:t>
      </w:r>
      <w:r w:rsidRPr="00DE2CF7">
        <w:rPr>
          <w:szCs w:val="22"/>
          <w:lang w:val="sr-Latn-ME"/>
        </w:rPr>
        <w:t xml:space="preserve"> hodanjem od 435 metara) dobijalo je bosentan 62</w:t>
      </w:r>
      <w:r w:rsidR="00D33A43" w:rsidRPr="00DE2CF7">
        <w:rPr>
          <w:szCs w:val="22"/>
          <w:lang w:val="sr-Latn-ME"/>
        </w:rPr>
        <w:t>,</w:t>
      </w:r>
      <w:r w:rsidRPr="00DE2CF7">
        <w:rPr>
          <w:szCs w:val="22"/>
          <w:lang w:val="sr-Latn-ME"/>
        </w:rPr>
        <w:t xml:space="preserve">5 mg dva puta dnevno tokom 4 </w:t>
      </w:r>
      <w:r w:rsidR="001165AF" w:rsidRPr="00DE2CF7">
        <w:rPr>
          <w:szCs w:val="22"/>
          <w:lang w:val="sr-Latn-ME"/>
        </w:rPr>
        <w:t>nedjelje</w:t>
      </w:r>
      <w:r w:rsidRPr="00DE2CF7">
        <w:rPr>
          <w:szCs w:val="22"/>
          <w:lang w:val="sr-Latn-ME"/>
        </w:rPr>
        <w:t xml:space="preserve">, a zatim 125 mg dva puta dnevno (n=93) ili placebo (n=92) tokom 6 </w:t>
      </w:r>
      <w:r w:rsidR="003E63C6" w:rsidRPr="00DE2CF7">
        <w:rPr>
          <w:szCs w:val="22"/>
          <w:lang w:val="sr-Latn-ME"/>
        </w:rPr>
        <w:t>mjesec</w:t>
      </w:r>
      <w:r w:rsidRPr="00DE2CF7">
        <w:rPr>
          <w:szCs w:val="22"/>
          <w:lang w:val="sr-Latn-ME"/>
        </w:rPr>
        <w:t xml:space="preserve">i. </w:t>
      </w:r>
      <w:r w:rsidR="00680A1B" w:rsidRPr="00DE2CF7">
        <w:rPr>
          <w:szCs w:val="22"/>
          <w:lang w:val="sr-Latn-ME"/>
        </w:rPr>
        <w:t>Uključeni p</w:t>
      </w:r>
      <w:r w:rsidRPr="00DE2CF7">
        <w:rPr>
          <w:szCs w:val="22"/>
          <w:lang w:val="sr-Latn-ME"/>
        </w:rPr>
        <w:t>acijenti prethodno nisu dobijali terapiju za PAH (n=156) ili su bili na stabilnim dozama sildenafila (n=29). Koprimarn</w:t>
      </w:r>
      <w:r w:rsidR="00446D42" w:rsidRPr="00DE2CF7">
        <w:rPr>
          <w:szCs w:val="22"/>
          <w:lang w:val="sr-Latn-ME"/>
        </w:rPr>
        <w:t>e mjere ishoda bile su</w:t>
      </w:r>
      <w:r w:rsidRPr="00DE2CF7">
        <w:rPr>
          <w:szCs w:val="22"/>
          <w:lang w:val="sr-Latn-ME"/>
        </w:rPr>
        <w:t xml:space="preserve">: </w:t>
      </w:r>
      <w:r w:rsidR="00446D42" w:rsidRPr="00DE2CF7">
        <w:rPr>
          <w:szCs w:val="22"/>
          <w:lang w:val="sr-Latn-ME"/>
        </w:rPr>
        <w:t xml:space="preserve">procenat </w:t>
      </w:r>
      <w:r w:rsidRPr="00DE2CF7">
        <w:rPr>
          <w:szCs w:val="22"/>
          <w:lang w:val="sr-Latn-ME"/>
        </w:rPr>
        <w:t>prom</w:t>
      </w:r>
      <w:r w:rsidR="00446D42" w:rsidRPr="00DE2CF7">
        <w:rPr>
          <w:szCs w:val="22"/>
          <w:lang w:val="sr-Latn-ME"/>
        </w:rPr>
        <w:t>j</w:t>
      </w:r>
      <w:r w:rsidRPr="00DE2CF7">
        <w:rPr>
          <w:szCs w:val="22"/>
          <w:lang w:val="sr-Latn-ME"/>
        </w:rPr>
        <w:t>en</w:t>
      </w:r>
      <w:r w:rsidR="00446D42" w:rsidRPr="00DE2CF7">
        <w:rPr>
          <w:szCs w:val="22"/>
          <w:lang w:val="sr-Latn-ME"/>
        </w:rPr>
        <w:t>a</w:t>
      </w:r>
      <w:r w:rsidRPr="00DE2CF7">
        <w:rPr>
          <w:szCs w:val="22"/>
          <w:lang w:val="sr-Latn-ME"/>
        </w:rPr>
        <w:t xml:space="preserve"> u plućnom vaskularnom otporu (PVR)</w:t>
      </w:r>
      <w:r w:rsidR="00446D42" w:rsidRPr="00DE2CF7">
        <w:rPr>
          <w:szCs w:val="22"/>
          <w:lang w:val="sr-Latn-ME"/>
        </w:rPr>
        <w:t xml:space="preserve"> i promjena u udaljenosti </w:t>
      </w:r>
      <w:r w:rsidRPr="00DE2CF7">
        <w:rPr>
          <w:szCs w:val="22"/>
          <w:lang w:val="sr-Latn-ME"/>
        </w:rPr>
        <w:t>pređeno</w:t>
      </w:r>
      <w:r w:rsidR="00446D42" w:rsidRPr="00DE2CF7">
        <w:rPr>
          <w:szCs w:val="22"/>
          <w:lang w:val="sr-Latn-ME"/>
        </w:rPr>
        <w:t>j</w:t>
      </w:r>
      <w:r w:rsidRPr="00DE2CF7">
        <w:rPr>
          <w:szCs w:val="22"/>
          <w:lang w:val="sr-Latn-ME"/>
        </w:rPr>
        <w:t xml:space="preserve"> </w:t>
      </w:r>
      <w:r w:rsidR="00446D42" w:rsidRPr="00DE2CF7">
        <w:rPr>
          <w:szCs w:val="22"/>
          <w:lang w:val="sr-Latn-ME"/>
        </w:rPr>
        <w:t>šestominutnim hodanjem</w:t>
      </w:r>
      <w:r w:rsidRPr="00DE2CF7">
        <w:rPr>
          <w:szCs w:val="22"/>
          <w:lang w:val="sr-Latn-ME"/>
        </w:rPr>
        <w:t xml:space="preserve">, </w:t>
      </w:r>
      <w:r w:rsidR="00C41DB7" w:rsidRPr="00DE2CF7">
        <w:rPr>
          <w:szCs w:val="22"/>
          <w:lang w:val="sr-Latn-ME"/>
        </w:rPr>
        <w:t xml:space="preserve">nakon </w:t>
      </w:r>
      <w:r w:rsidRPr="00DE2CF7">
        <w:rPr>
          <w:szCs w:val="22"/>
          <w:lang w:val="sr-Latn-ME"/>
        </w:rPr>
        <w:t xml:space="preserve">6 </w:t>
      </w:r>
      <w:r w:rsidR="003E63C6" w:rsidRPr="00DE2CF7">
        <w:rPr>
          <w:szCs w:val="22"/>
          <w:lang w:val="sr-Latn-ME"/>
        </w:rPr>
        <w:t>mjesec</w:t>
      </w:r>
      <w:r w:rsidRPr="00DE2CF7">
        <w:rPr>
          <w:szCs w:val="22"/>
          <w:lang w:val="sr-Latn-ME"/>
        </w:rPr>
        <w:t xml:space="preserve">i terapije u odnosu na </w:t>
      </w:r>
      <w:r w:rsidR="00446D42" w:rsidRPr="00DE2CF7">
        <w:rPr>
          <w:szCs w:val="22"/>
          <w:lang w:val="sr-Latn-ME"/>
        </w:rPr>
        <w:t xml:space="preserve">stanje prije liječenja, u poređenju sa </w:t>
      </w:r>
      <w:r w:rsidRPr="00DE2CF7">
        <w:rPr>
          <w:szCs w:val="22"/>
          <w:lang w:val="sr-Latn-ME"/>
        </w:rPr>
        <w:t>placebo</w:t>
      </w:r>
      <w:r w:rsidR="00446D42" w:rsidRPr="00DE2CF7">
        <w:rPr>
          <w:szCs w:val="22"/>
          <w:lang w:val="sr-Latn-ME"/>
        </w:rPr>
        <w:t>m</w:t>
      </w:r>
      <w:r w:rsidRPr="00DE2CF7">
        <w:rPr>
          <w:szCs w:val="22"/>
          <w:lang w:val="sr-Latn-ME"/>
        </w:rPr>
        <w:t xml:space="preserve">. </w:t>
      </w:r>
      <w:r w:rsidR="00446D42" w:rsidRPr="00DE2CF7">
        <w:rPr>
          <w:szCs w:val="22"/>
          <w:lang w:val="sr-Latn-ME"/>
        </w:rPr>
        <w:t xml:space="preserve">Tabela u nastavku prikazuje </w:t>
      </w:r>
      <w:r w:rsidR="007C26FA" w:rsidRPr="00DE2CF7">
        <w:rPr>
          <w:szCs w:val="22"/>
          <w:lang w:val="sr-Latn-ME"/>
        </w:rPr>
        <w:t>unaprijed specificirane</w:t>
      </w:r>
      <w:r w:rsidR="00446D42" w:rsidRPr="00DE2CF7">
        <w:rPr>
          <w:szCs w:val="22"/>
          <w:lang w:val="sr-Latn-ME"/>
        </w:rPr>
        <w:t xml:space="preserve"> analize plana ispitivanja. </w:t>
      </w:r>
    </w:p>
    <w:p w14:paraId="1B73285A" w14:textId="77777777" w:rsidR="0087250B" w:rsidRPr="00DE2CF7" w:rsidRDefault="0087250B" w:rsidP="00DE2CF7">
      <w:pPr>
        <w:rPr>
          <w:szCs w:val="22"/>
          <w:lang w:val="sr-Latn-ME"/>
        </w:rPr>
      </w:pPr>
    </w:p>
    <w:p w14:paraId="2BDFB507" w14:textId="77777777" w:rsidR="005A4604" w:rsidRPr="00DE2CF7" w:rsidRDefault="005A4604" w:rsidP="00DE2CF7">
      <w:pPr>
        <w:rPr>
          <w:szCs w:val="22"/>
          <w:lang w:val="sr-Latn-ME"/>
        </w:rPr>
      </w:pPr>
    </w:p>
    <w:tbl>
      <w:tblPr>
        <w:tblStyle w:val="TableGrid0"/>
        <w:tblW w:w="0" w:type="auto"/>
        <w:tblLook w:val="04A0" w:firstRow="1" w:lastRow="0" w:firstColumn="1" w:lastColumn="0" w:noHBand="0" w:noVBand="1"/>
      </w:tblPr>
      <w:tblGrid>
        <w:gridCol w:w="2245"/>
        <w:gridCol w:w="1748"/>
        <w:gridCol w:w="2032"/>
        <w:gridCol w:w="1725"/>
        <w:gridCol w:w="1879"/>
      </w:tblGrid>
      <w:tr w:rsidR="00C3549F" w:rsidRPr="00DE2CF7" w14:paraId="1A300920" w14:textId="77777777" w:rsidTr="00C3549F">
        <w:tc>
          <w:tcPr>
            <w:tcW w:w="2245" w:type="dxa"/>
          </w:tcPr>
          <w:p w14:paraId="40308717" w14:textId="77777777" w:rsidR="00C3549F" w:rsidRPr="00DE2CF7" w:rsidRDefault="00C3549F" w:rsidP="00DE2CF7">
            <w:pPr>
              <w:rPr>
                <w:szCs w:val="22"/>
                <w:lang w:val="sr-Latn-ME"/>
              </w:rPr>
            </w:pPr>
          </w:p>
        </w:tc>
        <w:tc>
          <w:tcPr>
            <w:tcW w:w="3780" w:type="dxa"/>
            <w:gridSpan w:val="2"/>
          </w:tcPr>
          <w:p w14:paraId="20BB4404" w14:textId="77777777" w:rsidR="00C3549F" w:rsidRPr="00DE2CF7" w:rsidRDefault="00D601F5" w:rsidP="00DE2CF7">
            <w:pPr>
              <w:jc w:val="center"/>
              <w:rPr>
                <w:b/>
                <w:szCs w:val="22"/>
                <w:lang w:val="sr-Latn-ME"/>
              </w:rPr>
            </w:pPr>
            <w:r w:rsidRPr="00DE2CF7">
              <w:rPr>
                <w:b/>
                <w:szCs w:val="22"/>
                <w:lang w:val="sr-Latn-ME"/>
              </w:rPr>
              <w:t>PVR (dyn.s/cm</w:t>
            </w:r>
            <w:r w:rsidR="00C3549F" w:rsidRPr="00DE2CF7">
              <w:rPr>
                <w:b/>
                <w:szCs w:val="22"/>
                <w:vertAlign w:val="superscript"/>
                <w:lang w:val="sr-Latn-ME"/>
              </w:rPr>
              <w:t>5</w:t>
            </w:r>
            <w:r w:rsidR="00C3549F" w:rsidRPr="00DE2CF7">
              <w:rPr>
                <w:b/>
                <w:szCs w:val="22"/>
                <w:lang w:val="sr-Latn-ME"/>
              </w:rPr>
              <w:t>)</w:t>
            </w:r>
          </w:p>
        </w:tc>
        <w:tc>
          <w:tcPr>
            <w:tcW w:w="3604" w:type="dxa"/>
            <w:gridSpan w:val="2"/>
          </w:tcPr>
          <w:p w14:paraId="4B2D0BF1" w14:textId="77777777" w:rsidR="00C3549F" w:rsidRPr="00DE2CF7" w:rsidRDefault="00C3549F" w:rsidP="00DE2CF7">
            <w:pPr>
              <w:jc w:val="center"/>
              <w:rPr>
                <w:b/>
                <w:szCs w:val="22"/>
                <w:lang w:val="sr-Latn-ME"/>
              </w:rPr>
            </w:pPr>
            <w:r w:rsidRPr="00DE2CF7">
              <w:rPr>
                <w:b/>
                <w:szCs w:val="22"/>
                <w:lang w:val="sr-Latn-ME"/>
              </w:rPr>
              <w:t>6-minutn</w:t>
            </w:r>
            <w:r w:rsidR="00446D42" w:rsidRPr="00DE2CF7">
              <w:rPr>
                <w:b/>
                <w:szCs w:val="22"/>
                <w:lang w:val="sr-Latn-ME"/>
              </w:rPr>
              <w:t>a pređena udaljenost</w:t>
            </w:r>
            <w:r w:rsidRPr="00DE2CF7">
              <w:rPr>
                <w:b/>
                <w:szCs w:val="22"/>
                <w:lang w:val="sr-Latn-ME"/>
              </w:rPr>
              <w:t xml:space="preserve"> </w:t>
            </w:r>
            <w:r w:rsidR="00446D42" w:rsidRPr="00DE2CF7">
              <w:rPr>
                <w:b/>
                <w:szCs w:val="22"/>
                <w:lang w:val="sr-Latn-ME"/>
              </w:rPr>
              <w:t>hodom</w:t>
            </w:r>
            <w:r w:rsidRPr="00DE2CF7">
              <w:rPr>
                <w:b/>
                <w:szCs w:val="22"/>
                <w:lang w:val="sr-Latn-ME"/>
              </w:rPr>
              <w:t xml:space="preserve"> (m)</w:t>
            </w:r>
          </w:p>
        </w:tc>
      </w:tr>
      <w:tr w:rsidR="005A4604" w:rsidRPr="00DE2CF7" w14:paraId="16EAFEA1" w14:textId="77777777" w:rsidTr="00C3549F">
        <w:tc>
          <w:tcPr>
            <w:tcW w:w="2245" w:type="dxa"/>
          </w:tcPr>
          <w:p w14:paraId="3FDACBAB" w14:textId="77777777" w:rsidR="005A4604" w:rsidRPr="00DE2CF7" w:rsidRDefault="005A4604" w:rsidP="00DE2CF7">
            <w:pPr>
              <w:rPr>
                <w:szCs w:val="22"/>
                <w:lang w:val="sr-Latn-ME"/>
              </w:rPr>
            </w:pPr>
          </w:p>
        </w:tc>
        <w:tc>
          <w:tcPr>
            <w:tcW w:w="1748" w:type="dxa"/>
          </w:tcPr>
          <w:p w14:paraId="47C43E0E" w14:textId="77777777" w:rsidR="005A4604" w:rsidRPr="00DE2CF7" w:rsidRDefault="00C3549F" w:rsidP="00DE2CF7">
            <w:pPr>
              <w:jc w:val="center"/>
              <w:rPr>
                <w:szCs w:val="22"/>
                <w:lang w:val="sr-Latn-ME"/>
              </w:rPr>
            </w:pPr>
            <w:r w:rsidRPr="00DE2CF7">
              <w:rPr>
                <w:szCs w:val="22"/>
                <w:lang w:val="sr-Latn-ME"/>
              </w:rPr>
              <w:t>Placebo (n = 88)</w:t>
            </w:r>
          </w:p>
        </w:tc>
        <w:tc>
          <w:tcPr>
            <w:tcW w:w="2032" w:type="dxa"/>
          </w:tcPr>
          <w:p w14:paraId="4E8D7E3F" w14:textId="77777777" w:rsidR="005A4604" w:rsidRPr="00DE2CF7" w:rsidRDefault="00C3549F" w:rsidP="00DE2CF7">
            <w:pPr>
              <w:jc w:val="center"/>
              <w:rPr>
                <w:szCs w:val="22"/>
                <w:lang w:val="sr-Latn-ME"/>
              </w:rPr>
            </w:pPr>
            <w:r w:rsidRPr="00DE2CF7">
              <w:rPr>
                <w:szCs w:val="22"/>
                <w:lang w:val="sr-Latn-ME"/>
              </w:rPr>
              <w:t>Bosentan (n = 80)</w:t>
            </w:r>
          </w:p>
        </w:tc>
        <w:tc>
          <w:tcPr>
            <w:tcW w:w="1725" w:type="dxa"/>
          </w:tcPr>
          <w:p w14:paraId="25310497" w14:textId="77777777" w:rsidR="005A4604" w:rsidRPr="00DE2CF7" w:rsidRDefault="00C3549F" w:rsidP="00DE2CF7">
            <w:pPr>
              <w:jc w:val="center"/>
              <w:rPr>
                <w:szCs w:val="22"/>
                <w:lang w:val="sr-Latn-ME"/>
              </w:rPr>
            </w:pPr>
            <w:r w:rsidRPr="00DE2CF7">
              <w:rPr>
                <w:szCs w:val="22"/>
                <w:lang w:val="sr-Latn-ME"/>
              </w:rPr>
              <w:t>Placebo (n = 91)</w:t>
            </w:r>
          </w:p>
        </w:tc>
        <w:tc>
          <w:tcPr>
            <w:tcW w:w="1879" w:type="dxa"/>
          </w:tcPr>
          <w:p w14:paraId="6489D631" w14:textId="77777777" w:rsidR="005A4604" w:rsidRPr="00DE2CF7" w:rsidRDefault="00C3549F" w:rsidP="00DE2CF7">
            <w:pPr>
              <w:jc w:val="center"/>
              <w:rPr>
                <w:szCs w:val="22"/>
                <w:lang w:val="sr-Latn-ME"/>
              </w:rPr>
            </w:pPr>
            <w:r w:rsidRPr="00DE2CF7">
              <w:rPr>
                <w:szCs w:val="22"/>
                <w:lang w:val="sr-Latn-ME"/>
              </w:rPr>
              <w:t>Bosentan (n = 86)</w:t>
            </w:r>
          </w:p>
        </w:tc>
      </w:tr>
      <w:tr w:rsidR="005A4604" w:rsidRPr="00DE2CF7" w14:paraId="75688A7A" w14:textId="77777777" w:rsidTr="00C3549F">
        <w:tc>
          <w:tcPr>
            <w:tcW w:w="2245" w:type="dxa"/>
          </w:tcPr>
          <w:p w14:paraId="50371E62" w14:textId="77777777" w:rsidR="005A4604" w:rsidRPr="00DE2CF7" w:rsidRDefault="00C3549F" w:rsidP="00DE2CF7">
            <w:pPr>
              <w:jc w:val="left"/>
              <w:rPr>
                <w:szCs w:val="22"/>
                <w:lang w:val="sr-Latn-ME"/>
              </w:rPr>
            </w:pPr>
            <w:r w:rsidRPr="00DE2CF7">
              <w:rPr>
                <w:szCs w:val="22"/>
                <w:lang w:val="sr-Latn-ME"/>
              </w:rPr>
              <w:lastRenderedPageBreak/>
              <w:t xml:space="preserve">Početna </w:t>
            </w:r>
            <w:r w:rsidR="00D33A43" w:rsidRPr="00DE2CF7">
              <w:rPr>
                <w:szCs w:val="22"/>
                <w:lang w:val="sr-Latn-ME"/>
              </w:rPr>
              <w:t xml:space="preserve">vrijednost </w:t>
            </w:r>
            <w:r w:rsidRPr="00DE2CF7">
              <w:rPr>
                <w:szCs w:val="22"/>
                <w:lang w:val="sr-Latn-ME"/>
              </w:rPr>
              <w:t xml:space="preserve">(BL); srednja </w:t>
            </w:r>
            <w:r w:rsidR="00D33A43" w:rsidRPr="00DE2CF7">
              <w:rPr>
                <w:szCs w:val="22"/>
                <w:lang w:val="sr-Latn-ME"/>
              </w:rPr>
              <w:t xml:space="preserve">vrijednost </w:t>
            </w:r>
            <w:r w:rsidRPr="00DE2CF7">
              <w:rPr>
                <w:szCs w:val="22"/>
                <w:lang w:val="sr-Latn-ME"/>
              </w:rPr>
              <w:t>(SD)</w:t>
            </w:r>
          </w:p>
        </w:tc>
        <w:tc>
          <w:tcPr>
            <w:tcW w:w="1748" w:type="dxa"/>
          </w:tcPr>
          <w:p w14:paraId="6D9582C5" w14:textId="77777777" w:rsidR="005A4604" w:rsidRPr="00DE2CF7" w:rsidRDefault="00C3549F" w:rsidP="00DE2CF7">
            <w:pPr>
              <w:jc w:val="center"/>
              <w:rPr>
                <w:szCs w:val="22"/>
                <w:lang w:val="sr-Latn-ME"/>
              </w:rPr>
            </w:pPr>
            <w:r w:rsidRPr="00DE2CF7">
              <w:rPr>
                <w:szCs w:val="22"/>
                <w:lang w:val="sr-Latn-ME"/>
              </w:rPr>
              <w:t>802 (365)</w:t>
            </w:r>
          </w:p>
        </w:tc>
        <w:tc>
          <w:tcPr>
            <w:tcW w:w="2032" w:type="dxa"/>
          </w:tcPr>
          <w:p w14:paraId="1BC6B25C" w14:textId="77777777" w:rsidR="005A4604" w:rsidRPr="00DE2CF7" w:rsidRDefault="00C3549F" w:rsidP="00DE2CF7">
            <w:pPr>
              <w:jc w:val="center"/>
              <w:rPr>
                <w:szCs w:val="22"/>
                <w:lang w:val="sr-Latn-ME"/>
              </w:rPr>
            </w:pPr>
            <w:r w:rsidRPr="00DE2CF7">
              <w:rPr>
                <w:szCs w:val="22"/>
                <w:lang w:val="sr-Latn-ME"/>
              </w:rPr>
              <w:t>851 (535)</w:t>
            </w:r>
          </w:p>
        </w:tc>
        <w:tc>
          <w:tcPr>
            <w:tcW w:w="1725" w:type="dxa"/>
          </w:tcPr>
          <w:p w14:paraId="30B53164" w14:textId="77777777" w:rsidR="005A4604" w:rsidRPr="00DE2CF7" w:rsidRDefault="00C3549F" w:rsidP="00DE2CF7">
            <w:pPr>
              <w:jc w:val="center"/>
              <w:rPr>
                <w:szCs w:val="22"/>
                <w:lang w:val="sr-Latn-ME"/>
              </w:rPr>
            </w:pPr>
            <w:r w:rsidRPr="00DE2CF7">
              <w:rPr>
                <w:szCs w:val="22"/>
                <w:lang w:val="sr-Latn-ME"/>
              </w:rPr>
              <w:t>431 (92)</w:t>
            </w:r>
          </w:p>
        </w:tc>
        <w:tc>
          <w:tcPr>
            <w:tcW w:w="1879" w:type="dxa"/>
          </w:tcPr>
          <w:p w14:paraId="3234851F" w14:textId="77777777" w:rsidR="00C3549F" w:rsidRPr="00DE2CF7" w:rsidRDefault="00C3549F" w:rsidP="00DE2CF7">
            <w:pPr>
              <w:jc w:val="center"/>
              <w:rPr>
                <w:szCs w:val="22"/>
                <w:lang w:val="sr-Latn-ME"/>
              </w:rPr>
            </w:pPr>
            <w:r w:rsidRPr="00DE2CF7">
              <w:rPr>
                <w:szCs w:val="22"/>
                <w:lang w:val="sr-Latn-ME"/>
              </w:rPr>
              <w:t>443 (83)</w:t>
            </w:r>
          </w:p>
          <w:p w14:paraId="23E3CE28" w14:textId="77777777" w:rsidR="005A4604" w:rsidRPr="00DE2CF7" w:rsidRDefault="005A4604" w:rsidP="00DE2CF7">
            <w:pPr>
              <w:jc w:val="center"/>
              <w:rPr>
                <w:szCs w:val="22"/>
                <w:lang w:val="sr-Latn-ME"/>
              </w:rPr>
            </w:pPr>
          </w:p>
        </w:tc>
      </w:tr>
      <w:tr w:rsidR="005A4604" w:rsidRPr="00DE2CF7" w14:paraId="0C802159" w14:textId="77777777" w:rsidTr="00C3549F">
        <w:tc>
          <w:tcPr>
            <w:tcW w:w="2245" w:type="dxa"/>
          </w:tcPr>
          <w:p w14:paraId="46956221" w14:textId="77777777" w:rsidR="005A4604" w:rsidRPr="00DE2CF7" w:rsidRDefault="00C3549F" w:rsidP="00DE2CF7">
            <w:pPr>
              <w:rPr>
                <w:szCs w:val="22"/>
                <w:lang w:val="sr-Latn-ME"/>
              </w:rPr>
            </w:pPr>
            <w:r w:rsidRPr="00DE2CF7">
              <w:rPr>
                <w:szCs w:val="22"/>
                <w:lang w:val="sr-Latn-ME"/>
              </w:rPr>
              <w:t>Prom</w:t>
            </w:r>
            <w:r w:rsidR="00D33A43" w:rsidRPr="00DE2CF7">
              <w:rPr>
                <w:szCs w:val="22"/>
                <w:lang w:val="sr-Latn-ME"/>
              </w:rPr>
              <w:t>j</w:t>
            </w:r>
            <w:r w:rsidRPr="00DE2CF7">
              <w:rPr>
                <w:szCs w:val="22"/>
                <w:lang w:val="sr-Latn-ME"/>
              </w:rPr>
              <w:t xml:space="preserve">ena u odnosu na BL; srednja </w:t>
            </w:r>
            <w:r w:rsidR="00D33A43" w:rsidRPr="00DE2CF7">
              <w:rPr>
                <w:szCs w:val="22"/>
                <w:lang w:val="sr-Latn-ME"/>
              </w:rPr>
              <w:t xml:space="preserve">vrijednost </w:t>
            </w:r>
            <w:r w:rsidRPr="00DE2CF7">
              <w:rPr>
                <w:szCs w:val="22"/>
                <w:lang w:val="sr-Latn-ME"/>
              </w:rPr>
              <w:t>(SD)</w:t>
            </w:r>
          </w:p>
        </w:tc>
        <w:tc>
          <w:tcPr>
            <w:tcW w:w="1748" w:type="dxa"/>
          </w:tcPr>
          <w:p w14:paraId="6BE276E9" w14:textId="77777777" w:rsidR="005A4604" w:rsidRPr="00DE2CF7" w:rsidRDefault="00C3549F" w:rsidP="00DE2CF7">
            <w:pPr>
              <w:jc w:val="center"/>
              <w:rPr>
                <w:szCs w:val="22"/>
                <w:lang w:val="sr-Latn-ME"/>
              </w:rPr>
            </w:pPr>
            <w:r w:rsidRPr="00DE2CF7">
              <w:rPr>
                <w:szCs w:val="22"/>
                <w:lang w:val="sr-Latn-ME"/>
              </w:rPr>
              <w:t>128 (465)</w:t>
            </w:r>
          </w:p>
        </w:tc>
        <w:tc>
          <w:tcPr>
            <w:tcW w:w="2032" w:type="dxa"/>
          </w:tcPr>
          <w:p w14:paraId="69F8AA33" w14:textId="77777777" w:rsidR="005A4604" w:rsidRPr="00DE2CF7" w:rsidRDefault="00C3549F" w:rsidP="00DE2CF7">
            <w:pPr>
              <w:jc w:val="center"/>
              <w:rPr>
                <w:szCs w:val="22"/>
                <w:lang w:val="sr-Latn-ME"/>
              </w:rPr>
            </w:pPr>
            <w:r w:rsidRPr="00DE2CF7">
              <w:rPr>
                <w:szCs w:val="22"/>
                <w:lang w:val="sr-Latn-ME"/>
              </w:rPr>
              <w:t>-69 (475)</w:t>
            </w:r>
          </w:p>
        </w:tc>
        <w:tc>
          <w:tcPr>
            <w:tcW w:w="1725" w:type="dxa"/>
          </w:tcPr>
          <w:p w14:paraId="03A6538D" w14:textId="77777777" w:rsidR="005A4604" w:rsidRPr="00DE2CF7" w:rsidRDefault="00C3549F" w:rsidP="00DE2CF7">
            <w:pPr>
              <w:jc w:val="center"/>
              <w:rPr>
                <w:szCs w:val="22"/>
                <w:lang w:val="sr-Latn-ME"/>
              </w:rPr>
            </w:pPr>
            <w:r w:rsidRPr="00DE2CF7">
              <w:rPr>
                <w:szCs w:val="22"/>
                <w:lang w:val="sr-Latn-ME"/>
              </w:rPr>
              <w:t>-8 (79)</w:t>
            </w:r>
          </w:p>
        </w:tc>
        <w:tc>
          <w:tcPr>
            <w:tcW w:w="1879" w:type="dxa"/>
          </w:tcPr>
          <w:p w14:paraId="1EE006B7" w14:textId="77777777" w:rsidR="00C3549F" w:rsidRPr="00DE2CF7" w:rsidRDefault="00C3549F" w:rsidP="00DE2CF7">
            <w:pPr>
              <w:jc w:val="center"/>
              <w:rPr>
                <w:szCs w:val="22"/>
                <w:lang w:val="sr-Latn-ME"/>
              </w:rPr>
            </w:pPr>
            <w:r w:rsidRPr="00DE2CF7">
              <w:rPr>
                <w:szCs w:val="22"/>
                <w:lang w:val="sr-Latn-ME"/>
              </w:rPr>
              <w:t>11 (74)</w:t>
            </w:r>
          </w:p>
          <w:p w14:paraId="136E60B1" w14:textId="77777777" w:rsidR="005A4604" w:rsidRPr="00DE2CF7" w:rsidRDefault="005A4604" w:rsidP="00DE2CF7">
            <w:pPr>
              <w:jc w:val="center"/>
              <w:rPr>
                <w:szCs w:val="22"/>
                <w:lang w:val="sr-Latn-ME"/>
              </w:rPr>
            </w:pPr>
          </w:p>
        </w:tc>
      </w:tr>
      <w:tr w:rsidR="00C3549F" w:rsidRPr="00DE2CF7" w14:paraId="1F7C5BCA" w14:textId="77777777" w:rsidTr="00C3549F">
        <w:tc>
          <w:tcPr>
            <w:tcW w:w="2245" w:type="dxa"/>
          </w:tcPr>
          <w:p w14:paraId="2A8C0BE8" w14:textId="77777777" w:rsidR="00C3549F" w:rsidRPr="00DE2CF7" w:rsidRDefault="00C3549F" w:rsidP="00DE2CF7">
            <w:pPr>
              <w:rPr>
                <w:szCs w:val="22"/>
                <w:lang w:val="sr-Latn-ME"/>
              </w:rPr>
            </w:pPr>
            <w:r w:rsidRPr="00DE2CF7">
              <w:rPr>
                <w:szCs w:val="22"/>
                <w:lang w:val="sr-Latn-ME"/>
              </w:rPr>
              <w:t xml:space="preserve">Efekat </w:t>
            </w:r>
            <w:r w:rsidR="007453E0" w:rsidRPr="00DE2CF7">
              <w:rPr>
                <w:szCs w:val="22"/>
                <w:lang w:val="sr-Latn-ME"/>
              </w:rPr>
              <w:t>liječenj</w:t>
            </w:r>
            <w:r w:rsidRPr="00DE2CF7">
              <w:rPr>
                <w:szCs w:val="22"/>
                <w:lang w:val="sr-Latn-ME"/>
              </w:rPr>
              <w:t>a</w:t>
            </w:r>
          </w:p>
        </w:tc>
        <w:tc>
          <w:tcPr>
            <w:tcW w:w="3780" w:type="dxa"/>
            <w:gridSpan w:val="2"/>
          </w:tcPr>
          <w:p w14:paraId="59B17C13" w14:textId="77777777" w:rsidR="00C3549F" w:rsidRPr="00DE2CF7" w:rsidRDefault="00C3549F" w:rsidP="00DE2CF7">
            <w:pPr>
              <w:jc w:val="center"/>
              <w:rPr>
                <w:szCs w:val="22"/>
                <w:lang w:val="sr-Latn-ME"/>
              </w:rPr>
            </w:pPr>
            <w:r w:rsidRPr="00DE2CF7">
              <w:rPr>
                <w:szCs w:val="22"/>
                <w:lang w:val="sr-Latn-ME"/>
              </w:rPr>
              <w:t>-22,6%</w:t>
            </w:r>
          </w:p>
        </w:tc>
        <w:tc>
          <w:tcPr>
            <w:tcW w:w="3604" w:type="dxa"/>
            <w:gridSpan w:val="2"/>
          </w:tcPr>
          <w:p w14:paraId="08F1D8F8" w14:textId="77777777" w:rsidR="00C3549F" w:rsidRPr="00DE2CF7" w:rsidRDefault="00C3549F" w:rsidP="00DE2CF7">
            <w:pPr>
              <w:jc w:val="center"/>
              <w:rPr>
                <w:szCs w:val="22"/>
                <w:lang w:val="sr-Latn-ME"/>
              </w:rPr>
            </w:pPr>
            <w:r w:rsidRPr="00DE2CF7">
              <w:rPr>
                <w:szCs w:val="22"/>
                <w:lang w:val="sr-Latn-ME"/>
              </w:rPr>
              <w:t>19</w:t>
            </w:r>
          </w:p>
          <w:p w14:paraId="411D636E" w14:textId="77777777" w:rsidR="00C3549F" w:rsidRPr="00DE2CF7" w:rsidRDefault="00C3549F" w:rsidP="00DE2CF7">
            <w:pPr>
              <w:jc w:val="center"/>
              <w:rPr>
                <w:szCs w:val="22"/>
                <w:lang w:val="sr-Latn-ME"/>
              </w:rPr>
            </w:pPr>
          </w:p>
        </w:tc>
      </w:tr>
      <w:tr w:rsidR="00C3549F" w:rsidRPr="00DE2CF7" w14:paraId="1DC7AC4B" w14:textId="77777777" w:rsidTr="00C3549F">
        <w:tc>
          <w:tcPr>
            <w:tcW w:w="2245" w:type="dxa"/>
          </w:tcPr>
          <w:p w14:paraId="00DA0C49" w14:textId="77777777" w:rsidR="00C3549F" w:rsidRPr="00DE2CF7" w:rsidRDefault="00C3549F" w:rsidP="00DE2CF7">
            <w:pPr>
              <w:rPr>
                <w:szCs w:val="22"/>
                <w:lang w:val="sr-Latn-ME"/>
              </w:rPr>
            </w:pPr>
            <w:r w:rsidRPr="00DE2CF7">
              <w:rPr>
                <w:szCs w:val="22"/>
                <w:lang w:val="sr-Latn-ME"/>
              </w:rPr>
              <w:t>95% CI</w:t>
            </w:r>
          </w:p>
        </w:tc>
        <w:tc>
          <w:tcPr>
            <w:tcW w:w="3780" w:type="dxa"/>
            <w:gridSpan w:val="2"/>
          </w:tcPr>
          <w:p w14:paraId="4815ECF7" w14:textId="77777777" w:rsidR="00C3549F" w:rsidRPr="00DE2CF7" w:rsidRDefault="00C3549F" w:rsidP="00DE2CF7">
            <w:pPr>
              <w:jc w:val="center"/>
              <w:rPr>
                <w:szCs w:val="22"/>
                <w:lang w:val="sr-Latn-ME"/>
              </w:rPr>
            </w:pPr>
            <w:r w:rsidRPr="00DE2CF7">
              <w:rPr>
                <w:szCs w:val="22"/>
                <w:lang w:val="sr-Latn-ME"/>
              </w:rPr>
              <w:t>-34, -10</w:t>
            </w:r>
          </w:p>
        </w:tc>
        <w:tc>
          <w:tcPr>
            <w:tcW w:w="3604" w:type="dxa"/>
            <w:gridSpan w:val="2"/>
          </w:tcPr>
          <w:p w14:paraId="0C308C29" w14:textId="77777777" w:rsidR="00C3549F" w:rsidRPr="00DE2CF7" w:rsidRDefault="00C3549F" w:rsidP="00DE2CF7">
            <w:pPr>
              <w:jc w:val="center"/>
              <w:rPr>
                <w:szCs w:val="22"/>
                <w:lang w:val="sr-Latn-ME"/>
              </w:rPr>
            </w:pPr>
            <w:r w:rsidRPr="00DE2CF7">
              <w:rPr>
                <w:szCs w:val="22"/>
                <w:lang w:val="sr-Latn-ME"/>
              </w:rPr>
              <w:t>-4, 42</w:t>
            </w:r>
          </w:p>
          <w:p w14:paraId="3D7DCA53" w14:textId="77777777" w:rsidR="00C3549F" w:rsidRPr="00DE2CF7" w:rsidRDefault="00C3549F" w:rsidP="00DE2CF7">
            <w:pPr>
              <w:jc w:val="center"/>
              <w:rPr>
                <w:szCs w:val="22"/>
                <w:lang w:val="sr-Latn-ME"/>
              </w:rPr>
            </w:pPr>
          </w:p>
        </w:tc>
      </w:tr>
      <w:tr w:rsidR="00C3549F" w:rsidRPr="00DE2CF7" w14:paraId="17C1C2C8" w14:textId="77777777" w:rsidTr="00C3549F">
        <w:tc>
          <w:tcPr>
            <w:tcW w:w="2245" w:type="dxa"/>
          </w:tcPr>
          <w:p w14:paraId="1029806E" w14:textId="77777777" w:rsidR="00C3549F" w:rsidRPr="00DE2CF7" w:rsidRDefault="00C3549F" w:rsidP="00DE2CF7">
            <w:pPr>
              <w:rPr>
                <w:szCs w:val="22"/>
                <w:lang w:val="sr-Latn-ME"/>
              </w:rPr>
            </w:pPr>
            <w:r w:rsidRPr="00DE2CF7">
              <w:rPr>
                <w:szCs w:val="22"/>
                <w:lang w:val="sr-Latn-ME"/>
              </w:rPr>
              <w:t>p-</w:t>
            </w:r>
            <w:r w:rsidR="002407A5" w:rsidRPr="00DE2CF7">
              <w:rPr>
                <w:szCs w:val="22"/>
                <w:lang w:val="sr-Latn-ME"/>
              </w:rPr>
              <w:t>vrijednost</w:t>
            </w:r>
          </w:p>
        </w:tc>
        <w:tc>
          <w:tcPr>
            <w:tcW w:w="3780" w:type="dxa"/>
            <w:gridSpan w:val="2"/>
          </w:tcPr>
          <w:p w14:paraId="2330C4DE" w14:textId="77777777" w:rsidR="00C3549F" w:rsidRPr="00DE2CF7" w:rsidRDefault="00C3549F" w:rsidP="00DE2CF7">
            <w:pPr>
              <w:jc w:val="center"/>
              <w:rPr>
                <w:szCs w:val="22"/>
                <w:lang w:val="sr-Latn-ME"/>
              </w:rPr>
            </w:pPr>
            <w:r w:rsidRPr="00DE2CF7">
              <w:rPr>
                <w:szCs w:val="22"/>
                <w:lang w:val="sr-Latn-ME"/>
              </w:rPr>
              <w:t>&lt; 0,0001</w:t>
            </w:r>
          </w:p>
        </w:tc>
        <w:tc>
          <w:tcPr>
            <w:tcW w:w="3604" w:type="dxa"/>
            <w:gridSpan w:val="2"/>
          </w:tcPr>
          <w:p w14:paraId="20FD4860" w14:textId="77777777" w:rsidR="00C3549F" w:rsidRPr="00DE2CF7" w:rsidRDefault="00C3549F" w:rsidP="00DE2CF7">
            <w:pPr>
              <w:jc w:val="center"/>
              <w:rPr>
                <w:szCs w:val="22"/>
                <w:lang w:val="sr-Latn-ME"/>
              </w:rPr>
            </w:pPr>
            <w:r w:rsidRPr="00DE2CF7">
              <w:rPr>
                <w:szCs w:val="22"/>
                <w:lang w:val="sr-Latn-ME"/>
              </w:rPr>
              <w:t>0,0758</w:t>
            </w:r>
          </w:p>
          <w:p w14:paraId="2FCE488B" w14:textId="77777777" w:rsidR="00C3549F" w:rsidRPr="00DE2CF7" w:rsidRDefault="00C3549F" w:rsidP="00DE2CF7">
            <w:pPr>
              <w:jc w:val="center"/>
              <w:rPr>
                <w:szCs w:val="22"/>
                <w:lang w:val="sr-Latn-ME"/>
              </w:rPr>
            </w:pPr>
          </w:p>
        </w:tc>
      </w:tr>
    </w:tbl>
    <w:p w14:paraId="7F5A34AA" w14:textId="77777777" w:rsidR="0090133B" w:rsidRPr="00DE2CF7" w:rsidRDefault="0090133B" w:rsidP="00DE2CF7">
      <w:pPr>
        <w:rPr>
          <w:szCs w:val="22"/>
          <w:lang w:val="sr-Latn-ME"/>
        </w:rPr>
      </w:pPr>
      <w:r w:rsidRPr="00DE2CF7">
        <w:rPr>
          <w:szCs w:val="22"/>
          <w:lang w:val="sr-Latn-ME"/>
        </w:rPr>
        <w:t xml:space="preserve">CI = interval pouzdanosti, PVR = plućni vaskularni otpor (engl. </w:t>
      </w:r>
      <w:r w:rsidRPr="00DE2CF7">
        <w:rPr>
          <w:i/>
          <w:szCs w:val="22"/>
          <w:lang w:val="sr-Latn-ME"/>
        </w:rPr>
        <w:t>pulmonary vascular resistance</w:t>
      </w:r>
      <w:r w:rsidRPr="00DE2CF7">
        <w:rPr>
          <w:szCs w:val="22"/>
          <w:lang w:val="sr-Latn-ME"/>
        </w:rPr>
        <w:t>)</w:t>
      </w:r>
    </w:p>
    <w:p w14:paraId="42A35EEF" w14:textId="77777777" w:rsidR="00C3549F" w:rsidRPr="00DE2CF7" w:rsidRDefault="00C3549F" w:rsidP="00DE2CF7">
      <w:pPr>
        <w:rPr>
          <w:szCs w:val="22"/>
          <w:lang w:val="sr-Latn-ME"/>
        </w:rPr>
      </w:pPr>
    </w:p>
    <w:p w14:paraId="107DD65C" w14:textId="77777777" w:rsidR="0090133B" w:rsidRPr="00DE2CF7" w:rsidRDefault="00EB7447" w:rsidP="00DE2CF7">
      <w:pPr>
        <w:rPr>
          <w:szCs w:val="22"/>
          <w:lang w:val="sr-Latn-ME"/>
        </w:rPr>
      </w:pPr>
      <w:r w:rsidRPr="00DE2CF7">
        <w:rPr>
          <w:szCs w:val="22"/>
          <w:lang w:val="sr-Latn-ME"/>
        </w:rPr>
        <w:t>Kod l</w:t>
      </w:r>
      <w:r w:rsidR="007453E0" w:rsidRPr="00DE2CF7">
        <w:rPr>
          <w:szCs w:val="22"/>
          <w:lang w:val="sr-Latn-ME"/>
        </w:rPr>
        <w:t>iječenj</w:t>
      </w:r>
      <w:r w:rsidRPr="00DE2CF7">
        <w:rPr>
          <w:szCs w:val="22"/>
          <w:lang w:val="sr-Latn-ME"/>
        </w:rPr>
        <w:t>a</w:t>
      </w:r>
      <w:r w:rsidR="0090133B" w:rsidRPr="00DE2CF7">
        <w:rPr>
          <w:szCs w:val="22"/>
          <w:lang w:val="sr-Latn-ME"/>
        </w:rPr>
        <w:t xml:space="preserve"> bosentanom </w:t>
      </w:r>
      <w:r w:rsidRPr="00DE2CF7">
        <w:rPr>
          <w:szCs w:val="22"/>
          <w:lang w:val="sr-Latn-ME"/>
        </w:rPr>
        <w:t xml:space="preserve">došlo je u odnosu na placebo do </w:t>
      </w:r>
      <w:r w:rsidR="0090133B" w:rsidRPr="00DE2CF7">
        <w:rPr>
          <w:szCs w:val="22"/>
          <w:lang w:val="sr-Latn-ME"/>
        </w:rPr>
        <w:t>smanjenj</w:t>
      </w:r>
      <w:r w:rsidRPr="00DE2CF7">
        <w:rPr>
          <w:szCs w:val="22"/>
          <w:lang w:val="sr-Latn-ME"/>
        </w:rPr>
        <w:t>a</w:t>
      </w:r>
      <w:r w:rsidR="0090133B" w:rsidRPr="00DE2CF7">
        <w:rPr>
          <w:szCs w:val="22"/>
          <w:lang w:val="sr-Latn-ME"/>
        </w:rPr>
        <w:t xml:space="preserve"> brzine pogoršanja kliničke slike koju zajednički određuju progresija simptoma, hospitalizacija zbog PAH i smrt (proporcionalno smanjenje rizika za 77%, 95% </w:t>
      </w:r>
      <w:r w:rsidRPr="00DE2CF7">
        <w:rPr>
          <w:szCs w:val="22"/>
          <w:lang w:val="sr-Latn-ME"/>
        </w:rPr>
        <w:t xml:space="preserve">interval pouzdanosti </w:t>
      </w:r>
      <w:r w:rsidR="00363D14" w:rsidRPr="00DE2CF7">
        <w:rPr>
          <w:szCs w:val="22"/>
          <w:lang w:val="sr-Latn-ME"/>
        </w:rPr>
        <w:t>[</w:t>
      </w:r>
      <w:r w:rsidR="0090133B" w:rsidRPr="00DE2CF7">
        <w:rPr>
          <w:szCs w:val="22"/>
          <w:lang w:val="sr-Latn-ME"/>
        </w:rPr>
        <w:t>CI</w:t>
      </w:r>
      <w:r w:rsidR="00363D14" w:rsidRPr="00DE2CF7">
        <w:rPr>
          <w:szCs w:val="22"/>
          <w:lang w:val="sr-Latn-ME"/>
        </w:rPr>
        <w:t>]</w:t>
      </w:r>
      <w:r w:rsidR="0090133B" w:rsidRPr="00DE2CF7">
        <w:rPr>
          <w:szCs w:val="22"/>
          <w:lang w:val="sr-Latn-ME"/>
        </w:rPr>
        <w:t xml:space="preserve"> 20%-94%, p=0,0114). </w:t>
      </w:r>
      <w:r w:rsidR="00363D14" w:rsidRPr="00DE2CF7">
        <w:rPr>
          <w:szCs w:val="22"/>
          <w:lang w:val="sr-Latn-ME"/>
        </w:rPr>
        <w:t xml:space="preserve">Efekasnost </w:t>
      </w:r>
      <w:r w:rsidR="0090133B" w:rsidRPr="00DE2CF7">
        <w:rPr>
          <w:szCs w:val="22"/>
          <w:lang w:val="sr-Latn-ME"/>
        </w:rPr>
        <w:t xml:space="preserve">terapije </w:t>
      </w:r>
      <w:r w:rsidR="00363D14" w:rsidRPr="00DE2CF7">
        <w:rPr>
          <w:szCs w:val="22"/>
          <w:lang w:val="sr-Latn-ME"/>
        </w:rPr>
        <w:t xml:space="preserve">zasnivala se najviše </w:t>
      </w:r>
      <w:r w:rsidR="007C26FA" w:rsidRPr="00DE2CF7">
        <w:rPr>
          <w:szCs w:val="22"/>
          <w:lang w:val="sr-Latn-ME"/>
        </w:rPr>
        <w:t>na komponenti</w:t>
      </w:r>
      <w:r w:rsidR="0090133B" w:rsidRPr="00DE2CF7">
        <w:rPr>
          <w:szCs w:val="22"/>
          <w:lang w:val="sr-Latn-ME"/>
        </w:rPr>
        <w:t xml:space="preserve"> </w:t>
      </w:r>
      <w:r w:rsidR="00363D14" w:rsidRPr="00DE2CF7">
        <w:rPr>
          <w:szCs w:val="22"/>
          <w:lang w:val="sr-Latn-ME"/>
        </w:rPr>
        <w:t xml:space="preserve">smanjena </w:t>
      </w:r>
      <w:r w:rsidR="0090133B" w:rsidRPr="00DE2CF7">
        <w:rPr>
          <w:szCs w:val="22"/>
          <w:lang w:val="sr-Latn-ME"/>
        </w:rPr>
        <w:t>progresije simptoma. Dogodila se jedna hospitalizacija izazvana pogoršanjem PAH u grupi koja je dobijala bosentan</w:t>
      </w:r>
      <w:r w:rsidR="00D33A43" w:rsidRPr="00DE2CF7">
        <w:rPr>
          <w:szCs w:val="22"/>
          <w:lang w:val="sr-Latn-ME"/>
        </w:rPr>
        <w:t>,</w:t>
      </w:r>
      <w:r w:rsidR="0090133B" w:rsidRPr="00DE2CF7">
        <w:rPr>
          <w:szCs w:val="22"/>
          <w:lang w:val="sr-Latn-ME"/>
        </w:rPr>
        <w:t xml:space="preserve"> i tri u grupi koja je dobijala placebo. Samo se po jedan smrtni slučaj dogodio u svakoj ispitivanoj grupi tokom </w:t>
      </w:r>
      <w:r w:rsidR="00981A90" w:rsidRPr="00DE2CF7">
        <w:rPr>
          <w:szCs w:val="22"/>
          <w:lang w:val="sr-Latn-ME"/>
        </w:rPr>
        <w:t xml:space="preserve">trajanja </w:t>
      </w:r>
      <w:r w:rsidR="00D33A43" w:rsidRPr="00DE2CF7">
        <w:rPr>
          <w:szCs w:val="22"/>
          <w:lang w:val="sr-Latn-ME"/>
        </w:rPr>
        <w:t xml:space="preserve">šestomjesečnog </w:t>
      </w:r>
      <w:r w:rsidR="0090133B" w:rsidRPr="00DE2CF7">
        <w:rPr>
          <w:szCs w:val="22"/>
          <w:lang w:val="sr-Latn-ME"/>
        </w:rPr>
        <w:t>dvostruko</w:t>
      </w:r>
      <w:r w:rsidR="00D601F5" w:rsidRPr="00DE2CF7">
        <w:rPr>
          <w:szCs w:val="22"/>
          <w:lang w:val="sr-Latn-ME"/>
        </w:rPr>
        <w:t xml:space="preserve"> </w:t>
      </w:r>
      <w:r w:rsidR="0090133B" w:rsidRPr="00DE2CF7">
        <w:rPr>
          <w:szCs w:val="22"/>
          <w:lang w:val="sr-Latn-ME"/>
        </w:rPr>
        <w:t>sl</w:t>
      </w:r>
      <w:r w:rsidR="00D601F5" w:rsidRPr="00DE2CF7">
        <w:rPr>
          <w:szCs w:val="22"/>
          <w:lang w:val="sr-Latn-ME"/>
        </w:rPr>
        <w:t>ij</w:t>
      </w:r>
      <w:r w:rsidR="0090133B" w:rsidRPr="00DE2CF7">
        <w:rPr>
          <w:szCs w:val="22"/>
          <w:lang w:val="sr-Latn-ME"/>
        </w:rPr>
        <w:t xml:space="preserve">epog ispitivanja, tako da se ne može izvesti zaključak o </w:t>
      </w:r>
      <w:r w:rsidR="00981A90" w:rsidRPr="00DE2CF7">
        <w:rPr>
          <w:szCs w:val="22"/>
          <w:lang w:val="sr-Latn-ME"/>
        </w:rPr>
        <w:t>uticaju na preživljavanje</w:t>
      </w:r>
      <w:r w:rsidR="0090133B" w:rsidRPr="00DE2CF7">
        <w:rPr>
          <w:szCs w:val="22"/>
          <w:lang w:val="sr-Latn-ME"/>
        </w:rPr>
        <w:t>.</w:t>
      </w:r>
    </w:p>
    <w:p w14:paraId="4695519A" w14:textId="77777777" w:rsidR="00C3549F" w:rsidRPr="00DE2CF7" w:rsidRDefault="00C3549F" w:rsidP="00DE2CF7">
      <w:pPr>
        <w:rPr>
          <w:szCs w:val="22"/>
          <w:lang w:val="sr-Latn-ME"/>
        </w:rPr>
      </w:pPr>
    </w:p>
    <w:p w14:paraId="6968540A" w14:textId="77777777" w:rsidR="0090133B" w:rsidRPr="00DE2CF7" w:rsidRDefault="0090133B" w:rsidP="00DE2CF7">
      <w:pPr>
        <w:rPr>
          <w:szCs w:val="22"/>
          <w:lang w:val="sr-Latn-ME"/>
        </w:rPr>
      </w:pPr>
      <w:r w:rsidRPr="00DE2CF7">
        <w:rPr>
          <w:szCs w:val="22"/>
          <w:lang w:val="sr-Latn-ME"/>
        </w:rPr>
        <w:t>Dugoročni podaci su dobijeni od svih 173 pacijenta koji su l</w:t>
      </w:r>
      <w:r w:rsidR="00D601F5" w:rsidRPr="00DE2CF7">
        <w:rPr>
          <w:szCs w:val="22"/>
          <w:lang w:val="sr-Latn-ME"/>
        </w:rPr>
        <w:t>ij</w:t>
      </w:r>
      <w:r w:rsidRPr="00DE2CF7">
        <w:rPr>
          <w:szCs w:val="22"/>
          <w:lang w:val="sr-Latn-ME"/>
        </w:rPr>
        <w:t xml:space="preserve">ečeni bosentanom u kontrolisanoj fazi i/ili koji su sa placeba prešli na bosentan u produženoj otvorenoj fazi </w:t>
      </w:r>
      <w:r w:rsidR="007453E0" w:rsidRPr="00DE2CF7">
        <w:rPr>
          <w:szCs w:val="22"/>
          <w:lang w:val="sr-Latn-ME"/>
        </w:rPr>
        <w:t>liječenj</w:t>
      </w:r>
      <w:r w:rsidRPr="00DE2CF7">
        <w:rPr>
          <w:szCs w:val="22"/>
          <w:lang w:val="sr-Latn-ME"/>
        </w:rPr>
        <w:t>a u studiji EARLY. Srednje trajanje izlo</w:t>
      </w:r>
      <w:r w:rsidR="00D601F5" w:rsidRPr="00DE2CF7">
        <w:rPr>
          <w:szCs w:val="22"/>
          <w:lang w:val="sr-Latn-ME"/>
        </w:rPr>
        <w:t>ženosti bosentanu iznosilo je 3</w:t>
      </w:r>
      <w:r w:rsidR="00D33A43" w:rsidRPr="00DE2CF7">
        <w:rPr>
          <w:szCs w:val="22"/>
          <w:lang w:val="sr-Latn-ME"/>
        </w:rPr>
        <w:t>,</w:t>
      </w:r>
      <w:r w:rsidR="00D601F5" w:rsidRPr="00DE2CF7">
        <w:rPr>
          <w:szCs w:val="22"/>
          <w:lang w:val="sr-Latn-ME"/>
        </w:rPr>
        <w:t>6 +/- 1</w:t>
      </w:r>
      <w:r w:rsidR="00D33A43" w:rsidRPr="00DE2CF7">
        <w:rPr>
          <w:szCs w:val="22"/>
          <w:lang w:val="sr-Latn-ME"/>
        </w:rPr>
        <w:t>,</w:t>
      </w:r>
      <w:r w:rsidRPr="00DE2CF7">
        <w:rPr>
          <w:szCs w:val="22"/>
          <w:lang w:val="sr-Latn-ME"/>
        </w:rPr>
        <w:t xml:space="preserve">8 godina (do 6,1 </w:t>
      </w:r>
      <w:r w:rsidR="00431469" w:rsidRPr="00DE2CF7">
        <w:rPr>
          <w:szCs w:val="22"/>
          <w:lang w:val="sr-Latn-ME"/>
        </w:rPr>
        <w:t>godina</w:t>
      </w:r>
      <w:r w:rsidRPr="00DE2CF7">
        <w:rPr>
          <w:szCs w:val="22"/>
          <w:lang w:val="sr-Latn-ME"/>
        </w:rPr>
        <w:t>), pri čemu je 73% pacijenata l</w:t>
      </w:r>
      <w:r w:rsidR="00D601F5" w:rsidRPr="00DE2CF7">
        <w:rPr>
          <w:szCs w:val="22"/>
          <w:lang w:val="sr-Latn-ME"/>
        </w:rPr>
        <w:t>ij</w:t>
      </w:r>
      <w:r w:rsidRPr="00DE2CF7">
        <w:rPr>
          <w:szCs w:val="22"/>
          <w:lang w:val="sr-Latn-ME"/>
        </w:rPr>
        <w:t>ečeno najmanje 3 godine</w:t>
      </w:r>
      <w:r w:rsidR="00D33A43" w:rsidRPr="00DE2CF7">
        <w:rPr>
          <w:szCs w:val="22"/>
          <w:lang w:val="sr-Latn-ME"/>
        </w:rPr>
        <w:t>,</w:t>
      </w:r>
      <w:r w:rsidRPr="00DE2CF7">
        <w:rPr>
          <w:szCs w:val="22"/>
          <w:lang w:val="sr-Latn-ME"/>
        </w:rPr>
        <w:t xml:space="preserve"> a 62% najmanje 4 godine.</w:t>
      </w:r>
      <w:r w:rsidR="00431469" w:rsidRPr="00DE2CF7">
        <w:rPr>
          <w:szCs w:val="22"/>
          <w:lang w:val="sr-Latn-ME"/>
        </w:rPr>
        <w:t xml:space="preserve"> Pacijenti su mogli dobiti dodatnu terapiju za PAH po </w:t>
      </w:r>
      <w:r w:rsidR="007C26FA" w:rsidRPr="00DE2CF7">
        <w:rPr>
          <w:szCs w:val="22"/>
          <w:lang w:val="sr-Latn-ME"/>
        </w:rPr>
        <w:t>potrebi, u</w:t>
      </w:r>
      <w:r w:rsidRPr="00DE2CF7">
        <w:rPr>
          <w:szCs w:val="22"/>
          <w:lang w:val="sr-Latn-ME"/>
        </w:rPr>
        <w:t xml:space="preserve"> otvorenom </w:t>
      </w:r>
      <w:r w:rsidR="00431469" w:rsidRPr="00DE2CF7">
        <w:rPr>
          <w:szCs w:val="22"/>
          <w:lang w:val="sr-Latn-ME"/>
        </w:rPr>
        <w:t>produžetku liječenja.</w:t>
      </w:r>
      <w:r w:rsidRPr="00DE2CF7">
        <w:rPr>
          <w:szCs w:val="22"/>
          <w:lang w:val="sr-Latn-ME"/>
        </w:rPr>
        <w:t xml:space="preserve"> Većina pacijenata imala je </w:t>
      </w:r>
      <w:r w:rsidR="00431469" w:rsidRPr="00DE2CF7">
        <w:rPr>
          <w:szCs w:val="22"/>
          <w:lang w:val="sr-Latn-ME"/>
        </w:rPr>
        <w:t xml:space="preserve">dijagnozu </w:t>
      </w:r>
      <w:r w:rsidRPr="00DE2CF7">
        <w:rPr>
          <w:szCs w:val="22"/>
          <w:lang w:val="sr-Latn-ME"/>
        </w:rPr>
        <w:t>idiopatsk</w:t>
      </w:r>
      <w:r w:rsidR="00431469" w:rsidRPr="00DE2CF7">
        <w:rPr>
          <w:szCs w:val="22"/>
          <w:lang w:val="sr-Latn-ME"/>
        </w:rPr>
        <w:t>og</w:t>
      </w:r>
      <w:r w:rsidRPr="00DE2CF7">
        <w:rPr>
          <w:szCs w:val="22"/>
          <w:lang w:val="sr-Latn-ME"/>
        </w:rPr>
        <w:t xml:space="preserve"> ili </w:t>
      </w:r>
      <w:r w:rsidR="007453E0" w:rsidRPr="00DE2CF7">
        <w:rPr>
          <w:szCs w:val="22"/>
          <w:lang w:val="sr-Latn-ME"/>
        </w:rPr>
        <w:t>nasljedn</w:t>
      </w:r>
      <w:r w:rsidR="00431469" w:rsidRPr="00DE2CF7">
        <w:rPr>
          <w:szCs w:val="22"/>
          <w:lang w:val="sr-Latn-ME"/>
        </w:rPr>
        <w:t>og PAH-a</w:t>
      </w:r>
      <w:r w:rsidRPr="00DE2CF7">
        <w:rPr>
          <w:szCs w:val="22"/>
          <w:lang w:val="sr-Latn-ME"/>
        </w:rPr>
        <w:t xml:space="preserve"> (61%). </w:t>
      </w:r>
      <w:r w:rsidR="00431469" w:rsidRPr="00DE2CF7">
        <w:rPr>
          <w:szCs w:val="22"/>
          <w:lang w:val="sr-Latn-ME"/>
        </w:rPr>
        <w:t>Sveu</w:t>
      </w:r>
      <w:r w:rsidRPr="00DE2CF7">
        <w:rPr>
          <w:szCs w:val="22"/>
          <w:lang w:val="sr-Latn-ME"/>
        </w:rPr>
        <w:t xml:space="preserve">kupno, 78% pacijenata ostalo je u SZO funkcionalnoj klasi II. </w:t>
      </w:r>
      <w:r w:rsidRPr="00DE2CF7">
        <w:rPr>
          <w:i/>
          <w:szCs w:val="22"/>
          <w:lang w:val="sr-Latn-ME"/>
        </w:rPr>
        <w:t>Kaplan-Meier-</w:t>
      </w:r>
      <w:r w:rsidR="00431469" w:rsidRPr="00DE2CF7">
        <w:rPr>
          <w:szCs w:val="22"/>
          <w:lang w:val="sr-Latn-ME"/>
        </w:rPr>
        <w:t xml:space="preserve">ove </w:t>
      </w:r>
      <w:r w:rsidR="003E63C6" w:rsidRPr="00DE2CF7">
        <w:rPr>
          <w:szCs w:val="22"/>
          <w:lang w:val="sr-Latn-ME"/>
        </w:rPr>
        <w:t>procjen</w:t>
      </w:r>
      <w:r w:rsidRPr="00DE2CF7">
        <w:rPr>
          <w:szCs w:val="22"/>
          <w:lang w:val="sr-Latn-ME"/>
        </w:rPr>
        <w:t xml:space="preserve">e preživljavanja iznosile su 90% i 85% </w:t>
      </w:r>
      <w:r w:rsidR="00C41DB7" w:rsidRPr="00DE2CF7">
        <w:rPr>
          <w:szCs w:val="22"/>
          <w:lang w:val="sr-Latn-ME"/>
        </w:rPr>
        <w:t xml:space="preserve">nakon </w:t>
      </w:r>
      <w:r w:rsidRPr="00DE2CF7">
        <w:rPr>
          <w:szCs w:val="22"/>
          <w:lang w:val="sr-Latn-ME"/>
        </w:rPr>
        <w:t xml:space="preserve">3 odnosno 4 godine nakon početka </w:t>
      </w:r>
      <w:r w:rsidR="007C26FA" w:rsidRPr="00DE2CF7">
        <w:rPr>
          <w:szCs w:val="22"/>
          <w:lang w:val="sr-Latn-ME"/>
        </w:rPr>
        <w:t>liječenja. U</w:t>
      </w:r>
      <w:r w:rsidR="00431469" w:rsidRPr="00DE2CF7">
        <w:rPr>
          <w:szCs w:val="22"/>
          <w:lang w:val="sr-Latn-ME"/>
        </w:rPr>
        <w:t xml:space="preserve"> istim vremenskim </w:t>
      </w:r>
      <w:r w:rsidR="009D738B" w:rsidRPr="00DE2CF7">
        <w:rPr>
          <w:szCs w:val="22"/>
          <w:lang w:val="sr-Latn-ME"/>
        </w:rPr>
        <w:t>razdobljima, kod</w:t>
      </w:r>
      <w:r w:rsidRPr="00DE2CF7">
        <w:rPr>
          <w:szCs w:val="22"/>
          <w:lang w:val="sr-Latn-ME"/>
        </w:rPr>
        <w:t xml:space="preserve"> 88% i 79% pacijenata nije došlo do pogoršanja PAH (definisano kao smrtni slučaj iz bilo kog razloga, transplantacija pluća, atrijalna septostomija ili započinjanje intravenske ili </w:t>
      </w:r>
      <w:r w:rsidR="00C81349" w:rsidRPr="00DE2CF7">
        <w:rPr>
          <w:szCs w:val="22"/>
          <w:lang w:val="sr-Latn-ME"/>
        </w:rPr>
        <w:t xml:space="preserve">subkutane </w:t>
      </w:r>
      <w:r w:rsidR="004374E0" w:rsidRPr="00DE2CF7">
        <w:rPr>
          <w:szCs w:val="22"/>
          <w:lang w:val="sr-Latn-ME"/>
        </w:rPr>
        <w:t xml:space="preserve">primjene </w:t>
      </w:r>
      <w:r w:rsidR="00C3549F" w:rsidRPr="00DE2CF7">
        <w:rPr>
          <w:szCs w:val="22"/>
          <w:lang w:val="sr-Latn-ME"/>
        </w:rPr>
        <w:t xml:space="preserve">prostanoida). </w:t>
      </w:r>
      <w:r w:rsidRPr="00DE2CF7">
        <w:rPr>
          <w:szCs w:val="22"/>
          <w:lang w:val="sr-Latn-ME"/>
        </w:rPr>
        <w:t xml:space="preserve">Relativni doprinosi prethodnog </w:t>
      </w:r>
      <w:r w:rsidR="007453E0" w:rsidRPr="00DE2CF7">
        <w:rPr>
          <w:szCs w:val="22"/>
          <w:lang w:val="sr-Latn-ME"/>
        </w:rPr>
        <w:t>liječenj</w:t>
      </w:r>
      <w:r w:rsidR="00D601F5" w:rsidRPr="00DE2CF7">
        <w:rPr>
          <w:szCs w:val="22"/>
          <w:lang w:val="sr-Latn-ME"/>
        </w:rPr>
        <w:t>a placebom u d</w:t>
      </w:r>
      <w:r w:rsidR="00431469" w:rsidRPr="00DE2CF7">
        <w:rPr>
          <w:szCs w:val="22"/>
          <w:lang w:val="sr-Latn-ME"/>
        </w:rPr>
        <w:t>v</w:t>
      </w:r>
      <w:r w:rsidR="00D601F5" w:rsidRPr="00DE2CF7">
        <w:rPr>
          <w:szCs w:val="22"/>
          <w:lang w:val="sr-Latn-ME"/>
        </w:rPr>
        <w:t xml:space="preserve">ostruko </w:t>
      </w:r>
      <w:r w:rsidRPr="00DE2CF7">
        <w:rPr>
          <w:szCs w:val="22"/>
          <w:lang w:val="sr-Latn-ME"/>
        </w:rPr>
        <w:t>sl</w:t>
      </w:r>
      <w:r w:rsidR="00431469" w:rsidRPr="00DE2CF7">
        <w:rPr>
          <w:szCs w:val="22"/>
          <w:lang w:val="sr-Latn-ME"/>
        </w:rPr>
        <w:t>ij</w:t>
      </w:r>
      <w:r w:rsidRPr="00DE2CF7">
        <w:rPr>
          <w:szCs w:val="22"/>
          <w:lang w:val="sr-Latn-ME"/>
        </w:rPr>
        <w:t>epoj fazi studije</w:t>
      </w:r>
      <w:r w:rsidR="00D33A43" w:rsidRPr="00DE2CF7">
        <w:rPr>
          <w:szCs w:val="22"/>
          <w:lang w:val="sr-Latn-ME"/>
        </w:rPr>
        <w:t>,</w:t>
      </w:r>
      <w:r w:rsidRPr="00DE2CF7">
        <w:rPr>
          <w:szCs w:val="22"/>
          <w:lang w:val="sr-Latn-ME"/>
        </w:rPr>
        <w:t xml:space="preserve"> kao i drugih l</w:t>
      </w:r>
      <w:r w:rsidR="00D601F5" w:rsidRPr="00DE2CF7">
        <w:rPr>
          <w:szCs w:val="22"/>
          <w:lang w:val="sr-Latn-ME"/>
        </w:rPr>
        <w:t>j</w:t>
      </w:r>
      <w:r w:rsidRPr="00DE2CF7">
        <w:rPr>
          <w:szCs w:val="22"/>
          <w:lang w:val="sr-Latn-ME"/>
        </w:rPr>
        <w:t xml:space="preserve">ekova uvedenih tokom otvorenog perioda produžetka </w:t>
      </w:r>
      <w:r w:rsidR="007453E0" w:rsidRPr="00DE2CF7">
        <w:rPr>
          <w:szCs w:val="22"/>
          <w:lang w:val="sr-Latn-ME"/>
        </w:rPr>
        <w:t>liječenj</w:t>
      </w:r>
      <w:r w:rsidRPr="00DE2CF7">
        <w:rPr>
          <w:szCs w:val="22"/>
          <w:lang w:val="sr-Latn-ME"/>
        </w:rPr>
        <w:t>a, nisu poznati.</w:t>
      </w:r>
    </w:p>
    <w:p w14:paraId="626CEE54" w14:textId="77777777" w:rsidR="00C3549F" w:rsidRPr="00DE2CF7" w:rsidRDefault="00C3549F" w:rsidP="00DE2CF7">
      <w:pPr>
        <w:rPr>
          <w:szCs w:val="22"/>
          <w:lang w:val="sr-Latn-ME"/>
        </w:rPr>
      </w:pPr>
    </w:p>
    <w:p w14:paraId="07FFFF89" w14:textId="77777777" w:rsidR="0090133B" w:rsidRPr="00DE2CF7" w:rsidRDefault="0090133B" w:rsidP="00DE2CF7">
      <w:pPr>
        <w:rPr>
          <w:szCs w:val="22"/>
          <w:lang w:val="sr-Latn-ME"/>
        </w:rPr>
      </w:pPr>
      <w:r w:rsidRPr="00DE2CF7">
        <w:rPr>
          <w:szCs w:val="22"/>
          <w:lang w:val="sr-Latn-ME"/>
        </w:rPr>
        <w:t>U prospektivnoj, multicentričnoj, randomizovanoj, dvostruko</w:t>
      </w:r>
      <w:r w:rsidR="00D601F5" w:rsidRPr="00DE2CF7">
        <w:rPr>
          <w:szCs w:val="22"/>
          <w:lang w:val="sr-Latn-ME"/>
        </w:rPr>
        <w:t xml:space="preserve"> </w:t>
      </w:r>
      <w:r w:rsidRPr="00DE2CF7">
        <w:rPr>
          <w:szCs w:val="22"/>
          <w:lang w:val="sr-Latn-ME"/>
        </w:rPr>
        <w:t>sl</w:t>
      </w:r>
      <w:r w:rsidR="00D601F5" w:rsidRPr="00DE2CF7">
        <w:rPr>
          <w:szCs w:val="22"/>
          <w:lang w:val="sr-Latn-ME"/>
        </w:rPr>
        <w:t>ij</w:t>
      </w:r>
      <w:r w:rsidRPr="00DE2CF7">
        <w:rPr>
          <w:szCs w:val="22"/>
          <w:lang w:val="sr-Latn-ME"/>
        </w:rPr>
        <w:t xml:space="preserve">epoj, placebom kontrolisanoj studiji (AC-052-405 [BREATHE-5]), pacijenti sa plućnom arterijskom hipertenzijom SZO funkcionalne klase III i </w:t>
      </w:r>
      <w:r w:rsidRPr="00DE2CF7">
        <w:rPr>
          <w:i/>
          <w:szCs w:val="22"/>
          <w:lang w:val="sr-Latn-ME"/>
        </w:rPr>
        <w:t>Eisenmenger</w:t>
      </w:r>
      <w:r w:rsidRPr="00DE2CF7">
        <w:rPr>
          <w:szCs w:val="22"/>
          <w:lang w:val="sr-Latn-ME"/>
        </w:rPr>
        <w:t xml:space="preserve">-ovom fiziologijom udruženom sa kongenitalnom bolešću srca primali su bosentan 62,5 mg dva puta dnevno tokom 4 </w:t>
      </w:r>
      <w:r w:rsidR="001165AF" w:rsidRPr="00DE2CF7">
        <w:rPr>
          <w:szCs w:val="22"/>
          <w:lang w:val="sr-Latn-ME"/>
        </w:rPr>
        <w:t>nedjelje</w:t>
      </w:r>
      <w:r w:rsidRPr="00DE2CF7">
        <w:rPr>
          <w:szCs w:val="22"/>
          <w:lang w:val="sr-Latn-ME"/>
        </w:rPr>
        <w:t xml:space="preserve">, zatim 125 mg dva puta dnevno tokom narednih 12 </w:t>
      </w:r>
      <w:r w:rsidR="003E63C6" w:rsidRPr="00DE2CF7">
        <w:rPr>
          <w:szCs w:val="22"/>
          <w:lang w:val="sr-Latn-ME"/>
        </w:rPr>
        <w:t>nedjelja</w:t>
      </w:r>
      <w:r w:rsidRPr="00DE2CF7">
        <w:rPr>
          <w:szCs w:val="22"/>
          <w:lang w:val="sr-Latn-ME"/>
        </w:rPr>
        <w:t xml:space="preserve"> (n=37, od kojih je 31 imao pretežno desno-l</w:t>
      </w:r>
      <w:r w:rsidR="00D33A43" w:rsidRPr="00DE2CF7">
        <w:rPr>
          <w:szCs w:val="22"/>
          <w:lang w:val="sr-Latn-ME"/>
        </w:rPr>
        <w:t>ij</w:t>
      </w:r>
      <w:r w:rsidRPr="00DE2CF7">
        <w:rPr>
          <w:szCs w:val="22"/>
          <w:lang w:val="sr-Latn-ME"/>
        </w:rPr>
        <w:t xml:space="preserve">evi, bidirekcioni šant). Primarni cilj studije bio je da se pokaže da bosentan nije pogoršao hipoksemiju. </w:t>
      </w:r>
      <w:r w:rsidR="00431469" w:rsidRPr="00DE2CF7">
        <w:rPr>
          <w:szCs w:val="22"/>
          <w:lang w:val="sr-Latn-ME"/>
        </w:rPr>
        <w:t xml:space="preserve">Nakon </w:t>
      </w:r>
      <w:r w:rsidRPr="00DE2CF7">
        <w:rPr>
          <w:szCs w:val="22"/>
          <w:lang w:val="sr-Latn-ME"/>
        </w:rPr>
        <w:t xml:space="preserve">16 </w:t>
      </w:r>
      <w:r w:rsidR="003E63C6" w:rsidRPr="00DE2CF7">
        <w:rPr>
          <w:szCs w:val="22"/>
          <w:lang w:val="sr-Latn-ME"/>
        </w:rPr>
        <w:t>nedjelja</w:t>
      </w:r>
      <w:r w:rsidRPr="00DE2CF7">
        <w:rPr>
          <w:szCs w:val="22"/>
          <w:lang w:val="sr-Latn-ME"/>
        </w:rPr>
        <w:t>, pros</w:t>
      </w:r>
      <w:r w:rsidR="00D601F5" w:rsidRPr="00DE2CF7">
        <w:rPr>
          <w:szCs w:val="22"/>
          <w:lang w:val="sr-Latn-ME"/>
        </w:rPr>
        <w:t>j</w:t>
      </w:r>
      <w:r w:rsidRPr="00DE2CF7">
        <w:rPr>
          <w:szCs w:val="22"/>
          <w:lang w:val="sr-Latn-ME"/>
        </w:rPr>
        <w:t>ečna saturacija kiseonikom se povećala u grupi koja je dobij</w:t>
      </w:r>
      <w:r w:rsidR="00D601F5" w:rsidRPr="00DE2CF7">
        <w:rPr>
          <w:szCs w:val="22"/>
          <w:lang w:val="sr-Latn-ME"/>
        </w:rPr>
        <w:t>ala bosentan za 1</w:t>
      </w:r>
      <w:r w:rsidR="00B8346D" w:rsidRPr="00DE2CF7">
        <w:rPr>
          <w:szCs w:val="22"/>
          <w:lang w:val="sr-Latn-ME"/>
        </w:rPr>
        <w:t>,</w:t>
      </w:r>
      <w:r w:rsidR="00D601F5" w:rsidRPr="00DE2CF7">
        <w:rPr>
          <w:szCs w:val="22"/>
          <w:lang w:val="sr-Latn-ME"/>
        </w:rPr>
        <w:t>0% (95% CI –0</w:t>
      </w:r>
      <w:r w:rsidR="00B8346D" w:rsidRPr="00DE2CF7">
        <w:rPr>
          <w:szCs w:val="22"/>
          <w:lang w:val="sr-Latn-ME"/>
        </w:rPr>
        <w:t>,</w:t>
      </w:r>
      <w:r w:rsidR="00D601F5" w:rsidRPr="00DE2CF7">
        <w:rPr>
          <w:szCs w:val="22"/>
          <w:lang w:val="sr-Latn-ME"/>
        </w:rPr>
        <w:t>7% - 2</w:t>
      </w:r>
      <w:r w:rsidR="00B8346D" w:rsidRPr="00DE2CF7">
        <w:rPr>
          <w:szCs w:val="22"/>
          <w:lang w:val="sr-Latn-ME"/>
        </w:rPr>
        <w:t>,</w:t>
      </w:r>
      <w:r w:rsidRPr="00DE2CF7">
        <w:rPr>
          <w:szCs w:val="22"/>
          <w:lang w:val="sr-Latn-ME"/>
        </w:rPr>
        <w:t>8%) u poređenju sa grupom koja je dobijala placebo (n=17 pacijenata), što pokazuje da bosentan nije pogoršao hipoksemiju. Pros</w:t>
      </w:r>
      <w:r w:rsidR="00D601F5" w:rsidRPr="00DE2CF7">
        <w:rPr>
          <w:szCs w:val="22"/>
          <w:lang w:val="sr-Latn-ME"/>
        </w:rPr>
        <w:t>j</w:t>
      </w:r>
      <w:r w:rsidRPr="00DE2CF7">
        <w:rPr>
          <w:szCs w:val="22"/>
          <w:lang w:val="sr-Latn-ME"/>
        </w:rPr>
        <w:t xml:space="preserve">ečan plućni vaskularni otpor bio je značajno smanjen u grupi koja je dobijala bosentan (dominantan efekat uočen je u podgrupi pacijenata sa bidirekcionim srčanim šantom). </w:t>
      </w:r>
      <w:r w:rsidR="00431469" w:rsidRPr="00DE2CF7">
        <w:rPr>
          <w:szCs w:val="22"/>
          <w:lang w:val="sr-Latn-ME"/>
        </w:rPr>
        <w:t>Nakon</w:t>
      </w:r>
      <w:r w:rsidR="00B8346D" w:rsidRPr="00DE2CF7">
        <w:rPr>
          <w:szCs w:val="22"/>
          <w:lang w:val="sr-Latn-ME"/>
        </w:rPr>
        <w:t xml:space="preserve"> </w:t>
      </w:r>
      <w:r w:rsidRPr="00DE2CF7">
        <w:rPr>
          <w:szCs w:val="22"/>
          <w:lang w:val="sr-Latn-ME"/>
        </w:rPr>
        <w:t xml:space="preserve">16 </w:t>
      </w:r>
      <w:r w:rsidR="003E63C6" w:rsidRPr="00DE2CF7">
        <w:rPr>
          <w:szCs w:val="22"/>
          <w:lang w:val="sr-Latn-ME"/>
        </w:rPr>
        <w:t>nedjelja</w:t>
      </w:r>
      <w:r w:rsidRPr="00DE2CF7">
        <w:rPr>
          <w:szCs w:val="22"/>
          <w:lang w:val="sr-Latn-ME"/>
        </w:rPr>
        <w:t>, pros</w:t>
      </w:r>
      <w:r w:rsidR="00431469" w:rsidRPr="00DE2CF7">
        <w:rPr>
          <w:szCs w:val="22"/>
          <w:lang w:val="sr-Latn-ME"/>
        </w:rPr>
        <w:t>j</w:t>
      </w:r>
      <w:r w:rsidRPr="00DE2CF7">
        <w:rPr>
          <w:szCs w:val="22"/>
          <w:lang w:val="sr-Latn-ME"/>
        </w:rPr>
        <w:t>ečno povećanje 6</w:t>
      </w:r>
      <w:r w:rsidR="00431469" w:rsidRPr="00DE2CF7">
        <w:rPr>
          <w:szCs w:val="22"/>
          <w:lang w:val="sr-Latn-ME"/>
        </w:rPr>
        <w:t>-</w:t>
      </w:r>
      <w:r w:rsidRPr="00DE2CF7">
        <w:rPr>
          <w:szCs w:val="22"/>
          <w:lang w:val="sr-Latn-ME"/>
        </w:rPr>
        <w:t>minut</w:t>
      </w:r>
      <w:r w:rsidR="00431469" w:rsidRPr="00DE2CF7">
        <w:rPr>
          <w:szCs w:val="22"/>
          <w:lang w:val="sr-Latn-ME"/>
        </w:rPr>
        <w:t>ne udaljenosti pređene hodanje</w:t>
      </w:r>
      <w:r w:rsidR="00B8346D" w:rsidRPr="00DE2CF7">
        <w:rPr>
          <w:szCs w:val="22"/>
          <w:lang w:val="sr-Latn-ME"/>
        </w:rPr>
        <w:t>m</w:t>
      </w:r>
      <w:r w:rsidR="00431469" w:rsidRPr="00DE2CF7">
        <w:rPr>
          <w:szCs w:val="22"/>
          <w:lang w:val="sr-Latn-ME"/>
        </w:rPr>
        <w:t xml:space="preserve"> </w:t>
      </w:r>
      <w:r w:rsidRPr="00DE2CF7">
        <w:rPr>
          <w:szCs w:val="22"/>
          <w:lang w:val="sr-Latn-ME"/>
        </w:rPr>
        <w:t>iznosilo je 53 metra (</w:t>
      </w:r>
      <w:r w:rsidR="00431469" w:rsidRPr="00DE2CF7">
        <w:rPr>
          <w:szCs w:val="22"/>
          <w:lang w:val="sr-Latn-ME"/>
        </w:rPr>
        <w:t xml:space="preserve">korigovano s obzirom na placebo; </w:t>
      </w:r>
      <w:r w:rsidRPr="00DE2CF7">
        <w:rPr>
          <w:szCs w:val="22"/>
          <w:lang w:val="sr-Latn-ME"/>
        </w:rPr>
        <w:t>p=0</w:t>
      </w:r>
      <w:r w:rsidR="00B8346D" w:rsidRPr="00DE2CF7">
        <w:rPr>
          <w:szCs w:val="22"/>
          <w:lang w:val="sr-Latn-ME"/>
        </w:rPr>
        <w:t>,</w:t>
      </w:r>
      <w:r w:rsidRPr="00DE2CF7">
        <w:rPr>
          <w:szCs w:val="22"/>
          <w:lang w:val="sr-Latn-ME"/>
        </w:rPr>
        <w:t xml:space="preserve">0079), što ukazuje da je došlo do poboljšanja </w:t>
      </w:r>
      <w:r w:rsidR="00431469" w:rsidRPr="00DE2CF7">
        <w:rPr>
          <w:szCs w:val="22"/>
          <w:lang w:val="sr-Latn-ME"/>
        </w:rPr>
        <w:t>fizičkih sposobnosti</w:t>
      </w:r>
      <w:r w:rsidRPr="00DE2CF7">
        <w:rPr>
          <w:szCs w:val="22"/>
          <w:lang w:val="sr-Latn-ME"/>
        </w:rPr>
        <w:t xml:space="preserve">. Dvadeset i šest pacijenata nastavilo je da prima bosentan tokom produžene otvorene faze (AC-052-409) studije BREATHE-5, koja je trajala 24 </w:t>
      </w:r>
      <w:r w:rsidR="001165AF" w:rsidRPr="00DE2CF7">
        <w:rPr>
          <w:szCs w:val="22"/>
          <w:lang w:val="sr-Latn-ME"/>
        </w:rPr>
        <w:t>nedjelje</w:t>
      </w:r>
      <w:r w:rsidRPr="00DE2CF7">
        <w:rPr>
          <w:szCs w:val="22"/>
          <w:lang w:val="sr-Latn-ME"/>
        </w:rPr>
        <w:t xml:space="preserve"> (pros</w:t>
      </w:r>
      <w:r w:rsidR="00B8346D" w:rsidRPr="00DE2CF7">
        <w:rPr>
          <w:szCs w:val="22"/>
          <w:lang w:val="sr-Latn-ME"/>
        </w:rPr>
        <w:t>j</w:t>
      </w:r>
      <w:r w:rsidRPr="00DE2CF7">
        <w:rPr>
          <w:szCs w:val="22"/>
          <w:lang w:val="sr-Latn-ME"/>
        </w:rPr>
        <w:t xml:space="preserve">ečno trajanje </w:t>
      </w:r>
      <w:r w:rsidR="007453E0" w:rsidRPr="00DE2CF7">
        <w:rPr>
          <w:szCs w:val="22"/>
          <w:lang w:val="sr-Latn-ME"/>
        </w:rPr>
        <w:t>liječenj</w:t>
      </w:r>
      <w:r w:rsidR="00D601F5" w:rsidRPr="00DE2CF7">
        <w:rPr>
          <w:szCs w:val="22"/>
          <w:lang w:val="sr-Latn-ME"/>
        </w:rPr>
        <w:t>a bilo je 24</w:t>
      </w:r>
      <w:r w:rsidR="00B8346D" w:rsidRPr="00DE2CF7">
        <w:rPr>
          <w:szCs w:val="22"/>
          <w:lang w:val="sr-Latn-ME"/>
        </w:rPr>
        <w:t>,</w:t>
      </w:r>
      <w:r w:rsidR="00D601F5" w:rsidRPr="00DE2CF7">
        <w:rPr>
          <w:szCs w:val="22"/>
          <w:lang w:val="sr-Latn-ME"/>
        </w:rPr>
        <w:t>4 +/- 2</w:t>
      </w:r>
      <w:r w:rsidR="00B8346D" w:rsidRPr="00DE2CF7">
        <w:rPr>
          <w:szCs w:val="22"/>
          <w:lang w:val="sr-Latn-ME"/>
        </w:rPr>
        <w:t>,</w:t>
      </w:r>
      <w:r w:rsidRPr="00DE2CF7">
        <w:rPr>
          <w:szCs w:val="22"/>
          <w:lang w:val="sr-Latn-ME"/>
        </w:rPr>
        <w:t xml:space="preserve">0 </w:t>
      </w:r>
      <w:r w:rsidR="001165AF" w:rsidRPr="00DE2CF7">
        <w:rPr>
          <w:szCs w:val="22"/>
          <w:lang w:val="sr-Latn-ME"/>
        </w:rPr>
        <w:t>nedjelje</w:t>
      </w:r>
      <w:r w:rsidRPr="00DE2CF7">
        <w:rPr>
          <w:szCs w:val="22"/>
          <w:lang w:val="sr-Latn-ME"/>
        </w:rPr>
        <w:t>) i efikasnost je uglavnom bila održana.</w:t>
      </w:r>
    </w:p>
    <w:p w14:paraId="02FAD748" w14:textId="77777777" w:rsidR="00C3549F" w:rsidRPr="00DE2CF7" w:rsidRDefault="00C3549F" w:rsidP="00DE2CF7">
      <w:pPr>
        <w:rPr>
          <w:szCs w:val="22"/>
          <w:lang w:val="sr-Latn-ME"/>
        </w:rPr>
      </w:pPr>
    </w:p>
    <w:p w14:paraId="6C219495" w14:textId="77777777" w:rsidR="0090133B" w:rsidRPr="00DE2CF7" w:rsidRDefault="0090133B" w:rsidP="00DE2CF7">
      <w:pPr>
        <w:rPr>
          <w:szCs w:val="22"/>
          <w:lang w:val="sr-Latn-ME"/>
        </w:rPr>
      </w:pPr>
      <w:r w:rsidRPr="00DE2CF7">
        <w:rPr>
          <w:szCs w:val="22"/>
          <w:lang w:val="sr-Latn-ME"/>
        </w:rPr>
        <w:t xml:space="preserve">Otvorena, nekomparativna studija (AC-052-362 [BREATHE-4]) sprovedena je </w:t>
      </w:r>
      <w:r w:rsidR="00B8346D" w:rsidRPr="00DE2CF7">
        <w:rPr>
          <w:szCs w:val="22"/>
          <w:lang w:val="sr-Latn-ME"/>
        </w:rPr>
        <w:t xml:space="preserve">kod </w:t>
      </w:r>
      <w:r w:rsidRPr="00DE2CF7">
        <w:rPr>
          <w:szCs w:val="22"/>
          <w:lang w:val="sr-Latn-ME"/>
        </w:rPr>
        <w:t>16 pacijenata sa PAH-om, SZO funkcionalne klase III, udruženom sa HIV infekcijom. Pacijenti su l</w:t>
      </w:r>
      <w:r w:rsidR="00D601F5" w:rsidRPr="00DE2CF7">
        <w:rPr>
          <w:szCs w:val="22"/>
          <w:lang w:val="sr-Latn-ME"/>
        </w:rPr>
        <w:t>iječeni bosentanom 62</w:t>
      </w:r>
      <w:r w:rsidR="00B8346D" w:rsidRPr="00DE2CF7">
        <w:rPr>
          <w:szCs w:val="22"/>
          <w:lang w:val="sr-Latn-ME"/>
        </w:rPr>
        <w:t>,</w:t>
      </w:r>
      <w:r w:rsidRPr="00DE2CF7">
        <w:rPr>
          <w:szCs w:val="22"/>
          <w:lang w:val="sr-Latn-ME"/>
        </w:rPr>
        <w:t xml:space="preserve">5 mg dva puta dnevno tokom 4 </w:t>
      </w:r>
      <w:r w:rsidR="001165AF" w:rsidRPr="00DE2CF7">
        <w:rPr>
          <w:szCs w:val="22"/>
          <w:lang w:val="sr-Latn-ME"/>
        </w:rPr>
        <w:t>nedjelje</w:t>
      </w:r>
      <w:r w:rsidRPr="00DE2CF7">
        <w:rPr>
          <w:szCs w:val="22"/>
          <w:lang w:val="sr-Latn-ME"/>
        </w:rPr>
        <w:t xml:space="preserve">, a zatim sa 125 mg dva puta dnevno tokom narednih 12 </w:t>
      </w:r>
      <w:r w:rsidR="003E63C6" w:rsidRPr="00DE2CF7">
        <w:rPr>
          <w:szCs w:val="22"/>
          <w:lang w:val="sr-Latn-ME"/>
        </w:rPr>
        <w:t>nedjelja</w:t>
      </w:r>
      <w:r w:rsidRPr="00DE2CF7">
        <w:rPr>
          <w:szCs w:val="22"/>
          <w:lang w:val="sr-Latn-ME"/>
        </w:rPr>
        <w:t xml:space="preserve">. </w:t>
      </w:r>
      <w:r w:rsidR="00EE47D2" w:rsidRPr="00DE2CF7">
        <w:rPr>
          <w:szCs w:val="22"/>
          <w:lang w:val="sr-Latn-ME"/>
        </w:rPr>
        <w:t xml:space="preserve">Nakon </w:t>
      </w:r>
      <w:r w:rsidRPr="00DE2CF7">
        <w:rPr>
          <w:szCs w:val="22"/>
          <w:lang w:val="sr-Latn-ME"/>
        </w:rPr>
        <w:t xml:space="preserve">16 </w:t>
      </w:r>
      <w:r w:rsidR="003E63C6" w:rsidRPr="00DE2CF7">
        <w:rPr>
          <w:szCs w:val="22"/>
          <w:lang w:val="sr-Latn-ME"/>
        </w:rPr>
        <w:t>nedjelja</w:t>
      </w:r>
      <w:r w:rsidRPr="00DE2CF7">
        <w:rPr>
          <w:szCs w:val="22"/>
          <w:lang w:val="sr-Latn-ME"/>
        </w:rPr>
        <w:t xml:space="preserve"> </w:t>
      </w:r>
      <w:r w:rsidR="007453E0" w:rsidRPr="00DE2CF7">
        <w:rPr>
          <w:szCs w:val="22"/>
          <w:lang w:val="sr-Latn-ME"/>
        </w:rPr>
        <w:t>liječenj</w:t>
      </w:r>
      <w:r w:rsidRPr="00DE2CF7">
        <w:rPr>
          <w:szCs w:val="22"/>
          <w:lang w:val="sr-Latn-ME"/>
        </w:rPr>
        <w:t xml:space="preserve">a, došlo je do značajnog poboljšanja </w:t>
      </w:r>
      <w:r w:rsidR="00C41DB7" w:rsidRPr="00DE2CF7">
        <w:rPr>
          <w:szCs w:val="22"/>
          <w:lang w:val="sr-Latn-ME"/>
        </w:rPr>
        <w:t>fizičke sposobnosti</w:t>
      </w:r>
      <w:r w:rsidRPr="00DE2CF7">
        <w:rPr>
          <w:szCs w:val="22"/>
          <w:lang w:val="sr-Latn-ME"/>
        </w:rPr>
        <w:t xml:space="preserve"> u odnosu na početne </w:t>
      </w:r>
      <w:r w:rsidR="002407A5" w:rsidRPr="00DE2CF7">
        <w:rPr>
          <w:szCs w:val="22"/>
          <w:lang w:val="sr-Latn-ME"/>
        </w:rPr>
        <w:t>vrijednost</w:t>
      </w:r>
      <w:r w:rsidRPr="00DE2CF7">
        <w:rPr>
          <w:szCs w:val="22"/>
          <w:lang w:val="sr-Latn-ME"/>
        </w:rPr>
        <w:t>i</w:t>
      </w:r>
      <w:r w:rsidR="00C41DB7" w:rsidRPr="00DE2CF7">
        <w:rPr>
          <w:szCs w:val="22"/>
          <w:lang w:val="sr-Latn-ME"/>
        </w:rPr>
        <w:t>;</w:t>
      </w:r>
      <w:r w:rsidRPr="00DE2CF7">
        <w:rPr>
          <w:szCs w:val="22"/>
          <w:lang w:val="sr-Latn-ME"/>
        </w:rPr>
        <w:t xml:space="preserve"> </w:t>
      </w:r>
      <w:r w:rsidR="00C41DB7" w:rsidRPr="00DE2CF7">
        <w:rPr>
          <w:szCs w:val="22"/>
          <w:lang w:val="sr-Latn-ME"/>
        </w:rPr>
        <w:t xml:space="preserve">srednje </w:t>
      </w:r>
      <w:r w:rsidR="00D601F5" w:rsidRPr="00DE2CF7">
        <w:rPr>
          <w:szCs w:val="22"/>
          <w:lang w:val="sr-Latn-ME"/>
        </w:rPr>
        <w:t>p</w:t>
      </w:r>
      <w:r w:rsidRPr="00DE2CF7">
        <w:rPr>
          <w:szCs w:val="22"/>
          <w:lang w:val="sr-Latn-ME"/>
        </w:rPr>
        <w:t>ovećanje 6-minutn</w:t>
      </w:r>
      <w:r w:rsidR="00C41DB7" w:rsidRPr="00DE2CF7">
        <w:rPr>
          <w:szCs w:val="22"/>
          <w:lang w:val="sr-Latn-ME"/>
        </w:rPr>
        <w:t xml:space="preserve">e postignute udaljenosti hodom </w:t>
      </w:r>
      <w:r w:rsidR="00D601F5" w:rsidRPr="00DE2CF7">
        <w:rPr>
          <w:szCs w:val="22"/>
          <w:lang w:val="sr-Latn-ME"/>
        </w:rPr>
        <w:t>iznosilo je 91</w:t>
      </w:r>
      <w:r w:rsidR="00B8346D" w:rsidRPr="00DE2CF7">
        <w:rPr>
          <w:szCs w:val="22"/>
          <w:lang w:val="sr-Latn-ME"/>
        </w:rPr>
        <w:t>,</w:t>
      </w:r>
      <w:r w:rsidRPr="00DE2CF7">
        <w:rPr>
          <w:szCs w:val="22"/>
          <w:lang w:val="sr-Latn-ME"/>
        </w:rPr>
        <w:t>4 metra u odnosu na 332</w:t>
      </w:r>
      <w:r w:rsidR="00B8346D" w:rsidRPr="00DE2CF7">
        <w:rPr>
          <w:szCs w:val="22"/>
          <w:lang w:val="sr-Latn-ME"/>
        </w:rPr>
        <w:t>,</w:t>
      </w:r>
      <w:r w:rsidRPr="00DE2CF7">
        <w:rPr>
          <w:szCs w:val="22"/>
          <w:lang w:val="sr-Latn-ME"/>
        </w:rPr>
        <w:t xml:space="preserve">6 metara </w:t>
      </w:r>
      <w:r w:rsidR="00C41DB7" w:rsidRPr="00DE2CF7">
        <w:rPr>
          <w:szCs w:val="22"/>
          <w:lang w:val="sr-Latn-ME"/>
        </w:rPr>
        <w:t xml:space="preserve">koja </w:t>
      </w:r>
      <w:r w:rsidR="009D738B" w:rsidRPr="00DE2CF7">
        <w:rPr>
          <w:szCs w:val="22"/>
          <w:lang w:val="sr-Latn-ME"/>
        </w:rPr>
        <w:t>čine prosječnu</w:t>
      </w:r>
      <w:r w:rsidRPr="00DE2CF7">
        <w:rPr>
          <w:szCs w:val="22"/>
          <w:lang w:val="sr-Latn-ME"/>
        </w:rPr>
        <w:t xml:space="preserve"> pređen</w:t>
      </w:r>
      <w:r w:rsidR="00C41DB7" w:rsidRPr="00DE2CF7">
        <w:rPr>
          <w:szCs w:val="22"/>
          <w:lang w:val="sr-Latn-ME"/>
        </w:rPr>
        <w:t>u</w:t>
      </w:r>
      <w:r w:rsidRPr="00DE2CF7">
        <w:rPr>
          <w:szCs w:val="22"/>
          <w:lang w:val="sr-Latn-ME"/>
        </w:rPr>
        <w:t xml:space="preserve"> </w:t>
      </w:r>
      <w:r w:rsidR="00C41DB7" w:rsidRPr="00DE2CF7">
        <w:rPr>
          <w:szCs w:val="22"/>
          <w:lang w:val="sr-Latn-ME"/>
        </w:rPr>
        <w:t>udaljenost prije početka liječenja</w:t>
      </w:r>
      <w:r w:rsidRPr="00DE2CF7">
        <w:rPr>
          <w:szCs w:val="22"/>
          <w:lang w:val="sr-Latn-ME"/>
        </w:rPr>
        <w:t xml:space="preserve"> (p&lt;0,001). Ne može se izvesti formalan zaključak o uticaju bosentana na efikasnost antiretrovirusne terapije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4.4).</w:t>
      </w:r>
    </w:p>
    <w:p w14:paraId="5F4E1782" w14:textId="77777777" w:rsidR="00C3549F" w:rsidRPr="00DE2CF7" w:rsidRDefault="00C3549F" w:rsidP="00DE2CF7">
      <w:pPr>
        <w:rPr>
          <w:szCs w:val="22"/>
          <w:lang w:val="sr-Latn-ME"/>
        </w:rPr>
      </w:pPr>
    </w:p>
    <w:p w14:paraId="51E8BF0D" w14:textId="77777777" w:rsidR="006C02D6" w:rsidRPr="00DE2CF7" w:rsidRDefault="00C41DB7" w:rsidP="00DE2CF7">
      <w:pPr>
        <w:rPr>
          <w:szCs w:val="22"/>
          <w:lang w:val="sr-Latn-ME"/>
        </w:rPr>
      </w:pPr>
      <w:r w:rsidRPr="00DE2CF7">
        <w:rPr>
          <w:szCs w:val="22"/>
          <w:lang w:val="sr-Latn-ME"/>
        </w:rPr>
        <w:t xml:space="preserve">Ne postoje studije koje bi pokazale povoljno djelovanje liječenja lijekom Bosentan </w:t>
      </w:r>
      <w:r w:rsidR="009D738B" w:rsidRPr="00DE2CF7">
        <w:rPr>
          <w:szCs w:val="22"/>
          <w:lang w:val="sr-Latn-ME"/>
        </w:rPr>
        <w:t>Pharmascience na</w:t>
      </w:r>
      <w:r w:rsidR="0090133B" w:rsidRPr="00DE2CF7">
        <w:rPr>
          <w:szCs w:val="22"/>
          <w:lang w:val="sr-Latn-ME"/>
        </w:rPr>
        <w:t xml:space="preserve"> preživljavanje pacijenata. Međutim, dugoročn</w:t>
      </w:r>
      <w:r w:rsidR="00D601F5" w:rsidRPr="00DE2CF7">
        <w:rPr>
          <w:szCs w:val="22"/>
          <w:lang w:val="sr-Latn-ME"/>
        </w:rPr>
        <w:t xml:space="preserve">a vitalnost je </w:t>
      </w:r>
      <w:r w:rsidRPr="00DE2CF7">
        <w:rPr>
          <w:szCs w:val="22"/>
          <w:lang w:val="sr-Latn-ME"/>
        </w:rPr>
        <w:t>zabilježena kod</w:t>
      </w:r>
      <w:r w:rsidR="0090133B" w:rsidRPr="00DE2CF7">
        <w:rPr>
          <w:szCs w:val="22"/>
          <w:lang w:val="sr-Latn-ME"/>
        </w:rPr>
        <w:t xml:space="preserve"> 235 pacijenata l</w:t>
      </w:r>
      <w:r w:rsidR="00D601F5" w:rsidRPr="00DE2CF7">
        <w:rPr>
          <w:szCs w:val="22"/>
          <w:lang w:val="sr-Latn-ME"/>
        </w:rPr>
        <w:t>ij</w:t>
      </w:r>
      <w:r w:rsidR="0090133B" w:rsidRPr="00DE2CF7">
        <w:rPr>
          <w:szCs w:val="22"/>
          <w:lang w:val="sr-Latn-ME"/>
        </w:rPr>
        <w:t xml:space="preserve">ečenih bosentanom u </w:t>
      </w:r>
      <w:r w:rsidR="009D738B" w:rsidRPr="00DE2CF7">
        <w:rPr>
          <w:szCs w:val="22"/>
          <w:lang w:val="sr-Latn-ME"/>
        </w:rPr>
        <w:t>dvije pivotalne</w:t>
      </w:r>
      <w:r w:rsidR="0090133B" w:rsidRPr="00DE2CF7">
        <w:rPr>
          <w:szCs w:val="22"/>
          <w:lang w:val="sr-Latn-ME"/>
        </w:rPr>
        <w:t xml:space="preserve">, placebom kontrolisane studije (AC-052-351 i AC-052-352) i/ili </w:t>
      </w:r>
      <w:r w:rsidRPr="00DE2CF7">
        <w:rPr>
          <w:szCs w:val="22"/>
          <w:lang w:val="sr-Latn-ME"/>
        </w:rPr>
        <w:t xml:space="preserve">njihova </w:t>
      </w:r>
      <w:r w:rsidR="009D738B" w:rsidRPr="00DE2CF7">
        <w:rPr>
          <w:szCs w:val="22"/>
          <w:lang w:val="sr-Latn-ME"/>
        </w:rPr>
        <w:t>dva nekontrolisanaa</w:t>
      </w:r>
      <w:r w:rsidR="0090133B" w:rsidRPr="00DE2CF7">
        <w:rPr>
          <w:szCs w:val="22"/>
          <w:lang w:val="sr-Latn-ME"/>
        </w:rPr>
        <w:t xml:space="preserve"> </w:t>
      </w:r>
      <w:r w:rsidRPr="00DE2CF7">
        <w:rPr>
          <w:szCs w:val="22"/>
          <w:lang w:val="sr-Latn-ME"/>
        </w:rPr>
        <w:t xml:space="preserve">otvorena </w:t>
      </w:r>
      <w:r w:rsidR="0090133B" w:rsidRPr="00DE2CF7">
        <w:rPr>
          <w:szCs w:val="22"/>
          <w:lang w:val="sr-Latn-ME"/>
        </w:rPr>
        <w:t>produže</w:t>
      </w:r>
      <w:r w:rsidRPr="00DE2CF7">
        <w:rPr>
          <w:szCs w:val="22"/>
          <w:lang w:val="sr-Latn-ME"/>
        </w:rPr>
        <w:t>nja</w:t>
      </w:r>
      <w:r w:rsidR="0090133B" w:rsidRPr="00DE2CF7">
        <w:rPr>
          <w:szCs w:val="22"/>
          <w:lang w:val="sr-Latn-ME"/>
        </w:rPr>
        <w:t>. Srednje trajanje izlo</w:t>
      </w:r>
      <w:r w:rsidR="00D601F5" w:rsidRPr="00DE2CF7">
        <w:rPr>
          <w:szCs w:val="22"/>
          <w:lang w:val="sr-Latn-ME"/>
        </w:rPr>
        <w:t>ženosti bosentanu iznosilo je 1</w:t>
      </w:r>
      <w:r w:rsidR="00B8346D" w:rsidRPr="00DE2CF7">
        <w:rPr>
          <w:szCs w:val="22"/>
          <w:lang w:val="sr-Latn-ME"/>
        </w:rPr>
        <w:t>,</w:t>
      </w:r>
      <w:r w:rsidR="00D601F5" w:rsidRPr="00DE2CF7">
        <w:rPr>
          <w:szCs w:val="22"/>
          <w:lang w:val="sr-Latn-ME"/>
        </w:rPr>
        <w:t>9 godina +/- 0</w:t>
      </w:r>
      <w:r w:rsidR="00B8346D" w:rsidRPr="00DE2CF7">
        <w:rPr>
          <w:szCs w:val="22"/>
          <w:lang w:val="sr-Latn-ME"/>
        </w:rPr>
        <w:t>,</w:t>
      </w:r>
      <w:r w:rsidR="0090133B" w:rsidRPr="00DE2CF7">
        <w:rPr>
          <w:szCs w:val="22"/>
          <w:lang w:val="sr-Latn-ME"/>
        </w:rPr>
        <w:t>7 godina (min: 0</w:t>
      </w:r>
      <w:r w:rsidR="00B8346D" w:rsidRPr="00DE2CF7">
        <w:rPr>
          <w:szCs w:val="22"/>
          <w:lang w:val="sr-Latn-ME"/>
        </w:rPr>
        <w:t>,</w:t>
      </w:r>
      <w:r w:rsidR="00D601F5" w:rsidRPr="00DE2CF7">
        <w:rPr>
          <w:szCs w:val="22"/>
          <w:lang w:val="sr-Latn-ME"/>
        </w:rPr>
        <w:t>1</w:t>
      </w:r>
      <w:r w:rsidR="0090133B" w:rsidRPr="00DE2CF7">
        <w:rPr>
          <w:szCs w:val="22"/>
          <w:lang w:val="sr-Latn-ME"/>
        </w:rPr>
        <w:t xml:space="preserve"> godina; max: 3</w:t>
      </w:r>
      <w:r w:rsidR="00B8346D" w:rsidRPr="00DE2CF7">
        <w:rPr>
          <w:szCs w:val="22"/>
          <w:lang w:val="sr-Latn-ME"/>
        </w:rPr>
        <w:t>,</w:t>
      </w:r>
      <w:r w:rsidR="0090133B" w:rsidRPr="00DE2CF7">
        <w:rPr>
          <w:szCs w:val="22"/>
          <w:lang w:val="sr-Latn-ME"/>
        </w:rPr>
        <w:t>3 godine)</w:t>
      </w:r>
      <w:r w:rsidRPr="00DE2CF7">
        <w:rPr>
          <w:szCs w:val="22"/>
          <w:lang w:val="sr-Latn-ME"/>
        </w:rPr>
        <w:t>,</w:t>
      </w:r>
      <w:r w:rsidR="0090133B" w:rsidRPr="00DE2CF7">
        <w:rPr>
          <w:szCs w:val="22"/>
          <w:lang w:val="sr-Latn-ME"/>
        </w:rPr>
        <w:t xml:space="preserve"> a </w:t>
      </w:r>
      <w:r w:rsidRPr="00DE2CF7">
        <w:rPr>
          <w:szCs w:val="22"/>
          <w:lang w:val="sr-Latn-ME"/>
        </w:rPr>
        <w:t xml:space="preserve">srednja vrijednost vremena praćenja </w:t>
      </w:r>
      <w:r w:rsidR="0090133B" w:rsidRPr="00DE2CF7">
        <w:rPr>
          <w:szCs w:val="22"/>
          <w:lang w:val="sr-Latn-ME"/>
        </w:rPr>
        <w:t>pacijent</w:t>
      </w:r>
      <w:r w:rsidRPr="00DE2CF7">
        <w:rPr>
          <w:szCs w:val="22"/>
          <w:lang w:val="sr-Latn-ME"/>
        </w:rPr>
        <w:t>a</w:t>
      </w:r>
      <w:r w:rsidR="00B8346D" w:rsidRPr="00DE2CF7">
        <w:rPr>
          <w:szCs w:val="22"/>
          <w:lang w:val="sr-Latn-ME"/>
        </w:rPr>
        <w:t xml:space="preserve"> </w:t>
      </w:r>
      <w:r w:rsidRPr="00DE2CF7">
        <w:rPr>
          <w:szCs w:val="22"/>
          <w:lang w:val="sr-Latn-ME"/>
        </w:rPr>
        <w:t xml:space="preserve">iznosila je od </w:t>
      </w:r>
      <w:r w:rsidR="0090133B" w:rsidRPr="00DE2CF7">
        <w:rPr>
          <w:szCs w:val="22"/>
          <w:lang w:val="sr-Latn-ME"/>
        </w:rPr>
        <w:t xml:space="preserve">2,0 +/- 0,6 godina. Većina pacijenata imala je </w:t>
      </w:r>
      <w:r w:rsidRPr="00DE2CF7">
        <w:rPr>
          <w:szCs w:val="22"/>
          <w:lang w:val="sr-Latn-ME"/>
        </w:rPr>
        <w:t xml:space="preserve">dijagnozu </w:t>
      </w:r>
      <w:r w:rsidR="0090133B" w:rsidRPr="00DE2CF7">
        <w:rPr>
          <w:szCs w:val="22"/>
          <w:lang w:val="sr-Latn-ME"/>
        </w:rPr>
        <w:t>primarn</w:t>
      </w:r>
      <w:r w:rsidRPr="00DE2CF7">
        <w:rPr>
          <w:szCs w:val="22"/>
          <w:lang w:val="sr-Latn-ME"/>
        </w:rPr>
        <w:t>e</w:t>
      </w:r>
      <w:r w:rsidR="0090133B" w:rsidRPr="00DE2CF7">
        <w:rPr>
          <w:szCs w:val="22"/>
          <w:lang w:val="sr-Latn-ME"/>
        </w:rPr>
        <w:t xml:space="preserve"> plućn</w:t>
      </w:r>
      <w:r w:rsidRPr="00DE2CF7">
        <w:rPr>
          <w:szCs w:val="22"/>
          <w:lang w:val="sr-Latn-ME"/>
        </w:rPr>
        <w:t xml:space="preserve">e </w:t>
      </w:r>
      <w:r w:rsidR="009D738B" w:rsidRPr="00DE2CF7">
        <w:rPr>
          <w:szCs w:val="22"/>
          <w:lang w:val="sr-Latn-ME"/>
        </w:rPr>
        <w:t>arterijske hipertenzije</w:t>
      </w:r>
      <w:r w:rsidR="0090133B" w:rsidRPr="00DE2CF7">
        <w:rPr>
          <w:szCs w:val="22"/>
          <w:lang w:val="sr-Latn-ME"/>
        </w:rPr>
        <w:t xml:space="preserve"> (72%) </w:t>
      </w:r>
      <w:r w:rsidRPr="00DE2CF7">
        <w:rPr>
          <w:szCs w:val="22"/>
          <w:lang w:val="sr-Latn-ME"/>
        </w:rPr>
        <w:t xml:space="preserve">pa su bili </w:t>
      </w:r>
      <w:r w:rsidR="009D738B" w:rsidRPr="00DE2CF7">
        <w:rPr>
          <w:szCs w:val="22"/>
          <w:lang w:val="sr-Latn-ME"/>
        </w:rPr>
        <w:t>u SZO</w:t>
      </w:r>
      <w:r w:rsidR="0090133B" w:rsidRPr="00DE2CF7">
        <w:rPr>
          <w:szCs w:val="22"/>
          <w:lang w:val="sr-Latn-ME"/>
        </w:rPr>
        <w:t xml:space="preserve"> </w:t>
      </w:r>
      <w:r w:rsidR="009D738B" w:rsidRPr="00DE2CF7">
        <w:rPr>
          <w:szCs w:val="22"/>
          <w:lang w:val="sr-Latn-ME"/>
        </w:rPr>
        <w:t>funkcionalnoj klasi</w:t>
      </w:r>
      <w:r w:rsidR="0090133B" w:rsidRPr="00DE2CF7">
        <w:rPr>
          <w:szCs w:val="22"/>
          <w:lang w:val="sr-Latn-ME"/>
        </w:rPr>
        <w:t xml:space="preserve"> III (84%). U c</w:t>
      </w:r>
      <w:r w:rsidR="00FD1BF0" w:rsidRPr="00DE2CF7">
        <w:rPr>
          <w:szCs w:val="22"/>
          <w:lang w:val="sr-Latn-ME"/>
        </w:rPr>
        <w:t>j</w:t>
      </w:r>
      <w:r w:rsidR="0090133B" w:rsidRPr="00DE2CF7">
        <w:rPr>
          <w:szCs w:val="22"/>
          <w:lang w:val="sr-Latn-ME"/>
        </w:rPr>
        <w:t xml:space="preserve">elokupnoj populaciji pacijenata, </w:t>
      </w:r>
      <w:r w:rsidR="0090133B" w:rsidRPr="00DE2CF7">
        <w:rPr>
          <w:i/>
          <w:szCs w:val="22"/>
          <w:lang w:val="sr-Latn-ME"/>
        </w:rPr>
        <w:t>Kaplan-Meier-</w:t>
      </w:r>
      <w:r w:rsidR="0090133B" w:rsidRPr="00DE2CF7">
        <w:rPr>
          <w:szCs w:val="22"/>
          <w:lang w:val="sr-Latn-ME"/>
        </w:rPr>
        <w:t>ov</w:t>
      </w:r>
      <w:r w:rsidRPr="00DE2CF7">
        <w:rPr>
          <w:szCs w:val="22"/>
          <w:lang w:val="sr-Latn-ME"/>
        </w:rPr>
        <w:t>a</w:t>
      </w:r>
      <w:r w:rsidR="0090133B" w:rsidRPr="00DE2CF7">
        <w:rPr>
          <w:szCs w:val="22"/>
          <w:lang w:val="sr-Latn-ME"/>
        </w:rPr>
        <w:t xml:space="preserve"> </w:t>
      </w:r>
      <w:r w:rsidR="003E63C6" w:rsidRPr="00DE2CF7">
        <w:rPr>
          <w:szCs w:val="22"/>
          <w:lang w:val="sr-Latn-ME"/>
        </w:rPr>
        <w:t>procjen</w:t>
      </w:r>
      <w:r w:rsidRPr="00DE2CF7">
        <w:rPr>
          <w:szCs w:val="22"/>
          <w:lang w:val="sr-Latn-ME"/>
        </w:rPr>
        <w:t>a</w:t>
      </w:r>
      <w:r w:rsidR="0090133B" w:rsidRPr="00DE2CF7">
        <w:rPr>
          <w:szCs w:val="22"/>
          <w:lang w:val="sr-Latn-ME"/>
        </w:rPr>
        <w:t xml:space="preserve"> preživljavanja iznosil</w:t>
      </w:r>
      <w:r w:rsidRPr="00DE2CF7">
        <w:rPr>
          <w:szCs w:val="22"/>
          <w:lang w:val="sr-Latn-ME"/>
        </w:rPr>
        <w:t>a</w:t>
      </w:r>
      <w:r w:rsidR="0090133B" w:rsidRPr="00DE2CF7">
        <w:rPr>
          <w:szCs w:val="22"/>
          <w:lang w:val="sr-Latn-ME"/>
        </w:rPr>
        <w:t xml:space="preserve"> </w:t>
      </w:r>
      <w:r w:rsidRPr="00DE2CF7">
        <w:rPr>
          <w:szCs w:val="22"/>
          <w:lang w:val="sr-Latn-ME"/>
        </w:rPr>
        <w:t>je</w:t>
      </w:r>
      <w:r w:rsidR="0090133B" w:rsidRPr="00DE2CF7">
        <w:rPr>
          <w:szCs w:val="22"/>
          <w:lang w:val="sr-Latn-ME"/>
        </w:rPr>
        <w:t xml:space="preserve"> 93% i 84% </w:t>
      </w:r>
      <w:r w:rsidR="003E63C6" w:rsidRPr="00DE2CF7">
        <w:rPr>
          <w:szCs w:val="22"/>
          <w:lang w:val="sr-Latn-ME"/>
        </w:rPr>
        <w:t>posl</w:t>
      </w:r>
      <w:r w:rsidR="00EE47D2" w:rsidRPr="00DE2CF7">
        <w:rPr>
          <w:szCs w:val="22"/>
          <w:lang w:val="sr-Latn-ME"/>
        </w:rPr>
        <w:t>i</w:t>
      </w:r>
      <w:r w:rsidR="003E63C6" w:rsidRPr="00DE2CF7">
        <w:rPr>
          <w:szCs w:val="22"/>
          <w:lang w:val="sr-Latn-ME"/>
        </w:rPr>
        <w:t xml:space="preserve">je </w:t>
      </w:r>
      <w:r w:rsidR="0090133B" w:rsidRPr="00DE2CF7">
        <w:rPr>
          <w:szCs w:val="22"/>
          <w:lang w:val="sr-Latn-ME"/>
        </w:rPr>
        <w:t xml:space="preserve">1, odnosno 2 godine od početka </w:t>
      </w:r>
      <w:r w:rsidR="007453E0" w:rsidRPr="00DE2CF7">
        <w:rPr>
          <w:szCs w:val="22"/>
          <w:lang w:val="sr-Latn-ME"/>
        </w:rPr>
        <w:t>liječenj</w:t>
      </w:r>
      <w:r w:rsidR="0090133B" w:rsidRPr="00DE2CF7">
        <w:rPr>
          <w:szCs w:val="22"/>
          <w:lang w:val="sr-Latn-ME"/>
        </w:rPr>
        <w:t xml:space="preserve">a bosentanom. </w:t>
      </w:r>
      <w:r w:rsidRPr="00DE2CF7">
        <w:rPr>
          <w:szCs w:val="22"/>
          <w:lang w:val="sr-Latn-ME"/>
        </w:rPr>
        <w:t xml:space="preserve">Procjena </w:t>
      </w:r>
      <w:r w:rsidR="00B8346D" w:rsidRPr="00DE2CF7">
        <w:rPr>
          <w:szCs w:val="22"/>
          <w:lang w:val="sr-Latn-ME"/>
        </w:rPr>
        <w:t xml:space="preserve">preživljavanja </w:t>
      </w:r>
      <w:r w:rsidRPr="00DE2CF7">
        <w:rPr>
          <w:szCs w:val="22"/>
          <w:lang w:val="sr-Latn-ME"/>
        </w:rPr>
        <w:t>bila je niža</w:t>
      </w:r>
      <w:r w:rsidRPr="00DE2CF7" w:rsidDel="00C41DB7">
        <w:rPr>
          <w:szCs w:val="22"/>
          <w:lang w:val="sr-Latn-ME"/>
        </w:rPr>
        <w:t xml:space="preserve"> </w:t>
      </w:r>
      <w:r w:rsidR="0090133B" w:rsidRPr="00DE2CF7">
        <w:rPr>
          <w:szCs w:val="22"/>
          <w:lang w:val="sr-Latn-ME"/>
        </w:rPr>
        <w:t xml:space="preserve">u podgrupi pacijenata </w:t>
      </w:r>
      <w:r w:rsidRPr="00DE2CF7">
        <w:rPr>
          <w:szCs w:val="22"/>
          <w:lang w:val="sr-Latn-ME"/>
        </w:rPr>
        <w:t xml:space="preserve">kod kojih </w:t>
      </w:r>
      <w:r w:rsidR="009D738B" w:rsidRPr="00DE2CF7">
        <w:rPr>
          <w:szCs w:val="22"/>
          <w:lang w:val="sr-Latn-ME"/>
        </w:rPr>
        <w:t>je PAH</w:t>
      </w:r>
      <w:r w:rsidR="0090133B" w:rsidRPr="00DE2CF7">
        <w:rPr>
          <w:szCs w:val="22"/>
          <w:lang w:val="sr-Latn-ME"/>
        </w:rPr>
        <w:t xml:space="preserve"> </w:t>
      </w:r>
      <w:r w:rsidR="009D738B" w:rsidRPr="00DE2CF7">
        <w:rPr>
          <w:szCs w:val="22"/>
          <w:lang w:val="sr-Latn-ME"/>
        </w:rPr>
        <w:t>pratio sistemsku</w:t>
      </w:r>
      <w:r w:rsidR="0090133B" w:rsidRPr="00DE2CF7">
        <w:rPr>
          <w:szCs w:val="22"/>
          <w:lang w:val="sr-Latn-ME"/>
        </w:rPr>
        <w:t xml:space="preserve"> skleroz</w:t>
      </w:r>
      <w:r w:rsidRPr="00DE2CF7">
        <w:rPr>
          <w:szCs w:val="22"/>
          <w:lang w:val="sr-Latn-ME"/>
        </w:rPr>
        <w:t>u</w:t>
      </w:r>
      <w:r w:rsidR="0090133B" w:rsidRPr="00DE2CF7">
        <w:rPr>
          <w:szCs w:val="22"/>
          <w:lang w:val="sr-Latn-ME"/>
        </w:rPr>
        <w:t xml:space="preserve">. </w:t>
      </w:r>
    </w:p>
    <w:p w14:paraId="68F633FB" w14:textId="77777777" w:rsidR="0090133B" w:rsidRPr="00DE2CF7" w:rsidRDefault="006C02D6" w:rsidP="00DE2CF7">
      <w:pPr>
        <w:rPr>
          <w:szCs w:val="22"/>
          <w:lang w:val="sr-Latn-ME"/>
        </w:rPr>
      </w:pPr>
      <w:r w:rsidRPr="00DE2CF7">
        <w:rPr>
          <w:szCs w:val="22"/>
          <w:lang w:val="sr-Latn-ME"/>
        </w:rPr>
        <w:t>Procijenjene vrijednosti možda su mogle biti pod uticajem početka liječenja epoprostenolom kod 43/235 pacijenata.</w:t>
      </w:r>
    </w:p>
    <w:p w14:paraId="4835115B" w14:textId="77777777" w:rsidR="00C41DB7" w:rsidRPr="00DE2CF7" w:rsidRDefault="00C41DB7" w:rsidP="00DE2CF7">
      <w:pPr>
        <w:rPr>
          <w:i/>
          <w:szCs w:val="22"/>
          <w:highlight w:val="yellow"/>
          <w:lang w:val="sr-Latn-ME"/>
        </w:rPr>
      </w:pPr>
    </w:p>
    <w:p w14:paraId="36E79C7D" w14:textId="77777777" w:rsidR="0090133B" w:rsidRPr="00DE2CF7" w:rsidRDefault="0090133B" w:rsidP="00DE2CF7">
      <w:pPr>
        <w:rPr>
          <w:i/>
          <w:szCs w:val="22"/>
          <w:lang w:val="sr-Latn-ME"/>
        </w:rPr>
      </w:pPr>
      <w:r w:rsidRPr="00DE2CF7">
        <w:rPr>
          <w:i/>
          <w:szCs w:val="22"/>
          <w:lang w:val="sr-Latn-ME"/>
        </w:rPr>
        <w:t xml:space="preserve">Studije sprovedene </w:t>
      </w:r>
      <w:r w:rsidR="00B8346D" w:rsidRPr="00DE2CF7">
        <w:rPr>
          <w:i/>
          <w:szCs w:val="22"/>
          <w:lang w:val="sr-Latn-ME"/>
        </w:rPr>
        <w:t xml:space="preserve">kod djece </w:t>
      </w:r>
      <w:r w:rsidRPr="00DE2CF7">
        <w:rPr>
          <w:i/>
          <w:szCs w:val="22"/>
          <w:lang w:val="sr-Latn-ME"/>
        </w:rPr>
        <w:t>sa plućnom arterijskom hipertenzijom</w:t>
      </w:r>
    </w:p>
    <w:p w14:paraId="6E6B2560" w14:textId="77777777" w:rsidR="00C3549F" w:rsidRPr="00DE2CF7" w:rsidRDefault="00C3549F" w:rsidP="00DE2CF7">
      <w:pPr>
        <w:rPr>
          <w:i/>
          <w:szCs w:val="22"/>
          <w:lang w:val="sr-Latn-ME"/>
        </w:rPr>
      </w:pPr>
    </w:p>
    <w:p w14:paraId="1F85B609" w14:textId="77777777" w:rsidR="0090133B" w:rsidRPr="00DE2CF7" w:rsidRDefault="0090133B" w:rsidP="00DE2CF7">
      <w:pPr>
        <w:rPr>
          <w:szCs w:val="22"/>
          <w:lang w:val="sr-Latn-ME"/>
        </w:rPr>
      </w:pPr>
      <w:r w:rsidRPr="00DE2CF7">
        <w:rPr>
          <w:szCs w:val="22"/>
          <w:lang w:val="sr-Latn-ME"/>
        </w:rPr>
        <w:t>BREATHE-3 (AC-052-356)</w:t>
      </w:r>
    </w:p>
    <w:p w14:paraId="67A528F2" w14:textId="77777777" w:rsidR="0090133B" w:rsidRPr="00DE2CF7" w:rsidRDefault="0090133B" w:rsidP="00DE2CF7">
      <w:pPr>
        <w:rPr>
          <w:szCs w:val="22"/>
          <w:lang w:val="sr-Latn-ME"/>
        </w:rPr>
      </w:pPr>
      <w:r w:rsidRPr="00DE2CF7">
        <w:rPr>
          <w:szCs w:val="22"/>
          <w:lang w:val="sr-Latn-ME"/>
        </w:rPr>
        <w:t xml:space="preserve">Bosentan film tablete su ispitivane u otvorenoj nekontrolisanoj studiji </w:t>
      </w:r>
      <w:r w:rsidR="0050117C" w:rsidRPr="00DE2CF7">
        <w:rPr>
          <w:szCs w:val="22"/>
          <w:lang w:val="sr-Latn-ME"/>
        </w:rPr>
        <w:t xml:space="preserve">kod </w:t>
      </w:r>
      <w:r w:rsidRPr="00DE2CF7">
        <w:rPr>
          <w:szCs w:val="22"/>
          <w:lang w:val="sr-Latn-ME"/>
        </w:rPr>
        <w:t>19 pedijatrijskih pacijenata sa plućnom arterijskom hipertenzijom, uzrasta 3-15 godina. Studija je primarno dizajnirana kao farmakokinetička studija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5.2). </w:t>
      </w:r>
      <w:r w:rsidR="002958EF" w:rsidRPr="00DE2CF7">
        <w:rPr>
          <w:szCs w:val="22"/>
          <w:lang w:val="sr-Latn-ME"/>
        </w:rPr>
        <w:t>Obuhvaćeno je 10 p</w:t>
      </w:r>
      <w:r w:rsidRPr="00DE2CF7">
        <w:rPr>
          <w:szCs w:val="22"/>
          <w:lang w:val="sr-Latn-ME"/>
        </w:rPr>
        <w:t>acijen</w:t>
      </w:r>
      <w:r w:rsidR="002958EF" w:rsidRPr="00DE2CF7">
        <w:rPr>
          <w:szCs w:val="22"/>
          <w:lang w:val="sr-Latn-ME"/>
        </w:rPr>
        <w:t>a</w:t>
      </w:r>
      <w:r w:rsidRPr="00DE2CF7">
        <w:rPr>
          <w:szCs w:val="22"/>
          <w:lang w:val="sr-Latn-ME"/>
        </w:rPr>
        <w:t>t</w:t>
      </w:r>
      <w:r w:rsidR="002958EF" w:rsidRPr="00DE2CF7">
        <w:rPr>
          <w:szCs w:val="22"/>
          <w:lang w:val="sr-Latn-ME"/>
        </w:rPr>
        <w:t>a sa</w:t>
      </w:r>
      <w:r w:rsidRPr="00DE2CF7">
        <w:rPr>
          <w:szCs w:val="22"/>
          <w:lang w:val="sr-Latn-ME"/>
        </w:rPr>
        <w:t xml:space="preserve"> primarn</w:t>
      </w:r>
      <w:r w:rsidR="002958EF" w:rsidRPr="00DE2CF7">
        <w:rPr>
          <w:szCs w:val="22"/>
          <w:lang w:val="sr-Latn-ME"/>
        </w:rPr>
        <w:t>om</w:t>
      </w:r>
      <w:r w:rsidRPr="00DE2CF7">
        <w:rPr>
          <w:szCs w:val="22"/>
          <w:lang w:val="sr-Latn-ME"/>
        </w:rPr>
        <w:t xml:space="preserve"> plućn</w:t>
      </w:r>
      <w:r w:rsidR="002958EF" w:rsidRPr="00DE2CF7">
        <w:rPr>
          <w:szCs w:val="22"/>
          <w:lang w:val="sr-Latn-ME"/>
        </w:rPr>
        <w:t>om</w:t>
      </w:r>
      <w:r w:rsidRPr="00DE2CF7">
        <w:rPr>
          <w:szCs w:val="22"/>
          <w:lang w:val="sr-Latn-ME"/>
        </w:rPr>
        <w:t xml:space="preserve"> hipertenzij</w:t>
      </w:r>
      <w:r w:rsidR="002958EF" w:rsidRPr="00DE2CF7">
        <w:rPr>
          <w:szCs w:val="22"/>
          <w:lang w:val="sr-Latn-ME"/>
        </w:rPr>
        <w:t>om</w:t>
      </w:r>
      <w:r w:rsidRPr="00DE2CF7">
        <w:rPr>
          <w:szCs w:val="22"/>
          <w:lang w:val="sr-Latn-ME"/>
        </w:rPr>
        <w:t xml:space="preserve"> </w:t>
      </w:r>
      <w:r w:rsidR="002958EF" w:rsidRPr="00DE2CF7">
        <w:rPr>
          <w:szCs w:val="22"/>
          <w:lang w:val="sr-Latn-ME"/>
        </w:rPr>
        <w:t xml:space="preserve"> i 9 pacijenata sa </w:t>
      </w:r>
      <w:r w:rsidRPr="00DE2CF7">
        <w:rPr>
          <w:szCs w:val="22"/>
          <w:lang w:val="sr-Latn-ME"/>
        </w:rPr>
        <w:t xml:space="preserve"> plućn</w:t>
      </w:r>
      <w:r w:rsidR="002958EF" w:rsidRPr="00DE2CF7">
        <w:rPr>
          <w:szCs w:val="22"/>
          <w:lang w:val="sr-Latn-ME"/>
        </w:rPr>
        <w:t xml:space="preserve">om </w:t>
      </w:r>
      <w:r w:rsidRPr="00DE2CF7">
        <w:rPr>
          <w:szCs w:val="22"/>
          <w:lang w:val="sr-Latn-ME"/>
        </w:rPr>
        <w:t xml:space="preserve"> arterijsk</w:t>
      </w:r>
      <w:r w:rsidR="002958EF" w:rsidRPr="00DE2CF7">
        <w:rPr>
          <w:szCs w:val="22"/>
          <w:lang w:val="sr-Latn-ME"/>
        </w:rPr>
        <w:t>om</w:t>
      </w:r>
      <w:r w:rsidRPr="00DE2CF7">
        <w:rPr>
          <w:szCs w:val="22"/>
          <w:lang w:val="sr-Latn-ME"/>
        </w:rPr>
        <w:t xml:space="preserve"> hipertenzij</w:t>
      </w:r>
      <w:r w:rsidR="002958EF" w:rsidRPr="00DE2CF7">
        <w:rPr>
          <w:szCs w:val="22"/>
          <w:lang w:val="sr-Latn-ME"/>
        </w:rPr>
        <w:t>om</w:t>
      </w:r>
      <w:r w:rsidRPr="00DE2CF7">
        <w:rPr>
          <w:szCs w:val="22"/>
          <w:lang w:val="sr-Latn-ME"/>
        </w:rPr>
        <w:t xml:space="preserve"> povezan</w:t>
      </w:r>
      <w:r w:rsidR="002958EF" w:rsidRPr="00DE2CF7">
        <w:rPr>
          <w:szCs w:val="22"/>
          <w:lang w:val="sr-Latn-ME"/>
        </w:rPr>
        <w:t>om</w:t>
      </w:r>
      <w:r w:rsidRPr="00DE2CF7">
        <w:rPr>
          <w:szCs w:val="22"/>
          <w:lang w:val="sr-Latn-ME"/>
        </w:rPr>
        <w:t xml:space="preserve"> sa kongenitalnim srčanim bolestima i imali su SZO funkcionalne klase II (n=15 pacijenata, 79%) ili III (n=4 pacijenta, 21%) na početku studije. Pacijenti su bili pod</w:t>
      </w:r>
      <w:r w:rsidR="0036723C" w:rsidRPr="00DE2CF7">
        <w:rPr>
          <w:szCs w:val="22"/>
          <w:lang w:val="sr-Latn-ME"/>
        </w:rPr>
        <w:t>ij</w:t>
      </w:r>
      <w:r w:rsidRPr="00DE2CF7">
        <w:rPr>
          <w:szCs w:val="22"/>
          <w:lang w:val="sr-Latn-ME"/>
        </w:rPr>
        <w:t xml:space="preserve">eljeni u tri grupe prema </w:t>
      </w:r>
      <w:r w:rsidR="00FE2372" w:rsidRPr="00DE2CF7">
        <w:rPr>
          <w:szCs w:val="22"/>
          <w:lang w:val="sr-Latn-ME"/>
        </w:rPr>
        <w:t>tjelesn</w:t>
      </w:r>
      <w:r w:rsidRPr="00DE2CF7">
        <w:rPr>
          <w:szCs w:val="22"/>
          <w:lang w:val="sr-Latn-ME"/>
        </w:rPr>
        <w:t xml:space="preserve">oj masi i primali su doze od </w:t>
      </w:r>
      <w:r w:rsidR="0036723C" w:rsidRPr="00DE2CF7">
        <w:rPr>
          <w:szCs w:val="22"/>
          <w:lang w:val="sr-Latn-ME"/>
        </w:rPr>
        <w:t xml:space="preserve">otprilike </w:t>
      </w:r>
      <w:r w:rsidRPr="00DE2CF7">
        <w:rPr>
          <w:szCs w:val="22"/>
          <w:lang w:val="sr-Latn-ME"/>
        </w:rPr>
        <w:t xml:space="preserve">2 mg/kg tokom 12 </w:t>
      </w:r>
      <w:r w:rsidR="003E63C6" w:rsidRPr="00DE2CF7">
        <w:rPr>
          <w:szCs w:val="22"/>
          <w:lang w:val="sr-Latn-ME"/>
        </w:rPr>
        <w:t>nedjelja</w:t>
      </w:r>
      <w:r w:rsidRPr="00DE2CF7">
        <w:rPr>
          <w:szCs w:val="22"/>
          <w:lang w:val="sr-Latn-ME"/>
        </w:rPr>
        <w:t>. Polovina pacijenata u svakoj grupi je već bila l</w:t>
      </w:r>
      <w:r w:rsidR="0036723C" w:rsidRPr="00DE2CF7">
        <w:rPr>
          <w:szCs w:val="22"/>
          <w:lang w:val="sr-Latn-ME"/>
        </w:rPr>
        <w:t>ij</w:t>
      </w:r>
      <w:r w:rsidRPr="00DE2CF7">
        <w:rPr>
          <w:szCs w:val="22"/>
          <w:lang w:val="sr-Latn-ME"/>
        </w:rPr>
        <w:t>ečena intravenski epoprostenolom</w:t>
      </w:r>
      <w:r w:rsidR="0050117C" w:rsidRPr="00DE2CF7">
        <w:rPr>
          <w:szCs w:val="22"/>
          <w:lang w:val="sr-Latn-ME"/>
        </w:rPr>
        <w:t>,</w:t>
      </w:r>
      <w:r w:rsidRPr="00DE2CF7">
        <w:rPr>
          <w:szCs w:val="22"/>
          <w:lang w:val="sr-Latn-ME"/>
        </w:rPr>
        <w:t xml:space="preserve"> i doza epoprostenola je ostala konstantna tokom trajanja studije. </w:t>
      </w:r>
    </w:p>
    <w:p w14:paraId="4620B62A" w14:textId="77777777" w:rsidR="00C3549F" w:rsidRPr="00DE2CF7" w:rsidRDefault="00C3549F" w:rsidP="00DE2CF7">
      <w:pPr>
        <w:rPr>
          <w:szCs w:val="22"/>
          <w:lang w:val="sr-Latn-ME"/>
        </w:rPr>
      </w:pPr>
    </w:p>
    <w:p w14:paraId="6FF93276" w14:textId="77777777" w:rsidR="0090133B" w:rsidRPr="00DE2CF7" w:rsidRDefault="0090133B" w:rsidP="00DE2CF7">
      <w:pPr>
        <w:rPr>
          <w:szCs w:val="22"/>
          <w:lang w:val="sr-Latn-ME"/>
        </w:rPr>
      </w:pPr>
      <w:r w:rsidRPr="00DE2CF7">
        <w:rPr>
          <w:szCs w:val="22"/>
          <w:lang w:val="sr-Latn-ME"/>
        </w:rPr>
        <w:t>Hemodinamski parametri su određeni kod 17 pacijenata. Pros</w:t>
      </w:r>
      <w:r w:rsidR="0036723C" w:rsidRPr="00DE2CF7">
        <w:rPr>
          <w:szCs w:val="22"/>
          <w:lang w:val="sr-Latn-ME"/>
        </w:rPr>
        <w:t>j</w:t>
      </w:r>
      <w:r w:rsidRPr="00DE2CF7">
        <w:rPr>
          <w:szCs w:val="22"/>
          <w:lang w:val="sr-Latn-ME"/>
        </w:rPr>
        <w:t>ečno poveć</w:t>
      </w:r>
      <w:r w:rsidR="0036723C" w:rsidRPr="00DE2CF7">
        <w:rPr>
          <w:szCs w:val="22"/>
          <w:lang w:val="sr-Latn-ME"/>
        </w:rPr>
        <w:t>anje indeksa srca iznosilo je 0</w:t>
      </w:r>
      <w:r w:rsidR="0050117C" w:rsidRPr="00DE2CF7">
        <w:rPr>
          <w:szCs w:val="22"/>
          <w:lang w:val="sr-Latn-ME"/>
        </w:rPr>
        <w:t>,</w:t>
      </w:r>
      <w:r w:rsidRPr="00DE2CF7">
        <w:rPr>
          <w:szCs w:val="22"/>
          <w:lang w:val="sr-Latn-ME"/>
        </w:rPr>
        <w:t xml:space="preserve">5 </w:t>
      </w:r>
      <w:r w:rsidR="0050117C" w:rsidRPr="00DE2CF7">
        <w:rPr>
          <w:szCs w:val="22"/>
          <w:lang w:val="sr-Latn-ME"/>
        </w:rPr>
        <w:t>l</w:t>
      </w:r>
      <w:r w:rsidRPr="00DE2CF7">
        <w:rPr>
          <w:szCs w:val="22"/>
          <w:lang w:val="sr-Latn-ME"/>
        </w:rPr>
        <w:t>/min/m</w:t>
      </w:r>
      <w:r w:rsidRPr="00DE2CF7">
        <w:rPr>
          <w:szCs w:val="22"/>
          <w:vertAlign w:val="superscript"/>
          <w:lang w:val="sr-Latn-ME"/>
        </w:rPr>
        <w:t>2</w:t>
      </w:r>
      <w:r w:rsidRPr="00DE2CF7">
        <w:rPr>
          <w:szCs w:val="22"/>
          <w:lang w:val="sr-Latn-ME"/>
        </w:rPr>
        <w:t xml:space="preserve"> u odnosu na početne </w:t>
      </w:r>
      <w:r w:rsidR="002407A5" w:rsidRPr="00DE2CF7">
        <w:rPr>
          <w:szCs w:val="22"/>
          <w:lang w:val="sr-Latn-ME"/>
        </w:rPr>
        <w:t>vrijednost</w:t>
      </w:r>
      <w:r w:rsidRPr="00DE2CF7">
        <w:rPr>
          <w:szCs w:val="22"/>
          <w:lang w:val="sr-Latn-ME"/>
        </w:rPr>
        <w:t>i, pros</w:t>
      </w:r>
      <w:r w:rsidR="0036723C" w:rsidRPr="00DE2CF7">
        <w:rPr>
          <w:szCs w:val="22"/>
          <w:lang w:val="sr-Latn-ME"/>
        </w:rPr>
        <w:t>j</w:t>
      </w:r>
      <w:r w:rsidRPr="00DE2CF7">
        <w:rPr>
          <w:szCs w:val="22"/>
          <w:lang w:val="sr-Latn-ME"/>
        </w:rPr>
        <w:t>ečno smanjenje plućnog arterijskog pritiska iznosilo je 8 mmHg, i pros</w:t>
      </w:r>
      <w:r w:rsidR="0050117C" w:rsidRPr="00DE2CF7">
        <w:rPr>
          <w:szCs w:val="22"/>
          <w:lang w:val="sr-Latn-ME"/>
        </w:rPr>
        <w:t>j</w:t>
      </w:r>
      <w:r w:rsidRPr="00DE2CF7">
        <w:rPr>
          <w:szCs w:val="22"/>
          <w:lang w:val="sr-Latn-ME"/>
        </w:rPr>
        <w:t>ečno smanjenje PVR je bilo 389 dyn·sec·cm</w:t>
      </w:r>
      <w:r w:rsidRPr="00DE2CF7">
        <w:rPr>
          <w:szCs w:val="22"/>
          <w:vertAlign w:val="superscript"/>
          <w:lang w:val="sr-Latn-ME"/>
        </w:rPr>
        <w:t>-5</w:t>
      </w:r>
      <w:r w:rsidRPr="00DE2CF7">
        <w:rPr>
          <w:szCs w:val="22"/>
          <w:lang w:val="sr-Latn-ME"/>
        </w:rPr>
        <w:t xml:space="preserve">. Ova poboljšanja hemodinamskih parametara bila su slična sa ili bez istovremene </w:t>
      </w:r>
      <w:r w:rsidR="004374E0" w:rsidRPr="00DE2CF7">
        <w:rPr>
          <w:szCs w:val="22"/>
          <w:lang w:val="sr-Latn-ME"/>
        </w:rPr>
        <w:t xml:space="preserve">primjene </w:t>
      </w:r>
      <w:r w:rsidRPr="00DE2CF7">
        <w:rPr>
          <w:szCs w:val="22"/>
          <w:lang w:val="sr-Latn-ME"/>
        </w:rPr>
        <w:t>epoprostenola. Prom</w:t>
      </w:r>
      <w:r w:rsidR="00FD7648" w:rsidRPr="00DE2CF7">
        <w:rPr>
          <w:szCs w:val="22"/>
          <w:lang w:val="sr-Latn-ME"/>
        </w:rPr>
        <w:t>j</w:t>
      </w:r>
      <w:r w:rsidRPr="00DE2CF7">
        <w:rPr>
          <w:szCs w:val="22"/>
          <w:lang w:val="sr-Latn-ME"/>
        </w:rPr>
        <w:t xml:space="preserve">ene u parametrima testa fizičke aktivnosti </w:t>
      </w:r>
      <w:r w:rsidR="009768C5" w:rsidRPr="00DE2CF7">
        <w:rPr>
          <w:szCs w:val="22"/>
          <w:lang w:val="sr-Latn-ME"/>
        </w:rPr>
        <w:t xml:space="preserve">nakon </w:t>
      </w:r>
      <w:r w:rsidRPr="00DE2CF7">
        <w:rPr>
          <w:szCs w:val="22"/>
          <w:lang w:val="sr-Latn-ME"/>
        </w:rPr>
        <w:t>12</w:t>
      </w:r>
      <w:r w:rsidR="0050117C" w:rsidRPr="00DE2CF7">
        <w:rPr>
          <w:szCs w:val="22"/>
          <w:lang w:val="sr-Latn-ME"/>
        </w:rPr>
        <w:t xml:space="preserve"> </w:t>
      </w:r>
      <w:r w:rsidR="009D738B" w:rsidRPr="00DE2CF7">
        <w:rPr>
          <w:szCs w:val="22"/>
          <w:lang w:val="sr-Latn-ME"/>
        </w:rPr>
        <w:t>nedjelja liječenja</w:t>
      </w:r>
      <w:r w:rsidRPr="00DE2CF7">
        <w:rPr>
          <w:szCs w:val="22"/>
          <w:lang w:val="sr-Latn-ME"/>
        </w:rPr>
        <w:t xml:space="preserve">, bile su veoma varijabilne i nisu bile statistički značajne. </w:t>
      </w:r>
    </w:p>
    <w:p w14:paraId="4611C477" w14:textId="77777777" w:rsidR="00C3549F" w:rsidRPr="00DE2CF7" w:rsidRDefault="00C3549F" w:rsidP="00DE2CF7">
      <w:pPr>
        <w:rPr>
          <w:szCs w:val="22"/>
          <w:lang w:val="sr-Latn-ME"/>
        </w:rPr>
      </w:pPr>
    </w:p>
    <w:p w14:paraId="32AADCC7" w14:textId="77777777" w:rsidR="0090133B" w:rsidRPr="00DE2CF7" w:rsidRDefault="0090133B" w:rsidP="00DE2CF7">
      <w:pPr>
        <w:rPr>
          <w:szCs w:val="22"/>
          <w:lang w:val="sr-Latn-ME"/>
        </w:rPr>
      </w:pPr>
      <w:r w:rsidRPr="00DE2CF7">
        <w:rPr>
          <w:szCs w:val="22"/>
          <w:lang w:val="sr-Latn-ME"/>
        </w:rPr>
        <w:t>FUTURE 1/2 (AC-052-365/AC-052-367)</w:t>
      </w:r>
    </w:p>
    <w:p w14:paraId="5FE48613" w14:textId="77777777" w:rsidR="0090133B" w:rsidRPr="00DE2CF7" w:rsidRDefault="0090133B" w:rsidP="00DE2CF7">
      <w:pPr>
        <w:rPr>
          <w:szCs w:val="22"/>
          <w:lang w:val="sr-Latn-ME"/>
        </w:rPr>
      </w:pPr>
      <w:r w:rsidRPr="00DE2CF7">
        <w:rPr>
          <w:szCs w:val="22"/>
          <w:lang w:val="sr-Latn-ME"/>
        </w:rPr>
        <w:t xml:space="preserve">FUTURE 1 je bila otvorena, nekontrolisana studija sprovedena sa bosentanom u </w:t>
      </w:r>
      <w:r w:rsidR="009D738B" w:rsidRPr="00DE2CF7">
        <w:rPr>
          <w:szCs w:val="22"/>
          <w:lang w:val="sr-Latn-ME"/>
        </w:rPr>
        <w:t>obliku tablete</w:t>
      </w:r>
      <w:r w:rsidR="009768C5" w:rsidRPr="00DE2CF7">
        <w:rPr>
          <w:szCs w:val="22"/>
          <w:lang w:val="sr-Latn-ME"/>
        </w:rPr>
        <w:t xml:space="preserve"> za oralnu suspenziju</w:t>
      </w:r>
      <w:r w:rsidRPr="00DE2CF7">
        <w:rPr>
          <w:szCs w:val="22"/>
          <w:lang w:val="sr-Latn-ME"/>
        </w:rPr>
        <w:t xml:space="preserve"> prim</w:t>
      </w:r>
      <w:r w:rsidR="006E200E" w:rsidRPr="00DE2CF7">
        <w:rPr>
          <w:szCs w:val="22"/>
          <w:lang w:val="sr-Latn-ME"/>
        </w:rPr>
        <w:t>ij</w:t>
      </w:r>
      <w:r w:rsidRPr="00DE2CF7">
        <w:rPr>
          <w:szCs w:val="22"/>
          <w:lang w:val="sr-Latn-ME"/>
        </w:rPr>
        <w:t>enjenim u dozi održavanja od 4 mg/kg dva puta na dan kod 36 pacijenata uzrasta od 2 do 11 godina. Primarno je dizajnirana kao farmakokinetička studija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5.2). Na početku, pacijenti su imali idiopatsku (31 pacijent ili 86%) ili porodičnu (5 pacijenata ili 14%) plućnu hipertenziju i bili su prema SZO u funkcionalnoj klasi II (n=23 pacijenta, 64%) ili klase III (n=13 pacijen</w:t>
      </w:r>
      <w:r w:rsidR="0050117C" w:rsidRPr="00DE2CF7">
        <w:rPr>
          <w:szCs w:val="22"/>
          <w:lang w:val="sr-Latn-ME"/>
        </w:rPr>
        <w:t>a</w:t>
      </w:r>
      <w:r w:rsidRPr="00DE2CF7">
        <w:rPr>
          <w:szCs w:val="22"/>
          <w:lang w:val="sr-Latn-ME"/>
        </w:rPr>
        <w:t>ta ili 36%). U FUTURE 1 studiji</w:t>
      </w:r>
      <w:r w:rsidR="0050117C" w:rsidRPr="00DE2CF7">
        <w:rPr>
          <w:szCs w:val="22"/>
          <w:lang w:val="sr-Latn-ME"/>
        </w:rPr>
        <w:t>,</w:t>
      </w:r>
      <w:r w:rsidRPr="00DE2CF7">
        <w:rPr>
          <w:szCs w:val="22"/>
          <w:lang w:val="sr-Latn-ME"/>
        </w:rPr>
        <w:t xml:space="preserve"> medijana izloženosti ispitivanom </w:t>
      </w:r>
      <w:r w:rsidR="007453E0" w:rsidRPr="00DE2CF7">
        <w:rPr>
          <w:szCs w:val="22"/>
          <w:lang w:val="sr-Latn-ME"/>
        </w:rPr>
        <w:t>liječenj</w:t>
      </w:r>
      <w:r w:rsidRPr="00DE2CF7">
        <w:rPr>
          <w:szCs w:val="22"/>
          <w:lang w:val="sr-Latn-ME"/>
        </w:rPr>
        <w:t>u bila je 13</w:t>
      </w:r>
      <w:r w:rsidR="0050117C" w:rsidRPr="00DE2CF7">
        <w:rPr>
          <w:szCs w:val="22"/>
          <w:lang w:val="sr-Latn-ME"/>
        </w:rPr>
        <w:t>,</w:t>
      </w:r>
      <w:r w:rsidRPr="00DE2CF7">
        <w:rPr>
          <w:szCs w:val="22"/>
          <w:lang w:val="sr-Latn-ME"/>
        </w:rPr>
        <w:t>1 ned</w:t>
      </w:r>
      <w:r w:rsidR="00FD7648" w:rsidRPr="00DE2CF7">
        <w:rPr>
          <w:szCs w:val="22"/>
          <w:lang w:val="sr-Latn-ME"/>
        </w:rPr>
        <w:t>j</w:t>
      </w:r>
      <w:r w:rsidRPr="00DE2CF7">
        <w:rPr>
          <w:szCs w:val="22"/>
          <w:lang w:val="sr-Latn-ME"/>
        </w:rPr>
        <w:t>elju (raspon: 8</w:t>
      </w:r>
      <w:r w:rsidR="0050117C" w:rsidRPr="00DE2CF7">
        <w:rPr>
          <w:szCs w:val="22"/>
          <w:lang w:val="sr-Latn-ME"/>
        </w:rPr>
        <w:t>,</w:t>
      </w:r>
      <w:r w:rsidRPr="00DE2CF7">
        <w:rPr>
          <w:szCs w:val="22"/>
          <w:lang w:val="sr-Latn-ME"/>
        </w:rPr>
        <w:t>4 do 21</w:t>
      </w:r>
      <w:r w:rsidR="0050117C" w:rsidRPr="00DE2CF7">
        <w:rPr>
          <w:szCs w:val="22"/>
          <w:lang w:val="sr-Latn-ME"/>
        </w:rPr>
        <w:t>,</w:t>
      </w:r>
      <w:r w:rsidRPr="00DE2CF7">
        <w:rPr>
          <w:szCs w:val="22"/>
          <w:lang w:val="sr-Latn-ME"/>
        </w:rPr>
        <w:t xml:space="preserve">1). Od ovih pacijenata, njih 33 je bilo izloženo produženom </w:t>
      </w:r>
      <w:r w:rsidR="007453E0" w:rsidRPr="00DE2CF7">
        <w:rPr>
          <w:szCs w:val="22"/>
          <w:lang w:val="sr-Latn-ME"/>
        </w:rPr>
        <w:t>liječenj</w:t>
      </w:r>
      <w:r w:rsidRPr="00DE2CF7">
        <w:rPr>
          <w:szCs w:val="22"/>
          <w:lang w:val="sr-Latn-ME"/>
        </w:rPr>
        <w:t>u bosentanom u obliku tablet</w:t>
      </w:r>
      <w:r w:rsidR="009768C5" w:rsidRPr="00DE2CF7">
        <w:rPr>
          <w:szCs w:val="22"/>
          <w:lang w:val="sr-Latn-ME"/>
        </w:rPr>
        <w:t xml:space="preserve">a za oralnu </w:t>
      </w:r>
      <w:r w:rsidR="007C26FA" w:rsidRPr="00DE2CF7">
        <w:rPr>
          <w:szCs w:val="22"/>
          <w:lang w:val="sr-Latn-ME"/>
        </w:rPr>
        <w:t>suspenziju u</w:t>
      </w:r>
      <w:r w:rsidRPr="00DE2CF7">
        <w:rPr>
          <w:szCs w:val="22"/>
          <w:lang w:val="sr-Latn-ME"/>
        </w:rPr>
        <w:t xml:space="preserve"> dozi od 4 mg/kg dva puta na dan u fazi nekontrolisanog produžetka studije FUTURE 2</w:t>
      </w:r>
      <w:r w:rsidR="0050117C" w:rsidRPr="00DE2CF7">
        <w:rPr>
          <w:szCs w:val="22"/>
          <w:lang w:val="sr-Latn-ME"/>
        </w:rPr>
        <w:t>,</w:t>
      </w:r>
      <w:r w:rsidRPr="00DE2CF7">
        <w:rPr>
          <w:szCs w:val="22"/>
          <w:lang w:val="sr-Latn-ME"/>
        </w:rPr>
        <w:t xml:space="preserve"> i za njih je medijana sveukupnog trajanja </w:t>
      </w:r>
      <w:r w:rsidR="007453E0" w:rsidRPr="00DE2CF7">
        <w:rPr>
          <w:szCs w:val="22"/>
          <w:lang w:val="sr-Latn-ME"/>
        </w:rPr>
        <w:t>liječenj</w:t>
      </w:r>
      <w:r w:rsidRPr="00DE2CF7">
        <w:rPr>
          <w:szCs w:val="22"/>
          <w:lang w:val="sr-Latn-ME"/>
        </w:rPr>
        <w:t>a iznosila 2</w:t>
      </w:r>
      <w:r w:rsidR="0050117C" w:rsidRPr="00DE2CF7">
        <w:rPr>
          <w:szCs w:val="22"/>
          <w:lang w:val="sr-Latn-ME"/>
        </w:rPr>
        <w:t>,</w:t>
      </w:r>
      <w:r w:rsidRPr="00DE2CF7">
        <w:rPr>
          <w:szCs w:val="22"/>
          <w:lang w:val="sr-Latn-ME"/>
        </w:rPr>
        <w:t>3 godine (raspon</w:t>
      </w:r>
      <w:r w:rsidR="0050117C" w:rsidRPr="00DE2CF7">
        <w:rPr>
          <w:szCs w:val="22"/>
          <w:lang w:val="sr-Latn-ME"/>
        </w:rPr>
        <w:t>:</w:t>
      </w:r>
      <w:r w:rsidRPr="00DE2CF7">
        <w:rPr>
          <w:szCs w:val="22"/>
          <w:lang w:val="sr-Latn-ME"/>
        </w:rPr>
        <w:t xml:space="preserve"> 0</w:t>
      </w:r>
      <w:r w:rsidR="0050117C" w:rsidRPr="00DE2CF7">
        <w:rPr>
          <w:szCs w:val="22"/>
          <w:lang w:val="sr-Latn-ME"/>
        </w:rPr>
        <w:t>,</w:t>
      </w:r>
      <w:r w:rsidRPr="00DE2CF7">
        <w:rPr>
          <w:szCs w:val="22"/>
          <w:lang w:val="sr-Latn-ME"/>
        </w:rPr>
        <w:t>2 do 5</w:t>
      </w:r>
      <w:r w:rsidR="0050117C" w:rsidRPr="00DE2CF7">
        <w:rPr>
          <w:szCs w:val="22"/>
          <w:lang w:val="sr-Latn-ME"/>
        </w:rPr>
        <w:t>,</w:t>
      </w:r>
      <w:r w:rsidRPr="00DE2CF7">
        <w:rPr>
          <w:szCs w:val="22"/>
          <w:lang w:val="sr-Latn-ME"/>
        </w:rPr>
        <w:t>0 godina). Na početku studije FUTURE 1</w:t>
      </w:r>
      <w:r w:rsidR="0050117C" w:rsidRPr="00DE2CF7">
        <w:rPr>
          <w:szCs w:val="22"/>
          <w:lang w:val="sr-Latn-ME"/>
        </w:rPr>
        <w:t xml:space="preserve">, </w:t>
      </w:r>
      <w:r w:rsidRPr="00DE2CF7">
        <w:rPr>
          <w:szCs w:val="22"/>
          <w:lang w:val="sr-Latn-ME"/>
        </w:rPr>
        <w:t xml:space="preserve">9 pacijenata je uzimalo epoprostenol. 9 pacijenata je prvi put primalo PAH-specifičnu terapiju tokom studije. </w:t>
      </w:r>
      <w:r w:rsidRPr="00DE2CF7">
        <w:rPr>
          <w:i/>
          <w:szCs w:val="22"/>
          <w:lang w:val="sr-Latn-ME"/>
        </w:rPr>
        <w:t>Kaplan-Meier</w:t>
      </w:r>
      <w:r w:rsidR="00FD7648" w:rsidRPr="00DE2CF7">
        <w:rPr>
          <w:szCs w:val="22"/>
          <w:lang w:val="sr-Latn-ME"/>
        </w:rPr>
        <w:t>-ova</w:t>
      </w:r>
      <w:r w:rsidRPr="00DE2CF7">
        <w:rPr>
          <w:szCs w:val="22"/>
          <w:lang w:val="sr-Latn-ME"/>
        </w:rPr>
        <w:t xml:space="preserve"> </w:t>
      </w:r>
      <w:r w:rsidR="003E63C6" w:rsidRPr="00DE2CF7">
        <w:rPr>
          <w:szCs w:val="22"/>
          <w:lang w:val="sr-Latn-ME"/>
        </w:rPr>
        <w:t>procjen</w:t>
      </w:r>
      <w:r w:rsidRPr="00DE2CF7">
        <w:rPr>
          <w:szCs w:val="22"/>
          <w:lang w:val="sr-Latn-ME"/>
        </w:rPr>
        <w:t>a preživljavanja bez događaja pogoršanja PAH</w:t>
      </w:r>
      <w:r w:rsidR="009768C5" w:rsidRPr="00DE2CF7">
        <w:rPr>
          <w:szCs w:val="22"/>
          <w:lang w:val="sr-Latn-ME"/>
        </w:rPr>
        <w:t>-a</w:t>
      </w:r>
      <w:r w:rsidRPr="00DE2CF7">
        <w:rPr>
          <w:szCs w:val="22"/>
          <w:lang w:val="sr-Latn-ME"/>
        </w:rPr>
        <w:t xml:space="preserve"> (smrt, transplantacija pluća ili hospitalizacija zbog PAH</w:t>
      </w:r>
      <w:r w:rsidR="009768C5" w:rsidRPr="00DE2CF7">
        <w:rPr>
          <w:szCs w:val="22"/>
          <w:lang w:val="sr-Latn-ME"/>
        </w:rPr>
        <w:t>-a</w:t>
      </w:r>
      <w:r w:rsidRPr="00DE2CF7">
        <w:rPr>
          <w:szCs w:val="22"/>
          <w:lang w:val="sr-Latn-ME"/>
        </w:rPr>
        <w:t xml:space="preserve">) </w:t>
      </w:r>
      <w:r w:rsidR="00CA7152" w:rsidRPr="00DE2CF7">
        <w:rPr>
          <w:szCs w:val="22"/>
          <w:lang w:val="sr-Latn-ME"/>
        </w:rPr>
        <w:t>nakon</w:t>
      </w:r>
      <w:r w:rsidR="003E63C6" w:rsidRPr="00DE2CF7">
        <w:rPr>
          <w:szCs w:val="22"/>
          <w:lang w:val="sr-Latn-ME"/>
        </w:rPr>
        <w:t xml:space="preserve"> </w:t>
      </w:r>
      <w:r w:rsidRPr="00DE2CF7">
        <w:rPr>
          <w:szCs w:val="22"/>
          <w:lang w:val="sr-Latn-ME"/>
        </w:rPr>
        <w:t>2 godine je bila 78</w:t>
      </w:r>
      <w:r w:rsidR="0050117C" w:rsidRPr="00DE2CF7">
        <w:rPr>
          <w:szCs w:val="22"/>
          <w:lang w:val="sr-Latn-ME"/>
        </w:rPr>
        <w:t>,</w:t>
      </w:r>
      <w:r w:rsidRPr="00DE2CF7">
        <w:rPr>
          <w:szCs w:val="22"/>
          <w:lang w:val="sr-Latn-ME"/>
        </w:rPr>
        <w:t xml:space="preserve">9%. </w:t>
      </w:r>
      <w:r w:rsidRPr="00DE2CF7">
        <w:rPr>
          <w:i/>
          <w:szCs w:val="22"/>
          <w:lang w:val="sr-Latn-ME"/>
        </w:rPr>
        <w:t>Kaplan-Meier</w:t>
      </w:r>
      <w:r w:rsidR="00FD7648" w:rsidRPr="00DE2CF7">
        <w:rPr>
          <w:szCs w:val="22"/>
          <w:lang w:val="sr-Latn-ME"/>
        </w:rPr>
        <w:t>-ova</w:t>
      </w:r>
      <w:r w:rsidRPr="00DE2CF7">
        <w:rPr>
          <w:szCs w:val="22"/>
          <w:lang w:val="sr-Latn-ME"/>
        </w:rPr>
        <w:t xml:space="preserve"> </w:t>
      </w:r>
      <w:r w:rsidR="003E63C6" w:rsidRPr="00DE2CF7">
        <w:rPr>
          <w:szCs w:val="22"/>
          <w:lang w:val="sr-Latn-ME"/>
        </w:rPr>
        <w:t>procjen</w:t>
      </w:r>
      <w:r w:rsidRPr="00DE2CF7">
        <w:rPr>
          <w:szCs w:val="22"/>
          <w:lang w:val="sr-Latn-ME"/>
        </w:rPr>
        <w:t xml:space="preserve">a ukupnog preživljavanja </w:t>
      </w:r>
      <w:r w:rsidR="00CA7152" w:rsidRPr="00DE2CF7">
        <w:rPr>
          <w:szCs w:val="22"/>
          <w:lang w:val="sr-Latn-ME"/>
        </w:rPr>
        <w:t xml:space="preserve">nakon </w:t>
      </w:r>
      <w:r w:rsidR="00FD7648" w:rsidRPr="00DE2CF7">
        <w:rPr>
          <w:szCs w:val="22"/>
          <w:lang w:val="sr-Latn-ME"/>
        </w:rPr>
        <w:t>2 godine je bila 91</w:t>
      </w:r>
      <w:r w:rsidR="0050117C" w:rsidRPr="00DE2CF7">
        <w:rPr>
          <w:szCs w:val="22"/>
          <w:lang w:val="sr-Latn-ME"/>
        </w:rPr>
        <w:t>,</w:t>
      </w:r>
      <w:r w:rsidRPr="00DE2CF7">
        <w:rPr>
          <w:szCs w:val="22"/>
          <w:lang w:val="sr-Latn-ME"/>
        </w:rPr>
        <w:t>2%.</w:t>
      </w:r>
    </w:p>
    <w:p w14:paraId="5CF86131" w14:textId="77777777" w:rsidR="0090133B" w:rsidRPr="00DE2CF7" w:rsidRDefault="0090133B" w:rsidP="00DE2CF7">
      <w:pPr>
        <w:rPr>
          <w:szCs w:val="22"/>
          <w:lang w:val="sr-Latn-ME"/>
        </w:rPr>
      </w:pPr>
    </w:p>
    <w:p w14:paraId="3FB569EB" w14:textId="77777777" w:rsidR="0090133B" w:rsidRPr="00DE2CF7" w:rsidRDefault="0090133B" w:rsidP="00DE2CF7">
      <w:pPr>
        <w:rPr>
          <w:szCs w:val="22"/>
          <w:lang w:val="sr-Latn-ME"/>
        </w:rPr>
      </w:pPr>
      <w:r w:rsidRPr="00DE2CF7">
        <w:rPr>
          <w:szCs w:val="22"/>
          <w:lang w:val="sr-Latn-ME"/>
        </w:rPr>
        <w:t>FUTURE 3 (AC-052-373)</w:t>
      </w:r>
    </w:p>
    <w:p w14:paraId="2DAD4366" w14:textId="77777777" w:rsidR="00C3549F" w:rsidRPr="00DE2CF7" w:rsidRDefault="0090133B" w:rsidP="00DE2CF7">
      <w:pPr>
        <w:rPr>
          <w:szCs w:val="22"/>
          <w:lang w:val="sr-Latn-ME"/>
        </w:rPr>
      </w:pPr>
      <w:r w:rsidRPr="00DE2CF7">
        <w:rPr>
          <w:szCs w:val="22"/>
          <w:lang w:val="sr-Latn-ME"/>
        </w:rPr>
        <w:t xml:space="preserve">U ovoj otvorenoj randomizovanoj studiji sa </w:t>
      </w:r>
      <w:r w:rsidR="00292765" w:rsidRPr="00DE2CF7">
        <w:rPr>
          <w:szCs w:val="22"/>
          <w:lang w:val="sr-Latn-ME"/>
        </w:rPr>
        <w:t xml:space="preserve">32 mg </w:t>
      </w:r>
      <w:r w:rsidRPr="00DE2CF7">
        <w:rPr>
          <w:szCs w:val="22"/>
          <w:lang w:val="sr-Latn-ME"/>
        </w:rPr>
        <w:t>bosentana</w:t>
      </w:r>
      <w:r w:rsidR="00292765" w:rsidRPr="00DE2CF7">
        <w:rPr>
          <w:szCs w:val="22"/>
          <w:lang w:val="sr-Latn-ME"/>
        </w:rPr>
        <w:t xml:space="preserve"> u obliku tablete za oralnu suspenziju,</w:t>
      </w:r>
      <w:r w:rsidRPr="00DE2CF7">
        <w:rPr>
          <w:szCs w:val="22"/>
          <w:lang w:val="sr-Latn-ME"/>
        </w:rPr>
        <w:t xml:space="preserve"> 64</w:t>
      </w:r>
      <w:r w:rsidR="00344619" w:rsidRPr="00DE2CF7">
        <w:rPr>
          <w:szCs w:val="22"/>
          <w:lang w:val="sr-Latn-ME"/>
        </w:rPr>
        <w:t xml:space="preserve"> djece </w:t>
      </w:r>
      <w:r w:rsidRPr="00DE2CF7">
        <w:rPr>
          <w:szCs w:val="22"/>
          <w:lang w:val="sr-Latn-ME"/>
        </w:rPr>
        <w:t xml:space="preserve">sa stabilnom PAH uzrasta od 3 </w:t>
      </w:r>
      <w:r w:rsidR="003E63C6" w:rsidRPr="00DE2CF7">
        <w:rPr>
          <w:szCs w:val="22"/>
          <w:lang w:val="sr-Latn-ME"/>
        </w:rPr>
        <w:t>mjesec</w:t>
      </w:r>
      <w:r w:rsidRPr="00DE2CF7">
        <w:rPr>
          <w:szCs w:val="22"/>
          <w:lang w:val="sr-Latn-ME"/>
        </w:rPr>
        <w:t xml:space="preserve">a do 11 godina je bilo randomizovano </w:t>
      </w:r>
      <w:r w:rsidR="00292765" w:rsidRPr="00DE2CF7">
        <w:rPr>
          <w:szCs w:val="22"/>
          <w:lang w:val="sr-Latn-ME"/>
        </w:rPr>
        <w:t xml:space="preserve">u grupe liječenja </w:t>
      </w:r>
      <w:r w:rsidRPr="00DE2CF7">
        <w:rPr>
          <w:szCs w:val="22"/>
          <w:lang w:val="sr-Latn-ME"/>
        </w:rPr>
        <w:t xml:space="preserve">bosentanom </w:t>
      </w:r>
      <w:r w:rsidR="00292765" w:rsidRPr="00DE2CF7">
        <w:rPr>
          <w:szCs w:val="22"/>
          <w:lang w:val="sr-Latn-ME"/>
        </w:rPr>
        <w:t>u dozi od 2 mg/kg dva puta na dan (n=33</w:t>
      </w:r>
      <w:r w:rsidR="007C26FA" w:rsidRPr="00DE2CF7">
        <w:rPr>
          <w:szCs w:val="22"/>
          <w:lang w:val="sr-Latn-ME"/>
        </w:rPr>
        <w:t>) ili</w:t>
      </w:r>
      <w:r w:rsidR="00292765" w:rsidRPr="00DE2CF7">
        <w:rPr>
          <w:szCs w:val="22"/>
          <w:lang w:val="sr-Latn-ME"/>
        </w:rPr>
        <w:t xml:space="preserve"> u dozi od 2 mg/kg tri puta na dan (n=31) </w:t>
      </w:r>
      <w:r w:rsidR="009D738B" w:rsidRPr="00DE2CF7">
        <w:rPr>
          <w:szCs w:val="22"/>
          <w:lang w:val="sr-Latn-ME"/>
        </w:rPr>
        <w:t>tokom 24</w:t>
      </w:r>
      <w:r w:rsidRPr="00DE2CF7">
        <w:rPr>
          <w:szCs w:val="22"/>
          <w:lang w:val="sr-Latn-ME"/>
        </w:rPr>
        <w:t xml:space="preserve"> </w:t>
      </w:r>
      <w:r w:rsidR="001165AF" w:rsidRPr="00DE2CF7">
        <w:rPr>
          <w:szCs w:val="22"/>
          <w:lang w:val="sr-Latn-ME"/>
        </w:rPr>
        <w:t>nedjelje</w:t>
      </w:r>
      <w:r w:rsidR="00292765" w:rsidRPr="00DE2CF7">
        <w:rPr>
          <w:szCs w:val="22"/>
          <w:lang w:val="sr-Latn-ME"/>
        </w:rPr>
        <w:t xml:space="preserve">. </w:t>
      </w:r>
      <w:r w:rsidRPr="00DE2CF7">
        <w:rPr>
          <w:szCs w:val="22"/>
          <w:lang w:val="sr-Latn-ME"/>
        </w:rPr>
        <w:t xml:space="preserve"> Od toga</w:t>
      </w:r>
      <w:r w:rsidR="00A14DDF" w:rsidRPr="00DE2CF7">
        <w:rPr>
          <w:szCs w:val="22"/>
          <w:lang w:val="sr-Latn-ME"/>
        </w:rPr>
        <w:t>,</w:t>
      </w:r>
      <w:r w:rsidRPr="00DE2CF7">
        <w:rPr>
          <w:szCs w:val="22"/>
          <w:lang w:val="sr-Latn-ME"/>
        </w:rPr>
        <w:t xml:space="preserve"> 43 (67</w:t>
      </w:r>
      <w:r w:rsidR="00A14DDF" w:rsidRPr="00DE2CF7">
        <w:rPr>
          <w:szCs w:val="22"/>
          <w:lang w:val="sr-Latn-ME"/>
        </w:rPr>
        <w:t>,</w:t>
      </w:r>
      <w:r w:rsidRPr="00DE2CF7">
        <w:rPr>
          <w:szCs w:val="22"/>
          <w:lang w:val="sr-Latn-ME"/>
        </w:rPr>
        <w:t xml:space="preserve">2%) </w:t>
      </w:r>
      <w:r w:rsidR="00292765" w:rsidRPr="00DE2CF7">
        <w:rPr>
          <w:szCs w:val="22"/>
          <w:lang w:val="sr-Latn-ME"/>
        </w:rPr>
        <w:t xml:space="preserve">ih </w:t>
      </w:r>
      <w:r w:rsidR="007C26FA" w:rsidRPr="00DE2CF7">
        <w:rPr>
          <w:szCs w:val="22"/>
          <w:lang w:val="sr-Latn-ME"/>
        </w:rPr>
        <w:t>je bilo</w:t>
      </w:r>
      <w:r w:rsidRPr="00DE2CF7">
        <w:rPr>
          <w:szCs w:val="22"/>
          <w:lang w:val="sr-Latn-ME"/>
        </w:rPr>
        <w:t xml:space="preserve"> </w:t>
      </w:r>
      <w:r w:rsidR="00A14DDF" w:rsidRPr="00DE2CF7">
        <w:rPr>
          <w:szCs w:val="22"/>
          <w:lang w:val="sr-Latn-ME"/>
        </w:rPr>
        <w:t xml:space="preserve">uzrasta </w:t>
      </w:r>
      <w:r w:rsidRPr="00DE2CF7">
        <w:rPr>
          <w:szCs w:val="22"/>
          <w:lang w:val="sr-Latn-ME"/>
        </w:rPr>
        <w:t>≥ 2 do 11 godina, 15 (23</w:t>
      </w:r>
      <w:r w:rsidR="00A14DDF" w:rsidRPr="00DE2CF7">
        <w:rPr>
          <w:szCs w:val="22"/>
          <w:lang w:val="sr-Latn-ME"/>
        </w:rPr>
        <w:t>,</w:t>
      </w:r>
      <w:r w:rsidRPr="00DE2CF7">
        <w:rPr>
          <w:szCs w:val="22"/>
          <w:lang w:val="sr-Latn-ME"/>
        </w:rPr>
        <w:t xml:space="preserve">4%) </w:t>
      </w:r>
      <w:r w:rsidR="00292765" w:rsidRPr="00DE2CF7">
        <w:rPr>
          <w:szCs w:val="22"/>
          <w:lang w:val="sr-Latn-ME"/>
        </w:rPr>
        <w:t xml:space="preserve">ih je bilo </w:t>
      </w:r>
      <w:r w:rsidR="00A14DDF" w:rsidRPr="00DE2CF7">
        <w:rPr>
          <w:szCs w:val="22"/>
          <w:lang w:val="sr-Latn-ME"/>
        </w:rPr>
        <w:t xml:space="preserve">uzrasta </w:t>
      </w:r>
      <w:r w:rsidRPr="00DE2CF7">
        <w:rPr>
          <w:szCs w:val="22"/>
          <w:lang w:val="sr-Latn-ME"/>
        </w:rPr>
        <w:t>između 1 i 2 godine</w:t>
      </w:r>
      <w:r w:rsidR="00A14DDF" w:rsidRPr="00DE2CF7">
        <w:rPr>
          <w:szCs w:val="22"/>
          <w:lang w:val="sr-Latn-ME"/>
        </w:rPr>
        <w:t>,</w:t>
      </w:r>
      <w:r w:rsidRPr="00DE2CF7">
        <w:rPr>
          <w:szCs w:val="22"/>
          <w:lang w:val="sr-Latn-ME"/>
        </w:rPr>
        <w:t xml:space="preserve"> i 6 (9</w:t>
      </w:r>
      <w:r w:rsidR="00A14DDF" w:rsidRPr="00DE2CF7">
        <w:rPr>
          <w:szCs w:val="22"/>
          <w:lang w:val="sr-Latn-ME"/>
        </w:rPr>
        <w:t>,</w:t>
      </w:r>
      <w:r w:rsidRPr="00DE2CF7">
        <w:rPr>
          <w:szCs w:val="22"/>
          <w:lang w:val="sr-Latn-ME"/>
        </w:rPr>
        <w:t xml:space="preserve">4%) </w:t>
      </w:r>
      <w:r w:rsidR="00292765" w:rsidRPr="00DE2CF7">
        <w:rPr>
          <w:szCs w:val="22"/>
          <w:lang w:val="sr-Latn-ME"/>
        </w:rPr>
        <w:t xml:space="preserve">ih je </w:t>
      </w:r>
      <w:r w:rsidR="009D738B" w:rsidRPr="00DE2CF7">
        <w:rPr>
          <w:szCs w:val="22"/>
          <w:lang w:val="sr-Latn-ME"/>
        </w:rPr>
        <w:t xml:space="preserve">bilo </w:t>
      </w:r>
      <w:r w:rsidR="00A14DDF" w:rsidRPr="00DE2CF7">
        <w:rPr>
          <w:szCs w:val="22"/>
          <w:lang w:val="sr-Latn-ME"/>
        </w:rPr>
        <w:t xml:space="preserve">uzrasta </w:t>
      </w:r>
      <w:r w:rsidR="009D738B" w:rsidRPr="00DE2CF7">
        <w:rPr>
          <w:szCs w:val="22"/>
          <w:lang w:val="sr-Latn-ME"/>
        </w:rPr>
        <w:t>između</w:t>
      </w:r>
      <w:r w:rsidRPr="00DE2CF7">
        <w:rPr>
          <w:szCs w:val="22"/>
          <w:lang w:val="sr-Latn-ME"/>
        </w:rPr>
        <w:t xml:space="preserve"> 3 </w:t>
      </w:r>
      <w:r w:rsidR="003E63C6" w:rsidRPr="00DE2CF7">
        <w:rPr>
          <w:szCs w:val="22"/>
          <w:lang w:val="sr-Latn-ME"/>
        </w:rPr>
        <w:t>mjesec</w:t>
      </w:r>
      <w:r w:rsidRPr="00DE2CF7">
        <w:rPr>
          <w:szCs w:val="22"/>
          <w:lang w:val="sr-Latn-ME"/>
        </w:rPr>
        <w:t>a i 1 godine. Studija je primarno dizajnirana kao farmakokinetička studija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5.2) i </w:t>
      </w:r>
      <w:r w:rsidR="00292765" w:rsidRPr="00DE2CF7">
        <w:rPr>
          <w:szCs w:val="22"/>
          <w:lang w:val="sr-Latn-ME"/>
        </w:rPr>
        <w:t xml:space="preserve">mjere ishoda </w:t>
      </w:r>
      <w:r w:rsidRPr="00DE2CF7">
        <w:rPr>
          <w:szCs w:val="22"/>
          <w:lang w:val="sr-Latn-ME"/>
        </w:rPr>
        <w:t>efikasnosti su bil</w:t>
      </w:r>
      <w:r w:rsidR="00292765" w:rsidRPr="00DE2CF7">
        <w:rPr>
          <w:szCs w:val="22"/>
          <w:lang w:val="sr-Latn-ME"/>
        </w:rPr>
        <w:t>e</w:t>
      </w:r>
      <w:r w:rsidRPr="00DE2CF7">
        <w:rPr>
          <w:szCs w:val="22"/>
          <w:lang w:val="sr-Latn-ME"/>
        </w:rPr>
        <w:t xml:space="preserve"> samo </w:t>
      </w:r>
      <w:r w:rsidR="00292765" w:rsidRPr="00DE2CF7">
        <w:rPr>
          <w:szCs w:val="22"/>
          <w:lang w:val="sr-Latn-ME"/>
        </w:rPr>
        <w:t>eksploratorne</w:t>
      </w:r>
      <w:r w:rsidRPr="00DE2CF7">
        <w:rPr>
          <w:szCs w:val="22"/>
          <w:lang w:val="sr-Latn-ME"/>
        </w:rPr>
        <w:t xml:space="preserve">. Etiologija PAH u skladu sa </w:t>
      </w:r>
      <w:r w:rsidRPr="00DE2CF7">
        <w:rPr>
          <w:i/>
          <w:szCs w:val="22"/>
          <w:lang w:val="sr-Latn-ME"/>
        </w:rPr>
        <w:t>Dana Point</w:t>
      </w:r>
      <w:r w:rsidRPr="00DE2CF7">
        <w:rPr>
          <w:szCs w:val="22"/>
          <w:lang w:val="sr-Latn-ME"/>
        </w:rPr>
        <w:t xml:space="preserve"> klasifikacijom, je uključivala idiopatsku PAH (46%), </w:t>
      </w:r>
      <w:r w:rsidR="007453E0" w:rsidRPr="00DE2CF7">
        <w:rPr>
          <w:szCs w:val="22"/>
          <w:lang w:val="sr-Latn-ME"/>
        </w:rPr>
        <w:t>nasljedn</w:t>
      </w:r>
      <w:r w:rsidRPr="00DE2CF7">
        <w:rPr>
          <w:szCs w:val="22"/>
          <w:lang w:val="sr-Latn-ME"/>
        </w:rPr>
        <w:t xml:space="preserve">u PAH (3%), udruženu PAH </w:t>
      </w:r>
      <w:r w:rsidR="003E63C6" w:rsidRPr="00DE2CF7">
        <w:rPr>
          <w:szCs w:val="22"/>
          <w:lang w:val="sr-Latn-ME"/>
        </w:rPr>
        <w:t>posl</w:t>
      </w:r>
      <w:r w:rsidR="00CA7152" w:rsidRPr="00DE2CF7">
        <w:rPr>
          <w:szCs w:val="22"/>
          <w:lang w:val="sr-Latn-ME"/>
        </w:rPr>
        <w:t>i</w:t>
      </w:r>
      <w:r w:rsidR="003E63C6" w:rsidRPr="00DE2CF7">
        <w:rPr>
          <w:szCs w:val="22"/>
          <w:lang w:val="sr-Latn-ME"/>
        </w:rPr>
        <w:t xml:space="preserve">je </w:t>
      </w:r>
      <w:r w:rsidRPr="00DE2CF7">
        <w:rPr>
          <w:szCs w:val="22"/>
          <w:lang w:val="sr-Latn-ME"/>
        </w:rPr>
        <w:t xml:space="preserve">korektivne operacije na srcu (38%) i PAH udruženu sa urođenim srčanim oboljenjem sa sistemsko-pulmonalnim šantom, uključujući </w:t>
      </w:r>
      <w:r w:rsidRPr="00DE2CF7">
        <w:rPr>
          <w:i/>
          <w:szCs w:val="22"/>
          <w:lang w:val="sr-Latn-ME"/>
        </w:rPr>
        <w:t>Eisenmenger</w:t>
      </w:r>
      <w:r w:rsidRPr="00DE2CF7">
        <w:rPr>
          <w:szCs w:val="22"/>
          <w:lang w:val="sr-Latn-ME"/>
        </w:rPr>
        <w:t xml:space="preserve">-ov sindrom (13%). Pacijenti su bili u SZO funkcionalnoj klasi </w:t>
      </w:r>
      <w:r w:rsidRPr="00DE2CF7">
        <w:rPr>
          <w:szCs w:val="22"/>
          <w:lang w:val="sr-Latn-ME"/>
        </w:rPr>
        <w:lastRenderedPageBreak/>
        <w:t xml:space="preserve">I (n=19 pacijenata, 29%), klasi II (n=27 pacijenata, 42%) ili klasa III (n=18 pacijenata, 28%) na početku ispitivanja. Pri ulasku u studiju, pacijenti su </w:t>
      </w:r>
      <w:r w:rsidR="00292765" w:rsidRPr="00DE2CF7">
        <w:rPr>
          <w:szCs w:val="22"/>
          <w:lang w:val="sr-Latn-ME"/>
        </w:rPr>
        <w:t xml:space="preserve">bili liječeni ljekovima </w:t>
      </w:r>
      <w:r w:rsidR="007C26FA" w:rsidRPr="00DE2CF7">
        <w:rPr>
          <w:szCs w:val="22"/>
          <w:lang w:val="sr-Latn-ME"/>
        </w:rPr>
        <w:t>za PAH</w:t>
      </w:r>
      <w:r w:rsidRPr="00DE2CF7">
        <w:rPr>
          <w:szCs w:val="22"/>
          <w:lang w:val="sr-Latn-ME"/>
        </w:rPr>
        <w:t xml:space="preserve"> (najčešće PDE-5 inhibitor – sildenafil) u monoterapiji </w:t>
      </w:r>
      <w:r w:rsidR="001A6018" w:rsidRPr="00DE2CF7">
        <w:rPr>
          <w:szCs w:val="22"/>
          <w:lang w:val="sr-Latn-ME"/>
        </w:rPr>
        <w:t>[</w:t>
      </w:r>
      <w:r w:rsidRPr="00DE2CF7">
        <w:rPr>
          <w:szCs w:val="22"/>
          <w:lang w:val="sr-Latn-ME"/>
        </w:rPr>
        <w:t>35</w:t>
      </w:r>
      <w:r w:rsidR="00A14DDF" w:rsidRPr="00DE2CF7">
        <w:rPr>
          <w:szCs w:val="22"/>
          <w:lang w:val="sr-Latn-ME"/>
        </w:rPr>
        <w:t>,</w:t>
      </w:r>
      <w:r w:rsidRPr="00DE2CF7">
        <w:rPr>
          <w:szCs w:val="22"/>
          <w:lang w:val="sr-Latn-ME"/>
        </w:rPr>
        <w:t>9%</w:t>
      </w:r>
      <w:r w:rsidR="001A6018" w:rsidRPr="00DE2CF7">
        <w:rPr>
          <w:szCs w:val="22"/>
          <w:lang w:val="sr-Latn-ME"/>
        </w:rPr>
        <w:t>]</w:t>
      </w:r>
      <w:r w:rsidRPr="00DE2CF7">
        <w:rPr>
          <w:szCs w:val="22"/>
          <w:lang w:val="sr-Latn-ME"/>
        </w:rPr>
        <w:t xml:space="preserve">, bosentan u monoterapiji </w:t>
      </w:r>
      <w:r w:rsidR="001A6018" w:rsidRPr="00DE2CF7">
        <w:rPr>
          <w:szCs w:val="22"/>
          <w:lang w:val="sr-Latn-ME"/>
        </w:rPr>
        <w:t>[</w:t>
      </w:r>
      <w:r w:rsidRPr="00DE2CF7">
        <w:rPr>
          <w:szCs w:val="22"/>
          <w:lang w:val="sr-Latn-ME"/>
        </w:rPr>
        <w:t>10</w:t>
      </w:r>
      <w:r w:rsidR="00A14DDF" w:rsidRPr="00DE2CF7">
        <w:rPr>
          <w:szCs w:val="22"/>
          <w:lang w:val="sr-Latn-ME"/>
        </w:rPr>
        <w:t>,</w:t>
      </w:r>
      <w:r w:rsidRPr="00DE2CF7">
        <w:rPr>
          <w:szCs w:val="22"/>
          <w:lang w:val="sr-Latn-ME"/>
        </w:rPr>
        <w:t>9%</w:t>
      </w:r>
      <w:r w:rsidR="001A6018" w:rsidRPr="00DE2CF7">
        <w:rPr>
          <w:szCs w:val="22"/>
          <w:lang w:val="sr-Latn-ME"/>
        </w:rPr>
        <w:t>]</w:t>
      </w:r>
      <w:r w:rsidRPr="00DE2CF7">
        <w:rPr>
          <w:szCs w:val="22"/>
          <w:lang w:val="sr-Latn-ME"/>
        </w:rPr>
        <w:t xml:space="preserve"> i kombinaciju bosentana, iloprosta i sildenafila kod 10</w:t>
      </w:r>
      <w:r w:rsidR="00A14DDF" w:rsidRPr="00DE2CF7">
        <w:rPr>
          <w:szCs w:val="22"/>
          <w:lang w:val="sr-Latn-ME"/>
        </w:rPr>
        <w:t>,</w:t>
      </w:r>
      <w:r w:rsidRPr="00DE2CF7">
        <w:rPr>
          <w:szCs w:val="22"/>
          <w:lang w:val="sr-Latn-ME"/>
        </w:rPr>
        <w:t>9% pacijenata i nastavili su svoju PAH terapiju tokom studije.</w:t>
      </w:r>
    </w:p>
    <w:p w14:paraId="6AFF7086" w14:textId="77777777" w:rsidR="00C3549F" w:rsidRPr="00DE2CF7" w:rsidRDefault="00C3549F" w:rsidP="00DE2CF7">
      <w:pPr>
        <w:rPr>
          <w:szCs w:val="22"/>
          <w:lang w:val="sr-Latn-ME"/>
        </w:rPr>
      </w:pPr>
    </w:p>
    <w:p w14:paraId="648CC807" w14:textId="77777777" w:rsidR="0090133B" w:rsidRPr="00DE2CF7" w:rsidRDefault="0090133B" w:rsidP="00DE2CF7">
      <w:pPr>
        <w:rPr>
          <w:szCs w:val="22"/>
          <w:lang w:val="sr-Latn-ME"/>
        </w:rPr>
      </w:pPr>
      <w:r w:rsidRPr="00DE2CF7">
        <w:rPr>
          <w:szCs w:val="22"/>
          <w:lang w:val="sr-Latn-ME"/>
        </w:rPr>
        <w:t>Na početku studije, manje od polovine pacijenata uključenih u studiju (45</w:t>
      </w:r>
      <w:r w:rsidR="000E0077" w:rsidRPr="00DE2CF7">
        <w:rPr>
          <w:szCs w:val="22"/>
          <w:lang w:val="sr-Latn-ME"/>
        </w:rPr>
        <w:t>,</w:t>
      </w:r>
      <w:r w:rsidRPr="00DE2CF7">
        <w:rPr>
          <w:szCs w:val="22"/>
          <w:lang w:val="sr-Latn-ME"/>
        </w:rPr>
        <w:t>3%</w:t>
      </w:r>
      <w:r w:rsidR="00665862" w:rsidRPr="00DE2CF7">
        <w:rPr>
          <w:szCs w:val="22"/>
          <w:lang w:val="sr-Latn-ME"/>
        </w:rPr>
        <w:t xml:space="preserve"> [</w:t>
      </w:r>
      <w:r w:rsidRPr="00DE2CF7">
        <w:rPr>
          <w:szCs w:val="22"/>
          <w:lang w:val="sr-Latn-ME"/>
        </w:rPr>
        <w:t>29/64</w:t>
      </w:r>
      <w:r w:rsidR="00665862" w:rsidRPr="00DE2CF7">
        <w:rPr>
          <w:szCs w:val="22"/>
          <w:lang w:val="sr-Latn-ME"/>
        </w:rPr>
        <w:t>]</w:t>
      </w:r>
      <w:r w:rsidRPr="00DE2CF7">
        <w:rPr>
          <w:szCs w:val="22"/>
          <w:lang w:val="sr-Latn-ME"/>
        </w:rPr>
        <w:t>) l</w:t>
      </w:r>
      <w:r w:rsidR="00823F72" w:rsidRPr="00DE2CF7">
        <w:rPr>
          <w:szCs w:val="22"/>
          <w:lang w:val="sr-Latn-ME"/>
        </w:rPr>
        <w:t>ij</w:t>
      </w:r>
      <w:r w:rsidRPr="00DE2CF7">
        <w:rPr>
          <w:szCs w:val="22"/>
          <w:lang w:val="sr-Latn-ME"/>
        </w:rPr>
        <w:t>ečeno je bosentanom</w:t>
      </w:r>
    </w:p>
    <w:p w14:paraId="07E29E6C" w14:textId="77777777" w:rsidR="0090133B" w:rsidRPr="00DE2CF7" w:rsidRDefault="0090133B" w:rsidP="00DE2CF7">
      <w:pPr>
        <w:rPr>
          <w:szCs w:val="22"/>
          <w:lang w:val="sr-Latn-ME"/>
        </w:rPr>
      </w:pPr>
      <w:r w:rsidRPr="00DE2CF7">
        <w:rPr>
          <w:szCs w:val="22"/>
          <w:lang w:val="sr-Latn-ME"/>
        </w:rPr>
        <w:t>u monoterapiji, bez kombinacije sa drugim l</w:t>
      </w:r>
      <w:r w:rsidR="00823F72" w:rsidRPr="00DE2CF7">
        <w:rPr>
          <w:szCs w:val="22"/>
          <w:lang w:val="sr-Latn-ME"/>
        </w:rPr>
        <w:t>j</w:t>
      </w:r>
      <w:r w:rsidRPr="00DE2CF7">
        <w:rPr>
          <w:szCs w:val="22"/>
          <w:lang w:val="sr-Latn-ME"/>
        </w:rPr>
        <w:t>ekovima za PAH. 40</w:t>
      </w:r>
      <w:r w:rsidR="000E0077" w:rsidRPr="00DE2CF7">
        <w:rPr>
          <w:szCs w:val="22"/>
          <w:lang w:val="sr-Latn-ME"/>
        </w:rPr>
        <w:t>,</w:t>
      </w:r>
      <w:r w:rsidRPr="00DE2CF7">
        <w:rPr>
          <w:szCs w:val="22"/>
          <w:lang w:val="sr-Latn-ME"/>
        </w:rPr>
        <w:t>6% (26/64)</w:t>
      </w:r>
      <w:r w:rsidR="00ED69B5" w:rsidRPr="00DE2CF7">
        <w:rPr>
          <w:szCs w:val="22"/>
          <w:lang w:val="sr-Latn-ME"/>
        </w:rPr>
        <w:t xml:space="preserve"> i dalje su liječeni bosentanom u </w:t>
      </w:r>
      <w:r w:rsidR="007C26FA" w:rsidRPr="00DE2CF7">
        <w:rPr>
          <w:szCs w:val="22"/>
          <w:lang w:val="sr-Latn-ME"/>
        </w:rPr>
        <w:t>monoterapiji tokom</w:t>
      </w:r>
      <w:r w:rsidRPr="00DE2CF7">
        <w:rPr>
          <w:szCs w:val="22"/>
          <w:lang w:val="sr-Latn-ME"/>
        </w:rPr>
        <w:t xml:space="preserve"> 24 </w:t>
      </w:r>
      <w:r w:rsidR="001165AF" w:rsidRPr="00DE2CF7">
        <w:rPr>
          <w:szCs w:val="22"/>
          <w:lang w:val="sr-Latn-ME"/>
        </w:rPr>
        <w:t>nedjelje</w:t>
      </w:r>
      <w:r w:rsidRPr="00DE2CF7">
        <w:rPr>
          <w:szCs w:val="22"/>
          <w:lang w:val="sr-Latn-ME"/>
        </w:rPr>
        <w:t xml:space="preserve"> ispitivanja bez pogoršanja PAH. </w:t>
      </w:r>
      <w:r w:rsidR="00ED69B5" w:rsidRPr="00DE2CF7">
        <w:rPr>
          <w:szCs w:val="22"/>
          <w:lang w:val="sr-Latn-ME"/>
        </w:rPr>
        <w:t xml:space="preserve">Analiza </w:t>
      </w:r>
      <w:r w:rsidRPr="00DE2CF7">
        <w:rPr>
          <w:szCs w:val="22"/>
          <w:lang w:val="sr-Latn-ME"/>
        </w:rPr>
        <w:t>c</w:t>
      </w:r>
      <w:r w:rsidR="00823F72" w:rsidRPr="00DE2CF7">
        <w:rPr>
          <w:szCs w:val="22"/>
          <w:lang w:val="sr-Latn-ME"/>
        </w:rPr>
        <w:t>j</w:t>
      </w:r>
      <w:r w:rsidRPr="00DE2CF7">
        <w:rPr>
          <w:szCs w:val="22"/>
          <w:lang w:val="sr-Latn-ME"/>
        </w:rPr>
        <w:t>elokupne uključene populacije (64 pacijenta) je pokaza</w:t>
      </w:r>
      <w:r w:rsidR="00ED69B5" w:rsidRPr="00DE2CF7">
        <w:rPr>
          <w:szCs w:val="22"/>
          <w:lang w:val="sr-Latn-ME"/>
        </w:rPr>
        <w:t>la</w:t>
      </w:r>
      <w:r w:rsidRPr="00DE2CF7">
        <w:rPr>
          <w:szCs w:val="22"/>
          <w:lang w:val="sr-Latn-ME"/>
        </w:rPr>
        <w:t xml:space="preserve"> da je većina ostala stabilna (bez pogoršanja) zasnovano na nepedijatrijskoj specifičnoj </w:t>
      </w:r>
      <w:r w:rsidR="003E63C6" w:rsidRPr="00DE2CF7">
        <w:rPr>
          <w:szCs w:val="22"/>
          <w:lang w:val="sr-Latn-ME"/>
        </w:rPr>
        <w:t>procjen</w:t>
      </w:r>
      <w:r w:rsidRPr="00DE2CF7">
        <w:rPr>
          <w:szCs w:val="22"/>
          <w:lang w:val="sr-Latn-ME"/>
        </w:rPr>
        <w:t xml:space="preserve">i funkcionalne klase prema SZO (97% dva puta na dan, 100% tri puta na dan) i ukupnom utisku kliničkog stanja (94% dva puta na dan, 93% tri puta na dan) tokom perioda terapije. </w:t>
      </w:r>
      <w:r w:rsidRPr="00DE2CF7">
        <w:rPr>
          <w:i/>
          <w:szCs w:val="22"/>
          <w:lang w:val="sr-Latn-ME"/>
        </w:rPr>
        <w:t>Kaplan-Meier</w:t>
      </w:r>
      <w:r w:rsidR="00823F72" w:rsidRPr="00DE2CF7">
        <w:rPr>
          <w:szCs w:val="22"/>
          <w:lang w:val="sr-Latn-ME"/>
        </w:rPr>
        <w:t>-ova</w:t>
      </w:r>
      <w:r w:rsidRPr="00DE2CF7">
        <w:rPr>
          <w:szCs w:val="22"/>
          <w:lang w:val="sr-Latn-ME"/>
        </w:rPr>
        <w:t xml:space="preserve"> </w:t>
      </w:r>
      <w:r w:rsidR="003E63C6" w:rsidRPr="00DE2CF7">
        <w:rPr>
          <w:szCs w:val="22"/>
          <w:lang w:val="sr-Latn-ME"/>
        </w:rPr>
        <w:t>procjen</w:t>
      </w:r>
      <w:r w:rsidRPr="00DE2CF7">
        <w:rPr>
          <w:szCs w:val="22"/>
          <w:lang w:val="sr-Latn-ME"/>
        </w:rPr>
        <w:t xml:space="preserve">a preživljavanja bez događaja pogoršanja PAH (smrtni ishod, transplantacija pluća ili hospitalizacija zbog pogoršanja PAH) </w:t>
      </w:r>
      <w:r w:rsidR="00CA7152" w:rsidRPr="00DE2CF7">
        <w:rPr>
          <w:szCs w:val="22"/>
          <w:lang w:val="sr-Latn-ME"/>
        </w:rPr>
        <w:t>nakon</w:t>
      </w:r>
      <w:r w:rsidR="003E63C6" w:rsidRPr="00DE2CF7">
        <w:rPr>
          <w:szCs w:val="22"/>
          <w:lang w:val="sr-Latn-ME"/>
        </w:rPr>
        <w:t xml:space="preserve"> </w:t>
      </w:r>
      <w:r w:rsidRPr="00DE2CF7">
        <w:rPr>
          <w:szCs w:val="22"/>
          <w:lang w:val="sr-Latn-ME"/>
        </w:rPr>
        <w:t xml:space="preserve">24 </w:t>
      </w:r>
      <w:r w:rsidR="001165AF" w:rsidRPr="00DE2CF7">
        <w:rPr>
          <w:szCs w:val="22"/>
          <w:lang w:val="sr-Latn-ME"/>
        </w:rPr>
        <w:t>nedjelje</w:t>
      </w:r>
      <w:r w:rsidR="00823F72" w:rsidRPr="00DE2CF7">
        <w:rPr>
          <w:szCs w:val="22"/>
          <w:lang w:val="sr-Latn-ME"/>
        </w:rPr>
        <w:t xml:space="preserve"> je bila 96</w:t>
      </w:r>
      <w:r w:rsidR="000E0077" w:rsidRPr="00DE2CF7">
        <w:rPr>
          <w:szCs w:val="22"/>
          <w:lang w:val="sr-Latn-ME"/>
        </w:rPr>
        <w:t>,</w:t>
      </w:r>
      <w:r w:rsidRPr="00DE2CF7">
        <w:rPr>
          <w:szCs w:val="22"/>
          <w:lang w:val="sr-Latn-ME"/>
        </w:rPr>
        <w:t>9% odnosno 96</w:t>
      </w:r>
      <w:r w:rsidR="000E0077" w:rsidRPr="00DE2CF7">
        <w:rPr>
          <w:szCs w:val="22"/>
          <w:lang w:val="sr-Latn-ME"/>
        </w:rPr>
        <w:t>,</w:t>
      </w:r>
      <w:r w:rsidRPr="00DE2CF7">
        <w:rPr>
          <w:szCs w:val="22"/>
          <w:lang w:val="sr-Latn-ME"/>
        </w:rPr>
        <w:t>7% u grupama koje dobijaju l</w:t>
      </w:r>
      <w:r w:rsidR="00823F72" w:rsidRPr="00DE2CF7">
        <w:rPr>
          <w:szCs w:val="22"/>
          <w:lang w:val="sr-Latn-ME"/>
        </w:rPr>
        <w:t>ij</w:t>
      </w:r>
      <w:r w:rsidRPr="00DE2CF7">
        <w:rPr>
          <w:szCs w:val="22"/>
          <w:lang w:val="sr-Latn-ME"/>
        </w:rPr>
        <w:t xml:space="preserve">ek dva odnosno tri puta na dan. Nije bilo dokaza o bilo kakvoj kliničkoj koristi </w:t>
      </w:r>
      <w:r w:rsidR="004374E0" w:rsidRPr="00DE2CF7">
        <w:rPr>
          <w:szCs w:val="22"/>
          <w:lang w:val="sr-Latn-ME"/>
        </w:rPr>
        <w:t xml:space="preserve">primjene </w:t>
      </w:r>
      <w:r w:rsidRPr="00DE2CF7">
        <w:rPr>
          <w:szCs w:val="22"/>
          <w:lang w:val="sr-Latn-ME"/>
        </w:rPr>
        <w:t>doze od 2 mg/kg tri puta na dan u poređenju sa dozom od 2 mg/kg, dva puta na dan.</w:t>
      </w:r>
    </w:p>
    <w:p w14:paraId="1BE43B9A" w14:textId="77777777" w:rsidR="00C3549F" w:rsidRPr="00DE2CF7" w:rsidRDefault="00C3549F" w:rsidP="00DE2CF7">
      <w:pPr>
        <w:rPr>
          <w:i/>
          <w:szCs w:val="22"/>
          <w:lang w:val="sr-Latn-ME"/>
        </w:rPr>
      </w:pPr>
    </w:p>
    <w:p w14:paraId="1DCF366C" w14:textId="77777777" w:rsidR="0090133B" w:rsidRPr="00DE2CF7" w:rsidRDefault="000E0077" w:rsidP="00DE2CF7">
      <w:pPr>
        <w:rPr>
          <w:i/>
          <w:szCs w:val="22"/>
          <w:lang w:val="sr-Latn-ME"/>
        </w:rPr>
      </w:pPr>
      <w:r w:rsidRPr="00DE2CF7">
        <w:rPr>
          <w:i/>
          <w:szCs w:val="22"/>
          <w:lang w:val="sr-Latn-ME"/>
        </w:rPr>
        <w:t xml:space="preserve">Studija sprovedena kod </w:t>
      </w:r>
      <w:r w:rsidR="0090133B" w:rsidRPr="00DE2CF7">
        <w:rPr>
          <w:i/>
          <w:szCs w:val="22"/>
          <w:lang w:val="sr-Latn-ME"/>
        </w:rPr>
        <w:t>novorođenčadi sa perzistentnom pulmonalnom hipertenzijom (PPHN):</w:t>
      </w:r>
    </w:p>
    <w:p w14:paraId="31679EE8" w14:textId="77777777" w:rsidR="00C3549F" w:rsidRPr="00DE2CF7" w:rsidRDefault="00C3549F" w:rsidP="00DE2CF7">
      <w:pPr>
        <w:rPr>
          <w:i/>
          <w:szCs w:val="22"/>
          <w:lang w:val="sr-Latn-ME"/>
        </w:rPr>
      </w:pPr>
    </w:p>
    <w:p w14:paraId="6F4803AB" w14:textId="77777777" w:rsidR="0090133B" w:rsidRPr="00DE2CF7" w:rsidRDefault="0090133B" w:rsidP="00DE2CF7">
      <w:pPr>
        <w:rPr>
          <w:szCs w:val="22"/>
          <w:lang w:val="sr-Latn-ME"/>
        </w:rPr>
      </w:pPr>
      <w:r w:rsidRPr="00DE2CF7">
        <w:rPr>
          <w:szCs w:val="22"/>
          <w:lang w:val="sr-Latn-ME"/>
        </w:rPr>
        <w:t>FUTURE 4 (AC-052-391)</w:t>
      </w:r>
    </w:p>
    <w:p w14:paraId="38C1ABB6" w14:textId="77777777" w:rsidR="0090133B" w:rsidRPr="00DE2CF7" w:rsidRDefault="0090133B" w:rsidP="00DE2CF7">
      <w:pPr>
        <w:rPr>
          <w:szCs w:val="22"/>
          <w:lang w:val="sr-Latn-ME"/>
        </w:rPr>
      </w:pPr>
      <w:r w:rsidRPr="00DE2CF7">
        <w:rPr>
          <w:szCs w:val="22"/>
          <w:lang w:val="sr-Latn-ME"/>
        </w:rPr>
        <w:t>Ovo je bila dvostruko</w:t>
      </w:r>
      <w:r w:rsidR="00823F72" w:rsidRPr="00DE2CF7">
        <w:rPr>
          <w:szCs w:val="22"/>
          <w:lang w:val="sr-Latn-ME"/>
        </w:rPr>
        <w:t xml:space="preserve"> </w:t>
      </w:r>
      <w:r w:rsidR="0036723C" w:rsidRPr="00DE2CF7">
        <w:rPr>
          <w:szCs w:val="22"/>
          <w:lang w:val="sr-Latn-ME"/>
        </w:rPr>
        <w:t>slijepa</w:t>
      </w:r>
      <w:r w:rsidRPr="00DE2CF7">
        <w:rPr>
          <w:szCs w:val="22"/>
          <w:lang w:val="sr-Latn-ME"/>
        </w:rPr>
        <w:t>, placebom kontrolisana, randomizovana studija kod pr</w:t>
      </w:r>
      <w:r w:rsidR="00823F72" w:rsidRPr="00DE2CF7">
        <w:rPr>
          <w:szCs w:val="22"/>
          <w:lang w:val="sr-Latn-ME"/>
        </w:rPr>
        <w:t>ij</w:t>
      </w:r>
      <w:r w:rsidRPr="00DE2CF7">
        <w:rPr>
          <w:szCs w:val="22"/>
          <w:lang w:val="sr-Latn-ME"/>
        </w:rPr>
        <w:t>evremeno ili na vr</w:t>
      </w:r>
      <w:r w:rsidR="00823F72" w:rsidRPr="00DE2CF7">
        <w:rPr>
          <w:szCs w:val="22"/>
          <w:lang w:val="sr-Latn-ME"/>
        </w:rPr>
        <w:t>ij</w:t>
      </w:r>
      <w:r w:rsidRPr="00DE2CF7">
        <w:rPr>
          <w:szCs w:val="22"/>
          <w:lang w:val="sr-Latn-ME"/>
        </w:rPr>
        <w:t>eme</w:t>
      </w:r>
      <w:r w:rsidR="00823F72" w:rsidRPr="00DE2CF7">
        <w:rPr>
          <w:szCs w:val="22"/>
          <w:lang w:val="sr-Latn-ME"/>
        </w:rPr>
        <w:t xml:space="preserve"> </w:t>
      </w:r>
      <w:r w:rsidRPr="00DE2CF7">
        <w:rPr>
          <w:szCs w:val="22"/>
          <w:lang w:val="sr-Latn-ME"/>
        </w:rPr>
        <w:t>rođene</w:t>
      </w:r>
      <w:r w:rsidR="00344619" w:rsidRPr="00DE2CF7">
        <w:rPr>
          <w:szCs w:val="22"/>
          <w:lang w:val="sr-Latn-ME"/>
        </w:rPr>
        <w:t xml:space="preserve"> djece </w:t>
      </w:r>
      <w:r w:rsidRPr="00DE2CF7">
        <w:rPr>
          <w:szCs w:val="22"/>
          <w:lang w:val="sr-Latn-ME"/>
        </w:rPr>
        <w:t xml:space="preserve">(gestaciona starost 36-42 </w:t>
      </w:r>
      <w:r w:rsidR="001165AF" w:rsidRPr="00DE2CF7">
        <w:rPr>
          <w:szCs w:val="22"/>
          <w:lang w:val="sr-Latn-ME"/>
        </w:rPr>
        <w:t>nedjelje</w:t>
      </w:r>
      <w:r w:rsidRPr="00DE2CF7">
        <w:rPr>
          <w:szCs w:val="22"/>
          <w:lang w:val="sr-Latn-ME"/>
        </w:rPr>
        <w:t>) sa PPHN. Pacijenti sa suboptimalnim odgovorom na inhalirani azot</w:t>
      </w:r>
      <w:r w:rsidR="000E0077" w:rsidRPr="00DE2CF7">
        <w:rPr>
          <w:szCs w:val="22"/>
          <w:lang w:val="sr-Latn-ME"/>
        </w:rPr>
        <w:t xml:space="preserve"> </w:t>
      </w:r>
      <w:r w:rsidRPr="00DE2CF7">
        <w:rPr>
          <w:szCs w:val="22"/>
          <w:lang w:val="sr-Latn-ME"/>
        </w:rPr>
        <w:t xml:space="preserve">oksid (iNO), uprkos najmanje 4 sata kontinuirane terapije, su dobijali bosentan disperzibilne tablete u dozi od 2 mg/kg dva puta na dan (N=13) ili placebo (N=8) </w:t>
      </w:r>
      <w:r w:rsidR="00B67E8D" w:rsidRPr="00DE2CF7">
        <w:rPr>
          <w:szCs w:val="22"/>
          <w:lang w:val="sr-Latn-ME"/>
        </w:rPr>
        <w:t xml:space="preserve">putem </w:t>
      </w:r>
      <w:r w:rsidRPr="00DE2CF7">
        <w:rPr>
          <w:szCs w:val="22"/>
          <w:lang w:val="sr-Latn-ME"/>
        </w:rPr>
        <w:t>nazogastrične sonde kao dodatnu terapiju uz iNO do kompletne obustave iNO ili do neusp</w:t>
      </w:r>
      <w:r w:rsidR="00823F72" w:rsidRPr="00DE2CF7">
        <w:rPr>
          <w:szCs w:val="22"/>
          <w:lang w:val="sr-Latn-ME"/>
        </w:rPr>
        <w:t>j</w:t>
      </w:r>
      <w:r w:rsidRPr="00DE2CF7">
        <w:rPr>
          <w:szCs w:val="22"/>
          <w:lang w:val="sr-Latn-ME"/>
        </w:rPr>
        <w:t>eha terapije (definisano kao potreba za ekstrakorporalnom oksigenacijom membrane (ECMO) ili uvođenjem alternativnog pulmonalnog vazodilatatora) i to najduže 14 dana.</w:t>
      </w:r>
    </w:p>
    <w:p w14:paraId="78E530DE" w14:textId="77777777" w:rsidR="00B67E8D" w:rsidRPr="00DE2CF7" w:rsidRDefault="0090133B" w:rsidP="00DE2CF7">
      <w:pPr>
        <w:rPr>
          <w:szCs w:val="22"/>
          <w:lang w:val="sr-Latn-ME"/>
        </w:rPr>
      </w:pPr>
      <w:r w:rsidRPr="00DE2CF7">
        <w:rPr>
          <w:szCs w:val="22"/>
          <w:lang w:val="sr-Latn-ME"/>
        </w:rPr>
        <w:t xml:space="preserve">Medijana izloženosti ispitivanom </w:t>
      </w:r>
      <w:r w:rsidR="007453E0" w:rsidRPr="00DE2CF7">
        <w:rPr>
          <w:szCs w:val="22"/>
          <w:lang w:val="sr-Latn-ME"/>
        </w:rPr>
        <w:t>liječenj</w:t>
      </w:r>
      <w:r w:rsidRPr="00DE2CF7">
        <w:rPr>
          <w:szCs w:val="22"/>
          <w:lang w:val="sr-Latn-ME"/>
        </w:rPr>
        <w:t>u bila je 4</w:t>
      </w:r>
      <w:r w:rsidR="000E0077" w:rsidRPr="00DE2CF7">
        <w:rPr>
          <w:szCs w:val="22"/>
          <w:lang w:val="sr-Latn-ME"/>
        </w:rPr>
        <w:t>,</w:t>
      </w:r>
      <w:r w:rsidRPr="00DE2CF7">
        <w:rPr>
          <w:szCs w:val="22"/>
          <w:lang w:val="sr-Latn-ME"/>
        </w:rPr>
        <w:t>5 dana (raspon: 0</w:t>
      </w:r>
      <w:r w:rsidR="000E0077" w:rsidRPr="00DE2CF7">
        <w:rPr>
          <w:szCs w:val="22"/>
          <w:lang w:val="sr-Latn-ME"/>
        </w:rPr>
        <w:t>,</w:t>
      </w:r>
      <w:r w:rsidRPr="00DE2CF7">
        <w:rPr>
          <w:szCs w:val="22"/>
          <w:lang w:val="sr-Latn-ME"/>
        </w:rPr>
        <w:t>5 – 10</w:t>
      </w:r>
      <w:r w:rsidR="000E0077" w:rsidRPr="00DE2CF7">
        <w:rPr>
          <w:szCs w:val="22"/>
          <w:lang w:val="sr-Latn-ME"/>
        </w:rPr>
        <w:t>,</w:t>
      </w:r>
      <w:r w:rsidRPr="00DE2CF7">
        <w:rPr>
          <w:szCs w:val="22"/>
          <w:lang w:val="sr-Latn-ME"/>
        </w:rPr>
        <w:t>0) u grupi koja je primala bosentan</w:t>
      </w:r>
      <w:r w:rsidR="000E0077" w:rsidRPr="00DE2CF7">
        <w:rPr>
          <w:szCs w:val="22"/>
          <w:lang w:val="sr-Latn-ME"/>
        </w:rPr>
        <w:t>,</w:t>
      </w:r>
      <w:r w:rsidRPr="00DE2CF7">
        <w:rPr>
          <w:szCs w:val="22"/>
          <w:lang w:val="sr-Latn-ME"/>
        </w:rPr>
        <w:t xml:space="preserve"> i 4</w:t>
      </w:r>
      <w:r w:rsidR="000E0077" w:rsidRPr="00DE2CF7">
        <w:rPr>
          <w:szCs w:val="22"/>
          <w:lang w:val="sr-Latn-ME"/>
        </w:rPr>
        <w:t>,</w:t>
      </w:r>
      <w:r w:rsidRPr="00DE2CF7">
        <w:rPr>
          <w:szCs w:val="22"/>
          <w:lang w:val="sr-Latn-ME"/>
        </w:rPr>
        <w:t>0 dana (raspon: 2</w:t>
      </w:r>
      <w:r w:rsidR="000E0077" w:rsidRPr="00DE2CF7">
        <w:rPr>
          <w:szCs w:val="22"/>
          <w:lang w:val="sr-Latn-ME"/>
        </w:rPr>
        <w:t>,</w:t>
      </w:r>
      <w:r w:rsidR="00823F72" w:rsidRPr="00DE2CF7">
        <w:rPr>
          <w:szCs w:val="22"/>
          <w:lang w:val="sr-Latn-ME"/>
        </w:rPr>
        <w:t>5 – 6</w:t>
      </w:r>
      <w:r w:rsidR="000E0077" w:rsidRPr="00DE2CF7">
        <w:rPr>
          <w:szCs w:val="22"/>
          <w:lang w:val="sr-Latn-ME"/>
        </w:rPr>
        <w:t>,</w:t>
      </w:r>
      <w:r w:rsidRPr="00DE2CF7">
        <w:rPr>
          <w:szCs w:val="22"/>
          <w:lang w:val="sr-Latn-ME"/>
        </w:rPr>
        <w:t>5) u grupi koja je primala placebo.</w:t>
      </w:r>
      <w:r w:rsidR="00C3549F" w:rsidRPr="00DE2CF7">
        <w:rPr>
          <w:szCs w:val="22"/>
          <w:lang w:val="sr-Latn-ME"/>
        </w:rPr>
        <w:t xml:space="preserve"> </w:t>
      </w:r>
    </w:p>
    <w:p w14:paraId="0B90A6FE" w14:textId="77777777" w:rsidR="0090133B" w:rsidRPr="00DE2CF7" w:rsidRDefault="0090133B" w:rsidP="00DE2CF7">
      <w:pPr>
        <w:rPr>
          <w:szCs w:val="22"/>
          <w:lang w:val="sr-Latn-ME"/>
        </w:rPr>
      </w:pPr>
      <w:r w:rsidRPr="00DE2CF7">
        <w:rPr>
          <w:szCs w:val="22"/>
          <w:lang w:val="sr-Latn-ME"/>
        </w:rPr>
        <w:t xml:space="preserve">Rezultati nisu ukazivali na dodatnu korist od </w:t>
      </w:r>
      <w:r w:rsidR="004374E0" w:rsidRPr="00DE2CF7">
        <w:rPr>
          <w:szCs w:val="22"/>
          <w:lang w:val="sr-Latn-ME"/>
        </w:rPr>
        <w:t xml:space="preserve">primjene </w:t>
      </w:r>
      <w:r w:rsidRPr="00DE2CF7">
        <w:rPr>
          <w:szCs w:val="22"/>
          <w:lang w:val="sr-Latn-ME"/>
        </w:rPr>
        <w:t>bosentana u ovoj populaciji:</w:t>
      </w:r>
    </w:p>
    <w:p w14:paraId="476318F1" w14:textId="77777777" w:rsidR="0090133B" w:rsidRPr="00DE2CF7" w:rsidRDefault="0090133B" w:rsidP="00DE2CF7">
      <w:pPr>
        <w:rPr>
          <w:szCs w:val="22"/>
          <w:lang w:val="sr-Latn-ME"/>
        </w:rPr>
      </w:pPr>
      <w:r w:rsidRPr="00DE2CF7">
        <w:rPr>
          <w:szCs w:val="22"/>
          <w:lang w:val="sr-Latn-ME"/>
        </w:rPr>
        <w:t>•Medijana vremena do kompletne obustave iNO je bila 3</w:t>
      </w:r>
      <w:r w:rsidR="000E0077" w:rsidRPr="00DE2CF7">
        <w:rPr>
          <w:szCs w:val="22"/>
          <w:lang w:val="sr-Latn-ME"/>
        </w:rPr>
        <w:t>,</w:t>
      </w:r>
      <w:r w:rsidRPr="00DE2CF7">
        <w:rPr>
          <w:szCs w:val="22"/>
          <w:lang w:val="sr-Latn-ME"/>
        </w:rPr>
        <w:t>7 dana (95% CLs 1</w:t>
      </w:r>
      <w:r w:rsidR="000E0077" w:rsidRPr="00DE2CF7">
        <w:rPr>
          <w:szCs w:val="22"/>
          <w:lang w:val="sr-Latn-ME"/>
        </w:rPr>
        <w:t>,</w:t>
      </w:r>
      <w:r w:rsidRPr="00DE2CF7">
        <w:rPr>
          <w:szCs w:val="22"/>
          <w:lang w:val="sr-Latn-ME"/>
        </w:rPr>
        <w:t>17, 6</w:t>
      </w:r>
      <w:r w:rsidR="000E0077" w:rsidRPr="00DE2CF7">
        <w:rPr>
          <w:szCs w:val="22"/>
          <w:lang w:val="sr-Latn-ME"/>
        </w:rPr>
        <w:t>,</w:t>
      </w:r>
      <w:r w:rsidRPr="00DE2CF7">
        <w:rPr>
          <w:szCs w:val="22"/>
          <w:lang w:val="sr-Latn-ME"/>
        </w:rPr>
        <w:t>95) u grupi koja je primala bosentan</w:t>
      </w:r>
      <w:r w:rsidR="000E0077" w:rsidRPr="00DE2CF7">
        <w:rPr>
          <w:szCs w:val="22"/>
          <w:lang w:val="sr-Latn-ME"/>
        </w:rPr>
        <w:t>,</w:t>
      </w:r>
      <w:r w:rsidRPr="00DE2CF7">
        <w:rPr>
          <w:szCs w:val="22"/>
          <w:lang w:val="sr-Latn-ME"/>
        </w:rPr>
        <w:t xml:space="preserve"> i 2</w:t>
      </w:r>
      <w:r w:rsidR="000E0077" w:rsidRPr="00DE2CF7">
        <w:rPr>
          <w:szCs w:val="22"/>
          <w:lang w:val="sr-Latn-ME"/>
        </w:rPr>
        <w:t>,</w:t>
      </w:r>
      <w:r w:rsidRPr="00DE2CF7">
        <w:rPr>
          <w:szCs w:val="22"/>
          <w:lang w:val="sr-Latn-ME"/>
        </w:rPr>
        <w:t>9 dana (95% CLs 1</w:t>
      </w:r>
      <w:r w:rsidR="000E0077" w:rsidRPr="00DE2CF7">
        <w:rPr>
          <w:szCs w:val="22"/>
          <w:lang w:val="sr-Latn-ME"/>
        </w:rPr>
        <w:t>,</w:t>
      </w:r>
      <w:r w:rsidRPr="00DE2CF7">
        <w:rPr>
          <w:szCs w:val="22"/>
          <w:lang w:val="sr-Latn-ME"/>
        </w:rPr>
        <w:t>26, 4</w:t>
      </w:r>
      <w:r w:rsidR="000E0077" w:rsidRPr="00DE2CF7">
        <w:rPr>
          <w:szCs w:val="22"/>
          <w:lang w:val="sr-Latn-ME"/>
        </w:rPr>
        <w:t>,</w:t>
      </w:r>
      <w:r w:rsidRPr="00DE2CF7">
        <w:rPr>
          <w:szCs w:val="22"/>
          <w:lang w:val="sr-Latn-ME"/>
        </w:rPr>
        <w:t xml:space="preserve">23) u grupi koja je </w:t>
      </w:r>
      <w:r w:rsidR="00B67E8D" w:rsidRPr="00DE2CF7">
        <w:rPr>
          <w:szCs w:val="22"/>
          <w:lang w:val="sr-Latn-ME"/>
        </w:rPr>
        <w:t>primal</w:t>
      </w:r>
      <w:r w:rsidR="00814232" w:rsidRPr="00DE2CF7">
        <w:rPr>
          <w:szCs w:val="22"/>
          <w:lang w:val="sr-Latn-ME"/>
        </w:rPr>
        <w:t>a</w:t>
      </w:r>
      <w:r w:rsidR="00B67E8D" w:rsidRPr="00DE2CF7">
        <w:rPr>
          <w:szCs w:val="22"/>
          <w:lang w:val="sr-Latn-ME"/>
        </w:rPr>
        <w:t xml:space="preserve"> placebo</w:t>
      </w:r>
      <w:r w:rsidRPr="00DE2CF7">
        <w:rPr>
          <w:szCs w:val="22"/>
          <w:lang w:val="sr-Latn-ME"/>
        </w:rPr>
        <w:t xml:space="preserve"> (p=0</w:t>
      </w:r>
      <w:r w:rsidR="000E0077" w:rsidRPr="00DE2CF7">
        <w:rPr>
          <w:szCs w:val="22"/>
          <w:lang w:val="sr-Latn-ME"/>
        </w:rPr>
        <w:t>,</w:t>
      </w:r>
      <w:r w:rsidRPr="00DE2CF7">
        <w:rPr>
          <w:szCs w:val="22"/>
          <w:lang w:val="sr-Latn-ME"/>
        </w:rPr>
        <w:t>34)</w:t>
      </w:r>
      <w:r w:rsidR="000E0077" w:rsidRPr="00DE2CF7">
        <w:rPr>
          <w:szCs w:val="22"/>
          <w:lang w:val="sr-Latn-ME"/>
        </w:rPr>
        <w:t>.</w:t>
      </w:r>
      <w:r w:rsidRPr="00DE2CF7">
        <w:rPr>
          <w:szCs w:val="22"/>
          <w:lang w:val="sr-Latn-ME"/>
        </w:rPr>
        <w:t xml:space="preserve">  </w:t>
      </w:r>
    </w:p>
    <w:p w14:paraId="3FC0B802" w14:textId="77777777" w:rsidR="0090133B" w:rsidRPr="00DE2CF7" w:rsidRDefault="0090133B" w:rsidP="00DE2CF7">
      <w:pPr>
        <w:rPr>
          <w:szCs w:val="22"/>
          <w:lang w:val="sr-Latn-ME"/>
        </w:rPr>
      </w:pPr>
      <w:r w:rsidRPr="00DE2CF7">
        <w:rPr>
          <w:szCs w:val="22"/>
          <w:lang w:val="sr-Latn-ME"/>
        </w:rPr>
        <w:t>•Medijana vremena do potpunog odvikavanja od mehaničke ventilacije je bila 10</w:t>
      </w:r>
      <w:r w:rsidR="000E0077" w:rsidRPr="00DE2CF7">
        <w:rPr>
          <w:szCs w:val="22"/>
          <w:lang w:val="sr-Latn-ME"/>
        </w:rPr>
        <w:t>,</w:t>
      </w:r>
      <w:r w:rsidRPr="00DE2CF7">
        <w:rPr>
          <w:szCs w:val="22"/>
          <w:lang w:val="sr-Latn-ME"/>
        </w:rPr>
        <w:t>8 dana (95% CLs 3</w:t>
      </w:r>
      <w:r w:rsidR="000E0077" w:rsidRPr="00DE2CF7">
        <w:rPr>
          <w:szCs w:val="22"/>
          <w:lang w:val="sr-Latn-ME"/>
        </w:rPr>
        <w:t>,</w:t>
      </w:r>
      <w:r w:rsidR="00823F72" w:rsidRPr="00DE2CF7">
        <w:rPr>
          <w:szCs w:val="22"/>
          <w:lang w:val="sr-Latn-ME"/>
        </w:rPr>
        <w:t>21, 12</w:t>
      </w:r>
      <w:r w:rsidR="000E0077" w:rsidRPr="00DE2CF7">
        <w:rPr>
          <w:szCs w:val="22"/>
          <w:lang w:val="sr-Latn-ME"/>
        </w:rPr>
        <w:t>,</w:t>
      </w:r>
      <w:r w:rsidRPr="00DE2CF7">
        <w:rPr>
          <w:szCs w:val="22"/>
          <w:lang w:val="sr-Latn-ME"/>
        </w:rPr>
        <w:t>21 dana) u grupi koja je primala bosentan</w:t>
      </w:r>
      <w:r w:rsidR="000E0077" w:rsidRPr="00DE2CF7">
        <w:rPr>
          <w:szCs w:val="22"/>
          <w:lang w:val="sr-Latn-ME"/>
        </w:rPr>
        <w:t>,</w:t>
      </w:r>
      <w:r w:rsidRPr="00DE2CF7">
        <w:rPr>
          <w:szCs w:val="22"/>
          <w:lang w:val="sr-Latn-ME"/>
        </w:rPr>
        <w:t xml:space="preserve"> i 8</w:t>
      </w:r>
      <w:r w:rsidR="000E0077" w:rsidRPr="00DE2CF7">
        <w:rPr>
          <w:szCs w:val="22"/>
          <w:lang w:val="sr-Latn-ME"/>
        </w:rPr>
        <w:t>,</w:t>
      </w:r>
      <w:r w:rsidRPr="00DE2CF7">
        <w:rPr>
          <w:szCs w:val="22"/>
          <w:lang w:val="sr-Latn-ME"/>
        </w:rPr>
        <w:t>6 dana (95% CLs 3</w:t>
      </w:r>
      <w:r w:rsidR="000E0077" w:rsidRPr="00DE2CF7">
        <w:rPr>
          <w:szCs w:val="22"/>
          <w:lang w:val="sr-Latn-ME"/>
        </w:rPr>
        <w:t>,</w:t>
      </w:r>
      <w:r w:rsidRPr="00DE2CF7">
        <w:rPr>
          <w:szCs w:val="22"/>
          <w:lang w:val="sr-Latn-ME"/>
        </w:rPr>
        <w:t>71, 9</w:t>
      </w:r>
      <w:r w:rsidR="000E0077" w:rsidRPr="00DE2CF7">
        <w:rPr>
          <w:szCs w:val="22"/>
          <w:lang w:val="sr-Latn-ME"/>
        </w:rPr>
        <w:t>,</w:t>
      </w:r>
      <w:r w:rsidRPr="00DE2CF7">
        <w:rPr>
          <w:szCs w:val="22"/>
          <w:lang w:val="sr-Latn-ME"/>
        </w:rPr>
        <w:t>66 dana) u gru</w:t>
      </w:r>
      <w:r w:rsidR="00823F72" w:rsidRPr="00DE2CF7">
        <w:rPr>
          <w:szCs w:val="22"/>
          <w:lang w:val="sr-Latn-ME"/>
        </w:rPr>
        <w:t>pi koja je primala placebo (p=0</w:t>
      </w:r>
      <w:r w:rsidR="000E0077" w:rsidRPr="00DE2CF7">
        <w:rPr>
          <w:szCs w:val="22"/>
          <w:lang w:val="sr-Latn-ME"/>
        </w:rPr>
        <w:t>,</w:t>
      </w:r>
      <w:r w:rsidRPr="00DE2CF7">
        <w:rPr>
          <w:szCs w:val="22"/>
          <w:lang w:val="sr-Latn-ME"/>
        </w:rPr>
        <w:t>24)</w:t>
      </w:r>
      <w:r w:rsidR="000E0077" w:rsidRPr="00DE2CF7">
        <w:rPr>
          <w:szCs w:val="22"/>
          <w:lang w:val="sr-Latn-ME"/>
        </w:rPr>
        <w:t>.</w:t>
      </w:r>
    </w:p>
    <w:p w14:paraId="5F5FF220" w14:textId="77777777" w:rsidR="0090133B" w:rsidRPr="00DE2CF7" w:rsidRDefault="0090133B" w:rsidP="00DE2CF7">
      <w:pPr>
        <w:rPr>
          <w:szCs w:val="22"/>
          <w:lang w:val="sr-Latn-ME"/>
        </w:rPr>
      </w:pPr>
      <w:r w:rsidRPr="00DE2CF7">
        <w:rPr>
          <w:szCs w:val="22"/>
          <w:lang w:val="sr-Latn-ME"/>
        </w:rPr>
        <w:t>•</w:t>
      </w:r>
      <w:r w:rsidR="00B67E8D" w:rsidRPr="00DE2CF7">
        <w:rPr>
          <w:szCs w:val="22"/>
          <w:lang w:val="sr-Latn-ME"/>
        </w:rPr>
        <w:t>Kod j</w:t>
      </w:r>
      <w:r w:rsidRPr="00DE2CF7">
        <w:rPr>
          <w:szCs w:val="22"/>
          <w:lang w:val="sr-Latn-ME"/>
        </w:rPr>
        <w:t>edn</w:t>
      </w:r>
      <w:r w:rsidR="00B67E8D" w:rsidRPr="00DE2CF7">
        <w:rPr>
          <w:szCs w:val="22"/>
          <w:lang w:val="sr-Latn-ME"/>
        </w:rPr>
        <w:t>og</w:t>
      </w:r>
      <w:r w:rsidRPr="00DE2CF7">
        <w:rPr>
          <w:szCs w:val="22"/>
          <w:lang w:val="sr-Latn-ME"/>
        </w:rPr>
        <w:t xml:space="preserve"> pacijent</w:t>
      </w:r>
      <w:r w:rsidR="00B67E8D" w:rsidRPr="00DE2CF7">
        <w:rPr>
          <w:szCs w:val="22"/>
          <w:lang w:val="sr-Latn-ME"/>
        </w:rPr>
        <w:t>a</w:t>
      </w:r>
      <w:r w:rsidRPr="00DE2CF7">
        <w:rPr>
          <w:szCs w:val="22"/>
          <w:lang w:val="sr-Latn-ME"/>
        </w:rPr>
        <w:t xml:space="preserve"> u grupi koja je primala bosentan do</w:t>
      </w:r>
      <w:r w:rsidR="00B67E8D" w:rsidRPr="00DE2CF7">
        <w:rPr>
          <w:szCs w:val="22"/>
          <w:lang w:val="sr-Latn-ME"/>
        </w:rPr>
        <w:t xml:space="preserve">šlo je </w:t>
      </w:r>
      <w:r w:rsidR="007C26FA" w:rsidRPr="00DE2CF7">
        <w:rPr>
          <w:szCs w:val="22"/>
          <w:lang w:val="sr-Latn-ME"/>
        </w:rPr>
        <w:t>do terapijskog</w:t>
      </w:r>
      <w:r w:rsidRPr="00DE2CF7">
        <w:rPr>
          <w:szCs w:val="22"/>
          <w:lang w:val="sr-Latn-ME"/>
        </w:rPr>
        <w:t xml:space="preserve"> neusp</w:t>
      </w:r>
      <w:r w:rsidR="00823F72" w:rsidRPr="00DE2CF7">
        <w:rPr>
          <w:szCs w:val="22"/>
          <w:lang w:val="sr-Latn-ME"/>
        </w:rPr>
        <w:t>j</w:t>
      </w:r>
      <w:r w:rsidRPr="00DE2CF7">
        <w:rPr>
          <w:szCs w:val="22"/>
          <w:lang w:val="sr-Latn-ME"/>
        </w:rPr>
        <w:t>eh</w:t>
      </w:r>
      <w:r w:rsidR="00B67E8D" w:rsidRPr="00DE2CF7">
        <w:rPr>
          <w:szCs w:val="22"/>
          <w:lang w:val="sr-Latn-ME"/>
        </w:rPr>
        <w:t>a</w:t>
      </w:r>
      <w:r w:rsidRPr="00DE2CF7">
        <w:rPr>
          <w:szCs w:val="22"/>
          <w:lang w:val="sr-Latn-ME"/>
        </w:rPr>
        <w:t xml:space="preserve"> (</w:t>
      </w:r>
      <w:r w:rsidR="00B67E8D" w:rsidRPr="00DE2CF7">
        <w:rPr>
          <w:szCs w:val="22"/>
          <w:lang w:val="sr-Latn-ME"/>
        </w:rPr>
        <w:t xml:space="preserve">potrebe </w:t>
      </w:r>
      <w:r w:rsidRPr="00DE2CF7">
        <w:rPr>
          <w:szCs w:val="22"/>
          <w:lang w:val="sr-Latn-ME"/>
        </w:rPr>
        <w:t xml:space="preserve">za ECMO prema definiciji iz protokola), koji je </w:t>
      </w:r>
      <w:r w:rsidR="00B67E8D" w:rsidRPr="00DE2CF7">
        <w:rPr>
          <w:szCs w:val="22"/>
          <w:lang w:val="sr-Latn-ME"/>
        </w:rPr>
        <w:t>utvrđen</w:t>
      </w:r>
      <w:r w:rsidR="000E0077" w:rsidRPr="00DE2CF7">
        <w:rPr>
          <w:szCs w:val="22"/>
          <w:lang w:val="sr-Latn-ME"/>
        </w:rPr>
        <w:t xml:space="preserve"> </w:t>
      </w:r>
      <w:r w:rsidRPr="00DE2CF7">
        <w:rPr>
          <w:szCs w:val="22"/>
          <w:lang w:val="sr-Latn-ME"/>
        </w:rPr>
        <w:t xml:space="preserve">na osnovu povećanja </w:t>
      </w:r>
      <w:r w:rsidR="002407A5" w:rsidRPr="00DE2CF7">
        <w:rPr>
          <w:szCs w:val="22"/>
          <w:lang w:val="sr-Latn-ME"/>
        </w:rPr>
        <w:t>vrijednost</w:t>
      </w:r>
      <w:r w:rsidRPr="00DE2CF7">
        <w:rPr>
          <w:szCs w:val="22"/>
          <w:lang w:val="sr-Latn-ME"/>
        </w:rPr>
        <w:t xml:space="preserve">i indeksa oksigenacije u toku 8 sati od davanja prve doze ispitivanog </w:t>
      </w:r>
      <w:r w:rsidR="00823F72" w:rsidRPr="00DE2CF7">
        <w:rPr>
          <w:szCs w:val="22"/>
          <w:lang w:val="sr-Latn-ME"/>
        </w:rPr>
        <w:t>lijek</w:t>
      </w:r>
      <w:r w:rsidRPr="00DE2CF7">
        <w:rPr>
          <w:szCs w:val="22"/>
          <w:lang w:val="sr-Latn-ME"/>
        </w:rPr>
        <w:t>a. Ovaj pacijent se oporavio u toku 60 dana perioda praćenja</w:t>
      </w:r>
      <w:r w:rsidR="00B67E8D" w:rsidRPr="00DE2CF7">
        <w:rPr>
          <w:szCs w:val="22"/>
          <w:lang w:val="sr-Latn-ME"/>
        </w:rPr>
        <w:t>.</w:t>
      </w:r>
    </w:p>
    <w:p w14:paraId="7ED8A7D0" w14:textId="77777777" w:rsidR="00C3549F" w:rsidRPr="00DE2CF7" w:rsidRDefault="00C3549F" w:rsidP="00DE2CF7">
      <w:pPr>
        <w:rPr>
          <w:szCs w:val="22"/>
          <w:lang w:val="sr-Latn-ME"/>
        </w:rPr>
      </w:pPr>
    </w:p>
    <w:p w14:paraId="58AACFDF" w14:textId="77777777" w:rsidR="0090133B" w:rsidRPr="00DE2CF7" w:rsidRDefault="0090133B" w:rsidP="00DE2CF7">
      <w:pPr>
        <w:rPr>
          <w:i/>
          <w:szCs w:val="22"/>
          <w:lang w:val="sr-Latn-ME"/>
        </w:rPr>
      </w:pPr>
      <w:r w:rsidRPr="00DE2CF7">
        <w:rPr>
          <w:i/>
          <w:szCs w:val="22"/>
          <w:lang w:val="sr-Latn-ME"/>
        </w:rPr>
        <w:t>Kombinacija sa epoprostenolom</w:t>
      </w:r>
    </w:p>
    <w:p w14:paraId="2BF57AD9" w14:textId="77777777" w:rsidR="0090133B" w:rsidRPr="00DE2CF7" w:rsidRDefault="0090133B" w:rsidP="00DE2CF7">
      <w:pPr>
        <w:rPr>
          <w:szCs w:val="22"/>
          <w:lang w:val="sr-Latn-ME"/>
        </w:rPr>
      </w:pPr>
      <w:r w:rsidRPr="00DE2CF7">
        <w:rPr>
          <w:szCs w:val="22"/>
          <w:lang w:val="sr-Latn-ME"/>
        </w:rPr>
        <w:t xml:space="preserve">Kombinacija bosentana i epoprostenola je ispitivana u </w:t>
      </w:r>
      <w:r w:rsidR="0036723C" w:rsidRPr="00DE2CF7">
        <w:rPr>
          <w:szCs w:val="22"/>
          <w:lang w:val="sr-Latn-ME"/>
        </w:rPr>
        <w:t>dvije</w:t>
      </w:r>
      <w:r w:rsidRPr="00DE2CF7">
        <w:rPr>
          <w:szCs w:val="22"/>
          <w:lang w:val="sr-Latn-ME"/>
        </w:rPr>
        <w:t xml:space="preserve"> studije: AC-052-355 (BREATHE-2) i AC-052-356 (BREATHE-3). AC-052-355 je bila multicentrična, randomizovana, dvostruko</w:t>
      </w:r>
      <w:r w:rsidR="00823F72" w:rsidRPr="00DE2CF7">
        <w:rPr>
          <w:szCs w:val="22"/>
          <w:lang w:val="sr-Latn-ME"/>
        </w:rPr>
        <w:t xml:space="preserve"> </w:t>
      </w:r>
      <w:r w:rsidR="0036723C" w:rsidRPr="00DE2CF7">
        <w:rPr>
          <w:szCs w:val="22"/>
          <w:lang w:val="sr-Latn-ME"/>
        </w:rPr>
        <w:t>slijepa</w:t>
      </w:r>
      <w:r w:rsidR="00823F72" w:rsidRPr="00DE2CF7">
        <w:rPr>
          <w:szCs w:val="22"/>
          <w:lang w:val="sr-Latn-ME"/>
        </w:rPr>
        <w:t xml:space="preserve">, </w:t>
      </w:r>
      <w:r w:rsidRPr="00DE2CF7">
        <w:rPr>
          <w:szCs w:val="22"/>
          <w:lang w:val="sr-Latn-ME"/>
        </w:rPr>
        <w:t xml:space="preserve">sa </w:t>
      </w:r>
      <w:r w:rsidR="00823F72" w:rsidRPr="00DE2CF7">
        <w:rPr>
          <w:szCs w:val="22"/>
          <w:lang w:val="sr-Latn-ME"/>
        </w:rPr>
        <w:t>paralelnim grupama, studija</w:t>
      </w:r>
      <w:r w:rsidRPr="00DE2CF7">
        <w:rPr>
          <w:szCs w:val="22"/>
          <w:lang w:val="sr-Latn-ME"/>
        </w:rPr>
        <w:t xml:space="preserve"> bosentan</w:t>
      </w:r>
      <w:r w:rsidR="00823F72" w:rsidRPr="00DE2CF7">
        <w:rPr>
          <w:szCs w:val="22"/>
          <w:lang w:val="sr-Latn-ME"/>
        </w:rPr>
        <w:t>a</w:t>
      </w:r>
      <w:r w:rsidRPr="00DE2CF7">
        <w:rPr>
          <w:szCs w:val="22"/>
          <w:lang w:val="sr-Latn-ME"/>
        </w:rPr>
        <w:t xml:space="preserve"> u odnosu na placebo, kod 33 pacijenta sa ozbiljnom plućnom arterijskom hipertenzijom koji su istovremeno primali epoprostenol. AC-052-356 je bila otvorena, nekontrolisana studija: 10 od 19 pedijatrijskih pacijenata je bilo istovremeno na terapiji bosentanom i </w:t>
      </w:r>
      <w:r w:rsidR="00002718" w:rsidRPr="00DE2CF7">
        <w:rPr>
          <w:szCs w:val="22"/>
          <w:lang w:val="sr-Latn-ME"/>
        </w:rPr>
        <w:t>e</w:t>
      </w:r>
      <w:r w:rsidRPr="00DE2CF7">
        <w:rPr>
          <w:szCs w:val="22"/>
          <w:lang w:val="sr-Latn-ME"/>
        </w:rPr>
        <w:t xml:space="preserve">poprostenolom tokom 12 </w:t>
      </w:r>
      <w:r w:rsidR="003E63C6" w:rsidRPr="00DE2CF7">
        <w:rPr>
          <w:szCs w:val="22"/>
          <w:lang w:val="sr-Latn-ME"/>
        </w:rPr>
        <w:t>nedjelja</w:t>
      </w:r>
      <w:r w:rsidRPr="00DE2CF7">
        <w:rPr>
          <w:szCs w:val="22"/>
          <w:lang w:val="sr-Latn-ME"/>
        </w:rPr>
        <w:t xml:space="preserve"> studije. Bezb</w:t>
      </w:r>
      <w:r w:rsidR="006E200E" w:rsidRPr="00DE2CF7">
        <w:rPr>
          <w:szCs w:val="22"/>
          <w:lang w:val="sr-Latn-ME"/>
        </w:rPr>
        <w:t>j</w:t>
      </w:r>
      <w:r w:rsidRPr="00DE2CF7">
        <w:rPr>
          <w:szCs w:val="22"/>
          <w:lang w:val="sr-Latn-ME"/>
        </w:rPr>
        <w:t>ednosni profil kombinacije se nije razlikovao od očekivanog za svaku komponentu posebno. Kombinovanu terapiju su dobro podnosili i d</w:t>
      </w:r>
      <w:r w:rsidR="00002718" w:rsidRPr="00DE2CF7">
        <w:rPr>
          <w:szCs w:val="22"/>
          <w:lang w:val="sr-Latn-ME"/>
        </w:rPr>
        <w:t>j</w:t>
      </w:r>
      <w:r w:rsidRPr="00DE2CF7">
        <w:rPr>
          <w:szCs w:val="22"/>
          <w:lang w:val="sr-Latn-ME"/>
        </w:rPr>
        <w:t>eca i odrasli. Klinička korist kombinovane terapije nije pokazana.</w:t>
      </w:r>
    </w:p>
    <w:p w14:paraId="7C356AF7" w14:textId="77777777" w:rsidR="0087250B" w:rsidRDefault="0087250B" w:rsidP="00DE2CF7">
      <w:pPr>
        <w:rPr>
          <w:i/>
          <w:szCs w:val="22"/>
          <w:lang w:val="sr-Latn-ME"/>
        </w:rPr>
      </w:pPr>
    </w:p>
    <w:p w14:paraId="28558470" w14:textId="77777777" w:rsidR="0090133B" w:rsidRPr="00DE2CF7" w:rsidRDefault="0090133B" w:rsidP="00DE2CF7">
      <w:pPr>
        <w:rPr>
          <w:i/>
          <w:szCs w:val="22"/>
          <w:lang w:val="sr-Latn-ME"/>
        </w:rPr>
      </w:pPr>
      <w:r w:rsidRPr="00DE2CF7">
        <w:rPr>
          <w:i/>
          <w:szCs w:val="22"/>
          <w:lang w:val="sr-Latn-ME"/>
        </w:rPr>
        <w:t>Sistemska skleroza sa ulkusima na prstima</w:t>
      </w:r>
    </w:p>
    <w:p w14:paraId="73C67628" w14:textId="77777777" w:rsidR="00C3549F" w:rsidRPr="00DE2CF7" w:rsidRDefault="0036723C" w:rsidP="00DE2CF7">
      <w:pPr>
        <w:rPr>
          <w:szCs w:val="22"/>
          <w:lang w:val="sr-Latn-ME"/>
        </w:rPr>
      </w:pPr>
      <w:r w:rsidRPr="00DE2CF7">
        <w:rPr>
          <w:szCs w:val="22"/>
          <w:lang w:val="sr-Latn-ME"/>
        </w:rPr>
        <w:t>Dvije</w:t>
      </w:r>
      <w:r w:rsidR="0090133B" w:rsidRPr="00DE2CF7">
        <w:rPr>
          <w:szCs w:val="22"/>
          <w:lang w:val="sr-Latn-ME"/>
        </w:rPr>
        <w:t xml:space="preserve"> randomizovane, dvostruko</w:t>
      </w:r>
      <w:r w:rsidR="00002718" w:rsidRPr="00DE2CF7">
        <w:rPr>
          <w:szCs w:val="22"/>
          <w:lang w:val="sr-Latn-ME"/>
        </w:rPr>
        <w:t xml:space="preserve"> </w:t>
      </w:r>
      <w:r w:rsidR="0090133B" w:rsidRPr="00DE2CF7">
        <w:rPr>
          <w:szCs w:val="22"/>
          <w:lang w:val="sr-Latn-ME"/>
        </w:rPr>
        <w:t>sl</w:t>
      </w:r>
      <w:r w:rsidR="00002718" w:rsidRPr="00DE2CF7">
        <w:rPr>
          <w:szCs w:val="22"/>
          <w:lang w:val="sr-Latn-ME"/>
        </w:rPr>
        <w:t>ij</w:t>
      </w:r>
      <w:r w:rsidR="0090133B" w:rsidRPr="00DE2CF7">
        <w:rPr>
          <w:szCs w:val="22"/>
          <w:lang w:val="sr-Latn-ME"/>
        </w:rPr>
        <w:t xml:space="preserve">epe, multicentrične, placebom kontrolisane studije su sprovedene </w:t>
      </w:r>
      <w:r w:rsidR="00E0537C" w:rsidRPr="00DE2CF7">
        <w:rPr>
          <w:szCs w:val="22"/>
          <w:lang w:val="sr-Latn-ME"/>
        </w:rPr>
        <w:t xml:space="preserve">kod </w:t>
      </w:r>
      <w:r w:rsidR="0090133B" w:rsidRPr="00DE2CF7">
        <w:rPr>
          <w:szCs w:val="22"/>
          <w:lang w:val="sr-Latn-ME"/>
        </w:rPr>
        <w:t>122 (studija AC-052-401, [RAPIDS-1]) i 190 (studija AC-052-331 [RAPIDS-2]) odraslih pacijenata sa sistemskom sklerozom i ulkusima na prstima (bilo da postoje ulkusi na prstima ili su postojali tokom prethodne godine). U studiji AC-052-331, pacijenti su morali da imaju najmanje jedan ulkus u skorije vr</w:t>
      </w:r>
      <w:r w:rsidR="00E0537C" w:rsidRPr="00DE2CF7">
        <w:rPr>
          <w:szCs w:val="22"/>
          <w:lang w:val="sr-Latn-ME"/>
        </w:rPr>
        <w:t>ij</w:t>
      </w:r>
      <w:r w:rsidR="0090133B" w:rsidRPr="00DE2CF7">
        <w:rPr>
          <w:szCs w:val="22"/>
          <w:lang w:val="sr-Latn-ME"/>
        </w:rPr>
        <w:t xml:space="preserve">eme, a 85% pacijenata u ove </w:t>
      </w:r>
      <w:r w:rsidRPr="00DE2CF7">
        <w:rPr>
          <w:szCs w:val="22"/>
          <w:lang w:val="sr-Latn-ME"/>
        </w:rPr>
        <w:t>dvije</w:t>
      </w:r>
      <w:r w:rsidR="0090133B" w:rsidRPr="00DE2CF7">
        <w:rPr>
          <w:szCs w:val="22"/>
          <w:lang w:val="sr-Latn-ME"/>
        </w:rPr>
        <w:t xml:space="preserve"> studije imalo je aktivne ulkuse na prstima</w:t>
      </w:r>
      <w:r w:rsidR="003E63C6" w:rsidRPr="00DE2CF7">
        <w:rPr>
          <w:szCs w:val="22"/>
          <w:lang w:val="sr-Latn-ME"/>
        </w:rPr>
        <w:t xml:space="preserve"> prije </w:t>
      </w:r>
      <w:r w:rsidR="0090133B" w:rsidRPr="00DE2CF7">
        <w:rPr>
          <w:szCs w:val="22"/>
          <w:lang w:val="sr-Latn-ME"/>
        </w:rPr>
        <w:t xml:space="preserve">početka terapije. </w:t>
      </w:r>
      <w:r w:rsidR="00CA7152" w:rsidRPr="00DE2CF7">
        <w:rPr>
          <w:szCs w:val="22"/>
          <w:lang w:val="sr-Latn-ME"/>
        </w:rPr>
        <w:t xml:space="preserve">Nakon </w:t>
      </w:r>
      <w:r w:rsidR="0090133B" w:rsidRPr="00DE2CF7">
        <w:rPr>
          <w:szCs w:val="22"/>
          <w:lang w:val="sr-Latn-ME"/>
        </w:rPr>
        <w:t xml:space="preserve">4 </w:t>
      </w:r>
      <w:r w:rsidR="001165AF" w:rsidRPr="00DE2CF7">
        <w:rPr>
          <w:szCs w:val="22"/>
          <w:lang w:val="sr-Latn-ME"/>
        </w:rPr>
        <w:t>nedjelje</w:t>
      </w:r>
      <w:r w:rsidR="0090133B" w:rsidRPr="00DE2CF7">
        <w:rPr>
          <w:szCs w:val="22"/>
          <w:lang w:val="sr-Latn-ME"/>
        </w:rPr>
        <w:t xml:space="preserve"> </w:t>
      </w:r>
      <w:r w:rsidR="004374E0" w:rsidRPr="00DE2CF7">
        <w:rPr>
          <w:szCs w:val="22"/>
          <w:lang w:val="sr-Latn-ME"/>
        </w:rPr>
        <w:t xml:space="preserve">primjene </w:t>
      </w:r>
      <w:r w:rsidR="0090133B" w:rsidRPr="00DE2CF7">
        <w:rPr>
          <w:szCs w:val="22"/>
          <w:lang w:val="sr-Latn-ME"/>
        </w:rPr>
        <w:t>bosentana u dozi 62</w:t>
      </w:r>
      <w:r w:rsidR="00E0537C" w:rsidRPr="00DE2CF7">
        <w:rPr>
          <w:szCs w:val="22"/>
          <w:lang w:val="sr-Latn-ME"/>
        </w:rPr>
        <w:t>,</w:t>
      </w:r>
      <w:r w:rsidR="0090133B" w:rsidRPr="00DE2CF7">
        <w:rPr>
          <w:szCs w:val="22"/>
          <w:lang w:val="sr-Latn-ME"/>
        </w:rPr>
        <w:t xml:space="preserve">5 mg dva puta dnevno, u </w:t>
      </w:r>
      <w:r w:rsidR="002407A5" w:rsidRPr="00DE2CF7">
        <w:rPr>
          <w:szCs w:val="22"/>
          <w:lang w:val="sr-Latn-ME"/>
        </w:rPr>
        <w:t>obje</w:t>
      </w:r>
      <w:r w:rsidR="0090133B" w:rsidRPr="00DE2CF7">
        <w:rPr>
          <w:szCs w:val="22"/>
          <w:lang w:val="sr-Latn-ME"/>
        </w:rPr>
        <w:t xml:space="preserve"> studije doza održavanja iznosila je 12</w:t>
      </w:r>
      <w:r w:rsidR="00002718" w:rsidRPr="00DE2CF7">
        <w:rPr>
          <w:szCs w:val="22"/>
          <w:lang w:val="sr-Latn-ME"/>
        </w:rPr>
        <w:t xml:space="preserve">5 mg dva puta dnevno. Dvostruko </w:t>
      </w:r>
      <w:r w:rsidRPr="00DE2CF7">
        <w:rPr>
          <w:szCs w:val="22"/>
          <w:lang w:val="sr-Latn-ME"/>
        </w:rPr>
        <w:t>slijepa</w:t>
      </w:r>
      <w:r w:rsidR="0090133B" w:rsidRPr="00DE2CF7">
        <w:rPr>
          <w:szCs w:val="22"/>
          <w:lang w:val="sr-Latn-ME"/>
        </w:rPr>
        <w:t xml:space="preserve"> terapija trajala je 16 </w:t>
      </w:r>
      <w:r w:rsidR="003E63C6" w:rsidRPr="00DE2CF7">
        <w:rPr>
          <w:szCs w:val="22"/>
          <w:lang w:val="sr-Latn-ME"/>
        </w:rPr>
        <w:t>nedjelja</w:t>
      </w:r>
      <w:r w:rsidR="0090133B" w:rsidRPr="00DE2CF7">
        <w:rPr>
          <w:szCs w:val="22"/>
          <w:lang w:val="sr-Latn-ME"/>
        </w:rPr>
        <w:t xml:space="preserve"> u studiji AC-052-401</w:t>
      </w:r>
      <w:r w:rsidR="00E0537C" w:rsidRPr="00DE2CF7">
        <w:rPr>
          <w:szCs w:val="22"/>
          <w:lang w:val="sr-Latn-ME"/>
        </w:rPr>
        <w:t>,</w:t>
      </w:r>
      <w:r w:rsidR="0090133B" w:rsidRPr="00DE2CF7">
        <w:rPr>
          <w:szCs w:val="22"/>
          <w:lang w:val="sr-Latn-ME"/>
        </w:rPr>
        <w:t xml:space="preserve"> i 24 </w:t>
      </w:r>
      <w:r w:rsidR="001165AF" w:rsidRPr="00DE2CF7">
        <w:rPr>
          <w:szCs w:val="22"/>
          <w:lang w:val="sr-Latn-ME"/>
        </w:rPr>
        <w:t>nedjelje</w:t>
      </w:r>
      <w:r w:rsidR="0090133B" w:rsidRPr="00DE2CF7">
        <w:rPr>
          <w:szCs w:val="22"/>
          <w:lang w:val="sr-Latn-ME"/>
        </w:rPr>
        <w:t xml:space="preserve"> u studiji AC-052-331.</w:t>
      </w:r>
    </w:p>
    <w:p w14:paraId="1FAFC296" w14:textId="77777777" w:rsidR="00C3549F" w:rsidRPr="00DE2CF7" w:rsidRDefault="00C3549F" w:rsidP="00DE2CF7">
      <w:pPr>
        <w:rPr>
          <w:szCs w:val="22"/>
          <w:lang w:val="sr-Latn-ME"/>
        </w:rPr>
      </w:pPr>
    </w:p>
    <w:p w14:paraId="34C8B741" w14:textId="77777777" w:rsidR="00002718" w:rsidRPr="00DE2CF7" w:rsidRDefault="00B67E8D" w:rsidP="00DE2CF7">
      <w:pPr>
        <w:rPr>
          <w:szCs w:val="22"/>
          <w:lang w:val="sr-Latn-ME"/>
        </w:rPr>
      </w:pPr>
      <w:r w:rsidRPr="00DE2CF7">
        <w:rPr>
          <w:szCs w:val="22"/>
          <w:lang w:val="sr-Latn-ME"/>
        </w:rPr>
        <w:t>Dodatni ljekovi</w:t>
      </w:r>
      <w:r w:rsidR="0090133B" w:rsidRPr="00DE2CF7">
        <w:rPr>
          <w:szCs w:val="22"/>
          <w:lang w:val="sr-Latn-ME"/>
        </w:rPr>
        <w:t xml:space="preserve"> za sistemsku sklerozu i ulkuse na prstima bil</w:t>
      </w:r>
      <w:r w:rsidRPr="00DE2CF7">
        <w:rPr>
          <w:szCs w:val="22"/>
          <w:lang w:val="sr-Latn-ME"/>
        </w:rPr>
        <w:t>i</w:t>
      </w:r>
      <w:r w:rsidR="0090133B" w:rsidRPr="00DE2CF7">
        <w:rPr>
          <w:szCs w:val="22"/>
          <w:lang w:val="sr-Latn-ME"/>
        </w:rPr>
        <w:t xml:space="preserve"> su dozvoljen</w:t>
      </w:r>
      <w:r w:rsidRPr="00DE2CF7">
        <w:rPr>
          <w:szCs w:val="22"/>
          <w:lang w:val="sr-Latn-ME"/>
        </w:rPr>
        <w:t>i</w:t>
      </w:r>
      <w:r w:rsidR="0090133B" w:rsidRPr="00DE2CF7">
        <w:rPr>
          <w:szCs w:val="22"/>
          <w:lang w:val="sr-Latn-ME"/>
        </w:rPr>
        <w:t xml:space="preserve"> ukoliko </w:t>
      </w:r>
      <w:r w:rsidR="00E0537C" w:rsidRPr="00DE2CF7">
        <w:rPr>
          <w:szCs w:val="22"/>
          <w:lang w:val="sr-Latn-ME"/>
        </w:rPr>
        <w:t xml:space="preserve">su </w:t>
      </w:r>
      <w:r w:rsidRPr="00DE2CF7">
        <w:rPr>
          <w:szCs w:val="22"/>
          <w:lang w:val="sr-Latn-ME"/>
        </w:rPr>
        <w:t xml:space="preserve">uzimani </w:t>
      </w:r>
      <w:r w:rsidR="0090133B" w:rsidRPr="00DE2CF7">
        <w:rPr>
          <w:szCs w:val="22"/>
          <w:lang w:val="sr-Latn-ME"/>
        </w:rPr>
        <w:t xml:space="preserve">u kontinuitetu najmanje 1 </w:t>
      </w:r>
      <w:r w:rsidR="003E63C6" w:rsidRPr="00DE2CF7">
        <w:rPr>
          <w:szCs w:val="22"/>
          <w:lang w:val="sr-Latn-ME"/>
        </w:rPr>
        <w:t xml:space="preserve">mjesec prije </w:t>
      </w:r>
      <w:r w:rsidR="0090133B" w:rsidRPr="00DE2CF7">
        <w:rPr>
          <w:szCs w:val="22"/>
          <w:lang w:val="sr-Latn-ME"/>
        </w:rPr>
        <w:t xml:space="preserve">početka </w:t>
      </w:r>
      <w:r w:rsidR="004374E0" w:rsidRPr="00DE2CF7">
        <w:rPr>
          <w:szCs w:val="22"/>
          <w:lang w:val="sr-Latn-ME"/>
        </w:rPr>
        <w:t xml:space="preserve">primjene </w:t>
      </w:r>
      <w:r w:rsidR="0090133B" w:rsidRPr="00DE2CF7">
        <w:rPr>
          <w:szCs w:val="22"/>
          <w:lang w:val="sr-Latn-ME"/>
        </w:rPr>
        <w:t>bosentana i tokom dvostruko</w:t>
      </w:r>
      <w:r w:rsidR="00002718" w:rsidRPr="00DE2CF7">
        <w:rPr>
          <w:szCs w:val="22"/>
          <w:lang w:val="sr-Latn-ME"/>
        </w:rPr>
        <w:t xml:space="preserve"> </w:t>
      </w:r>
      <w:r w:rsidR="0090133B" w:rsidRPr="00DE2CF7">
        <w:rPr>
          <w:szCs w:val="22"/>
          <w:lang w:val="sr-Latn-ME"/>
        </w:rPr>
        <w:t>sl</w:t>
      </w:r>
      <w:r w:rsidR="00002718" w:rsidRPr="00DE2CF7">
        <w:rPr>
          <w:szCs w:val="22"/>
          <w:lang w:val="sr-Latn-ME"/>
        </w:rPr>
        <w:t>ij</w:t>
      </w:r>
      <w:r w:rsidR="0090133B" w:rsidRPr="00DE2CF7">
        <w:rPr>
          <w:szCs w:val="22"/>
          <w:lang w:val="sr-Latn-ME"/>
        </w:rPr>
        <w:t>epog perioda studije.</w:t>
      </w:r>
    </w:p>
    <w:p w14:paraId="132B0C63" w14:textId="77777777" w:rsidR="0090133B" w:rsidRPr="00DE2CF7" w:rsidRDefault="00E0537C" w:rsidP="00DE2CF7">
      <w:pPr>
        <w:rPr>
          <w:szCs w:val="22"/>
          <w:lang w:val="sr-Latn-ME"/>
        </w:rPr>
      </w:pPr>
      <w:r w:rsidRPr="00DE2CF7">
        <w:rPr>
          <w:szCs w:val="22"/>
          <w:lang w:val="sr-Latn-ME"/>
        </w:rPr>
        <w:t xml:space="preserve">Primarna </w:t>
      </w:r>
      <w:r w:rsidR="00B67E8D" w:rsidRPr="00DE2CF7">
        <w:rPr>
          <w:szCs w:val="22"/>
          <w:lang w:val="sr-Latn-ME"/>
        </w:rPr>
        <w:t>mjera ishoda</w:t>
      </w:r>
      <w:r w:rsidRPr="00DE2CF7">
        <w:rPr>
          <w:szCs w:val="22"/>
          <w:lang w:val="sr-Latn-ME"/>
        </w:rPr>
        <w:t xml:space="preserve"> </w:t>
      </w:r>
      <w:r w:rsidR="0090133B" w:rsidRPr="00DE2CF7">
        <w:rPr>
          <w:szCs w:val="22"/>
          <w:lang w:val="sr-Latn-ME"/>
        </w:rPr>
        <w:t xml:space="preserve">u </w:t>
      </w:r>
      <w:r w:rsidR="002407A5" w:rsidRPr="00DE2CF7">
        <w:rPr>
          <w:szCs w:val="22"/>
          <w:lang w:val="sr-Latn-ME"/>
        </w:rPr>
        <w:t>obje</w:t>
      </w:r>
      <w:r w:rsidR="0090133B" w:rsidRPr="00DE2CF7">
        <w:rPr>
          <w:szCs w:val="22"/>
          <w:lang w:val="sr-Latn-ME"/>
        </w:rPr>
        <w:t xml:space="preserve"> studije </w:t>
      </w:r>
      <w:r w:rsidRPr="00DE2CF7">
        <w:rPr>
          <w:szCs w:val="22"/>
          <w:lang w:val="sr-Latn-ME"/>
        </w:rPr>
        <w:t xml:space="preserve">bila </w:t>
      </w:r>
      <w:r w:rsidR="0090133B" w:rsidRPr="00DE2CF7">
        <w:rPr>
          <w:szCs w:val="22"/>
          <w:lang w:val="sr-Latn-ME"/>
        </w:rPr>
        <w:t xml:space="preserve">je broj novih ulkusa na prstima na kraju studije u odnosu na početne </w:t>
      </w:r>
      <w:r w:rsidR="002407A5" w:rsidRPr="00DE2CF7">
        <w:rPr>
          <w:szCs w:val="22"/>
          <w:lang w:val="sr-Latn-ME"/>
        </w:rPr>
        <w:t>vrijednost</w:t>
      </w:r>
      <w:r w:rsidR="0090133B" w:rsidRPr="00DE2CF7">
        <w:rPr>
          <w:szCs w:val="22"/>
          <w:lang w:val="sr-Latn-ME"/>
        </w:rPr>
        <w:t xml:space="preserve">i. </w:t>
      </w:r>
      <w:r w:rsidR="007453E0" w:rsidRPr="00DE2CF7">
        <w:rPr>
          <w:szCs w:val="22"/>
          <w:lang w:val="sr-Latn-ME"/>
        </w:rPr>
        <w:t>Liječenj</w:t>
      </w:r>
      <w:r w:rsidR="0090133B" w:rsidRPr="00DE2CF7">
        <w:rPr>
          <w:szCs w:val="22"/>
          <w:lang w:val="sr-Latn-ME"/>
        </w:rPr>
        <w:t>e bosentanom dovelo je do pojave manjeg broja novih ulkusa na prstima u poređenju sa placebom. U studiji AC-052-401, za</w:t>
      </w:r>
      <w:r w:rsidR="003E63C6" w:rsidRPr="00DE2CF7">
        <w:rPr>
          <w:szCs w:val="22"/>
          <w:lang w:val="sr-Latn-ME"/>
        </w:rPr>
        <w:t xml:space="preserve"> vrijeme </w:t>
      </w:r>
      <w:r w:rsidR="0090133B" w:rsidRPr="00DE2CF7">
        <w:rPr>
          <w:szCs w:val="22"/>
          <w:lang w:val="sr-Latn-ME"/>
        </w:rPr>
        <w:t>16</w:t>
      </w:r>
      <w:r w:rsidRPr="00DE2CF7">
        <w:rPr>
          <w:szCs w:val="22"/>
          <w:lang w:val="sr-Latn-ME"/>
        </w:rPr>
        <w:t>-</w:t>
      </w:r>
      <w:r w:rsidR="0090133B" w:rsidRPr="00DE2CF7">
        <w:rPr>
          <w:szCs w:val="22"/>
          <w:lang w:val="sr-Latn-ME"/>
        </w:rPr>
        <w:t>ned</w:t>
      </w:r>
      <w:r w:rsidR="00002718" w:rsidRPr="00DE2CF7">
        <w:rPr>
          <w:szCs w:val="22"/>
          <w:lang w:val="sr-Latn-ME"/>
        </w:rPr>
        <w:t>j</w:t>
      </w:r>
      <w:r w:rsidR="0090133B" w:rsidRPr="00DE2CF7">
        <w:rPr>
          <w:szCs w:val="22"/>
          <w:lang w:val="sr-Latn-ME"/>
        </w:rPr>
        <w:t>eljnog dvostruko</w:t>
      </w:r>
      <w:r w:rsidR="00002718" w:rsidRPr="00DE2CF7">
        <w:rPr>
          <w:szCs w:val="22"/>
          <w:lang w:val="sr-Latn-ME"/>
        </w:rPr>
        <w:t xml:space="preserve"> </w:t>
      </w:r>
      <w:r w:rsidR="0090133B" w:rsidRPr="00DE2CF7">
        <w:rPr>
          <w:szCs w:val="22"/>
          <w:lang w:val="sr-Latn-ME"/>
        </w:rPr>
        <w:t>sl</w:t>
      </w:r>
      <w:r w:rsidR="00002718" w:rsidRPr="00DE2CF7">
        <w:rPr>
          <w:szCs w:val="22"/>
          <w:lang w:val="sr-Latn-ME"/>
        </w:rPr>
        <w:t>ij</w:t>
      </w:r>
      <w:r w:rsidR="0090133B" w:rsidRPr="00DE2CF7">
        <w:rPr>
          <w:szCs w:val="22"/>
          <w:lang w:val="sr-Latn-ME"/>
        </w:rPr>
        <w:t xml:space="preserve">epog perioda, kod pacijenata u bosentan grupi pojavilo se u </w:t>
      </w:r>
      <w:r w:rsidR="00344619" w:rsidRPr="00DE2CF7">
        <w:rPr>
          <w:szCs w:val="22"/>
          <w:lang w:val="sr-Latn-ME"/>
        </w:rPr>
        <w:t>prosjek</w:t>
      </w:r>
      <w:r w:rsidR="0090133B" w:rsidRPr="00DE2CF7">
        <w:rPr>
          <w:szCs w:val="22"/>
          <w:lang w:val="sr-Latn-ME"/>
        </w:rPr>
        <w:t>u 1</w:t>
      </w:r>
      <w:r w:rsidRPr="00DE2CF7">
        <w:rPr>
          <w:szCs w:val="22"/>
          <w:lang w:val="sr-Latn-ME"/>
        </w:rPr>
        <w:t>,</w:t>
      </w:r>
      <w:r w:rsidR="0090133B" w:rsidRPr="00DE2CF7">
        <w:rPr>
          <w:szCs w:val="22"/>
          <w:lang w:val="sr-Latn-ME"/>
        </w:rPr>
        <w:t>4 nova ulkusa na prstima u odnosu na 2</w:t>
      </w:r>
      <w:r w:rsidRPr="00DE2CF7">
        <w:rPr>
          <w:szCs w:val="22"/>
          <w:lang w:val="sr-Latn-ME"/>
        </w:rPr>
        <w:t>,</w:t>
      </w:r>
      <w:r w:rsidR="0090133B" w:rsidRPr="00DE2CF7">
        <w:rPr>
          <w:szCs w:val="22"/>
          <w:lang w:val="sr-Latn-ME"/>
        </w:rPr>
        <w:t xml:space="preserve">7 nova ulkusa na prstima u grupi koja je </w:t>
      </w:r>
      <w:r w:rsidR="00B67E8D" w:rsidRPr="00DE2CF7">
        <w:rPr>
          <w:szCs w:val="22"/>
          <w:lang w:val="sr-Latn-ME"/>
        </w:rPr>
        <w:t>primal placebo</w:t>
      </w:r>
      <w:r w:rsidR="0090133B" w:rsidRPr="00DE2CF7">
        <w:rPr>
          <w:szCs w:val="22"/>
          <w:lang w:val="sr-Latn-ME"/>
        </w:rPr>
        <w:t xml:space="preserve"> (p=0</w:t>
      </w:r>
      <w:r w:rsidRPr="00DE2CF7">
        <w:rPr>
          <w:szCs w:val="22"/>
          <w:lang w:val="sr-Latn-ME"/>
        </w:rPr>
        <w:t>,</w:t>
      </w:r>
      <w:r w:rsidR="0090133B" w:rsidRPr="00DE2CF7">
        <w:rPr>
          <w:szCs w:val="22"/>
          <w:lang w:val="sr-Latn-ME"/>
        </w:rPr>
        <w:t>0042). U studiji AC-052-331, tokom 24</w:t>
      </w:r>
      <w:r w:rsidRPr="00DE2CF7">
        <w:rPr>
          <w:szCs w:val="22"/>
          <w:lang w:val="sr-Latn-ME"/>
        </w:rPr>
        <w:t>-</w:t>
      </w:r>
      <w:r w:rsidR="0090133B" w:rsidRPr="00DE2CF7">
        <w:rPr>
          <w:szCs w:val="22"/>
          <w:lang w:val="sr-Latn-ME"/>
        </w:rPr>
        <w:t>ned</w:t>
      </w:r>
      <w:r w:rsidR="00002718" w:rsidRPr="00DE2CF7">
        <w:rPr>
          <w:szCs w:val="22"/>
          <w:lang w:val="sr-Latn-ME"/>
        </w:rPr>
        <w:t>j</w:t>
      </w:r>
      <w:r w:rsidR="0090133B" w:rsidRPr="00DE2CF7">
        <w:rPr>
          <w:szCs w:val="22"/>
          <w:lang w:val="sr-Latn-ME"/>
        </w:rPr>
        <w:t>eljnog dvostruko</w:t>
      </w:r>
      <w:r w:rsidR="00002718" w:rsidRPr="00DE2CF7">
        <w:rPr>
          <w:szCs w:val="22"/>
          <w:lang w:val="sr-Latn-ME"/>
        </w:rPr>
        <w:t xml:space="preserve"> </w:t>
      </w:r>
      <w:r w:rsidR="0090133B" w:rsidRPr="00DE2CF7">
        <w:rPr>
          <w:szCs w:val="22"/>
          <w:lang w:val="sr-Latn-ME"/>
        </w:rPr>
        <w:t>sl</w:t>
      </w:r>
      <w:r w:rsidR="00002718" w:rsidRPr="00DE2CF7">
        <w:rPr>
          <w:szCs w:val="22"/>
          <w:lang w:val="sr-Latn-ME"/>
        </w:rPr>
        <w:t>ij</w:t>
      </w:r>
      <w:r w:rsidR="0090133B" w:rsidRPr="00DE2CF7">
        <w:rPr>
          <w:szCs w:val="22"/>
          <w:lang w:val="sr-Latn-ME"/>
        </w:rPr>
        <w:t xml:space="preserve">epog perioda, odgovarajuće </w:t>
      </w:r>
      <w:r w:rsidR="002407A5" w:rsidRPr="00DE2CF7">
        <w:rPr>
          <w:szCs w:val="22"/>
          <w:lang w:val="sr-Latn-ME"/>
        </w:rPr>
        <w:t>vrijednost</w:t>
      </w:r>
      <w:r w:rsidR="0090133B" w:rsidRPr="00DE2CF7">
        <w:rPr>
          <w:szCs w:val="22"/>
          <w:lang w:val="sr-Latn-ME"/>
        </w:rPr>
        <w:t>i bile su 1</w:t>
      </w:r>
      <w:r w:rsidRPr="00DE2CF7">
        <w:rPr>
          <w:szCs w:val="22"/>
          <w:lang w:val="sr-Latn-ME"/>
        </w:rPr>
        <w:t>,</w:t>
      </w:r>
      <w:r w:rsidR="00002718" w:rsidRPr="00DE2CF7">
        <w:rPr>
          <w:szCs w:val="22"/>
          <w:lang w:val="sr-Latn-ME"/>
        </w:rPr>
        <w:t>9 odnosno 2</w:t>
      </w:r>
      <w:r w:rsidRPr="00DE2CF7">
        <w:rPr>
          <w:szCs w:val="22"/>
          <w:lang w:val="sr-Latn-ME"/>
        </w:rPr>
        <w:t>,</w:t>
      </w:r>
      <w:r w:rsidR="0090133B" w:rsidRPr="00DE2CF7">
        <w:rPr>
          <w:szCs w:val="22"/>
          <w:lang w:val="sr-Latn-ME"/>
        </w:rPr>
        <w:t>7 novih ulkusa u grupi koja je primala bosentan odnosno placebo (p=0</w:t>
      </w:r>
      <w:r w:rsidRPr="00DE2CF7">
        <w:rPr>
          <w:szCs w:val="22"/>
          <w:lang w:val="sr-Latn-ME"/>
        </w:rPr>
        <w:t>,</w:t>
      </w:r>
      <w:r w:rsidR="0090133B" w:rsidRPr="00DE2CF7">
        <w:rPr>
          <w:szCs w:val="22"/>
          <w:lang w:val="sr-Latn-ME"/>
        </w:rPr>
        <w:t xml:space="preserve">0351). U </w:t>
      </w:r>
      <w:r w:rsidR="002407A5" w:rsidRPr="00DE2CF7">
        <w:rPr>
          <w:szCs w:val="22"/>
          <w:lang w:val="sr-Latn-ME"/>
        </w:rPr>
        <w:t>obje</w:t>
      </w:r>
      <w:r w:rsidR="0090133B" w:rsidRPr="00DE2CF7">
        <w:rPr>
          <w:szCs w:val="22"/>
          <w:lang w:val="sr-Latn-ME"/>
        </w:rPr>
        <w:t xml:space="preserve"> studije, pokazano je da je manje </w:t>
      </w:r>
      <w:r w:rsidR="004374E0" w:rsidRPr="00DE2CF7">
        <w:rPr>
          <w:szCs w:val="22"/>
          <w:lang w:val="sr-Latn-ME"/>
        </w:rPr>
        <w:t>vjerovatn</w:t>
      </w:r>
      <w:r w:rsidR="0090133B" w:rsidRPr="00DE2CF7">
        <w:rPr>
          <w:szCs w:val="22"/>
          <w:lang w:val="sr-Latn-ME"/>
        </w:rPr>
        <w:t xml:space="preserve">o da pacijenti </w:t>
      </w:r>
      <w:r w:rsidR="007977C5" w:rsidRPr="00DE2CF7">
        <w:rPr>
          <w:szCs w:val="22"/>
          <w:lang w:val="sr-Latn-ME"/>
        </w:rPr>
        <w:t xml:space="preserve">koji su uzimali </w:t>
      </w:r>
      <w:r w:rsidR="0090133B" w:rsidRPr="00DE2CF7">
        <w:rPr>
          <w:szCs w:val="22"/>
          <w:lang w:val="sr-Latn-ME"/>
        </w:rPr>
        <w:t xml:space="preserve">bosentan razviju višestruke ulkuse na prstima tokom </w:t>
      </w:r>
      <w:r w:rsidR="007977C5" w:rsidRPr="00DE2CF7">
        <w:rPr>
          <w:szCs w:val="22"/>
          <w:lang w:val="sr-Latn-ME"/>
        </w:rPr>
        <w:t xml:space="preserve">studije </w:t>
      </w:r>
      <w:r w:rsidR="0090133B" w:rsidRPr="00DE2CF7">
        <w:rPr>
          <w:szCs w:val="22"/>
          <w:lang w:val="sr-Latn-ME"/>
        </w:rPr>
        <w:t>i da je kod njih potrebno duže</w:t>
      </w:r>
      <w:r w:rsidR="003E63C6" w:rsidRPr="00DE2CF7">
        <w:rPr>
          <w:szCs w:val="22"/>
          <w:lang w:val="sr-Latn-ME"/>
        </w:rPr>
        <w:t xml:space="preserve"> vrijeme </w:t>
      </w:r>
      <w:r w:rsidR="0090133B" w:rsidRPr="00DE2CF7">
        <w:rPr>
          <w:szCs w:val="22"/>
          <w:lang w:val="sr-Latn-ME"/>
        </w:rPr>
        <w:t>za razvoj svakog sl</w:t>
      </w:r>
      <w:r w:rsidRPr="00DE2CF7">
        <w:rPr>
          <w:szCs w:val="22"/>
          <w:lang w:val="sr-Latn-ME"/>
        </w:rPr>
        <w:t>j</w:t>
      </w:r>
      <w:r w:rsidR="0090133B" w:rsidRPr="00DE2CF7">
        <w:rPr>
          <w:szCs w:val="22"/>
          <w:lang w:val="sr-Latn-ME"/>
        </w:rPr>
        <w:t>edećeg ulkusa nego kod pacijenata koji su dobijali placebo. Efekat bosentana na smanjenje broja novih ulkusa</w:t>
      </w:r>
      <w:r w:rsidR="007977C5" w:rsidRPr="00DE2CF7">
        <w:rPr>
          <w:szCs w:val="22"/>
          <w:lang w:val="sr-Latn-ME"/>
        </w:rPr>
        <w:t xml:space="preserve"> na prstima</w:t>
      </w:r>
      <w:r w:rsidR="0090133B" w:rsidRPr="00DE2CF7">
        <w:rPr>
          <w:szCs w:val="22"/>
          <w:lang w:val="sr-Latn-ME"/>
        </w:rPr>
        <w:t xml:space="preserve"> bio je izraženiji kod pacijenata koji su imali višestruke ulkuse na prstima.</w:t>
      </w:r>
    </w:p>
    <w:p w14:paraId="7586E849" w14:textId="77777777" w:rsidR="00C3549F" w:rsidRPr="00DE2CF7" w:rsidRDefault="00C3549F" w:rsidP="00DE2CF7">
      <w:pPr>
        <w:rPr>
          <w:szCs w:val="22"/>
          <w:lang w:val="sr-Latn-ME"/>
        </w:rPr>
      </w:pPr>
    </w:p>
    <w:p w14:paraId="538A2CCF" w14:textId="77777777" w:rsidR="0090133B" w:rsidRPr="00DE2CF7" w:rsidRDefault="0090133B" w:rsidP="00DE2CF7">
      <w:pPr>
        <w:rPr>
          <w:szCs w:val="22"/>
          <w:lang w:val="sr-Latn-ME"/>
        </w:rPr>
      </w:pPr>
      <w:r w:rsidRPr="00DE2CF7">
        <w:rPr>
          <w:szCs w:val="22"/>
          <w:lang w:val="sr-Latn-ME"/>
        </w:rPr>
        <w:t xml:space="preserve">Ni u jednoj od ove </w:t>
      </w:r>
      <w:r w:rsidR="0036723C" w:rsidRPr="00DE2CF7">
        <w:rPr>
          <w:szCs w:val="22"/>
          <w:lang w:val="sr-Latn-ME"/>
        </w:rPr>
        <w:t>dvije</w:t>
      </w:r>
      <w:r w:rsidRPr="00DE2CF7">
        <w:rPr>
          <w:szCs w:val="22"/>
          <w:lang w:val="sr-Latn-ME"/>
        </w:rPr>
        <w:t xml:space="preserve"> studije nije uočeno da bosentan ima uticaja na</w:t>
      </w:r>
      <w:r w:rsidR="003E63C6" w:rsidRPr="00DE2CF7">
        <w:rPr>
          <w:szCs w:val="22"/>
          <w:lang w:val="sr-Latn-ME"/>
        </w:rPr>
        <w:t xml:space="preserve"> vrijeme </w:t>
      </w:r>
      <w:r w:rsidRPr="00DE2CF7">
        <w:rPr>
          <w:szCs w:val="22"/>
          <w:lang w:val="sr-Latn-ME"/>
        </w:rPr>
        <w:t>zac</w:t>
      </w:r>
      <w:r w:rsidR="00002718" w:rsidRPr="00DE2CF7">
        <w:rPr>
          <w:szCs w:val="22"/>
          <w:lang w:val="sr-Latn-ME"/>
        </w:rPr>
        <w:t>j</w:t>
      </w:r>
      <w:r w:rsidRPr="00DE2CF7">
        <w:rPr>
          <w:szCs w:val="22"/>
          <w:lang w:val="sr-Latn-ME"/>
        </w:rPr>
        <w:t>eljivanja ulkusa na prstima.</w:t>
      </w:r>
    </w:p>
    <w:p w14:paraId="76E5D770" w14:textId="77777777" w:rsidR="00AD78F7" w:rsidRPr="00DE2CF7" w:rsidRDefault="00AD78F7" w:rsidP="00DE2CF7">
      <w:pPr>
        <w:rPr>
          <w:szCs w:val="22"/>
          <w:lang w:val="sr-Latn-ME"/>
        </w:rPr>
      </w:pPr>
    </w:p>
    <w:p w14:paraId="6A86E683" w14:textId="77777777" w:rsidR="0090133B" w:rsidRPr="00DE2CF7" w:rsidRDefault="0090133B" w:rsidP="00DE2CF7">
      <w:pPr>
        <w:rPr>
          <w:b/>
          <w:szCs w:val="22"/>
          <w:lang w:val="sr-Latn-ME"/>
        </w:rPr>
      </w:pPr>
      <w:r w:rsidRPr="00DE2CF7">
        <w:rPr>
          <w:b/>
          <w:szCs w:val="22"/>
          <w:lang w:val="sr-Latn-ME"/>
        </w:rPr>
        <w:t>5.2. Farmakokinetički podaci</w:t>
      </w:r>
    </w:p>
    <w:p w14:paraId="54460F1F" w14:textId="77777777" w:rsidR="00AD78F7" w:rsidRPr="00DE2CF7" w:rsidRDefault="00AD78F7" w:rsidP="00DE2CF7">
      <w:pPr>
        <w:rPr>
          <w:b/>
          <w:szCs w:val="22"/>
          <w:lang w:val="sr-Latn-ME"/>
        </w:rPr>
      </w:pPr>
    </w:p>
    <w:p w14:paraId="1EBF08CE" w14:textId="77777777" w:rsidR="0090133B" w:rsidRPr="00DE2CF7" w:rsidRDefault="0090133B" w:rsidP="00DE2CF7">
      <w:pPr>
        <w:rPr>
          <w:szCs w:val="22"/>
          <w:lang w:val="sr-Latn-ME"/>
        </w:rPr>
      </w:pPr>
      <w:r w:rsidRPr="00DE2CF7">
        <w:rPr>
          <w:szCs w:val="22"/>
          <w:lang w:val="sr-Latn-ME"/>
        </w:rPr>
        <w:t>Farmakokinetika bosentana je ispitana uglavnom na zdravim ispitanicima. Ograničeni podaci dobijeni na</w:t>
      </w:r>
      <w:r w:rsidR="00002718" w:rsidRPr="00DE2CF7">
        <w:rPr>
          <w:szCs w:val="22"/>
          <w:lang w:val="sr-Latn-ME"/>
        </w:rPr>
        <w:t xml:space="preserve"> p</w:t>
      </w:r>
      <w:r w:rsidRPr="00DE2CF7">
        <w:rPr>
          <w:szCs w:val="22"/>
          <w:lang w:val="sr-Latn-ME"/>
        </w:rPr>
        <w:t xml:space="preserve">acijentima pokazuju da </w:t>
      </w:r>
      <w:r w:rsidR="005C4CA3" w:rsidRPr="00DE2CF7">
        <w:rPr>
          <w:szCs w:val="22"/>
          <w:lang w:val="sr-Latn-ME"/>
        </w:rPr>
        <w:t xml:space="preserve">je </w:t>
      </w:r>
      <w:r w:rsidRPr="00DE2CF7">
        <w:rPr>
          <w:szCs w:val="22"/>
          <w:lang w:val="sr-Latn-ME"/>
        </w:rPr>
        <w:t xml:space="preserve">izloženost bosentanu kod odraslih pacijenata sa plućnom arterijskom hipertenzijom </w:t>
      </w:r>
    </w:p>
    <w:p w14:paraId="21C199EF" w14:textId="77777777" w:rsidR="0090133B" w:rsidRPr="00DE2CF7" w:rsidRDefault="0090133B" w:rsidP="00DE2CF7">
      <w:pPr>
        <w:rPr>
          <w:szCs w:val="22"/>
          <w:lang w:val="sr-Latn-ME"/>
        </w:rPr>
      </w:pPr>
      <w:r w:rsidRPr="00DE2CF7">
        <w:rPr>
          <w:szCs w:val="22"/>
          <w:lang w:val="sr-Latn-ME"/>
        </w:rPr>
        <w:t>približno 2 puta veća nego kod zdravih odraslih ispitanika.</w:t>
      </w:r>
    </w:p>
    <w:p w14:paraId="1B3B2A29" w14:textId="77777777" w:rsidR="0090133B" w:rsidRPr="00DE2CF7" w:rsidRDefault="0090133B" w:rsidP="00DE2CF7">
      <w:pPr>
        <w:rPr>
          <w:szCs w:val="22"/>
          <w:lang w:val="sr-Latn-ME"/>
        </w:rPr>
      </w:pPr>
      <w:r w:rsidRPr="00DE2CF7">
        <w:rPr>
          <w:szCs w:val="22"/>
          <w:lang w:val="sr-Latn-ME"/>
        </w:rPr>
        <w:t xml:space="preserve">Kod zdravih ispitanika, bosentan pokazuje dozno- i vremenski-zavisnu farmakokinetiku. Klirens i volumen distribucije se smanjuju sa povećanjem intravenske doze i povećavaju se sa vremenom. </w:t>
      </w:r>
      <w:r w:rsidR="00CA7152" w:rsidRPr="00DE2CF7">
        <w:rPr>
          <w:szCs w:val="22"/>
          <w:lang w:val="sr-Latn-ME"/>
        </w:rPr>
        <w:t xml:space="preserve">Nakon </w:t>
      </w:r>
      <w:r w:rsidRPr="00DE2CF7">
        <w:rPr>
          <w:szCs w:val="22"/>
          <w:lang w:val="sr-Latn-ME"/>
        </w:rPr>
        <w:t>oralne prim</w:t>
      </w:r>
      <w:r w:rsidR="006E200E" w:rsidRPr="00DE2CF7">
        <w:rPr>
          <w:szCs w:val="22"/>
          <w:lang w:val="sr-Latn-ME"/>
        </w:rPr>
        <w:t>j</w:t>
      </w:r>
      <w:r w:rsidRPr="00DE2CF7">
        <w:rPr>
          <w:szCs w:val="22"/>
          <w:lang w:val="sr-Latn-ME"/>
        </w:rPr>
        <w:t>ene, sistemska izloženost je proporcionalna dozi sve do doze od 500 mg. Sa većim oralnim dozama</w:t>
      </w:r>
      <w:r w:rsidR="005C4CA3" w:rsidRPr="00DE2CF7">
        <w:rPr>
          <w:szCs w:val="22"/>
          <w:lang w:val="sr-Latn-ME"/>
        </w:rPr>
        <w:t>,</w:t>
      </w:r>
      <w:r w:rsidRPr="00DE2CF7">
        <w:rPr>
          <w:szCs w:val="22"/>
          <w:lang w:val="sr-Latn-ME"/>
        </w:rPr>
        <w:t xml:space="preserve"> C</w:t>
      </w:r>
      <w:r w:rsidRPr="00DE2CF7">
        <w:rPr>
          <w:szCs w:val="22"/>
          <w:vertAlign w:val="subscript"/>
          <w:lang w:val="sr-Latn-ME"/>
        </w:rPr>
        <w:t xml:space="preserve">max </w:t>
      </w:r>
      <w:r w:rsidRPr="00DE2CF7">
        <w:rPr>
          <w:szCs w:val="22"/>
          <w:lang w:val="sr-Latn-ME"/>
        </w:rPr>
        <w:t xml:space="preserve">i PIK se </w:t>
      </w:r>
      <w:r w:rsidR="00C3549F" w:rsidRPr="00DE2CF7">
        <w:rPr>
          <w:szCs w:val="22"/>
          <w:lang w:val="sr-Latn-ME"/>
        </w:rPr>
        <w:t>p</w:t>
      </w:r>
      <w:r w:rsidRPr="00DE2CF7">
        <w:rPr>
          <w:szCs w:val="22"/>
          <w:lang w:val="sr-Latn-ME"/>
        </w:rPr>
        <w:t>ovećavaju manje nego što je proporcionalno datoj dozi.</w:t>
      </w:r>
    </w:p>
    <w:p w14:paraId="47CD338C" w14:textId="77777777" w:rsidR="00C3549F" w:rsidRPr="00DE2CF7" w:rsidRDefault="00C3549F" w:rsidP="00DE2CF7">
      <w:pPr>
        <w:rPr>
          <w:szCs w:val="22"/>
          <w:lang w:val="sr-Latn-ME"/>
        </w:rPr>
      </w:pPr>
    </w:p>
    <w:p w14:paraId="263F54BB" w14:textId="77777777" w:rsidR="0090133B" w:rsidRPr="00DE2CF7" w:rsidRDefault="0090133B" w:rsidP="00DE2CF7">
      <w:pPr>
        <w:rPr>
          <w:szCs w:val="22"/>
          <w:u w:val="single"/>
          <w:lang w:val="sr-Latn-ME"/>
        </w:rPr>
      </w:pPr>
      <w:r w:rsidRPr="00DE2CF7">
        <w:rPr>
          <w:szCs w:val="22"/>
          <w:u w:val="single"/>
          <w:lang w:val="sr-Latn-ME"/>
        </w:rPr>
        <w:t>Resorpcija</w:t>
      </w:r>
    </w:p>
    <w:p w14:paraId="66A25FB9" w14:textId="77777777" w:rsidR="00B659AA" w:rsidRPr="00DE2CF7" w:rsidRDefault="00B659AA" w:rsidP="00DE2CF7">
      <w:pPr>
        <w:rPr>
          <w:szCs w:val="22"/>
          <w:u w:val="single"/>
          <w:lang w:val="sr-Latn-ME"/>
        </w:rPr>
      </w:pPr>
    </w:p>
    <w:p w14:paraId="7E3F3B95" w14:textId="77777777" w:rsidR="0090133B" w:rsidRPr="00DE2CF7" w:rsidRDefault="0090133B" w:rsidP="00DE2CF7">
      <w:pPr>
        <w:rPr>
          <w:szCs w:val="22"/>
          <w:lang w:val="sr-Latn-ME"/>
        </w:rPr>
      </w:pPr>
      <w:r w:rsidRPr="00DE2CF7">
        <w:rPr>
          <w:szCs w:val="22"/>
          <w:lang w:val="sr-Latn-ME"/>
        </w:rPr>
        <w:t>Kod zdravih ispitanika</w:t>
      </w:r>
      <w:r w:rsidR="005C4CA3" w:rsidRPr="00DE2CF7">
        <w:rPr>
          <w:szCs w:val="22"/>
          <w:lang w:val="sr-Latn-ME"/>
        </w:rPr>
        <w:t>,</w:t>
      </w:r>
      <w:r w:rsidRPr="00DE2CF7">
        <w:rPr>
          <w:szCs w:val="22"/>
          <w:lang w:val="sr-Latn-ME"/>
        </w:rPr>
        <w:t xml:space="preserve"> apsolutna bioraspoloživost bosentana je približno 50% i nezavisna je od hrane.</w:t>
      </w:r>
      <w:r w:rsidR="00C3549F" w:rsidRPr="00DE2CF7">
        <w:rPr>
          <w:szCs w:val="22"/>
          <w:lang w:val="sr-Latn-ME"/>
        </w:rPr>
        <w:t xml:space="preserve"> </w:t>
      </w:r>
      <w:r w:rsidRPr="00DE2CF7">
        <w:rPr>
          <w:szCs w:val="22"/>
          <w:lang w:val="sr-Latn-ME"/>
        </w:rPr>
        <w:t>Maksimalne koncentacije u plazmi se postižu za 3-5 sati.</w:t>
      </w:r>
    </w:p>
    <w:p w14:paraId="5ADDBB3D" w14:textId="77777777" w:rsidR="00C3549F" w:rsidRPr="00DE2CF7" w:rsidRDefault="00C3549F" w:rsidP="00DE2CF7">
      <w:pPr>
        <w:rPr>
          <w:szCs w:val="22"/>
          <w:u w:val="single"/>
          <w:lang w:val="sr-Latn-ME"/>
        </w:rPr>
      </w:pPr>
    </w:p>
    <w:p w14:paraId="0764F399" w14:textId="77777777" w:rsidR="0090133B" w:rsidRPr="00DE2CF7" w:rsidRDefault="0090133B" w:rsidP="00DE2CF7">
      <w:pPr>
        <w:rPr>
          <w:szCs w:val="22"/>
          <w:u w:val="single"/>
          <w:lang w:val="sr-Latn-ME"/>
        </w:rPr>
      </w:pPr>
      <w:r w:rsidRPr="00DE2CF7">
        <w:rPr>
          <w:szCs w:val="22"/>
          <w:u w:val="single"/>
          <w:lang w:val="sr-Latn-ME"/>
        </w:rPr>
        <w:t>Distribucija</w:t>
      </w:r>
    </w:p>
    <w:p w14:paraId="46E1DF4B" w14:textId="77777777" w:rsidR="00B659AA" w:rsidRPr="00DE2CF7" w:rsidRDefault="00B659AA" w:rsidP="00DE2CF7">
      <w:pPr>
        <w:rPr>
          <w:szCs w:val="22"/>
          <w:u w:val="single"/>
          <w:lang w:val="sr-Latn-ME"/>
        </w:rPr>
      </w:pPr>
    </w:p>
    <w:p w14:paraId="62400840" w14:textId="77777777" w:rsidR="0090133B" w:rsidRPr="00DE2CF7" w:rsidRDefault="0090133B" w:rsidP="00DE2CF7">
      <w:pPr>
        <w:rPr>
          <w:szCs w:val="22"/>
          <w:lang w:val="sr-Latn-ME"/>
        </w:rPr>
      </w:pPr>
      <w:r w:rsidRPr="00DE2CF7">
        <w:rPr>
          <w:szCs w:val="22"/>
          <w:lang w:val="sr-Latn-ME"/>
        </w:rPr>
        <w:t xml:space="preserve">Bosentan se vezuje za proteine plazme u visokom stepenu (&gt;98%), uglavnom za albumin. Bosentan ne prodire u eritrocite. </w:t>
      </w:r>
      <w:r w:rsidR="0056231E" w:rsidRPr="00DE2CF7">
        <w:rPr>
          <w:szCs w:val="22"/>
          <w:lang w:val="sr-Latn-ME"/>
        </w:rPr>
        <w:t xml:space="preserve">Nakon </w:t>
      </w:r>
      <w:r w:rsidR="004374E0" w:rsidRPr="00DE2CF7">
        <w:rPr>
          <w:szCs w:val="22"/>
          <w:lang w:val="sr-Latn-ME"/>
        </w:rPr>
        <w:t xml:space="preserve">primjene </w:t>
      </w:r>
      <w:r w:rsidRPr="00DE2CF7">
        <w:rPr>
          <w:szCs w:val="22"/>
          <w:lang w:val="sr-Latn-ME"/>
        </w:rPr>
        <w:t>intravenske doze od 250 mg</w:t>
      </w:r>
      <w:r w:rsidR="005C4CA3" w:rsidRPr="00DE2CF7">
        <w:rPr>
          <w:szCs w:val="22"/>
          <w:lang w:val="sr-Latn-ME"/>
        </w:rPr>
        <w:t>,</w:t>
      </w:r>
      <w:r w:rsidRPr="00DE2CF7">
        <w:rPr>
          <w:szCs w:val="22"/>
          <w:lang w:val="sr-Latn-ME"/>
        </w:rPr>
        <w:t xml:space="preserve"> određen je volumen distribucije (V</w:t>
      </w:r>
      <w:r w:rsidRPr="00DE2CF7">
        <w:rPr>
          <w:szCs w:val="22"/>
          <w:vertAlign w:val="subscript"/>
          <w:lang w:val="sr-Latn-ME"/>
        </w:rPr>
        <w:t>ss</w:t>
      </w:r>
      <w:r w:rsidRPr="00DE2CF7">
        <w:rPr>
          <w:szCs w:val="22"/>
          <w:lang w:val="sr-Latn-ME"/>
        </w:rPr>
        <w:t>) od oko 18 litara.</w:t>
      </w:r>
    </w:p>
    <w:p w14:paraId="4D896E71" w14:textId="77777777" w:rsidR="00C60469" w:rsidRPr="00DE2CF7" w:rsidRDefault="00C60469" w:rsidP="00DE2CF7">
      <w:pPr>
        <w:rPr>
          <w:szCs w:val="22"/>
          <w:u w:val="single"/>
          <w:lang w:val="sr-Latn-ME"/>
        </w:rPr>
      </w:pPr>
    </w:p>
    <w:p w14:paraId="2C5ED42C" w14:textId="77777777" w:rsidR="0090133B" w:rsidRPr="00DE2CF7" w:rsidRDefault="0090133B" w:rsidP="00DE2CF7">
      <w:pPr>
        <w:rPr>
          <w:szCs w:val="22"/>
          <w:u w:val="single"/>
          <w:lang w:val="sr-Latn-ME"/>
        </w:rPr>
      </w:pPr>
      <w:r w:rsidRPr="00DE2CF7">
        <w:rPr>
          <w:szCs w:val="22"/>
          <w:u w:val="single"/>
          <w:lang w:val="sr-Latn-ME"/>
        </w:rPr>
        <w:t>Biotransformacija i eliminacija</w:t>
      </w:r>
    </w:p>
    <w:p w14:paraId="4CFE5DC5" w14:textId="77777777" w:rsidR="00B659AA" w:rsidRPr="00DE2CF7" w:rsidRDefault="00B659AA" w:rsidP="00DE2CF7">
      <w:pPr>
        <w:rPr>
          <w:szCs w:val="22"/>
          <w:u w:val="single"/>
          <w:lang w:val="sr-Latn-ME"/>
        </w:rPr>
      </w:pPr>
    </w:p>
    <w:p w14:paraId="55603AD6" w14:textId="77777777" w:rsidR="0090133B" w:rsidRPr="00DE2CF7" w:rsidRDefault="0056231E" w:rsidP="00DE2CF7">
      <w:pPr>
        <w:jc w:val="left"/>
        <w:rPr>
          <w:szCs w:val="22"/>
          <w:lang w:val="sr-Latn-ME"/>
        </w:rPr>
      </w:pPr>
      <w:r w:rsidRPr="00DE2CF7">
        <w:rPr>
          <w:szCs w:val="22"/>
          <w:lang w:val="sr-Latn-ME"/>
        </w:rPr>
        <w:t xml:space="preserve">Nakon </w:t>
      </w:r>
      <w:r w:rsidR="0090133B" w:rsidRPr="00DE2CF7">
        <w:rPr>
          <w:szCs w:val="22"/>
          <w:lang w:val="sr-Latn-ME"/>
        </w:rPr>
        <w:t>pojedinačne intravenske doze od 250 mg, klirens je bio 8</w:t>
      </w:r>
      <w:r w:rsidR="005C4CA3" w:rsidRPr="00DE2CF7">
        <w:rPr>
          <w:szCs w:val="22"/>
          <w:lang w:val="sr-Latn-ME"/>
        </w:rPr>
        <w:t>,</w:t>
      </w:r>
      <w:r w:rsidR="0090133B" w:rsidRPr="00DE2CF7">
        <w:rPr>
          <w:szCs w:val="22"/>
          <w:lang w:val="sr-Latn-ME"/>
        </w:rPr>
        <w:t xml:space="preserve">2 </w:t>
      </w:r>
      <w:r w:rsidR="005C4CA3" w:rsidRPr="00DE2CF7">
        <w:rPr>
          <w:szCs w:val="22"/>
          <w:lang w:val="sr-Latn-ME"/>
        </w:rPr>
        <w:t>l</w:t>
      </w:r>
      <w:r w:rsidR="0090133B" w:rsidRPr="00DE2CF7">
        <w:rPr>
          <w:szCs w:val="22"/>
          <w:lang w:val="sr-Latn-ME"/>
        </w:rPr>
        <w:t>/h. T</w:t>
      </w:r>
      <w:r w:rsidR="00B659AA" w:rsidRPr="00DE2CF7">
        <w:rPr>
          <w:szCs w:val="22"/>
          <w:lang w:val="sr-Latn-ME"/>
        </w:rPr>
        <w:t xml:space="preserve">erminalno poluvreme eliminacije </w:t>
      </w:r>
      <w:r w:rsidR="0090133B" w:rsidRPr="00DE2CF7">
        <w:rPr>
          <w:szCs w:val="22"/>
          <w:lang w:val="sr-Latn-ME"/>
        </w:rPr>
        <w:t>(t</w:t>
      </w:r>
      <w:r w:rsidR="0090133B" w:rsidRPr="00DE2CF7">
        <w:rPr>
          <w:szCs w:val="22"/>
          <w:vertAlign w:val="subscript"/>
          <w:lang w:val="sr-Latn-ME"/>
        </w:rPr>
        <w:t>1/2</w:t>
      </w:r>
      <w:r w:rsidR="0090133B" w:rsidRPr="00DE2CF7">
        <w:rPr>
          <w:szCs w:val="22"/>
          <w:lang w:val="sr-Latn-ME"/>
        </w:rPr>
        <w:t>) bilo je 5</w:t>
      </w:r>
      <w:r w:rsidR="005C4CA3" w:rsidRPr="00DE2CF7">
        <w:rPr>
          <w:szCs w:val="22"/>
          <w:lang w:val="sr-Latn-ME"/>
        </w:rPr>
        <w:t>,</w:t>
      </w:r>
      <w:r w:rsidR="0090133B" w:rsidRPr="00DE2CF7">
        <w:rPr>
          <w:szCs w:val="22"/>
          <w:lang w:val="sr-Latn-ME"/>
        </w:rPr>
        <w:t>4 sati.</w:t>
      </w:r>
    </w:p>
    <w:p w14:paraId="67BE0FA3" w14:textId="77777777" w:rsidR="00981C56" w:rsidRPr="00DE2CF7" w:rsidRDefault="0090133B" w:rsidP="00DE2CF7">
      <w:pPr>
        <w:rPr>
          <w:szCs w:val="22"/>
          <w:lang w:val="sr-Latn-ME"/>
        </w:rPr>
      </w:pPr>
      <w:r w:rsidRPr="00DE2CF7">
        <w:rPr>
          <w:szCs w:val="22"/>
          <w:lang w:val="sr-Latn-ME"/>
        </w:rPr>
        <w:t xml:space="preserve">Pri ponovljenom doziranju, koncentracije bosentana u plazmi smanjuju se postepeno na 50%-65% od onih utvrđenih </w:t>
      </w:r>
      <w:r w:rsidR="003E63C6" w:rsidRPr="00DE2CF7">
        <w:rPr>
          <w:szCs w:val="22"/>
          <w:lang w:val="sr-Latn-ME"/>
        </w:rPr>
        <w:t>posl</w:t>
      </w:r>
      <w:r w:rsidR="0056231E" w:rsidRPr="00DE2CF7">
        <w:rPr>
          <w:szCs w:val="22"/>
          <w:lang w:val="sr-Latn-ME"/>
        </w:rPr>
        <w:t>i</w:t>
      </w:r>
      <w:r w:rsidR="003E63C6" w:rsidRPr="00DE2CF7">
        <w:rPr>
          <w:szCs w:val="22"/>
          <w:lang w:val="sr-Latn-ME"/>
        </w:rPr>
        <w:t xml:space="preserve">je </w:t>
      </w:r>
      <w:r w:rsidR="004374E0" w:rsidRPr="00DE2CF7">
        <w:rPr>
          <w:szCs w:val="22"/>
          <w:lang w:val="sr-Latn-ME"/>
        </w:rPr>
        <w:t xml:space="preserve">primjene </w:t>
      </w:r>
      <w:r w:rsidRPr="00DE2CF7">
        <w:rPr>
          <w:szCs w:val="22"/>
          <w:lang w:val="sr-Latn-ME"/>
        </w:rPr>
        <w:t xml:space="preserve">pojedinačne doze. Ovo smanjenje je </w:t>
      </w:r>
      <w:r w:rsidR="004374E0" w:rsidRPr="00DE2CF7">
        <w:rPr>
          <w:szCs w:val="22"/>
          <w:lang w:val="sr-Latn-ME"/>
        </w:rPr>
        <w:t>vjerovatn</w:t>
      </w:r>
      <w:r w:rsidRPr="00DE2CF7">
        <w:rPr>
          <w:szCs w:val="22"/>
          <w:lang w:val="sr-Latn-ME"/>
        </w:rPr>
        <w:t xml:space="preserve">o </w:t>
      </w:r>
      <w:r w:rsidR="007453E0" w:rsidRPr="00DE2CF7">
        <w:rPr>
          <w:szCs w:val="22"/>
          <w:lang w:val="sr-Latn-ME"/>
        </w:rPr>
        <w:t>posljed</w:t>
      </w:r>
      <w:r w:rsidRPr="00DE2CF7">
        <w:rPr>
          <w:szCs w:val="22"/>
          <w:lang w:val="sr-Latn-ME"/>
        </w:rPr>
        <w:t xml:space="preserve">ica autoindukcije enzima jetre. Stanje </w:t>
      </w:r>
      <w:r w:rsidR="00981C56" w:rsidRPr="00DE2CF7">
        <w:rPr>
          <w:szCs w:val="22"/>
          <w:lang w:val="sr-Latn-ME"/>
        </w:rPr>
        <w:t xml:space="preserve">dinamičke </w:t>
      </w:r>
      <w:r w:rsidRPr="00DE2CF7">
        <w:rPr>
          <w:szCs w:val="22"/>
          <w:lang w:val="sr-Latn-ME"/>
        </w:rPr>
        <w:t xml:space="preserve">ravnoteže se postiže </w:t>
      </w:r>
      <w:r w:rsidR="00981C56" w:rsidRPr="00DE2CF7">
        <w:rPr>
          <w:szCs w:val="22"/>
          <w:lang w:val="sr-Latn-ME"/>
        </w:rPr>
        <w:t>unutar</w:t>
      </w:r>
      <w:r w:rsidRPr="00DE2CF7">
        <w:rPr>
          <w:szCs w:val="22"/>
          <w:lang w:val="sr-Latn-ME"/>
        </w:rPr>
        <w:t xml:space="preserve"> 3-5 dana.</w:t>
      </w:r>
      <w:r w:rsidR="00270438" w:rsidRPr="00DE2CF7">
        <w:rPr>
          <w:szCs w:val="22"/>
          <w:lang w:val="sr-Latn-ME"/>
        </w:rPr>
        <w:t xml:space="preserve"> </w:t>
      </w:r>
    </w:p>
    <w:p w14:paraId="016ACFA3" w14:textId="77777777" w:rsidR="00B659AA" w:rsidRPr="00DE2CF7" w:rsidRDefault="0090133B" w:rsidP="00DE2CF7">
      <w:pPr>
        <w:rPr>
          <w:szCs w:val="22"/>
          <w:lang w:val="sr-Latn-ME"/>
        </w:rPr>
      </w:pPr>
      <w:r w:rsidRPr="00DE2CF7">
        <w:rPr>
          <w:szCs w:val="22"/>
          <w:lang w:val="sr-Latn-ME"/>
        </w:rPr>
        <w:t>Bosentan se eliminiše putem žuči</w:t>
      </w:r>
      <w:r w:rsidR="00981C56" w:rsidRPr="00DE2CF7">
        <w:rPr>
          <w:szCs w:val="22"/>
          <w:lang w:val="sr-Latn-ME"/>
        </w:rPr>
        <w:t>,</w:t>
      </w:r>
      <w:r w:rsidRPr="00DE2CF7">
        <w:rPr>
          <w:szCs w:val="22"/>
          <w:lang w:val="sr-Latn-ME"/>
        </w:rPr>
        <w:t xml:space="preserve"> </w:t>
      </w:r>
      <w:r w:rsidR="00C41DB7" w:rsidRPr="00DE2CF7">
        <w:rPr>
          <w:szCs w:val="22"/>
          <w:lang w:val="sr-Latn-ME"/>
        </w:rPr>
        <w:t xml:space="preserve">nakon </w:t>
      </w:r>
      <w:r w:rsidRPr="00DE2CF7">
        <w:rPr>
          <w:szCs w:val="22"/>
          <w:lang w:val="sr-Latn-ME"/>
        </w:rPr>
        <w:t>metabolizma u jetri pomoću citohroma P450, izoenzima CYP2C9 i CYP3A4</w:t>
      </w:r>
      <w:r w:rsidR="00981C56" w:rsidRPr="00DE2CF7">
        <w:rPr>
          <w:szCs w:val="22"/>
          <w:lang w:val="sr-Latn-ME"/>
        </w:rPr>
        <w:t xml:space="preserve"> u jetri</w:t>
      </w:r>
      <w:r w:rsidRPr="00DE2CF7">
        <w:rPr>
          <w:szCs w:val="22"/>
          <w:lang w:val="sr-Latn-ME"/>
        </w:rPr>
        <w:t>. Manje od 3% prim</w:t>
      </w:r>
      <w:r w:rsidR="005C4CA3" w:rsidRPr="00DE2CF7">
        <w:rPr>
          <w:szCs w:val="22"/>
          <w:lang w:val="sr-Latn-ME"/>
        </w:rPr>
        <w:t>i</w:t>
      </w:r>
      <w:r w:rsidR="006E200E" w:rsidRPr="00DE2CF7">
        <w:rPr>
          <w:szCs w:val="22"/>
          <w:lang w:val="sr-Latn-ME"/>
        </w:rPr>
        <w:t>j</w:t>
      </w:r>
      <w:r w:rsidRPr="00DE2CF7">
        <w:rPr>
          <w:szCs w:val="22"/>
          <w:lang w:val="sr-Latn-ME"/>
        </w:rPr>
        <w:t>enjene oralne doze se izlučuje urinom.</w:t>
      </w:r>
    </w:p>
    <w:p w14:paraId="79AC5782" w14:textId="77777777" w:rsidR="0090133B" w:rsidRPr="00DE2CF7" w:rsidRDefault="0090133B" w:rsidP="00DE2CF7">
      <w:pPr>
        <w:rPr>
          <w:szCs w:val="22"/>
          <w:lang w:val="sr-Latn-ME"/>
        </w:rPr>
      </w:pPr>
      <w:r w:rsidRPr="00DE2CF7">
        <w:rPr>
          <w:szCs w:val="22"/>
          <w:lang w:val="sr-Latn-ME"/>
        </w:rPr>
        <w:t>Bosentan formira tri metabolita i samo jedan od njih je farmakološki aktivan. Ovaj metabolit se uglavnom izlučuje neprom</w:t>
      </w:r>
      <w:r w:rsidR="00B659AA" w:rsidRPr="00DE2CF7">
        <w:rPr>
          <w:szCs w:val="22"/>
          <w:lang w:val="sr-Latn-ME"/>
        </w:rPr>
        <w:t>ij</w:t>
      </w:r>
      <w:r w:rsidRPr="00DE2CF7">
        <w:rPr>
          <w:szCs w:val="22"/>
          <w:lang w:val="sr-Latn-ME"/>
        </w:rPr>
        <w:t>enjen putem žuči. Kod odraslih pacijenata, izloženost aktivnom metabolitu je veća nego kod zdravih ispitanika. Kod pacijenata sa holestazom, izloženost aktivnom metabolitu može biti povećana.</w:t>
      </w:r>
    </w:p>
    <w:p w14:paraId="63A61860" w14:textId="77777777" w:rsidR="0090133B" w:rsidRPr="00DE2CF7" w:rsidRDefault="0090133B" w:rsidP="00DE2CF7">
      <w:pPr>
        <w:rPr>
          <w:szCs w:val="22"/>
          <w:lang w:val="sr-Latn-ME"/>
        </w:rPr>
      </w:pPr>
      <w:r w:rsidRPr="00DE2CF7">
        <w:rPr>
          <w:szCs w:val="22"/>
          <w:lang w:val="sr-Latn-ME"/>
        </w:rPr>
        <w:t xml:space="preserve">Bosentan je induktor CYP2C9 i CYP3A4 i </w:t>
      </w:r>
      <w:r w:rsidR="004374E0" w:rsidRPr="00DE2CF7">
        <w:rPr>
          <w:szCs w:val="22"/>
          <w:lang w:val="sr-Latn-ME"/>
        </w:rPr>
        <w:t>vjerovatn</w:t>
      </w:r>
      <w:r w:rsidRPr="00DE2CF7">
        <w:rPr>
          <w:szCs w:val="22"/>
          <w:lang w:val="sr-Latn-ME"/>
        </w:rPr>
        <w:t xml:space="preserve">o i CYP2C19 i P-glikoproteina. Bosentan je inhibirao pumpu za izbacivanje žučnih soli, </w:t>
      </w:r>
      <w:r w:rsidRPr="00DE2CF7">
        <w:rPr>
          <w:i/>
          <w:szCs w:val="22"/>
          <w:lang w:val="sr-Latn-ME"/>
        </w:rPr>
        <w:t>in vitro</w:t>
      </w:r>
      <w:r w:rsidRPr="00DE2CF7">
        <w:rPr>
          <w:szCs w:val="22"/>
          <w:lang w:val="sr-Latn-ME"/>
        </w:rPr>
        <w:t>, u kulturama hepatocita.</w:t>
      </w:r>
    </w:p>
    <w:p w14:paraId="760213E2" w14:textId="77777777" w:rsidR="0090133B" w:rsidRPr="00DE2CF7" w:rsidRDefault="0090133B" w:rsidP="00DE2CF7">
      <w:pPr>
        <w:rPr>
          <w:szCs w:val="22"/>
          <w:lang w:val="sr-Latn-ME"/>
        </w:rPr>
      </w:pPr>
      <w:r w:rsidRPr="00DE2CF7">
        <w:rPr>
          <w:i/>
          <w:szCs w:val="22"/>
          <w:lang w:val="sr-Latn-ME"/>
        </w:rPr>
        <w:t>In vitro</w:t>
      </w:r>
      <w:r w:rsidRPr="00DE2CF7">
        <w:rPr>
          <w:szCs w:val="22"/>
          <w:lang w:val="sr-Latn-ME"/>
        </w:rPr>
        <w:t xml:space="preserve"> podaci su pokazali da bosentan nije imao relevantni inhibitorni uticaj na ispitivane CYP izoenzime (CYP1A2, 2A6, 2B6, 2C8, 2C9, 2D6, 2E1, 3A4). Zbog toga se ne očekuje da bosentan poveća koncentracije u plazmi </w:t>
      </w:r>
      <w:r w:rsidR="00823F72" w:rsidRPr="00DE2CF7">
        <w:rPr>
          <w:szCs w:val="22"/>
          <w:lang w:val="sr-Latn-ME"/>
        </w:rPr>
        <w:t>ljek</w:t>
      </w:r>
      <w:r w:rsidRPr="00DE2CF7">
        <w:rPr>
          <w:szCs w:val="22"/>
          <w:lang w:val="sr-Latn-ME"/>
        </w:rPr>
        <w:t>ova koji se metabolišu ovim izoenzimima.</w:t>
      </w:r>
    </w:p>
    <w:p w14:paraId="48C1AC5A" w14:textId="45A53885" w:rsidR="00270438" w:rsidRDefault="00270438" w:rsidP="00DE2CF7">
      <w:pPr>
        <w:rPr>
          <w:szCs w:val="22"/>
          <w:lang w:val="sr-Latn-ME"/>
        </w:rPr>
      </w:pPr>
    </w:p>
    <w:p w14:paraId="6E762998" w14:textId="77777777" w:rsidR="007F261C" w:rsidRPr="00DE2CF7" w:rsidRDefault="007F261C" w:rsidP="00DE2CF7">
      <w:pPr>
        <w:rPr>
          <w:szCs w:val="22"/>
          <w:lang w:val="sr-Latn-ME"/>
        </w:rPr>
      </w:pPr>
    </w:p>
    <w:p w14:paraId="48FDDE39" w14:textId="77777777" w:rsidR="0090133B" w:rsidRPr="00DE2CF7" w:rsidRDefault="0090133B" w:rsidP="00DE2CF7">
      <w:pPr>
        <w:rPr>
          <w:szCs w:val="22"/>
          <w:u w:val="single"/>
          <w:lang w:val="sr-Latn-ME"/>
        </w:rPr>
      </w:pPr>
      <w:r w:rsidRPr="00DE2CF7">
        <w:rPr>
          <w:szCs w:val="22"/>
          <w:u w:val="single"/>
          <w:lang w:val="sr-Latn-ME"/>
        </w:rPr>
        <w:lastRenderedPageBreak/>
        <w:t>Farmakokinetika kod posebnih populacija</w:t>
      </w:r>
    </w:p>
    <w:p w14:paraId="4E430F44" w14:textId="77777777" w:rsidR="00B659AA" w:rsidRPr="00DE2CF7" w:rsidRDefault="00B659AA" w:rsidP="00DE2CF7">
      <w:pPr>
        <w:rPr>
          <w:szCs w:val="22"/>
          <w:u w:val="single"/>
          <w:lang w:val="sr-Latn-ME"/>
        </w:rPr>
      </w:pPr>
    </w:p>
    <w:p w14:paraId="7DAD8661" w14:textId="77777777" w:rsidR="0090133B" w:rsidRPr="00DE2CF7" w:rsidRDefault="0090133B" w:rsidP="00DE2CF7">
      <w:pPr>
        <w:rPr>
          <w:szCs w:val="22"/>
          <w:lang w:val="sr-Latn-ME"/>
        </w:rPr>
      </w:pPr>
      <w:r w:rsidRPr="00DE2CF7">
        <w:rPr>
          <w:szCs w:val="22"/>
          <w:lang w:val="sr-Latn-ME"/>
        </w:rPr>
        <w:t xml:space="preserve">Na osnovu dostupnih podataka, ne očekuje se da će na farmakokinetiku bosentana kod odraslih u značajnom </w:t>
      </w:r>
    </w:p>
    <w:p w14:paraId="05093FE9" w14:textId="77777777" w:rsidR="0090133B" w:rsidRPr="00DE2CF7" w:rsidRDefault="0090133B" w:rsidP="00DE2CF7">
      <w:pPr>
        <w:rPr>
          <w:szCs w:val="22"/>
          <w:lang w:val="sr-Latn-ME"/>
        </w:rPr>
      </w:pPr>
      <w:r w:rsidRPr="00DE2CF7">
        <w:rPr>
          <w:szCs w:val="22"/>
          <w:lang w:val="sr-Latn-ME"/>
        </w:rPr>
        <w:t xml:space="preserve">stepenu uticati pol, </w:t>
      </w:r>
      <w:r w:rsidR="00FE2372" w:rsidRPr="00DE2CF7">
        <w:rPr>
          <w:szCs w:val="22"/>
          <w:lang w:val="sr-Latn-ME"/>
        </w:rPr>
        <w:t>tjelesn</w:t>
      </w:r>
      <w:r w:rsidRPr="00DE2CF7">
        <w:rPr>
          <w:szCs w:val="22"/>
          <w:lang w:val="sr-Latn-ME"/>
        </w:rPr>
        <w:t xml:space="preserve">a masa, rasa ili starost. </w:t>
      </w:r>
    </w:p>
    <w:p w14:paraId="4EE58D1C" w14:textId="77777777" w:rsidR="00270438" w:rsidRPr="00DE2CF7" w:rsidRDefault="00270438" w:rsidP="00DE2CF7">
      <w:pPr>
        <w:rPr>
          <w:szCs w:val="22"/>
          <w:lang w:val="sr-Latn-ME"/>
        </w:rPr>
      </w:pPr>
    </w:p>
    <w:p w14:paraId="57633F3E" w14:textId="77777777" w:rsidR="0090133B" w:rsidRPr="00DE2CF7" w:rsidRDefault="00002718" w:rsidP="00DE2CF7">
      <w:pPr>
        <w:rPr>
          <w:szCs w:val="22"/>
          <w:u w:val="single"/>
          <w:lang w:val="sr-Latn-ME"/>
        </w:rPr>
      </w:pPr>
      <w:r w:rsidRPr="00DE2CF7">
        <w:rPr>
          <w:szCs w:val="22"/>
          <w:u w:val="single"/>
          <w:lang w:val="sr-Latn-ME"/>
        </w:rPr>
        <w:t>Djeca</w:t>
      </w:r>
    </w:p>
    <w:p w14:paraId="157DFFB9" w14:textId="77777777" w:rsidR="0090133B" w:rsidRPr="00DE2CF7" w:rsidRDefault="0090133B" w:rsidP="00DE2CF7">
      <w:pPr>
        <w:rPr>
          <w:szCs w:val="22"/>
          <w:lang w:val="sr-Latn-ME"/>
        </w:rPr>
      </w:pPr>
      <w:r w:rsidRPr="00DE2CF7">
        <w:rPr>
          <w:szCs w:val="22"/>
          <w:lang w:val="sr-Latn-ME"/>
        </w:rPr>
        <w:t xml:space="preserve">Farmakokinetika je ispitivana kod pedijatrijskih pacijenata u 4 kliničke studije (BREATHE-3, FUTURE 1, FUTURE-3 i FUTURE-4,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5.1). Zbog ograničenosti podataka kod</w:t>
      </w:r>
      <w:r w:rsidR="00344619" w:rsidRPr="00DE2CF7">
        <w:rPr>
          <w:szCs w:val="22"/>
          <w:lang w:val="sr-Latn-ME"/>
        </w:rPr>
        <w:t xml:space="preserve"> djece </w:t>
      </w:r>
      <w:r w:rsidRPr="00DE2CF7">
        <w:rPr>
          <w:szCs w:val="22"/>
          <w:lang w:val="sr-Latn-ME"/>
        </w:rPr>
        <w:t>mlađe od 2 godine, farmakokinetika u tom uzrastu još uv</w:t>
      </w:r>
      <w:r w:rsidR="00355E24" w:rsidRPr="00DE2CF7">
        <w:rPr>
          <w:szCs w:val="22"/>
          <w:lang w:val="sr-Latn-ME"/>
        </w:rPr>
        <w:t>ij</w:t>
      </w:r>
      <w:r w:rsidRPr="00DE2CF7">
        <w:rPr>
          <w:szCs w:val="22"/>
          <w:lang w:val="sr-Latn-ME"/>
        </w:rPr>
        <w:t>ek nije dobro opisana.</w:t>
      </w:r>
    </w:p>
    <w:p w14:paraId="1DC819A7" w14:textId="77777777" w:rsidR="0033610C" w:rsidRPr="00DE2CF7" w:rsidRDefault="0090133B" w:rsidP="00DE2CF7">
      <w:pPr>
        <w:rPr>
          <w:szCs w:val="22"/>
          <w:lang w:val="sr-Latn-ME"/>
        </w:rPr>
      </w:pPr>
      <w:r w:rsidRPr="00DE2CF7">
        <w:rPr>
          <w:szCs w:val="22"/>
          <w:lang w:val="sr-Latn-ME"/>
        </w:rPr>
        <w:t>Studija AC-052-356 (BREATHE-3) je ispitivala farmakokinetiku pojedinačne i višestrukih oralnih doza film</w:t>
      </w:r>
      <w:r w:rsidR="0033610C" w:rsidRPr="00DE2CF7">
        <w:rPr>
          <w:szCs w:val="22"/>
          <w:lang w:val="sr-Latn-ME"/>
        </w:rPr>
        <w:t xml:space="preserve"> </w:t>
      </w:r>
      <w:r w:rsidRPr="00DE2CF7">
        <w:rPr>
          <w:szCs w:val="22"/>
          <w:lang w:val="sr-Latn-ME"/>
        </w:rPr>
        <w:t>tableta bosentana kod 19</w:t>
      </w:r>
      <w:r w:rsidR="00344619" w:rsidRPr="00DE2CF7">
        <w:rPr>
          <w:szCs w:val="22"/>
          <w:lang w:val="sr-Latn-ME"/>
        </w:rPr>
        <w:t xml:space="preserve"> djece </w:t>
      </w:r>
      <w:r w:rsidRPr="00DE2CF7">
        <w:rPr>
          <w:szCs w:val="22"/>
          <w:lang w:val="sr-Latn-ME"/>
        </w:rPr>
        <w:t xml:space="preserve">uzrasta od 3 do 15 godina sa pulmonalnom arterijskom hipertenzijom (PAH) koji su dobijali dozu na osnovu </w:t>
      </w:r>
      <w:r w:rsidR="0033610C" w:rsidRPr="00DE2CF7">
        <w:rPr>
          <w:szCs w:val="22"/>
          <w:lang w:val="sr-Latn-ME"/>
        </w:rPr>
        <w:t>njihove tjelesne težine od 2</w:t>
      </w:r>
      <w:r w:rsidR="00355E24" w:rsidRPr="00DE2CF7">
        <w:rPr>
          <w:szCs w:val="22"/>
          <w:lang w:val="sr-Latn-ME"/>
        </w:rPr>
        <w:t xml:space="preserve"> </w:t>
      </w:r>
      <w:r w:rsidR="0033610C" w:rsidRPr="00DE2CF7">
        <w:rPr>
          <w:szCs w:val="22"/>
          <w:lang w:val="sr-Latn-ME"/>
        </w:rPr>
        <w:t>mg/kg dva puta dnevno</w:t>
      </w:r>
      <w:r w:rsidRPr="00DE2CF7">
        <w:rPr>
          <w:szCs w:val="22"/>
          <w:lang w:val="sr-Latn-ME"/>
        </w:rPr>
        <w:t xml:space="preserve">. </w:t>
      </w:r>
    </w:p>
    <w:p w14:paraId="208CCD0C" w14:textId="77777777" w:rsidR="0090133B" w:rsidRPr="00DE2CF7" w:rsidRDefault="0033610C" w:rsidP="00DE2CF7">
      <w:pPr>
        <w:rPr>
          <w:szCs w:val="22"/>
          <w:lang w:val="sr-Latn-ME"/>
        </w:rPr>
      </w:pPr>
      <w:r w:rsidRPr="00DE2CF7">
        <w:rPr>
          <w:szCs w:val="22"/>
          <w:lang w:val="sr-Latn-ME"/>
        </w:rPr>
        <w:t>U ovoj studiji</w:t>
      </w:r>
      <w:r w:rsidR="00355E24" w:rsidRPr="00DE2CF7">
        <w:rPr>
          <w:szCs w:val="22"/>
          <w:lang w:val="sr-Latn-ME"/>
        </w:rPr>
        <w:t>,</w:t>
      </w:r>
      <w:r w:rsidRPr="00DE2CF7">
        <w:rPr>
          <w:szCs w:val="22"/>
          <w:lang w:val="sr-Latn-ME"/>
        </w:rPr>
        <w:t xml:space="preserve"> izloženost bosentanu smanjila se sa vremenom u skladu sa poznatim autoindukcijskim svojstvima bosentana. </w:t>
      </w:r>
      <w:r w:rsidR="0090133B" w:rsidRPr="00DE2CF7">
        <w:rPr>
          <w:szCs w:val="22"/>
          <w:lang w:val="sr-Latn-ME"/>
        </w:rPr>
        <w:t>Pros</w:t>
      </w:r>
      <w:r w:rsidRPr="00DE2CF7">
        <w:rPr>
          <w:szCs w:val="22"/>
          <w:lang w:val="sr-Latn-ME"/>
        </w:rPr>
        <w:t>j</w:t>
      </w:r>
      <w:r w:rsidR="0090133B" w:rsidRPr="00DE2CF7">
        <w:rPr>
          <w:szCs w:val="22"/>
          <w:lang w:val="sr-Latn-ME"/>
        </w:rPr>
        <w:t xml:space="preserve">ečne </w:t>
      </w:r>
      <w:r w:rsidR="002407A5" w:rsidRPr="00DE2CF7">
        <w:rPr>
          <w:szCs w:val="22"/>
          <w:lang w:val="sr-Latn-ME"/>
        </w:rPr>
        <w:t>vrijednost</w:t>
      </w:r>
      <w:r w:rsidR="0090133B" w:rsidRPr="00DE2CF7">
        <w:rPr>
          <w:szCs w:val="22"/>
          <w:lang w:val="sr-Latn-ME"/>
        </w:rPr>
        <w:t>i PIK (CV%) bosentana kod pedijatrijskih pacijenata koji su dobijali 31</w:t>
      </w:r>
      <w:r w:rsidR="00355E24" w:rsidRPr="00DE2CF7">
        <w:rPr>
          <w:szCs w:val="22"/>
          <w:lang w:val="sr-Latn-ME"/>
        </w:rPr>
        <w:t>,</w:t>
      </w:r>
      <w:r w:rsidR="0090133B" w:rsidRPr="00DE2CF7">
        <w:rPr>
          <w:szCs w:val="22"/>
          <w:lang w:val="sr-Latn-ME"/>
        </w:rPr>
        <w:t>25, 62</w:t>
      </w:r>
      <w:r w:rsidR="00355E24" w:rsidRPr="00DE2CF7">
        <w:rPr>
          <w:szCs w:val="22"/>
          <w:lang w:val="sr-Latn-ME"/>
        </w:rPr>
        <w:t>,</w:t>
      </w:r>
      <w:r w:rsidR="0090133B" w:rsidRPr="00DE2CF7">
        <w:rPr>
          <w:szCs w:val="22"/>
          <w:lang w:val="sr-Latn-ME"/>
        </w:rPr>
        <w:t>5 i 125 mg dva puta dnevno bile su 3496 (49), 5428 (79) odnosno 6124 (27) nanograma·h/</w:t>
      </w:r>
      <w:r w:rsidR="00355E24" w:rsidRPr="00DE2CF7">
        <w:rPr>
          <w:szCs w:val="22"/>
          <w:lang w:val="sr-Latn-ME"/>
        </w:rPr>
        <w:t>ml</w:t>
      </w:r>
      <w:r w:rsidR="00BA35D5" w:rsidRPr="00DE2CF7">
        <w:rPr>
          <w:szCs w:val="22"/>
          <w:lang w:val="sr-Latn-ME"/>
        </w:rPr>
        <w:t>,</w:t>
      </w:r>
      <w:r w:rsidR="00355E24" w:rsidRPr="00DE2CF7">
        <w:rPr>
          <w:szCs w:val="22"/>
          <w:lang w:val="sr-Latn-ME"/>
        </w:rPr>
        <w:t xml:space="preserve"> </w:t>
      </w:r>
      <w:r w:rsidR="0090133B" w:rsidRPr="00DE2CF7">
        <w:rPr>
          <w:szCs w:val="22"/>
          <w:lang w:val="sr-Latn-ME"/>
        </w:rPr>
        <w:t xml:space="preserve">i samim tim niže od </w:t>
      </w:r>
      <w:r w:rsidR="002407A5" w:rsidRPr="00DE2CF7">
        <w:rPr>
          <w:szCs w:val="22"/>
          <w:lang w:val="sr-Latn-ME"/>
        </w:rPr>
        <w:t>vrijednost</w:t>
      </w:r>
      <w:r w:rsidR="0090133B" w:rsidRPr="00DE2CF7">
        <w:rPr>
          <w:szCs w:val="22"/>
          <w:lang w:val="sr-Latn-ME"/>
        </w:rPr>
        <w:t>i 8149 (47) nanograma·h/</w:t>
      </w:r>
      <w:r w:rsidR="00355E24" w:rsidRPr="00DE2CF7">
        <w:rPr>
          <w:szCs w:val="22"/>
          <w:lang w:val="sr-Latn-ME"/>
        </w:rPr>
        <w:t xml:space="preserve">ml </w:t>
      </w:r>
      <w:r w:rsidR="0090133B" w:rsidRPr="00DE2CF7">
        <w:rPr>
          <w:szCs w:val="22"/>
          <w:lang w:val="sr-Latn-ME"/>
        </w:rPr>
        <w:t xml:space="preserve">utvrđene kod odraslih pacijenata sa plućnom arterijskom hipertenzijom koji su bili na dozi od 125 mg dva puta dnevno. U stanju ravnoteže, sistemska izloženost kod pedijatrijskih pacijenata </w:t>
      </w:r>
      <w:r w:rsidR="00FE2372" w:rsidRPr="00DE2CF7">
        <w:rPr>
          <w:szCs w:val="22"/>
          <w:lang w:val="sr-Latn-ME"/>
        </w:rPr>
        <w:t>tjelesn</w:t>
      </w:r>
      <w:r w:rsidR="0090133B" w:rsidRPr="00DE2CF7">
        <w:rPr>
          <w:szCs w:val="22"/>
          <w:lang w:val="sr-Latn-ME"/>
        </w:rPr>
        <w:t>e mase 10-20 kg, 20-40 kg i &gt;40 kg iznosila je 43%, 67% odnosno 75% od sistemske izloženosti kod odraslih.</w:t>
      </w:r>
    </w:p>
    <w:p w14:paraId="54A313BC" w14:textId="77777777" w:rsidR="0090133B" w:rsidRPr="00DE2CF7" w:rsidRDefault="0090133B" w:rsidP="00DE2CF7">
      <w:pPr>
        <w:rPr>
          <w:szCs w:val="22"/>
          <w:lang w:val="sr-Latn-ME"/>
        </w:rPr>
      </w:pPr>
      <w:r w:rsidRPr="00DE2CF7">
        <w:rPr>
          <w:szCs w:val="22"/>
          <w:lang w:val="sr-Latn-ME"/>
        </w:rPr>
        <w:t>U studiji (AC-052-365 [FUTURE 1]) 36 pedijatrijskih pacijenata sa PAH, uzrasta od 2 do 11 godina, dobijalo je disperzibilne tablete. Dozna proporcionalnost nije utvrđena</w:t>
      </w:r>
      <w:r w:rsidR="00355E24" w:rsidRPr="00DE2CF7">
        <w:rPr>
          <w:szCs w:val="22"/>
          <w:lang w:val="sr-Latn-ME"/>
        </w:rPr>
        <w:t>,</w:t>
      </w:r>
      <w:r w:rsidRPr="00DE2CF7">
        <w:rPr>
          <w:szCs w:val="22"/>
          <w:lang w:val="sr-Latn-ME"/>
        </w:rPr>
        <w:t xml:space="preserve"> budući da su koncentracije bosentana u plazmi i PIK u stanju ravnoteže bili slični kod doza od 2 i 4 mg/kg prim</w:t>
      </w:r>
      <w:r w:rsidR="00355E24" w:rsidRPr="00DE2CF7">
        <w:rPr>
          <w:szCs w:val="22"/>
          <w:lang w:val="sr-Latn-ME"/>
        </w:rPr>
        <w:t>i</w:t>
      </w:r>
      <w:r w:rsidR="006E200E" w:rsidRPr="00DE2CF7">
        <w:rPr>
          <w:szCs w:val="22"/>
          <w:lang w:val="sr-Latn-ME"/>
        </w:rPr>
        <w:t>j</w:t>
      </w:r>
      <w:r w:rsidR="006D5848" w:rsidRPr="00DE2CF7">
        <w:rPr>
          <w:szCs w:val="22"/>
          <w:lang w:val="sr-Latn-ME"/>
        </w:rPr>
        <w:t>enjenih oralno (PIK</w:t>
      </w:r>
      <w:r w:rsidR="0033610C" w:rsidRPr="00DE2CF7">
        <w:rPr>
          <w:spacing w:val="-2"/>
          <w:szCs w:val="22"/>
          <w:lang w:val="sr-Latn-ME"/>
        </w:rPr>
        <w:t>τ</w:t>
      </w:r>
      <w:r w:rsidRPr="00DE2CF7">
        <w:rPr>
          <w:szCs w:val="22"/>
          <w:lang w:val="sr-Latn-ME"/>
        </w:rPr>
        <w:t>: 3577 nanograma·h/</w:t>
      </w:r>
      <w:r w:rsidR="00355E24" w:rsidRPr="00DE2CF7">
        <w:rPr>
          <w:szCs w:val="22"/>
          <w:lang w:val="sr-Latn-ME"/>
        </w:rPr>
        <w:t xml:space="preserve">ml </w:t>
      </w:r>
      <w:r w:rsidRPr="00DE2CF7">
        <w:rPr>
          <w:szCs w:val="22"/>
          <w:lang w:val="sr-Latn-ME"/>
        </w:rPr>
        <w:t>pri dozi od 2 mg/kg dva puta dnevno</w:t>
      </w:r>
      <w:r w:rsidR="00BA35D5" w:rsidRPr="00DE2CF7">
        <w:rPr>
          <w:szCs w:val="22"/>
          <w:lang w:val="sr-Latn-ME"/>
        </w:rPr>
        <w:t>,</w:t>
      </w:r>
      <w:r w:rsidRPr="00DE2CF7">
        <w:rPr>
          <w:szCs w:val="22"/>
          <w:lang w:val="sr-Latn-ME"/>
        </w:rPr>
        <w:t xml:space="preserve"> i 3371 nanograma·h/</w:t>
      </w:r>
      <w:r w:rsidR="00355E24" w:rsidRPr="00DE2CF7">
        <w:rPr>
          <w:szCs w:val="22"/>
          <w:lang w:val="sr-Latn-ME"/>
        </w:rPr>
        <w:t xml:space="preserve">ml </w:t>
      </w:r>
      <w:r w:rsidRPr="00DE2CF7">
        <w:rPr>
          <w:szCs w:val="22"/>
          <w:lang w:val="sr-Latn-ME"/>
        </w:rPr>
        <w:t>za dozu 4 mg/kg dva puta dnevno). Pros</w:t>
      </w:r>
      <w:r w:rsidR="006D5848" w:rsidRPr="00DE2CF7">
        <w:rPr>
          <w:szCs w:val="22"/>
          <w:lang w:val="sr-Latn-ME"/>
        </w:rPr>
        <w:t>j</w:t>
      </w:r>
      <w:r w:rsidRPr="00DE2CF7">
        <w:rPr>
          <w:szCs w:val="22"/>
          <w:lang w:val="sr-Latn-ME"/>
        </w:rPr>
        <w:t xml:space="preserve">ečna izloženost bosentanu kod pedijatrijskih pacijenata bila je oko jedne polovine izloženosti kod odraslih pacijenata pri dozi održavanja od 125 mg dva puta dnevno, ali je pokazano i veliko preklapanje sa izloženošću kod odraslih. </w:t>
      </w:r>
    </w:p>
    <w:p w14:paraId="0F38ECFD" w14:textId="77777777" w:rsidR="00981C56" w:rsidRPr="00DE2CF7" w:rsidRDefault="0090133B" w:rsidP="00DE2CF7">
      <w:pPr>
        <w:rPr>
          <w:szCs w:val="22"/>
          <w:lang w:val="sr-Latn-ME"/>
        </w:rPr>
      </w:pPr>
      <w:r w:rsidRPr="00DE2CF7">
        <w:rPr>
          <w:szCs w:val="22"/>
          <w:lang w:val="sr-Latn-ME"/>
        </w:rPr>
        <w:t>U studiji AC-052-373 (FUTURE 3), u kojoj su korišćene disperzibilne tablete, izloženost bosentanu kod pacijenata na terapiji sa 2 mg/kg dva puta na dan je bila uporediva onoj u FUTURE 1 studiji. U c</w:t>
      </w:r>
      <w:r w:rsidR="006D5848" w:rsidRPr="00DE2CF7">
        <w:rPr>
          <w:szCs w:val="22"/>
          <w:lang w:val="sr-Latn-ME"/>
        </w:rPr>
        <w:t>j</w:t>
      </w:r>
      <w:r w:rsidRPr="00DE2CF7">
        <w:rPr>
          <w:szCs w:val="22"/>
          <w:lang w:val="sr-Latn-ME"/>
        </w:rPr>
        <w:t>elokupnoj populaciji (n=31), prim</w:t>
      </w:r>
      <w:r w:rsidR="006E200E" w:rsidRPr="00DE2CF7">
        <w:rPr>
          <w:szCs w:val="22"/>
          <w:lang w:val="sr-Latn-ME"/>
        </w:rPr>
        <w:t>j</w:t>
      </w:r>
      <w:r w:rsidRPr="00DE2CF7">
        <w:rPr>
          <w:szCs w:val="22"/>
          <w:lang w:val="sr-Latn-ME"/>
        </w:rPr>
        <w:t xml:space="preserve">ena doze od 2 mg/kg dva puta na dan je dovela do dnevne izloženosti </w:t>
      </w:r>
      <w:r w:rsidR="00823F72" w:rsidRPr="00DE2CF7">
        <w:rPr>
          <w:szCs w:val="22"/>
          <w:lang w:val="sr-Latn-ME"/>
        </w:rPr>
        <w:t>lijek</w:t>
      </w:r>
      <w:r w:rsidRPr="00DE2CF7">
        <w:rPr>
          <w:szCs w:val="22"/>
          <w:lang w:val="sr-Latn-ME"/>
        </w:rPr>
        <w:t>u od 8535 nanograma·h/</w:t>
      </w:r>
      <w:r w:rsidR="00BA35D5" w:rsidRPr="00DE2CF7">
        <w:rPr>
          <w:szCs w:val="22"/>
          <w:lang w:val="sr-Latn-ME"/>
        </w:rPr>
        <w:t>ml</w:t>
      </w:r>
      <w:r w:rsidRPr="00DE2CF7">
        <w:rPr>
          <w:szCs w:val="22"/>
          <w:lang w:val="sr-Latn-ME"/>
        </w:rPr>
        <w:t xml:space="preserve">; </w:t>
      </w:r>
      <w:r w:rsidR="00BA35D5" w:rsidRPr="00DE2CF7">
        <w:rPr>
          <w:szCs w:val="22"/>
          <w:lang w:val="sr-Latn-ME"/>
        </w:rPr>
        <w:t xml:space="preserve">vrijednost </w:t>
      </w:r>
      <w:r w:rsidRPr="00DE2CF7">
        <w:rPr>
          <w:szCs w:val="22"/>
          <w:lang w:val="sr-Latn-ME"/>
        </w:rPr>
        <w:t>PIK</w:t>
      </w:r>
      <w:r w:rsidR="00270438" w:rsidRPr="00DE2CF7">
        <w:rPr>
          <w:szCs w:val="22"/>
          <w:lang w:val="sr-Latn-ME"/>
        </w:rPr>
        <w:t xml:space="preserve">τ </w:t>
      </w:r>
      <w:r w:rsidRPr="00DE2CF7">
        <w:rPr>
          <w:szCs w:val="22"/>
          <w:lang w:val="sr-Latn-ME"/>
        </w:rPr>
        <w:t>je bila 4268 nanograma·h/</w:t>
      </w:r>
      <w:r w:rsidR="00BA35D5" w:rsidRPr="00DE2CF7">
        <w:rPr>
          <w:szCs w:val="22"/>
          <w:lang w:val="sr-Latn-ME"/>
        </w:rPr>
        <w:t xml:space="preserve">ml </w:t>
      </w:r>
      <w:r w:rsidRPr="00DE2CF7">
        <w:rPr>
          <w:szCs w:val="22"/>
          <w:lang w:val="sr-Latn-ME"/>
        </w:rPr>
        <w:t xml:space="preserve">(CV: 61%). Kod pacijenata uzrasta između 3 </w:t>
      </w:r>
      <w:r w:rsidR="003E63C6" w:rsidRPr="00DE2CF7">
        <w:rPr>
          <w:szCs w:val="22"/>
          <w:lang w:val="sr-Latn-ME"/>
        </w:rPr>
        <w:t>mjesec</w:t>
      </w:r>
      <w:r w:rsidRPr="00DE2CF7">
        <w:rPr>
          <w:szCs w:val="22"/>
          <w:lang w:val="sr-Latn-ME"/>
        </w:rPr>
        <w:t>a i 2 godine, dnevna izloženost je bila 7879 nanograma·h/</w:t>
      </w:r>
      <w:r w:rsidR="00BA35D5" w:rsidRPr="00DE2CF7">
        <w:rPr>
          <w:szCs w:val="22"/>
          <w:lang w:val="sr-Latn-ME"/>
        </w:rPr>
        <w:t>ml</w:t>
      </w:r>
      <w:r w:rsidRPr="00DE2CF7">
        <w:rPr>
          <w:szCs w:val="22"/>
          <w:lang w:val="sr-Latn-ME"/>
        </w:rPr>
        <w:t xml:space="preserve">; </w:t>
      </w:r>
      <w:r w:rsidR="00BA35D5" w:rsidRPr="00DE2CF7">
        <w:rPr>
          <w:szCs w:val="22"/>
          <w:lang w:val="sr-Latn-ME"/>
        </w:rPr>
        <w:t xml:space="preserve">vrijednost </w:t>
      </w:r>
      <w:r w:rsidRPr="00DE2CF7">
        <w:rPr>
          <w:szCs w:val="22"/>
          <w:lang w:val="sr-Latn-ME"/>
        </w:rPr>
        <w:t>PIK</w:t>
      </w:r>
      <w:r w:rsidR="00270438" w:rsidRPr="00DE2CF7">
        <w:rPr>
          <w:szCs w:val="22"/>
          <w:lang w:val="sr-Latn-ME"/>
        </w:rPr>
        <w:t xml:space="preserve">τ </w:t>
      </w:r>
      <w:r w:rsidRPr="00DE2CF7">
        <w:rPr>
          <w:szCs w:val="22"/>
          <w:lang w:val="sr-Latn-ME"/>
        </w:rPr>
        <w:t>je bila 3939 nanograma·h/</w:t>
      </w:r>
      <w:r w:rsidR="00BA35D5" w:rsidRPr="00DE2CF7">
        <w:rPr>
          <w:szCs w:val="22"/>
          <w:lang w:val="sr-Latn-ME"/>
        </w:rPr>
        <w:t xml:space="preserve">ml </w:t>
      </w:r>
      <w:r w:rsidRPr="00DE2CF7">
        <w:rPr>
          <w:szCs w:val="22"/>
          <w:lang w:val="sr-Latn-ME"/>
        </w:rPr>
        <w:t xml:space="preserve">(CV: 72%). Kod pacijenata uzrasta između 3 </w:t>
      </w:r>
      <w:r w:rsidR="003E63C6" w:rsidRPr="00DE2CF7">
        <w:rPr>
          <w:szCs w:val="22"/>
          <w:lang w:val="sr-Latn-ME"/>
        </w:rPr>
        <w:t>mjesec</w:t>
      </w:r>
      <w:r w:rsidRPr="00DE2CF7">
        <w:rPr>
          <w:szCs w:val="22"/>
          <w:lang w:val="sr-Latn-ME"/>
        </w:rPr>
        <w:t xml:space="preserve">a i 1 godine (n=2), </w:t>
      </w:r>
      <w:r w:rsidR="00BA35D5" w:rsidRPr="00DE2CF7">
        <w:rPr>
          <w:szCs w:val="22"/>
          <w:lang w:val="sr-Latn-ME"/>
        </w:rPr>
        <w:t xml:space="preserve">vrijednost </w:t>
      </w:r>
      <w:r w:rsidRPr="00DE2CF7">
        <w:rPr>
          <w:szCs w:val="22"/>
          <w:lang w:val="sr-Latn-ME"/>
        </w:rPr>
        <w:t>PIK</w:t>
      </w:r>
      <w:r w:rsidR="00270438" w:rsidRPr="00DE2CF7">
        <w:rPr>
          <w:szCs w:val="22"/>
          <w:lang w:val="sr-Latn-ME"/>
        </w:rPr>
        <w:t xml:space="preserve">τ </w:t>
      </w:r>
      <w:r w:rsidRPr="00DE2CF7">
        <w:rPr>
          <w:szCs w:val="22"/>
          <w:lang w:val="sr-Latn-ME"/>
        </w:rPr>
        <w:t>je bila 5914 nanograma·h/</w:t>
      </w:r>
      <w:r w:rsidR="00BA35D5" w:rsidRPr="00DE2CF7">
        <w:rPr>
          <w:szCs w:val="22"/>
          <w:lang w:val="sr-Latn-ME"/>
        </w:rPr>
        <w:t xml:space="preserve">ml </w:t>
      </w:r>
      <w:r w:rsidRPr="00DE2CF7">
        <w:rPr>
          <w:szCs w:val="22"/>
          <w:lang w:val="sr-Latn-ME"/>
        </w:rPr>
        <w:t>(CV: 85%)</w:t>
      </w:r>
      <w:r w:rsidR="00BA35D5" w:rsidRPr="00DE2CF7">
        <w:rPr>
          <w:szCs w:val="22"/>
          <w:lang w:val="sr-Latn-ME"/>
        </w:rPr>
        <w:t>,</w:t>
      </w:r>
      <w:r w:rsidRPr="00DE2CF7">
        <w:rPr>
          <w:szCs w:val="22"/>
          <w:lang w:val="sr-Latn-ME"/>
        </w:rPr>
        <w:t xml:space="preserve"> i kod pacijenata uzrasta između 1 i 2 godine (n=7), PIK</w:t>
      </w:r>
      <w:r w:rsidR="00270438" w:rsidRPr="00DE2CF7">
        <w:rPr>
          <w:szCs w:val="22"/>
          <w:lang w:val="sr-Latn-ME"/>
        </w:rPr>
        <w:t xml:space="preserve">τ </w:t>
      </w:r>
      <w:r w:rsidRPr="00DE2CF7">
        <w:rPr>
          <w:szCs w:val="22"/>
          <w:lang w:val="sr-Latn-ME"/>
        </w:rPr>
        <w:t>je bila 3507 nanograma·h/</w:t>
      </w:r>
      <w:r w:rsidR="00BA35D5" w:rsidRPr="00DE2CF7">
        <w:rPr>
          <w:szCs w:val="22"/>
          <w:lang w:val="sr-Latn-ME"/>
        </w:rPr>
        <w:t xml:space="preserve">ml </w:t>
      </w:r>
      <w:r w:rsidRPr="00DE2CF7">
        <w:rPr>
          <w:szCs w:val="22"/>
          <w:lang w:val="sr-Latn-ME"/>
        </w:rPr>
        <w:t>(CV:70%). Kod pacijenata starijih od 2 godine (n=22)</w:t>
      </w:r>
      <w:r w:rsidR="00BA35D5" w:rsidRPr="00DE2CF7">
        <w:rPr>
          <w:szCs w:val="22"/>
          <w:lang w:val="sr-Latn-ME"/>
        </w:rPr>
        <w:t>,</w:t>
      </w:r>
      <w:r w:rsidRPr="00DE2CF7">
        <w:rPr>
          <w:szCs w:val="22"/>
          <w:lang w:val="sr-Latn-ME"/>
        </w:rPr>
        <w:t xml:space="preserve"> dnevna izloženost je bila 8820 nanograma·h/</w:t>
      </w:r>
      <w:r w:rsidR="00BA35D5" w:rsidRPr="00DE2CF7">
        <w:rPr>
          <w:szCs w:val="22"/>
          <w:lang w:val="sr-Latn-ME"/>
        </w:rPr>
        <w:t>ml</w:t>
      </w:r>
      <w:r w:rsidRPr="00DE2CF7">
        <w:rPr>
          <w:szCs w:val="22"/>
          <w:lang w:val="sr-Latn-ME"/>
        </w:rPr>
        <w:t xml:space="preserve">; </w:t>
      </w:r>
      <w:r w:rsidR="00BA35D5" w:rsidRPr="00DE2CF7">
        <w:rPr>
          <w:szCs w:val="22"/>
          <w:lang w:val="sr-Latn-ME"/>
        </w:rPr>
        <w:t xml:space="preserve">vrijednost </w:t>
      </w:r>
      <w:r w:rsidRPr="00DE2CF7">
        <w:rPr>
          <w:szCs w:val="22"/>
          <w:lang w:val="sr-Latn-ME"/>
        </w:rPr>
        <w:t>PIK</w:t>
      </w:r>
      <w:r w:rsidR="00270438" w:rsidRPr="00DE2CF7">
        <w:rPr>
          <w:szCs w:val="22"/>
          <w:lang w:val="sr-Latn-ME"/>
        </w:rPr>
        <w:t xml:space="preserve">τ </w:t>
      </w:r>
      <w:r w:rsidRPr="00DE2CF7">
        <w:rPr>
          <w:szCs w:val="22"/>
          <w:lang w:val="sr-Latn-ME"/>
        </w:rPr>
        <w:t>je bila 4410 nanograma·h/</w:t>
      </w:r>
      <w:r w:rsidR="00BA35D5" w:rsidRPr="00DE2CF7">
        <w:rPr>
          <w:szCs w:val="22"/>
          <w:lang w:val="sr-Latn-ME"/>
        </w:rPr>
        <w:t xml:space="preserve">ml </w:t>
      </w:r>
      <w:r w:rsidRPr="00DE2CF7">
        <w:rPr>
          <w:szCs w:val="22"/>
          <w:lang w:val="sr-Latn-ME"/>
        </w:rPr>
        <w:t>(CV:58%). Doziranje bosentana od 2 mg/kg tri puta na dan nije povećavalo izloženo</w:t>
      </w:r>
      <w:r w:rsidR="00BA35D5" w:rsidRPr="00DE2CF7">
        <w:rPr>
          <w:szCs w:val="22"/>
          <w:lang w:val="sr-Latn-ME"/>
        </w:rPr>
        <w:t>s</w:t>
      </w:r>
      <w:r w:rsidRPr="00DE2CF7">
        <w:rPr>
          <w:szCs w:val="22"/>
          <w:lang w:val="sr-Latn-ME"/>
        </w:rPr>
        <w:t>t; dnevna izloženost je bila 7275 nanograma·h/</w:t>
      </w:r>
      <w:r w:rsidR="00BA35D5" w:rsidRPr="00DE2CF7">
        <w:rPr>
          <w:szCs w:val="22"/>
          <w:lang w:val="sr-Latn-ME"/>
        </w:rPr>
        <w:t xml:space="preserve">ml </w:t>
      </w:r>
      <w:r w:rsidRPr="00DE2CF7">
        <w:rPr>
          <w:szCs w:val="22"/>
          <w:lang w:val="sr-Latn-ME"/>
        </w:rPr>
        <w:t>(CV: 83%, n=27).</w:t>
      </w:r>
      <w:r w:rsidR="00270438" w:rsidRPr="00DE2CF7">
        <w:rPr>
          <w:szCs w:val="22"/>
          <w:lang w:val="sr-Latn-ME"/>
        </w:rPr>
        <w:t xml:space="preserve"> </w:t>
      </w:r>
    </w:p>
    <w:p w14:paraId="15E869A6" w14:textId="77777777" w:rsidR="00981C56" w:rsidRPr="00DE2CF7" w:rsidRDefault="00981C56" w:rsidP="00DE2CF7">
      <w:pPr>
        <w:rPr>
          <w:szCs w:val="22"/>
          <w:lang w:val="sr-Latn-ME"/>
        </w:rPr>
      </w:pPr>
    </w:p>
    <w:p w14:paraId="1029C094" w14:textId="77777777" w:rsidR="0090133B" w:rsidRPr="00DE2CF7" w:rsidRDefault="0090133B" w:rsidP="00DE2CF7">
      <w:pPr>
        <w:rPr>
          <w:szCs w:val="22"/>
          <w:lang w:val="sr-Latn-ME"/>
        </w:rPr>
      </w:pPr>
      <w:r w:rsidRPr="00DE2CF7">
        <w:rPr>
          <w:szCs w:val="22"/>
          <w:lang w:val="sr-Latn-ME"/>
        </w:rPr>
        <w:t>Na osnovu rezultata studija BREATHE-3, FUTURE 1 I FUTURE-3, izgleda da izloženost bosentanu dostiže plato u nižim dozama kod pedijatrijskih pacijenata u odnosu na odrasle, i da doze veće od 2 mg/kg dva puta na dan (4 mg/kg dva puta na dan ili 2 mg/kg tri puta na dan) neće dovesti do veće izloženosti bosentanu kod pedijatrijskih pacijenata.</w:t>
      </w:r>
    </w:p>
    <w:p w14:paraId="2CCD94E1" w14:textId="77777777" w:rsidR="00270438" w:rsidRPr="00DE2CF7" w:rsidRDefault="00270438" w:rsidP="00DE2CF7">
      <w:pPr>
        <w:rPr>
          <w:szCs w:val="22"/>
          <w:lang w:val="sr-Latn-ME"/>
        </w:rPr>
      </w:pPr>
    </w:p>
    <w:p w14:paraId="65D54E88" w14:textId="77777777" w:rsidR="0090133B" w:rsidRPr="00DE2CF7" w:rsidRDefault="0090133B" w:rsidP="00DE2CF7">
      <w:pPr>
        <w:rPr>
          <w:szCs w:val="22"/>
          <w:lang w:val="sr-Latn-ME"/>
        </w:rPr>
      </w:pPr>
      <w:r w:rsidRPr="00DE2CF7">
        <w:rPr>
          <w:szCs w:val="22"/>
          <w:lang w:val="sr-Latn-ME"/>
        </w:rPr>
        <w:t xml:space="preserve">U studiji AC-052-391 (FUTURE 4) sprovedenoj </w:t>
      </w:r>
      <w:r w:rsidR="005613B0" w:rsidRPr="00DE2CF7">
        <w:rPr>
          <w:szCs w:val="22"/>
          <w:lang w:val="sr-Latn-ME"/>
        </w:rPr>
        <w:t xml:space="preserve">kod </w:t>
      </w:r>
      <w:r w:rsidRPr="00DE2CF7">
        <w:rPr>
          <w:szCs w:val="22"/>
          <w:lang w:val="sr-Latn-ME"/>
        </w:rPr>
        <w:t>novorođenčadi, koncentracije bosentana su polako i kontinuirano rasle tokom prvog interval</w:t>
      </w:r>
      <w:r w:rsidR="005613B0" w:rsidRPr="00DE2CF7">
        <w:rPr>
          <w:szCs w:val="22"/>
          <w:lang w:val="sr-Latn-ME"/>
        </w:rPr>
        <w:t>a</w:t>
      </w:r>
      <w:r w:rsidRPr="00DE2CF7">
        <w:rPr>
          <w:szCs w:val="22"/>
          <w:lang w:val="sr-Latn-ME"/>
        </w:rPr>
        <w:t xml:space="preserve"> doziranja, dovodeći do niske izloženosti (PIK</w:t>
      </w:r>
      <w:r w:rsidRPr="00DE2CF7">
        <w:rPr>
          <w:szCs w:val="22"/>
          <w:vertAlign w:val="subscript"/>
          <w:lang w:val="sr-Latn-ME"/>
        </w:rPr>
        <w:t>0-12</w:t>
      </w:r>
      <w:r w:rsidRPr="00DE2CF7">
        <w:rPr>
          <w:szCs w:val="22"/>
          <w:lang w:val="sr-Latn-ME"/>
        </w:rPr>
        <w:t xml:space="preserve"> u punoj krvi: 164 nanograma·h/</w:t>
      </w:r>
      <w:r w:rsidR="005613B0" w:rsidRPr="00DE2CF7">
        <w:rPr>
          <w:szCs w:val="22"/>
          <w:lang w:val="sr-Latn-ME"/>
        </w:rPr>
        <w:t>ml</w:t>
      </w:r>
      <w:r w:rsidRPr="00DE2CF7">
        <w:rPr>
          <w:szCs w:val="22"/>
          <w:lang w:val="sr-Latn-ME"/>
        </w:rPr>
        <w:t>, n=11). U stanju ravnoteže, PIK</w:t>
      </w:r>
      <w:r w:rsidR="00270438" w:rsidRPr="00DE2CF7">
        <w:rPr>
          <w:szCs w:val="22"/>
          <w:lang w:val="sr-Latn-ME"/>
        </w:rPr>
        <w:t xml:space="preserve">τ </w:t>
      </w:r>
      <w:r w:rsidRPr="00DE2CF7">
        <w:rPr>
          <w:szCs w:val="22"/>
          <w:lang w:val="sr-Latn-ME"/>
        </w:rPr>
        <w:t>je bila 6165 nanograma·h/</w:t>
      </w:r>
      <w:r w:rsidR="005613B0" w:rsidRPr="00DE2CF7">
        <w:rPr>
          <w:szCs w:val="22"/>
          <w:lang w:val="sr-Latn-ME"/>
        </w:rPr>
        <w:t xml:space="preserve">ml </w:t>
      </w:r>
      <w:r w:rsidRPr="00DE2CF7">
        <w:rPr>
          <w:szCs w:val="22"/>
          <w:lang w:val="sr-Latn-ME"/>
        </w:rPr>
        <w:t xml:space="preserve">(CV: 133%, n=7), koja je slična izloženosti zapaženoj kod odraslih pacijenata sa PAH koji su dobijali 125 mg dva puta na dan i uzimajući u obzir odnos distribucije </w:t>
      </w:r>
      <w:r w:rsidR="005613B0" w:rsidRPr="00DE2CF7">
        <w:rPr>
          <w:szCs w:val="22"/>
          <w:lang w:val="sr-Latn-ME"/>
        </w:rPr>
        <w:t xml:space="preserve">krv/plazma </w:t>
      </w:r>
      <w:r w:rsidRPr="00DE2CF7">
        <w:rPr>
          <w:szCs w:val="22"/>
          <w:lang w:val="sr-Latn-ME"/>
        </w:rPr>
        <w:t>od 0</w:t>
      </w:r>
      <w:r w:rsidR="005613B0" w:rsidRPr="00DE2CF7">
        <w:rPr>
          <w:szCs w:val="22"/>
          <w:lang w:val="sr-Latn-ME"/>
        </w:rPr>
        <w:t>,</w:t>
      </w:r>
      <w:r w:rsidRPr="00DE2CF7">
        <w:rPr>
          <w:szCs w:val="22"/>
          <w:lang w:val="sr-Latn-ME"/>
        </w:rPr>
        <w:t xml:space="preserve">6. </w:t>
      </w:r>
    </w:p>
    <w:p w14:paraId="4332AC98" w14:textId="77777777" w:rsidR="00270438" w:rsidRPr="00DE2CF7" w:rsidRDefault="00270438" w:rsidP="00DE2CF7">
      <w:pPr>
        <w:rPr>
          <w:szCs w:val="22"/>
          <w:lang w:val="sr-Latn-ME"/>
        </w:rPr>
      </w:pPr>
    </w:p>
    <w:p w14:paraId="0A14205C" w14:textId="77777777" w:rsidR="0090133B" w:rsidRPr="00DE2CF7" w:rsidRDefault="007453E0" w:rsidP="00DE2CF7">
      <w:pPr>
        <w:rPr>
          <w:szCs w:val="22"/>
          <w:lang w:val="sr-Latn-ME"/>
        </w:rPr>
      </w:pPr>
      <w:r w:rsidRPr="00DE2CF7">
        <w:rPr>
          <w:szCs w:val="22"/>
          <w:lang w:val="sr-Latn-ME"/>
        </w:rPr>
        <w:t>Posljed</w:t>
      </w:r>
      <w:r w:rsidR="0090133B" w:rsidRPr="00DE2CF7">
        <w:rPr>
          <w:szCs w:val="22"/>
          <w:lang w:val="sr-Latn-ME"/>
        </w:rPr>
        <w:t>ice ovih nalaza u odnosu na hepatotoksičnost nisu poznate. Pol i istovremena prim</w:t>
      </w:r>
      <w:r w:rsidR="006E200E" w:rsidRPr="00DE2CF7">
        <w:rPr>
          <w:szCs w:val="22"/>
          <w:lang w:val="sr-Latn-ME"/>
        </w:rPr>
        <w:t>j</w:t>
      </w:r>
      <w:r w:rsidR="0090133B" w:rsidRPr="00DE2CF7">
        <w:rPr>
          <w:szCs w:val="22"/>
          <w:lang w:val="sr-Latn-ME"/>
        </w:rPr>
        <w:t xml:space="preserve">ena intravenskog epoprostenola nije imala značajan uticaj na farmakokinetiku bosentana. </w:t>
      </w:r>
    </w:p>
    <w:p w14:paraId="412A146E" w14:textId="77777777" w:rsidR="00270438" w:rsidRPr="00DE2CF7" w:rsidRDefault="00270438" w:rsidP="00DE2CF7">
      <w:pPr>
        <w:rPr>
          <w:szCs w:val="22"/>
          <w:lang w:val="sr-Latn-ME"/>
        </w:rPr>
      </w:pPr>
    </w:p>
    <w:p w14:paraId="065EA3D8" w14:textId="77777777" w:rsidR="0090133B" w:rsidRPr="00DE2CF7" w:rsidRDefault="0090133B" w:rsidP="00DE2CF7">
      <w:pPr>
        <w:rPr>
          <w:i/>
          <w:szCs w:val="22"/>
          <w:lang w:val="sr-Latn-ME"/>
        </w:rPr>
      </w:pPr>
      <w:r w:rsidRPr="00DE2CF7">
        <w:rPr>
          <w:i/>
          <w:szCs w:val="22"/>
          <w:lang w:val="sr-Latn-ME"/>
        </w:rPr>
        <w:t>Oštećenje funkcije jetre</w:t>
      </w:r>
    </w:p>
    <w:p w14:paraId="77C04DD0" w14:textId="77777777" w:rsidR="006D5848" w:rsidRPr="00DE2CF7" w:rsidRDefault="0090133B" w:rsidP="00DE2CF7">
      <w:pPr>
        <w:rPr>
          <w:szCs w:val="22"/>
          <w:lang w:val="sr-Latn-ME"/>
        </w:rPr>
      </w:pPr>
      <w:r w:rsidRPr="00DE2CF7">
        <w:rPr>
          <w:szCs w:val="22"/>
          <w:lang w:val="sr-Latn-ME"/>
        </w:rPr>
        <w:t>Kod pacijenata sa blagim oštećenjem funkcije jetre (</w:t>
      </w:r>
      <w:r w:rsidRPr="00DE2CF7">
        <w:rPr>
          <w:i/>
          <w:szCs w:val="22"/>
          <w:lang w:val="sr-Latn-ME"/>
        </w:rPr>
        <w:t>Child-Pugh</w:t>
      </w:r>
      <w:r w:rsidRPr="00DE2CF7">
        <w:rPr>
          <w:szCs w:val="22"/>
          <w:lang w:val="sr-Latn-ME"/>
        </w:rPr>
        <w:t xml:space="preserve"> klasa A) nisu uočene značajne prom</w:t>
      </w:r>
      <w:r w:rsidR="006D5848" w:rsidRPr="00DE2CF7">
        <w:rPr>
          <w:szCs w:val="22"/>
          <w:lang w:val="sr-Latn-ME"/>
        </w:rPr>
        <w:t>j</w:t>
      </w:r>
      <w:r w:rsidRPr="00DE2CF7">
        <w:rPr>
          <w:szCs w:val="22"/>
          <w:lang w:val="sr-Latn-ME"/>
        </w:rPr>
        <w:t>ene u farmakokinetici bosentana. U stanju ravnoteže PIK bosentana bila je za 9% veća a PIK aktivnog metabolita, Ro 48-5033, za 33% veća kod pacijenata sa blagim oštećenjem funkcije jetre u odnosu na zdrave ispitanike.</w:t>
      </w:r>
    </w:p>
    <w:p w14:paraId="2776152E" w14:textId="77777777" w:rsidR="0090133B" w:rsidRPr="00DE2CF7" w:rsidRDefault="0090133B" w:rsidP="00DE2CF7">
      <w:pPr>
        <w:rPr>
          <w:szCs w:val="22"/>
          <w:lang w:val="sr-Latn-ME"/>
        </w:rPr>
      </w:pPr>
      <w:r w:rsidRPr="00DE2CF7">
        <w:rPr>
          <w:szCs w:val="22"/>
          <w:lang w:val="sr-Latn-ME"/>
        </w:rPr>
        <w:lastRenderedPageBreak/>
        <w:t>Uticaj u</w:t>
      </w:r>
      <w:r w:rsidR="003E63C6" w:rsidRPr="00DE2CF7">
        <w:rPr>
          <w:szCs w:val="22"/>
          <w:lang w:val="sr-Latn-ME"/>
        </w:rPr>
        <w:t>mjeren</w:t>
      </w:r>
      <w:r w:rsidRPr="00DE2CF7">
        <w:rPr>
          <w:szCs w:val="22"/>
          <w:lang w:val="sr-Latn-ME"/>
        </w:rPr>
        <w:t>og oštećenja funkcije jetre (</w:t>
      </w:r>
      <w:r w:rsidRPr="00DE2CF7">
        <w:rPr>
          <w:i/>
          <w:szCs w:val="22"/>
          <w:lang w:val="sr-Latn-ME"/>
        </w:rPr>
        <w:t>Child-Pugh</w:t>
      </w:r>
      <w:r w:rsidRPr="00DE2CF7">
        <w:rPr>
          <w:szCs w:val="22"/>
          <w:lang w:val="sr-Latn-ME"/>
        </w:rPr>
        <w:t xml:space="preserve"> klasa B) na farmakokinetiku bosentana i njegovog primarnog metabolita Ro 48-5033 ispitan je u studiji u koju je bilo uključeno 5 pacijenata sa plućnom hipertenzijom udruženom sa portalnom hipertenzijom i oštećenjem funkcije jetre, </w:t>
      </w:r>
      <w:r w:rsidRPr="00DE2CF7">
        <w:rPr>
          <w:i/>
          <w:szCs w:val="22"/>
          <w:lang w:val="sr-Latn-ME"/>
        </w:rPr>
        <w:t>Child-Pugh</w:t>
      </w:r>
      <w:r w:rsidRPr="00DE2CF7">
        <w:rPr>
          <w:szCs w:val="22"/>
          <w:lang w:val="sr-Latn-ME"/>
        </w:rPr>
        <w:t xml:space="preserve"> klase B, i 3 pacijenta sa plućnom arterijskom hipertenzijom druge etiologije i normalnom funkcijom jetre. Kod pacijenata sa oštećenjem funkcije jetre </w:t>
      </w:r>
      <w:r w:rsidRPr="00DE2CF7">
        <w:rPr>
          <w:i/>
          <w:szCs w:val="22"/>
          <w:lang w:val="sr-Latn-ME"/>
        </w:rPr>
        <w:t>Child-Pugh</w:t>
      </w:r>
      <w:r w:rsidRPr="00DE2CF7">
        <w:rPr>
          <w:szCs w:val="22"/>
          <w:lang w:val="sr-Latn-ME"/>
        </w:rPr>
        <w:t xml:space="preserve"> klase B, u stanju ravnoteže srednja </w:t>
      </w:r>
      <w:r w:rsidR="002407A5" w:rsidRPr="00DE2CF7">
        <w:rPr>
          <w:szCs w:val="22"/>
          <w:lang w:val="sr-Latn-ME"/>
        </w:rPr>
        <w:t>vrijednost</w:t>
      </w:r>
      <w:r w:rsidRPr="00DE2CF7">
        <w:rPr>
          <w:szCs w:val="22"/>
          <w:lang w:val="sr-Latn-ME"/>
        </w:rPr>
        <w:t xml:space="preserve"> PIK (95% CI) bosentana bila je 360 </w:t>
      </w:r>
      <w:r w:rsidR="006D5848" w:rsidRPr="00DE2CF7">
        <w:rPr>
          <w:szCs w:val="22"/>
          <w:lang w:val="sr-Latn-ME"/>
        </w:rPr>
        <w:t>(212-613) nanograma·h/</w:t>
      </w:r>
      <w:r w:rsidR="00DD3E3C" w:rsidRPr="00DE2CF7">
        <w:rPr>
          <w:szCs w:val="22"/>
          <w:lang w:val="sr-Latn-ME"/>
        </w:rPr>
        <w:t>ml</w:t>
      </w:r>
      <w:r w:rsidR="006D5848" w:rsidRPr="00DE2CF7">
        <w:rPr>
          <w:szCs w:val="22"/>
          <w:lang w:val="sr-Latn-ME"/>
        </w:rPr>
        <w:t>, tj. 4</w:t>
      </w:r>
      <w:r w:rsidR="00DD3E3C" w:rsidRPr="00DE2CF7">
        <w:rPr>
          <w:szCs w:val="22"/>
          <w:lang w:val="sr-Latn-ME"/>
        </w:rPr>
        <w:t>,</w:t>
      </w:r>
      <w:r w:rsidRPr="00DE2CF7">
        <w:rPr>
          <w:szCs w:val="22"/>
          <w:lang w:val="sr-Latn-ME"/>
        </w:rPr>
        <w:t xml:space="preserve">7 puta veća, a srednja </w:t>
      </w:r>
      <w:r w:rsidR="002407A5" w:rsidRPr="00DE2CF7">
        <w:rPr>
          <w:szCs w:val="22"/>
          <w:lang w:val="sr-Latn-ME"/>
        </w:rPr>
        <w:t>vrijednost</w:t>
      </w:r>
      <w:r w:rsidRPr="00DE2CF7">
        <w:rPr>
          <w:szCs w:val="22"/>
          <w:lang w:val="sr-Latn-ME"/>
        </w:rPr>
        <w:t xml:space="preserve"> PIK (95% CI) aktivnog metabo</w:t>
      </w:r>
      <w:r w:rsidR="00577052" w:rsidRPr="00DE2CF7">
        <w:rPr>
          <w:szCs w:val="22"/>
          <w:lang w:val="sr-Latn-ME"/>
        </w:rPr>
        <w:t>lita Ro 48-5033 bila je 106 (58</w:t>
      </w:r>
      <w:r w:rsidR="00DD3E3C" w:rsidRPr="00DE2CF7">
        <w:rPr>
          <w:szCs w:val="22"/>
          <w:lang w:val="sr-Latn-ME"/>
        </w:rPr>
        <w:t>,</w:t>
      </w:r>
      <w:r w:rsidRPr="00DE2CF7">
        <w:rPr>
          <w:szCs w:val="22"/>
          <w:lang w:val="sr-Latn-ME"/>
        </w:rPr>
        <w:t>4-192) nanograma·h/</w:t>
      </w:r>
      <w:r w:rsidR="00DD3E3C" w:rsidRPr="00DE2CF7">
        <w:rPr>
          <w:szCs w:val="22"/>
          <w:lang w:val="sr-Latn-ME"/>
        </w:rPr>
        <w:t>ml</w:t>
      </w:r>
      <w:r w:rsidR="00577052" w:rsidRPr="00DE2CF7">
        <w:rPr>
          <w:szCs w:val="22"/>
          <w:lang w:val="sr-Latn-ME"/>
        </w:rPr>
        <w:t>, tj. 12</w:t>
      </w:r>
      <w:r w:rsidR="00DD3E3C" w:rsidRPr="00DE2CF7">
        <w:rPr>
          <w:szCs w:val="22"/>
          <w:lang w:val="sr-Latn-ME"/>
        </w:rPr>
        <w:t>,</w:t>
      </w:r>
      <w:r w:rsidRPr="00DE2CF7">
        <w:rPr>
          <w:szCs w:val="22"/>
          <w:lang w:val="sr-Latn-ME"/>
        </w:rPr>
        <w:t xml:space="preserve">4 puta veća nego kod pacijenata sa normalnom funkcijom jetre (bosentan: srednja </w:t>
      </w:r>
      <w:r w:rsidR="002407A5" w:rsidRPr="00DE2CF7">
        <w:rPr>
          <w:szCs w:val="22"/>
          <w:lang w:val="sr-Latn-ME"/>
        </w:rPr>
        <w:t>vrijednost</w:t>
      </w:r>
      <w:r w:rsidR="00577052" w:rsidRPr="00DE2CF7">
        <w:rPr>
          <w:szCs w:val="22"/>
          <w:lang w:val="sr-Latn-ME"/>
        </w:rPr>
        <w:t xml:space="preserve"> PIK [95% CI]: 76</w:t>
      </w:r>
      <w:r w:rsidR="00DD3E3C" w:rsidRPr="00DE2CF7">
        <w:rPr>
          <w:szCs w:val="22"/>
          <w:lang w:val="sr-Latn-ME"/>
        </w:rPr>
        <w:t>,</w:t>
      </w:r>
      <w:r w:rsidR="00577052" w:rsidRPr="00DE2CF7">
        <w:rPr>
          <w:szCs w:val="22"/>
          <w:lang w:val="sr-Latn-ME"/>
        </w:rPr>
        <w:t>1 [9</w:t>
      </w:r>
      <w:r w:rsidR="00DD3E3C" w:rsidRPr="00DE2CF7">
        <w:rPr>
          <w:szCs w:val="22"/>
          <w:lang w:val="sr-Latn-ME"/>
        </w:rPr>
        <w:t>,</w:t>
      </w:r>
      <w:r w:rsidRPr="00DE2CF7">
        <w:rPr>
          <w:szCs w:val="22"/>
          <w:lang w:val="sr-Latn-ME"/>
        </w:rPr>
        <w:t>07-638] nanograma·h/</w:t>
      </w:r>
      <w:r w:rsidR="00DD3E3C" w:rsidRPr="00DE2CF7">
        <w:rPr>
          <w:szCs w:val="22"/>
          <w:lang w:val="sr-Latn-ME"/>
        </w:rPr>
        <w:t>ml</w:t>
      </w:r>
      <w:r w:rsidRPr="00DE2CF7">
        <w:rPr>
          <w:szCs w:val="22"/>
          <w:lang w:val="sr-Latn-ME"/>
        </w:rPr>
        <w:t xml:space="preserve">; Ro 48-5033: srednja </w:t>
      </w:r>
      <w:r w:rsidR="002407A5" w:rsidRPr="00DE2CF7">
        <w:rPr>
          <w:szCs w:val="22"/>
          <w:lang w:val="sr-Latn-ME"/>
        </w:rPr>
        <w:t>vrijednost</w:t>
      </w:r>
      <w:r w:rsidR="00577052" w:rsidRPr="00DE2CF7">
        <w:rPr>
          <w:szCs w:val="22"/>
          <w:lang w:val="sr-Latn-ME"/>
        </w:rPr>
        <w:t xml:space="preserve"> PIK [95% CI] 8</w:t>
      </w:r>
      <w:r w:rsidR="00DD3E3C" w:rsidRPr="00DE2CF7">
        <w:rPr>
          <w:szCs w:val="22"/>
          <w:lang w:val="sr-Latn-ME"/>
        </w:rPr>
        <w:t>,</w:t>
      </w:r>
      <w:r w:rsidR="00577052" w:rsidRPr="00DE2CF7">
        <w:rPr>
          <w:szCs w:val="22"/>
          <w:lang w:val="sr-Latn-ME"/>
        </w:rPr>
        <w:t>57 [1</w:t>
      </w:r>
      <w:r w:rsidR="00DD3E3C" w:rsidRPr="00DE2CF7">
        <w:rPr>
          <w:szCs w:val="22"/>
          <w:lang w:val="sr-Latn-ME"/>
        </w:rPr>
        <w:t>,</w:t>
      </w:r>
      <w:r w:rsidR="00577052" w:rsidRPr="00DE2CF7">
        <w:rPr>
          <w:szCs w:val="22"/>
          <w:lang w:val="sr-Latn-ME"/>
        </w:rPr>
        <w:t>28-57</w:t>
      </w:r>
      <w:r w:rsidR="00DD3E3C" w:rsidRPr="00DE2CF7">
        <w:rPr>
          <w:szCs w:val="22"/>
          <w:lang w:val="sr-Latn-ME"/>
        </w:rPr>
        <w:t>,</w:t>
      </w:r>
      <w:r w:rsidRPr="00DE2CF7">
        <w:rPr>
          <w:szCs w:val="22"/>
          <w:lang w:val="sr-Latn-ME"/>
        </w:rPr>
        <w:t>2] nanograma·h/</w:t>
      </w:r>
      <w:r w:rsidR="00DD3E3C" w:rsidRPr="00DE2CF7">
        <w:rPr>
          <w:szCs w:val="22"/>
          <w:lang w:val="sr-Latn-ME"/>
        </w:rPr>
        <w:t>ml</w:t>
      </w:r>
      <w:r w:rsidRPr="00DE2CF7">
        <w:rPr>
          <w:szCs w:val="22"/>
          <w:lang w:val="sr-Latn-ME"/>
        </w:rPr>
        <w:t>). Iako je broj uključenih pacijenata bio ograničen i samim tim varijabilnost visoka, ovi podaci ukazuju na značajno povećanu izloženost bosentanu i njegovom primarnom metabolitu, Ro 48-5033, kod pacijenata sa u</w:t>
      </w:r>
      <w:r w:rsidR="003E63C6" w:rsidRPr="00DE2CF7">
        <w:rPr>
          <w:szCs w:val="22"/>
          <w:lang w:val="sr-Latn-ME"/>
        </w:rPr>
        <w:t>mjeren</w:t>
      </w:r>
      <w:r w:rsidRPr="00DE2CF7">
        <w:rPr>
          <w:szCs w:val="22"/>
          <w:lang w:val="sr-Latn-ME"/>
        </w:rPr>
        <w:t>im oštećenjem jetre (</w:t>
      </w:r>
      <w:r w:rsidRPr="00DE2CF7">
        <w:rPr>
          <w:i/>
          <w:szCs w:val="22"/>
          <w:lang w:val="sr-Latn-ME"/>
        </w:rPr>
        <w:t>Child-Pugh</w:t>
      </w:r>
      <w:r w:rsidRPr="00DE2CF7">
        <w:rPr>
          <w:szCs w:val="22"/>
          <w:lang w:val="sr-Latn-ME"/>
        </w:rPr>
        <w:t xml:space="preserve"> klasa B).</w:t>
      </w:r>
    </w:p>
    <w:p w14:paraId="78175FD9" w14:textId="77777777" w:rsidR="0090133B" w:rsidRPr="00DE2CF7" w:rsidRDefault="0090133B" w:rsidP="00DE2CF7">
      <w:pPr>
        <w:rPr>
          <w:szCs w:val="22"/>
          <w:lang w:val="sr-Latn-ME"/>
        </w:rPr>
      </w:pPr>
      <w:r w:rsidRPr="00DE2CF7">
        <w:rPr>
          <w:szCs w:val="22"/>
          <w:lang w:val="sr-Latn-ME"/>
        </w:rPr>
        <w:t xml:space="preserve">Farmakokinetika bosentana nije ispitivana kod pacijenata sa oštećenjem funkcije jetre </w:t>
      </w:r>
      <w:r w:rsidRPr="00DE2CF7">
        <w:rPr>
          <w:i/>
          <w:szCs w:val="22"/>
          <w:lang w:val="sr-Latn-ME"/>
        </w:rPr>
        <w:t>Child-Pugh</w:t>
      </w:r>
      <w:r w:rsidRPr="00DE2CF7">
        <w:rPr>
          <w:szCs w:val="22"/>
          <w:lang w:val="sr-Latn-ME"/>
        </w:rPr>
        <w:t xml:space="preserve"> klase C. Bosentan je kontraindikovan kod pacijenata sa u</w:t>
      </w:r>
      <w:r w:rsidR="003E63C6" w:rsidRPr="00DE2CF7">
        <w:rPr>
          <w:szCs w:val="22"/>
          <w:lang w:val="sr-Latn-ME"/>
        </w:rPr>
        <w:t>mjeren</w:t>
      </w:r>
      <w:r w:rsidRPr="00DE2CF7">
        <w:rPr>
          <w:szCs w:val="22"/>
          <w:lang w:val="sr-Latn-ME"/>
        </w:rPr>
        <w:t xml:space="preserve">im do teškim oštećenjem funkcije jetre, tj. </w:t>
      </w:r>
      <w:r w:rsidRPr="00DE2CF7">
        <w:rPr>
          <w:i/>
          <w:szCs w:val="22"/>
          <w:lang w:val="sr-Latn-ME"/>
        </w:rPr>
        <w:t>Child-Pugh</w:t>
      </w:r>
      <w:r w:rsidR="00DD3E3C" w:rsidRPr="00DE2CF7">
        <w:rPr>
          <w:szCs w:val="22"/>
          <w:lang w:val="sr-Latn-ME"/>
        </w:rPr>
        <w:t xml:space="preserve"> </w:t>
      </w:r>
      <w:r w:rsidRPr="00DE2CF7">
        <w:rPr>
          <w:szCs w:val="22"/>
          <w:lang w:val="sr-Latn-ME"/>
        </w:rPr>
        <w:t>klasom B ili C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4.3).</w:t>
      </w:r>
    </w:p>
    <w:p w14:paraId="33C4F561" w14:textId="77777777" w:rsidR="00270438" w:rsidRPr="00DE2CF7" w:rsidRDefault="00270438" w:rsidP="00DE2CF7">
      <w:pPr>
        <w:rPr>
          <w:i/>
          <w:szCs w:val="22"/>
          <w:lang w:val="sr-Latn-ME"/>
        </w:rPr>
      </w:pPr>
    </w:p>
    <w:p w14:paraId="2606534C" w14:textId="77777777" w:rsidR="0090133B" w:rsidRPr="00DE2CF7" w:rsidRDefault="0090133B" w:rsidP="00DE2CF7">
      <w:pPr>
        <w:rPr>
          <w:i/>
          <w:szCs w:val="22"/>
          <w:lang w:val="sr-Latn-ME"/>
        </w:rPr>
      </w:pPr>
      <w:r w:rsidRPr="00DE2CF7">
        <w:rPr>
          <w:i/>
          <w:szCs w:val="22"/>
          <w:lang w:val="sr-Latn-ME"/>
        </w:rPr>
        <w:t>Oštećenje funkcije bubrega</w:t>
      </w:r>
    </w:p>
    <w:p w14:paraId="5BB641E8" w14:textId="77777777" w:rsidR="0090133B" w:rsidRPr="00DE2CF7" w:rsidRDefault="0090133B" w:rsidP="00DE2CF7">
      <w:pPr>
        <w:rPr>
          <w:szCs w:val="22"/>
          <w:lang w:val="sr-Latn-ME"/>
        </w:rPr>
      </w:pPr>
      <w:r w:rsidRPr="00DE2CF7">
        <w:rPr>
          <w:szCs w:val="22"/>
          <w:lang w:val="sr-Latn-ME"/>
        </w:rPr>
        <w:t xml:space="preserve">Kod pacijenata sa teškim oštećenjem funkcije bubrega (klirens kreatinina 15-30 </w:t>
      </w:r>
      <w:r w:rsidR="002F0CD6" w:rsidRPr="00DE2CF7">
        <w:rPr>
          <w:szCs w:val="22"/>
          <w:lang w:val="sr-Latn-ME"/>
        </w:rPr>
        <w:t>ml</w:t>
      </w:r>
      <w:r w:rsidRPr="00DE2CF7">
        <w:rPr>
          <w:szCs w:val="22"/>
          <w:lang w:val="sr-Latn-ME"/>
        </w:rPr>
        <w:t xml:space="preserve">/min), koncentracije </w:t>
      </w:r>
      <w:r w:rsidR="00553A10" w:rsidRPr="00DE2CF7">
        <w:rPr>
          <w:szCs w:val="22"/>
          <w:lang w:val="sr-Latn-ME"/>
        </w:rPr>
        <w:t>b</w:t>
      </w:r>
      <w:r w:rsidRPr="00DE2CF7">
        <w:rPr>
          <w:szCs w:val="22"/>
          <w:lang w:val="sr-Latn-ME"/>
        </w:rPr>
        <w:t>osentana u plazmi smanjene su za približno 10%</w:t>
      </w:r>
      <w:r w:rsidR="002F0CD6" w:rsidRPr="00DE2CF7">
        <w:rPr>
          <w:szCs w:val="22"/>
          <w:lang w:val="sr-Latn-ME"/>
        </w:rPr>
        <w:t>,</w:t>
      </w:r>
      <w:r w:rsidRPr="00DE2CF7">
        <w:rPr>
          <w:szCs w:val="22"/>
          <w:lang w:val="sr-Latn-ME"/>
        </w:rPr>
        <w:t xml:space="preserve"> a koncentracije metabolita bosentana povećane su za oko </w:t>
      </w:r>
    </w:p>
    <w:p w14:paraId="7A0B3D11" w14:textId="77777777" w:rsidR="0090133B" w:rsidRPr="00DE2CF7" w:rsidRDefault="0090133B" w:rsidP="00DE2CF7">
      <w:pPr>
        <w:rPr>
          <w:szCs w:val="22"/>
          <w:lang w:val="sr-Latn-ME"/>
        </w:rPr>
      </w:pPr>
      <w:r w:rsidRPr="00DE2CF7">
        <w:rPr>
          <w:szCs w:val="22"/>
          <w:lang w:val="sr-Latn-ME"/>
        </w:rPr>
        <w:t>2 puta, u poređenju sa ispitanicima sa normalnom funkcijom bubrega. Ne zaht</w:t>
      </w:r>
      <w:r w:rsidR="002F0CD6" w:rsidRPr="00DE2CF7">
        <w:rPr>
          <w:szCs w:val="22"/>
          <w:lang w:val="sr-Latn-ME"/>
        </w:rPr>
        <w:t>i</w:t>
      </w:r>
      <w:r w:rsidR="00553A10" w:rsidRPr="00DE2CF7">
        <w:rPr>
          <w:szCs w:val="22"/>
          <w:lang w:val="sr-Latn-ME"/>
        </w:rPr>
        <w:t>j</w:t>
      </w:r>
      <w:r w:rsidRPr="00DE2CF7">
        <w:rPr>
          <w:szCs w:val="22"/>
          <w:lang w:val="sr-Latn-ME"/>
        </w:rPr>
        <w:t>eva se prilagođavanje doze kod pacijenata sa oštećenjem funkcije bubrega. Nema iskustva sa prim</w:t>
      </w:r>
      <w:r w:rsidR="006E200E" w:rsidRPr="00DE2CF7">
        <w:rPr>
          <w:szCs w:val="22"/>
          <w:lang w:val="sr-Latn-ME"/>
        </w:rPr>
        <w:t>j</w:t>
      </w:r>
      <w:r w:rsidRPr="00DE2CF7">
        <w:rPr>
          <w:szCs w:val="22"/>
          <w:lang w:val="sr-Latn-ME"/>
        </w:rPr>
        <w:t>enom bosentana kod pacijenata na dijalizi. Na osnovu fizičko-hemijskih osobina i visokog stepena vezivanja za proteine plazme, za bosentan se ne očekuje da se može ukloniti iz cirkulacije dijalizom u značajnom stepenu (</w:t>
      </w:r>
      <w:r w:rsidR="007453E0" w:rsidRPr="00DE2CF7">
        <w:rPr>
          <w:szCs w:val="22"/>
          <w:lang w:val="sr-Latn-ME"/>
        </w:rPr>
        <w:t>vidjeti</w:t>
      </w:r>
      <w:r w:rsidRPr="00DE2CF7">
        <w:rPr>
          <w:szCs w:val="22"/>
          <w:lang w:val="sr-Latn-ME"/>
        </w:rPr>
        <w:t xml:space="preserve"> </w:t>
      </w:r>
      <w:r w:rsidR="007453E0" w:rsidRPr="00DE2CF7">
        <w:rPr>
          <w:szCs w:val="22"/>
          <w:lang w:val="sr-Latn-ME"/>
        </w:rPr>
        <w:t>odjeljak</w:t>
      </w:r>
      <w:r w:rsidRPr="00DE2CF7">
        <w:rPr>
          <w:szCs w:val="22"/>
          <w:lang w:val="sr-Latn-ME"/>
        </w:rPr>
        <w:t xml:space="preserve"> 4.2).</w:t>
      </w:r>
    </w:p>
    <w:p w14:paraId="1C32A293" w14:textId="77777777" w:rsidR="00AD78F7" w:rsidRPr="00DE2CF7" w:rsidRDefault="00AD78F7" w:rsidP="00DE2CF7">
      <w:pPr>
        <w:rPr>
          <w:szCs w:val="22"/>
          <w:lang w:val="sr-Latn-ME"/>
        </w:rPr>
      </w:pPr>
    </w:p>
    <w:p w14:paraId="5D939C5F" w14:textId="77777777" w:rsidR="00E41470" w:rsidRPr="00DE2CF7" w:rsidRDefault="00E41470" w:rsidP="00DE2CF7">
      <w:pPr>
        <w:tabs>
          <w:tab w:val="clear" w:pos="284"/>
          <w:tab w:val="left" w:pos="540"/>
          <w:tab w:val="left" w:pos="569"/>
        </w:tabs>
        <w:jc w:val="left"/>
        <w:rPr>
          <w:b/>
          <w:bCs/>
          <w:szCs w:val="22"/>
          <w:lang w:val="sr-Latn-ME"/>
        </w:rPr>
      </w:pPr>
      <w:r w:rsidRPr="00DE2CF7">
        <w:rPr>
          <w:b/>
          <w:bCs/>
          <w:szCs w:val="22"/>
          <w:lang w:val="sr-Latn-ME"/>
        </w:rPr>
        <w:t xml:space="preserve">5.3. </w:t>
      </w:r>
      <w:r w:rsidRPr="00DE2CF7">
        <w:rPr>
          <w:b/>
          <w:bCs/>
          <w:szCs w:val="22"/>
          <w:lang w:val="sr-Latn-ME"/>
        </w:rPr>
        <w:tab/>
        <w:t xml:space="preserve">Pretklinički podaci o bezbjednosti </w:t>
      </w:r>
    </w:p>
    <w:p w14:paraId="02E2C07B" w14:textId="77777777" w:rsidR="00AD78F7" w:rsidRPr="00DE2CF7" w:rsidRDefault="00AD78F7" w:rsidP="00DE2CF7">
      <w:pPr>
        <w:rPr>
          <w:szCs w:val="22"/>
          <w:lang w:val="sr-Latn-ME"/>
        </w:rPr>
      </w:pPr>
    </w:p>
    <w:p w14:paraId="4FFEEB9A" w14:textId="77777777" w:rsidR="0090133B" w:rsidRPr="00DE2CF7" w:rsidRDefault="0090133B" w:rsidP="00DE2CF7">
      <w:pPr>
        <w:rPr>
          <w:szCs w:val="22"/>
          <w:lang w:val="sr-Latn-ME"/>
        </w:rPr>
      </w:pPr>
      <w:r w:rsidRPr="00DE2CF7">
        <w:rPr>
          <w:szCs w:val="22"/>
          <w:lang w:val="sr-Latn-ME"/>
        </w:rPr>
        <w:t>Studija karcinogenosti na miševima u trajanju od 2 godine je pokazala kombinovanu incidenciju hepatocelularnih adenoma i karcinoma kod mužjaka, ali ne i ženki, pri koncentracijama u plazmi koje su bile 2 do 4 puta veće od terapijskih kod ljudi. Kod pacova, oralna prim</w:t>
      </w:r>
      <w:r w:rsidR="006E200E" w:rsidRPr="00DE2CF7">
        <w:rPr>
          <w:szCs w:val="22"/>
          <w:lang w:val="sr-Latn-ME"/>
        </w:rPr>
        <w:t>j</w:t>
      </w:r>
      <w:r w:rsidRPr="00DE2CF7">
        <w:rPr>
          <w:szCs w:val="22"/>
          <w:lang w:val="sr-Latn-ME"/>
        </w:rPr>
        <w:t>ena bosentana tokom 2 godine je dovela do malog ali značajnog povećanja kombinovane incidencije adenoma tir</w:t>
      </w:r>
      <w:r w:rsidR="002F0CD6" w:rsidRPr="00DE2CF7">
        <w:rPr>
          <w:szCs w:val="22"/>
          <w:lang w:val="sr-Latn-ME"/>
        </w:rPr>
        <w:t>e</w:t>
      </w:r>
      <w:r w:rsidRPr="00DE2CF7">
        <w:rPr>
          <w:szCs w:val="22"/>
          <w:lang w:val="sr-Latn-ME"/>
        </w:rPr>
        <w:t>oidnih folikularnih ćelija i karcinoma kod mužjaka, ali ne i kod ženki, pri koncentracijama u plazmi koje su bile oko 9 do 14 puta veće od koncentracija postignutih pri prim</w:t>
      </w:r>
      <w:r w:rsidR="006E200E" w:rsidRPr="00DE2CF7">
        <w:rPr>
          <w:szCs w:val="22"/>
          <w:lang w:val="sr-Latn-ME"/>
        </w:rPr>
        <w:t>j</w:t>
      </w:r>
      <w:r w:rsidRPr="00DE2CF7">
        <w:rPr>
          <w:szCs w:val="22"/>
          <w:lang w:val="sr-Latn-ME"/>
        </w:rPr>
        <w:t>eni terapijskih doza kod ljudi. Bosentan</w:t>
      </w:r>
      <w:r w:rsidR="00CA087B" w:rsidRPr="00DE2CF7">
        <w:rPr>
          <w:szCs w:val="22"/>
          <w:lang w:val="sr-Latn-ME"/>
        </w:rPr>
        <w:t xml:space="preserve"> je </w:t>
      </w:r>
      <w:r w:rsidR="002F0CD6" w:rsidRPr="00DE2CF7">
        <w:rPr>
          <w:szCs w:val="22"/>
          <w:lang w:val="sr-Latn-ME"/>
        </w:rPr>
        <w:t xml:space="preserve">bio </w:t>
      </w:r>
      <w:r w:rsidR="00CA087B" w:rsidRPr="00DE2CF7">
        <w:rPr>
          <w:szCs w:val="22"/>
          <w:lang w:val="sr-Latn-ME"/>
        </w:rPr>
        <w:t>negativan u te</w:t>
      </w:r>
      <w:r w:rsidRPr="00DE2CF7">
        <w:rPr>
          <w:szCs w:val="22"/>
          <w:lang w:val="sr-Latn-ME"/>
        </w:rPr>
        <w:t>stovima genotoksičnosti. Postoje dokazi o blagom poremećaju tireoidne hormonalne ravnoteže indukovane bosentanom kod pacova. Međutim, nema dokaza da bosentan utiče na tir</w:t>
      </w:r>
      <w:r w:rsidR="002F0CD6" w:rsidRPr="00DE2CF7">
        <w:rPr>
          <w:szCs w:val="22"/>
          <w:lang w:val="sr-Latn-ME"/>
        </w:rPr>
        <w:t>e</w:t>
      </w:r>
      <w:r w:rsidRPr="00DE2CF7">
        <w:rPr>
          <w:szCs w:val="22"/>
          <w:lang w:val="sr-Latn-ME"/>
        </w:rPr>
        <w:t>oidnu funkciju (tiroksin, TSH) kod ljudi.</w:t>
      </w:r>
    </w:p>
    <w:p w14:paraId="01A14047" w14:textId="77777777" w:rsidR="00270438" w:rsidRPr="00DE2CF7" w:rsidRDefault="00270438" w:rsidP="00DE2CF7">
      <w:pPr>
        <w:rPr>
          <w:szCs w:val="22"/>
          <w:lang w:val="sr-Latn-ME"/>
        </w:rPr>
      </w:pPr>
    </w:p>
    <w:p w14:paraId="222B994B" w14:textId="77777777" w:rsidR="0090133B" w:rsidRPr="00DE2CF7" w:rsidRDefault="0090133B" w:rsidP="00DE2CF7">
      <w:pPr>
        <w:rPr>
          <w:szCs w:val="22"/>
          <w:lang w:val="sr-Latn-ME"/>
        </w:rPr>
      </w:pPr>
      <w:r w:rsidRPr="00DE2CF7">
        <w:rPr>
          <w:szCs w:val="22"/>
          <w:lang w:val="sr-Latn-ME"/>
        </w:rPr>
        <w:t xml:space="preserve">Dejstvo bosentana na mitohondrijalnu funkciju nije poznato. </w:t>
      </w:r>
    </w:p>
    <w:p w14:paraId="7DA4A03F" w14:textId="77777777" w:rsidR="00270438" w:rsidRPr="00DE2CF7" w:rsidRDefault="00270438" w:rsidP="00DE2CF7">
      <w:pPr>
        <w:rPr>
          <w:szCs w:val="22"/>
          <w:lang w:val="sr-Latn-ME"/>
        </w:rPr>
      </w:pPr>
    </w:p>
    <w:p w14:paraId="2FA4799A" w14:textId="77777777" w:rsidR="0090133B" w:rsidRPr="00DE2CF7" w:rsidRDefault="0090133B" w:rsidP="00DE2CF7">
      <w:pPr>
        <w:rPr>
          <w:szCs w:val="22"/>
          <w:lang w:val="sr-Latn-ME"/>
        </w:rPr>
      </w:pPr>
      <w:r w:rsidRPr="00DE2CF7">
        <w:rPr>
          <w:szCs w:val="22"/>
          <w:lang w:val="sr-Latn-ME"/>
        </w:rPr>
        <w:t>Pokazano je da je bosentan teratogen kod pacova pri plazma koncentracijama koje su 1</w:t>
      </w:r>
      <w:r w:rsidR="002F0CD6" w:rsidRPr="00DE2CF7">
        <w:rPr>
          <w:szCs w:val="22"/>
          <w:lang w:val="sr-Latn-ME"/>
        </w:rPr>
        <w:t>,</w:t>
      </w:r>
      <w:r w:rsidRPr="00DE2CF7">
        <w:rPr>
          <w:szCs w:val="22"/>
          <w:lang w:val="sr-Latn-ME"/>
        </w:rPr>
        <w:t>5 puta veće od koncentracije koja se postiže pri prim</w:t>
      </w:r>
      <w:r w:rsidR="006E200E" w:rsidRPr="00DE2CF7">
        <w:rPr>
          <w:szCs w:val="22"/>
          <w:lang w:val="sr-Latn-ME"/>
        </w:rPr>
        <w:t>j</w:t>
      </w:r>
      <w:r w:rsidRPr="00DE2CF7">
        <w:rPr>
          <w:szCs w:val="22"/>
          <w:lang w:val="sr-Latn-ME"/>
        </w:rPr>
        <w:t xml:space="preserve">eni terapijskih doza kod ljudi. Teratogeni efekti, uključujući malformacije </w:t>
      </w:r>
      <w:r w:rsidR="00802645" w:rsidRPr="00DE2CF7">
        <w:rPr>
          <w:szCs w:val="22"/>
          <w:lang w:val="sr-Latn-ME"/>
        </w:rPr>
        <w:t>g</w:t>
      </w:r>
      <w:r w:rsidRPr="00DE2CF7">
        <w:rPr>
          <w:szCs w:val="22"/>
          <w:lang w:val="sr-Latn-ME"/>
        </w:rPr>
        <w:t xml:space="preserve">lave i lica, kao i velikih krvnih sudova, bili </w:t>
      </w:r>
      <w:r w:rsidR="002F0CD6" w:rsidRPr="00DE2CF7">
        <w:rPr>
          <w:szCs w:val="22"/>
          <w:lang w:val="sr-Latn-ME"/>
        </w:rPr>
        <w:t xml:space="preserve">su </w:t>
      </w:r>
      <w:r w:rsidRPr="00DE2CF7">
        <w:rPr>
          <w:szCs w:val="22"/>
          <w:lang w:val="sr-Latn-ME"/>
        </w:rPr>
        <w:t>dozno-zavisni. Slične malformacije su uočene i za druge antagoniste ET receptora</w:t>
      </w:r>
      <w:r w:rsidR="002F0CD6" w:rsidRPr="00DE2CF7">
        <w:rPr>
          <w:szCs w:val="22"/>
          <w:lang w:val="sr-Latn-ME"/>
        </w:rPr>
        <w:t>,</w:t>
      </w:r>
      <w:r w:rsidRPr="00DE2CF7">
        <w:rPr>
          <w:szCs w:val="22"/>
          <w:lang w:val="sr-Latn-ME"/>
        </w:rPr>
        <w:t xml:space="preserve"> kao i na miševima bez ET</w:t>
      </w:r>
      <w:r w:rsidR="00F013DE" w:rsidRPr="00DE2CF7">
        <w:rPr>
          <w:szCs w:val="22"/>
          <w:lang w:val="sr-Latn-ME"/>
        </w:rPr>
        <w:t xml:space="preserve"> </w:t>
      </w:r>
      <w:r w:rsidRPr="00DE2CF7">
        <w:rPr>
          <w:szCs w:val="22"/>
          <w:lang w:val="sr-Latn-ME"/>
        </w:rPr>
        <w:t>receptora (</w:t>
      </w:r>
      <w:r w:rsidRPr="00DE2CF7">
        <w:rPr>
          <w:i/>
          <w:szCs w:val="22"/>
          <w:lang w:val="sr-Latn-ME"/>
        </w:rPr>
        <w:t>knock-out</w:t>
      </w:r>
      <w:r w:rsidRPr="00DE2CF7">
        <w:rPr>
          <w:szCs w:val="22"/>
          <w:lang w:val="sr-Latn-ME"/>
        </w:rPr>
        <w:t>), što ukazuje na klasni efekat. Odgovarajuće m</w:t>
      </w:r>
      <w:r w:rsidR="00802645" w:rsidRPr="00DE2CF7">
        <w:rPr>
          <w:szCs w:val="22"/>
          <w:lang w:val="sr-Latn-ME"/>
        </w:rPr>
        <w:t>j</w:t>
      </w:r>
      <w:r w:rsidRPr="00DE2CF7">
        <w:rPr>
          <w:szCs w:val="22"/>
          <w:lang w:val="sr-Latn-ME"/>
        </w:rPr>
        <w:t>ere opreza se moraju preduzeti kada su u pitanju žene u reproduktivnom periodu (</w:t>
      </w:r>
      <w:r w:rsidR="007453E0" w:rsidRPr="00DE2CF7">
        <w:rPr>
          <w:szCs w:val="22"/>
          <w:lang w:val="sr-Latn-ME"/>
        </w:rPr>
        <w:t>vidjeti</w:t>
      </w:r>
      <w:r w:rsidRPr="00DE2CF7">
        <w:rPr>
          <w:szCs w:val="22"/>
          <w:lang w:val="sr-Latn-ME"/>
        </w:rPr>
        <w:t xml:space="preserve"> od</w:t>
      </w:r>
      <w:r w:rsidR="002F0CD6" w:rsidRPr="00DE2CF7">
        <w:rPr>
          <w:szCs w:val="22"/>
          <w:lang w:val="sr-Latn-ME"/>
        </w:rPr>
        <w:t>j</w:t>
      </w:r>
      <w:r w:rsidRPr="00DE2CF7">
        <w:rPr>
          <w:szCs w:val="22"/>
          <w:lang w:val="sr-Latn-ME"/>
        </w:rPr>
        <w:t>eljke 4.3, 4.4 i 4.6).</w:t>
      </w:r>
    </w:p>
    <w:p w14:paraId="53D9C99C" w14:textId="77777777" w:rsidR="00270438" w:rsidRPr="00DE2CF7" w:rsidRDefault="00270438" w:rsidP="00DE2CF7">
      <w:pPr>
        <w:rPr>
          <w:szCs w:val="22"/>
          <w:lang w:val="sr-Latn-ME"/>
        </w:rPr>
      </w:pPr>
    </w:p>
    <w:p w14:paraId="65183625" w14:textId="77777777" w:rsidR="0090133B" w:rsidRPr="00DE2CF7" w:rsidRDefault="00981C56" w:rsidP="00DE2CF7">
      <w:pPr>
        <w:rPr>
          <w:szCs w:val="22"/>
          <w:lang w:val="sr-Latn-ME"/>
        </w:rPr>
      </w:pPr>
      <w:r w:rsidRPr="00DE2CF7">
        <w:rPr>
          <w:szCs w:val="22"/>
          <w:lang w:val="sr-Latn-ME"/>
        </w:rPr>
        <w:t>Kod glodara</w:t>
      </w:r>
      <w:r w:rsidR="00F013DE" w:rsidRPr="00DE2CF7">
        <w:rPr>
          <w:szCs w:val="22"/>
          <w:lang w:val="sr-Latn-ME"/>
        </w:rPr>
        <w:t>,</w:t>
      </w:r>
      <w:r w:rsidRPr="00DE2CF7">
        <w:rPr>
          <w:szCs w:val="22"/>
          <w:lang w:val="sr-Latn-ME"/>
        </w:rPr>
        <w:t xml:space="preserve"> </w:t>
      </w:r>
      <w:r w:rsidR="0090133B" w:rsidRPr="00DE2CF7">
        <w:rPr>
          <w:szCs w:val="22"/>
          <w:lang w:val="sr-Latn-ME"/>
        </w:rPr>
        <w:t>hroničn</w:t>
      </w:r>
      <w:r w:rsidRPr="00DE2CF7">
        <w:rPr>
          <w:szCs w:val="22"/>
          <w:lang w:val="sr-Latn-ME"/>
        </w:rPr>
        <w:t>a</w:t>
      </w:r>
      <w:r w:rsidR="0090133B" w:rsidRPr="00DE2CF7">
        <w:rPr>
          <w:szCs w:val="22"/>
          <w:lang w:val="sr-Latn-ME"/>
        </w:rPr>
        <w:t xml:space="preserve"> prim</w:t>
      </w:r>
      <w:r w:rsidR="006E200E" w:rsidRPr="00DE2CF7">
        <w:rPr>
          <w:szCs w:val="22"/>
          <w:lang w:val="sr-Latn-ME"/>
        </w:rPr>
        <w:t>j</w:t>
      </w:r>
      <w:r w:rsidR="0090133B" w:rsidRPr="00DE2CF7">
        <w:rPr>
          <w:szCs w:val="22"/>
          <w:lang w:val="sr-Latn-ME"/>
        </w:rPr>
        <w:t>en</w:t>
      </w:r>
      <w:r w:rsidRPr="00DE2CF7">
        <w:rPr>
          <w:szCs w:val="22"/>
          <w:lang w:val="sr-Latn-ME"/>
        </w:rPr>
        <w:t>a</w:t>
      </w:r>
      <w:r w:rsidR="0090133B" w:rsidRPr="00DE2CF7">
        <w:rPr>
          <w:szCs w:val="22"/>
          <w:lang w:val="sr-Latn-ME"/>
        </w:rPr>
        <w:t xml:space="preserve"> antagonista endotelinskih receptora</w:t>
      </w:r>
      <w:r w:rsidRPr="00DE2CF7">
        <w:rPr>
          <w:szCs w:val="22"/>
          <w:lang w:val="sr-Latn-ME"/>
        </w:rPr>
        <w:t xml:space="preserve"> je povezana</w:t>
      </w:r>
      <w:r w:rsidR="002F0CD6" w:rsidRPr="00DE2CF7">
        <w:rPr>
          <w:szCs w:val="22"/>
          <w:lang w:val="sr-Latn-ME"/>
        </w:rPr>
        <w:t xml:space="preserve"> </w:t>
      </w:r>
      <w:r w:rsidRPr="00DE2CF7">
        <w:rPr>
          <w:szCs w:val="22"/>
          <w:lang w:val="sr-Latn-ME"/>
        </w:rPr>
        <w:t>sa razvojem tubularne atrofije testisa i smanjenjem fertiliteta.</w:t>
      </w:r>
    </w:p>
    <w:p w14:paraId="6CE2066D" w14:textId="77777777" w:rsidR="00270438" w:rsidRPr="00DE2CF7" w:rsidRDefault="00270438" w:rsidP="00DE2CF7">
      <w:pPr>
        <w:rPr>
          <w:szCs w:val="22"/>
          <w:lang w:val="sr-Latn-ME"/>
        </w:rPr>
      </w:pPr>
    </w:p>
    <w:p w14:paraId="361D6D66" w14:textId="77777777" w:rsidR="00E236AF" w:rsidRPr="00DE2CF7" w:rsidRDefault="0090133B" w:rsidP="00DE2CF7">
      <w:pPr>
        <w:rPr>
          <w:szCs w:val="22"/>
          <w:lang w:val="sr-Latn-ME"/>
        </w:rPr>
      </w:pPr>
      <w:r w:rsidRPr="00DE2CF7">
        <w:rPr>
          <w:szCs w:val="22"/>
          <w:lang w:val="sr-Latn-ME"/>
        </w:rPr>
        <w:t>U studijama ispitivanja uticaja bosentana na fertilitet kod mužjaka i ženki pacova, nisu prim</w:t>
      </w:r>
      <w:r w:rsidR="002F0CD6" w:rsidRPr="00DE2CF7">
        <w:rPr>
          <w:szCs w:val="22"/>
          <w:lang w:val="sr-Latn-ME"/>
        </w:rPr>
        <w:t>i</w:t>
      </w:r>
      <w:r w:rsidR="006E200E" w:rsidRPr="00DE2CF7">
        <w:rPr>
          <w:szCs w:val="22"/>
          <w:lang w:val="sr-Latn-ME"/>
        </w:rPr>
        <w:t>j</w:t>
      </w:r>
      <w:r w:rsidRPr="00DE2CF7">
        <w:rPr>
          <w:szCs w:val="22"/>
          <w:lang w:val="sr-Latn-ME"/>
        </w:rPr>
        <w:t>ećeni uticaji na broj spermatozoida, njihovu pokretljivost i vijabilnost, ili na sposobnost oplođenja ili fertilitet pri izloženosti dozama koje su bile 21 odnosno 43 puta veće od očekivanih terapijskih nivoa kod ljudi; takođe nije bilo neželjenih dejstava na razvoj embriona</w:t>
      </w:r>
      <w:r w:rsidR="003E63C6" w:rsidRPr="00DE2CF7">
        <w:rPr>
          <w:szCs w:val="22"/>
          <w:lang w:val="sr-Latn-ME"/>
        </w:rPr>
        <w:t xml:space="preserve"> prije </w:t>
      </w:r>
      <w:r w:rsidRPr="00DE2CF7">
        <w:rPr>
          <w:szCs w:val="22"/>
          <w:lang w:val="sr-Latn-ME"/>
        </w:rPr>
        <w:t xml:space="preserve">implanatacije ili na samu implantaciju. </w:t>
      </w:r>
    </w:p>
    <w:p w14:paraId="21FAA7D1" w14:textId="77777777" w:rsidR="0090133B" w:rsidRPr="00DE2CF7" w:rsidRDefault="0090133B" w:rsidP="00DE2CF7">
      <w:pPr>
        <w:rPr>
          <w:szCs w:val="22"/>
          <w:lang w:val="sr-Latn-ME"/>
        </w:rPr>
      </w:pPr>
      <w:r w:rsidRPr="00DE2CF7">
        <w:rPr>
          <w:szCs w:val="22"/>
          <w:lang w:val="sr-Latn-ME"/>
        </w:rPr>
        <w:t>Blago povećanje incidencije tubularne atrofije testisa je prim</w:t>
      </w:r>
      <w:r w:rsidR="002F0CD6" w:rsidRPr="00DE2CF7">
        <w:rPr>
          <w:szCs w:val="22"/>
          <w:lang w:val="sr-Latn-ME"/>
        </w:rPr>
        <w:t>i</w:t>
      </w:r>
      <w:r w:rsidR="006E200E" w:rsidRPr="00DE2CF7">
        <w:rPr>
          <w:szCs w:val="22"/>
          <w:lang w:val="sr-Latn-ME"/>
        </w:rPr>
        <w:t>j</w:t>
      </w:r>
      <w:r w:rsidRPr="00DE2CF7">
        <w:rPr>
          <w:szCs w:val="22"/>
          <w:lang w:val="sr-Latn-ME"/>
        </w:rPr>
        <w:t xml:space="preserve">ećeno kod pacova koji su dobijali bosentan oralnim putem u dozama od 125 mg/kg/dan (što je oko 4 puta više od maksimalne preporučene doze za ljude [MRHD, engl. </w:t>
      </w:r>
      <w:r w:rsidRPr="00DE2CF7">
        <w:rPr>
          <w:i/>
          <w:szCs w:val="22"/>
          <w:lang w:val="sr-Latn-ME"/>
        </w:rPr>
        <w:t>maximum recommended human dose</w:t>
      </w:r>
      <w:r w:rsidRPr="00DE2CF7">
        <w:rPr>
          <w:szCs w:val="22"/>
          <w:lang w:val="sr-Latn-ME"/>
        </w:rPr>
        <w:t xml:space="preserve">] i ujedno najniža testirana doza) tokom </w:t>
      </w:r>
      <w:r w:rsidR="0036723C" w:rsidRPr="00DE2CF7">
        <w:rPr>
          <w:szCs w:val="22"/>
          <w:lang w:val="sr-Latn-ME"/>
        </w:rPr>
        <w:t>dvije</w:t>
      </w:r>
      <w:r w:rsidRPr="00DE2CF7">
        <w:rPr>
          <w:szCs w:val="22"/>
          <w:lang w:val="sr-Latn-ME"/>
        </w:rPr>
        <w:t xml:space="preserve"> godine</w:t>
      </w:r>
      <w:r w:rsidR="002F0CD6" w:rsidRPr="00DE2CF7">
        <w:rPr>
          <w:szCs w:val="22"/>
          <w:lang w:val="sr-Latn-ME"/>
        </w:rPr>
        <w:t>,</w:t>
      </w:r>
      <w:r w:rsidRPr="00DE2CF7">
        <w:rPr>
          <w:szCs w:val="22"/>
          <w:lang w:val="sr-Latn-ME"/>
        </w:rPr>
        <w:t xml:space="preserve"> ali ne i pri dozama do 1500 mg/kg/dan (što je oko 50 puta veće od MRHD) tokom 6 </w:t>
      </w:r>
      <w:r w:rsidR="003E63C6" w:rsidRPr="00DE2CF7">
        <w:rPr>
          <w:szCs w:val="22"/>
          <w:lang w:val="sr-Latn-ME"/>
        </w:rPr>
        <w:t>mjesec</w:t>
      </w:r>
      <w:r w:rsidRPr="00DE2CF7">
        <w:rPr>
          <w:szCs w:val="22"/>
          <w:lang w:val="sr-Latn-ME"/>
        </w:rPr>
        <w:t xml:space="preserve">i. Tokom studija </w:t>
      </w:r>
      <w:r w:rsidRPr="00DE2CF7">
        <w:rPr>
          <w:szCs w:val="22"/>
          <w:lang w:val="sr-Latn-ME"/>
        </w:rPr>
        <w:lastRenderedPageBreak/>
        <w:t xml:space="preserve">toksičnosti kod juvenilnih pacova, u kojoj su pacovi tretirani od 4. postpartalnog dana sve do odraslog doba, </w:t>
      </w:r>
      <w:r w:rsidR="002F0CD6" w:rsidRPr="00DE2CF7">
        <w:rPr>
          <w:szCs w:val="22"/>
          <w:lang w:val="sr-Latn-ME"/>
        </w:rPr>
        <w:t xml:space="preserve">zabilježena </w:t>
      </w:r>
      <w:r w:rsidRPr="00DE2CF7">
        <w:rPr>
          <w:szCs w:val="22"/>
          <w:lang w:val="sr-Latn-ME"/>
        </w:rPr>
        <w:t xml:space="preserve">su smanjenja apsolutne mase testisa i epididimisa i smanjen broj spermatozoida u epididimusu nakon odvikavanja. Doza bez štetnog efekta - NOAEL (engl. </w:t>
      </w:r>
      <w:r w:rsidRPr="00DE2CF7">
        <w:rPr>
          <w:i/>
          <w:szCs w:val="22"/>
          <w:lang w:val="sr-Latn-ME"/>
        </w:rPr>
        <w:t>No observed a</w:t>
      </w:r>
      <w:r w:rsidR="0036723C" w:rsidRPr="00DE2CF7">
        <w:rPr>
          <w:i/>
          <w:szCs w:val="22"/>
          <w:lang w:val="sr-Latn-ME"/>
        </w:rPr>
        <w:t>dve</w:t>
      </w:r>
      <w:r w:rsidRPr="00DE2CF7">
        <w:rPr>
          <w:i/>
          <w:szCs w:val="22"/>
          <w:lang w:val="sr-Latn-ME"/>
        </w:rPr>
        <w:t>rse effect level</w:t>
      </w:r>
      <w:r w:rsidRPr="00DE2CF7">
        <w:rPr>
          <w:szCs w:val="22"/>
          <w:lang w:val="sr-Latn-ME"/>
        </w:rPr>
        <w:t>) je bila 21 put (21. postpartalni dan) i 2</w:t>
      </w:r>
      <w:r w:rsidR="00F0612F" w:rsidRPr="00DE2CF7">
        <w:rPr>
          <w:szCs w:val="22"/>
          <w:lang w:val="sr-Latn-ME"/>
        </w:rPr>
        <w:t>,</w:t>
      </w:r>
      <w:r w:rsidRPr="00DE2CF7">
        <w:rPr>
          <w:szCs w:val="22"/>
          <w:lang w:val="sr-Latn-ME"/>
        </w:rPr>
        <w:t>3 puta (69. postpartalni dan) veća u odnosu na terapijsku izloženost kod ljudi.</w:t>
      </w:r>
    </w:p>
    <w:p w14:paraId="2804B486" w14:textId="77777777" w:rsidR="0090133B" w:rsidRPr="00DE2CF7" w:rsidRDefault="0090133B" w:rsidP="00DE2CF7">
      <w:pPr>
        <w:rPr>
          <w:szCs w:val="22"/>
          <w:lang w:val="sr-Latn-ME"/>
        </w:rPr>
      </w:pPr>
      <w:r w:rsidRPr="00DE2CF7">
        <w:rPr>
          <w:szCs w:val="22"/>
          <w:lang w:val="sr-Latn-ME"/>
        </w:rPr>
        <w:t>Međutim, nisu prim</w:t>
      </w:r>
      <w:r w:rsidR="00F013DE" w:rsidRPr="00DE2CF7">
        <w:rPr>
          <w:szCs w:val="22"/>
          <w:lang w:val="sr-Latn-ME"/>
        </w:rPr>
        <w:t>i</w:t>
      </w:r>
      <w:r w:rsidR="006E200E" w:rsidRPr="00DE2CF7">
        <w:rPr>
          <w:szCs w:val="22"/>
          <w:lang w:val="sr-Latn-ME"/>
        </w:rPr>
        <w:t>j</w:t>
      </w:r>
      <w:r w:rsidRPr="00DE2CF7">
        <w:rPr>
          <w:szCs w:val="22"/>
          <w:lang w:val="sr-Latn-ME"/>
        </w:rPr>
        <w:t>ećeni uticaji na opšti razvoj, rast, senzornu i kognitivnu funkciju, kao ni na reproduktivnu sposobnost pri izloženosti 7 puta (kod mužjaka) odnosno 19 puta (kod ženki) većoj od terapijske izloženosti kod ljudi na 21. postpartalni dan. U odraslom dobu (69. postpartalni dan) nisu prim</w:t>
      </w:r>
      <w:r w:rsidR="00F013DE" w:rsidRPr="00DE2CF7">
        <w:rPr>
          <w:szCs w:val="22"/>
          <w:lang w:val="sr-Latn-ME"/>
        </w:rPr>
        <w:t>i</w:t>
      </w:r>
      <w:r w:rsidR="006E200E" w:rsidRPr="00DE2CF7">
        <w:rPr>
          <w:szCs w:val="22"/>
          <w:lang w:val="sr-Latn-ME"/>
        </w:rPr>
        <w:t>j</w:t>
      </w:r>
      <w:r w:rsidRPr="00DE2CF7">
        <w:rPr>
          <w:szCs w:val="22"/>
          <w:lang w:val="sr-Latn-ME"/>
        </w:rPr>
        <w:t>ećeni uticaji bo</w:t>
      </w:r>
      <w:r w:rsidR="00802645" w:rsidRPr="00DE2CF7">
        <w:rPr>
          <w:szCs w:val="22"/>
          <w:lang w:val="sr-Latn-ME"/>
        </w:rPr>
        <w:t>sentana pri izloženosti 1</w:t>
      </w:r>
      <w:r w:rsidR="00F013DE" w:rsidRPr="00DE2CF7">
        <w:rPr>
          <w:szCs w:val="22"/>
          <w:lang w:val="sr-Latn-ME"/>
        </w:rPr>
        <w:t>,</w:t>
      </w:r>
      <w:r w:rsidRPr="00DE2CF7">
        <w:rPr>
          <w:szCs w:val="22"/>
          <w:lang w:val="sr-Latn-ME"/>
        </w:rPr>
        <w:t>3 puta (kod mužjaka) i 2</w:t>
      </w:r>
      <w:r w:rsidR="00F013DE" w:rsidRPr="00DE2CF7">
        <w:rPr>
          <w:szCs w:val="22"/>
          <w:lang w:val="sr-Latn-ME"/>
        </w:rPr>
        <w:t>,</w:t>
      </w:r>
      <w:r w:rsidRPr="00DE2CF7">
        <w:rPr>
          <w:szCs w:val="22"/>
          <w:lang w:val="sr-Latn-ME"/>
        </w:rPr>
        <w:t>6 put</w:t>
      </w:r>
      <w:r w:rsidR="00802645" w:rsidRPr="00DE2CF7">
        <w:rPr>
          <w:szCs w:val="22"/>
          <w:lang w:val="sr-Latn-ME"/>
        </w:rPr>
        <w:t>a (kod ženki) većoj od terapijsk</w:t>
      </w:r>
      <w:r w:rsidRPr="00DE2CF7">
        <w:rPr>
          <w:szCs w:val="22"/>
          <w:lang w:val="sr-Latn-ME"/>
        </w:rPr>
        <w:t>e izloženosti kod</w:t>
      </w:r>
      <w:r w:rsidR="00344619" w:rsidRPr="00DE2CF7">
        <w:rPr>
          <w:szCs w:val="22"/>
          <w:lang w:val="sr-Latn-ME"/>
        </w:rPr>
        <w:t xml:space="preserve"> djece </w:t>
      </w:r>
      <w:r w:rsidRPr="00DE2CF7">
        <w:rPr>
          <w:szCs w:val="22"/>
          <w:lang w:val="sr-Latn-ME"/>
        </w:rPr>
        <w:t xml:space="preserve">sa PAH. </w:t>
      </w:r>
    </w:p>
    <w:p w14:paraId="578E49FA" w14:textId="77777777" w:rsidR="00270438" w:rsidRPr="00DE2CF7" w:rsidRDefault="00270438" w:rsidP="00DE2CF7">
      <w:pPr>
        <w:rPr>
          <w:szCs w:val="22"/>
          <w:lang w:val="sr-Latn-ME"/>
        </w:rPr>
      </w:pPr>
    </w:p>
    <w:p w14:paraId="08B8D8BC" w14:textId="77777777" w:rsidR="00270438" w:rsidRPr="00DE2CF7" w:rsidRDefault="00270438" w:rsidP="00DE2CF7">
      <w:pPr>
        <w:rPr>
          <w:szCs w:val="22"/>
          <w:lang w:val="sr-Latn-ME"/>
        </w:rPr>
      </w:pPr>
    </w:p>
    <w:p w14:paraId="365F60C4" w14:textId="77777777" w:rsidR="0090133B" w:rsidRPr="00DE2CF7" w:rsidRDefault="0090133B" w:rsidP="00DE2CF7">
      <w:pPr>
        <w:rPr>
          <w:b/>
          <w:szCs w:val="22"/>
          <w:lang w:val="sr-Latn-ME"/>
        </w:rPr>
      </w:pPr>
      <w:r w:rsidRPr="00DE2CF7">
        <w:rPr>
          <w:b/>
          <w:szCs w:val="22"/>
          <w:lang w:val="sr-Latn-ME"/>
        </w:rPr>
        <w:t>6. FARMACEUTSKI PODACI</w:t>
      </w:r>
    </w:p>
    <w:p w14:paraId="04100916" w14:textId="77777777" w:rsidR="00AD78F7" w:rsidRPr="00DE2CF7" w:rsidRDefault="00AD78F7" w:rsidP="00DE2CF7">
      <w:pPr>
        <w:rPr>
          <w:b/>
          <w:szCs w:val="22"/>
          <w:lang w:val="sr-Latn-ME"/>
        </w:rPr>
      </w:pPr>
    </w:p>
    <w:p w14:paraId="76394836" w14:textId="77777777" w:rsidR="00E41470" w:rsidRPr="00DE2CF7" w:rsidRDefault="00E41470" w:rsidP="00DE2CF7">
      <w:pPr>
        <w:tabs>
          <w:tab w:val="clear" w:pos="284"/>
          <w:tab w:val="left" w:pos="540"/>
          <w:tab w:val="left" w:pos="569"/>
        </w:tabs>
        <w:jc w:val="left"/>
        <w:rPr>
          <w:b/>
          <w:bCs/>
          <w:szCs w:val="22"/>
          <w:lang w:val="sr-Latn-ME"/>
        </w:rPr>
      </w:pPr>
      <w:r w:rsidRPr="00DE2CF7">
        <w:rPr>
          <w:b/>
          <w:bCs/>
          <w:szCs w:val="22"/>
          <w:lang w:val="sr-Latn-ME"/>
        </w:rPr>
        <w:t xml:space="preserve">6.1. </w:t>
      </w:r>
      <w:r w:rsidRPr="00DE2CF7">
        <w:rPr>
          <w:b/>
          <w:bCs/>
          <w:szCs w:val="22"/>
          <w:lang w:val="sr-Latn-ME"/>
        </w:rPr>
        <w:tab/>
        <w:t>Lista pomoćnih supstanci (ekscipijenasa)</w:t>
      </w:r>
    </w:p>
    <w:p w14:paraId="0E943ACD" w14:textId="77777777" w:rsidR="00802645" w:rsidRPr="00DE2CF7" w:rsidRDefault="00802645" w:rsidP="00DE2CF7">
      <w:pPr>
        <w:tabs>
          <w:tab w:val="clear" w:pos="284"/>
          <w:tab w:val="left" w:pos="540"/>
          <w:tab w:val="left" w:pos="569"/>
        </w:tabs>
        <w:jc w:val="left"/>
        <w:rPr>
          <w:b/>
          <w:bCs/>
          <w:szCs w:val="22"/>
          <w:lang w:val="sr-Latn-ME"/>
        </w:rPr>
      </w:pPr>
    </w:p>
    <w:p w14:paraId="67A095A0" w14:textId="77777777" w:rsidR="0090133B" w:rsidRPr="00DE2CF7" w:rsidRDefault="0090133B" w:rsidP="00DE2CF7">
      <w:pPr>
        <w:rPr>
          <w:szCs w:val="22"/>
          <w:lang w:val="sr-Latn-ME"/>
        </w:rPr>
      </w:pPr>
      <w:r w:rsidRPr="00DE2CF7">
        <w:rPr>
          <w:szCs w:val="22"/>
          <w:u w:val="single"/>
          <w:lang w:val="sr-Latn-ME"/>
        </w:rPr>
        <w:t>Jezgro</w:t>
      </w:r>
      <w:r w:rsidR="00802645" w:rsidRPr="00DE2CF7">
        <w:rPr>
          <w:szCs w:val="22"/>
          <w:u w:val="single"/>
          <w:lang w:val="sr-Latn-ME"/>
        </w:rPr>
        <w:t xml:space="preserve"> tablete</w:t>
      </w:r>
      <w:r w:rsidRPr="00DE2CF7">
        <w:rPr>
          <w:szCs w:val="22"/>
          <w:lang w:val="sr-Latn-ME"/>
        </w:rPr>
        <w:t>:</w:t>
      </w:r>
    </w:p>
    <w:p w14:paraId="1698FC16" w14:textId="77777777" w:rsidR="0090133B" w:rsidRPr="00DE2CF7" w:rsidRDefault="00802645" w:rsidP="00DE2CF7">
      <w:pPr>
        <w:rPr>
          <w:szCs w:val="22"/>
          <w:lang w:val="sr-Latn-ME"/>
        </w:rPr>
      </w:pPr>
      <w:r w:rsidRPr="00DE2CF7">
        <w:rPr>
          <w:szCs w:val="22"/>
          <w:lang w:val="sr-Latn-ME"/>
        </w:rPr>
        <w:t>Kukuruzni skrob, preželatinizovan 1500</w:t>
      </w:r>
    </w:p>
    <w:p w14:paraId="060B8D1F" w14:textId="77777777" w:rsidR="0090133B" w:rsidRPr="00DE2CF7" w:rsidRDefault="0090133B" w:rsidP="00DE2CF7">
      <w:pPr>
        <w:rPr>
          <w:szCs w:val="22"/>
          <w:lang w:val="sr-Latn-ME"/>
        </w:rPr>
      </w:pPr>
      <w:r w:rsidRPr="00DE2CF7">
        <w:rPr>
          <w:szCs w:val="22"/>
          <w:lang w:val="sr-Latn-ME"/>
        </w:rPr>
        <w:t xml:space="preserve">Povidon </w:t>
      </w:r>
      <w:r w:rsidR="00802645" w:rsidRPr="00DE2CF7">
        <w:rPr>
          <w:szCs w:val="22"/>
          <w:lang w:val="sr-Latn-ME"/>
        </w:rPr>
        <w:t>(</w:t>
      </w:r>
      <w:r w:rsidR="00BA50D1" w:rsidRPr="00DE2CF7">
        <w:rPr>
          <w:szCs w:val="22"/>
          <w:lang w:val="sr-Latn-ME"/>
        </w:rPr>
        <w:t>E1201</w:t>
      </w:r>
      <w:r w:rsidR="00802645" w:rsidRPr="00DE2CF7">
        <w:rPr>
          <w:szCs w:val="22"/>
          <w:lang w:val="sr-Latn-ME"/>
        </w:rPr>
        <w:t>)</w:t>
      </w:r>
    </w:p>
    <w:p w14:paraId="0431896D" w14:textId="77777777" w:rsidR="0090133B" w:rsidRPr="00DE2CF7" w:rsidRDefault="00802645" w:rsidP="00DE2CF7">
      <w:pPr>
        <w:rPr>
          <w:szCs w:val="22"/>
          <w:lang w:val="sr-Latn-ME"/>
        </w:rPr>
      </w:pPr>
      <w:r w:rsidRPr="00DE2CF7">
        <w:rPr>
          <w:szCs w:val="22"/>
          <w:lang w:val="sr-Latn-ME"/>
        </w:rPr>
        <w:t xml:space="preserve">Natrijum </w:t>
      </w:r>
      <w:r w:rsidR="0090133B" w:rsidRPr="00DE2CF7">
        <w:rPr>
          <w:szCs w:val="22"/>
          <w:lang w:val="sr-Latn-ME"/>
        </w:rPr>
        <w:t>skrob</w:t>
      </w:r>
      <w:r w:rsidRPr="00DE2CF7">
        <w:rPr>
          <w:szCs w:val="22"/>
          <w:lang w:val="sr-Latn-ME"/>
        </w:rPr>
        <w:t xml:space="preserve"> </w:t>
      </w:r>
      <w:r w:rsidR="0090133B" w:rsidRPr="00DE2CF7">
        <w:rPr>
          <w:szCs w:val="22"/>
          <w:lang w:val="sr-Latn-ME"/>
        </w:rPr>
        <w:t xml:space="preserve">glikolat </w:t>
      </w:r>
    </w:p>
    <w:p w14:paraId="7B71BFAF" w14:textId="77777777" w:rsidR="0090133B" w:rsidRPr="00DE2CF7" w:rsidRDefault="00802645" w:rsidP="00DE2CF7">
      <w:pPr>
        <w:rPr>
          <w:szCs w:val="22"/>
          <w:lang w:val="sr-Latn-ME"/>
        </w:rPr>
      </w:pPr>
      <w:r w:rsidRPr="00DE2CF7">
        <w:rPr>
          <w:szCs w:val="22"/>
          <w:lang w:val="sr-Latn-ME"/>
        </w:rPr>
        <w:t xml:space="preserve">Magnezijum </w:t>
      </w:r>
      <w:r w:rsidR="0090133B" w:rsidRPr="00DE2CF7">
        <w:rPr>
          <w:szCs w:val="22"/>
          <w:lang w:val="sr-Latn-ME"/>
        </w:rPr>
        <w:t>stearat (E572)</w:t>
      </w:r>
    </w:p>
    <w:p w14:paraId="55D39967" w14:textId="77777777" w:rsidR="00BA50D1" w:rsidRPr="00DE2CF7" w:rsidRDefault="00BA50D1" w:rsidP="00DE2CF7">
      <w:pPr>
        <w:rPr>
          <w:szCs w:val="22"/>
          <w:lang w:val="sr-Latn-ME"/>
        </w:rPr>
      </w:pPr>
    </w:p>
    <w:p w14:paraId="31B0F5EF" w14:textId="77777777" w:rsidR="0090133B" w:rsidRPr="00DE2CF7" w:rsidRDefault="0090133B" w:rsidP="00DE2CF7">
      <w:pPr>
        <w:rPr>
          <w:szCs w:val="22"/>
          <w:u w:val="single"/>
          <w:lang w:val="sr-Latn-ME"/>
        </w:rPr>
      </w:pPr>
      <w:r w:rsidRPr="00DE2CF7">
        <w:rPr>
          <w:szCs w:val="22"/>
          <w:u w:val="single"/>
          <w:lang w:val="sr-Latn-ME"/>
        </w:rPr>
        <w:t xml:space="preserve">Film </w:t>
      </w:r>
      <w:r w:rsidR="00833368" w:rsidRPr="00DE2CF7">
        <w:rPr>
          <w:szCs w:val="22"/>
          <w:u w:val="single"/>
          <w:lang w:val="sr-Latn-ME"/>
        </w:rPr>
        <w:t>omotač</w:t>
      </w:r>
      <w:r w:rsidRPr="00DE2CF7">
        <w:rPr>
          <w:szCs w:val="22"/>
          <w:u w:val="single"/>
          <w:lang w:val="sr-Latn-ME"/>
        </w:rPr>
        <w:t>:</w:t>
      </w:r>
    </w:p>
    <w:p w14:paraId="6CD7B2C7" w14:textId="77777777" w:rsidR="0090133B" w:rsidRPr="00DE2CF7" w:rsidRDefault="001B52EF" w:rsidP="00DE2CF7">
      <w:pPr>
        <w:rPr>
          <w:szCs w:val="22"/>
          <w:lang w:val="sr-Latn-ME"/>
        </w:rPr>
      </w:pPr>
      <w:r w:rsidRPr="00DE2CF7">
        <w:rPr>
          <w:szCs w:val="22"/>
          <w:lang w:val="sr-Latn-ME"/>
        </w:rPr>
        <w:t xml:space="preserve">Hidroksipropil </w:t>
      </w:r>
      <w:r w:rsidR="00BA50D1" w:rsidRPr="00DE2CF7">
        <w:rPr>
          <w:szCs w:val="22"/>
          <w:lang w:val="sr-Latn-ME"/>
        </w:rPr>
        <w:t>metil</w:t>
      </w:r>
      <w:r w:rsidR="00833368" w:rsidRPr="00DE2CF7">
        <w:rPr>
          <w:szCs w:val="22"/>
          <w:lang w:val="sr-Latn-ME"/>
        </w:rPr>
        <w:t xml:space="preserve"> </w:t>
      </w:r>
      <w:r w:rsidR="00BA50D1" w:rsidRPr="00DE2CF7">
        <w:rPr>
          <w:szCs w:val="22"/>
          <w:lang w:val="sr-Latn-ME"/>
        </w:rPr>
        <w:t>celuloza</w:t>
      </w:r>
      <w:r w:rsidR="0090133B" w:rsidRPr="00DE2CF7">
        <w:rPr>
          <w:szCs w:val="22"/>
          <w:lang w:val="sr-Latn-ME"/>
        </w:rPr>
        <w:t xml:space="preserve"> (E464)</w:t>
      </w:r>
    </w:p>
    <w:p w14:paraId="29F27E25" w14:textId="77777777" w:rsidR="0090133B" w:rsidRPr="00DE2CF7" w:rsidRDefault="0090133B" w:rsidP="00DE2CF7">
      <w:pPr>
        <w:rPr>
          <w:szCs w:val="22"/>
          <w:lang w:val="sr-Latn-ME"/>
        </w:rPr>
      </w:pPr>
      <w:r w:rsidRPr="00DE2CF7">
        <w:rPr>
          <w:szCs w:val="22"/>
          <w:lang w:val="sr-Latn-ME"/>
        </w:rPr>
        <w:t>Titan</w:t>
      </w:r>
      <w:r w:rsidR="00802645" w:rsidRPr="00DE2CF7">
        <w:rPr>
          <w:szCs w:val="22"/>
          <w:lang w:val="sr-Latn-ME"/>
        </w:rPr>
        <w:t xml:space="preserve"> </w:t>
      </w:r>
      <w:r w:rsidRPr="00DE2CF7">
        <w:rPr>
          <w:szCs w:val="22"/>
          <w:lang w:val="sr-Latn-ME"/>
        </w:rPr>
        <w:t>dioksid (E171)</w:t>
      </w:r>
    </w:p>
    <w:p w14:paraId="56DE230A" w14:textId="77777777" w:rsidR="0090133B" w:rsidRPr="00DE2CF7" w:rsidRDefault="0090133B" w:rsidP="00DE2CF7">
      <w:pPr>
        <w:rPr>
          <w:szCs w:val="22"/>
          <w:lang w:val="sr-Latn-ME"/>
        </w:rPr>
      </w:pPr>
      <w:r w:rsidRPr="00DE2CF7">
        <w:rPr>
          <w:szCs w:val="22"/>
          <w:lang w:val="sr-Latn-ME"/>
        </w:rPr>
        <w:t>Gvožđe</w:t>
      </w:r>
      <w:r w:rsidR="00B53029" w:rsidRPr="00DE2CF7">
        <w:rPr>
          <w:szCs w:val="22"/>
          <w:lang w:val="sr-Latn-ME"/>
        </w:rPr>
        <w:t xml:space="preserve"> </w:t>
      </w:r>
      <w:r w:rsidRPr="00DE2CF7">
        <w:rPr>
          <w:szCs w:val="22"/>
          <w:lang w:val="sr-Latn-ME"/>
        </w:rPr>
        <w:t>oksid, žuti (E172)</w:t>
      </w:r>
    </w:p>
    <w:p w14:paraId="22F3090E" w14:textId="77777777" w:rsidR="0090133B" w:rsidRPr="00DE2CF7" w:rsidRDefault="0090133B" w:rsidP="00DE2CF7">
      <w:pPr>
        <w:rPr>
          <w:szCs w:val="22"/>
          <w:lang w:val="sr-Latn-ME"/>
        </w:rPr>
      </w:pPr>
      <w:r w:rsidRPr="00DE2CF7">
        <w:rPr>
          <w:szCs w:val="22"/>
          <w:lang w:val="sr-Latn-ME"/>
        </w:rPr>
        <w:t>Gvožđe</w:t>
      </w:r>
      <w:r w:rsidR="00802645" w:rsidRPr="00DE2CF7">
        <w:rPr>
          <w:szCs w:val="22"/>
          <w:lang w:val="sr-Latn-ME"/>
        </w:rPr>
        <w:t xml:space="preserve"> </w:t>
      </w:r>
      <w:r w:rsidRPr="00DE2CF7">
        <w:rPr>
          <w:szCs w:val="22"/>
          <w:lang w:val="sr-Latn-ME"/>
        </w:rPr>
        <w:t>oksid, crveni (E172)</w:t>
      </w:r>
    </w:p>
    <w:p w14:paraId="60AF306E" w14:textId="77777777" w:rsidR="0090133B" w:rsidRPr="00DE2CF7" w:rsidRDefault="0090133B" w:rsidP="00DE2CF7">
      <w:pPr>
        <w:rPr>
          <w:szCs w:val="22"/>
          <w:lang w:val="sr-Latn-ME"/>
        </w:rPr>
      </w:pPr>
      <w:r w:rsidRPr="00DE2CF7">
        <w:rPr>
          <w:szCs w:val="22"/>
          <w:lang w:val="sr-Latn-ME"/>
        </w:rPr>
        <w:t>Triacetin (E1518)</w:t>
      </w:r>
    </w:p>
    <w:p w14:paraId="3BE1DDB4" w14:textId="77777777" w:rsidR="00AD78F7" w:rsidRPr="00DE2CF7" w:rsidRDefault="00AD78F7" w:rsidP="00DE2CF7">
      <w:pPr>
        <w:rPr>
          <w:szCs w:val="22"/>
          <w:lang w:val="sr-Latn-ME"/>
        </w:rPr>
      </w:pPr>
    </w:p>
    <w:p w14:paraId="630311E3" w14:textId="77777777" w:rsidR="0090133B" w:rsidRPr="00DE2CF7" w:rsidRDefault="0090133B" w:rsidP="00DE2CF7">
      <w:pPr>
        <w:rPr>
          <w:b/>
          <w:szCs w:val="22"/>
          <w:lang w:val="sr-Latn-ME"/>
        </w:rPr>
      </w:pPr>
      <w:r w:rsidRPr="00DE2CF7">
        <w:rPr>
          <w:b/>
          <w:szCs w:val="22"/>
          <w:lang w:val="sr-Latn-ME"/>
        </w:rPr>
        <w:t>6.2. Inkompatibilnost</w:t>
      </w:r>
      <w:r w:rsidR="00A83778" w:rsidRPr="00DE2CF7">
        <w:rPr>
          <w:b/>
          <w:szCs w:val="22"/>
          <w:lang w:val="sr-Latn-ME"/>
        </w:rPr>
        <w:t>i</w:t>
      </w:r>
    </w:p>
    <w:p w14:paraId="07D226F5" w14:textId="77777777" w:rsidR="00833368" w:rsidRPr="00DE2CF7" w:rsidRDefault="00833368" w:rsidP="00DE2CF7">
      <w:pPr>
        <w:rPr>
          <w:szCs w:val="22"/>
          <w:lang w:val="sr-Latn-ME"/>
        </w:rPr>
      </w:pPr>
    </w:p>
    <w:p w14:paraId="242D314A" w14:textId="77777777" w:rsidR="0090133B" w:rsidRPr="00DE2CF7" w:rsidRDefault="0090133B" w:rsidP="00DE2CF7">
      <w:pPr>
        <w:rPr>
          <w:szCs w:val="22"/>
          <w:lang w:val="sr-Latn-ME"/>
        </w:rPr>
      </w:pPr>
      <w:r w:rsidRPr="00DE2CF7">
        <w:rPr>
          <w:szCs w:val="22"/>
          <w:lang w:val="sr-Latn-ME"/>
        </w:rPr>
        <w:t>Nije prim</w:t>
      </w:r>
      <w:r w:rsidR="006E200E" w:rsidRPr="00DE2CF7">
        <w:rPr>
          <w:szCs w:val="22"/>
          <w:lang w:val="sr-Latn-ME"/>
        </w:rPr>
        <w:t>j</w:t>
      </w:r>
      <w:r w:rsidRPr="00DE2CF7">
        <w:rPr>
          <w:szCs w:val="22"/>
          <w:lang w:val="sr-Latn-ME"/>
        </w:rPr>
        <w:t>enljivo.</w:t>
      </w:r>
    </w:p>
    <w:p w14:paraId="74C8A4C5" w14:textId="77777777" w:rsidR="0090133B" w:rsidRPr="00DE2CF7" w:rsidRDefault="0090133B" w:rsidP="00DE2CF7">
      <w:pPr>
        <w:rPr>
          <w:szCs w:val="22"/>
          <w:lang w:val="sr-Latn-ME"/>
        </w:rPr>
      </w:pPr>
    </w:p>
    <w:p w14:paraId="5065FEF2" w14:textId="77777777" w:rsidR="0090133B" w:rsidRPr="00DE2CF7" w:rsidRDefault="0090133B" w:rsidP="00DE2CF7">
      <w:pPr>
        <w:rPr>
          <w:b/>
          <w:szCs w:val="22"/>
          <w:lang w:val="sr-Latn-ME"/>
        </w:rPr>
      </w:pPr>
      <w:r w:rsidRPr="00DE2CF7">
        <w:rPr>
          <w:b/>
          <w:szCs w:val="22"/>
          <w:lang w:val="sr-Latn-ME"/>
        </w:rPr>
        <w:t>6.3. Rok upotrebe</w:t>
      </w:r>
    </w:p>
    <w:p w14:paraId="73F25A9C" w14:textId="77777777" w:rsidR="00833368" w:rsidRPr="00DE2CF7" w:rsidRDefault="00833368" w:rsidP="00DE2CF7">
      <w:pPr>
        <w:rPr>
          <w:szCs w:val="22"/>
          <w:lang w:val="sr-Latn-ME"/>
        </w:rPr>
      </w:pPr>
    </w:p>
    <w:p w14:paraId="338B0490" w14:textId="169820E7" w:rsidR="00AD78F7" w:rsidRPr="00DE2CF7" w:rsidRDefault="00AD78F7" w:rsidP="00DE2CF7">
      <w:pPr>
        <w:rPr>
          <w:szCs w:val="22"/>
          <w:lang w:val="sr-Latn-ME"/>
        </w:rPr>
      </w:pPr>
      <w:r w:rsidRPr="00DE2CF7">
        <w:rPr>
          <w:szCs w:val="22"/>
          <w:lang w:val="sr-Latn-ME"/>
        </w:rPr>
        <w:t xml:space="preserve">36 </w:t>
      </w:r>
      <w:r w:rsidR="003E63C6" w:rsidRPr="00DE2CF7">
        <w:rPr>
          <w:szCs w:val="22"/>
          <w:lang w:val="sr-Latn-ME"/>
        </w:rPr>
        <w:t>mjesec</w:t>
      </w:r>
      <w:r w:rsidRPr="00DE2CF7">
        <w:rPr>
          <w:szCs w:val="22"/>
          <w:lang w:val="sr-Latn-ME"/>
        </w:rPr>
        <w:t>i</w:t>
      </w:r>
      <w:r w:rsidR="00CA5164">
        <w:rPr>
          <w:szCs w:val="22"/>
          <w:lang w:val="sr-Latn-ME"/>
        </w:rPr>
        <w:t>.</w:t>
      </w:r>
    </w:p>
    <w:p w14:paraId="773AE5BF" w14:textId="77777777" w:rsidR="009D738B" w:rsidRPr="00DE2CF7" w:rsidRDefault="009D738B" w:rsidP="00DE2CF7">
      <w:pPr>
        <w:rPr>
          <w:szCs w:val="22"/>
          <w:lang w:val="sr-Latn-ME"/>
        </w:rPr>
      </w:pPr>
    </w:p>
    <w:p w14:paraId="298CBDA2" w14:textId="77777777" w:rsidR="00A83778" w:rsidRPr="00DE2CF7" w:rsidRDefault="00A83778" w:rsidP="00DE2CF7">
      <w:pPr>
        <w:tabs>
          <w:tab w:val="clear" w:pos="284"/>
          <w:tab w:val="left" w:pos="540"/>
          <w:tab w:val="left" w:pos="569"/>
        </w:tabs>
        <w:jc w:val="left"/>
        <w:rPr>
          <w:b/>
          <w:bCs/>
          <w:szCs w:val="22"/>
          <w:lang w:val="sr-Latn-ME"/>
        </w:rPr>
      </w:pPr>
      <w:r w:rsidRPr="00DE2CF7">
        <w:rPr>
          <w:b/>
          <w:bCs/>
          <w:szCs w:val="22"/>
          <w:lang w:val="sr-Latn-ME"/>
        </w:rPr>
        <w:t xml:space="preserve">6.4. </w:t>
      </w:r>
      <w:r w:rsidRPr="00DE2CF7">
        <w:rPr>
          <w:b/>
          <w:bCs/>
          <w:szCs w:val="22"/>
          <w:lang w:val="sr-Latn-ME"/>
        </w:rPr>
        <w:tab/>
        <w:t>Posebne mjere upozorenja pri čuvanju lijeka</w:t>
      </w:r>
    </w:p>
    <w:p w14:paraId="1753C366" w14:textId="77777777" w:rsidR="00833368" w:rsidRPr="00DE2CF7" w:rsidRDefault="00833368" w:rsidP="00DE2CF7">
      <w:pPr>
        <w:rPr>
          <w:szCs w:val="22"/>
          <w:lang w:val="sr-Latn-ME"/>
        </w:rPr>
      </w:pPr>
    </w:p>
    <w:p w14:paraId="037BE7D7" w14:textId="77777777" w:rsidR="0090133B" w:rsidRPr="00DE2CF7" w:rsidRDefault="00823F72" w:rsidP="00DE2CF7">
      <w:pPr>
        <w:rPr>
          <w:szCs w:val="22"/>
          <w:lang w:val="sr-Latn-ME"/>
        </w:rPr>
      </w:pPr>
      <w:r w:rsidRPr="00DE2CF7">
        <w:rPr>
          <w:szCs w:val="22"/>
          <w:lang w:val="sr-Latn-ME"/>
        </w:rPr>
        <w:t>Lijek</w:t>
      </w:r>
      <w:r w:rsidR="0090133B" w:rsidRPr="00DE2CF7">
        <w:rPr>
          <w:szCs w:val="22"/>
          <w:lang w:val="sr-Latn-ME"/>
        </w:rPr>
        <w:t xml:space="preserve"> ne zaht</w:t>
      </w:r>
      <w:r w:rsidR="00833368" w:rsidRPr="00DE2CF7">
        <w:rPr>
          <w:szCs w:val="22"/>
          <w:lang w:val="sr-Latn-ME"/>
        </w:rPr>
        <w:t>i</w:t>
      </w:r>
      <w:r w:rsidR="009D738B" w:rsidRPr="00DE2CF7">
        <w:rPr>
          <w:szCs w:val="22"/>
          <w:lang w:val="sr-Latn-ME"/>
        </w:rPr>
        <w:t>j</w:t>
      </w:r>
      <w:r w:rsidR="0090133B" w:rsidRPr="00DE2CF7">
        <w:rPr>
          <w:szCs w:val="22"/>
          <w:lang w:val="sr-Latn-ME"/>
        </w:rPr>
        <w:t>eva posebne uslove čuvanja.</w:t>
      </w:r>
    </w:p>
    <w:p w14:paraId="4379D708" w14:textId="77777777" w:rsidR="00AD78F7" w:rsidRPr="00DE2CF7" w:rsidRDefault="00AD78F7" w:rsidP="00DE2CF7">
      <w:pPr>
        <w:rPr>
          <w:szCs w:val="22"/>
          <w:lang w:val="sr-Latn-ME"/>
        </w:rPr>
      </w:pPr>
    </w:p>
    <w:p w14:paraId="343B2307" w14:textId="77777777" w:rsidR="00A83778" w:rsidRPr="00DE2CF7" w:rsidRDefault="00A83778" w:rsidP="00DE2CF7">
      <w:pPr>
        <w:tabs>
          <w:tab w:val="clear" w:pos="284"/>
          <w:tab w:val="left" w:pos="540"/>
          <w:tab w:val="left" w:pos="569"/>
        </w:tabs>
        <w:jc w:val="left"/>
        <w:rPr>
          <w:b/>
          <w:bCs/>
          <w:szCs w:val="22"/>
          <w:lang w:val="sr-Latn-ME"/>
        </w:rPr>
      </w:pPr>
      <w:r w:rsidRPr="00DE2CF7">
        <w:rPr>
          <w:b/>
          <w:bCs/>
          <w:szCs w:val="22"/>
          <w:lang w:val="sr-Latn-ME"/>
        </w:rPr>
        <w:t xml:space="preserve">6.5. </w:t>
      </w:r>
      <w:r w:rsidRPr="00DE2CF7">
        <w:rPr>
          <w:b/>
          <w:bCs/>
          <w:szCs w:val="22"/>
          <w:lang w:val="sr-Latn-ME"/>
        </w:rPr>
        <w:tab/>
        <w:t xml:space="preserve">Vrsta i sadržaj pakovanja </w:t>
      </w:r>
    </w:p>
    <w:p w14:paraId="5BBB8434" w14:textId="77777777" w:rsidR="00833368" w:rsidRPr="00DE2CF7" w:rsidRDefault="00833368" w:rsidP="00DE2CF7">
      <w:pPr>
        <w:rPr>
          <w:szCs w:val="22"/>
          <w:lang w:val="sr-Latn-ME"/>
        </w:rPr>
      </w:pPr>
    </w:p>
    <w:p w14:paraId="43CBB5BA" w14:textId="6112EDB5" w:rsidR="0090133B" w:rsidRPr="00DE2CF7" w:rsidRDefault="0090133B" w:rsidP="00DE2CF7">
      <w:pPr>
        <w:rPr>
          <w:szCs w:val="22"/>
          <w:lang w:val="sr-Latn-ME"/>
        </w:rPr>
      </w:pPr>
      <w:r w:rsidRPr="00DE2CF7">
        <w:rPr>
          <w:szCs w:val="22"/>
          <w:lang w:val="sr-Latn-ME"/>
        </w:rPr>
        <w:t xml:space="preserve">Unutrašnje pakovanje </w:t>
      </w:r>
      <w:r w:rsidR="00CA5164">
        <w:rPr>
          <w:szCs w:val="22"/>
          <w:lang w:val="sr-Latn-ME"/>
        </w:rPr>
        <w:t>je</w:t>
      </w:r>
      <w:r w:rsidRPr="00DE2CF7">
        <w:rPr>
          <w:szCs w:val="22"/>
          <w:lang w:val="sr-Latn-ME"/>
        </w:rPr>
        <w:t xml:space="preserve"> PVC/PCTFE/alum</w:t>
      </w:r>
      <w:r w:rsidR="005938DE" w:rsidRPr="00DE2CF7">
        <w:rPr>
          <w:szCs w:val="22"/>
          <w:lang w:val="sr-Latn-ME"/>
        </w:rPr>
        <w:t>inijumski</w:t>
      </w:r>
      <w:r w:rsidR="00CA5164">
        <w:rPr>
          <w:szCs w:val="22"/>
          <w:lang w:val="sr-Latn-ME"/>
        </w:rPr>
        <w:t xml:space="preserve"> perforirani</w:t>
      </w:r>
      <w:r w:rsidR="005938DE" w:rsidRPr="00DE2CF7">
        <w:rPr>
          <w:szCs w:val="22"/>
          <w:lang w:val="sr-Latn-ME"/>
        </w:rPr>
        <w:t xml:space="preserve"> blister</w:t>
      </w:r>
      <w:r w:rsidR="00CA5164">
        <w:rPr>
          <w:szCs w:val="22"/>
          <w:lang w:val="sr-Latn-ME"/>
        </w:rPr>
        <w:t xml:space="preserve"> djeljiv na pojedinačne doze. Jedan blister sadrži 14 film tableta.</w:t>
      </w:r>
    </w:p>
    <w:p w14:paraId="79077D8E" w14:textId="74FC00E4" w:rsidR="0090133B" w:rsidRPr="00DE2CF7" w:rsidRDefault="0090133B" w:rsidP="00DE2CF7">
      <w:pPr>
        <w:rPr>
          <w:szCs w:val="22"/>
          <w:lang w:val="sr-Latn-ME"/>
        </w:rPr>
      </w:pPr>
      <w:r w:rsidRPr="00DE2CF7">
        <w:rPr>
          <w:szCs w:val="22"/>
          <w:lang w:val="sr-Latn-ME"/>
        </w:rPr>
        <w:t>Spoljašnje pakovanje je složiva kartonska kutija</w:t>
      </w:r>
      <w:r w:rsidR="00CA5164">
        <w:rPr>
          <w:szCs w:val="22"/>
          <w:lang w:val="sr-Latn-ME"/>
        </w:rPr>
        <w:t xml:space="preserve"> koja sadrži 4 blistera djeljiva na pojedinačne doze sa po 14 film tableta (ukupno 56 film tableta) i Uputstvo za lijek</w:t>
      </w:r>
      <w:r w:rsidR="005938DE" w:rsidRPr="00DE2CF7">
        <w:rPr>
          <w:szCs w:val="22"/>
          <w:lang w:val="sr-Latn-ME"/>
        </w:rPr>
        <w:t>.</w:t>
      </w:r>
    </w:p>
    <w:p w14:paraId="2F689A63" w14:textId="77777777" w:rsidR="00AD78F7" w:rsidRPr="00DE2CF7" w:rsidRDefault="00AD78F7" w:rsidP="00DE2CF7">
      <w:pPr>
        <w:rPr>
          <w:szCs w:val="22"/>
          <w:lang w:val="sr-Latn-ME"/>
        </w:rPr>
      </w:pPr>
    </w:p>
    <w:p w14:paraId="5AF78DB9" w14:textId="77777777" w:rsidR="00A83778" w:rsidRPr="00DE2CF7" w:rsidRDefault="00A83778" w:rsidP="00DE2CF7">
      <w:pPr>
        <w:tabs>
          <w:tab w:val="clear" w:pos="284"/>
          <w:tab w:val="left" w:pos="540"/>
          <w:tab w:val="left" w:pos="569"/>
        </w:tabs>
        <w:jc w:val="left"/>
        <w:rPr>
          <w:b/>
          <w:bCs/>
          <w:szCs w:val="22"/>
          <w:lang w:val="sr-Latn-ME"/>
        </w:rPr>
      </w:pPr>
      <w:r w:rsidRPr="00DE2CF7">
        <w:rPr>
          <w:b/>
          <w:bCs/>
          <w:szCs w:val="22"/>
          <w:lang w:val="sr-Latn-ME"/>
        </w:rPr>
        <w:t xml:space="preserve">6.6. </w:t>
      </w:r>
      <w:r w:rsidRPr="00DE2CF7">
        <w:rPr>
          <w:b/>
          <w:bCs/>
          <w:szCs w:val="22"/>
          <w:lang w:val="sr-Latn-ME"/>
        </w:rPr>
        <w:tab/>
      </w:r>
      <w:r w:rsidRPr="00DE2CF7">
        <w:rPr>
          <w:b/>
          <w:bCs/>
          <w:color w:val="000000"/>
          <w:szCs w:val="22"/>
          <w:lang w:val="sr-Latn-ME"/>
        </w:rPr>
        <w:t>Posebne mjere opreza pri odlaganju materijala koji treba odbaciti nakon primjene lijeka</w:t>
      </w:r>
      <w:r w:rsidRPr="00DE2CF7">
        <w:rPr>
          <w:b/>
          <w:bCs/>
          <w:szCs w:val="22"/>
          <w:lang w:val="sr-Latn-ME"/>
        </w:rPr>
        <w:t xml:space="preserve"> (i druga uputs</w:t>
      </w:r>
      <w:r w:rsidR="00833368" w:rsidRPr="00DE2CF7">
        <w:rPr>
          <w:b/>
          <w:bCs/>
          <w:szCs w:val="22"/>
          <w:lang w:val="sr-Latn-ME"/>
        </w:rPr>
        <w:t>t</w:t>
      </w:r>
      <w:r w:rsidRPr="00DE2CF7">
        <w:rPr>
          <w:b/>
          <w:bCs/>
          <w:szCs w:val="22"/>
          <w:lang w:val="sr-Latn-ME"/>
        </w:rPr>
        <w:t xml:space="preserve">va za rukovanje lijekom) </w:t>
      </w:r>
    </w:p>
    <w:p w14:paraId="6604D02A" w14:textId="77777777" w:rsidR="00833368" w:rsidRPr="00DE2CF7" w:rsidRDefault="00833368" w:rsidP="00DE2CF7">
      <w:pPr>
        <w:rPr>
          <w:szCs w:val="22"/>
          <w:lang w:val="sr-Latn-ME"/>
        </w:rPr>
      </w:pPr>
    </w:p>
    <w:p w14:paraId="61B2D2EB" w14:textId="77777777" w:rsidR="0090133B" w:rsidRPr="00DE2CF7" w:rsidRDefault="0090133B" w:rsidP="00DE2CF7">
      <w:pPr>
        <w:rPr>
          <w:szCs w:val="22"/>
          <w:lang w:val="sr-Latn-ME"/>
        </w:rPr>
      </w:pPr>
      <w:r w:rsidRPr="00DE2CF7">
        <w:rPr>
          <w:szCs w:val="22"/>
          <w:lang w:val="sr-Latn-ME"/>
        </w:rPr>
        <w:t>Svu neiskorišćenu količinu</w:t>
      </w:r>
      <w:r w:rsidR="001165AF" w:rsidRPr="00DE2CF7">
        <w:rPr>
          <w:szCs w:val="22"/>
          <w:lang w:val="sr-Latn-ME"/>
        </w:rPr>
        <w:t xml:space="preserve"> lijeka </w:t>
      </w:r>
      <w:r w:rsidRPr="00DE2CF7">
        <w:rPr>
          <w:szCs w:val="22"/>
          <w:lang w:val="sr-Latn-ME"/>
        </w:rPr>
        <w:t>i otpadnog materijala treba ukloniti u skladu sa važećim propisima.</w:t>
      </w:r>
    </w:p>
    <w:p w14:paraId="24525E49" w14:textId="77777777" w:rsidR="00AD78F7" w:rsidRPr="00DE2CF7" w:rsidRDefault="00AD78F7" w:rsidP="00DE2CF7">
      <w:pPr>
        <w:rPr>
          <w:szCs w:val="22"/>
          <w:lang w:val="sr-Latn-ME"/>
        </w:rPr>
      </w:pPr>
    </w:p>
    <w:p w14:paraId="06F7D2FE" w14:textId="77777777" w:rsidR="00833368" w:rsidRPr="00DE2CF7" w:rsidRDefault="00833368" w:rsidP="00DE2CF7">
      <w:pPr>
        <w:rPr>
          <w:b/>
          <w:szCs w:val="22"/>
          <w:lang w:val="sr-Latn-ME"/>
        </w:rPr>
      </w:pPr>
    </w:p>
    <w:p w14:paraId="6C65FDC9" w14:textId="77777777" w:rsidR="0090133B" w:rsidRPr="00DE2CF7" w:rsidRDefault="0090133B" w:rsidP="00DE2CF7">
      <w:pPr>
        <w:rPr>
          <w:b/>
          <w:szCs w:val="22"/>
          <w:lang w:val="sr-Latn-ME"/>
        </w:rPr>
      </w:pPr>
      <w:r w:rsidRPr="00DE2CF7">
        <w:rPr>
          <w:b/>
          <w:szCs w:val="22"/>
          <w:lang w:val="sr-Latn-ME"/>
        </w:rPr>
        <w:t xml:space="preserve">7. NOSILAC DOZVOLE </w:t>
      </w:r>
    </w:p>
    <w:p w14:paraId="1FC60BF8" w14:textId="77777777" w:rsidR="00833368" w:rsidRPr="00DE2CF7" w:rsidRDefault="00833368" w:rsidP="00DE2CF7">
      <w:pPr>
        <w:rPr>
          <w:szCs w:val="22"/>
          <w:lang w:val="sr-Latn-ME"/>
        </w:rPr>
      </w:pPr>
    </w:p>
    <w:p w14:paraId="0BC5FDFE" w14:textId="77777777" w:rsidR="00270438" w:rsidRPr="00DE2CF7" w:rsidRDefault="00B53029" w:rsidP="00DE2CF7">
      <w:pPr>
        <w:rPr>
          <w:szCs w:val="22"/>
          <w:lang w:val="sr-Latn-ME"/>
        </w:rPr>
      </w:pPr>
      <w:r w:rsidRPr="00DE2CF7">
        <w:rPr>
          <w:szCs w:val="22"/>
          <w:lang w:val="sr-Latn-ME"/>
        </w:rPr>
        <w:t>Evropa Lek Pharma d.o.o. Podgorica</w:t>
      </w:r>
    </w:p>
    <w:p w14:paraId="45ADA508" w14:textId="77777777" w:rsidR="0090133B" w:rsidRPr="00DE2CF7" w:rsidRDefault="00D95205" w:rsidP="00DE2CF7">
      <w:pPr>
        <w:rPr>
          <w:szCs w:val="22"/>
          <w:lang w:val="sr-Latn-ME"/>
        </w:rPr>
      </w:pPr>
      <w:r w:rsidRPr="00DE2CF7">
        <w:rPr>
          <w:szCs w:val="22"/>
          <w:lang w:val="sr-Latn-ME"/>
        </w:rPr>
        <w:t>Kritskog odreda 4/1, 81000 Podgorica, Crna Gora</w:t>
      </w:r>
    </w:p>
    <w:p w14:paraId="70135676" w14:textId="77777777" w:rsidR="00D95205" w:rsidRPr="00DE2CF7" w:rsidRDefault="00D95205" w:rsidP="00DE2CF7">
      <w:pPr>
        <w:tabs>
          <w:tab w:val="clear" w:pos="284"/>
          <w:tab w:val="left" w:pos="540"/>
          <w:tab w:val="left" w:pos="569"/>
        </w:tabs>
        <w:jc w:val="left"/>
        <w:rPr>
          <w:b/>
          <w:bCs/>
          <w:szCs w:val="22"/>
          <w:lang w:val="sr-Latn-ME"/>
        </w:rPr>
      </w:pPr>
      <w:r w:rsidRPr="00DE2CF7">
        <w:rPr>
          <w:b/>
          <w:bCs/>
          <w:szCs w:val="22"/>
          <w:lang w:val="sr-Latn-ME"/>
        </w:rPr>
        <w:lastRenderedPageBreak/>
        <w:t xml:space="preserve">8. </w:t>
      </w:r>
      <w:r w:rsidRPr="00DE2CF7">
        <w:rPr>
          <w:b/>
          <w:bCs/>
          <w:szCs w:val="22"/>
          <w:lang w:val="sr-Latn-ME"/>
        </w:rPr>
        <w:tab/>
        <w:t>BROJ DOZVOLE ZA STAVLJANJE LIJEKA U PROMET</w:t>
      </w:r>
    </w:p>
    <w:p w14:paraId="30E8F071" w14:textId="77777777" w:rsidR="00833368" w:rsidRPr="00DE2CF7" w:rsidRDefault="00833368" w:rsidP="00DE2CF7">
      <w:pPr>
        <w:rPr>
          <w:szCs w:val="22"/>
          <w:lang w:val="sr-Latn-ME"/>
        </w:rPr>
      </w:pPr>
    </w:p>
    <w:p w14:paraId="735CF763" w14:textId="77777777" w:rsidR="00833368" w:rsidRPr="00DE2CF7" w:rsidRDefault="00833368" w:rsidP="00DE2CF7">
      <w:pPr>
        <w:rPr>
          <w:szCs w:val="22"/>
          <w:lang w:val="sr-Latn-ME"/>
        </w:rPr>
      </w:pPr>
      <w:r w:rsidRPr="00DE2CF7">
        <w:rPr>
          <w:szCs w:val="22"/>
          <w:lang w:val="sr-Latn-ME"/>
        </w:rPr>
        <w:t>Bosentan Pharmascience, film tableta, 62.5 mg, blister, 56 (1x56) film tableta:</w:t>
      </w:r>
      <w:r w:rsidR="00FA4489" w:rsidRPr="00442188">
        <w:rPr>
          <w:lang w:val="sr-Latn-ME"/>
        </w:rPr>
        <w:t xml:space="preserve"> </w:t>
      </w:r>
      <w:r w:rsidR="00FA4489" w:rsidRPr="00FA4489">
        <w:rPr>
          <w:szCs w:val="22"/>
          <w:lang w:val="sr-Latn-ME"/>
        </w:rPr>
        <w:t>2030/22/160 - 5103</w:t>
      </w:r>
    </w:p>
    <w:p w14:paraId="508B9716" w14:textId="77777777" w:rsidR="00833368" w:rsidRPr="00DE2CF7" w:rsidRDefault="00833368" w:rsidP="00DE2CF7">
      <w:pPr>
        <w:rPr>
          <w:szCs w:val="22"/>
          <w:lang w:val="sr-Latn-ME"/>
        </w:rPr>
      </w:pPr>
      <w:r w:rsidRPr="00DE2CF7">
        <w:rPr>
          <w:szCs w:val="22"/>
          <w:lang w:val="sr-Latn-ME"/>
        </w:rPr>
        <w:t>Bosentan Pharmascience, film tableta, 125 mg, blister, 56 (1x56) film tableta:</w:t>
      </w:r>
      <w:r w:rsidR="00FA4489" w:rsidRPr="00442188">
        <w:rPr>
          <w:lang w:val="sr-Latn-ME"/>
        </w:rPr>
        <w:t xml:space="preserve"> </w:t>
      </w:r>
      <w:r w:rsidR="00FA4489" w:rsidRPr="00FA4489">
        <w:rPr>
          <w:szCs w:val="22"/>
          <w:lang w:val="sr-Latn-ME"/>
        </w:rPr>
        <w:t>2030/22/161 - 5104</w:t>
      </w:r>
    </w:p>
    <w:p w14:paraId="1630063B" w14:textId="77777777" w:rsidR="00AD78F7" w:rsidRPr="00DE2CF7" w:rsidRDefault="00833368" w:rsidP="00DE2CF7">
      <w:pPr>
        <w:rPr>
          <w:szCs w:val="22"/>
          <w:lang w:val="sr-Latn-ME"/>
        </w:rPr>
      </w:pPr>
      <w:r w:rsidRPr="00DE2CF7" w:rsidDel="00833368">
        <w:rPr>
          <w:szCs w:val="22"/>
          <w:lang w:val="sr-Latn-ME"/>
        </w:rPr>
        <w:t xml:space="preserve"> </w:t>
      </w:r>
    </w:p>
    <w:p w14:paraId="4B6BB3BD" w14:textId="77777777" w:rsidR="00833368" w:rsidRPr="00DE2CF7" w:rsidRDefault="00833368" w:rsidP="00DE2CF7">
      <w:pPr>
        <w:tabs>
          <w:tab w:val="clear" w:pos="284"/>
          <w:tab w:val="left" w:pos="540"/>
          <w:tab w:val="left" w:pos="569"/>
        </w:tabs>
        <w:jc w:val="left"/>
        <w:rPr>
          <w:b/>
          <w:bCs/>
          <w:szCs w:val="22"/>
          <w:lang w:val="sr-Latn-ME"/>
        </w:rPr>
      </w:pPr>
    </w:p>
    <w:p w14:paraId="7DDB3D3D" w14:textId="77777777" w:rsidR="00D95205" w:rsidRPr="00DE2CF7" w:rsidRDefault="00D95205" w:rsidP="00DE2CF7">
      <w:pPr>
        <w:tabs>
          <w:tab w:val="clear" w:pos="284"/>
          <w:tab w:val="left" w:pos="540"/>
          <w:tab w:val="left" w:pos="569"/>
        </w:tabs>
        <w:jc w:val="left"/>
        <w:rPr>
          <w:b/>
          <w:bCs/>
          <w:szCs w:val="22"/>
          <w:lang w:val="sr-Latn-ME"/>
        </w:rPr>
      </w:pPr>
      <w:r w:rsidRPr="00DE2CF7">
        <w:rPr>
          <w:b/>
          <w:bCs/>
          <w:szCs w:val="22"/>
          <w:lang w:val="sr-Latn-ME"/>
        </w:rPr>
        <w:t xml:space="preserve">9. </w:t>
      </w:r>
      <w:r w:rsidRPr="00DE2CF7">
        <w:rPr>
          <w:b/>
          <w:bCs/>
          <w:szCs w:val="22"/>
          <w:lang w:val="sr-Latn-ME"/>
        </w:rPr>
        <w:tab/>
        <w:t>DATUM PRVE DOZVOLE/OBNOVE DOZVOLE ZA STAVLJANJE LIJEKA U PROMET</w:t>
      </w:r>
    </w:p>
    <w:p w14:paraId="68374228" w14:textId="77777777" w:rsidR="00833368" w:rsidRPr="00DE2CF7" w:rsidRDefault="00833368" w:rsidP="00DE2CF7">
      <w:pPr>
        <w:rPr>
          <w:szCs w:val="22"/>
          <w:lang w:val="sr-Latn-ME"/>
        </w:rPr>
      </w:pPr>
    </w:p>
    <w:p w14:paraId="1FAF382B" w14:textId="0B7477E6" w:rsidR="00833368" w:rsidRPr="00DE2CF7" w:rsidRDefault="00FA4489" w:rsidP="00DE2CF7">
      <w:pPr>
        <w:rPr>
          <w:szCs w:val="22"/>
          <w:lang w:val="sr-Latn-ME"/>
        </w:rPr>
      </w:pPr>
      <w:r w:rsidRPr="00FA4489">
        <w:rPr>
          <w:szCs w:val="22"/>
          <w:lang w:val="sr-Latn-ME"/>
        </w:rPr>
        <w:t>31.01.2022. godine</w:t>
      </w:r>
    </w:p>
    <w:p w14:paraId="200A9C58" w14:textId="77777777" w:rsidR="00AD78F7" w:rsidRPr="00DE2CF7" w:rsidRDefault="00AD78F7" w:rsidP="00DE2CF7">
      <w:pPr>
        <w:rPr>
          <w:szCs w:val="22"/>
          <w:lang w:val="sr-Latn-ME"/>
        </w:rPr>
      </w:pPr>
    </w:p>
    <w:p w14:paraId="521CA3D3" w14:textId="77777777" w:rsidR="005938DE" w:rsidRPr="00DE2CF7" w:rsidRDefault="005938DE" w:rsidP="00DE2CF7">
      <w:pPr>
        <w:rPr>
          <w:szCs w:val="22"/>
          <w:lang w:val="sr-Latn-ME"/>
        </w:rPr>
      </w:pPr>
    </w:p>
    <w:p w14:paraId="2FC5B6E9" w14:textId="77777777" w:rsidR="0090133B" w:rsidRDefault="0090133B" w:rsidP="00DE2CF7">
      <w:pPr>
        <w:rPr>
          <w:b/>
          <w:szCs w:val="22"/>
          <w:lang w:val="sr-Latn-ME"/>
        </w:rPr>
      </w:pPr>
      <w:r w:rsidRPr="00DE2CF7">
        <w:rPr>
          <w:b/>
          <w:szCs w:val="22"/>
          <w:lang w:val="sr-Latn-ME"/>
        </w:rPr>
        <w:t>10. DATUM REVIZIJE TEKSTA</w:t>
      </w:r>
    </w:p>
    <w:p w14:paraId="4F06D9A4" w14:textId="77777777" w:rsidR="00FA4489" w:rsidRDefault="00FA4489" w:rsidP="00DE2CF7">
      <w:pPr>
        <w:rPr>
          <w:b/>
          <w:szCs w:val="22"/>
          <w:lang w:val="sr-Latn-ME"/>
        </w:rPr>
      </w:pPr>
    </w:p>
    <w:p w14:paraId="54D84FFA" w14:textId="33FBB535" w:rsidR="00FA4489" w:rsidRPr="00FA4489" w:rsidRDefault="007F261C" w:rsidP="00DE2CF7">
      <w:pPr>
        <w:rPr>
          <w:szCs w:val="22"/>
          <w:lang w:val="sr-Latn-ME"/>
        </w:rPr>
      </w:pPr>
      <w:r>
        <w:rPr>
          <w:szCs w:val="22"/>
          <w:lang w:val="sr-Latn-ME"/>
        </w:rPr>
        <w:t>Avgust, 2024. godine</w:t>
      </w:r>
    </w:p>
    <w:sectPr w:rsidR="00FA4489" w:rsidRPr="00FA4489" w:rsidSect="00DE2CF7">
      <w:footerReference w:type="even" r:id="rId10"/>
      <w:footerReference w:type="default" r:id="rId11"/>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83CCF" w14:textId="77777777" w:rsidR="00270B2E" w:rsidRDefault="00270B2E">
      <w:r>
        <w:separator/>
      </w:r>
    </w:p>
  </w:endnote>
  <w:endnote w:type="continuationSeparator" w:id="0">
    <w:p w14:paraId="361DE287" w14:textId="77777777" w:rsidR="00270B2E" w:rsidRDefault="0027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EE"/>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F7D39" w14:textId="77777777" w:rsidR="001B52EF" w:rsidRDefault="001B52EF"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3C53A" w14:textId="77777777" w:rsidR="001B52EF" w:rsidRDefault="001B52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61EF" w14:textId="7207CDA3" w:rsidR="001B52EF" w:rsidRPr="00C536C2" w:rsidRDefault="001B52EF" w:rsidP="00DE2CF7">
    <w:pPr>
      <w:pStyle w:val="Footer"/>
      <w:tabs>
        <w:tab w:val="left" w:pos="5448"/>
      </w:tabs>
      <w:jc w:val="center"/>
    </w:pPr>
    <w:r w:rsidRPr="00C17340">
      <w:rPr>
        <w:szCs w:val="22"/>
      </w:rPr>
      <w:fldChar w:fldCharType="begin"/>
    </w:r>
    <w:r w:rsidRPr="00C17340">
      <w:rPr>
        <w:szCs w:val="22"/>
      </w:rPr>
      <w:instrText xml:space="preserve"> PAGE </w:instrText>
    </w:r>
    <w:r w:rsidRPr="00C17340">
      <w:rPr>
        <w:szCs w:val="22"/>
      </w:rPr>
      <w:fldChar w:fldCharType="separate"/>
    </w:r>
    <w:r w:rsidR="00AC68FC">
      <w:rPr>
        <w:noProof/>
        <w:szCs w:val="22"/>
      </w:rPr>
      <w:t>5</w:t>
    </w:r>
    <w:r w:rsidRPr="00C17340">
      <w:rPr>
        <w:szCs w:val="22"/>
      </w:rPr>
      <w:fldChar w:fldCharType="end"/>
    </w:r>
    <w:r w:rsidRPr="00C17340">
      <w:rPr>
        <w:szCs w:val="22"/>
      </w:rPr>
      <w:t xml:space="preserve"> / </w:t>
    </w:r>
    <w:r w:rsidRPr="00C17340">
      <w:rPr>
        <w:szCs w:val="22"/>
      </w:rPr>
      <w:fldChar w:fldCharType="begin"/>
    </w:r>
    <w:r w:rsidRPr="00C17340">
      <w:rPr>
        <w:szCs w:val="22"/>
      </w:rPr>
      <w:instrText xml:space="preserve"> NUMPAGES </w:instrText>
    </w:r>
    <w:r w:rsidRPr="00C17340">
      <w:rPr>
        <w:szCs w:val="22"/>
      </w:rPr>
      <w:fldChar w:fldCharType="separate"/>
    </w:r>
    <w:r w:rsidR="00AC68FC">
      <w:rPr>
        <w:noProof/>
        <w:szCs w:val="22"/>
      </w:rPr>
      <w:t>21</w:t>
    </w:r>
    <w:r w:rsidRPr="00C17340">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A08A9" w14:textId="77777777" w:rsidR="00270B2E" w:rsidRDefault="00270B2E">
      <w:r>
        <w:separator/>
      </w:r>
    </w:p>
  </w:footnote>
  <w:footnote w:type="continuationSeparator" w:id="0">
    <w:p w14:paraId="59C5CA97" w14:textId="77777777" w:rsidR="00270B2E" w:rsidRDefault="00270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C3CA4"/>
    <w:multiLevelType w:val="hybridMultilevel"/>
    <w:tmpl w:val="60CAA0F2"/>
    <w:lvl w:ilvl="0" w:tplc="FD043056">
      <w:start w:val="1"/>
      <w:numFmt w:val="lowerLetter"/>
      <w:lvlText w:val="%1"/>
      <w:lvlJc w:val="left"/>
      <w:pPr>
        <w:ind w:left="17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C164A70A">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DB98F8AE">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BB486E90">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F522B5BA">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1D4EAA78">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31EED166">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E15E794C">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C70E0CEA">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2" w15:restartNumberingAfterBreak="0">
    <w:nsid w:val="04C34E98"/>
    <w:multiLevelType w:val="hybridMultilevel"/>
    <w:tmpl w:val="A5DA3A4A"/>
    <w:lvl w:ilvl="0" w:tplc="82009E3E">
      <w:start w:val="1"/>
      <w:numFmt w:val="bullet"/>
      <w:lvlText w:val=""/>
      <w:lvlJc w:val="left"/>
      <w:pPr>
        <w:ind w:left="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3248D7E">
      <w:start w:val="1"/>
      <w:numFmt w:val="bullet"/>
      <w:lvlText w:val="o"/>
      <w:lvlJc w:val="left"/>
      <w:pPr>
        <w:ind w:left="5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E6EB7DA">
      <w:start w:val="1"/>
      <w:numFmt w:val="bullet"/>
      <w:lvlText w:val="▪"/>
      <w:lvlJc w:val="left"/>
      <w:pPr>
        <w:ind w:left="12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D138D2B0">
      <w:start w:val="1"/>
      <w:numFmt w:val="bullet"/>
      <w:lvlText w:val="•"/>
      <w:lvlJc w:val="left"/>
      <w:pPr>
        <w:ind w:left="19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08A66BA">
      <w:start w:val="1"/>
      <w:numFmt w:val="bullet"/>
      <w:lvlText w:val="o"/>
      <w:lvlJc w:val="left"/>
      <w:pPr>
        <w:ind w:left="271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56C435B2">
      <w:start w:val="1"/>
      <w:numFmt w:val="bullet"/>
      <w:lvlText w:val="▪"/>
      <w:lvlJc w:val="left"/>
      <w:pPr>
        <w:ind w:left="34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81ABDFC">
      <w:start w:val="1"/>
      <w:numFmt w:val="bullet"/>
      <w:lvlText w:val="•"/>
      <w:lvlJc w:val="left"/>
      <w:pPr>
        <w:ind w:left="41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FD23410">
      <w:start w:val="1"/>
      <w:numFmt w:val="bullet"/>
      <w:lvlText w:val="o"/>
      <w:lvlJc w:val="left"/>
      <w:pPr>
        <w:ind w:left="48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6A6C3D8">
      <w:start w:val="1"/>
      <w:numFmt w:val="bullet"/>
      <w:lvlText w:val="▪"/>
      <w:lvlJc w:val="left"/>
      <w:pPr>
        <w:ind w:left="55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4" w15:restartNumberingAfterBreak="0">
    <w:nsid w:val="0D4953A8"/>
    <w:multiLevelType w:val="hybridMultilevel"/>
    <w:tmpl w:val="0130F198"/>
    <w:lvl w:ilvl="0" w:tplc="74963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747DB"/>
    <w:multiLevelType w:val="hybridMultilevel"/>
    <w:tmpl w:val="C3EEFDB6"/>
    <w:lvl w:ilvl="0" w:tplc="C0B44354">
      <w:start w:val="1"/>
      <w:numFmt w:val="bullet"/>
      <w:lvlText w:val=""/>
      <w:lvlJc w:val="left"/>
      <w:pPr>
        <w:ind w:left="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7F6CCCC0">
      <w:start w:val="1"/>
      <w:numFmt w:val="bullet"/>
      <w:lvlText w:val="o"/>
      <w:lvlJc w:val="left"/>
      <w:pPr>
        <w:ind w:left="5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D0EE31C">
      <w:start w:val="1"/>
      <w:numFmt w:val="bullet"/>
      <w:lvlText w:val="▪"/>
      <w:lvlJc w:val="left"/>
      <w:pPr>
        <w:ind w:left="12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70033C2">
      <w:start w:val="1"/>
      <w:numFmt w:val="bullet"/>
      <w:lvlText w:val="•"/>
      <w:lvlJc w:val="left"/>
      <w:pPr>
        <w:ind w:left="19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0BEE010">
      <w:start w:val="1"/>
      <w:numFmt w:val="bullet"/>
      <w:lvlText w:val="o"/>
      <w:lvlJc w:val="left"/>
      <w:pPr>
        <w:ind w:left="271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6B06598A">
      <w:start w:val="1"/>
      <w:numFmt w:val="bullet"/>
      <w:lvlText w:val="▪"/>
      <w:lvlJc w:val="left"/>
      <w:pPr>
        <w:ind w:left="34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8024658">
      <w:start w:val="1"/>
      <w:numFmt w:val="bullet"/>
      <w:lvlText w:val="•"/>
      <w:lvlJc w:val="left"/>
      <w:pPr>
        <w:ind w:left="41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F1B8C17E">
      <w:start w:val="1"/>
      <w:numFmt w:val="bullet"/>
      <w:lvlText w:val="o"/>
      <w:lvlJc w:val="left"/>
      <w:pPr>
        <w:ind w:left="48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7B2A7B92">
      <w:start w:val="1"/>
      <w:numFmt w:val="bullet"/>
      <w:lvlText w:val="▪"/>
      <w:lvlJc w:val="left"/>
      <w:pPr>
        <w:ind w:left="55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0A24091"/>
    <w:multiLevelType w:val="hybridMultilevel"/>
    <w:tmpl w:val="5D4207FC"/>
    <w:lvl w:ilvl="0" w:tplc="897012AA">
      <w:start w:val="1"/>
      <w:numFmt w:val="bullet"/>
      <w:lvlText w:val=""/>
      <w:lvlJc w:val="left"/>
      <w:pPr>
        <w:ind w:left="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8AAA2036">
      <w:start w:val="1"/>
      <w:numFmt w:val="bullet"/>
      <w:lvlText w:val="o"/>
      <w:lvlJc w:val="left"/>
      <w:pPr>
        <w:ind w:left="5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14803CC">
      <w:start w:val="1"/>
      <w:numFmt w:val="bullet"/>
      <w:lvlText w:val="▪"/>
      <w:lvlJc w:val="left"/>
      <w:pPr>
        <w:ind w:left="12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7185494">
      <w:start w:val="1"/>
      <w:numFmt w:val="bullet"/>
      <w:lvlText w:val="•"/>
      <w:lvlJc w:val="left"/>
      <w:pPr>
        <w:ind w:left="19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CC0F1B8">
      <w:start w:val="1"/>
      <w:numFmt w:val="bullet"/>
      <w:lvlText w:val="o"/>
      <w:lvlJc w:val="left"/>
      <w:pPr>
        <w:ind w:left="271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5A613E6">
      <w:start w:val="1"/>
      <w:numFmt w:val="bullet"/>
      <w:lvlText w:val="▪"/>
      <w:lvlJc w:val="left"/>
      <w:pPr>
        <w:ind w:left="34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464E590">
      <w:start w:val="1"/>
      <w:numFmt w:val="bullet"/>
      <w:lvlText w:val="•"/>
      <w:lvlJc w:val="left"/>
      <w:pPr>
        <w:ind w:left="41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4BB26980">
      <w:start w:val="1"/>
      <w:numFmt w:val="bullet"/>
      <w:lvlText w:val="o"/>
      <w:lvlJc w:val="left"/>
      <w:pPr>
        <w:ind w:left="48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380E4E8">
      <w:start w:val="1"/>
      <w:numFmt w:val="bullet"/>
      <w:lvlText w:val="▪"/>
      <w:lvlJc w:val="left"/>
      <w:pPr>
        <w:ind w:left="55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6D75B9"/>
    <w:multiLevelType w:val="hybridMultilevel"/>
    <w:tmpl w:val="001C84FE"/>
    <w:lvl w:ilvl="0" w:tplc="9760E7F6">
      <w:start w:val="1"/>
      <w:numFmt w:val="lowerLetter"/>
      <w:lvlText w:val="%1"/>
      <w:lvlJc w:val="left"/>
      <w:pPr>
        <w:ind w:left="2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5946641A">
      <w:start w:val="1"/>
      <w:numFmt w:val="lowerLetter"/>
      <w:lvlText w:val="%2"/>
      <w:lvlJc w:val="left"/>
      <w:pPr>
        <w:ind w:left="109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A40ABFF0">
      <w:start w:val="1"/>
      <w:numFmt w:val="lowerRoman"/>
      <w:lvlText w:val="%3"/>
      <w:lvlJc w:val="left"/>
      <w:pPr>
        <w:ind w:left="181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E5EAF4F4">
      <w:start w:val="1"/>
      <w:numFmt w:val="decimal"/>
      <w:lvlText w:val="%4"/>
      <w:lvlJc w:val="left"/>
      <w:pPr>
        <w:ind w:left="25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F294A642">
      <w:start w:val="1"/>
      <w:numFmt w:val="lowerLetter"/>
      <w:lvlText w:val="%5"/>
      <w:lvlJc w:val="left"/>
      <w:pPr>
        <w:ind w:left="325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C784C05A">
      <w:start w:val="1"/>
      <w:numFmt w:val="lowerRoman"/>
      <w:lvlText w:val="%6"/>
      <w:lvlJc w:val="left"/>
      <w:pPr>
        <w:ind w:left="397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F2EE5CDA">
      <w:start w:val="1"/>
      <w:numFmt w:val="decimal"/>
      <w:lvlText w:val="%7"/>
      <w:lvlJc w:val="left"/>
      <w:pPr>
        <w:ind w:left="469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756665AE">
      <w:start w:val="1"/>
      <w:numFmt w:val="lowerLetter"/>
      <w:lvlText w:val="%8"/>
      <w:lvlJc w:val="left"/>
      <w:pPr>
        <w:ind w:left="541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374E0C24">
      <w:start w:val="1"/>
      <w:numFmt w:val="lowerRoman"/>
      <w:lvlText w:val="%9"/>
      <w:lvlJc w:val="left"/>
      <w:pPr>
        <w:ind w:left="61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8" w15:restartNumberingAfterBreak="0">
    <w:nsid w:val="136E1950"/>
    <w:multiLevelType w:val="hybridMultilevel"/>
    <w:tmpl w:val="3F32B062"/>
    <w:lvl w:ilvl="0" w:tplc="78FE2734">
      <w:start w:val="4"/>
      <w:numFmt w:val="bullet"/>
      <w:lvlText w:val="-"/>
      <w:lvlJc w:val="left"/>
      <w:pPr>
        <w:ind w:left="372" w:hanging="360"/>
      </w:pPr>
      <w:rPr>
        <w:rFonts w:ascii="Times New Roman" w:eastAsia="Times New Roman"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9" w15:restartNumberingAfterBreak="0">
    <w:nsid w:val="151A29A0"/>
    <w:multiLevelType w:val="hybridMultilevel"/>
    <w:tmpl w:val="32C2CBC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2B1A56"/>
    <w:multiLevelType w:val="hybridMultilevel"/>
    <w:tmpl w:val="057A8B92"/>
    <w:lvl w:ilvl="0" w:tplc="CF2C5A1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1CF3D9A"/>
    <w:multiLevelType w:val="hybridMultilevel"/>
    <w:tmpl w:val="F8CC68E6"/>
    <w:lvl w:ilvl="0" w:tplc="CB028918">
      <w:start w:val="1"/>
      <w:numFmt w:val="decimal"/>
      <w:lvlText w:val="%1"/>
      <w:lvlJc w:val="left"/>
      <w:pPr>
        <w:ind w:left="2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48AEAA4">
      <w:start w:val="1"/>
      <w:numFmt w:val="lowerLetter"/>
      <w:lvlText w:val="%2"/>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E502BC6">
      <w:start w:val="1"/>
      <w:numFmt w:val="lowerRoman"/>
      <w:lvlText w:val="%3"/>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B441200">
      <w:start w:val="1"/>
      <w:numFmt w:val="decimal"/>
      <w:lvlText w:val="%4"/>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4ACD58">
      <w:start w:val="1"/>
      <w:numFmt w:val="lowerLetter"/>
      <w:lvlText w:val="%5"/>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374E40C">
      <w:start w:val="1"/>
      <w:numFmt w:val="lowerRoman"/>
      <w:lvlText w:val="%6"/>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D5A3B4E">
      <w:start w:val="1"/>
      <w:numFmt w:val="decimal"/>
      <w:lvlText w:val="%7"/>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A7EEF26">
      <w:start w:val="1"/>
      <w:numFmt w:val="lowerLetter"/>
      <w:lvlText w:val="%8"/>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EEA1162">
      <w:start w:val="1"/>
      <w:numFmt w:val="lowerRoman"/>
      <w:lvlText w:val="%9"/>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21B0BD2"/>
    <w:multiLevelType w:val="hybridMultilevel"/>
    <w:tmpl w:val="2F80AF56"/>
    <w:lvl w:ilvl="0" w:tplc="F78ECC00">
      <w:start w:val="1"/>
      <w:numFmt w:val="bullet"/>
      <w:lvlText w:val=""/>
      <w:lvlJc w:val="left"/>
      <w:pPr>
        <w:ind w:left="3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A01E4756">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E00426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E8A123A">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FBCC8BA">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E26B726">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D3D8879A">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E5A3C9A">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92EBAAC">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8492950"/>
    <w:multiLevelType w:val="hybridMultilevel"/>
    <w:tmpl w:val="4F0CCD9C"/>
    <w:lvl w:ilvl="0" w:tplc="615A3AAE">
      <w:start w:val="1"/>
      <w:numFmt w:val="bullet"/>
      <w:lvlText w:val=""/>
      <w:lvlJc w:val="left"/>
      <w:pPr>
        <w:ind w:left="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A4F85736">
      <w:start w:val="1"/>
      <w:numFmt w:val="bullet"/>
      <w:lvlText w:val="o"/>
      <w:lvlJc w:val="left"/>
      <w:pPr>
        <w:ind w:left="5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E7C5F34">
      <w:start w:val="1"/>
      <w:numFmt w:val="bullet"/>
      <w:lvlText w:val="▪"/>
      <w:lvlJc w:val="left"/>
      <w:pPr>
        <w:ind w:left="12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BF966EFE">
      <w:start w:val="1"/>
      <w:numFmt w:val="bullet"/>
      <w:lvlText w:val="•"/>
      <w:lvlJc w:val="left"/>
      <w:pPr>
        <w:ind w:left="19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78F0183C">
      <w:start w:val="1"/>
      <w:numFmt w:val="bullet"/>
      <w:lvlText w:val="o"/>
      <w:lvlJc w:val="left"/>
      <w:pPr>
        <w:ind w:left="271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214B5DA">
      <w:start w:val="1"/>
      <w:numFmt w:val="bullet"/>
      <w:lvlText w:val="▪"/>
      <w:lvlJc w:val="left"/>
      <w:pPr>
        <w:ind w:left="34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1CA077B2">
      <w:start w:val="1"/>
      <w:numFmt w:val="bullet"/>
      <w:lvlText w:val="•"/>
      <w:lvlJc w:val="left"/>
      <w:pPr>
        <w:ind w:left="41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62A1ED6">
      <w:start w:val="1"/>
      <w:numFmt w:val="bullet"/>
      <w:lvlText w:val="o"/>
      <w:lvlJc w:val="left"/>
      <w:pPr>
        <w:ind w:left="48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E2AC50C">
      <w:start w:val="1"/>
      <w:numFmt w:val="bullet"/>
      <w:lvlText w:val="▪"/>
      <w:lvlJc w:val="left"/>
      <w:pPr>
        <w:ind w:left="55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DC6E14"/>
    <w:multiLevelType w:val="hybridMultilevel"/>
    <w:tmpl w:val="98687244"/>
    <w:lvl w:ilvl="0" w:tplc="3246F706">
      <w:start w:val="1"/>
      <w:numFmt w:val="decimal"/>
      <w:lvlText w:val="%1."/>
      <w:lvlJc w:val="left"/>
      <w:pPr>
        <w:ind w:left="1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59CCC06">
      <w:start w:val="1"/>
      <w:numFmt w:val="lowerLetter"/>
      <w:lvlText w:val="%2"/>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80A5366">
      <w:start w:val="1"/>
      <w:numFmt w:val="lowerRoman"/>
      <w:lvlText w:val="%3"/>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6DA2F36">
      <w:start w:val="1"/>
      <w:numFmt w:val="decimal"/>
      <w:lvlText w:val="%4"/>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A207AF0">
      <w:start w:val="1"/>
      <w:numFmt w:val="lowerLetter"/>
      <w:lvlText w:val="%5"/>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C10F91E">
      <w:start w:val="1"/>
      <w:numFmt w:val="lowerRoman"/>
      <w:lvlText w:val="%6"/>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9BAF414">
      <w:start w:val="1"/>
      <w:numFmt w:val="decimal"/>
      <w:lvlText w:val="%7"/>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62E09F6">
      <w:start w:val="1"/>
      <w:numFmt w:val="lowerLetter"/>
      <w:lvlText w:val="%8"/>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F4413BC">
      <w:start w:val="1"/>
      <w:numFmt w:val="lowerRoman"/>
      <w:lvlText w:val="%9"/>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0D92539"/>
    <w:multiLevelType w:val="hybridMultilevel"/>
    <w:tmpl w:val="3B2C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5FF0EE8"/>
    <w:multiLevelType w:val="hybridMultilevel"/>
    <w:tmpl w:val="0B9A5118"/>
    <w:lvl w:ilvl="0" w:tplc="811CAEAA">
      <w:start w:val="1"/>
      <w:numFmt w:val="bullet"/>
      <w:lvlText w:val=""/>
      <w:lvlJc w:val="left"/>
      <w:pPr>
        <w:ind w:left="372" w:hanging="360"/>
      </w:pPr>
      <w:rPr>
        <w:rFonts w:ascii="Symbol" w:hAnsi="Symbo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1" w15:restartNumberingAfterBreak="0">
    <w:nsid w:val="48FC41D9"/>
    <w:multiLevelType w:val="hybridMultilevel"/>
    <w:tmpl w:val="DB586026"/>
    <w:lvl w:ilvl="0" w:tplc="EFFC5A30">
      <w:start w:val="1"/>
      <w:numFmt w:val="decimal"/>
      <w:lvlText w:val="%1"/>
      <w:lvlJc w:val="left"/>
      <w:pPr>
        <w:ind w:left="2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57C20A2">
      <w:start w:val="1"/>
      <w:numFmt w:val="lowerLetter"/>
      <w:lvlText w:val="%2"/>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B208D4">
      <w:start w:val="1"/>
      <w:numFmt w:val="lowerRoman"/>
      <w:lvlText w:val="%3"/>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B0E0572">
      <w:start w:val="1"/>
      <w:numFmt w:val="decimal"/>
      <w:lvlText w:val="%4"/>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C1E782C">
      <w:start w:val="1"/>
      <w:numFmt w:val="lowerLetter"/>
      <w:lvlText w:val="%5"/>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5607A08">
      <w:start w:val="1"/>
      <w:numFmt w:val="lowerRoman"/>
      <w:lvlText w:val="%6"/>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8C23892">
      <w:start w:val="1"/>
      <w:numFmt w:val="decimal"/>
      <w:lvlText w:val="%7"/>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8240B58">
      <w:start w:val="1"/>
      <w:numFmt w:val="lowerLetter"/>
      <w:lvlText w:val="%8"/>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47C4270">
      <w:start w:val="1"/>
      <w:numFmt w:val="lowerRoman"/>
      <w:lvlText w:val="%9"/>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AB971C5"/>
    <w:multiLevelType w:val="hybridMultilevel"/>
    <w:tmpl w:val="C1020262"/>
    <w:lvl w:ilvl="0" w:tplc="EAE86EB2">
      <w:start w:val="1"/>
      <w:numFmt w:val="lowerLetter"/>
      <w:lvlText w:val="%1"/>
      <w:lvlJc w:val="left"/>
      <w:pPr>
        <w:ind w:left="2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378A0692">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793676E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5FF25456">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D45EAA6A">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3C62E782">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F814B664">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C64833D6">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EE283630">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23" w15:restartNumberingAfterBreak="0">
    <w:nsid w:val="508B1A50"/>
    <w:multiLevelType w:val="hybridMultilevel"/>
    <w:tmpl w:val="3E549756"/>
    <w:lvl w:ilvl="0" w:tplc="4524CDF6">
      <w:start w:val="1"/>
      <w:numFmt w:val="bullet"/>
      <w:lvlText w:val=""/>
      <w:lvlJc w:val="left"/>
      <w:pPr>
        <w:ind w:left="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11845E28">
      <w:start w:val="1"/>
      <w:numFmt w:val="bullet"/>
      <w:lvlText w:val="o"/>
      <w:lvlJc w:val="left"/>
      <w:pPr>
        <w:ind w:left="5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8B941E6E">
      <w:start w:val="1"/>
      <w:numFmt w:val="bullet"/>
      <w:lvlText w:val="▪"/>
      <w:lvlJc w:val="left"/>
      <w:pPr>
        <w:ind w:left="12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1463F92">
      <w:start w:val="1"/>
      <w:numFmt w:val="bullet"/>
      <w:lvlText w:val="•"/>
      <w:lvlJc w:val="left"/>
      <w:pPr>
        <w:ind w:left="19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C784E30">
      <w:start w:val="1"/>
      <w:numFmt w:val="bullet"/>
      <w:lvlText w:val="o"/>
      <w:lvlJc w:val="left"/>
      <w:pPr>
        <w:ind w:left="271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1BA870B8">
      <w:start w:val="1"/>
      <w:numFmt w:val="bullet"/>
      <w:lvlText w:val="▪"/>
      <w:lvlJc w:val="left"/>
      <w:pPr>
        <w:ind w:left="34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6C27CB0">
      <w:start w:val="1"/>
      <w:numFmt w:val="bullet"/>
      <w:lvlText w:val="•"/>
      <w:lvlJc w:val="left"/>
      <w:pPr>
        <w:ind w:left="41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DB5E274A">
      <w:start w:val="1"/>
      <w:numFmt w:val="bullet"/>
      <w:lvlText w:val="o"/>
      <w:lvlJc w:val="left"/>
      <w:pPr>
        <w:ind w:left="48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ED6B9C4">
      <w:start w:val="1"/>
      <w:numFmt w:val="bullet"/>
      <w:lvlText w:val="▪"/>
      <w:lvlJc w:val="left"/>
      <w:pPr>
        <w:ind w:left="55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6B5111"/>
    <w:multiLevelType w:val="hybridMultilevel"/>
    <w:tmpl w:val="6358B5D6"/>
    <w:lvl w:ilvl="0" w:tplc="80C4779A">
      <w:start w:val="1"/>
      <w:numFmt w:val="bullet"/>
      <w:lvlText w:val=""/>
      <w:lvlJc w:val="left"/>
      <w:pPr>
        <w:ind w:left="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4E0737E">
      <w:start w:val="1"/>
      <w:numFmt w:val="bullet"/>
      <w:lvlText w:val="o"/>
      <w:lvlJc w:val="left"/>
      <w:pPr>
        <w:ind w:left="5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4E1265E2">
      <w:start w:val="1"/>
      <w:numFmt w:val="bullet"/>
      <w:lvlText w:val="▪"/>
      <w:lvlJc w:val="left"/>
      <w:pPr>
        <w:ind w:left="12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FBCBBBC">
      <w:start w:val="1"/>
      <w:numFmt w:val="bullet"/>
      <w:lvlText w:val="•"/>
      <w:lvlJc w:val="left"/>
      <w:pPr>
        <w:ind w:left="19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93408A50">
      <w:start w:val="1"/>
      <w:numFmt w:val="bullet"/>
      <w:lvlText w:val="o"/>
      <w:lvlJc w:val="left"/>
      <w:pPr>
        <w:ind w:left="271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C958F126">
      <w:start w:val="1"/>
      <w:numFmt w:val="bullet"/>
      <w:lvlText w:val="▪"/>
      <w:lvlJc w:val="left"/>
      <w:pPr>
        <w:ind w:left="34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DA300714">
      <w:start w:val="1"/>
      <w:numFmt w:val="bullet"/>
      <w:lvlText w:val="•"/>
      <w:lvlJc w:val="left"/>
      <w:pPr>
        <w:ind w:left="41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C7B4EEEC">
      <w:start w:val="1"/>
      <w:numFmt w:val="bullet"/>
      <w:lvlText w:val="o"/>
      <w:lvlJc w:val="left"/>
      <w:pPr>
        <w:ind w:left="48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92A0BB0">
      <w:start w:val="1"/>
      <w:numFmt w:val="bullet"/>
      <w:lvlText w:val="▪"/>
      <w:lvlJc w:val="left"/>
      <w:pPr>
        <w:ind w:left="55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1787F9B"/>
    <w:multiLevelType w:val="hybridMultilevel"/>
    <w:tmpl w:val="4ED00F7E"/>
    <w:lvl w:ilvl="0" w:tplc="A7A600CA">
      <w:start w:val="1"/>
      <w:numFmt w:val="lowerLetter"/>
      <w:lvlText w:val="%1"/>
      <w:lvlJc w:val="left"/>
      <w:pPr>
        <w:ind w:left="1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9FA29078">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F47A6D8A">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DB3080FA">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742E9E8A">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7C904856">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89528A50">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9E86F54C">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F8B84BE6">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27" w15:restartNumberingAfterBreak="0">
    <w:nsid w:val="63A7554A"/>
    <w:multiLevelType w:val="hybridMultilevel"/>
    <w:tmpl w:val="91389730"/>
    <w:lvl w:ilvl="0" w:tplc="811CAEAA">
      <w:start w:val="1"/>
      <w:numFmt w:val="bullet"/>
      <w:lvlText w:val=""/>
      <w:lvlJc w:val="left"/>
      <w:pPr>
        <w:ind w:left="34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A01E4756">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E004268">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E8A123A">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8FBCC8BA">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E26B726">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D3D8879A">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E5A3C9A">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92EBAAC">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70C0AB2"/>
    <w:multiLevelType w:val="hybridMultilevel"/>
    <w:tmpl w:val="E4506FFE"/>
    <w:lvl w:ilvl="0" w:tplc="E6608502">
      <w:start w:val="1"/>
      <w:numFmt w:val="bullet"/>
      <w:lvlText w:val=""/>
      <w:lvlJc w:val="left"/>
      <w:pPr>
        <w:ind w:left="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3A72B1E2">
      <w:start w:val="1"/>
      <w:numFmt w:val="bullet"/>
      <w:lvlText w:val="o"/>
      <w:lvlJc w:val="left"/>
      <w:pPr>
        <w:ind w:left="5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9C002682">
      <w:start w:val="1"/>
      <w:numFmt w:val="bullet"/>
      <w:lvlText w:val="▪"/>
      <w:lvlJc w:val="left"/>
      <w:pPr>
        <w:ind w:left="12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AC0CF16">
      <w:start w:val="1"/>
      <w:numFmt w:val="bullet"/>
      <w:lvlText w:val="•"/>
      <w:lvlJc w:val="left"/>
      <w:pPr>
        <w:ind w:left="19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3FB215D8">
      <w:start w:val="1"/>
      <w:numFmt w:val="bullet"/>
      <w:lvlText w:val="o"/>
      <w:lvlJc w:val="left"/>
      <w:pPr>
        <w:ind w:left="271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4344F5A0">
      <w:start w:val="1"/>
      <w:numFmt w:val="bullet"/>
      <w:lvlText w:val="▪"/>
      <w:lvlJc w:val="left"/>
      <w:pPr>
        <w:ind w:left="34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B2AAAD70">
      <w:start w:val="1"/>
      <w:numFmt w:val="bullet"/>
      <w:lvlText w:val="•"/>
      <w:lvlJc w:val="left"/>
      <w:pPr>
        <w:ind w:left="41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33468F72">
      <w:start w:val="1"/>
      <w:numFmt w:val="bullet"/>
      <w:lvlText w:val="o"/>
      <w:lvlJc w:val="left"/>
      <w:pPr>
        <w:ind w:left="48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9876563A">
      <w:start w:val="1"/>
      <w:numFmt w:val="bullet"/>
      <w:lvlText w:val="▪"/>
      <w:lvlJc w:val="left"/>
      <w:pPr>
        <w:ind w:left="55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AA17207"/>
    <w:multiLevelType w:val="hybridMultilevel"/>
    <w:tmpl w:val="89C83F00"/>
    <w:lvl w:ilvl="0" w:tplc="7152DEC6">
      <w:start w:val="1"/>
      <w:numFmt w:val="lowerLetter"/>
      <w:lvlText w:val="%1"/>
      <w:lvlJc w:val="left"/>
      <w:pPr>
        <w:ind w:left="3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D16CA344">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D0FE1990">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2C844C08">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686C7AA2">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05503570">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8522FB8A">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78A033A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88A6AFD2">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C8B582B"/>
    <w:multiLevelType w:val="hybridMultilevel"/>
    <w:tmpl w:val="85129F80"/>
    <w:lvl w:ilvl="0" w:tplc="6AB416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C1C40"/>
    <w:multiLevelType w:val="hybridMultilevel"/>
    <w:tmpl w:val="083654CE"/>
    <w:lvl w:ilvl="0" w:tplc="D1008252">
      <w:start w:val="1"/>
      <w:numFmt w:val="lowerLetter"/>
      <w:lvlText w:val="%1"/>
      <w:lvlJc w:val="left"/>
      <w:pPr>
        <w:ind w:left="20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2B4ED294">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0286201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A48AC1C4">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2368CAD6">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00EA7FAA">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3296EC2E">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4B240C78">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AD44999E">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3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9155E3D"/>
    <w:multiLevelType w:val="hybridMultilevel"/>
    <w:tmpl w:val="0AC443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A82FA6"/>
    <w:multiLevelType w:val="hybridMultilevel"/>
    <w:tmpl w:val="6202597E"/>
    <w:lvl w:ilvl="0" w:tplc="A040253C">
      <w:start w:val="1"/>
      <w:numFmt w:val="bullet"/>
      <w:lvlText w:val=""/>
      <w:lvlJc w:val="left"/>
      <w:pPr>
        <w:ind w:left="1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EE943C82">
      <w:start w:val="1"/>
      <w:numFmt w:val="bullet"/>
      <w:lvlText w:val="o"/>
      <w:lvlJc w:val="left"/>
      <w:pPr>
        <w:ind w:left="5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CC7EAA10">
      <w:start w:val="1"/>
      <w:numFmt w:val="bullet"/>
      <w:lvlText w:val="▪"/>
      <w:lvlJc w:val="left"/>
      <w:pPr>
        <w:ind w:left="12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CA8C35E">
      <w:start w:val="1"/>
      <w:numFmt w:val="bullet"/>
      <w:lvlText w:val="•"/>
      <w:lvlJc w:val="left"/>
      <w:pPr>
        <w:ind w:left="19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4045852">
      <w:start w:val="1"/>
      <w:numFmt w:val="bullet"/>
      <w:lvlText w:val="o"/>
      <w:lvlJc w:val="left"/>
      <w:pPr>
        <w:ind w:left="271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98789A38">
      <w:start w:val="1"/>
      <w:numFmt w:val="bullet"/>
      <w:lvlText w:val="▪"/>
      <w:lvlJc w:val="left"/>
      <w:pPr>
        <w:ind w:left="343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F59A951A">
      <w:start w:val="1"/>
      <w:numFmt w:val="bullet"/>
      <w:lvlText w:val="•"/>
      <w:lvlJc w:val="left"/>
      <w:pPr>
        <w:ind w:left="415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8D183ED0">
      <w:start w:val="1"/>
      <w:numFmt w:val="bullet"/>
      <w:lvlText w:val="o"/>
      <w:lvlJc w:val="left"/>
      <w:pPr>
        <w:ind w:left="487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29F2A91A">
      <w:start w:val="1"/>
      <w:numFmt w:val="bullet"/>
      <w:lvlText w:val="▪"/>
      <w:lvlJc w:val="left"/>
      <w:pPr>
        <w:ind w:left="559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abstractNumId w:val="11"/>
  </w:num>
  <w:num w:numId="2">
    <w:abstractNumId w:val="3"/>
    <w:lvlOverride w:ilvl="0">
      <w:startOverride w:val="7"/>
    </w:lvlOverride>
  </w:num>
  <w:num w:numId="3">
    <w:abstractNumId w:val="34"/>
  </w:num>
  <w:num w:numId="4">
    <w:abstractNumId w:val="14"/>
  </w:num>
  <w:num w:numId="5">
    <w:abstractNumId w:val="21"/>
  </w:num>
  <w:num w:numId="6">
    <w:abstractNumId w:val="13"/>
  </w:num>
  <w:num w:numId="7">
    <w:abstractNumId w:val="17"/>
  </w:num>
  <w:num w:numId="8">
    <w:abstractNumId w:val="33"/>
  </w:num>
  <w:num w:numId="9">
    <w:abstractNumId w:val="26"/>
  </w:num>
  <w:num w:numId="10">
    <w:abstractNumId w:val="0"/>
    <w:lvlOverride w:ilvl="0">
      <w:lvl w:ilvl="0">
        <w:start w:val="1"/>
        <w:numFmt w:val="bullet"/>
        <w:lvlText w:val="-"/>
        <w:legacy w:legacy="1" w:legacySpace="0" w:legacyIndent="360"/>
        <w:lvlJc w:val="left"/>
        <w:pPr>
          <w:ind w:left="360" w:hanging="360"/>
        </w:pPr>
      </w:lvl>
    </w:lvlOverride>
  </w:num>
  <w:num w:numId="11">
    <w:abstractNumId w:val="29"/>
  </w:num>
  <w:num w:numId="12">
    <w:abstractNumId w:val="31"/>
  </w:num>
  <w:num w:numId="13">
    <w:abstractNumId w:val="19"/>
  </w:num>
  <w:num w:numId="14">
    <w:abstractNumId w:val="24"/>
  </w:num>
  <w:num w:numId="15">
    <w:abstractNumId w:val="16"/>
  </w:num>
  <w:num w:numId="16">
    <w:abstractNumId w:val="12"/>
  </w:num>
  <w:num w:numId="17">
    <w:abstractNumId w:val="1"/>
  </w:num>
  <w:num w:numId="18">
    <w:abstractNumId w:val="30"/>
  </w:num>
  <w:num w:numId="19">
    <w:abstractNumId w:val="22"/>
  </w:num>
  <w:num w:numId="20">
    <w:abstractNumId w:val="7"/>
  </w:num>
  <w:num w:numId="21">
    <w:abstractNumId w:val="28"/>
  </w:num>
  <w:num w:numId="22">
    <w:abstractNumId w:val="15"/>
  </w:num>
  <w:num w:numId="23">
    <w:abstractNumId w:val="2"/>
  </w:num>
  <w:num w:numId="24">
    <w:abstractNumId w:val="25"/>
  </w:num>
  <w:num w:numId="25">
    <w:abstractNumId w:val="23"/>
  </w:num>
  <w:num w:numId="26">
    <w:abstractNumId w:val="6"/>
  </w:num>
  <w:num w:numId="27">
    <w:abstractNumId w:val="5"/>
  </w:num>
  <w:num w:numId="28">
    <w:abstractNumId w:val="36"/>
  </w:num>
  <w:num w:numId="29">
    <w:abstractNumId w:val="10"/>
  </w:num>
  <w:num w:numId="30">
    <w:abstractNumId w:val="27"/>
  </w:num>
  <w:num w:numId="31">
    <w:abstractNumId w:val="20"/>
  </w:num>
  <w:num w:numId="32">
    <w:abstractNumId w:val="18"/>
  </w:num>
  <w:num w:numId="33">
    <w:abstractNumId w:val="8"/>
  </w:num>
  <w:num w:numId="34">
    <w:abstractNumId w:val="9"/>
  </w:num>
  <w:num w:numId="35">
    <w:abstractNumId w:val="32"/>
  </w:num>
  <w:num w:numId="36">
    <w:abstractNumId w:val="3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718"/>
    <w:rsid w:val="00003A1E"/>
    <w:rsid w:val="000077C7"/>
    <w:rsid w:val="000161AD"/>
    <w:rsid w:val="00017801"/>
    <w:rsid w:val="000218C7"/>
    <w:rsid w:val="0002510C"/>
    <w:rsid w:val="00031C57"/>
    <w:rsid w:val="000337EF"/>
    <w:rsid w:val="00042D29"/>
    <w:rsid w:val="00046972"/>
    <w:rsid w:val="0005010F"/>
    <w:rsid w:val="00050D12"/>
    <w:rsid w:val="00054610"/>
    <w:rsid w:val="0005798D"/>
    <w:rsid w:val="00064273"/>
    <w:rsid w:val="00073E4B"/>
    <w:rsid w:val="000775B2"/>
    <w:rsid w:val="00083BE0"/>
    <w:rsid w:val="0008400B"/>
    <w:rsid w:val="00092B66"/>
    <w:rsid w:val="00095FB6"/>
    <w:rsid w:val="0009758B"/>
    <w:rsid w:val="000A0F4A"/>
    <w:rsid w:val="000A1F07"/>
    <w:rsid w:val="000A40D6"/>
    <w:rsid w:val="000A4FB6"/>
    <w:rsid w:val="000B6CE1"/>
    <w:rsid w:val="000C2EEC"/>
    <w:rsid w:val="000D5631"/>
    <w:rsid w:val="000E0077"/>
    <w:rsid w:val="000E5E95"/>
    <w:rsid w:val="000E75C0"/>
    <w:rsid w:val="000F12B4"/>
    <w:rsid w:val="00102422"/>
    <w:rsid w:val="0010751B"/>
    <w:rsid w:val="0011318D"/>
    <w:rsid w:val="001165AF"/>
    <w:rsid w:val="00124CC1"/>
    <w:rsid w:val="001302D6"/>
    <w:rsid w:val="00141639"/>
    <w:rsid w:val="0014180A"/>
    <w:rsid w:val="00142806"/>
    <w:rsid w:val="001516DC"/>
    <w:rsid w:val="00173848"/>
    <w:rsid w:val="00173D18"/>
    <w:rsid w:val="00175772"/>
    <w:rsid w:val="00175A7E"/>
    <w:rsid w:val="00176295"/>
    <w:rsid w:val="00176623"/>
    <w:rsid w:val="0017690E"/>
    <w:rsid w:val="0018601D"/>
    <w:rsid w:val="001908C0"/>
    <w:rsid w:val="001914E2"/>
    <w:rsid w:val="001A6018"/>
    <w:rsid w:val="001B496F"/>
    <w:rsid w:val="001B52EF"/>
    <w:rsid w:val="001B607B"/>
    <w:rsid w:val="001B6569"/>
    <w:rsid w:val="001B706A"/>
    <w:rsid w:val="001C0956"/>
    <w:rsid w:val="001C439B"/>
    <w:rsid w:val="001C4C33"/>
    <w:rsid w:val="001D10C9"/>
    <w:rsid w:val="001E0A07"/>
    <w:rsid w:val="001E2FAA"/>
    <w:rsid w:val="001E4400"/>
    <w:rsid w:val="001E6145"/>
    <w:rsid w:val="001E61C0"/>
    <w:rsid w:val="001F2D4E"/>
    <w:rsid w:val="001F39B6"/>
    <w:rsid w:val="00202CEC"/>
    <w:rsid w:val="00204807"/>
    <w:rsid w:val="00213FCD"/>
    <w:rsid w:val="00215F0C"/>
    <w:rsid w:val="00217FE3"/>
    <w:rsid w:val="002209D5"/>
    <w:rsid w:val="0022218E"/>
    <w:rsid w:val="0022223A"/>
    <w:rsid w:val="002241A6"/>
    <w:rsid w:val="0024020F"/>
    <w:rsid w:val="002407A5"/>
    <w:rsid w:val="0024132F"/>
    <w:rsid w:val="00241718"/>
    <w:rsid w:val="00242DCD"/>
    <w:rsid w:val="00247C5C"/>
    <w:rsid w:val="002508A6"/>
    <w:rsid w:val="00252096"/>
    <w:rsid w:val="00270438"/>
    <w:rsid w:val="00270B2E"/>
    <w:rsid w:val="00273BE0"/>
    <w:rsid w:val="00286D3A"/>
    <w:rsid w:val="0029144D"/>
    <w:rsid w:val="00292765"/>
    <w:rsid w:val="002958EF"/>
    <w:rsid w:val="002A398D"/>
    <w:rsid w:val="002B0D4A"/>
    <w:rsid w:val="002B33A0"/>
    <w:rsid w:val="002B4191"/>
    <w:rsid w:val="002B6F6A"/>
    <w:rsid w:val="002B7D05"/>
    <w:rsid w:val="002C0FBF"/>
    <w:rsid w:val="002D7119"/>
    <w:rsid w:val="002E2A69"/>
    <w:rsid w:val="002E4441"/>
    <w:rsid w:val="002F0CD6"/>
    <w:rsid w:val="002F1F0E"/>
    <w:rsid w:val="002F59F8"/>
    <w:rsid w:val="002F5E2F"/>
    <w:rsid w:val="00301A54"/>
    <w:rsid w:val="003116E9"/>
    <w:rsid w:val="003121BA"/>
    <w:rsid w:val="0031308D"/>
    <w:rsid w:val="00313B65"/>
    <w:rsid w:val="00314991"/>
    <w:rsid w:val="0031605A"/>
    <w:rsid w:val="0031679F"/>
    <w:rsid w:val="00316FC0"/>
    <w:rsid w:val="00326FF0"/>
    <w:rsid w:val="0033427D"/>
    <w:rsid w:val="0033610C"/>
    <w:rsid w:val="00340BBD"/>
    <w:rsid w:val="00344619"/>
    <w:rsid w:val="003452C0"/>
    <w:rsid w:val="003453DD"/>
    <w:rsid w:val="00351D6A"/>
    <w:rsid w:val="0035254B"/>
    <w:rsid w:val="00355E24"/>
    <w:rsid w:val="00360A5B"/>
    <w:rsid w:val="00363D14"/>
    <w:rsid w:val="0036723C"/>
    <w:rsid w:val="00380512"/>
    <w:rsid w:val="00383195"/>
    <w:rsid w:val="0038528C"/>
    <w:rsid w:val="003855BA"/>
    <w:rsid w:val="00387914"/>
    <w:rsid w:val="00394364"/>
    <w:rsid w:val="003A2DF8"/>
    <w:rsid w:val="003B2082"/>
    <w:rsid w:val="003C0FE0"/>
    <w:rsid w:val="003C18A4"/>
    <w:rsid w:val="003D1094"/>
    <w:rsid w:val="003D658E"/>
    <w:rsid w:val="003D695C"/>
    <w:rsid w:val="003E2C8F"/>
    <w:rsid w:val="003E3EC7"/>
    <w:rsid w:val="003E63C6"/>
    <w:rsid w:val="003F55A4"/>
    <w:rsid w:val="003F6693"/>
    <w:rsid w:val="00405D1E"/>
    <w:rsid w:val="004123CD"/>
    <w:rsid w:val="00420036"/>
    <w:rsid w:val="00420705"/>
    <w:rsid w:val="004234ED"/>
    <w:rsid w:val="00427D41"/>
    <w:rsid w:val="00431469"/>
    <w:rsid w:val="004341EE"/>
    <w:rsid w:val="00434DC9"/>
    <w:rsid w:val="00435BE5"/>
    <w:rsid w:val="00436E12"/>
    <w:rsid w:val="004374E0"/>
    <w:rsid w:val="004377E3"/>
    <w:rsid w:val="00440475"/>
    <w:rsid w:val="00440552"/>
    <w:rsid w:val="00442188"/>
    <w:rsid w:val="004442A5"/>
    <w:rsid w:val="00446D42"/>
    <w:rsid w:val="004620E2"/>
    <w:rsid w:val="00462C33"/>
    <w:rsid w:val="00464E4B"/>
    <w:rsid w:val="0047034A"/>
    <w:rsid w:val="00474BB2"/>
    <w:rsid w:val="004828C0"/>
    <w:rsid w:val="004909BD"/>
    <w:rsid w:val="00492248"/>
    <w:rsid w:val="00497648"/>
    <w:rsid w:val="004A26F2"/>
    <w:rsid w:val="004B1FC5"/>
    <w:rsid w:val="004B5A11"/>
    <w:rsid w:val="004B7A50"/>
    <w:rsid w:val="004C0901"/>
    <w:rsid w:val="004C2A15"/>
    <w:rsid w:val="004C4D48"/>
    <w:rsid w:val="004C6B77"/>
    <w:rsid w:val="004D0984"/>
    <w:rsid w:val="004D230F"/>
    <w:rsid w:val="004D4A2B"/>
    <w:rsid w:val="004D5495"/>
    <w:rsid w:val="004E68F1"/>
    <w:rsid w:val="0050117C"/>
    <w:rsid w:val="005021B3"/>
    <w:rsid w:val="00502F80"/>
    <w:rsid w:val="00503974"/>
    <w:rsid w:val="0050655A"/>
    <w:rsid w:val="005116B9"/>
    <w:rsid w:val="0052230B"/>
    <w:rsid w:val="00525A8A"/>
    <w:rsid w:val="0052678D"/>
    <w:rsid w:val="005276F0"/>
    <w:rsid w:val="00530909"/>
    <w:rsid w:val="00536AD4"/>
    <w:rsid w:val="00553A10"/>
    <w:rsid w:val="005556F4"/>
    <w:rsid w:val="00555F48"/>
    <w:rsid w:val="005613B0"/>
    <w:rsid w:val="00561663"/>
    <w:rsid w:val="0056231E"/>
    <w:rsid w:val="005644BD"/>
    <w:rsid w:val="005656B0"/>
    <w:rsid w:val="005736DC"/>
    <w:rsid w:val="00576052"/>
    <w:rsid w:val="00576F4F"/>
    <w:rsid w:val="00577052"/>
    <w:rsid w:val="00591B1D"/>
    <w:rsid w:val="005938DE"/>
    <w:rsid w:val="00593C99"/>
    <w:rsid w:val="005A0BA5"/>
    <w:rsid w:val="005A4604"/>
    <w:rsid w:val="005B3388"/>
    <w:rsid w:val="005C2DDF"/>
    <w:rsid w:val="005C3F73"/>
    <w:rsid w:val="005C4CA3"/>
    <w:rsid w:val="005C7891"/>
    <w:rsid w:val="005D08D6"/>
    <w:rsid w:val="005E0C10"/>
    <w:rsid w:val="005E0DC9"/>
    <w:rsid w:val="005F1D1B"/>
    <w:rsid w:val="005F51E9"/>
    <w:rsid w:val="005F6802"/>
    <w:rsid w:val="00603302"/>
    <w:rsid w:val="00604E4F"/>
    <w:rsid w:val="006054EE"/>
    <w:rsid w:val="006118B6"/>
    <w:rsid w:val="006139D7"/>
    <w:rsid w:val="00620EC8"/>
    <w:rsid w:val="00624BD3"/>
    <w:rsid w:val="006270C0"/>
    <w:rsid w:val="00630195"/>
    <w:rsid w:val="006308D7"/>
    <w:rsid w:val="00641226"/>
    <w:rsid w:val="00646722"/>
    <w:rsid w:val="00654678"/>
    <w:rsid w:val="006559AF"/>
    <w:rsid w:val="0065646A"/>
    <w:rsid w:val="00660ED5"/>
    <w:rsid w:val="00665862"/>
    <w:rsid w:val="0067663F"/>
    <w:rsid w:val="006771C3"/>
    <w:rsid w:val="00680A1B"/>
    <w:rsid w:val="00685344"/>
    <w:rsid w:val="00693874"/>
    <w:rsid w:val="00693F46"/>
    <w:rsid w:val="006B65DC"/>
    <w:rsid w:val="006B74D4"/>
    <w:rsid w:val="006C02D6"/>
    <w:rsid w:val="006C2AF1"/>
    <w:rsid w:val="006C3E4A"/>
    <w:rsid w:val="006D5848"/>
    <w:rsid w:val="006E200E"/>
    <w:rsid w:val="006E32DE"/>
    <w:rsid w:val="006E36E1"/>
    <w:rsid w:val="006F158F"/>
    <w:rsid w:val="006F5269"/>
    <w:rsid w:val="0070555A"/>
    <w:rsid w:val="00706F05"/>
    <w:rsid w:val="007142DF"/>
    <w:rsid w:val="00715BA4"/>
    <w:rsid w:val="007239FE"/>
    <w:rsid w:val="00733C8B"/>
    <w:rsid w:val="007347AE"/>
    <w:rsid w:val="007453E0"/>
    <w:rsid w:val="00745C62"/>
    <w:rsid w:val="00757200"/>
    <w:rsid w:val="00763E61"/>
    <w:rsid w:val="00764648"/>
    <w:rsid w:val="007672F3"/>
    <w:rsid w:val="0078419C"/>
    <w:rsid w:val="007861EE"/>
    <w:rsid w:val="00787D1A"/>
    <w:rsid w:val="007913C9"/>
    <w:rsid w:val="00792B2F"/>
    <w:rsid w:val="007977C5"/>
    <w:rsid w:val="007B145A"/>
    <w:rsid w:val="007B16C4"/>
    <w:rsid w:val="007B7E65"/>
    <w:rsid w:val="007C26FA"/>
    <w:rsid w:val="007C2D7E"/>
    <w:rsid w:val="007C304D"/>
    <w:rsid w:val="007D17FD"/>
    <w:rsid w:val="007D40F1"/>
    <w:rsid w:val="007D44F3"/>
    <w:rsid w:val="007D48C5"/>
    <w:rsid w:val="007E06F0"/>
    <w:rsid w:val="007E38FF"/>
    <w:rsid w:val="007E5635"/>
    <w:rsid w:val="007E6F3B"/>
    <w:rsid w:val="007F0E76"/>
    <w:rsid w:val="007F261C"/>
    <w:rsid w:val="007F5475"/>
    <w:rsid w:val="007F6947"/>
    <w:rsid w:val="00802645"/>
    <w:rsid w:val="00802C16"/>
    <w:rsid w:val="00802DFC"/>
    <w:rsid w:val="00814232"/>
    <w:rsid w:val="00814781"/>
    <w:rsid w:val="00815CCC"/>
    <w:rsid w:val="00823F72"/>
    <w:rsid w:val="0082676A"/>
    <w:rsid w:val="00833368"/>
    <w:rsid w:val="00834DBB"/>
    <w:rsid w:val="00842FFB"/>
    <w:rsid w:val="00847AF8"/>
    <w:rsid w:val="008577E6"/>
    <w:rsid w:val="00861750"/>
    <w:rsid w:val="0086351A"/>
    <w:rsid w:val="0087250B"/>
    <w:rsid w:val="00873F02"/>
    <w:rsid w:val="0087480A"/>
    <w:rsid w:val="00874B61"/>
    <w:rsid w:val="00876014"/>
    <w:rsid w:val="008778CB"/>
    <w:rsid w:val="00877901"/>
    <w:rsid w:val="00882DCE"/>
    <w:rsid w:val="00886CBE"/>
    <w:rsid w:val="00887F2F"/>
    <w:rsid w:val="008A48B7"/>
    <w:rsid w:val="008B052B"/>
    <w:rsid w:val="008B0762"/>
    <w:rsid w:val="008B0D15"/>
    <w:rsid w:val="008B1688"/>
    <w:rsid w:val="008B22E6"/>
    <w:rsid w:val="008B3EB5"/>
    <w:rsid w:val="008B76F1"/>
    <w:rsid w:val="008C28F0"/>
    <w:rsid w:val="008C5809"/>
    <w:rsid w:val="008D03CA"/>
    <w:rsid w:val="008D469B"/>
    <w:rsid w:val="008D64C8"/>
    <w:rsid w:val="008D78C9"/>
    <w:rsid w:val="008E0FC9"/>
    <w:rsid w:val="008F4916"/>
    <w:rsid w:val="0090133B"/>
    <w:rsid w:val="00902F29"/>
    <w:rsid w:val="00906C67"/>
    <w:rsid w:val="00911A4F"/>
    <w:rsid w:val="00913684"/>
    <w:rsid w:val="009202C6"/>
    <w:rsid w:val="009207CD"/>
    <w:rsid w:val="00923865"/>
    <w:rsid w:val="009251FF"/>
    <w:rsid w:val="00925CF3"/>
    <w:rsid w:val="0093016E"/>
    <w:rsid w:val="00934B4D"/>
    <w:rsid w:val="00942194"/>
    <w:rsid w:val="00955C75"/>
    <w:rsid w:val="00957E0A"/>
    <w:rsid w:val="00964040"/>
    <w:rsid w:val="009677DF"/>
    <w:rsid w:val="00972AC5"/>
    <w:rsid w:val="009768C5"/>
    <w:rsid w:val="00981A90"/>
    <w:rsid w:val="00981C56"/>
    <w:rsid w:val="00982A63"/>
    <w:rsid w:val="0098352E"/>
    <w:rsid w:val="0098633A"/>
    <w:rsid w:val="00993CD6"/>
    <w:rsid w:val="0099414A"/>
    <w:rsid w:val="009946F8"/>
    <w:rsid w:val="00996E6B"/>
    <w:rsid w:val="009A0F2E"/>
    <w:rsid w:val="009A1D64"/>
    <w:rsid w:val="009A31D1"/>
    <w:rsid w:val="009B1292"/>
    <w:rsid w:val="009B2430"/>
    <w:rsid w:val="009B338B"/>
    <w:rsid w:val="009B58AD"/>
    <w:rsid w:val="009B7935"/>
    <w:rsid w:val="009C0AFE"/>
    <w:rsid w:val="009C4EAF"/>
    <w:rsid w:val="009C4ED2"/>
    <w:rsid w:val="009C6137"/>
    <w:rsid w:val="009C7BA2"/>
    <w:rsid w:val="009D1161"/>
    <w:rsid w:val="009D458D"/>
    <w:rsid w:val="009D667B"/>
    <w:rsid w:val="009D738B"/>
    <w:rsid w:val="009E0C78"/>
    <w:rsid w:val="009F4449"/>
    <w:rsid w:val="00A02252"/>
    <w:rsid w:val="00A0530B"/>
    <w:rsid w:val="00A0711E"/>
    <w:rsid w:val="00A11DC4"/>
    <w:rsid w:val="00A127F1"/>
    <w:rsid w:val="00A14DDF"/>
    <w:rsid w:val="00A20D22"/>
    <w:rsid w:val="00A27130"/>
    <w:rsid w:val="00A30A39"/>
    <w:rsid w:val="00A5170F"/>
    <w:rsid w:val="00A551E1"/>
    <w:rsid w:val="00A559D7"/>
    <w:rsid w:val="00A56D50"/>
    <w:rsid w:val="00A621B8"/>
    <w:rsid w:val="00A675C9"/>
    <w:rsid w:val="00A7147C"/>
    <w:rsid w:val="00A72569"/>
    <w:rsid w:val="00A7660B"/>
    <w:rsid w:val="00A77025"/>
    <w:rsid w:val="00A83778"/>
    <w:rsid w:val="00A86897"/>
    <w:rsid w:val="00A87DF4"/>
    <w:rsid w:val="00A95733"/>
    <w:rsid w:val="00AA54BB"/>
    <w:rsid w:val="00AB4ECD"/>
    <w:rsid w:val="00AB5465"/>
    <w:rsid w:val="00AB6F1E"/>
    <w:rsid w:val="00AC2566"/>
    <w:rsid w:val="00AC68FC"/>
    <w:rsid w:val="00AD45EB"/>
    <w:rsid w:val="00AD78E2"/>
    <w:rsid w:val="00AD78F7"/>
    <w:rsid w:val="00AD7934"/>
    <w:rsid w:val="00AE09E0"/>
    <w:rsid w:val="00AF49D1"/>
    <w:rsid w:val="00AF765E"/>
    <w:rsid w:val="00B04D63"/>
    <w:rsid w:val="00B065AA"/>
    <w:rsid w:val="00B15131"/>
    <w:rsid w:val="00B154A2"/>
    <w:rsid w:val="00B16C7D"/>
    <w:rsid w:val="00B1724A"/>
    <w:rsid w:val="00B177E5"/>
    <w:rsid w:val="00B20A68"/>
    <w:rsid w:val="00B21441"/>
    <w:rsid w:val="00B26FAC"/>
    <w:rsid w:val="00B30BB4"/>
    <w:rsid w:val="00B31AA2"/>
    <w:rsid w:val="00B31EEF"/>
    <w:rsid w:val="00B344ED"/>
    <w:rsid w:val="00B3557F"/>
    <w:rsid w:val="00B366D2"/>
    <w:rsid w:val="00B370D7"/>
    <w:rsid w:val="00B46FA1"/>
    <w:rsid w:val="00B51DFF"/>
    <w:rsid w:val="00B53029"/>
    <w:rsid w:val="00B659AA"/>
    <w:rsid w:val="00B65C72"/>
    <w:rsid w:val="00B67E8D"/>
    <w:rsid w:val="00B72178"/>
    <w:rsid w:val="00B73AA2"/>
    <w:rsid w:val="00B74C0B"/>
    <w:rsid w:val="00B77CDA"/>
    <w:rsid w:val="00B81CED"/>
    <w:rsid w:val="00B8346D"/>
    <w:rsid w:val="00B8400D"/>
    <w:rsid w:val="00B8573F"/>
    <w:rsid w:val="00B93832"/>
    <w:rsid w:val="00B93A37"/>
    <w:rsid w:val="00BA1819"/>
    <w:rsid w:val="00BA35D5"/>
    <w:rsid w:val="00BA50D1"/>
    <w:rsid w:val="00BA5A22"/>
    <w:rsid w:val="00BA7EAC"/>
    <w:rsid w:val="00BB55E5"/>
    <w:rsid w:val="00BC689B"/>
    <w:rsid w:val="00BD725A"/>
    <w:rsid w:val="00BE018B"/>
    <w:rsid w:val="00BF3750"/>
    <w:rsid w:val="00BF7A44"/>
    <w:rsid w:val="00C056BD"/>
    <w:rsid w:val="00C05C33"/>
    <w:rsid w:val="00C06244"/>
    <w:rsid w:val="00C17340"/>
    <w:rsid w:val="00C20672"/>
    <w:rsid w:val="00C3549F"/>
    <w:rsid w:val="00C411F3"/>
    <w:rsid w:val="00C41DB7"/>
    <w:rsid w:val="00C456C4"/>
    <w:rsid w:val="00C461FE"/>
    <w:rsid w:val="00C536C2"/>
    <w:rsid w:val="00C55F47"/>
    <w:rsid w:val="00C56E2E"/>
    <w:rsid w:val="00C60469"/>
    <w:rsid w:val="00C64A31"/>
    <w:rsid w:val="00C71739"/>
    <w:rsid w:val="00C80DEE"/>
    <w:rsid w:val="00C81349"/>
    <w:rsid w:val="00C82E8B"/>
    <w:rsid w:val="00C83057"/>
    <w:rsid w:val="00C8677B"/>
    <w:rsid w:val="00CA087B"/>
    <w:rsid w:val="00CA4E9E"/>
    <w:rsid w:val="00CA5164"/>
    <w:rsid w:val="00CA7152"/>
    <w:rsid w:val="00CB06C8"/>
    <w:rsid w:val="00CB34FC"/>
    <w:rsid w:val="00CB4ADC"/>
    <w:rsid w:val="00CC4C88"/>
    <w:rsid w:val="00CC7C1D"/>
    <w:rsid w:val="00CD0B1F"/>
    <w:rsid w:val="00CD1BD9"/>
    <w:rsid w:val="00CD3F96"/>
    <w:rsid w:val="00CE09F3"/>
    <w:rsid w:val="00CE227E"/>
    <w:rsid w:val="00CE384D"/>
    <w:rsid w:val="00CE6D42"/>
    <w:rsid w:val="00CE76DA"/>
    <w:rsid w:val="00CF1179"/>
    <w:rsid w:val="00CF121A"/>
    <w:rsid w:val="00CF7C36"/>
    <w:rsid w:val="00CF7F59"/>
    <w:rsid w:val="00D11E94"/>
    <w:rsid w:val="00D12E2B"/>
    <w:rsid w:val="00D1560A"/>
    <w:rsid w:val="00D16279"/>
    <w:rsid w:val="00D20ED3"/>
    <w:rsid w:val="00D2102C"/>
    <w:rsid w:val="00D2364C"/>
    <w:rsid w:val="00D30389"/>
    <w:rsid w:val="00D31073"/>
    <w:rsid w:val="00D337F6"/>
    <w:rsid w:val="00D337FD"/>
    <w:rsid w:val="00D33A43"/>
    <w:rsid w:val="00D33B6A"/>
    <w:rsid w:val="00D35B5D"/>
    <w:rsid w:val="00D52CDB"/>
    <w:rsid w:val="00D601F5"/>
    <w:rsid w:val="00D61710"/>
    <w:rsid w:val="00D64485"/>
    <w:rsid w:val="00D6611E"/>
    <w:rsid w:val="00D729F1"/>
    <w:rsid w:val="00D8095B"/>
    <w:rsid w:val="00D85F37"/>
    <w:rsid w:val="00D94706"/>
    <w:rsid w:val="00D95205"/>
    <w:rsid w:val="00DA7010"/>
    <w:rsid w:val="00DB4534"/>
    <w:rsid w:val="00DC30E1"/>
    <w:rsid w:val="00DD2A82"/>
    <w:rsid w:val="00DD3E3C"/>
    <w:rsid w:val="00DD4144"/>
    <w:rsid w:val="00DD47CF"/>
    <w:rsid w:val="00DD60B8"/>
    <w:rsid w:val="00DE2CF7"/>
    <w:rsid w:val="00DE6F82"/>
    <w:rsid w:val="00DF2F6E"/>
    <w:rsid w:val="00DF46E4"/>
    <w:rsid w:val="00E022AA"/>
    <w:rsid w:val="00E04856"/>
    <w:rsid w:val="00E0537C"/>
    <w:rsid w:val="00E06CDF"/>
    <w:rsid w:val="00E170B1"/>
    <w:rsid w:val="00E21E49"/>
    <w:rsid w:val="00E236AF"/>
    <w:rsid w:val="00E371EB"/>
    <w:rsid w:val="00E41470"/>
    <w:rsid w:val="00E46EC0"/>
    <w:rsid w:val="00E50CD3"/>
    <w:rsid w:val="00E516B3"/>
    <w:rsid w:val="00E56089"/>
    <w:rsid w:val="00E6673F"/>
    <w:rsid w:val="00E7179C"/>
    <w:rsid w:val="00E767BF"/>
    <w:rsid w:val="00E87BE1"/>
    <w:rsid w:val="00E87D35"/>
    <w:rsid w:val="00EA020F"/>
    <w:rsid w:val="00EA04B8"/>
    <w:rsid w:val="00EA1F85"/>
    <w:rsid w:val="00EA730A"/>
    <w:rsid w:val="00EB7447"/>
    <w:rsid w:val="00EC1341"/>
    <w:rsid w:val="00EC399B"/>
    <w:rsid w:val="00EC74EC"/>
    <w:rsid w:val="00ED4585"/>
    <w:rsid w:val="00ED5DD1"/>
    <w:rsid w:val="00ED69B5"/>
    <w:rsid w:val="00ED6B8F"/>
    <w:rsid w:val="00ED735F"/>
    <w:rsid w:val="00EE47D2"/>
    <w:rsid w:val="00EF57B0"/>
    <w:rsid w:val="00F013DE"/>
    <w:rsid w:val="00F0612F"/>
    <w:rsid w:val="00F06D67"/>
    <w:rsid w:val="00F07374"/>
    <w:rsid w:val="00F112A0"/>
    <w:rsid w:val="00F122FF"/>
    <w:rsid w:val="00F32ACD"/>
    <w:rsid w:val="00F3524F"/>
    <w:rsid w:val="00F42610"/>
    <w:rsid w:val="00F53C36"/>
    <w:rsid w:val="00F54F0F"/>
    <w:rsid w:val="00F5775F"/>
    <w:rsid w:val="00F63F24"/>
    <w:rsid w:val="00F9436C"/>
    <w:rsid w:val="00FA4489"/>
    <w:rsid w:val="00FB5393"/>
    <w:rsid w:val="00FC6425"/>
    <w:rsid w:val="00FD165F"/>
    <w:rsid w:val="00FD1BF0"/>
    <w:rsid w:val="00FD2C13"/>
    <w:rsid w:val="00FD3142"/>
    <w:rsid w:val="00FD7648"/>
    <w:rsid w:val="00FE2372"/>
    <w:rsid w:val="00FE77AC"/>
    <w:rsid w:val="00FF0D13"/>
    <w:rsid w:val="00FF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089C7"/>
  <w15:docId w15:val="{D457FFD0-60C8-4451-B183-20FCF012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qFormat/>
    <w:rsid w:val="00A551E1"/>
    <w:pPr>
      <w:keepNext/>
      <w:tabs>
        <w:tab w:val="clear" w:pos="284"/>
        <w:tab w:val="left" w:pos="567"/>
      </w:tabs>
      <w:spacing w:line="260" w:lineRule="exact"/>
      <w:outlineLvl w:val="4"/>
    </w:pPr>
    <w:rPr>
      <w:noProof/>
      <w:szCs w:val="20"/>
      <w:lang w:val="en-GB"/>
    </w:rPr>
  </w:style>
  <w:style w:type="paragraph" w:styleId="Heading6">
    <w:name w:val="heading 6"/>
    <w:basedOn w:val="Normal"/>
    <w:next w:val="Normal"/>
    <w:link w:val="Heading6Char"/>
    <w:qFormat/>
    <w:rsid w:val="00A551E1"/>
    <w:pPr>
      <w:keepNext/>
      <w:tabs>
        <w:tab w:val="clear" w:pos="284"/>
        <w:tab w:val="left" w:pos="-720"/>
        <w:tab w:val="left" w:pos="567"/>
        <w:tab w:val="left" w:pos="4536"/>
      </w:tabs>
      <w:suppressAutoHyphens/>
      <w:spacing w:line="260" w:lineRule="exact"/>
      <w:jc w:val="left"/>
      <w:outlineLvl w:val="5"/>
    </w:pPr>
    <w:rPr>
      <w:i/>
      <w:szCs w:val="20"/>
      <w:lang w:val="en-GB"/>
    </w:rPr>
  </w:style>
  <w:style w:type="paragraph" w:styleId="Heading7">
    <w:name w:val="heading 7"/>
    <w:basedOn w:val="Normal"/>
    <w:next w:val="Normal"/>
    <w:link w:val="Heading7Char"/>
    <w:qFormat/>
    <w:rsid w:val="00A551E1"/>
    <w:pPr>
      <w:keepNext/>
      <w:tabs>
        <w:tab w:val="clear" w:pos="284"/>
        <w:tab w:val="left" w:pos="-720"/>
        <w:tab w:val="left" w:pos="567"/>
        <w:tab w:val="left" w:pos="4536"/>
      </w:tabs>
      <w:suppressAutoHyphens/>
      <w:spacing w:line="260" w:lineRule="exact"/>
      <w:outlineLvl w:val="6"/>
    </w:pPr>
    <w:rPr>
      <w:i/>
      <w:szCs w:val="20"/>
      <w:lang w:val="en-GB"/>
    </w:rPr>
  </w:style>
  <w:style w:type="paragraph" w:styleId="Heading8">
    <w:name w:val="heading 8"/>
    <w:basedOn w:val="Normal"/>
    <w:next w:val="Normal"/>
    <w:link w:val="Heading8Char"/>
    <w:qFormat/>
    <w:rsid w:val="00A551E1"/>
    <w:pPr>
      <w:keepNext/>
      <w:tabs>
        <w:tab w:val="clear" w:pos="284"/>
        <w:tab w:val="left" w:pos="567"/>
      </w:tabs>
      <w:spacing w:line="260" w:lineRule="exact"/>
      <w:ind w:left="567" w:hanging="567"/>
      <w:outlineLvl w:val="7"/>
    </w:pPr>
    <w:rPr>
      <w:b/>
      <w:i/>
      <w:szCs w:val="20"/>
      <w:lang w:val="en-GB"/>
    </w:rPr>
  </w:style>
  <w:style w:type="paragraph" w:styleId="Heading9">
    <w:name w:val="heading 9"/>
    <w:basedOn w:val="Normal"/>
    <w:next w:val="Normal"/>
    <w:link w:val="Heading9Char"/>
    <w:qFormat/>
    <w:rsid w:val="00A551E1"/>
    <w:pPr>
      <w:keepNext/>
      <w:tabs>
        <w:tab w:val="clear" w:pos="284"/>
        <w:tab w:val="left" w:pos="567"/>
      </w:tabs>
      <w:spacing w:line="260" w:lineRule="exact"/>
      <w:outlineLvl w:val="8"/>
    </w:pPr>
    <w:rPr>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apple-converted-space">
    <w:name w:val="apple-converted-space"/>
    <w:rsid w:val="00CE227E"/>
  </w:style>
  <w:style w:type="paragraph" w:styleId="BodyText">
    <w:name w:val="Body Text"/>
    <w:basedOn w:val="Normal"/>
    <w:link w:val="BodyTextChar"/>
    <w:rsid w:val="00CE227E"/>
    <w:pPr>
      <w:tabs>
        <w:tab w:val="clear" w:pos="284"/>
      </w:tabs>
      <w:spacing w:after="120"/>
      <w:jc w:val="left"/>
    </w:pPr>
    <w:rPr>
      <w:szCs w:val="20"/>
      <w:lang w:val="en-GB" w:eastAsia="x-none"/>
    </w:rPr>
  </w:style>
  <w:style w:type="character" w:customStyle="1" w:styleId="BodyTextChar">
    <w:name w:val="Body Text Char"/>
    <w:basedOn w:val="DefaultParagraphFont"/>
    <w:link w:val="BodyText"/>
    <w:uiPriority w:val="99"/>
    <w:rsid w:val="00CE227E"/>
    <w:rPr>
      <w:sz w:val="22"/>
      <w:lang w:val="en-GB" w:eastAsia="x-none"/>
    </w:rPr>
  </w:style>
  <w:style w:type="paragraph" w:customStyle="1" w:styleId="EMEAEnBodyText">
    <w:name w:val="EMEA En Body Text"/>
    <w:basedOn w:val="Normal"/>
    <w:rsid w:val="00CE227E"/>
    <w:pPr>
      <w:tabs>
        <w:tab w:val="clear" w:pos="284"/>
      </w:tabs>
      <w:spacing w:before="120" w:after="120"/>
    </w:pPr>
    <w:rPr>
      <w:szCs w:val="20"/>
    </w:rPr>
  </w:style>
  <w:style w:type="paragraph" w:styleId="NormalWeb">
    <w:name w:val="Normal (Web)"/>
    <w:basedOn w:val="Normal"/>
    <w:uiPriority w:val="99"/>
    <w:unhideWhenUsed/>
    <w:rsid w:val="00CE227E"/>
    <w:pPr>
      <w:tabs>
        <w:tab w:val="clear" w:pos="284"/>
      </w:tabs>
      <w:spacing w:before="100" w:beforeAutospacing="1" w:after="100" w:afterAutospacing="1"/>
      <w:jc w:val="left"/>
    </w:pPr>
    <w:rPr>
      <w:rFonts w:eastAsia="Calibri"/>
      <w:sz w:val="24"/>
    </w:rPr>
  </w:style>
  <w:style w:type="paragraph" w:customStyle="1" w:styleId="TableCellCenter">
    <w:name w:val="Table Cell Center"/>
    <w:basedOn w:val="BodyText"/>
    <w:rsid w:val="005F6802"/>
    <w:pPr>
      <w:spacing w:before="40" w:after="40"/>
      <w:jc w:val="center"/>
    </w:pPr>
    <w:rPr>
      <w:sz w:val="24"/>
      <w:szCs w:val="24"/>
      <w:lang w:val="en-US"/>
    </w:rPr>
  </w:style>
  <w:style w:type="paragraph" w:customStyle="1" w:styleId="TableFooter">
    <w:name w:val="Table Footer"/>
    <w:basedOn w:val="BodyText"/>
    <w:rsid w:val="005F6802"/>
    <w:pPr>
      <w:tabs>
        <w:tab w:val="right" w:pos="144"/>
      </w:tabs>
      <w:spacing w:before="40" w:after="0"/>
      <w:ind w:left="288" w:hanging="288"/>
    </w:pPr>
    <w:rPr>
      <w:sz w:val="20"/>
      <w:szCs w:val="24"/>
      <w:lang w:val="en-US"/>
    </w:rPr>
  </w:style>
  <w:style w:type="paragraph" w:customStyle="1" w:styleId="TableCellLeft">
    <w:name w:val="Table Cell Left"/>
    <w:basedOn w:val="BodyText"/>
    <w:link w:val="TableCellLeftChar"/>
    <w:rsid w:val="005F6802"/>
    <w:pPr>
      <w:spacing w:before="40" w:after="40"/>
    </w:pPr>
    <w:rPr>
      <w:sz w:val="24"/>
      <w:szCs w:val="24"/>
      <w:lang w:val="x-none"/>
    </w:rPr>
  </w:style>
  <w:style w:type="character" w:customStyle="1" w:styleId="TableCellLeftChar">
    <w:name w:val="Table Cell Left Char"/>
    <w:link w:val="TableCellLeft"/>
    <w:locked/>
    <w:rsid w:val="005F6802"/>
    <w:rPr>
      <w:sz w:val="24"/>
      <w:szCs w:val="24"/>
      <w:lang w:val="x-none" w:eastAsia="x-none"/>
    </w:rPr>
  </w:style>
  <w:style w:type="paragraph" w:styleId="Caption">
    <w:name w:val="caption"/>
    <w:basedOn w:val="BodyText"/>
    <w:next w:val="BodyText"/>
    <w:link w:val="CaptionChar"/>
    <w:qFormat/>
    <w:rsid w:val="005F6802"/>
    <w:pPr>
      <w:keepNext/>
      <w:keepLines/>
      <w:spacing w:before="120" w:line="300" w:lineRule="exact"/>
      <w:jc w:val="center"/>
    </w:pPr>
    <w:rPr>
      <w:b/>
      <w:bCs/>
      <w:sz w:val="24"/>
      <w:lang w:val="x-none"/>
    </w:rPr>
  </w:style>
  <w:style w:type="character" w:customStyle="1" w:styleId="CaptionChar">
    <w:name w:val="Caption Char"/>
    <w:link w:val="Caption"/>
    <w:rsid w:val="005F6802"/>
    <w:rPr>
      <w:b/>
      <w:bCs/>
      <w:sz w:val="24"/>
      <w:lang w:val="x-none" w:eastAsia="x-none"/>
    </w:rPr>
  </w:style>
  <w:style w:type="paragraph" w:customStyle="1" w:styleId="Default">
    <w:name w:val="Default"/>
    <w:rsid w:val="005F6802"/>
    <w:pPr>
      <w:autoSpaceDE w:val="0"/>
      <w:autoSpaceDN w:val="0"/>
      <w:adjustRightInd w:val="0"/>
    </w:pPr>
    <w:rPr>
      <w:rFonts w:eastAsia="SimSun"/>
      <w:color w:val="000000"/>
      <w:sz w:val="24"/>
      <w:szCs w:val="24"/>
      <w:lang w:val="en-GB" w:eastAsia="zh-CN"/>
    </w:rPr>
  </w:style>
  <w:style w:type="character" w:customStyle="1" w:styleId="Heading5Char">
    <w:name w:val="Heading 5 Char"/>
    <w:basedOn w:val="DefaultParagraphFont"/>
    <w:link w:val="Heading5"/>
    <w:rsid w:val="00A551E1"/>
    <w:rPr>
      <w:noProof/>
      <w:sz w:val="22"/>
      <w:lang w:val="en-GB"/>
    </w:rPr>
  </w:style>
  <w:style w:type="character" w:customStyle="1" w:styleId="Heading6Char">
    <w:name w:val="Heading 6 Char"/>
    <w:basedOn w:val="DefaultParagraphFont"/>
    <w:link w:val="Heading6"/>
    <w:rsid w:val="00A551E1"/>
    <w:rPr>
      <w:i/>
      <w:sz w:val="22"/>
      <w:lang w:val="en-GB"/>
    </w:rPr>
  </w:style>
  <w:style w:type="character" w:customStyle="1" w:styleId="Heading7Char">
    <w:name w:val="Heading 7 Char"/>
    <w:basedOn w:val="DefaultParagraphFont"/>
    <w:link w:val="Heading7"/>
    <w:rsid w:val="00A551E1"/>
    <w:rPr>
      <w:i/>
      <w:sz w:val="22"/>
      <w:lang w:val="en-GB"/>
    </w:rPr>
  </w:style>
  <w:style w:type="character" w:customStyle="1" w:styleId="Heading8Char">
    <w:name w:val="Heading 8 Char"/>
    <w:basedOn w:val="DefaultParagraphFont"/>
    <w:link w:val="Heading8"/>
    <w:rsid w:val="00A551E1"/>
    <w:rPr>
      <w:b/>
      <w:i/>
      <w:sz w:val="22"/>
      <w:lang w:val="en-GB"/>
    </w:rPr>
  </w:style>
  <w:style w:type="character" w:customStyle="1" w:styleId="Heading9Char">
    <w:name w:val="Heading 9 Char"/>
    <w:basedOn w:val="DefaultParagraphFont"/>
    <w:link w:val="Heading9"/>
    <w:rsid w:val="00A551E1"/>
    <w:rPr>
      <w:b/>
      <w:i/>
      <w:sz w:val="22"/>
      <w:lang w:val="en-GB"/>
    </w:rPr>
  </w:style>
  <w:style w:type="paragraph" w:styleId="BodyTextIndent">
    <w:name w:val="Body Text Indent"/>
    <w:basedOn w:val="Normal"/>
    <w:link w:val="BodyTextIndentChar"/>
    <w:rsid w:val="00A551E1"/>
    <w:pPr>
      <w:tabs>
        <w:tab w:val="clear" w:pos="284"/>
      </w:tabs>
      <w:autoSpaceDE w:val="0"/>
      <w:autoSpaceDN w:val="0"/>
      <w:adjustRightInd w:val="0"/>
      <w:ind w:left="720"/>
    </w:pPr>
    <w:rPr>
      <w:szCs w:val="22"/>
      <w:lang w:val="en-GB" w:eastAsia="en-GB"/>
    </w:rPr>
  </w:style>
  <w:style w:type="character" w:customStyle="1" w:styleId="BodyTextIndentChar">
    <w:name w:val="Body Text Indent Char"/>
    <w:basedOn w:val="DefaultParagraphFont"/>
    <w:link w:val="BodyTextIndent"/>
    <w:rsid w:val="00A551E1"/>
    <w:rPr>
      <w:sz w:val="22"/>
      <w:szCs w:val="22"/>
      <w:lang w:val="en-GB" w:eastAsia="en-GB"/>
    </w:rPr>
  </w:style>
  <w:style w:type="paragraph" w:styleId="BodyText3">
    <w:name w:val="Body Text 3"/>
    <w:basedOn w:val="Normal"/>
    <w:link w:val="BodyText3Char"/>
    <w:rsid w:val="00A551E1"/>
    <w:pPr>
      <w:tabs>
        <w:tab w:val="clear" w:pos="284"/>
      </w:tabs>
      <w:autoSpaceDE w:val="0"/>
      <w:autoSpaceDN w:val="0"/>
      <w:adjustRightInd w:val="0"/>
    </w:pPr>
    <w:rPr>
      <w:color w:val="0000FF"/>
      <w:szCs w:val="22"/>
      <w:lang w:val="en-GB" w:eastAsia="en-GB"/>
    </w:rPr>
  </w:style>
  <w:style w:type="character" w:customStyle="1" w:styleId="BodyText3Char">
    <w:name w:val="Body Text 3 Char"/>
    <w:basedOn w:val="DefaultParagraphFont"/>
    <w:link w:val="BodyText3"/>
    <w:rsid w:val="00A551E1"/>
    <w:rPr>
      <w:color w:val="0000FF"/>
      <w:sz w:val="22"/>
      <w:szCs w:val="22"/>
      <w:lang w:val="en-GB" w:eastAsia="en-GB"/>
    </w:rPr>
  </w:style>
  <w:style w:type="paragraph" w:styleId="BodyTextIndent2">
    <w:name w:val="Body Text Indent 2"/>
    <w:basedOn w:val="Normal"/>
    <w:link w:val="BodyTextIndent2Char"/>
    <w:rsid w:val="00A551E1"/>
    <w:pPr>
      <w:pBdr>
        <w:top w:val="wave" w:sz="6" w:space="0" w:color="auto"/>
        <w:left w:val="wave" w:sz="6" w:space="3" w:color="auto"/>
        <w:bottom w:val="wave" w:sz="6" w:space="1" w:color="auto"/>
        <w:right w:val="wave" w:sz="6" w:space="4" w:color="auto"/>
      </w:pBdr>
      <w:tabs>
        <w:tab w:val="clear" w:pos="284"/>
        <w:tab w:val="left" w:pos="567"/>
      </w:tabs>
      <w:autoSpaceDE w:val="0"/>
      <w:autoSpaceDN w:val="0"/>
      <w:adjustRightInd w:val="0"/>
      <w:spacing w:line="260" w:lineRule="exact"/>
      <w:ind w:left="1134"/>
    </w:pPr>
    <w:rPr>
      <w:b/>
      <w:bCs/>
      <w:color w:val="0000FF"/>
      <w:szCs w:val="22"/>
      <w:lang w:val="en-GB"/>
    </w:rPr>
  </w:style>
  <w:style w:type="character" w:customStyle="1" w:styleId="BodyTextIndent2Char">
    <w:name w:val="Body Text Indent 2 Char"/>
    <w:basedOn w:val="DefaultParagraphFont"/>
    <w:link w:val="BodyTextIndent2"/>
    <w:rsid w:val="00A551E1"/>
    <w:rPr>
      <w:b/>
      <w:bCs/>
      <w:color w:val="0000FF"/>
      <w:sz w:val="22"/>
      <w:szCs w:val="22"/>
      <w:lang w:val="en-GB"/>
    </w:rPr>
  </w:style>
  <w:style w:type="paragraph" w:styleId="BodyText2">
    <w:name w:val="Body Text 2"/>
    <w:basedOn w:val="Normal"/>
    <w:link w:val="BodyText2Char"/>
    <w:rsid w:val="00A551E1"/>
    <w:pPr>
      <w:pBdr>
        <w:top w:val="wave" w:sz="6" w:space="0" w:color="auto"/>
        <w:left w:val="wave" w:sz="6" w:space="3" w:color="auto"/>
        <w:bottom w:val="wave" w:sz="6" w:space="1" w:color="auto"/>
        <w:right w:val="wave" w:sz="6" w:space="4" w:color="auto"/>
      </w:pBdr>
      <w:tabs>
        <w:tab w:val="clear" w:pos="284"/>
        <w:tab w:val="left" w:pos="567"/>
      </w:tabs>
      <w:autoSpaceDE w:val="0"/>
      <w:autoSpaceDN w:val="0"/>
      <w:adjustRightInd w:val="0"/>
      <w:spacing w:line="260" w:lineRule="exact"/>
    </w:pPr>
    <w:rPr>
      <w:b/>
      <w:bCs/>
      <w:color w:val="0000FF"/>
      <w:szCs w:val="22"/>
      <w:u w:val="single"/>
      <w:lang w:val="en-GB"/>
    </w:rPr>
  </w:style>
  <w:style w:type="character" w:customStyle="1" w:styleId="BodyText2Char">
    <w:name w:val="Body Text 2 Char"/>
    <w:basedOn w:val="DefaultParagraphFont"/>
    <w:link w:val="BodyText2"/>
    <w:rsid w:val="00A551E1"/>
    <w:rPr>
      <w:b/>
      <w:bCs/>
      <w:color w:val="0000FF"/>
      <w:sz w:val="22"/>
      <w:szCs w:val="22"/>
      <w:u w:val="single"/>
      <w:lang w:val="en-GB"/>
    </w:rPr>
  </w:style>
  <w:style w:type="paragraph" w:styleId="DocumentMap">
    <w:name w:val="Document Map"/>
    <w:basedOn w:val="Normal"/>
    <w:link w:val="DocumentMapChar"/>
    <w:semiHidden/>
    <w:rsid w:val="00A551E1"/>
    <w:pPr>
      <w:shd w:val="clear" w:color="auto" w:fill="000080"/>
      <w:tabs>
        <w:tab w:val="clear" w:pos="284"/>
        <w:tab w:val="left" w:pos="567"/>
      </w:tabs>
      <w:spacing w:line="260" w:lineRule="exact"/>
      <w:jc w:val="left"/>
    </w:pPr>
    <w:rPr>
      <w:rFonts w:ascii="Tahoma" w:hAnsi="Tahoma" w:cs="Tahoma"/>
      <w:szCs w:val="20"/>
      <w:lang w:val="en-GB"/>
    </w:rPr>
  </w:style>
  <w:style w:type="character" w:customStyle="1" w:styleId="DocumentMapChar">
    <w:name w:val="Document Map Char"/>
    <w:basedOn w:val="DefaultParagraphFont"/>
    <w:link w:val="DocumentMap"/>
    <w:semiHidden/>
    <w:rsid w:val="00A551E1"/>
    <w:rPr>
      <w:rFonts w:ascii="Tahoma" w:hAnsi="Tahoma" w:cs="Tahoma"/>
      <w:sz w:val="22"/>
      <w:shd w:val="clear" w:color="auto" w:fill="000080"/>
      <w:lang w:val="en-GB"/>
    </w:rPr>
  </w:style>
  <w:style w:type="character" w:styleId="Hyperlink">
    <w:name w:val="Hyperlink"/>
    <w:rsid w:val="00A551E1"/>
    <w:rPr>
      <w:color w:val="0000FF"/>
      <w:u w:val="single"/>
    </w:rPr>
  </w:style>
  <w:style w:type="paragraph" w:customStyle="1" w:styleId="AHeader1">
    <w:name w:val="AHeader 1"/>
    <w:basedOn w:val="Normal"/>
    <w:rsid w:val="00A551E1"/>
    <w:pPr>
      <w:numPr>
        <w:numId w:val="16"/>
      </w:numPr>
      <w:tabs>
        <w:tab w:val="clear" w:pos="284"/>
      </w:tabs>
      <w:spacing w:after="120"/>
      <w:jc w:val="left"/>
    </w:pPr>
    <w:rPr>
      <w:rFonts w:ascii="Arial" w:hAnsi="Arial" w:cs="Arial"/>
      <w:b/>
      <w:bCs/>
      <w:sz w:val="24"/>
      <w:szCs w:val="20"/>
      <w:lang w:val="en-GB"/>
    </w:rPr>
  </w:style>
  <w:style w:type="paragraph" w:customStyle="1" w:styleId="AHeader2">
    <w:name w:val="AHeader 2"/>
    <w:basedOn w:val="AHeader1"/>
    <w:rsid w:val="00A551E1"/>
    <w:pPr>
      <w:numPr>
        <w:ilvl w:val="1"/>
      </w:numPr>
      <w:tabs>
        <w:tab w:val="clear" w:pos="709"/>
        <w:tab w:val="num" w:pos="360"/>
      </w:tabs>
    </w:pPr>
    <w:rPr>
      <w:sz w:val="22"/>
    </w:rPr>
  </w:style>
  <w:style w:type="paragraph" w:customStyle="1" w:styleId="AHeader3">
    <w:name w:val="AHeader 3"/>
    <w:basedOn w:val="AHeader2"/>
    <w:rsid w:val="00A551E1"/>
    <w:pPr>
      <w:numPr>
        <w:ilvl w:val="2"/>
      </w:numPr>
      <w:tabs>
        <w:tab w:val="clear" w:pos="1276"/>
        <w:tab w:val="num" w:pos="360"/>
      </w:tabs>
    </w:pPr>
  </w:style>
  <w:style w:type="paragraph" w:customStyle="1" w:styleId="AHeader2abc">
    <w:name w:val="AHeader 2 abc"/>
    <w:basedOn w:val="AHeader3"/>
    <w:rsid w:val="00A551E1"/>
    <w:pPr>
      <w:numPr>
        <w:ilvl w:val="3"/>
      </w:numPr>
      <w:tabs>
        <w:tab w:val="clear" w:pos="1276"/>
        <w:tab w:val="num" w:pos="360"/>
      </w:tabs>
      <w:jc w:val="both"/>
    </w:pPr>
    <w:rPr>
      <w:b w:val="0"/>
      <w:bCs w:val="0"/>
    </w:rPr>
  </w:style>
  <w:style w:type="paragraph" w:customStyle="1" w:styleId="AHeader3abc">
    <w:name w:val="AHeader 3 abc"/>
    <w:basedOn w:val="AHeader2abc"/>
    <w:rsid w:val="00A551E1"/>
    <w:pPr>
      <w:numPr>
        <w:ilvl w:val="4"/>
      </w:numPr>
      <w:tabs>
        <w:tab w:val="clear" w:pos="1701"/>
        <w:tab w:val="num" w:pos="360"/>
      </w:tabs>
    </w:pPr>
  </w:style>
  <w:style w:type="paragraph" w:styleId="BodyTextIndent3">
    <w:name w:val="Body Text Indent 3"/>
    <w:basedOn w:val="Normal"/>
    <w:link w:val="BodyTextIndent3Char"/>
    <w:rsid w:val="00A551E1"/>
    <w:pPr>
      <w:tabs>
        <w:tab w:val="clear" w:pos="284"/>
        <w:tab w:val="left" w:pos="567"/>
        <w:tab w:val="left" w:pos="1134"/>
      </w:tabs>
      <w:autoSpaceDE w:val="0"/>
      <w:autoSpaceDN w:val="0"/>
      <w:adjustRightInd w:val="0"/>
      <w:spacing w:line="260" w:lineRule="exact"/>
      <w:ind w:left="633"/>
    </w:pPr>
    <w:rPr>
      <w:szCs w:val="21"/>
      <w:lang w:val="en-GB"/>
    </w:rPr>
  </w:style>
  <w:style w:type="character" w:customStyle="1" w:styleId="BodyTextIndent3Char">
    <w:name w:val="Body Text Indent 3 Char"/>
    <w:basedOn w:val="DefaultParagraphFont"/>
    <w:link w:val="BodyTextIndent3"/>
    <w:rsid w:val="00A551E1"/>
    <w:rPr>
      <w:sz w:val="22"/>
      <w:szCs w:val="21"/>
      <w:lang w:val="en-GB"/>
    </w:rPr>
  </w:style>
  <w:style w:type="character" w:styleId="FollowedHyperlink">
    <w:name w:val="FollowedHyperlink"/>
    <w:rsid w:val="00A551E1"/>
    <w:rPr>
      <w:color w:val="800080"/>
      <w:u w:val="single"/>
    </w:rPr>
  </w:style>
  <w:style w:type="paragraph" w:customStyle="1" w:styleId="BodytextAgency">
    <w:name w:val="Body text (Agency)"/>
    <w:basedOn w:val="Normal"/>
    <w:link w:val="BodytextAgencyChar"/>
    <w:rsid w:val="00A551E1"/>
    <w:pPr>
      <w:tabs>
        <w:tab w:val="clear" w:pos="284"/>
      </w:tabs>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A551E1"/>
    <w:rPr>
      <w:rFonts w:ascii="Verdana" w:eastAsia="Verdana" w:hAnsi="Verdana" w:cs="Verdana"/>
      <w:sz w:val="18"/>
      <w:szCs w:val="18"/>
      <w:lang w:val="en-GB" w:eastAsia="en-GB"/>
    </w:rPr>
  </w:style>
  <w:style w:type="table" w:customStyle="1" w:styleId="TableGrid">
    <w:name w:val="TableGrid"/>
    <w:rsid w:val="00A551E1"/>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uiPriority w:val="9"/>
    <w:rsid w:val="00A551E1"/>
    <w:rPr>
      <w:rFonts w:ascii="Arial" w:hAnsi="Arial" w:cs="Arial"/>
      <w:i/>
      <w:iCs/>
      <w:color w:val="999999"/>
      <w:sz w:val="18"/>
      <w:szCs w:val="24"/>
    </w:rPr>
  </w:style>
  <w:style w:type="table" w:customStyle="1" w:styleId="TableGrid1">
    <w:name w:val="TableGrid1"/>
    <w:rsid w:val="00A551E1"/>
    <w:rPr>
      <w:rFonts w:ascii="Calibri" w:hAnsi="Calibri"/>
      <w:sz w:val="22"/>
      <w:szCs w:val="22"/>
    </w:rPr>
    <w:tblPr>
      <w:tblCellMar>
        <w:top w:w="0" w:type="dxa"/>
        <w:left w:w="0" w:type="dxa"/>
        <w:bottom w:w="0" w:type="dxa"/>
        <w:right w:w="0" w:type="dxa"/>
      </w:tblCellMar>
    </w:tblPr>
  </w:style>
  <w:style w:type="numbering" w:customStyle="1" w:styleId="NoList1">
    <w:name w:val="No List1"/>
    <w:next w:val="NoList"/>
    <w:uiPriority w:val="99"/>
    <w:semiHidden/>
    <w:unhideWhenUsed/>
    <w:rsid w:val="00A551E1"/>
  </w:style>
  <w:style w:type="character" w:customStyle="1" w:styleId="Heading1Char">
    <w:name w:val="Heading 1 Char"/>
    <w:link w:val="Heading1"/>
    <w:uiPriority w:val="9"/>
    <w:rsid w:val="00A551E1"/>
    <w:rPr>
      <w:rFonts w:ascii="Arial (W1)" w:hAnsi="Arial (W1)" w:cs="Arial"/>
      <w:b/>
      <w:bCs/>
      <w:i/>
      <w:iCs/>
      <w:sz w:val="32"/>
      <w:szCs w:val="24"/>
      <w:u w:val="single"/>
      <w:lang w:val="sr-Latn-CS"/>
    </w:rPr>
  </w:style>
  <w:style w:type="character" w:customStyle="1" w:styleId="Heading3Char">
    <w:name w:val="Heading 3 Char"/>
    <w:link w:val="Heading3"/>
    <w:uiPriority w:val="9"/>
    <w:rsid w:val="00A551E1"/>
    <w:rPr>
      <w:rFonts w:ascii="Arial" w:hAnsi="Arial" w:cs="Arial"/>
      <w:i/>
      <w:iCs/>
      <w:color w:val="999999"/>
      <w:sz w:val="18"/>
      <w:szCs w:val="24"/>
    </w:rPr>
  </w:style>
  <w:style w:type="table" w:customStyle="1" w:styleId="TableGrid2">
    <w:name w:val="TableGrid2"/>
    <w:rsid w:val="00A551E1"/>
    <w:rPr>
      <w:rFonts w:ascii="Calibri" w:hAnsi="Calibri"/>
      <w:sz w:val="22"/>
      <w:szCs w:val="22"/>
    </w:rPr>
    <w:tblPr>
      <w:tblCellMar>
        <w:top w:w="0" w:type="dxa"/>
        <w:left w:w="0" w:type="dxa"/>
        <w:bottom w:w="0" w:type="dxa"/>
        <w:right w:w="0" w:type="dxa"/>
      </w:tblCellMar>
    </w:tblPr>
  </w:style>
  <w:style w:type="table" w:customStyle="1" w:styleId="TableGrid3">
    <w:name w:val="TableGrid3"/>
    <w:rsid w:val="00A551E1"/>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A5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65E"/>
    <w:pPr>
      <w:ind w:left="720"/>
      <w:contextualSpacing/>
    </w:pPr>
  </w:style>
  <w:style w:type="paragraph" w:styleId="NoSpacing">
    <w:name w:val="No Spacing"/>
    <w:uiPriority w:val="1"/>
    <w:qFormat/>
    <w:rsid w:val="00B31EEF"/>
    <w:rPr>
      <w:sz w:val="24"/>
      <w:szCs w:val="24"/>
    </w:rPr>
  </w:style>
  <w:style w:type="paragraph" w:styleId="Revision">
    <w:name w:val="Revision"/>
    <w:hidden/>
    <w:uiPriority w:val="99"/>
    <w:semiHidden/>
    <w:rsid w:val="00B1724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58702">
      <w:bodyDiv w:val="1"/>
      <w:marLeft w:val="0"/>
      <w:marRight w:val="0"/>
      <w:marTop w:val="0"/>
      <w:marBottom w:val="0"/>
      <w:divBdr>
        <w:top w:val="none" w:sz="0" w:space="0" w:color="auto"/>
        <w:left w:val="none" w:sz="0" w:space="0" w:color="auto"/>
        <w:bottom w:val="none" w:sz="0" w:space="0" w:color="auto"/>
        <w:right w:val="none" w:sz="0" w:space="0" w:color="auto"/>
      </w:divBdr>
    </w:div>
    <w:div w:id="949510238">
      <w:bodyDiv w:val="1"/>
      <w:marLeft w:val="0"/>
      <w:marRight w:val="0"/>
      <w:marTop w:val="0"/>
      <w:marBottom w:val="0"/>
      <w:divBdr>
        <w:top w:val="none" w:sz="0" w:space="0" w:color="auto"/>
        <w:left w:val="none" w:sz="0" w:space="0" w:color="auto"/>
        <w:bottom w:val="none" w:sz="0" w:space="0" w:color="auto"/>
        <w:right w:val="none" w:sz="0" w:space="0" w:color="auto"/>
      </w:divBdr>
    </w:div>
    <w:div w:id="1975602413">
      <w:bodyDiv w:val="1"/>
      <w:marLeft w:val="0"/>
      <w:marRight w:val="0"/>
      <w:marTop w:val="0"/>
      <w:marBottom w:val="0"/>
      <w:divBdr>
        <w:top w:val="none" w:sz="0" w:space="0" w:color="auto"/>
        <w:left w:val="none" w:sz="0" w:space="0" w:color="auto"/>
        <w:bottom w:val="none" w:sz="0" w:space="0" w:color="auto"/>
        <w:right w:val="none" w:sz="0" w:space="0" w:color="auto"/>
      </w:divBdr>
    </w:div>
    <w:div w:id="21099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yreporting.who-umc.org/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19CD9-7B45-4C36-90EF-D190BF5B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11362</Words>
  <Characters>64765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5</cp:revision>
  <cp:lastPrinted>2016-07-25T08:52:00Z</cp:lastPrinted>
  <dcterms:created xsi:type="dcterms:W3CDTF">2024-08-13T05:48:00Z</dcterms:created>
  <dcterms:modified xsi:type="dcterms:W3CDTF">2024-08-13T05:59:00Z</dcterms:modified>
</cp:coreProperties>
</file>