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033F99" w14:textId="77777777" w:rsidR="00F91C7B" w:rsidRPr="00F3439A" w:rsidRDefault="00F91C7B" w:rsidP="001A5518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04ABAED9" w14:textId="77777777" w:rsidR="002510A5" w:rsidRPr="00F3439A" w:rsidRDefault="002510A5" w:rsidP="002510A5">
      <w:pPr>
        <w:jc w:val="center"/>
        <w:rPr>
          <w:b/>
          <w:bCs/>
          <w:iCs/>
          <w:sz w:val="22"/>
          <w:szCs w:val="22"/>
          <w:u w:val="single"/>
          <w:lang w:val="sr-Latn-ME"/>
        </w:rPr>
      </w:pPr>
      <w:r w:rsidRPr="00F3439A">
        <w:rPr>
          <w:b/>
          <w:bCs/>
          <w:iCs/>
          <w:sz w:val="22"/>
          <w:szCs w:val="22"/>
          <w:u w:val="single"/>
          <w:lang w:val="sr-Latn-ME"/>
        </w:rPr>
        <w:t>SAŽETAK KARAKTERISTIKA LIJEKA</w:t>
      </w:r>
    </w:p>
    <w:p w14:paraId="495F5B47" w14:textId="77777777" w:rsidR="002510A5" w:rsidRPr="00F3439A" w:rsidRDefault="002510A5" w:rsidP="002510A5">
      <w:pPr>
        <w:rPr>
          <w:b/>
          <w:bCs/>
          <w:i/>
          <w:iCs/>
          <w:sz w:val="22"/>
          <w:szCs w:val="22"/>
          <w:u w:val="single"/>
          <w:lang w:val="sr-Latn-ME"/>
        </w:rPr>
      </w:pPr>
    </w:p>
    <w:p w14:paraId="6A3D7F38" w14:textId="77777777" w:rsidR="003C17AB" w:rsidRPr="00F3439A" w:rsidRDefault="003C17AB" w:rsidP="00CA1FEB">
      <w:pPr>
        <w:rPr>
          <w:sz w:val="22"/>
          <w:szCs w:val="22"/>
          <w:lang w:val="sr-Latn-ME"/>
        </w:rPr>
      </w:pPr>
    </w:p>
    <w:p w14:paraId="54466BAC" w14:textId="77777777" w:rsidR="00C37FD7" w:rsidRPr="00F3439A" w:rsidRDefault="00C37FD7" w:rsidP="00F5167F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C9D87A4" w14:textId="77777777" w:rsidR="00411B4B" w:rsidRPr="00F3439A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3439A">
        <w:rPr>
          <w:b/>
          <w:bCs/>
          <w:sz w:val="22"/>
          <w:szCs w:val="22"/>
          <w:lang w:val="sr-Latn-ME"/>
        </w:rPr>
        <w:t>1.</w:t>
      </w:r>
      <w:r w:rsidR="00F5167F" w:rsidRPr="00F3439A">
        <w:rPr>
          <w:b/>
          <w:bCs/>
          <w:sz w:val="22"/>
          <w:szCs w:val="22"/>
          <w:lang w:val="sr-Latn-ME"/>
        </w:rPr>
        <w:tab/>
      </w:r>
      <w:r w:rsidR="002846DB" w:rsidRPr="00F3439A">
        <w:rPr>
          <w:b/>
          <w:bCs/>
          <w:sz w:val="22"/>
          <w:szCs w:val="22"/>
          <w:lang w:val="sr-Latn-ME"/>
        </w:rPr>
        <w:t xml:space="preserve">NAZIV </w:t>
      </w:r>
      <w:r w:rsidRPr="00F3439A">
        <w:rPr>
          <w:b/>
          <w:bCs/>
          <w:sz w:val="22"/>
          <w:szCs w:val="22"/>
          <w:lang w:val="sr-Latn-ME"/>
        </w:rPr>
        <w:t>LIJEKA</w:t>
      </w:r>
    </w:p>
    <w:p w14:paraId="32697678" w14:textId="77777777" w:rsidR="00EC2532" w:rsidRPr="00F3439A" w:rsidRDefault="00EC2532">
      <w:pPr>
        <w:rPr>
          <w:sz w:val="22"/>
          <w:szCs w:val="22"/>
          <w:lang w:val="sr-Latn-ME"/>
        </w:rPr>
      </w:pPr>
    </w:p>
    <w:p w14:paraId="12F2B5E9" w14:textId="5BF69AA3" w:rsidR="000D425A" w:rsidRPr="00F3439A" w:rsidRDefault="00F738B6">
      <w:pPr>
        <w:rPr>
          <w:bCs/>
          <w:sz w:val="22"/>
          <w:szCs w:val="22"/>
          <w:lang w:val="sr-Latn-ME"/>
        </w:rPr>
      </w:pPr>
      <w:proofErr w:type="spellStart"/>
      <w:r w:rsidRPr="00F3439A">
        <w:rPr>
          <w:bCs/>
          <w:sz w:val="22"/>
          <w:szCs w:val="22"/>
          <w:lang w:val="sr-Latn-ME"/>
        </w:rPr>
        <w:t>Ikatibant</w:t>
      </w:r>
      <w:proofErr w:type="spellEnd"/>
      <w:r w:rsidRPr="00F3439A">
        <w:rPr>
          <w:bCs/>
          <w:sz w:val="22"/>
          <w:szCs w:val="22"/>
          <w:lang w:val="sr-Latn-ME"/>
        </w:rPr>
        <w:t xml:space="preserve"> SK, 30 mg/3 m</w:t>
      </w:r>
      <w:r w:rsidR="00A10F79">
        <w:rPr>
          <w:bCs/>
          <w:sz w:val="22"/>
          <w:szCs w:val="22"/>
          <w:lang w:val="sr-Latn-ME"/>
        </w:rPr>
        <w:t>l</w:t>
      </w:r>
      <w:r w:rsidRPr="00F3439A">
        <w:rPr>
          <w:bCs/>
          <w:sz w:val="22"/>
          <w:szCs w:val="22"/>
          <w:lang w:val="sr-Latn-ME"/>
        </w:rPr>
        <w:t>, rastvor za injekciju u napunjenom injekcionom špricu</w:t>
      </w:r>
    </w:p>
    <w:p w14:paraId="043956BB" w14:textId="77777777" w:rsidR="00F738B6" w:rsidRPr="00F3439A" w:rsidRDefault="00F738B6">
      <w:pPr>
        <w:rPr>
          <w:bCs/>
          <w:sz w:val="22"/>
          <w:szCs w:val="22"/>
          <w:lang w:val="sr-Latn-ME"/>
        </w:rPr>
      </w:pPr>
    </w:p>
    <w:p w14:paraId="26C1086B" w14:textId="77777777" w:rsidR="006D20A5" w:rsidRPr="00F3439A" w:rsidRDefault="006D20A5" w:rsidP="006D20A5">
      <w:pPr>
        <w:rPr>
          <w:sz w:val="22"/>
          <w:szCs w:val="22"/>
          <w:lang w:val="sr-Latn-ME"/>
        </w:rPr>
      </w:pPr>
      <w:proofErr w:type="spellStart"/>
      <w:r w:rsidRPr="00F3439A">
        <w:rPr>
          <w:sz w:val="22"/>
          <w:szCs w:val="22"/>
          <w:lang w:val="sr-Latn-ME"/>
        </w:rPr>
        <w:t>INN</w:t>
      </w:r>
      <w:proofErr w:type="spellEnd"/>
      <w:r w:rsidRPr="00F3439A">
        <w:rPr>
          <w:sz w:val="22"/>
          <w:szCs w:val="22"/>
          <w:lang w:val="sr-Latn-ME"/>
        </w:rPr>
        <w:t>:</w:t>
      </w:r>
      <w:r w:rsidR="00F738B6" w:rsidRPr="00F3439A">
        <w:rPr>
          <w:sz w:val="22"/>
          <w:szCs w:val="22"/>
          <w:lang w:val="sr-Latn-ME"/>
        </w:rPr>
        <w:t xml:space="preserve"> </w:t>
      </w:r>
      <w:proofErr w:type="spellStart"/>
      <w:r w:rsidR="00F738B6" w:rsidRPr="00F3439A">
        <w:rPr>
          <w:sz w:val="22"/>
          <w:szCs w:val="22"/>
          <w:lang w:val="sr-Latn-ME"/>
        </w:rPr>
        <w:t>ikatibant</w:t>
      </w:r>
      <w:proofErr w:type="spellEnd"/>
    </w:p>
    <w:p w14:paraId="566CCB75" w14:textId="3AC68057" w:rsidR="006D20A5" w:rsidRDefault="006D20A5">
      <w:pPr>
        <w:rPr>
          <w:bCs/>
          <w:sz w:val="22"/>
          <w:szCs w:val="22"/>
          <w:lang w:val="sr-Latn-ME"/>
        </w:rPr>
      </w:pPr>
    </w:p>
    <w:p w14:paraId="6C365DD3" w14:textId="77777777" w:rsidR="008C51F8" w:rsidRPr="00F3439A" w:rsidRDefault="008C51F8">
      <w:pPr>
        <w:rPr>
          <w:bCs/>
          <w:sz w:val="22"/>
          <w:szCs w:val="22"/>
          <w:lang w:val="sr-Latn-ME"/>
        </w:rPr>
      </w:pPr>
    </w:p>
    <w:p w14:paraId="26C6387F" w14:textId="77777777" w:rsidR="00411B4B" w:rsidRPr="00F3439A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3439A">
        <w:rPr>
          <w:b/>
          <w:bCs/>
          <w:sz w:val="22"/>
          <w:szCs w:val="22"/>
          <w:lang w:val="sr-Latn-ME"/>
        </w:rPr>
        <w:t xml:space="preserve">2. </w:t>
      </w:r>
      <w:r w:rsidR="00F5167F" w:rsidRPr="00F3439A">
        <w:rPr>
          <w:b/>
          <w:bCs/>
          <w:sz w:val="22"/>
          <w:szCs w:val="22"/>
          <w:lang w:val="sr-Latn-ME"/>
        </w:rPr>
        <w:tab/>
      </w:r>
      <w:r w:rsidRPr="00F3439A">
        <w:rPr>
          <w:b/>
          <w:bCs/>
          <w:sz w:val="22"/>
          <w:szCs w:val="22"/>
          <w:lang w:val="sr-Latn-ME"/>
        </w:rPr>
        <w:t>KVALITATIVNI I KVANTITATIVNI SASTAV</w:t>
      </w:r>
    </w:p>
    <w:p w14:paraId="1D7236AE" w14:textId="77777777" w:rsidR="005A0B2E" w:rsidRPr="00F3439A" w:rsidRDefault="005A0B2E">
      <w:pPr>
        <w:rPr>
          <w:sz w:val="22"/>
          <w:szCs w:val="22"/>
          <w:lang w:val="sr-Latn-ME"/>
        </w:rPr>
      </w:pPr>
    </w:p>
    <w:p w14:paraId="41A8832F" w14:textId="2C7CE85A" w:rsidR="00F738B6" w:rsidRPr="00F3439A" w:rsidRDefault="00F738B6" w:rsidP="005F546A">
      <w:pPr>
        <w:jc w:val="both"/>
        <w:rPr>
          <w:sz w:val="22"/>
          <w:szCs w:val="22"/>
          <w:lang w:val="sr-Latn-ME"/>
        </w:rPr>
      </w:pPr>
      <w:r w:rsidRPr="00F3439A">
        <w:rPr>
          <w:sz w:val="22"/>
          <w:szCs w:val="22"/>
          <w:lang w:val="sr-Latn-ME"/>
        </w:rPr>
        <w:t>Jedan napunjeni injekcioni špric sa 3 m</w:t>
      </w:r>
      <w:r w:rsidR="00A10F79">
        <w:rPr>
          <w:sz w:val="22"/>
          <w:szCs w:val="22"/>
          <w:lang w:val="sr-Latn-ME"/>
        </w:rPr>
        <w:t>l</w:t>
      </w:r>
      <w:r w:rsidRPr="00F3439A">
        <w:rPr>
          <w:sz w:val="22"/>
          <w:szCs w:val="22"/>
          <w:lang w:val="sr-Latn-ME"/>
        </w:rPr>
        <w:t xml:space="preserve"> rastvora za injekciju sadrži 30 mg </w:t>
      </w:r>
      <w:proofErr w:type="spellStart"/>
      <w:r w:rsidRPr="00F3439A">
        <w:rPr>
          <w:sz w:val="22"/>
          <w:szCs w:val="22"/>
          <w:lang w:val="sr-Latn-ME"/>
        </w:rPr>
        <w:t>ikatibanta</w:t>
      </w:r>
      <w:proofErr w:type="spellEnd"/>
      <w:r w:rsidRPr="00F3439A">
        <w:rPr>
          <w:sz w:val="22"/>
          <w:szCs w:val="22"/>
          <w:lang w:val="sr-Latn-ME"/>
        </w:rPr>
        <w:t xml:space="preserve"> u obliku </w:t>
      </w:r>
      <w:proofErr w:type="spellStart"/>
      <w:r w:rsidRPr="00F3439A">
        <w:rPr>
          <w:sz w:val="22"/>
          <w:szCs w:val="22"/>
          <w:lang w:val="sr-Latn-ME"/>
        </w:rPr>
        <w:t>ikatibant</w:t>
      </w:r>
      <w:proofErr w:type="spellEnd"/>
      <w:r w:rsidR="00571DAF">
        <w:rPr>
          <w:sz w:val="22"/>
          <w:szCs w:val="22"/>
          <w:lang w:val="sr-Latn-ME"/>
        </w:rPr>
        <w:t xml:space="preserve"> </w:t>
      </w:r>
      <w:r w:rsidRPr="00F3439A">
        <w:rPr>
          <w:sz w:val="22"/>
          <w:szCs w:val="22"/>
          <w:lang w:val="sr-Latn-ME"/>
        </w:rPr>
        <w:t>acetata.</w:t>
      </w:r>
    </w:p>
    <w:p w14:paraId="78BD70F8" w14:textId="4EEA8D13" w:rsidR="00F738B6" w:rsidRPr="00F3439A" w:rsidRDefault="00F738B6" w:rsidP="005F546A">
      <w:pPr>
        <w:jc w:val="both"/>
        <w:rPr>
          <w:sz w:val="22"/>
          <w:szCs w:val="22"/>
          <w:lang w:val="sr-Latn-ME"/>
        </w:rPr>
      </w:pPr>
      <w:r w:rsidRPr="00F3439A">
        <w:rPr>
          <w:sz w:val="22"/>
          <w:szCs w:val="22"/>
          <w:lang w:val="sr-Latn-ME"/>
        </w:rPr>
        <w:t>Jedan m</w:t>
      </w:r>
      <w:r w:rsidR="00AF0E44">
        <w:rPr>
          <w:sz w:val="22"/>
          <w:szCs w:val="22"/>
          <w:lang w:val="sr-Latn-ME"/>
        </w:rPr>
        <w:t>l</w:t>
      </w:r>
      <w:r w:rsidRPr="00F3439A">
        <w:rPr>
          <w:sz w:val="22"/>
          <w:szCs w:val="22"/>
          <w:lang w:val="sr-Latn-ME"/>
        </w:rPr>
        <w:t xml:space="preserve"> rastvora za injekciju sadrži 10 mg </w:t>
      </w:r>
      <w:proofErr w:type="spellStart"/>
      <w:r w:rsidRPr="00F3439A">
        <w:rPr>
          <w:sz w:val="22"/>
          <w:szCs w:val="22"/>
          <w:lang w:val="sr-Latn-ME"/>
        </w:rPr>
        <w:t>ikatibanta</w:t>
      </w:r>
      <w:proofErr w:type="spellEnd"/>
      <w:r w:rsidRPr="00F3439A">
        <w:rPr>
          <w:sz w:val="22"/>
          <w:szCs w:val="22"/>
          <w:lang w:val="sr-Latn-ME"/>
        </w:rPr>
        <w:t>.</w:t>
      </w:r>
    </w:p>
    <w:p w14:paraId="16A3E490" w14:textId="77777777" w:rsidR="00F738B6" w:rsidRPr="00F3439A" w:rsidRDefault="00F738B6">
      <w:pPr>
        <w:rPr>
          <w:sz w:val="22"/>
          <w:szCs w:val="22"/>
          <w:lang w:val="sr-Latn-ME"/>
        </w:rPr>
      </w:pPr>
    </w:p>
    <w:p w14:paraId="28843591" w14:textId="77777777" w:rsidR="0003793F" w:rsidRPr="00F3439A" w:rsidRDefault="0003793F">
      <w:pPr>
        <w:rPr>
          <w:sz w:val="22"/>
          <w:szCs w:val="22"/>
          <w:lang w:val="sr-Latn-ME"/>
        </w:rPr>
      </w:pPr>
      <w:r w:rsidRPr="00F3439A">
        <w:rPr>
          <w:sz w:val="22"/>
          <w:szCs w:val="22"/>
          <w:lang w:val="sr-Latn-ME"/>
        </w:rPr>
        <w:t xml:space="preserve">Za spisak svih </w:t>
      </w:r>
      <w:proofErr w:type="spellStart"/>
      <w:r w:rsidRPr="00F3439A">
        <w:rPr>
          <w:sz w:val="22"/>
          <w:szCs w:val="22"/>
          <w:lang w:val="sr-Latn-ME"/>
        </w:rPr>
        <w:t>ekscipijenasa</w:t>
      </w:r>
      <w:proofErr w:type="spellEnd"/>
      <w:r w:rsidRPr="00F3439A">
        <w:rPr>
          <w:sz w:val="22"/>
          <w:szCs w:val="22"/>
          <w:lang w:val="sr-Latn-ME"/>
        </w:rPr>
        <w:t>, pogledati dio 6.1.</w:t>
      </w:r>
    </w:p>
    <w:p w14:paraId="7307B990" w14:textId="280857A3" w:rsidR="0003793F" w:rsidRDefault="0003793F">
      <w:pPr>
        <w:rPr>
          <w:sz w:val="22"/>
          <w:szCs w:val="22"/>
          <w:lang w:val="sr-Latn-ME"/>
        </w:rPr>
      </w:pPr>
    </w:p>
    <w:p w14:paraId="6316D397" w14:textId="77777777" w:rsidR="008C51F8" w:rsidRPr="00F3439A" w:rsidRDefault="008C51F8">
      <w:pPr>
        <w:rPr>
          <w:sz w:val="22"/>
          <w:szCs w:val="22"/>
          <w:lang w:val="sr-Latn-ME"/>
        </w:rPr>
      </w:pPr>
    </w:p>
    <w:p w14:paraId="0A66CADE" w14:textId="77777777" w:rsidR="00411B4B" w:rsidRPr="00F3439A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3439A">
        <w:rPr>
          <w:b/>
          <w:bCs/>
          <w:sz w:val="22"/>
          <w:szCs w:val="22"/>
          <w:lang w:val="sr-Latn-ME"/>
        </w:rPr>
        <w:t xml:space="preserve">3. </w:t>
      </w:r>
      <w:r w:rsidR="00F5167F" w:rsidRPr="00F3439A">
        <w:rPr>
          <w:b/>
          <w:bCs/>
          <w:sz w:val="22"/>
          <w:szCs w:val="22"/>
          <w:lang w:val="sr-Latn-ME"/>
        </w:rPr>
        <w:tab/>
      </w:r>
      <w:r w:rsidRPr="00F3439A">
        <w:rPr>
          <w:b/>
          <w:bCs/>
          <w:sz w:val="22"/>
          <w:szCs w:val="22"/>
          <w:lang w:val="sr-Latn-ME"/>
        </w:rPr>
        <w:t>FARMACEUTSKI OBLIK</w:t>
      </w:r>
      <w:r w:rsidR="009F2D23" w:rsidRPr="00F3439A">
        <w:rPr>
          <w:b/>
          <w:bCs/>
          <w:sz w:val="22"/>
          <w:szCs w:val="22"/>
          <w:lang w:val="sr-Latn-ME"/>
        </w:rPr>
        <w:t xml:space="preserve"> </w:t>
      </w:r>
    </w:p>
    <w:p w14:paraId="24815C60" w14:textId="77777777" w:rsidR="00411B4B" w:rsidRPr="00F3439A" w:rsidRDefault="00411B4B">
      <w:pPr>
        <w:rPr>
          <w:bCs/>
          <w:sz w:val="22"/>
          <w:szCs w:val="22"/>
          <w:lang w:val="sr-Latn-ME"/>
        </w:rPr>
      </w:pPr>
    </w:p>
    <w:p w14:paraId="11C18B6C" w14:textId="77777777" w:rsidR="00F738B6" w:rsidRPr="00F3439A" w:rsidRDefault="00F738B6" w:rsidP="00F738B6">
      <w:pPr>
        <w:rPr>
          <w:bCs/>
          <w:sz w:val="22"/>
          <w:szCs w:val="22"/>
          <w:lang w:val="sr-Latn-ME"/>
        </w:rPr>
      </w:pPr>
      <w:r w:rsidRPr="00F3439A">
        <w:rPr>
          <w:bCs/>
          <w:sz w:val="22"/>
          <w:szCs w:val="22"/>
          <w:lang w:val="sr-Latn-ME"/>
        </w:rPr>
        <w:t>Rastvor za injekciju u napunjenom injekcionom špricu.</w:t>
      </w:r>
    </w:p>
    <w:p w14:paraId="490E58B8" w14:textId="77777777" w:rsidR="00EC2532" w:rsidRPr="00F3439A" w:rsidRDefault="00F738B6" w:rsidP="00F738B6">
      <w:pPr>
        <w:rPr>
          <w:bCs/>
          <w:sz w:val="22"/>
          <w:szCs w:val="22"/>
          <w:lang w:val="sr-Latn-ME"/>
        </w:rPr>
      </w:pPr>
      <w:r w:rsidRPr="00F3439A">
        <w:rPr>
          <w:bCs/>
          <w:sz w:val="22"/>
          <w:szCs w:val="22"/>
          <w:lang w:val="sr-Latn-ME"/>
        </w:rPr>
        <w:t xml:space="preserve">Rastvor je bistra i bezbojna tečnost, </w:t>
      </w:r>
      <w:proofErr w:type="spellStart"/>
      <w:r w:rsidRPr="00F3439A">
        <w:rPr>
          <w:bCs/>
          <w:sz w:val="22"/>
          <w:szCs w:val="22"/>
          <w:lang w:val="sr-Latn-ME"/>
        </w:rPr>
        <w:t>pH</w:t>
      </w:r>
      <w:proofErr w:type="spellEnd"/>
      <w:r w:rsidRPr="00F3439A">
        <w:rPr>
          <w:bCs/>
          <w:sz w:val="22"/>
          <w:szCs w:val="22"/>
          <w:lang w:val="sr-Latn-ME"/>
        </w:rPr>
        <w:t xml:space="preserve"> 5,2-5,8, </w:t>
      </w:r>
      <w:proofErr w:type="spellStart"/>
      <w:r w:rsidRPr="00F3439A">
        <w:rPr>
          <w:bCs/>
          <w:sz w:val="22"/>
          <w:szCs w:val="22"/>
          <w:lang w:val="sr-Latn-ME"/>
        </w:rPr>
        <w:t>osmolalnost</w:t>
      </w:r>
      <w:proofErr w:type="spellEnd"/>
      <w:r w:rsidRPr="00F3439A">
        <w:rPr>
          <w:bCs/>
          <w:sz w:val="22"/>
          <w:szCs w:val="22"/>
          <w:lang w:val="sr-Latn-ME"/>
        </w:rPr>
        <w:t xml:space="preserve"> 270-330 </w:t>
      </w:r>
      <w:proofErr w:type="spellStart"/>
      <w:r w:rsidRPr="00F3439A">
        <w:rPr>
          <w:bCs/>
          <w:sz w:val="22"/>
          <w:szCs w:val="22"/>
          <w:lang w:val="sr-Latn-ME"/>
        </w:rPr>
        <w:t>mOsm</w:t>
      </w:r>
      <w:proofErr w:type="spellEnd"/>
      <w:r w:rsidRPr="00F3439A">
        <w:rPr>
          <w:bCs/>
          <w:sz w:val="22"/>
          <w:szCs w:val="22"/>
          <w:lang w:val="sr-Latn-ME"/>
        </w:rPr>
        <w:t>/kg.</w:t>
      </w:r>
    </w:p>
    <w:p w14:paraId="466E644F" w14:textId="67EFBA39" w:rsidR="00F738B6" w:rsidRDefault="00F738B6">
      <w:pPr>
        <w:rPr>
          <w:bCs/>
          <w:sz w:val="22"/>
          <w:szCs w:val="22"/>
          <w:lang w:val="sr-Latn-ME"/>
        </w:rPr>
      </w:pPr>
    </w:p>
    <w:p w14:paraId="72C81869" w14:textId="77777777" w:rsidR="008C51F8" w:rsidRPr="00F3439A" w:rsidRDefault="008C51F8">
      <w:pPr>
        <w:rPr>
          <w:bCs/>
          <w:sz w:val="22"/>
          <w:szCs w:val="22"/>
          <w:lang w:val="sr-Latn-ME"/>
        </w:rPr>
      </w:pPr>
    </w:p>
    <w:p w14:paraId="140AFFE5" w14:textId="77777777" w:rsidR="00411B4B" w:rsidRPr="00F3439A" w:rsidRDefault="00411B4B" w:rsidP="00F5167F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3439A">
        <w:rPr>
          <w:b/>
          <w:bCs/>
          <w:sz w:val="22"/>
          <w:szCs w:val="22"/>
          <w:lang w:val="sr-Latn-ME"/>
        </w:rPr>
        <w:t xml:space="preserve">4. </w:t>
      </w:r>
      <w:r w:rsidR="00480FB1" w:rsidRPr="00F3439A">
        <w:rPr>
          <w:b/>
          <w:bCs/>
          <w:sz w:val="22"/>
          <w:szCs w:val="22"/>
          <w:lang w:val="sr-Latn-ME"/>
        </w:rPr>
        <w:tab/>
      </w:r>
      <w:r w:rsidRPr="00F3439A">
        <w:rPr>
          <w:b/>
          <w:bCs/>
          <w:sz w:val="22"/>
          <w:szCs w:val="22"/>
          <w:lang w:val="sr-Latn-ME"/>
        </w:rPr>
        <w:t>KLINIČKI PODACI</w:t>
      </w:r>
    </w:p>
    <w:p w14:paraId="0507BBD4" w14:textId="77777777" w:rsidR="00CD6F02" w:rsidRPr="00F3439A" w:rsidRDefault="00CD6F0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4BD5A02" w14:textId="77777777" w:rsidR="00411B4B" w:rsidRPr="00F3439A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3439A">
        <w:rPr>
          <w:b/>
          <w:bCs/>
          <w:sz w:val="22"/>
          <w:szCs w:val="22"/>
          <w:lang w:val="sr-Latn-ME"/>
        </w:rPr>
        <w:t xml:space="preserve">4.1. </w:t>
      </w:r>
      <w:r w:rsidR="00480FB1" w:rsidRPr="00F3439A">
        <w:rPr>
          <w:b/>
          <w:bCs/>
          <w:sz w:val="22"/>
          <w:szCs w:val="22"/>
          <w:lang w:val="sr-Latn-ME"/>
        </w:rPr>
        <w:tab/>
      </w:r>
      <w:r w:rsidRPr="00F3439A">
        <w:rPr>
          <w:b/>
          <w:bCs/>
          <w:sz w:val="22"/>
          <w:szCs w:val="22"/>
          <w:lang w:val="sr-Latn-ME"/>
        </w:rPr>
        <w:t>Terapijske indikacije</w:t>
      </w:r>
    </w:p>
    <w:p w14:paraId="3F32B5B9" w14:textId="77777777" w:rsidR="00411B4B" w:rsidRPr="00F3439A" w:rsidRDefault="00411B4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772607D" w14:textId="6A71F96E" w:rsidR="00F738B6" w:rsidRPr="00F3439A" w:rsidRDefault="0060157A" w:rsidP="005F54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 xml:space="preserve">Lijek </w:t>
      </w:r>
      <w:proofErr w:type="spellStart"/>
      <w:r w:rsidR="00F738B6" w:rsidRPr="00F3439A">
        <w:rPr>
          <w:bCs/>
          <w:sz w:val="22"/>
          <w:szCs w:val="22"/>
          <w:lang w:val="sr-Latn-ME"/>
        </w:rPr>
        <w:t>Ikatibant</w:t>
      </w:r>
      <w:proofErr w:type="spellEnd"/>
      <w:r w:rsidR="00F738B6" w:rsidRPr="00F3439A">
        <w:rPr>
          <w:bCs/>
          <w:sz w:val="22"/>
          <w:szCs w:val="22"/>
          <w:lang w:val="sr-Latn-ME"/>
        </w:rPr>
        <w:t xml:space="preserve"> SK je </w:t>
      </w:r>
      <w:proofErr w:type="spellStart"/>
      <w:r w:rsidR="00F738B6" w:rsidRPr="00F3439A">
        <w:rPr>
          <w:bCs/>
          <w:sz w:val="22"/>
          <w:szCs w:val="22"/>
          <w:lang w:val="sr-Latn-ME"/>
        </w:rPr>
        <w:t>indikovan</w:t>
      </w:r>
      <w:proofErr w:type="spellEnd"/>
      <w:r w:rsidR="00F738B6" w:rsidRPr="00F3439A">
        <w:rPr>
          <w:bCs/>
          <w:sz w:val="22"/>
          <w:szCs w:val="22"/>
          <w:lang w:val="sr-Latn-ME"/>
        </w:rPr>
        <w:t xml:space="preserve"> za simptomatsko l</w:t>
      </w:r>
      <w:r w:rsidR="00AD5C01" w:rsidRPr="00F3439A">
        <w:rPr>
          <w:bCs/>
          <w:sz w:val="22"/>
          <w:szCs w:val="22"/>
          <w:lang w:val="sr-Latn-ME"/>
        </w:rPr>
        <w:t>ij</w:t>
      </w:r>
      <w:r w:rsidR="00F738B6" w:rsidRPr="00F3439A">
        <w:rPr>
          <w:bCs/>
          <w:sz w:val="22"/>
          <w:szCs w:val="22"/>
          <w:lang w:val="sr-Latn-ME"/>
        </w:rPr>
        <w:t>ečenje akutnih napada hereditarnog/</w:t>
      </w:r>
      <w:proofErr w:type="spellStart"/>
      <w:r w:rsidR="00F738B6" w:rsidRPr="00F3439A">
        <w:rPr>
          <w:bCs/>
          <w:sz w:val="22"/>
          <w:szCs w:val="22"/>
          <w:lang w:val="sr-Latn-ME"/>
        </w:rPr>
        <w:t>nasl</w:t>
      </w:r>
      <w:r w:rsidR="00AF0E44">
        <w:rPr>
          <w:bCs/>
          <w:sz w:val="22"/>
          <w:szCs w:val="22"/>
          <w:lang w:val="sr-Latn-ME"/>
        </w:rPr>
        <w:t>j</w:t>
      </w:r>
      <w:r w:rsidR="00F738B6" w:rsidRPr="00F3439A">
        <w:rPr>
          <w:bCs/>
          <w:sz w:val="22"/>
          <w:szCs w:val="22"/>
          <w:lang w:val="sr-Latn-ME"/>
        </w:rPr>
        <w:t>ednog</w:t>
      </w:r>
      <w:proofErr w:type="spellEnd"/>
      <w:r w:rsidR="00F738B6" w:rsidRPr="00F3439A">
        <w:rPr>
          <w:bCs/>
          <w:sz w:val="22"/>
          <w:szCs w:val="22"/>
          <w:lang w:val="sr-Latn-ME"/>
        </w:rPr>
        <w:t xml:space="preserve"> </w:t>
      </w:r>
      <w:proofErr w:type="spellStart"/>
      <w:r w:rsidR="00F738B6" w:rsidRPr="00F3439A">
        <w:rPr>
          <w:bCs/>
          <w:sz w:val="22"/>
          <w:szCs w:val="22"/>
          <w:lang w:val="sr-Latn-ME"/>
        </w:rPr>
        <w:t>angioedema</w:t>
      </w:r>
      <w:proofErr w:type="spellEnd"/>
      <w:r w:rsidR="00F738B6" w:rsidRPr="00F3439A">
        <w:rPr>
          <w:bCs/>
          <w:sz w:val="22"/>
          <w:szCs w:val="22"/>
          <w:lang w:val="sr-Latn-ME"/>
        </w:rPr>
        <w:t xml:space="preserve"> (</w:t>
      </w:r>
      <w:proofErr w:type="spellStart"/>
      <w:r w:rsidR="00F738B6" w:rsidRPr="00F3439A">
        <w:rPr>
          <w:bCs/>
          <w:sz w:val="22"/>
          <w:szCs w:val="22"/>
          <w:lang w:val="sr-Latn-ME"/>
        </w:rPr>
        <w:t>HAE</w:t>
      </w:r>
      <w:proofErr w:type="spellEnd"/>
      <w:r w:rsidR="00F738B6" w:rsidRPr="00F3439A">
        <w:rPr>
          <w:bCs/>
          <w:sz w:val="22"/>
          <w:szCs w:val="22"/>
          <w:lang w:val="sr-Latn-ME"/>
        </w:rPr>
        <w:t>) kod odraslih osoba, adolescenata i d</w:t>
      </w:r>
      <w:r w:rsidR="00AD5C01" w:rsidRPr="00F3439A">
        <w:rPr>
          <w:bCs/>
          <w:sz w:val="22"/>
          <w:szCs w:val="22"/>
          <w:lang w:val="sr-Latn-ME"/>
        </w:rPr>
        <w:t>j</w:t>
      </w:r>
      <w:r w:rsidR="00F738B6" w:rsidRPr="00F3439A">
        <w:rPr>
          <w:bCs/>
          <w:sz w:val="22"/>
          <w:szCs w:val="22"/>
          <w:lang w:val="sr-Latn-ME"/>
        </w:rPr>
        <w:t xml:space="preserve">ece uzrasta 2 godine i starije, koji imaju manjak </w:t>
      </w:r>
      <w:proofErr w:type="spellStart"/>
      <w:r w:rsidR="00F738B6" w:rsidRPr="00F3439A">
        <w:rPr>
          <w:bCs/>
          <w:sz w:val="22"/>
          <w:szCs w:val="22"/>
          <w:lang w:val="sr-Latn-ME"/>
        </w:rPr>
        <w:t>inhibitora</w:t>
      </w:r>
      <w:proofErr w:type="spellEnd"/>
      <w:r w:rsidR="00F738B6" w:rsidRPr="00F3439A">
        <w:rPr>
          <w:bCs/>
          <w:sz w:val="22"/>
          <w:szCs w:val="22"/>
          <w:lang w:val="sr-Latn-ME"/>
        </w:rPr>
        <w:t xml:space="preserve"> </w:t>
      </w:r>
      <w:proofErr w:type="spellStart"/>
      <w:r w:rsidR="00F738B6" w:rsidRPr="00F3439A">
        <w:rPr>
          <w:bCs/>
          <w:sz w:val="22"/>
          <w:szCs w:val="22"/>
          <w:lang w:val="sr-Latn-ME"/>
        </w:rPr>
        <w:t>C1</w:t>
      </w:r>
      <w:proofErr w:type="spellEnd"/>
      <w:r w:rsidR="00F738B6" w:rsidRPr="00F3439A">
        <w:rPr>
          <w:bCs/>
          <w:sz w:val="22"/>
          <w:szCs w:val="22"/>
          <w:lang w:val="sr-Latn-ME"/>
        </w:rPr>
        <w:t xml:space="preserve"> </w:t>
      </w:r>
      <w:proofErr w:type="spellStart"/>
      <w:r w:rsidR="00F738B6" w:rsidRPr="00F3439A">
        <w:rPr>
          <w:bCs/>
          <w:sz w:val="22"/>
          <w:szCs w:val="22"/>
          <w:lang w:val="sr-Latn-ME"/>
        </w:rPr>
        <w:t>esteraze</w:t>
      </w:r>
      <w:proofErr w:type="spellEnd"/>
      <w:r w:rsidR="00F738B6" w:rsidRPr="00F3439A">
        <w:rPr>
          <w:bCs/>
          <w:sz w:val="22"/>
          <w:szCs w:val="22"/>
          <w:lang w:val="sr-Latn-ME"/>
        </w:rPr>
        <w:t>.</w:t>
      </w:r>
    </w:p>
    <w:p w14:paraId="19EC4C91" w14:textId="77777777" w:rsidR="00F738B6" w:rsidRPr="00F3439A" w:rsidRDefault="00F738B6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9421026" w14:textId="77777777" w:rsidR="00411B4B" w:rsidRPr="00F3439A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3439A">
        <w:rPr>
          <w:b/>
          <w:bCs/>
          <w:sz w:val="22"/>
          <w:szCs w:val="22"/>
          <w:lang w:val="sr-Latn-ME"/>
        </w:rPr>
        <w:t xml:space="preserve">4.2. </w:t>
      </w:r>
      <w:r w:rsidR="00480FB1" w:rsidRPr="00F3439A">
        <w:rPr>
          <w:b/>
          <w:bCs/>
          <w:sz w:val="22"/>
          <w:szCs w:val="22"/>
          <w:lang w:val="sr-Latn-ME"/>
        </w:rPr>
        <w:tab/>
      </w:r>
      <w:r w:rsidRPr="00F3439A">
        <w:rPr>
          <w:b/>
          <w:bCs/>
          <w:sz w:val="22"/>
          <w:szCs w:val="22"/>
          <w:lang w:val="sr-Latn-ME"/>
        </w:rPr>
        <w:t>Doziranje i način primjene</w:t>
      </w:r>
    </w:p>
    <w:p w14:paraId="1672417F" w14:textId="77777777" w:rsidR="0072020E" w:rsidRPr="00F3439A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84767C0" w14:textId="08272F94" w:rsidR="00F738B6" w:rsidRPr="00F3439A" w:rsidRDefault="0060157A" w:rsidP="005F54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 xml:space="preserve">Lijek </w:t>
      </w:r>
      <w:proofErr w:type="spellStart"/>
      <w:r w:rsidR="00F738B6" w:rsidRPr="00F3439A">
        <w:rPr>
          <w:bCs/>
          <w:sz w:val="22"/>
          <w:szCs w:val="22"/>
          <w:lang w:val="sr-Latn-ME"/>
        </w:rPr>
        <w:t>Ikatibant</w:t>
      </w:r>
      <w:proofErr w:type="spellEnd"/>
      <w:r w:rsidR="00F738B6" w:rsidRPr="00F3439A">
        <w:rPr>
          <w:bCs/>
          <w:sz w:val="22"/>
          <w:szCs w:val="22"/>
          <w:lang w:val="sr-Latn-ME"/>
        </w:rPr>
        <w:t xml:space="preserve"> SK je nam</w:t>
      </w:r>
      <w:r w:rsidR="00F3439A">
        <w:rPr>
          <w:bCs/>
          <w:sz w:val="22"/>
          <w:szCs w:val="22"/>
          <w:lang w:val="sr-Latn-ME"/>
        </w:rPr>
        <w:t>ij</w:t>
      </w:r>
      <w:r w:rsidR="00F738B6" w:rsidRPr="00F3439A">
        <w:rPr>
          <w:bCs/>
          <w:sz w:val="22"/>
          <w:szCs w:val="22"/>
          <w:lang w:val="sr-Latn-ME"/>
        </w:rPr>
        <w:t>enjen za prim</w:t>
      </w:r>
      <w:r w:rsidR="00AD5C01" w:rsidRPr="00F3439A">
        <w:rPr>
          <w:bCs/>
          <w:sz w:val="22"/>
          <w:szCs w:val="22"/>
          <w:lang w:val="sr-Latn-ME"/>
        </w:rPr>
        <w:t>j</w:t>
      </w:r>
      <w:r w:rsidR="00F738B6" w:rsidRPr="00F3439A">
        <w:rPr>
          <w:bCs/>
          <w:sz w:val="22"/>
          <w:szCs w:val="22"/>
          <w:lang w:val="sr-Latn-ME"/>
        </w:rPr>
        <w:t>enu pod nadzorom l</w:t>
      </w:r>
      <w:r w:rsidR="00AD5C01" w:rsidRPr="00F3439A">
        <w:rPr>
          <w:bCs/>
          <w:sz w:val="22"/>
          <w:szCs w:val="22"/>
          <w:lang w:val="sr-Latn-ME"/>
        </w:rPr>
        <w:t>j</w:t>
      </w:r>
      <w:r w:rsidR="00F738B6" w:rsidRPr="00F3439A">
        <w:rPr>
          <w:bCs/>
          <w:sz w:val="22"/>
          <w:szCs w:val="22"/>
          <w:lang w:val="sr-Latn-ME"/>
        </w:rPr>
        <w:t>ekara.</w:t>
      </w:r>
    </w:p>
    <w:p w14:paraId="2663F696" w14:textId="77777777" w:rsidR="00F738B6" w:rsidRPr="00F3439A" w:rsidRDefault="00F738B6" w:rsidP="005F54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3F7970E" w14:textId="77777777" w:rsidR="00452E9D" w:rsidRPr="00F3439A" w:rsidRDefault="00452E9D" w:rsidP="005F546A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F3439A">
        <w:rPr>
          <w:bCs/>
          <w:sz w:val="22"/>
          <w:szCs w:val="22"/>
          <w:u w:val="single"/>
          <w:lang w:val="sr-Latn-ME"/>
        </w:rPr>
        <w:t>Doziranje</w:t>
      </w:r>
    </w:p>
    <w:p w14:paraId="2C6AE7A0" w14:textId="77777777" w:rsidR="00E1041D" w:rsidRPr="00F3439A" w:rsidRDefault="00E1041D" w:rsidP="005F546A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</w:p>
    <w:p w14:paraId="1C44C26A" w14:textId="77777777" w:rsidR="00F738B6" w:rsidRPr="00F3439A" w:rsidRDefault="00F738B6" w:rsidP="005F546A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F3439A">
        <w:rPr>
          <w:bCs/>
          <w:i/>
          <w:iCs/>
          <w:sz w:val="22"/>
          <w:szCs w:val="22"/>
          <w:lang w:val="sr-Latn-ME"/>
        </w:rPr>
        <w:t>Odrasle osobe</w:t>
      </w:r>
    </w:p>
    <w:p w14:paraId="14E31575" w14:textId="6AD32B10" w:rsidR="00F738B6" w:rsidRPr="00F3439A" w:rsidRDefault="00F738B6" w:rsidP="005F54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3439A">
        <w:rPr>
          <w:bCs/>
          <w:sz w:val="22"/>
          <w:szCs w:val="22"/>
          <w:lang w:val="sr-Latn-ME"/>
        </w:rPr>
        <w:t>Preporučena doza je jedna potkožna injekcija l</w:t>
      </w:r>
      <w:r w:rsidR="00AD5C01" w:rsidRPr="00F3439A">
        <w:rPr>
          <w:bCs/>
          <w:sz w:val="22"/>
          <w:szCs w:val="22"/>
          <w:lang w:val="sr-Latn-ME"/>
        </w:rPr>
        <w:t>ij</w:t>
      </w:r>
      <w:r w:rsidRPr="00F3439A">
        <w:rPr>
          <w:bCs/>
          <w:sz w:val="22"/>
          <w:szCs w:val="22"/>
          <w:lang w:val="sr-Latn-ME"/>
        </w:rPr>
        <w:t xml:space="preserve">eka </w:t>
      </w:r>
      <w:proofErr w:type="spellStart"/>
      <w:r w:rsidRPr="00F3439A">
        <w:rPr>
          <w:bCs/>
          <w:sz w:val="22"/>
          <w:szCs w:val="22"/>
          <w:lang w:val="sr-Latn-ME"/>
        </w:rPr>
        <w:t>Ikatibant</w:t>
      </w:r>
      <w:proofErr w:type="spellEnd"/>
      <w:r w:rsidRPr="00F3439A">
        <w:rPr>
          <w:bCs/>
          <w:sz w:val="22"/>
          <w:szCs w:val="22"/>
          <w:lang w:val="sr-Latn-ME"/>
        </w:rPr>
        <w:t xml:space="preserve"> SK od 30 mg.</w:t>
      </w:r>
    </w:p>
    <w:p w14:paraId="66BADEC7" w14:textId="77777777" w:rsidR="00F738B6" w:rsidRPr="00F3439A" w:rsidRDefault="00F738B6" w:rsidP="005F54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A0157C1" w14:textId="425C5EC8" w:rsidR="00F738B6" w:rsidRPr="00F3439A" w:rsidRDefault="00F738B6" w:rsidP="005F54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3439A">
        <w:rPr>
          <w:bCs/>
          <w:sz w:val="22"/>
          <w:szCs w:val="22"/>
          <w:lang w:val="sr-Latn-ME"/>
        </w:rPr>
        <w:t>U većini slučajeva, za l</w:t>
      </w:r>
      <w:r w:rsidR="00AD5C01" w:rsidRPr="00F3439A">
        <w:rPr>
          <w:bCs/>
          <w:sz w:val="22"/>
          <w:szCs w:val="22"/>
          <w:lang w:val="sr-Latn-ME"/>
        </w:rPr>
        <w:t>ij</w:t>
      </w:r>
      <w:r w:rsidRPr="00F3439A">
        <w:rPr>
          <w:bCs/>
          <w:sz w:val="22"/>
          <w:szCs w:val="22"/>
          <w:lang w:val="sr-Latn-ME"/>
        </w:rPr>
        <w:t>ečenje pojedinačnog napada dovoljna je jedna injekcija l</w:t>
      </w:r>
      <w:r w:rsidR="00AD5C01" w:rsidRPr="00F3439A">
        <w:rPr>
          <w:bCs/>
          <w:sz w:val="22"/>
          <w:szCs w:val="22"/>
          <w:lang w:val="sr-Latn-ME"/>
        </w:rPr>
        <w:t>ij</w:t>
      </w:r>
      <w:r w:rsidRPr="00F3439A">
        <w:rPr>
          <w:bCs/>
          <w:sz w:val="22"/>
          <w:szCs w:val="22"/>
          <w:lang w:val="sr-Latn-ME"/>
        </w:rPr>
        <w:t xml:space="preserve">eka </w:t>
      </w:r>
      <w:proofErr w:type="spellStart"/>
      <w:r w:rsidRPr="00F3439A">
        <w:rPr>
          <w:bCs/>
          <w:sz w:val="22"/>
          <w:szCs w:val="22"/>
          <w:lang w:val="sr-Latn-ME"/>
        </w:rPr>
        <w:t>Ikatibant</w:t>
      </w:r>
      <w:proofErr w:type="spellEnd"/>
      <w:r w:rsidRPr="00F3439A">
        <w:rPr>
          <w:bCs/>
          <w:sz w:val="22"/>
          <w:szCs w:val="22"/>
          <w:lang w:val="sr-Latn-ME"/>
        </w:rPr>
        <w:t xml:space="preserve"> SK. U slučaju nedovoljnog smanjenja simptoma ili ponovne pojave simptoma, posl</w:t>
      </w:r>
      <w:r w:rsidR="00AD5C01" w:rsidRPr="00F3439A">
        <w:rPr>
          <w:bCs/>
          <w:sz w:val="22"/>
          <w:szCs w:val="22"/>
          <w:lang w:val="sr-Latn-ME"/>
        </w:rPr>
        <w:t>ij</w:t>
      </w:r>
      <w:r w:rsidRPr="00F3439A">
        <w:rPr>
          <w:bCs/>
          <w:sz w:val="22"/>
          <w:szCs w:val="22"/>
          <w:lang w:val="sr-Latn-ME"/>
        </w:rPr>
        <w:t>e 6 časova može se upotr</w:t>
      </w:r>
      <w:r w:rsidR="00F3439A">
        <w:rPr>
          <w:bCs/>
          <w:sz w:val="22"/>
          <w:szCs w:val="22"/>
          <w:lang w:val="sr-Latn-ME"/>
        </w:rPr>
        <w:t>ij</w:t>
      </w:r>
      <w:r w:rsidRPr="00F3439A">
        <w:rPr>
          <w:bCs/>
          <w:sz w:val="22"/>
          <w:szCs w:val="22"/>
          <w:lang w:val="sr-Latn-ME"/>
        </w:rPr>
        <w:t>ebiti druga injekcija l</w:t>
      </w:r>
      <w:r w:rsidR="00AD5C01" w:rsidRPr="00F3439A">
        <w:rPr>
          <w:bCs/>
          <w:sz w:val="22"/>
          <w:szCs w:val="22"/>
          <w:lang w:val="sr-Latn-ME"/>
        </w:rPr>
        <w:t>ij</w:t>
      </w:r>
      <w:r w:rsidRPr="00F3439A">
        <w:rPr>
          <w:bCs/>
          <w:sz w:val="22"/>
          <w:szCs w:val="22"/>
          <w:lang w:val="sr-Latn-ME"/>
        </w:rPr>
        <w:t xml:space="preserve">eka </w:t>
      </w:r>
      <w:proofErr w:type="spellStart"/>
      <w:r w:rsidRPr="00F3439A">
        <w:rPr>
          <w:bCs/>
          <w:sz w:val="22"/>
          <w:szCs w:val="22"/>
          <w:lang w:val="sr-Latn-ME"/>
        </w:rPr>
        <w:t>Ikatibant</w:t>
      </w:r>
      <w:proofErr w:type="spellEnd"/>
      <w:r w:rsidRPr="00F3439A">
        <w:rPr>
          <w:bCs/>
          <w:sz w:val="22"/>
          <w:szCs w:val="22"/>
          <w:lang w:val="sr-Latn-ME"/>
        </w:rPr>
        <w:t xml:space="preserve"> SK. Ukoliko posl</w:t>
      </w:r>
      <w:r w:rsidR="00AD5C01" w:rsidRPr="00F3439A">
        <w:rPr>
          <w:bCs/>
          <w:sz w:val="22"/>
          <w:szCs w:val="22"/>
          <w:lang w:val="sr-Latn-ME"/>
        </w:rPr>
        <w:t>ij</w:t>
      </w:r>
      <w:r w:rsidRPr="00F3439A">
        <w:rPr>
          <w:bCs/>
          <w:sz w:val="22"/>
          <w:szCs w:val="22"/>
          <w:lang w:val="sr-Latn-ME"/>
        </w:rPr>
        <w:t>e druge injekcije dođe do nedovoljnog smanjenja simptoma ili ponovne pojave simptoma, može se i posl</w:t>
      </w:r>
      <w:r w:rsidR="00AD5C01" w:rsidRPr="00F3439A">
        <w:rPr>
          <w:bCs/>
          <w:sz w:val="22"/>
          <w:szCs w:val="22"/>
          <w:lang w:val="sr-Latn-ME"/>
        </w:rPr>
        <w:t>ij</w:t>
      </w:r>
      <w:r w:rsidRPr="00F3439A">
        <w:rPr>
          <w:bCs/>
          <w:sz w:val="22"/>
          <w:szCs w:val="22"/>
          <w:lang w:val="sr-Latn-ME"/>
        </w:rPr>
        <w:t>e dodatnih 6 časova upotr</w:t>
      </w:r>
      <w:r w:rsidR="00F3439A">
        <w:rPr>
          <w:bCs/>
          <w:sz w:val="22"/>
          <w:szCs w:val="22"/>
          <w:lang w:val="sr-Latn-ME"/>
        </w:rPr>
        <w:t>ij</w:t>
      </w:r>
      <w:r w:rsidRPr="00F3439A">
        <w:rPr>
          <w:bCs/>
          <w:sz w:val="22"/>
          <w:szCs w:val="22"/>
          <w:lang w:val="sr-Latn-ME"/>
        </w:rPr>
        <w:t>ebiti treća injekcija l</w:t>
      </w:r>
      <w:r w:rsidR="00AD5C01" w:rsidRPr="00F3439A">
        <w:rPr>
          <w:bCs/>
          <w:sz w:val="22"/>
          <w:szCs w:val="22"/>
          <w:lang w:val="sr-Latn-ME"/>
        </w:rPr>
        <w:t>ij</w:t>
      </w:r>
      <w:r w:rsidRPr="00F3439A">
        <w:rPr>
          <w:bCs/>
          <w:sz w:val="22"/>
          <w:szCs w:val="22"/>
          <w:lang w:val="sr-Latn-ME"/>
        </w:rPr>
        <w:t xml:space="preserve">eka </w:t>
      </w:r>
      <w:proofErr w:type="spellStart"/>
      <w:r w:rsidRPr="00F3439A">
        <w:rPr>
          <w:bCs/>
          <w:sz w:val="22"/>
          <w:szCs w:val="22"/>
          <w:lang w:val="sr-Latn-ME"/>
        </w:rPr>
        <w:t>Ikatibant</w:t>
      </w:r>
      <w:proofErr w:type="spellEnd"/>
      <w:r w:rsidRPr="00F3439A">
        <w:rPr>
          <w:bCs/>
          <w:sz w:val="22"/>
          <w:szCs w:val="22"/>
          <w:lang w:val="sr-Latn-ME"/>
        </w:rPr>
        <w:t xml:space="preserve"> SK. U periodu od 24 časa ne sm</w:t>
      </w:r>
      <w:r w:rsidR="00AD5C01" w:rsidRPr="00F3439A">
        <w:rPr>
          <w:bCs/>
          <w:sz w:val="22"/>
          <w:szCs w:val="22"/>
          <w:lang w:val="sr-Latn-ME"/>
        </w:rPr>
        <w:t>ij</w:t>
      </w:r>
      <w:r w:rsidRPr="00F3439A">
        <w:rPr>
          <w:bCs/>
          <w:sz w:val="22"/>
          <w:szCs w:val="22"/>
          <w:lang w:val="sr-Latn-ME"/>
        </w:rPr>
        <w:t>e se upotr</w:t>
      </w:r>
      <w:r w:rsidR="00F3439A">
        <w:rPr>
          <w:bCs/>
          <w:sz w:val="22"/>
          <w:szCs w:val="22"/>
          <w:lang w:val="sr-Latn-ME"/>
        </w:rPr>
        <w:t>ij</w:t>
      </w:r>
      <w:r w:rsidRPr="00F3439A">
        <w:rPr>
          <w:bCs/>
          <w:sz w:val="22"/>
          <w:szCs w:val="22"/>
          <w:lang w:val="sr-Latn-ME"/>
        </w:rPr>
        <w:t>ebiti više od 3 injekcije l</w:t>
      </w:r>
      <w:r w:rsidR="00AD5C01" w:rsidRPr="00F3439A">
        <w:rPr>
          <w:bCs/>
          <w:sz w:val="22"/>
          <w:szCs w:val="22"/>
          <w:lang w:val="sr-Latn-ME"/>
        </w:rPr>
        <w:t>ij</w:t>
      </w:r>
      <w:r w:rsidRPr="00F3439A">
        <w:rPr>
          <w:bCs/>
          <w:sz w:val="22"/>
          <w:szCs w:val="22"/>
          <w:lang w:val="sr-Latn-ME"/>
        </w:rPr>
        <w:t xml:space="preserve">eka </w:t>
      </w:r>
      <w:proofErr w:type="spellStart"/>
      <w:r w:rsidRPr="00F3439A">
        <w:rPr>
          <w:bCs/>
          <w:sz w:val="22"/>
          <w:szCs w:val="22"/>
          <w:lang w:val="sr-Latn-ME"/>
        </w:rPr>
        <w:t>Ikatibant</w:t>
      </w:r>
      <w:proofErr w:type="spellEnd"/>
      <w:r w:rsidRPr="00F3439A">
        <w:rPr>
          <w:bCs/>
          <w:sz w:val="22"/>
          <w:szCs w:val="22"/>
          <w:lang w:val="sr-Latn-ME"/>
        </w:rPr>
        <w:t xml:space="preserve"> SK.</w:t>
      </w:r>
    </w:p>
    <w:p w14:paraId="10904A54" w14:textId="77777777" w:rsidR="00F738B6" w:rsidRPr="00F3439A" w:rsidRDefault="00F738B6" w:rsidP="005F54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A80295F" w14:textId="54313E5F" w:rsidR="00F738B6" w:rsidRPr="00F3439A" w:rsidRDefault="00F738B6" w:rsidP="005F54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3439A">
        <w:rPr>
          <w:bCs/>
          <w:sz w:val="22"/>
          <w:szCs w:val="22"/>
          <w:lang w:val="sr-Latn-ME"/>
        </w:rPr>
        <w:t>U kliničkim ispitivanjima nije upotrebljavano više od 8 injekcija l</w:t>
      </w:r>
      <w:r w:rsidR="00AD5C01" w:rsidRPr="00F3439A">
        <w:rPr>
          <w:bCs/>
          <w:sz w:val="22"/>
          <w:szCs w:val="22"/>
          <w:lang w:val="sr-Latn-ME"/>
        </w:rPr>
        <w:t>ij</w:t>
      </w:r>
      <w:r w:rsidRPr="00F3439A">
        <w:rPr>
          <w:bCs/>
          <w:sz w:val="22"/>
          <w:szCs w:val="22"/>
          <w:lang w:val="sr-Latn-ME"/>
        </w:rPr>
        <w:t xml:space="preserve">eka </w:t>
      </w:r>
      <w:proofErr w:type="spellStart"/>
      <w:r w:rsidRPr="00F3439A">
        <w:rPr>
          <w:bCs/>
          <w:sz w:val="22"/>
          <w:szCs w:val="22"/>
          <w:lang w:val="sr-Latn-ME"/>
        </w:rPr>
        <w:t>Ikatibant</w:t>
      </w:r>
      <w:proofErr w:type="spellEnd"/>
      <w:r w:rsidRPr="00F3439A">
        <w:rPr>
          <w:bCs/>
          <w:sz w:val="22"/>
          <w:szCs w:val="22"/>
          <w:lang w:val="sr-Latn-ME"/>
        </w:rPr>
        <w:t xml:space="preserve"> SK m</w:t>
      </w:r>
      <w:r w:rsidR="00AD5C01" w:rsidRPr="00F3439A">
        <w:rPr>
          <w:bCs/>
          <w:sz w:val="22"/>
          <w:szCs w:val="22"/>
          <w:lang w:val="sr-Latn-ME"/>
        </w:rPr>
        <w:t>j</w:t>
      </w:r>
      <w:r w:rsidRPr="00F3439A">
        <w:rPr>
          <w:bCs/>
          <w:sz w:val="22"/>
          <w:szCs w:val="22"/>
          <w:lang w:val="sr-Latn-ME"/>
        </w:rPr>
        <w:t>esečno.</w:t>
      </w:r>
    </w:p>
    <w:p w14:paraId="71BFE578" w14:textId="77777777" w:rsidR="00F738B6" w:rsidRPr="00F3439A" w:rsidRDefault="00F738B6" w:rsidP="005F54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9D32321" w14:textId="77777777" w:rsidR="00F738B6" w:rsidRPr="00F3439A" w:rsidRDefault="00F738B6" w:rsidP="005F546A">
      <w:pPr>
        <w:tabs>
          <w:tab w:val="left" w:pos="540"/>
          <w:tab w:val="left" w:pos="569"/>
        </w:tabs>
        <w:jc w:val="both"/>
        <w:rPr>
          <w:bCs/>
          <w:i/>
          <w:iCs/>
          <w:sz w:val="22"/>
          <w:szCs w:val="22"/>
          <w:lang w:val="sr-Latn-ME"/>
        </w:rPr>
      </w:pPr>
      <w:r w:rsidRPr="00F3439A">
        <w:rPr>
          <w:bCs/>
          <w:i/>
          <w:iCs/>
          <w:sz w:val="22"/>
          <w:szCs w:val="22"/>
          <w:lang w:val="sr-Latn-ME"/>
        </w:rPr>
        <w:t>Pedijatrijska populacija</w:t>
      </w:r>
    </w:p>
    <w:p w14:paraId="63F7909D" w14:textId="2E2452B7" w:rsidR="00F738B6" w:rsidRPr="00F3439A" w:rsidRDefault="00F738B6" w:rsidP="005F54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3439A">
        <w:rPr>
          <w:bCs/>
          <w:sz w:val="22"/>
          <w:szCs w:val="22"/>
          <w:lang w:val="sr-Latn-ME"/>
        </w:rPr>
        <w:t>Preporučena doza l</w:t>
      </w:r>
      <w:r w:rsidR="00AD5C01" w:rsidRPr="00F3439A">
        <w:rPr>
          <w:bCs/>
          <w:sz w:val="22"/>
          <w:szCs w:val="22"/>
          <w:lang w:val="sr-Latn-ME"/>
        </w:rPr>
        <w:t>ij</w:t>
      </w:r>
      <w:r w:rsidRPr="00F3439A">
        <w:rPr>
          <w:bCs/>
          <w:sz w:val="22"/>
          <w:szCs w:val="22"/>
          <w:lang w:val="sr-Latn-ME"/>
        </w:rPr>
        <w:t xml:space="preserve">eka </w:t>
      </w:r>
      <w:proofErr w:type="spellStart"/>
      <w:r w:rsidRPr="00F3439A">
        <w:rPr>
          <w:bCs/>
          <w:sz w:val="22"/>
          <w:szCs w:val="22"/>
          <w:lang w:val="sr-Latn-ME"/>
        </w:rPr>
        <w:t>Ikatibant</w:t>
      </w:r>
      <w:proofErr w:type="spellEnd"/>
      <w:r w:rsidRPr="00F3439A">
        <w:rPr>
          <w:bCs/>
          <w:sz w:val="22"/>
          <w:szCs w:val="22"/>
          <w:lang w:val="sr-Latn-ME"/>
        </w:rPr>
        <w:t xml:space="preserve"> SK na osnovu t</w:t>
      </w:r>
      <w:r w:rsidR="00AD5C01" w:rsidRPr="00F3439A">
        <w:rPr>
          <w:bCs/>
          <w:sz w:val="22"/>
          <w:szCs w:val="22"/>
          <w:lang w:val="sr-Latn-ME"/>
        </w:rPr>
        <w:t>j</w:t>
      </w:r>
      <w:r w:rsidRPr="00F3439A">
        <w:rPr>
          <w:bCs/>
          <w:sz w:val="22"/>
          <w:szCs w:val="22"/>
          <w:lang w:val="sr-Latn-ME"/>
        </w:rPr>
        <w:t>elesne mase kod d</w:t>
      </w:r>
      <w:r w:rsidR="00AD5C01" w:rsidRPr="00F3439A">
        <w:rPr>
          <w:bCs/>
          <w:sz w:val="22"/>
          <w:szCs w:val="22"/>
          <w:lang w:val="sr-Latn-ME"/>
        </w:rPr>
        <w:t>j</w:t>
      </w:r>
      <w:r w:rsidRPr="00F3439A">
        <w:rPr>
          <w:bCs/>
          <w:sz w:val="22"/>
          <w:szCs w:val="22"/>
          <w:lang w:val="sr-Latn-ME"/>
        </w:rPr>
        <w:t>ece i adolescenata (uzrasta od 2 do 17 godina) navedena je u tabeli 1 u nastavku.</w:t>
      </w:r>
    </w:p>
    <w:p w14:paraId="2B73B8E5" w14:textId="77777777" w:rsidR="00F738B6" w:rsidRPr="00F3439A" w:rsidRDefault="00F738B6" w:rsidP="005F546A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3B2435AC" w14:textId="77777777" w:rsidR="00F738B6" w:rsidRPr="00F3439A" w:rsidRDefault="00F738B6" w:rsidP="005F546A">
      <w:pPr>
        <w:pStyle w:val="BodyText"/>
        <w:ind w:left="0"/>
        <w:rPr>
          <w:b/>
          <w:bCs/>
          <w:lang w:val="sr-Latn-ME"/>
        </w:rPr>
      </w:pPr>
      <w:r w:rsidRPr="00F3439A">
        <w:rPr>
          <w:b/>
          <w:bCs/>
          <w:lang w:val="sr-Latn-ME"/>
        </w:rPr>
        <w:lastRenderedPageBreak/>
        <w:t>Tabela 1: Shema doziranja za pedijatrijske pacijente</w:t>
      </w:r>
    </w:p>
    <w:p w14:paraId="772BDA0D" w14:textId="77777777" w:rsidR="00F738B6" w:rsidRPr="00F3439A" w:rsidRDefault="00F738B6" w:rsidP="005F546A">
      <w:pPr>
        <w:pStyle w:val="BodyText"/>
        <w:ind w:left="0"/>
        <w:rPr>
          <w:b/>
          <w:bCs/>
          <w:lang w:val="sr-Latn-ME"/>
        </w:rPr>
      </w:pPr>
    </w:p>
    <w:tbl>
      <w:tblPr>
        <w:tblW w:w="0" w:type="auto"/>
        <w:tblInd w:w="2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87"/>
        <w:gridCol w:w="4646"/>
      </w:tblGrid>
      <w:tr w:rsidR="00F738B6" w:rsidRPr="00F3439A" w14:paraId="4D92F66C" w14:textId="77777777" w:rsidTr="00F3439A">
        <w:trPr>
          <w:trHeight w:val="493"/>
        </w:trPr>
        <w:tc>
          <w:tcPr>
            <w:tcW w:w="4387" w:type="dxa"/>
            <w:shd w:val="clear" w:color="auto" w:fill="FFFFFF" w:themeFill="background1"/>
          </w:tcPr>
          <w:p w14:paraId="68592B5E" w14:textId="4285F56C" w:rsidR="00F738B6" w:rsidRPr="00F3439A" w:rsidRDefault="00F738B6" w:rsidP="005F546A">
            <w:pPr>
              <w:pStyle w:val="TableParagraph"/>
              <w:spacing w:line="249" w:lineRule="exact"/>
              <w:ind w:left="1512" w:right="1484"/>
              <w:jc w:val="both"/>
              <w:rPr>
                <w:b/>
                <w:lang w:val="sr-Latn-ME"/>
              </w:rPr>
            </w:pPr>
            <w:r w:rsidRPr="00F3439A">
              <w:rPr>
                <w:b/>
                <w:lang w:val="sr-Latn-ME"/>
              </w:rPr>
              <w:t>T</w:t>
            </w:r>
            <w:r w:rsidR="00AD5C01" w:rsidRPr="00F3439A">
              <w:rPr>
                <w:b/>
                <w:lang w:val="sr-Latn-ME"/>
              </w:rPr>
              <w:t>j</w:t>
            </w:r>
            <w:r w:rsidRPr="00F3439A">
              <w:rPr>
                <w:b/>
                <w:lang w:val="sr-Latn-ME"/>
              </w:rPr>
              <w:t>elesna masa</w:t>
            </w:r>
          </w:p>
        </w:tc>
        <w:tc>
          <w:tcPr>
            <w:tcW w:w="4646" w:type="dxa"/>
            <w:shd w:val="clear" w:color="auto" w:fill="FFFFFF" w:themeFill="background1"/>
          </w:tcPr>
          <w:p w14:paraId="3FE19EB9" w14:textId="77777777" w:rsidR="00F738B6" w:rsidRPr="00F3439A" w:rsidRDefault="00F738B6" w:rsidP="005F546A">
            <w:pPr>
              <w:pStyle w:val="TableParagraph"/>
              <w:spacing w:line="249" w:lineRule="exact"/>
              <w:ind w:left="1134" w:right="1104"/>
              <w:jc w:val="both"/>
              <w:rPr>
                <w:b/>
                <w:lang w:val="sr-Latn-ME"/>
              </w:rPr>
            </w:pPr>
            <w:r w:rsidRPr="00F3439A">
              <w:rPr>
                <w:b/>
                <w:lang w:val="sr-Latn-ME"/>
              </w:rPr>
              <w:t>Doza</w:t>
            </w:r>
            <w:r w:rsidRPr="00F3439A">
              <w:rPr>
                <w:b/>
                <w:spacing w:val="-5"/>
                <w:lang w:val="sr-Latn-ME"/>
              </w:rPr>
              <w:t xml:space="preserve"> </w:t>
            </w:r>
            <w:r w:rsidRPr="00F3439A">
              <w:rPr>
                <w:b/>
                <w:lang w:val="sr-Latn-ME"/>
              </w:rPr>
              <w:t>(volumen</w:t>
            </w:r>
            <w:r w:rsidRPr="00F3439A">
              <w:rPr>
                <w:b/>
                <w:spacing w:val="-5"/>
                <w:lang w:val="sr-Latn-ME"/>
              </w:rPr>
              <w:t xml:space="preserve"> </w:t>
            </w:r>
            <w:r w:rsidRPr="00F3439A">
              <w:rPr>
                <w:b/>
                <w:lang w:val="sr-Latn-ME"/>
              </w:rPr>
              <w:t>injekcije)</w:t>
            </w:r>
          </w:p>
        </w:tc>
      </w:tr>
      <w:tr w:rsidR="00F738B6" w:rsidRPr="00F3439A" w14:paraId="0E1281BE" w14:textId="77777777" w:rsidTr="00F3439A">
        <w:trPr>
          <w:trHeight w:val="493"/>
        </w:trPr>
        <w:tc>
          <w:tcPr>
            <w:tcW w:w="4387" w:type="dxa"/>
            <w:shd w:val="clear" w:color="auto" w:fill="FFFFFF" w:themeFill="background1"/>
          </w:tcPr>
          <w:p w14:paraId="1A04778F" w14:textId="77777777" w:rsidR="00F738B6" w:rsidRPr="00F3439A" w:rsidRDefault="00F738B6" w:rsidP="005F546A">
            <w:pPr>
              <w:pStyle w:val="TableParagraph"/>
              <w:spacing w:line="244" w:lineRule="exact"/>
              <w:ind w:left="1512" w:right="1488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12</w:t>
            </w:r>
            <w:r w:rsidRPr="00F3439A">
              <w:rPr>
                <w:spacing w:val="1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kg</w:t>
            </w:r>
            <w:r w:rsidRPr="00F3439A">
              <w:rPr>
                <w:spacing w:val="-3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do</w:t>
            </w:r>
            <w:r w:rsidRPr="00F3439A">
              <w:rPr>
                <w:spacing w:val="-4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25</w:t>
            </w:r>
            <w:r w:rsidRPr="00F3439A">
              <w:rPr>
                <w:spacing w:val="2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kg</w:t>
            </w:r>
          </w:p>
        </w:tc>
        <w:tc>
          <w:tcPr>
            <w:tcW w:w="4646" w:type="dxa"/>
            <w:shd w:val="clear" w:color="auto" w:fill="FFFFFF" w:themeFill="background1"/>
          </w:tcPr>
          <w:p w14:paraId="386B7920" w14:textId="1732FD94" w:rsidR="00F738B6" w:rsidRPr="00F3439A" w:rsidRDefault="00F738B6" w:rsidP="00AF0E44">
            <w:pPr>
              <w:pStyle w:val="TableParagraph"/>
              <w:spacing w:line="244" w:lineRule="exact"/>
              <w:ind w:left="1130" w:right="1104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10</w:t>
            </w:r>
            <w:r w:rsidRPr="00F3439A">
              <w:rPr>
                <w:spacing w:val="-1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mg</w:t>
            </w:r>
            <w:r w:rsidRPr="00F3439A">
              <w:rPr>
                <w:spacing w:val="-4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(1,0 m</w:t>
            </w:r>
            <w:r w:rsidR="00AF0E44">
              <w:rPr>
                <w:lang w:val="sr-Latn-ME"/>
              </w:rPr>
              <w:t>l</w:t>
            </w:r>
            <w:r w:rsidRPr="00F3439A">
              <w:rPr>
                <w:lang w:val="sr-Latn-ME"/>
              </w:rPr>
              <w:t>)</w:t>
            </w:r>
          </w:p>
        </w:tc>
      </w:tr>
      <w:tr w:rsidR="00F738B6" w:rsidRPr="00F3439A" w14:paraId="48ECD516" w14:textId="77777777" w:rsidTr="00F3439A">
        <w:trPr>
          <w:trHeight w:val="488"/>
        </w:trPr>
        <w:tc>
          <w:tcPr>
            <w:tcW w:w="4387" w:type="dxa"/>
            <w:shd w:val="clear" w:color="auto" w:fill="FFFFFF" w:themeFill="background1"/>
          </w:tcPr>
          <w:p w14:paraId="77080394" w14:textId="77777777" w:rsidR="00F738B6" w:rsidRPr="00F3439A" w:rsidRDefault="00F738B6" w:rsidP="005F546A">
            <w:pPr>
              <w:pStyle w:val="TableParagraph"/>
              <w:spacing w:line="244" w:lineRule="exact"/>
              <w:ind w:left="1512" w:right="1488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26</w:t>
            </w:r>
            <w:r w:rsidRPr="00F3439A">
              <w:rPr>
                <w:spacing w:val="1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kg</w:t>
            </w:r>
            <w:r w:rsidRPr="00F3439A">
              <w:rPr>
                <w:spacing w:val="-3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do</w:t>
            </w:r>
            <w:r w:rsidRPr="00F3439A">
              <w:rPr>
                <w:spacing w:val="-4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40</w:t>
            </w:r>
            <w:r w:rsidRPr="00F3439A">
              <w:rPr>
                <w:spacing w:val="2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kg</w:t>
            </w:r>
          </w:p>
        </w:tc>
        <w:tc>
          <w:tcPr>
            <w:tcW w:w="4646" w:type="dxa"/>
            <w:shd w:val="clear" w:color="auto" w:fill="FFFFFF" w:themeFill="background1"/>
          </w:tcPr>
          <w:p w14:paraId="097E2F64" w14:textId="1A36CAEB" w:rsidR="00F738B6" w:rsidRPr="00F3439A" w:rsidRDefault="00F738B6" w:rsidP="005F546A">
            <w:pPr>
              <w:pStyle w:val="TableParagraph"/>
              <w:spacing w:line="244" w:lineRule="exact"/>
              <w:ind w:left="1130" w:right="1104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15</w:t>
            </w:r>
            <w:r w:rsidRPr="00F3439A">
              <w:rPr>
                <w:spacing w:val="-1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mg</w:t>
            </w:r>
            <w:r w:rsidRPr="00F3439A">
              <w:rPr>
                <w:spacing w:val="-4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(1,5 m</w:t>
            </w:r>
            <w:r w:rsidR="00AF0E44">
              <w:rPr>
                <w:lang w:val="sr-Latn-ME"/>
              </w:rPr>
              <w:t>l</w:t>
            </w:r>
            <w:r w:rsidRPr="00F3439A">
              <w:rPr>
                <w:lang w:val="sr-Latn-ME"/>
              </w:rPr>
              <w:t>)</w:t>
            </w:r>
          </w:p>
        </w:tc>
      </w:tr>
      <w:tr w:rsidR="00F738B6" w:rsidRPr="00F3439A" w14:paraId="17846B1A" w14:textId="77777777" w:rsidTr="00F3439A">
        <w:trPr>
          <w:trHeight w:val="493"/>
        </w:trPr>
        <w:tc>
          <w:tcPr>
            <w:tcW w:w="4387" w:type="dxa"/>
            <w:shd w:val="clear" w:color="auto" w:fill="FFFFFF" w:themeFill="background1"/>
          </w:tcPr>
          <w:p w14:paraId="40B78AF4" w14:textId="77777777" w:rsidR="00F738B6" w:rsidRPr="00F3439A" w:rsidRDefault="00F738B6" w:rsidP="005F546A">
            <w:pPr>
              <w:pStyle w:val="TableParagraph"/>
              <w:spacing w:line="249" w:lineRule="exact"/>
              <w:ind w:left="1512" w:right="1488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41</w:t>
            </w:r>
            <w:r w:rsidRPr="00F3439A">
              <w:rPr>
                <w:spacing w:val="1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kg</w:t>
            </w:r>
            <w:r w:rsidRPr="00F3439A">
              <w:rPr>
                <w:spacing w:val="-3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do</w:t>
            </w:r>
            <w:r w:rsidRPr="00F3439A">
              <w:rPr>
                <w:spacing w:val="-4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50</w:t>
            </w:r>
            <w:r w:rsidRPr="00F3439A">
              <w:rPr>
                <w:spacing w:val="2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kg</w:t>
            </w:r>
          </w:p>
        </w:tc>
        <w:tc>
          <w:tcPr>
            <w:tcW w:w="4646" w:type="dxa"/>
            <w:shd w:val="clear" w:color="auto" w:fill="FFFFFF" w:themeFill="background1"/>
          </w:tcPr>
          <w:p w14:paraId="5C5A83F0" w14:textId="43135D08" w:rsidR="00F738B6" w:rsidRPr="00F3439A" w:rsidRDefault="00F738B6" w:rsidP="00AF0E44">
            <w:pPr>
              <w:pStyle w:val="TableParagraph"/>
              <w:spacing w:line="249" w:lineRule="exact"/>
              <w:ind w:left="1130" w:right="1104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20</w:t>
            </w:r>
            <w:r w:rsidRPr="00F3439A">
              <w:rPr>
                <w:spacing w:val="-1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mg</w:t>
            </w:r>
            <w:r w:rsidRPr="00F3439A">
              <w:rPr>
                <w:spacing w:val="-4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(2,0 m</w:t>
            </w:r>
            <w:r w:rsidR="00AF0E44">
              <w:rPr>
                <w:lang w:val="sr-Latn-ME"/>
              </w:rPr>
              <w:t>l</w:t>
            </w:r>
            <w:r w:rsidRPr="00F3439A">
              <w:rPr>
                <w:lang w:val="sr-Latn-ME"/>
              </w:rPr>
              <w:t>)</w:t>
            </w:r>
          </w:p>
        </w:tc>
      </w:tr>
      <w:tr w:rsidR="00F738B6" w:rsidRPr="00F3439A" w14:paraId="5606940D" w14:textId="77777777" w:rsidTr="00F3439A">
        <w:trPr>
          <w:trHeight w:val="493"/>
        </w:trPr>
        <w:tc>
          <w:tcPr>
            <w:tcW w:w="4387" w:type="dxa"/>
            <w:shd w:val="clear" w:color="auto" w:fill="FFFFFF" w:themeFill="background1"/>
          </w:tcPr>
          <w:p w14:paraId="4E0D80E9" w14:textId="77777777" w:rsidR="00F738B6" w:rsidRPr="00F3439A" w:rsidRDefault="00F738B6" w:rsidP="005F546A">
            <w:pPr>
              <w:pStyle w:val="TableParagraph"/>
              <w:spacing w:line="244" w:lineRule="exact"/>
              <w:ind w:left="1512" w:right="1488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51</w:t>
            </w:r>
            <w:r w:rsidRPr="00F3439A">
              <w:rPr>
                <w:spacing w:val="1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kg</w:t>
            </w:r>
            <w:r w:rsidRPr="00F3439A">
              <w:rPr>
                <w:spacing w:val="-3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do</w:t>
            </w:r>
            <w:r w:rsidRPr="00F3439A">
              <w:rPr>
                <w:spacing w:val="-4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65</w:t>
            </w:r>
            <w:r w:rsidRPr="00F3439A">
              <w:rPr>
                <w:spacing w:val="2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kg</w:t>
            </w:r>
          </w:p>
        </w:tc>
        <w:tc>
          <w:tcPr>
            <w:tcW w:w="4646" w:type="dxa"/>
            <w:shd w:val="clear" w:color="auto" w:fill="FFFFFF" w:themeFill="background1"/>
          </w:tcPr>
          <w:p w14:paraId="77175AE2" w14:textId="58E4D691" w:rsidR="00F738B6" w:rsidRPr="00F3439A" w:rsidRDefault="00F738B6" w:rsidP="005F546A">
            <w:pPr>
              <w:pStyle w:val="TableParagraph"/>
              <w:spacing w:line="244" w:lineRule="exact"/>
              <w:ind w:left="1130" w:right="1104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25</w:t>
            </w:r>
            <w:r w:rsidRPr="00F3439A">
              <w:rPr>
                <w:spacing w:val="-1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mg</w:t>
            </w:r>
            <w:r w:rsidRPr="00F3439A">
              <w:rPr>
                <w:spacing w:val="-4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(2,5 m</w:t>
            </w:r>
            <w:r w:rsidR="00AF0E44">
              <w:rPr>
                <w:lang w:val="sr-Latn-ME"/>
              </w:rPr>
              <w:t>l</w:t>
            </w:r>
            <w:r w:rsidRPr="00F3439A">
              <w:rPr>
                <w:lang w:val="sr-Latn-ME"/>
              </w:rPr>
              <w:t>)</w:t>
            </w:r>
          </w:p>
        </w:tc>
      </w:tr>
      <w:tr w:rsidR="00F738B6" w:rsidRPr="00F3439A" w14:paraId="50831127" w14:textId="77777777" w:rsidTr="00F3439A">
        <w:trPr>
          <w:trHeight w:val="493"/>
        </w:trPr>
        <w:tc>
          <w:tcPr>
            <w:tcW w:w="4387" w:type="dxa"/>
            <w:shd w:val="clear" w:color="auto" w:fill="FFFFFF" w:themeFill="background1"/>
          </w:tcPr>
          <w:p w14:paraId="556A8B9E" w14:textId="77777777" w:rsidR="00F738B6" w:rsidRPr="00F3439A" w:rsidRDefault="00F738B6" w:rsidP="005F546A">
            <w:pPr>
              <w:pStyle w:val="TableParagraph"/>
              <w:spacing w:line="244" w:lineRule="exact"/>
              <w:ind w:left="1507" w:right="1488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&gt;65</w:t>
            </w:r>
            <w:r w:rsidRPr="00F3439A">
              <w:rPr>
                <w:spacing w:val="-2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kg</w:t>
            </w:r>
          </w:p>
        </w:tc>
        <w:tc>
          <w:tcPr>
            <w:tcW w:w="4646" w:type="dxa"/>
            <w:shd w:val="clear" w:color="auto" w:fill="FFFFFF" w:themeFill="background1"/>
          </w:tcPr>
          <w:p w14:paraId="737AFE84" w14:textId="5E0870A2" w:rsidR="00F738B6" w:rsidRPr="00F3439A" w:rsidRDefault="00F738B6" w:rsidP="00AF0E44">
            <w:pPr>
              <w:pStyle w:val="TableParagraph"/>
              <w:spacing w:line="244" w:lineRule="exact"/>
              <w:ind w:left="1130" w:right="1104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30</w:t>
            </w:r>
            <w:r w:rsidRPr="00F3439A">
              <w:rPr>
                <w:spacing w:val="-1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mg</w:t>
            </w:r>
            <w:r w:rsidRPr="00F3439A">
              <w:rPr>
                <w:spacing w:val="-4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(3,0 m</w:t>
            </w:r>
            <w:r w:rsidR="00AF0E44">
              <w:rPr>
                <w:lang w:val="sr-Latn-ME"/>
              </w:rPr>
              <w:t>l</w:t>
            </w:r>
            <w:r w:rsidRPr="00F3439A">
              <w:rPr>
                <w:lang w:val="sr-Latn-ME"/>
              </w:rPr>
              <w:t>)</w:t>
            </w:r>
          </w:p>
        </w:tc>
      </w:tr>
    </w:tbl>
    <w:p w14:paraId="4F35E11B" w14:textId="77777777" w:rsidR="00F738B6" w:rsidRPr="00F3439A" w:rsidRDefault="00F738B6" w:rsidP="005F546A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</w:p>
    <w:p w14:paraId="61099DC7" w14:textId="4EB1EE7C" w:rsidR="00F738B6" w:rsidRPr="00F3439A" w:rsidRDefault="00F738B6" w:rsidP="005F546A">
      <w:pPr>
        <w:pStyle w:val="BodyText"/>
        <w:ind w:left="0"/>
        <w:rPr>
          <w:lang w:val="sr-Latn-ME"/>
        </w:rPr>
      </w:pPr>
      <w:r w:rsidRPr="00F3439A">
        <w:rPr>
          <w:lang w:val="sr-Latn-ME"/>
        </w:rPr>
        <w:t>U kliničkom ispitivanju nije prim</w:t>
      </w:r>
      <w:r w:rsidR="00F3439A">
        <w:rPr>
          <w:lang w:val="sr-Latn-ME"/>
        </w:rPr>
        <w:t>i</w:t>
      </w:r>
      <w:r w:rsidR="00AD5C01" w:rsidRPr="00F3439A">
        <w:rPr>
          <w:lang w:val="sr-Latn-ME"/>
        </w:rPr>
        <w:t>j</w:t>
      </w:r>
      <w:r w:rsidRPr="00F3439A">
        <w:rPr>
          <w:lang w:val="sr-Latn-ME"/>
        </w:rPr>
        <w:t>enjeno više od 1 injekcije l</w:t>
      </w:r>
      <w:r w:rsidR="00AD5C01" w:rsidRPr="00F3439A">
        <w:rPr>
          <w:lang w:val="sr-Latn-ME"/>
        </w:rPr>
        <w:t>ij</w:t>
      </w:r>
      <w:r w:rsidRPr="00F3439A">
        <w:rPr>
          <w:lang w:val="sr-Latn-ME"/>
        </w:rPr>
        <w:t xml:space="preserve">eka </w:t>
      </w:r>
      <w:proofErr w:type="spellStart"/>
      <w:r w:rsidRPr="00F3439A">
        <w:rPr>
          <w:lang w:val="sr-Latn-ME"/>
        </w:rPr>
        <w:t>Ikatibant</w:t>
      </w:r>
      <w:proofErr w:type="spellEnd"/>
      <w:r w:rsidRPr="00F3439A">
        <w:rPr>
          <w:lang w:val="sr-Latn-ME"/>
        </w:rPr>
        <w:t xml:space="preserve"> SK po napadu </w:t>
      </w:r>
      <w:proofErr w:type="spellStart"/>
      <w:r w:rsidRPr="00F3439A">
        <w:rPr>
          <w:lang w:val="sr-Latn-ME"/>
        </w:rPr>
        <w:t>angioedema</w:t>
      </w:r>
      <w:proofErr w:type="spellEnd"/>
      <w:r w:rsidRPr="00F3439A">
        <w:rPr>
          <w:lang w:val="sr-Latn-ME"/>
        </w:rPr>
        <w:t>.</w:t>
      </w:r>
    </w:p>
    <w:p w14:paraId="48F6B462" w14:textId="77777777" w:rsidR="00F738B6" w:rsidRPr="00F3439A" w:rsidRDefault="00F738B6" w:rsidP="005F546A">
      <w:pPr>
        <w:pStyle w:val="BodyText"/>
        <w:ind w:left="0"/>
        <w:rPr>
          <w:lang w:val="sr-Latn-ME"/>
        </w:rPr>
      </w:pPr>
    </w:p>
    <w:p w14:paraId="3B72EC51" w14:textId="04D5EFA4" w:rsidR="00F738B6" w:rsidRPr="00F3439A" w:rsidRDefault="00F738B6" w:rsidP="005F546A">
      <w:pPr>
        <w:pStyle w:val="BodyText"/>
        <w:ind w:left="0"/>
        <w:rPr>
          <w:lang w:val="sr-Latn-ME"/>
        </w:rPr>
      </w:pPr>
      <w:r w:rsidRPr="00F3439A">
        <w:rPr>
          <w:lang w:val="sr-Latn-ME"/>
        </w:rPr>
        <w:t>Kod d</w:t>
      </w:r>
      <w:r w:rsidR="00AD5C01" w:rsidRPr="00F3439A">
        <w:rPr>
          <w:lang w:val="sr-Latn-ME"/>
        </w:rPr>
        <w:t>j</w:t>
      </w:r>
      <w:r w:rsidRPr="00F3439A">
        <w:rPr>
          <w:lang w:val="sr-Latn-ME"/>
        </w:rPr>
        <w:t>ece mlađe od 2 godine ili t</w:t>
      </w:r>
      <w:r w:rsidR="00AD5C01" w:rsidRPr="00F3439A">
        <w:rPr>
          <w:lang w:val="sr-Latn-ME"/>
        </w:rPr>
        <w:t>j</w:t>
      </w:r>
      <w:r w:rsidRPr="00F3439A">
        <w:rPr>
          <w:lang w:val="sr-Latn-ME"/>
        </w:rPr>
        <w:t>elesne mase manje od 12 kg ne može se preporučiti shema doziranja jer bezb</w:t>
      </w:r>
      <w:r w:rsidR="00AD5C01" w:rsidRPr="00F3439A">
        <w:rPr>
          <w:lang w:val="sr-Latn-ME"/>
        </w:rPr>
        <w:t>j</w:t>
      </w:r>
      <w:r w:rsidRPr="00F3439A">
        <w:rPr>
          <w:lang w:val="sr-Latn-ME"/>
        </w:rPr>
        <w:t>ednost i efikasnost u toj pedijatrijskoj grupi ni</w:t>
      </w:r>
      <w:r w:rsidR="00AD5C01" w:rsidRPr="00F3439A">
        <w:rPr>
          <w:lang w:val="sr-Latn-ME"/>
        </w:rPr>
        <w:t>je</w:t>
      </w:r>
      <w:r w:rsidRPr="00F3439A">
        <w:rPr>
          <w:lang w:val="sr-Latn-ME"/>
        </w:rPr>
        <w:t>su još ustanovljeni.</w:t>
      </w:r>
    </w:p>
    <w:p w14:paraId="42E0BBAA" w14:textId="77777777" w:rsidR="00F738B6" w:rsidRPr="00F3439A" w:rsidRDefault="00F738B6" w:rsidP="005F546A">
      <w:pPr>
        <w:pStyle w:val="BodyText"/>
        <w:ind w:left="0"/>
        <w:rPr>
          <w:lang w:val="sr-Latn-ME"/>
        </w:rPr>
      </w:pPr>
    </w:p>
    <w:p w14:paraId="428C333D" w14:textId="77777777" w:rsidR="00F738B6" w:rsidRPr="00F3439A" w:rsidRDefault="00F738B6" w:rsidP="005F546A">
      <w:pPr>
        <w:pStyle w:val="BodyText"/>
        <w:ind w:left="0"/>
        <w:rPr>
          <w:i/>
          <w:iCs/>
          <w:lang w:val="sr-Latn-ME"/>
        </w:rPr>
      </w:pPr>
      <w:r w:rsidRPr="00F3439A">
        <w:rPr>
          <w:i/>
          <w:iCs/>
          <w:lang w:val="sr-Latn-ME"/>
        </w:rPr>
        <w:t>Starije osobe</w:t>
      </w:r>
    </w:p>
    <w:p w14:paraId="179673C5" w14:textId="77777777" w:rsidR="00F738B6" w:rsidRPr="00F3439A" w:rsidRDefault="00F738B6" w:rsidP="005F546A">
      <w:pPr>
        <w:pStyle w:val="BodyText"/>
        <w:ind w:left="0"/>
        <w:rPr>
          <w:lang w:val="sr-Latn-ME"/>
        </w:rPr>
      </w:pPr>
      <w:r w:rsidRPr="00F3439A">
        <w:rPr>
          <w:lang w:val="sr-Latn-ME"/>
        </w:rPr>
        <w:t>O pacijentima starijim od 65 godina, dostupni su ograničeni podaci.</w:t>
      </w:r>
    </w:p>
    <w:p w14:paraId="01E4006C" w14:textId="77777777" w:rsidR="00F738B6" w:rsidRPr="00F3439A" w:rsidRDefault="00F738B6" w:rsidP="005F546A">
      <w:pPr>
        <w:pStyle w:val="BodyText"/>
        <w:ind w:left="0"/>
        <w:rPr>
          <w:lang w:val="sr-Latn-ME"/>
        </w:rPr>
      </w:pPr>
    </w:p>
    <w:p w14:paraId="22F0D706" w14:textId="1307C0B3" w:rsidR="00F738B6" w:rsidRPr="00F3439A" w:rsidRDefault="00F738B6" w:rsidP="005F546A">
      <w:pPr>
        <w:pStyle w:val="BodyText"/>
        <w:ind w:left="0"/>
        <w:rPr>
          <w:lang w:val="sr-Latn-ME"/>
        </w:rPr>
      </w:pPr>
      <w:r w:rsidRPr="00F3439A">
        <w:rPr>
          <w:lang w:val="sr-Latn-ME"/>
        </w:rPr>
        <w:t xml:space="preserve">Pokazalo se da je kod starijih osoba povećana sistemska izloženost </w:t>
      </w:r>
      <w:proofErr w:type="spellStart"/>
      <w:r w:rsidRPr="00F3439A">
        <w:rPr>
          <w:lang w:val="sr-Latn-ME"/>
        </w:rPr>
        <w:t>ikatibantu</w:t>
      </w:r>
      <w:proofErr w:type="spellEnd"/>
      <w:r w:rsidRPr="00F3439A">
        <w:rPr>
          <w:lang w:val="sr-Latn-ME"/>
        </w:rPr>
        <w:t>. Nije utvrđen značaj ovog zapažanja za bezb</w:t>
      </w:r>
      <w:r w:rsidR="00AD5C01" w:rsidRPr="00F3439A">
        <w:rPr>
          <w:lang w:val="sr-Latn-ME"/>
        </w:rPr>
        <w:t>j</w:t>
      </w:r>
      <w:r w:rsidRPr="00F3439A">
        <w:rPr>
          <w:lang w:val="sr-Latn-ME"/>
        </w:rPr>
        <w:t>ednost prim</w:t>
      </w:r>
      <w:r w:rsidR="00AD5C01" w:rsidRPr="00F3439A">
        <w:rPr>
          <w:lang w:val="sr-Latn-ME"/>
        </w:rPr>
        <w:t>j</w:t>
      </w:r>
      <w:r w:rsidRPr="00F3439A">
        <w:rPr>
          <w:lang w:val="sr-Latn-ME"/>
        </w:rPr>
        <w:t>ene l</w:t>
      </w:r>
      <w:r w:rsidR="00AD5C01" w:rsidRPr="00F3439A">
        <w:rPr>
          <w:lang w:val="sr-Latn-ME"/>
        </w:rPr>
        <w:t>ij</w:t>
      </w:r>
      <w:r w:rsidRPr="00F3439A">
        <w:rPr>
          <w:lang w:val="sr-Latn-ME"/>
        </w:rPr>
        <w:t xml:space="preserve">eka </w:t>
      </w:r>
      <w:proofErr w:type="spellStart"/>
      <w:r w:rsidRPr="00F3439A">
        <w:rPr>
          <w:lang w:val="sr-Latn-ME"/>
        </w:rPr>
        <w:t>Ikatibant</w:t>
      </w:r>
      <w:proofErr w:type="spellEnd"/>
      <w:r w:rsidRPr="00F3439A">
        <w:rPr>
          <w:lang w:val="sr-Latn-ME"/>
        </w:rPr>
        <w:t xml:space="preserve"> SK (vid</w:t>
      </w:r>
      <w:r w:rsidR="00AD5C01" w:rsidRPr="00F3439A">
        <w:rPr>
          <w:lang w:val="sr-Latn-ME"/>
        </w:rPr>
        <w:t>j</w:t>
      </w:r>
      <w:r w:rsidRPr="00F3439A">
        <w:rPr>
          <w:lang w:val="sr-Latn-ME"/>
        </w:rPr>
        <w:t>eti od</w:t>
      </w:r>
      <w:r w:rsidR="00AD5C01" w:rsidRPr="00F3439A">
        <w:rPr>
          <w:lang w:val="sr-Latn-ME"/>
        </w:rPr>
        <w:t>j</w:t>
      </w:r>
      <w:r w:rsidRPr="00F3439A">
        <w:rPr>
          <w:lang w:val="sr-Latn-ME"/>
        </w:rPr>
        <w:t>eljak 5.2).</w:t>
      </w:r>
    </w:p>
    <w:p w14:paraId="0C75C5F8" w14:textId="77777777" w:rsidR="00F738B6" w:rsidRPr="00F3439A" w:rsidRDefault="00F738B6" w:rsidP="005F546A">
      <w:pPr>
        <w:pStyle w:val="BodyText"/>
        <w:ind w:left="0"/>
        <w:rPr>
          <w:lang w:val="sr-Latn-ME"/>
        </w:rPr>
      </w:pPr>
    </w:p>
    <w:p w14:paraId="1D387BD6" w14:textId="77777777" w:rsidR="00F738B6" w:rsidRPr="00F3439A" w:rsidRDefault="00F738B6" w:rsidP="005F546A">
      <w:pPr>
        <w:pStyle w:val="BodyText"/>
        <w:ind w:left="0"/>
        <w:rPr>
          <w:i/>
          <w:iCs/>
          <w:lang w:val="sr-Latn-ME"/>
        </w:rPr>
      </w:pPr>
      <w:r w:rsidRPr="00F3439A">
        <w:rPr>
          <w:i/>
          <w:iCs/>
          <w:lang w:val="sr-Latn-ME"/>
        </w:rPr>
        <w:t>Oštećenje funkcije jetre</w:t>
      </w:r>
    </w:p>
    <w:p w14:paraId="1AF371D3" w14:textId="77777777" w:rsidR="00F738B6" w:rsidRPr="00F3439A" w:rsidRDefault="00F738B6" w:rsidP="005F546A">
      <w:pPr>
        <w:pStyle w:val="BodyText"/>
        <w:ind w:left="0"/>
        <w:rPr>
          <w:lang w:val="sr-Latn-ME"/>
        </w:rPr>
      </w:pPr>
      <w:r w:rsidRPr="00F3439A">
        <w:rPr>
          <w:lang w:val="sr-Latn-ME"/>
        </w:rPr>
        <w:t>Kod pacijenata sa oštećenjem funkcije jetre, nije potrebno prilagođavanje doze.</w:t>
      </w:r>
    </w:p>
    <w:p w14:paraId="08625E28" w14:textId="77777777" w:rsidR="00F738B6" w:rsidRPr="00F3439A" w:rsidRDefault="00F738B6" w:rsidP="005F546A">
      <w:pPr>
        <w:pStyle w:val="BodyText"/>
        <w:ind w:left="0"/>
        <w:rPr>
          <w:lang w:val="sr-Latn-ME"/>
        </w:rPr>
      </w:pPr>
    </w:p>
    <w:p w14:paraId="40C2E857" w14:textId="77777777" w:rsidR="00F738B6" w:rsidRPr="00F3439A" w:rsidRDefault="00F738B6" w:rsidP="005F546A">
      <w:pPr>
        <w:pStyle w:val="BodyText"/>
        <w:ind w:left="0"/>
        <w:rPr>
          <w:i/>
          <w:iCs/>
          <w:lang w:val="sr-Latn-ME"/>
        </w:rPr>
      </w:pPr>
      <w:r w:rsidRPr="00F3439A">
        <w:rPr>
          <w:i/>
          <w:iCs/>
          <w:lang w:val="sr-Latn-ME"/>
        </w:rPr>
        <w:t>Oštećenje funkcije bubrega</w:t>
      </w:r>
    </w:p>
    <w:p w14:paraId="10583A35" w14:textId="77777777" w:rsidR="00F738B6" w:rsidRPr="00F3439A" w:rsidRDefault="00F738B6" w:rsidP="005F546A">
      <w:pPr>
        <w:pStyle w:val="BodyText"/>
        <w:ind w:left="0"/>
        <w:rPr>
          <w:lang w:val="sr-Latn-ME"/>
        </w:rPr>
      </w:pPr>
      <w:r w:rsidRPr="00F3439A">
        <w:rPr>
          <w:lang w:val="sr-Latn-ME"/>
        </w:rPr>
        <w:t xml:space="preserve">Kod pacijenata sa oštećenjem funkcije bubrega, nije potrebno prilagođavanje doze. </w:t>
      </w:r>
    </w:p>
    <w:p w14:paraId="23BDCC9C" w14:textId="77777777" w:rsidR="00F738B6" w:rsidRPr="00F3439A" w:rsidRDefault="00F738B6" w:rsidP="005F546A">
      <w:pPr>
        <w:pStyle w:val="BodyText"/>
        <w:ind w:left="0"/>
        <w:rPr>
          <w:lang w:val="sr-Latn-ME"/>
        </w:rPr>
      </w:pPr>
    </w:p>
    <w:p w14:paraId="435F4FD8" w14:textId="77777777" w:rsidR="00452E9D" w:rsidRPr="00F3439A" w:rsidRDefault="00452E9D" w:rsidP="005F546A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F3439A">
        <w:rPr>
          <w:bCs/>
          <w:sz w:val="22"/>
          <w:szCs w:val="22"/>
          <w:u w:val="single"/>
          <w:lang w:val="sr-Latn-ME"/>
        </w:rPr>
        <w:t>Način primjene</w:t>
      </w:r>
    </w:p>
    <w:p w14:paraId="3A86DCC6" w14:textId="77777777" w:rsidR="00452E9D" w:rsidRPr="00F3439A" w:rsidRDefault="00452E9D" w:rsidP="005F54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2D06075" w14:textId="129F0D7B" w:rsidR="00F738B6" w:rsidRPr="00F3439A" w:rsidRDefault="00F738B6" w:rsidP="005F546A">
      <w:pPr>
        <w:pStyle w:val="BodyText"/>
        <w:ind w:left="0"/>
        <w:rPr>
          <w:lang w:val="sr-Latn-ME"/>
        </w:rPr>
      </w:pPr>
      <w:proofErr w:type="spellStart"/>
      <w:r w:rsidRPr="00F3439A">
        <w:rPr>
          <w:lang w:val="sr-Latn-ME"/>
        </w:rPr>
        <w:t>Ikatibant</w:t>
      </w:r>
      <w:proofErr w:type="spellEnd"/>
      <w:r w:rsidRPr="00F3439A">
        <w:rPr>
          <w:lang w:val="sr-Latn-ME"/>
        </w:rPr>
        <w:t xml:space="preserve"> SK je nam</w:t>
      </w:r>
      <w:r w:rsidR="00F3439A">
        <w:rPr>
          <w:lang w:val="sr-Latn-ME"/>
        </w:rPr>
        <w:t>i</w:t>
      </w:r>
      <w:r w:rsidR="00AD5C01" w:rsidRPr="00F3439A">
        <w:rPr>
          <w:lang w:val="sr-Latn-ME"/>
        </w:rPr>
        <w:t>j</w:t>
      </w:r>
      <w:r w:rsidRPr="00F3439A">
        <w:rPr>
          <w:lang w:val="sr-Latn-ME"/>
        </w:rPr>
        <w:t>enjen za potkožnu prim</w:t>
      </w:r>
      <w:r w:rsidR="00AD5C01" w:rsidRPr="00F3439A">
        <w:rPr>
          <w:lang w:val="sr-Latn-ME"/>
        </w:rPr>
        <w:t>j</w:t>
      </w:r>
      <w:r w:rsidRPr="00F3439A">
        <w:rPr>
          <w:lang w:val="sr-Latn-ME"/>
        </w:rPr>
        <w:t>enu, po mogućnosti u području stomaka.</w:t>
      </w:r>
    </w:p>
    <w:p w14:paraId="6F11621C" w14:textId="77777777" w:rsidR="00F738B6" w:rsidRPr="00F3439A" w:rsidRDefault="00F738B6" w:rsidP="005F546A">
      <w:pPr>
        <w:pStyle w:val="BodyText"/>
        <w:ind w:left="0"/>
        <w:rPr>
          <w:lang w:val="sr-Latn-ME"/>
        </w:rPr>
      </w:pPr>
    </w:p>
    <w:p w14:paraId="08EDC4CF" w14:textId="7E9EF263" w:rsidR="00F738B6" w:rsidRPr="00F3439A" w:rsidRDefault="00F738B6" w:rsidP="005F546A">
      <w:pPr>
        <w:pStyle w:val="BodyText"/>
        <w:ind w:left="0"/>
        <w:rPr>
          <w:lang w:val="sr-Latn-ME"/>
        </w:rPr>
      </w:pPr>
      <w:proofErr w:type="spellStart"/>
      <w:r w:rsidRPr="00F3439A">
        <w:rPr>
          <w:lang w:val="sr-Latn-ME"/>
        </w:rPr>
        <w:t>Ikatibant</w:t>
      </w:r>
      <w:proofErr w:type="spellEnd"/>
      <w:r w:rsidRPr="00F3439A">
        <w:rPr>
          <w:lang w:val="sr-Latn-ME"/>
        </w:rPr>
        <w:t xml:space="preserve"> SK rastvor za injekciju je potrebno ubrizgavati polako zbog volumena koji treba prim</w:t>
      </w:r>
      <w:r w:rsidR="00F3439A">
        <w:rPr>
          <w:lang w:val="sr-Latn-ME"/>
        </w:rPr>
        <w:t>i</w:t>
      </w:r>
      <w:r w:rsidR="00AD5C01" w:rsidRPr="00F3439A">
        <w:rPr>
          <w:lang w:val="sr-Latn-ME"/>
        </w:rPr>
        <w:t>j</w:t>
      </w:r>
      <w:r w:rsidRPr="00F3439A">
        <w:rPr>
          <w:lang w:val="sr-Latn-ME"/>
        </w:rPr>
        <w:t>eniti.</w:t>
      </w:r>
    </w:p>
    <w:p w14:paraId="24A3FDC3" w14:textId="77777777" w:rsidR="00F738B6" w:rsidRPr="00F3439A" w:rsidRDefault="00F738B6" w:rsidP="005F546A">
      <w:pPr>
        <w:pStyle w:val="BodyText"/>
        <w:ind w:left="0"/>
        <w:rPr>
          <w:lang w:val="sr-Latn-ME"/>
        </w:rPr>
      </w:pPr>
    </w:p>
    <w:p w14:paraId="424ADD09" w14:textId="39F4C48C" w:rsidR="00F738B6" w:rsidRPr="00F3439A" w:rsidRDefault="00F738B6" w:rsidP="005F546A">
      <w:pPr>
        <w:pStyle w:val="BodyText"/>
        <w:ind w:left="0"/>
        <w:rPr>
          <w:lang w:val="sr-Latn-ME"/>
        </w:rPr>
      </w:pPr>
      <w:r w:rsidRPr="00F3439A">
        <w:rPr>
          <w:lang w:val="sr-Latn-ME"/>
        </w:rPr>
        <w:t>Svaki injekcioni špric l</w:t>
      </w:r>
      <w:r w:rsidR="00AD5C01" w:rsidRPr="00F3439A">
        <w:rPr>
          <w:lang w:val="sr-Latn-ME"/>
        </w:rPr>
        <w:t>ij</w:t>
      </w:r>
      <w:r w:rsidRPr="00F3439A">
        <w:rPr>
          <w:lang w:val="sr-Latn-ME"/>
        </w:rPr>
        <w:t xml:space="preserve">eka </w:t>
      </w:r>
      <w:proofErr w:type="spellStart"/>
      <w:r w:rsidRPr="00F3439A">
        <w:rPr>
          <w:lang w:val="sr-Latn-ME"/>
        </w:rPr>
        <w:t>Ikatibant</w:t>
      </w:r>
      <w:proofErr w:type="spellEnd"/>
      <w:r w:rsidRPr="00F3439A">
        <w:rPr>
          <w:lang w:val="sr-Latn-ME"/>
        </w:rPr>
        <w:t xml:space="preserve"> SK nam</w:t>
      </w:r>
      <w:r w:rsidR="00F3439A">
        <w:rPr>
          <w:lang w:val="sr-Latn-ME"/>
        </w:rPr>
        <w:t>i</w:t>
      </w:r>
      <w:r w:rsidR="00AD5C01" w:rsidRPr="00F3439A">
        <w:rPr>
          <w:lang w:val="sr-Latn-ME"/>
        </w:rPr>
        <w:t>j</w:t>
      </w:r>
      <w:r w:rsidRPr="00F3439A">
        <w:rPr>
          <w:lang w:val="sr-Latn-ME"/>
        </w:rPr>
        <w:t>enjen je samo za jednokratnu upotrebu.</w:t>
      </w:r>
    </w:p>
    <w:p w14:paraId="4D0E68C7" w14:textId="77777777" w:rsidR="00F738B6" w:rsidRPr="00F3439A" w:rsidRDefault="00F738B6" w:rsidP="005F546A">
      <w:pPr>
        <w:pStyle w:val="BodyText"/>
        <w:ind w:left="0"/>
        <w:rPr>
          <w:lang w:val="sr-Latn-ME"/>
        </w:rPr>
      </w:pPr>
    </w:p>
    <w:p w14:paraId="3CD67136" w14:textId="02A0AABE" w:rsidR="00F738B6" w:rsidRPr="00F3439A" w:rsidRDefault="00F738B6" w:rsidP="005F546A">
      <w:pPr>
        <w:pStyle w:val="BodyText"/>
        <w:ind w:left="0"/>
        <w:rPr>
          <w:lang w:val="sr-Latn-ME"/>
        </w:rPr>
      </w:pPr>
      <w:r w:rsidRPr="00F3439A">
        <w:rPr>
          <w:lang w:val="sr-Latn-ME"/>
        </w:rPr>
        <w:t>Za uputstvo za upotrebu pogledajte Uputstvo za l</w:t>
      </w:r>
      <w:r w:rsidR="00AD5C01" w:rsidRPr="00F3439A">
        <w:rPr>
          <w:lang w:val="sr-Latn-ME"/>
        </w:rPr>
        <w:t>ij</w:t>
      </w:r>
      <w:r w:rsidRPr="00F3439A">
        <w:rPr>
          <w:lang w:val="sr-Latn-ME"/>
        </w:rPr>
        <w:t>ek.</w:t>
      </w:r>
    </w:p>
    <w:p w14:paraId="09C1F312" w14:textId="77777777" w:rsidR="00F738B6" w:rsidRPr="00F3439A" w:rsidRDefault="00F738B6" w:rsidP="005F546A">
      <w:pPr>
        <w:pStyle w:val="BodyText"/>
        <w:ind w:left="0"/>
        <w:rPr>
          <w:lang w:val="sr-Latn-ME"/>
        </w:rPr>
      </w:pPr>
    </w:p>
    <w:p w14:paraId="7096B3D5" w14:textId="528CB922" w:rsidR="00F738B6" w:rsidRPr="00F3439A" w:rsidRDefault="00F738B6" w:rsidP="005F546A">
      <w:pPr>
        <w:pStyle w:val="BodyText"/>
        <w:ind w:left="0"/>
        <w:rPr>
          <w:i/>
          <w:iCs/>
          <w:lang w:val="sr-Latn-ME"/>
        </w:rPr>
      </w:pPr>
      <w:r w:rsidRPr="00F3439A">
        <w:rPr>
          <w:i/>
          <w:iCs/>
          <w:lang w:val="sr-Latn-ME"/>
        </w:rPr>
        <w:t>Samostalna prim</w:t>
      </w:r>
      <w:r w:rsidR="00F3439A">
        <w:rPr>
          <w:i/>
          <w:iCs/>
          <w:lang w:val="sr-Latn-ME"/>
        </w:rPr>
        <w:t>j</w:t>
      </w:r>
      <w:r w:rsidRPr="00F3439A">
        <w:rPr>
          <w:i/>
          <w:iCs/>
          <w:lang w:val="sr-Latn-ME"/>
        </w:rPr>
        <w:t>ena l</w:t>
      </w:r>
      <w:r w:rsidR="00AD5C01" w:rsidRPr="00F3439A">
        <w:rPr>
          <w:i/>
          <w:iCs/>
          <w:lang w:val="sr-Latn-ME"/>
        </w:rPr>
        <w:t>ij</w:t>
      </w:r>
      <w:r w:rsidRPr="00F3439A">
        <w:rPr>
          <w:i/>
          <w:iCs/>
          <w:lang w:val="sr-Latn-ME"/>
        </w:rPr>
        <w:t>eka od strane pacijenta/prim</w:t>
      </w:r>
      <w:r w:rsidR="00AD5C01" w:rsidRPr="00F3439A">
        <w:rPr>
          <w:i/>
          <w:iCs/>
          <w:lang w:val="sr-Latn-ME"/>
        </w:rPr>
        <w:t>j</w:t>
      </w:r>
      <w:r w:rsidRPr="00F3439A">
        <w:rPr>
          <w:i/>
          <w:iCs/>
          <w:lang w:val="sr-Latn-ME"/>
        </w:rPr>
        <w:t>ena od strane staratelja</w:t>
      </w:r>
    </w:p>
    <w:p w14:paraId="607DD85B" w14:textId="434826B7" w:rsidR="00F738B6" w:rsidRPr="00F3439A" w:rsidRDefault="00F738B6" w:rsidP="005F546A">
      <w:pPr>
        <w:pStyle w:val="BodyText"/>
        <w:ind w:left="0"/>
        <w:rPr>
          <w:lang w:val="sr-Latn-ME"/>
        </w:rPr>
      </w:pPr>
      <w:r w:rsidRPr="00F3439A">
        <w:rPr>
          <w:lang w:val="sr-Latn-ME"/>
        </w:rPr>
        <w:t>Samo l</w:t>
      </w:r>
      <w:r w:rsidR="00AD5C01" w:rsidRPr="00F3439A">
        <w:rPr>
          <w:lang w:val="sr-Latn-ME"/>
        </w:rPr>
        <w:t>j</w:t>
      </w:r>
      <w:r w:rsidRPr="00F3439A">
        <w:rPr>
          <w:lang w:val="sr-Latn-ME"/>
        </w:rPr>
        <w:t>ekar sa iskustvom u dijagnostici i l</w:t>
      </w:r>
      <w:r w:rsidR="00AD5C01" w:rsidRPr="00F3439A">
        <w:rPr>
          <w:lang w:val="sr-Latn-ME"/>
        </w:rPr>
        <w:t>ij</w:t>
      </w:r>
      <w:r w:rsidRPr="00F3439A">
        <w:rPr>
          <w:lang w:val="sr-Latn-ME"/>
        </w:rPr>
        <w:t xml:space="preserve">ečenju hereditarnog </w:t>
      </w:r>
      <w:proofErr w:type="spellStart"/>
      <w:r w:rsidRPr="00F3439A">
        <w:rPr>
          <w:lang w:val="sr-Latn-ME"/>
        </w:rPr>
        <w:t>angioedema</w:t>
      </w:r>
      <w:proofErr w:type="spellEnd"/>
      <w:r w:rsidRPr="00F3439A">
        <w:rPr>
          <w:lang w:val="sr-Latn-ME"/>
        </w:rPr>
        <w:t xml:space="preserve"> sm</w:t>
      </w:r>
      <w:r w:rsidR="00AD5C01" w:rsidRPr="00F3439A">
        <w:rPr>
          <w:lang w:val="sr-Latn-ME"/>
        </w:rPr>
        <w:t>ij</w:t>
      </w:r>
      <w:r w:rsidRPr="00F3439A">
        <w:rPr>
          <w:lang w:val="sr-Latn-ME"/>
        </w:rPr>
        <w:t>e don</w:t>
      </w:r>
      <w:r w:rsidR="00AD5C01" w:rsidRPr="00F3439A">
        <w:rPr>
          <w:lang w:val="sr-Latn-ME"/>
        </w:rPr>
        <w:t>ij</w:t>
      </w:r>
      <w:r w:rsidRPr="00F3439A">
        <w:rPr>
          <w:lang w:val="sr-Latn-ME"/>
        </w:rPr>
        <w:t>eti odluku da pacijent može da počne sa samostalnom prim</w:t>
      </w:r>
      <w:r w:rsidR="00AD5C01" w:rsidRPr="00F3439A">
        <w:rPr>
          <w:lang w:val="sr-Latn-ME"/>
        </w:rPr>
        <w:t>j</w:t>
      </w:r>
      <w:r w:rsidRPr="00F3439A">
        <w:rPr>
          <w:lang w:val="sr-Latn-ME"/>
        </w:rPr>
        <w:t>enom l</w:t>
      </w:r>
      <w:r w:rsidR="00AD5C01" w:rsidRPr="00F3439A">
        <w:rPr>
          <w:lang w:val="sr-Latn-ME"/>
        </w:rPr>
        <w:t>ij</w:t>
      </w:r>
      <w:r w:rsidRPr="00F3439A">
        <w:rPr>
          <w:lang w:val="sr-Latn-ME"/>
        </w:rPr>
        <w:t xml:space="preserve">eka </w:t>
      </w:r>
      <w:proofErr w:type="spellStart"/>
      <w:r w:rsidRPr="00F3439A">
        <w:rPr>
          <w:lang w:val="sr-Latn-ME"/>
        </w:rPr>
        <w:t>Ikatibant</w:t>
      </w:r>
      <w:proofErr w:type="spellEnd"/>
      <w:r w:rsidRPr="00F3439A">
        <w:rPr>
          <w:lang w:val="sr-Latn-ME"/>
        </w:rPr>
        <w:t xml:space="preserve"> SK ili da mu l</w:t>
      </w:r>
      <w:r w:rsidR="00AD5C01" w:rsidRPr="00F3439A">
        <w:rPr>
          <w:lang w:val="sr-Latn-ME"/>
        </w:rPr>
        <w:t>ij</w:t>
      </w:r>
      <w:r w:rsidRPr="00F3439A">
        <w:rPr>
          <w:lang w:val="sr-Latn-ME"/>
        </w:rPr>
        <w:t>ek prim</w:t>
      </w:r>
      <w:r w:rsidR="00AD5C01" w:rsidRPr="00F3439A">
        <w:rPr>
          <w:lang w:val="sr-Latn-ME"/>
        </w:rPr>
        <w:t>j</w:t>
      </w:r>
      <w:r w:rsidRPr="00F3439A">
        <w:rPr>
          <w:lang w:val="sr-Latn-ME"/>
        </w:rPr>
        <w:t>enjuje staratelj (vid</w:t>
      </w:r>
      <w:r w:rsidR="00AD5C01" w:rsidRPr="00F3439A">
        <w:rPr>
          <w:lang w:val="sr-Latn-ME"/>
        </w:rPr>
        <w:t>j</w:t>
      </w:r>
      <w:r w:rsidRPr="00F3439A">
        <w:rPr>
          <w:lang w:val="sr-Latn-ME"/>
        </w:rPr>
        <w:t>eti od</w:t>
      </w:r>
      <w:r w:rsidR="00AD5C01" w:rsidRPr="00F3439A">
        <w:rPr>
          <w:lang w:val="sr-Latn-ME"/>
        </w:rPr>
        <w:t>j</w:t>
      </w:r>
      <w:r w:rsidRPr="00F3439A">
        <w:rPr>
          <w:lang w:val="sr-Latn-ME"/>
        </w:rPr>
        <w:t>eljak 4.4).</w:t>
      </w:r>
    </w:p>
    <w:p w14:paraId="56E1FD23" w14:textId="77777777" w:rsidR="00F738B6" w:rsidRPr="00F3439A" w:rsidRDefault="00F738B6" w:rsidP="005F546A">
      <w:pPr>
        <w:pStyle w:val="BodyText"/>
        <w:ind w:left="0"/>
        <w:rPr>
          <w:lang w:val="sr-Latn-ME"/>
        </w:rPr>
      </w:pPr>
    </w:p>
    <w:p w14:paraId="36B91F00" w14:textId="77777777" w:rsidR="00F738B6" w:rsidRPr="00F3439A" w:rsidRDefault="00F738B6" w:rsidP="005F546A">
      <w:pPr>
        <w:pStyle w:val="BodyText"/>
        <w:ind w:left="0"/>
        <w:rPr>
          <w:i/>
          <w:iCs/>
          <w:lang w:val="sr-Latn-ME"/>
        </w:rPr>
      </w:pPr>
      <w:r w:rsidRPr="00F3439A">
        <w:rPr>
          <w:i/>
          <w:iCs/>
          <w:lang w:val="sr-Latn-ME"/>
        </w:rPr>
        <w:t>Odrasle osobe</w:t>
      </w:r>
    </w:p>
    <w:p w14:paraId="76E7236E" w14:textId="51F65999" w:rsidR="00F738B6" w:rsidRPr="00F3439A" w:rsidRDefault="00F738B6" w:rsidP="005F546A">
      <w:pPr>
        <w:pStyle w:val="BodyText"/>
        <w:ind w:left="0"/>
        <w:rPr>
          <w:lang w:val="sr-Latn-ME"/>
        </w:rPr>
      </w:pPr>
      <w:r w:rsidRPr="00F3439A">
        <w:rPr>
          <w:lang w:val="sr-Latn-ME"/>
        </w:rPr>
        <w:t xml:space="preserve">Pacijent može samostalno </w:t>
      </w:r>
      <w:r w:rsidR="00F3439A" w:rsidRPr="00F3439A">
        <w:rPr>
          <w:lang w:val="sr-Latn-ME"/>
        </w:rPr>
        <w:t xml:space="preserve">primijeniti </w:t>
      </w:r>
      <w:r w:rsidRPr="00F3439A">
        <w:rPr>
          <w:lang w:val="sr-Latn-ME"/>
        </w:rPr>
        <w:t>l</w:t>
      </w:r>
      <w:r w:rsidR="00AD5C01" w:rsidRPr="00F3439A">
        <w:rPr>
          <w:lang w:val="sr-Latn-ME"/>
        </w:rPr>
        <w:t>ij</w:t>
      </w:r>
      <w:r w:rsidRPr="00F3439A">
        <w:rPr>
          <w:lang w:val="sr-Latn-ME"/>
        </w:rPr>
        <w:t xml:space="preserve">ek </w:t>
      </w:r>
      <w:proofErr w:type="spellStart"/>
      <w:r w:rsidRPr="00F3439A">
        <w:rPr>
          <w:lang w:val="sr-Latn-ME"/>
        </w:rPr>
        <w:t>Ikatibant</w:t>
      </w:r>
      <w:proofErr w:type="spellEnd"/>
      <w:r w:rsidRPr="00F3439A">
        <w:rPr>
          <w:lang w:val="sr-Latn-ME"/>
        </w:rPr>
        <w:t xml:space="preserve"> SK ili mu l</w:t>
      </w:r>
      <w:r w:rsidR="00AD5C01" w:rsidRPr="00F3439A">
        <w:rPr>
          <w:lang w:val="sr-Latn-ME"/>
        </w:rPr>
        <w:t>ij</w:t>
      </w:r>
      <w:r w:rsidRPr="00F3439A">
        <w:rPr>
          <w:lang w:val="sr-Latn-ME"/>
        </w:rPr>
        <w:t xml:space="preserve">ek može davati staratelj, tek nakon što je edukovan o pravilnoj tehnici davanja </w:t>
      </w:r>
      <w:proofErr w:type="spellStart"/>
      <w:r w:rsidRPr="00F3439A">
        <w:rPr>
          <w:lang w:val="sr-Latn-ME"/>
        </w:rPr>
        <w:t>su</w:t>
      </w:r>
      <w:r w:rsidR="00492C60">
        <w:rPr>
          <w:lang w:val="sr-Latn-ME"/>
        </w:rPr>
        <w:t>b</w:t>
      </w:r>
      <w:r w:rsidRPr="00F3439A">
        <w:rPr>
          <w:lang w:val="sr-Latn-ME"/>
        </w:rPr>
        <w:t>kutanih</w:t>
      </w:r>
      <w:proofErr w:type="spellEnd"/>
      <w:r w:rsidRPr="00F3439A">
        <w:rPr>
          <w:lang w:val="sr-Latn-ME"/>
        </w:rPr>
        <w:t xml:space="preserve"> injekcija od strane zdravstvenog radnika.</w:t>
      </w:r>
    </w:p>
    <w:p w14:paraId="1C472A66" w14:textId="77777777" w:rsidR="00F738B6" w:rsidRPr="00F3439A" w:rsidRDefault="00F738B6" w:rsidP="005F546A">
      <w:pPr>
        <w:pStyle w:val="BodyText"/>
        <w:ind w:left="0"/>
        <w:rPr>
          <w:lang w:val="sr-Latn-ME"/>
        </w:rPr>
      </w:pPr>
    </w:p>
    <w:p w14:paraId="71325335" w14:textId="787BFDB1" w:rsidR="00F738B6" w:rsidRPr="00F3439A" w:rsidRDefault="00F738B6" w:rsidP="005F546A">
      <w:pPr>
        <w:pStyle w:val="BodyText"/>
        <w:ind w:left="0"/>
        <w:rPr>
          <w:i/>
          <w:iCs/>
          <w:lang w:val="sr-Latn-ME"/>
        </w:rPr>
      </w:pPr>
      <w:r w:rsidRPr="00F3439A">
        <w:rPr>
          <w:i/>
          <w:iCs/>
          <w:lang w:val="sr-Latn-ME"/>
        </w:rPr>
        <w:t>D</w:t>
      </w:r>
      <w:r w:rsidR="00AD5C01" w:rsidRPr="00F3439A">
        <w:rPr>
          <w:i/>
          <w:iCs/>
          <w:lang w:val="sr-Latn-ME"/>
        </w:rPr>
        <w:t>j</w:t>
      </w:r>
      <w:r w:rsidRPr="00F3439A">
        <w:rPr>
          <w:i/>
          <w:iCs/>
          <w:lang w:val="sr-Latn-ME"/>
        </w:rPr>
        <w:t>eca i adolescenti uzrasta od 2 do 17 godina</w:t>
      </w:r>
    </w:p>
    <w:p w14:paraId="32AF1563" w14:textId="72D8153A" w:rsidR="00F738B6" w:rsidRPr="00F3439A" w:rsidRDefault="00F738B6" w:rsidP="005F546A">
      <w:pPr>
        <w:pStyle w:val="BodyText"/>
        <w:ind w:left="0"/>
        <w:rPr>
          <w:lang w:val="sr-Latn-ME"/>
        </w:rPr>
      </w:pPr>
      <w:r w:rsidRPr="00F3439A">
        <w:rPr>
          <w:lang w:val="sr-Latn-ME"/>
        </w:rPr>
        <w:t>Staratelj sm</w:t>
      </w:r>
      <w:r w:rsidR="00AD5C01" w:rsidRPr="00F3439A">
        <w:rPr>
          <w:lang w:val="sr-Latn-ME"/>
        </w:rPr>
        <w:t>ij</w:t>
      </w:r>
      <w:r w:rsidRPr="00F3439A">
        <w:rPr>
          <w:lang w:val="sr-Latn-ME"/>
        </w:rPr>
        <w:t>e prim</w:t>
      </w:r>
      <w:r w:rsidR="00AD5C01" w:rsidRPr="00F3439A">
        <w:rPr>
          <w:lang w:val="sr-Latn-ME"/>
        </w:rPr>
        <w:t>j</w:t>
      </w:r>
      <w:r w:rsidRPr="00F3439A">
        <w:rPr>
          <w:lang w:val="sr-Latn-ME"/>
        </w:rPr>
        <w:t xml:space="preserve">enjivati </w:t>
      </w:r>
      <w:proofErr w:type="spellStart"/>
      <w:r w:rsidRPr="00F3439A">
        <w:rPr>
          <w:lang w:val="sr-Latn-ME"/>
        </w:rPr>
        <w:t>Ikatibant</w:t>
      </w:r>
      <w:proofErr w:type="spellEnd"/>
      <w:r w:rsidRPr="00F3439A">
        <w:rPr>
          <w:lang w:val="sr-Latn-ME"/>
        </w:rPr>
        <w:t xml:space="preserve"> SK samo nakon što ga je zdravstveni radnik edukovao o </w:t>
      </w:r>
      <w:proofErr w:type="spellStart"/>
      <w:r w:rsidRPr="00F3439A">
        <w:rPr>
          <w:lang w:val="sr-Latn-ME"/>
        </w:rPr>
        <w:t>su</w:t>
      </w:r>
      <w:r w:rsidR="00492C60">
        <w:rPr>
          <w:lang w:val="sr-Latn-ME"/>
        </w:rPr>
        <w:t>b</w:t>
      </w:r>
      <w:r w:rsidRPr="00F3439A">
        <w:rPr>
          <w:lang w:val="sr-Latn-ME"/>
        </w:rPr>
        <w:t>kutanoj</w:t>
      </w:r>
      <w:proofErr w:type="spellEnd"/>
      <w:r w:rsidRPr="00F3439A">
        <w:rPr>
          <w:lang w:val="sr-Latn-ME"/>
        </w:rPr>
        <w:t xml:space="preserve"> tehnici prim</w:t>
      </w:r>
      <w:r w:rsidR="00AD5C01" w:rsidRPr="00F3439A">
        <w:rPr>
          <w:lang w:val="sr-Latn-ME"/>
        </w:rPr>
        <w:t>j</w:t>
      </w:r>
      <w:r w:rsidRPr="00F3439A">
        <w:rPr>
          <w:lang w:val="sr-Latn-ME"/>
        </w:rPr>
        <w:t>ene.</w:t>
      </w:r>
    </w:p>
    <w:p w14:paraId="01D437A2" w14:textId="77777777" w:rsidR="00F738B6" w:rsidRPr="00F3439A" w:rsidRDefault="00F738B6" w:rsidP="00F738B6">
      <w:pPr>
        <w:rPr>
          <w:szCs w:val="22"/>
          <w:lang w:val="sr-Latn-ME"/>
        </w:rPr>
      </w:pPr>
    </w:p>
    <w:p w14:paraId="4566EBF6" w14:textId="77777777" w:rsidR="00F738B6" w:rsidRPr="00F3439A" w:rsidRDefault="00F738B6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877195C" w14:textId="77777777" w:rsidR="00F738B6" w:rsidRPr="00F3439A" w:rsidRDefault="00F738B6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C149280" w14:textId="77777777" w:rsidR="00411B4B" w:rsidRPr="00F3439A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3439A">
        <w:rPr>
          <w:b/>
          <w:bCs/>
          <w:sz w:val="22"/>
          <w:szCs w:val="22"/>
          <w:lang w:val="sr-Latn-ME"/>
        </w:rPr>
        <w:lastRenderedPageBreak/>
        <w:t xml:space="preserve">4.3. </w:t>
      </w:r>
      <w:r w:rsidR="00480FB1" w:rsidRPr="00F3439A">
        <w:rPr>
          <w:b/>
          <w:bCs/>
          <w:sz w:val="22"/>
          <w:szCs w:val="22"/>
          <w:lang w:val="sr-Latn-ME"/>
        </w:rPr>
        <w:tab/>
      </w:r>
      <w:proofErr w:type="spellStart"/>
      <w:r w:rsidRPr="00F3439A">
        <w:rPr>
          <w:b/>
          <w:bCs/>
          <w:sz w:val="22"/>
          <w:szCs w:val="22"/>
          <w:lang w:val="sr-Latn-ME"/>
        </w:rPr>
        <w:t>Kontraindikacije</w:t>
      </w:r>
      <w:proofErr w:type="spellEnd"/>
    </w:p>
    <w:p w14:paraId="2C44F532" w14:textId="20E14C57" w:rsidR="00F738B6" w:rsidRPr="00F3439A" w:rsidRDefault="00F738B6" w:rsidP="00F738B6">
      <w:pPr>
        <w:pStyle w:val="BodyText"/>
        <w:tabs>
          <w:tab w:val="left" w:pos="592"/>
        </w:tabs>
        <w:spacing w:before="121"/>
        <w:ind w:left="0"/>
        <w:jc w:val="left"/>
        <w:rPr>
          <w:lang w:val="sr-Latn-ME"/>
        </w:rPr>
      </w:pPr>
      <w:r w:rsidRPr="00F3439A">
        <w:rPr>
          <w:lang w:val="sr-Latn-ME"/>
        </w:rPr>
        <w:t>Preos</w:t>
      </w:r>
      <w:r w:rsidR="00AD5C01" w:rsidRPr="00F3439A">
        <w:rPr>
          <w:lang w:val="sr-Latn-ME"/>
        </w:rPr>
        <w:t>j</w:t>
      </w:r>
      <w:r w:rsidRPr="00F3439A">
        <w:rPr>
          <w:lang w:val="sr-Latn-ME"/>
        </w:rPr>
        <w:t>etljivost na aktivnu supstancu ili na bilo koju od pomoćnih supstanci navedenih u od</w:t>
      </w:r>
      <w:r w:rsidR="00AD5C01" w:rsidRPr="00F3439A">
        <w:rPr>
          <w:lang w:val="sr-Latn-ME"/>
        </w:rPr>
        <w:t>j</w:t>
      </w:r>
      <w:r w:rsidRPr="00F3439A">
        <w:rPr>
          <w:lang w:val="sr-Latn-ME"/>
        </w:rPr>
        <w:t>eljku 6.1.</w:t>
      </w:r>
    </w:p>
    <w:p w14:paraId="6C7F3795" w14:textId="77777777" w:rsidR="00F738B6" w:rsidRPr="00F3439A" w:rsidRDefault="00F738B6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78446B6" w14:textId="77777777" w:rsidR="00411B4B" w:rsidRPr="00F3439A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3439A">
        <w:rPr>
          <w:b/>
          <w:bCs/>
          <w:sz w:val="22"/>
          <w:szCs w:val="22"/>
          <w:lang w:val="sr-Latn-ME"/>
        </w:rPr>
        <w:t xml:space="preserve">4.4. </w:t>
      </w:r>
      <w:r w:rsidR="00480FB1" w:rsidRPr="00F3439A">
        <w:rPr>
          <w:b/>
          <w:bCs/>
          <w:sz w:val="22"/>
          <w:szCs w:val="22"/>
          <w:lang w:val="sr-Latn-ME"/>
        </w:rPr>
        <w:tab/>
      </w:r>
      <w:r w:rsidRPr="00F3439A">
        <w:rPr>
          <w:b/>
          <w:bCs/>
          <w:sz w:val="22"/>
          <w:szCs w:val="22"/>
          <w:lang w:val="sr-Latn-ME"/>
        </w:rPr>
        <w:t>Posebna upozorenja i mjere opreza pri upotrebi lijeka</w:t>
      </w:r>
    </w:p>
    <w:p w14:paraId="5899B06C" w14:textId="77777777" w:rsidR="0072020E" w:rsidRPr="00F3439A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B120630" w14:textId="77777777" w:rsidR="00F738B6" w:rsidRPr="00F3439A" w:rsidRDefault="00F738B6" w:rsidP="005F546A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proofErr w:type="spellStart"/>
      <w:r w:rsidRPr="00F3439A">
        <w:rPr>
          <w:bCs/>
          <w:sz w:val="22"/>
          <w:szCs w:val="22"/>
          <w:u w:val="single"/>
          <w:lang w:val="sr-Latn-ME"/>
        </w:rPr>
        <w:t>Laringealni</w:t>
      </w:r>
      <w:proofErr w:type="spellEnd"/>
      <w:r w:rsidRPr="00F3439A">
        <w:rPr>
          <w:bCs/>
          <w:sz w:val="22"/>
          <w:szCs w:val="22"/>
          <w:u w:val="single"/>
          <w:lang w:val="sr-Latn-ME"/>
        </w:rPr>
        <w:t xml:space="preserve"> napadi</w:t>
      </w:r>
    </w:p>
    <w:p w14:paraId="1D8428F2" w14:textId="199FE80B" w:rsidR="00F738B6" w:rsidRPr="00F3439A" w:rsidRDefault="00F738B6" w:rsidP="005F54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3439A">
        <w:rPr>
          <w:bCs/>
          <w:sz w:val="22"/>
          <w:szCs w:val="22"/>
          <w:lang w:val="sr-Latn-ME"/>
        </w:rPr>
        <w:t xml:space="preserve">Pacijente sa </w:t>
      </w:r>
      <w:proofErr w:type="spellStart"/>
      <w:r w:rsidRPr="00F3439A">
        <w:rPr>
          <w:bCs/>
          <w:sz w:val="22"/>
          <w:szCs w:val="22"/>
          <w:lang w:val="sr-Latn-ME"/>
        </w:rPr>
        <w:t>laringealnim</w:t>
      </w:r>
      <w:proofErr w:type="spellEnd"/>
      <w:r w:rsidRPr="00F3439A">
        <w:rPr>
          <w:bCs/>
          <w:sz w:val="22"/>
          <w:szCs w:val="22"/>
          <w:lang w:val="sr-Latn-ME"/>
        </w:rPr>
        <w:t xml:space="preserve"> napadima treba nakon davanja injekcije l</w:t>
      </w:r>
      <w:r w:rsidR="00AD5C01" w:rsidRPr="00F3439A">
        <w:rPr>
          <w:bCs/>
          <w:sz w:val="22"/>
          <w:szCs w:val="22"/>
          <w:lang w:val="sr-Latn-ME"/>
        </w:rPr>
        <w:t>ij</w:t>
      </w:r>
      <w:r w:rsidRPr="00F3439A">
        <w:rPr>
          <w:bCs/>
          <w:sz w:val="22"/>
          <w:szCs w:val="22"/>
          <w:lang w:val="sr-Latn-ME"/>
        </w:rPr>
        <w:t>ečiti u odgovarajućoj zdravstvenoj ustanovi sve dok l</w:t>
      </w:r>
      <w:r w:rsidR="00AD5C01" w:rsidRPr="00F3439A">
        <w:rPr>
          <w:bCs/>
          <w:sz w:val="22"/>
          <w:szCs w:val="22"/>
          <w:lang w:val="sr-Latn-ME"/>
        </w:rPr>
        <w:t>j</w:t>
      </w:r>
      <w:r w:rsidRPr="00F3439A">
        <w:rPr>
          <w:bCs/>
          <w:sz w:val="22"/>
          <w:szCs w:val="22"/>
          <w:lang w:val="sr-Latn-ME"/>
        </w:rPr>
        <w:t>ekar ne proc</w:t>
      </w:r>
      <w:r w:rsidR="00AF0E44">
        <w:rPr>
          <w:bCs/>
          <w:sz w:val="22"/>
          <w:szCs w:val="22"/>
          <w:lang w:val="sr-Latn-ME"/>
        </w:rPr>
        <w:t>i</w:t>
      </w:r>
      <w:r w:rsidR="00AD5C01" w:rsidRPr="00F3439A">
        <w:rPr>
          <w:bCs/>
          <w:sz w:val="22"/>
          <w:szCs w:val="22"/>
          <w:lang w:val="sr-Latn-ME"/>
        </w:rPr>
        <w:t>j</w:t>
      </w:r>
      <w:r w:rsidRPr="00F3439A">
        <w:rPr>
          <w:bCs/>
          <w:sz w:val="22"/>
          <w:szCs w:val="22"/>
          <w:lang w:val="sr-Latn-ME"/>
        </w:rPr>
        <w:t>eni da ih je sigurno otpustiti.</w:t>
      </w:r>
    </w:p>
    <w:p w14:paraId="722386A8" w14:textId="77777777" w:rsidR="00F738B6" w:rsidRPr="00F3439A" w:rsidRDefault="00F738B6" w:rsidP="005F54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57F1C474" w14:textId="77777777" w:rsidR="00F738B6" w:rsidRPr="00F3439A" w:rsidRDefault="00F738B6" w:rsidP="005F546A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proofErr w:type="spellStart"/>
      <w:r w:rsidRPr="00F3439A">
        <w:rPr>
          <w:bCs/>
          <w:sz w:val="22"/>
          <w:szCs w:val="22"/>
          <w:u w:val="single"/>
          <w:lang w:val="sr-Latn-ME"/>
        </w:rPr>
        <w:t>Ishemijska</w:t>
      </w:r>
      <w:proofErr w:type="spellEnd"/>
      <w:r w:rsidRPr="00F3439A">
        <w:rPr>
          <w:bCs/>
          <w:sz w:val="22"/>
          <w:szCs w:val="22"/>
          <w:u w:val="single"/>
          <w:lang w:val="sr-Latn-ME"/>
        </w:rPr>
        <w:t xml:space="preserve"> bolest srca</w:t>
      </w:r>
    </w:p>
    <w:p w14:paraId="710A85DB" w14:textId="29C761DE" w:rsidR="00F738B6" w:rsidRPr="00F3439A" w:rsidRDefault="00F738B6" w:rsidP="005F54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3439A">
        <w:rPr>
          <w:bCs/>
          <w:sz w:val="22"/>
          <w:szCs w:val="22"/>
          <w:lang w:val="sr-Latn-ME"/>
        </w:rPr>
        <w:t xml:space="preserve">U uslovima </w:t>
      </w:r>
      <w:proofErr w:type="spellStart"/>
      <w:r w:rsidRPr="00F3439A">
        <w:rPr>
          <w:bCs/>
          <w:sz w:val="22"/>
          <w:szCs w:val="22"/>
          <w:lang w:val="sr-Latn-ME"/>
        </w:rPr>
        <w:t>ishemije</w:t>
      </w:r>
      <w:proofErr w:type="spellEnd"/>
      <w:r w:rsidRPr="00F3439A">
        <w:rPr>
          <w:bCs/>
          <w:sz w:val="22"/>
          <w:szCs w:val="22"/>
          <w:lang w:val="sr-Latn-ME"/>
        </w:rPr>
        <w:t xml:space="preserve">, zbog antagonizma </w:t>
      </w:r>
      <w:proofErr w:type="spellStart"/>
      <w:r w:rsidRPr="00F3439A">
        <w:rPr>
          <w:bCs/>
          <w:sz w:val="22"/>
          <w:szCs w:val="22"/>
          <w:lang w:val="sr-Latn-ME"/>
        </w:rPr>
        <w:t>bradikininskih</w:t>
      </w:r>
      <w:proofErr w:type="spellEnd"/>
      <w:r w:rsidRPr="00F3439A">
        <w:rPr>
          <w:bCs/>
          <w:sz w:val="22"/>
          <w:szCs w:val="22"/>
          <w:lang w:val="sr-Latn-ME"/>
        </w:rPr>
        <w:t xml:space="preserve"> receptora tipa 2, teoretski može doći do pogoršanja srčane funkcije i smanjenja koronarnog protoka krvi. Prilikom upotrebe l</w:t>
      </w:r>
      <w:r w:rsidR="00AD5C01" w:rsidRPr="00F3439A">
        <w:rPr>
          <w:bCs/>
          <w:sz w:val="22"/>
          <w:szCs w:val="22"/>
          <w:lang w:val="sr-Latn-ME"/>
        </w:rPr>
        <w:t>ij</w:t>
      </w:r>
      <w:r w:rsidRPr="00F3439A">
        <w:rPr>
          <w:bCs/>
          <w:sz w:val="22"/>
          <w:szCs w:val="22"/>
          <w:lang w:val="sr-Latn-ME"/>
        </w:rPr>
        <w:t xml:space="preserve">eka </w:t>
      </w:r>
      <w:proofErr w:type="spellStart"/>
      <w:r w:rsidRPr="00F3439A">
        <w:rPr>
          <w:bCs/>
          <w:sz w:val="22"/>
          <w:szCs w:val="22"/>
          <w:lang w:val="sr-Latn-ME"/>
        </w:rPr>
        <w:t>Ikatibant</w:t>
      </w:r>
      <w:proofErr w:type="spellEnd"/>
      <w:r w:rsidRPr="00F3439A">
        <w:rPr>
          <w:bCs/>
          <w:sz w:val="22"/>
          <w:szCs w:val="22"/>
          <w:lang w:val="sr-Latn-ME"/>
        </w:rPr>
        <w:t xml:space="preserve"> SK kod pacijenata sa akutnom </w:t>
      </w:r>
      <w:proofErr w:type="spellStart"/>
      <w:r w:rsidRPr="00F3439A">
        <w:rPr>
          <w:bCs/>
          <w:sz w:val="22"/>
          <w:szCs w:val="22"/>
          <w:lang w:val="sr-Latn-ME"/>
        </w:rPr>
        <w:t>ishemijskom</w:t>
      </w:r>
      <w:proofErr w:type="spellEnd"/>
      <w:r w:rsidRPr="00F3439A">
        <w:rPr>
          <w:bCs/>
          <w:sz w:val="22"/>
          <w:szCs w:val="22"/>
          <w:lang w:val="sr-Latn-ME"/>
        </w:rPr>
        <w:t xml:space="preserve"> bolesti srca ili nestabilnom anginom </w:t>
      </w:r>
      <w:proofErr w:type="spellStart"/>
      <w:r w:rsidRPr="00F3439A">
        <w:rPr>
          <w:bCs/>
          <w:sz w:val="22"/>
          <w:szCs w:val="22"/>
          <w:lang w:val="sr-Latn-ME"/>
        </w:rPr>
        <w:t>pektoris</w:t>
      </w:r>
      <w:proofErr w:type="spellEnd"/>
      <w:r w:rsidRPr="00F3439A">
        <w:rPr>
          <w:bCs/>
          <w:sz w:val="22"/>
          <w:szCs w:val="22"/>
          <w:lang w:val="sr-Latn-ME"/>
        </w:rPr>
        <w:t>, potreban je oprez (vid</w:t>
      </w:r>
      <w:r w:rsidR="00AD5C01" w:rsidRPr="00F3439A">
        <w:rPr>
          <w:bCs/>
          <w:sz w:val="22"/>
          <w:szCs w:val="22"/>
          <w:lang w:val="sr-Latn-ME"/>
        </w:rPr>
        <w:t>j</w:t>
      </w:r>
      <w:r w:rsidRPr="00F3439A">
        <w:rPr>
          <w:bCs/>
          <w:sz w:val="22"/>
          <w:szCs w:val="22"/>
          <w:lang w:val="sr-Latn-ME"/>
        </w:rPr>
        <w:t>eti od</w:t>
      </w:r>
      <w:r w:rsidR="00AD5C01" w:rsidRPr="00F3439A">
        <w:rPr>
          <w:bCs/>
          <w:sz w:val="22"/>
          <w:szCs w:val="22"/>
          <w:lang w:val="sr-Latn-ME"/>
        </w:rPr>
        <w:t>j</w:t>
      </w:r>
      <w:r w:rsidRPr="00F3439A">
        <w:rPr>
          <w:bCs/>
          <w:sz w:val="22"/>
          <w:szCs w:val="22"/>
          <w:lang w:val="sr-Latn-ME"/>
        </w:rPr>
        <w:t>eljak 5.3).</w:t>
      </w:r>
    </w:p>
    <w:p w14:paraId="3BBE1C18" w14:textId="77777777" w:rsidR="00F738B6" w:rsidRPr="00F3439A" w:rsidRDefault="00F738B6" w:rsidP="005F54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748902D" w14:textId="77777777" w:rsidR="00F738B6" w:rsidRPr="00F3439A" w:rsidRDefault="00F738B6" w:rsidP="005F546A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F3439A">
        <w:rPr>
          <w:bCs/>
          <w:sz w:val="22"/>
          <w:szCs w:val="22"/>
          <w:u w:val="single"/>
          <w:lang w:val="sr-Latn-ME"/>
        </w:rPr>
        <w:t>Moždani udar</w:t>
      </w:r>
    </w:p>
    <w:p w14:paraId="05CFBE75" w14:textId="55530467" w:rsidR="00F738B6" w:rsidRPr="00F3439A" w:rsidRDefault="00F738B6" w:rsidP="005F54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3439A">
        <w:rPr>
          <w:bCs/>
          <w:sz w:val="22"/>
          <w:szCs w:val="22"/>
          <w:lang w:val="sr-Latn-ME"/>
        </w:rPr>
        <w:t>Iako nema dokaza koji idu u prilog pozitivnom efektu blokade B2 receptora neposredno posl</w:t>
      </w:r>
      <w:r w:rsidR="00AD5C01" w:rsidRPr="00F3439A">
        <w:rPr>
          <w:bCs/>
          <w:sz w:val="22"/>
          <w:szCs w:val="22"/>
          <w:lang w:val="sr-Latn-ME"/>
        </w:rPr>
        <w:t>ij</w:t>
      </w:r>
      <w:r w:rsidRPr="00F3439A">
        <w:rPr>
          <w:bCs/>
          <w:sz w:val="22"/>
          <w:szCs w:val="22"/>
          <w:lang w:val="sr-Latn-ME"/>
        </w:rPr>
        <w:t xml:space="preserve">e moždanog udara, postoji teoretska mogućnost da </w:t>
      </w:r>
      <w:proofErr w:type="spellStart"/>
      <w:r w:rsidRPr="00F3439A">
        <w:rPr>
          <w:bCs/>
          <w:sz w:val="22"/>
          <w:szCs w:val="22"/>
          <w:lang w:val="sr-Latn-ME"/>
        </w:rPr>
        <w:t>ikatibant</w:t>
      </w:r>
      <w:proofErr w:type="spellEnd"/>
      <w:r w:rsidRPr="00F3439A">
        <w:rPr>
          <w:bCs/>
          <w:sz w:val="22"/>
          <w:szCs w:val="22"/>
          <w:lang w:val="sr-Latn-ME"/>
        </w:rPr>
        <w:t xml:space="preserve"> smanji pozitivni kasni </w:t>
      </w:r>
      <w:proofErr w:type="spellStart"/>
      <w:r w:rsidRPr="00F3439A">
        <w:rPr>
          <w:bCs/>
          <w:sz w:val="22"/>
          <w:szCs w:val="22"/>
          <w:lang w:val="sr-Latn-ME"/>
        </w:rPr>
        <w:t>neuroprotektivni</w:t>
      </w:r>
      <w:proofErr w:type="spellEnd"/>
      <w:r w:rsidRPr="00F3439A">
        <w:rPr>
          <w:bCs/>
          <w:sz w:val="22"/>
          <w:szCs w:val="22"/>
          <w:lang w:val="sr-Latn-ME"/>
        </w:rPr>
        <w:t xml:space="preserve"> efekat </w:t>
      </w:r>
      <w:proofErr w:type="spellStart"/>
      <w:r w:rsidRPr="00F3439A">
        <w:rPr>
          <w:bCs/>
          <w:sz w:val="22"/>
          <w:szCs w:val="22"/>
          <w:lang w:val="sr-Latn-ME"/>
        </w:rPr>
        <w:t>bradikinina</w:t>
      </w:r>
      <w:proofErr w:type="spellEnd"/>
      <w:r w:rsidRPr="00F3439A">
        <w:rPr>
          <w:bCs/>
          <w:sz w:val="22"/>
          <w:szCs w:val="22"/>
          <w:lang w:val="sr-Latn-ME"/>
        </w:rPr>
        <w:t xml:space="preserve"> u kasnoj fazi. Prema tome, prilikom upotrebe </w:t>
      </w:r>
      <w:proofErr w:type="spellStart"/>
      <w:r w:rsidRPr="00F3439A">
        <w:rPr>
          <w:bCs/>
          <w:sz w:val="22"/>
          <w:szCs w:val="22"/>
          <w:lang w:val="sr-Latn-ME"/>
        </w:rPr>
        <w:t>ikatibanta</w:t>
      </w:r>
      <w:proofErr w:type="spellEnd"/>
      <w:r w:rsidRPr="00F3439A">
        <w:rPr>
          <w:bCs/>
          <w:sz w:val="22"/>
          <w:szCs w:val="22"/>
          <w:lang w:val="sr-Latn-ME"/>
        </w:rPr>
        <w:t xml:space="preserve"> kod pacijenata, po</w:t>
      </w:r>
      <w:r w:rsidR="00D028E0">
        <w:rPr>
          <w:bCs/>
          <w:sz w:val="22"/>
          <w:szCs w:val="22"/>
          <w:lang w:val="sr-Latn-ME"/>
        </w:rPr>
        <w:t>t</w:t>
      </w:r>
      <w:r w:rsidRPr="00F3439A">
        <w:rPr>
          <w:bCs/>
          <w:sz w:val="22"/>
          <w:szCs w:val="22"/>
          <w:lang w:val="sr-Latn-ME"/>
        </w:rPr>
        <w:t>reban je oprez nekoliko ned</w:t>
      </w:r>
      <w:r w:rsidR="00AD5C01" w:rsidRPr="00F3439A">
        <w:rPr>
          <w:bCs/>
          <w:sz w:val="22"/>
          <w:szCs w:val="22"/>
          <w:lang w:val="sr-Latn-ME"/>
        </w:rPr>
        <w:t>j</w:t>
      </w:r>
      <w:r w:rsidRPr="00F3439A">
        <w:rPr>
          <w:bCs/>
          <w:sz w:val="22"/>
          <w:szCs w:val="22"/>
          <w:lang w:val="sr-Latn-ME"/>
        </w:rPr>
        <w:t>elja posl</w:t>
      </w:r>
      <w:r w:rsidR="00AD5C01" w:rsidRPr="00F3439A">
        <w:rPr>
          <w:bCs/>
          <w:sz w:val="22"/>
          <w:szCs w:val="22"/>
          <w:lang w:val="sr-Latn-ME"/>
        </w:rPr>
        <w:t>ij</w:t>
      </w:r>
      <w:r w:rsidRPr="00F3439A">
        <w:rPr>
          <w:bCs/>
          <w:sz w:val="22"/>
          <w:szCs w:val="22"/>
          <w:lang w:val="sr-Latn-ME"/>
        </w:rPr>
        <w:t>e moždanog udara.</w:t>
      </w:r>
    </w:p>
    <w:p w14:paraId="0DCA3326" w14:textId="77777777" w:rsidR="00F738B6" w:rsidRPr="00F3439A" w:rsidRDefault="00F738B6" w:rsidP="005F54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118E577" w14:textId="2EB43A35" w:rsidR="00F738B6" w:rsidRPr="00F3439A" w:rsidRDefault="00F738B6" w:rsidP="005F546A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F3439A">
        <w:rPr>
          <w:bCs/>
          <w:sz w:val="22"/>
          <w:szCs w:val="22"/>
          <w:u w:val="single"/>
          <w:lang w:val="sr-Latn-ME"/>
        </w:rPr>
        <w:t>Samostalna prim</w:t>
      </w:r>
      <w:r w:rsidR="00D028E0">
        <w:rPr>
          <w:bCs/>
          <w:sz w:val="22"/>
          <w:szCs w:val="22"/>
          <w:u w:val="single"/>
          <w:lang w:val="sr-Latn-ME"/>
        </w:rPr>
        <w:t>j</w:t>
      </w:r>
      <w:r w:rsidRPr="00F3439A">
        <w:rPr>
          <w:bCs/>
          <w:sz w:val="22"/>
          <w:szCs w:val="22"/>
          <w:u w:val="single"/>
          <w:lang w:val="sr-Latn-ME"/>
        </w:rPr>
        <w:t>ena l</w:t>
      </w:r>
      <w:r w:rsidR="00AD5C01" w:rsidRPr="00F3439A">
        <w:rPr>
          <w:bCs/>
          <w:sz w:val="22"/>
          <w:szCs w:val="22"/>
          <w:u w:val="single"/>
          <w:lang w:val="sr-Latn-ME"/>
        </w:rPr>
        <w:t>ij</w:t>
      </w:r>
      <w:r w:rsidRPr="00F3439A">
        <w:rPr>
          <w:bCs/>
          <w:sz w:val="22"/>
          <w:szCs w:val="22"/>
          <w:u w:val="single"/>
          <w:lang w:val="sr-Latn-ME"/>
        </w:rPr>
        <w:t>eka od strane pacijenta/prim</w:t>
      </w:r>
      <w:r w:rsidR="00AD5C01" w:rsidRPr="00F3439A">
        <w:rPr>
          <w:bCs/>
          <w:sz w:val="22"/>
          <w:szCs w:val="22"/>
          <w:u w:val="single"/>
          <w:lang w:val="sr-Latn-ME"/>
        </w:rPr>
        <w:t>j</w:t>
      </w:r>
      <w:r w:rsidRPr="00F3439A">
        <w:rPr>
          <w:bCs/>
          <w:sz w:val="22"/>
          <w:szCs w:val="22"/>
          <w:u w:val="single"/>
          <w:lang w:val="sr-Latn-ME"/>
        </w:rPr>
        <w:t>ena od strane staratelja</w:t>
      </w:r>
    </w:p>
    <w:p w14:paraId="5327C399" w14:textId="233FD91B" w:rsidR="00F738B6" w:rsidRPr="00F3439A" w:rsidRDefault="00F738B6" w:rsidP="005F54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3439A">
        <w:rPr>
          <w:bCs/>
          <w:sz w:val="22"/>
          <w:szCs w:val="22"/>
          <w:lang w:val="sr-Latn-ME"/>
        </w:rPr>
        <w:t>Za pacijente koji nikad pr</w:t>
      </w:r>
      <w:r w:rsidR="00AD5C01" w:rsidRPr="00F3439A">
        <w:rPr>
          <w:bCs/>
          <w:sz w:val="22"/>
          <w:szCs w:val="22"/>
          <w:lang w:val="sr-Latn-ME"/>
        </w:rPr>
        <w:t>ij</w:t>
      </w:r>
      <w:r w:rsidRPr="00F3439A">
        <w:rPr>
          <w:bCs/>
          <w:sz w:val="22"/>
          <w:szCs w:val="22"/>
          <w:lang w:val="sr-Latn-ME"/>
        </w:rPr>
        <w:t>e ni</w:t>
      </w:r>
      <w:r w:rsidR="00AD5C01" w:rsidRPr="00F3439A">
        <w:rPr>
          <w:bCs/>
          <w:sz w:val="22"/>
          <w:szCs w:val="22"/>
          <w:lang w:val="sr-Latn-ME"/>
        </w:rPr>
        <w:t>je</w:t>
      </w:r>
      <w:r w:rsidRPr="00F3439A">
        <w:rPr>
          <w:bCs/>
          <w:sz w:val="22"/>
          <w:szCs w:val="22"/>
          <w:lang w:val="sr-Latn-ME"/>
        </w:rPr>
        <w:t xml:space="preserve">su primali </w:t>
      </w:r>
      <w:proofErr w:type="spellStart"/>
      <w:r w:rsidRPr="00F3439A">
        <w:rPr>
          <w:bCs/>
          <w:sz w:val="22"/>
          <w:szCs w:val="22"/>
          <w:lang w:val="sr-Latn-ME"/>
        </w:rPr>
        <w:t>Ikatibant</w:t>
      </w:r>
      <w:proofErr w:type="spellEnd"/>
      <w:r w:rsidRPr="00F3439A">
        <w:rPr>
          <w:bCs/>
          <w:sz w:val="22"/>
          <w:szCs w:val="22"/>
          <w:lang w:val="sr-Latn-ME"/>
        </w:rPr>
        <w:t xml:space="preserve"> SK, prvu terapiju treba dati u zdravstvenoj ustanovi ili pod nadzorom l</w:t>
      </w:r>
      <w:r w:rsidR="00AD5C01" w:rsidRPr="00F3439A">
        <w:rPr>
          <w:bCs/>
          <w:sz w:val="22"/>
          <w:szCs w:val="22"/>
          <w:lang w:val="sr-Latn-ME"/>
        </w:rPr>
        <w:t>j</w:t>
      </w:r>
      <w:r w:rsidRPr="00F3439A">
        <w:rPr>
          <w:bCs/>
          <w:sz w:val="22"/>
          <w:szCs w:val="22"/>
          <w:lang w:val="sr-Latn-ME"/>
        </w:rPr>
        <w:t>ekara.</w:t>
      </w:r>
    </w:p>
    <w:p w14:paraId="3787955B" w14:textId="77777777" w:rsidR="00F738B6" w:rsidRPr="00F3439A" w:rsidRDefault="00F738B6" w:rsidP="005F54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779968D" w14:textId="01F51E61" w:rsidR="00F738B6" w:rsidRPr="00F3439A" w:rsidRDefault="00F738B6" w:rsidP="005F54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3439A">
        <w:rPr>
          <w:bCs/>
          <w:sz w:val="22"/>
          <w:szCs w:val="22"/>
          <w:lang w:val="sr-Latn-ME"/>
        </w:rPr>
        <w:t>U slučaju da posl</w:t>
      </w:r>
      <w:r w:rsidR="00AD5C01" w:rsidRPr="00F3439A">
        <w:rPr>
          <w:bCs/>
          <w:sz w:val="22"/>
          <w:szCs w:val="22"/>
          <w:lang w:val="sr-Latn-ME"/>
        </w:rPr>
        <w:t>ij</w:t>
      </w:r>
      <w:r w:rsidRPr="00F3439A">
        <w:rPr>
          <w:bCs/>
          <w:sz w:val="22"/>
          <w:szCs w:val="22"/>
          <w:lang w:val="sr-Latn-ME"/>
        </w:rPr>
        <w:t>e samostalne upotrebe l</w:t>
      </w:r>
      <w:r w:rsidR="00AD5C01" w:rsidRPr="00F3439A">
        <w:rPr>
          <w:bCs/>
          <w:sz w:val="22"/>
          <w:szCs w:val="22"/>
          <w:lang w:val="sr-Latn-ME"/>
        </w:rPr>
        <w:t>ij</w:t>
      </w:r>
      <w:r w:rsidRPr="00F3439A">
        <w:rPr>
          <w:bCs/>
          <w:sz w:val="22"/>
          <w:szCs w:val="22"/>
          <w:lang w:val="sr-Latn-ME"/>
        </w:rPr>
        <w:t>eka od strane pacijenta ili prim</w:t>
      </w:r>
      <w:r w:rsidR="00AD5C01" w:rsidRPr="00F3439A">
        <w:rPr>
          <w:bCs/>
          <w:sz w:val="22"/>
          <w:szCs w:val="22"/>
          <w:lang w:val="sr-Latn-ME"/>
        </w:rPr>
        <w:t>j</w:t>
      </w:r>
      <w:r w:rsidRPr="00F3439A">
        <w:rPr>
          <w:bCs/>
          <w:sz w:val="22"/>
          <w:szCs w:val="22"/>
          <w:lang w:val="sr-Latn-ME"/>
        </w:rPr>
        <w:t>ene od strane staratelja dođe do nedovoljnog povlačenja simptoma ili ponovne pojave simptoma, pacijent ili staratelj treba da zatraži pomoć l</w:t>
      </w:r>
      <w:r w:rsidR="00AD5C01" w:rsidRPr="00F3439A">
        <w:rPr>
          <w:bCs/>
          <w:sz w:val="22"/>
          <w:szCs w:val="22"/>
          <w:lang w:val="sr-Latn-ME"/>
        </w:rPr>
        <w:t>j</w:t>
      </w:r>
      <w:r w:rsidRPr="00F3439A">
        <w:rPr>
          <w:bCs/>
          <w:sz w:val="22"/>
          <w:szCs w:val="22"/>
          <w:lang w:val="sr-Latn-ME"/>
        </w:rPr>
        <w:t>ekara. Kod odraslih, sl</w:t>
      </w:r>
      <w:r w:rsidR="00AF0E44">
        <w:rPr>
          <w:bCs/>
          <w:sz w:val="22"/>
          <w:szCs w:val="22"/>
          <w:lang w:val="sr-Latn-ME"/>
        </w:rPr>
        <w:t>j</w:t>
      </w:r>
      <w:r w:rsidRPr="00F3439A">
        <w:rPr>
          <w:bCs/>
          <w:sz w:val="22"/>
          <w:szCs w:val="22"/>
          <w:lang w:val="sr-Latn-ME"/>
        </w:rPr>
        <w:t>edeće doze koje će možda biti potrebne za isti napad sm</w:t>
      </w:r>
      <w:r w:rsidR="00AD5C01" w:rsidRPr="00F3439A">
        <w:rPr>
          <w:bCs/>
          <w:sz w:val="22"/>
          <w:szCs w:val="22"/>
          <w:lang w:val="sr-Latn-ME"/>
        </w:rPr>
        <w:t>i</w:t>
      </w:r>
      <w:r w:rsidRPr="00F3439A">
        <w:rPr>
          <w:bCs/>
          <w:sz w:val="22"/>
          <w:szCs w:val="22"/>
          <w:lang w:val="sr-Latn-ME"/>
        </w:rPr>
        <w:t xml:space="preserve">ju se </w:t>
      </w:r>
      <w:r w:rsidR="00F3439A" w:rsidRPr="00F3439A">
        <w:rPr>
          <w:bCs/>
          <w:sz w:val="22"/>
          <w:szCs w:val="22"/>
          <w:lang w:val="sr-Latn-ME"/>
        </w:rPr>
        <w:t xml:space="preserve">primijeniti </w:t>
      </w:r>
      <w:r w:rsidRPr="00F3439A">
        <w:rPr>
          <w:bCs/>
          <w:sz w:val="22"/>
          <w:szCs w:val="22"/>
          <w:lang w:val="sr-Latn-ME"/>
        </w:rPr>
        <w:t>samo u zdravstvenoj ustanovi (vid</w:t>
      </w:r>
      <w:r w:rsidR="00AD5C01" w:rsidRPr="00F3439A">
        <w:rPr>
          <w:bCs/>
          <w:sz w:val="22"/>
          <w:szCs w:val="22"/>
          <w:lang w:val="sr-Latn-ME"/>
        </w:rPr>
        <w:t>j</w:t>
      </w:r>
      <w:r w:rsidRPr="00F3439A">
        <w:rPr>
          <w:bCs/>
          <w:sz w:val="22"/>
          <w:szCs w:val="22"/>
          <w:lang w:val="sr-Latn-ME"/>
        </w:rPr>
        <w:t>eti od</w:t>
      </w:r>
      <w:r w:rsidR="00AD5C01" w:rsidRPr="00F3439A">
        <w:rPr>
          <w:bCs/>
          <w:sz w:val="22"/>
          <w:szCs w:val="22"/>
          <w:lang w:val="sr-Latn-ME"/>
        </w:rPr>
        <w:t>j</w:t>
      </w:r>
      <w:r w:rsidRPr="00F3439A">
        <w:rPr>
          <w:bCs/>
          <w:sz w:val="22"/>
          <w:szCs w:val="22"/>
          <w:lang w:val="sr-Latn-ME"/>
        </w:rPr>
        <w:t>eljak 4.2). Nema podataka o prim</w:t>
      </w:r>
      <w:r w:rsidR="00AD5C01" w:rsidRPr="00F3439A">
        <w:rPr>
          <w:bCs/>
          <w:sz w:val="22"/>
          <w:szCs w:val="22"/>
          <w:lang w:val="sr-Latn-ME"/>
        </w:rPr>
        <w:t>j</w:t>
      </w:r>
      <w:r w:rsidRPr="00F3439A">
        <w:rPr>
          <w:bCs/>
          <w:sz w:val="22"/>
          <w:szCs w:val="22"/>
          <w:lang w:val="sr-Latn-ME"/>
        </w:rPr>
        <w:t>eni sl</w:t>
      </w:r>
      <w:r w:rsidR="00AF0E44">
        <w:rPr>
          <w:bCs/>
          <w:sz w:val="22"/>
          <w:szCs w:val="22"/>
          <w:lang w:val="sr-Latn-ME"/>
        </w:rPr>
        <w:t>j</w:t>
      </w:r>
      <w:r w:rsidRPr="00F3439A">
        <w:rPr>
          <w:bCs/>
          <w:sz w:val="22"/>
          <w:szCs w:val="22"/>
          <w:lang w:val="sr-Latn-ME"/>
        </w:rPr>
        <w:t>edećih doza za isti napad kod adolescenata ili d</w:t>
      </w:r>
      <w:r w:rsidR="00AD5C01" w:rsidRPr="00F3439A">
        <w:rPr>
          <w:bCs/>
          <w:sz w:val="22"/>
          <w:szCs w:val="22"/>
          <w:lang w:val="sr-Latn-ME"/>
        </w:rPr>
        <w:t>j</w:t>
      </w:r>
      <w:r w:rsidRPr="00F3439A">
        <w:rPr>
          <w:bCs/>
          <w:sz w:val="22"/>
          <w:szCs w:val="22"/>
          <w:lang w:val="sr-Latn-ME"/>
        </w:rPr>
        <w:t>ece.</w:t>
      </w:r>
    </w:p>
    <w:p w14:paraId="3E919EE7" w14:textId="14C4E7ED" w:rsidR="00F738B6" w:rsidRPr="00F3439A" w:rsidRDefault="00DB3260" w:rsidP="005F54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 xml:space="preserve"> </w:t>
      </w:r>
    </w:p>
    <w:p w14:paraId="7389CB2C" w14:textId="1BE3C28B" w:rsidR="00F738B6" w:rsidRPr="00F3439A" w:rsidRDefault="00F738B6" w:rsidP="005F54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3439A">
        <w:rPr>
          <w:bCs/>
          <w:sz w:val="22"/>
          <w:szCs w:val="22"/>
          <w:lang w:val="sr-Latn-ME"/>
        </w:rPr>
        <w:t xml:space="preserve">Pacijenti sa </w:t>
      </w:r>
      <w:proofErr w:type="spellStart"/>
      <w:r w:rsidRPr="00F3439A">
        <w:rPr>
          <w:bCs/>
          <w:sz w:val="22"/>
          <w:szCs w:val="22"/>
          <w:lang w:val="sr-Latn-ME"/>
        </w:rPr>
        <w:t>laringealnim</w:t>
      </w:r>
      <w:proofErr w:type="spellEnd"/>
      <w:r w:rsidRPr="00F3439A">
        <w:rPr>
          <w:bCs/>
          <w:sz w:val="22"/>
          <w:szCs w:val="22"/>
          <w:lang w:val="sr-Latn-ME"/>
        </w:rPr>
        <w:t xml:space="preserve"> napadima trebalo bi da uv</w:t>
      </w:r>
      <w:r w:rsidR="00D028E0">
        <w:rPr>
          <w:bCs/>
          <w:sz w:val="22"/>
          <w:szCs w:val="22"/>
          <w:lang w:val="sr-Latn-ME"/>
        </w:rPr>
        <w:t>ij</w:t>
      </w:r>
      <w:r w:rsidRPr="00F3439A">
        <w:rPr>
          <w:bCs/>
          <w:sz w:val="22"/>
          <w:szCs w:val="22"/>
          <w:lang w:val="sr-Latn-ME"/>
        </w:rPr>
        <w:t>ek potraže medicinsku pomoć, kako bi im se stanje pratilo u zdravstvenoj ustanovi, čak i posl</w:t>
      </w:r>
      <w:r w:rsidR="00AD5C01" w:rsidRPr="00F3439A">
        <w:rPr>
          <w:bCs/>
          <w:sz w:val="22"/>
          <w:szCs w:val="22"/>
          <w:lang w:val="sr-Latn-ME"/>
        </w:rPr>
        <w:t>ij</w:t>
      </w:r>
      <w:r w:rsidRPr="00F3439A">
        <w:rPr>
          <w:bCs/>
          <w:sz w:val="22"/>
          <w:szCs w:val="22"/>
          <w:lang w:val="sr-Latn-ME"/>
        </w:rPr>
        <w:t>e prim</w:t>
      </w:r>
      <w:r w:rsidR="00AD5C01" w:rsidRPr="00F3439A">
        <w:rPr>
          <w:bCs/>
          <w:sz w:val="22"/>
          <w:szCs w:val="22"/>
          <w:lang w:val="sr-Latn-ME"/>
        </w:rPr>
        <w:t>j</w:t>
      </w:r>
      <w:r w:rsidRPr="00F3439A">
        <w:rPr>
          <w:bCs/>
          <w:sz w:val="22"/>
          <w:szCs w:val="22"/>
          <w:lang w:val="sr-Latn-ME"/>
        </w:rPr>
        <w:t>ene injekcije kod kuće.</w:t>
      </w:r>
    </w:p>
    <w:p w14:paraId="08444D3A" w14:textId="77777777" w:rsidR="00F738B6" w:rsidRPr="00F3439A" w:rsidRDefault="00F738B6" w:rsidP="005F54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F534F76" w14:textId="77777777" w:rsidR="00057E35" w:rsidRPr="00F3439A" w:rsidRDefault="00057E35" w:rsidP="005F546A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F3439A">
        <w:rPr>
          <w:sz w:val="22"/>
          <w:szCs w:val="22"/>
          <w:u w:val="single"/>
          <w:lang w:val="sr-Latn-ME"/>
        </w:rPr>
        <w:t>Pedijatrijska populacija</w:t>
      </w:r>
    </w:p>
    <w:p w14:paraId="7A1C2DD7" w14:textId="77777777" w:rsidR="00057E35" w:rsidRPr="00F3439A" w:rsidRDefault="00057E35" w:rsidP="005F54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2617985A" w14:textId="5A2421C3" w:rsidR="00F738B6" w:rsidRPr="00F3439A" w:rsidRDefault="00F738B6" w:rsidP="005F54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3439A">
        <w:rPr>
          <w:bCs/>
          <w:sz w:val="22"/>
          <w:szCs w:val="22"/>
          <w:lang w:val="sr-Latn-ME"/>
        </w:rPr>
        <w:t>Ograničeno je iskustvo sa prim</w:t>
      </w:r>
      <w:r w:rsidR="00AD5C01" w:rsidRPr="00F3439A">
        <w:rPr>
          <w:bCs/>
          <w:sz w:val="22"/>
          <w:szCs w:val="22"/>
          <w:lang w:val="sr-Latn-ME"/>
        </w:rPr>
        <w:t>j</w:t>
      </w:r>
      <w:r w:rsidRPr="00F3439A">
        <w:rPr>
          <w:bCs/>
          <w:sz w:val="22"/>
          <w:szCs w:val="22"/>
          <w:lang w:val="sr-Latn-ME"/>
        </w:rPr>
        <w:t>enom l</w:t>
      </w:r>
      <w:r w:rsidR="00AD5C01" w:rsidRPr="00F3439A">
        <w:rPr>
          <w:bCs/>
          <w:sz w:val="22"/>
          <w:szCs w:val="22"/>
          <w:lang w:val="sr-Latn-ME"/>
        </w:rPr>
        <w:t>ij</w:t>
      </w:r>
      <w:r w:rsidRPr="00F3439A">
        <w:rPr>
          <w:bCs/>
          <w:sz w:val="22"/>
          <w:szCs w:val="22"/>
          <w:lang w:val="sr-Latn-ME"/>
        </w:rPr>
        <w:t xml:space="preserve">eka </w:t>
      </w:r>
      <w:proofErr w:type="spellStart"/>
      <w:r w:rsidRPr="00F3439A">
        <w:rPr>
          <w:bCs/>
          <w:sz w:val="22"/>
          <w:szCs w:val="22"/>
          <w:lang w:val="sr-Latn-ME"/>
        </w:rPr>
        <w:t>Ikatibant</w:t>
      </w:r>
      <w:proofErr w:type="spellEnd"/>
      <w:r w:rsidRPr="00F3439A">
        <w:rPr>
          <w:bCs/>
          <w:sz w:val="22"/>
          <w:szCs w:val="22"/>
          <w:lang w:val="sr-Latn-ME"/>
        </w:rPr>
        <w:t xml:space="preserve"> SK u l</w:t>
      </w:r>
      <w:r w:rsidR="00AD5C01" w:rsidRPr="00F3439A">
        <w:rPr>
          <w:bCs/>
          <w:sz w:val="22"/>
          <w:szCs w:val="22"/>
          <w:lang w:val="sr-Latn-ME"/>
        </w:rPr>
        <w:t>ij</w:t>
      </w:r>
      <w:r w:rsidRPr="00F3439A">
        <w:rPr>
          <w:bCs/>
          <w:sz w:val="22"/>
          <w:szCs w:val="22"/>
          <w:lang w:val="sr-Latn-ME"/>
        </w:rPr>
        <w:t xml:space="preserve">ečenju više od jednog napada </w:t>
      </w:r>
      <w:proofErr w:type="spellStart"/>
      <w:r w:rsidRPr="00F3439A">
        <w:rPr>
          <w:bCs/>
          <w:sz w:val="22"/>
          <w:szCs w:val="22"/>
          <w:lang w:val="sr-Latn-ME"/>
        </w:rPr>
        <w:t>nasl</w:t>
      </w:r>
      <w:r w:rsidR="00AF0E44">
        <w:rPr>
          <w:bCs/>
          <w:sz w:val="22"/>
          <w:szCs w:val="22"/>
          <w:lang w:val="sr-Latn-ME"/>
        </w:rPr>
        <w:t>j</w:t>
      </w:r>
      <w:r w:rsidRPr="00F3439A">
        <w:rPr>
          <w:bCs/>
          <w:sz w:val="22"/>
          <w:szCs w:val="22"/>
          <w:lang w:val="sr-Latn-ME"/>
        </w:rPr>
        <w:t>ednog</w:t>
      </w:r>
      <w:proofErr w:type="spellEnd"/>
      <w:r w:rsidRPr="00F3439A">
        <w:rPr>
          <w:bCs/>
          <w:sz w:val="22"/>
          <w:szCs w:val="22"/>
          <w:lang w:val="sr-Latn-ME"/>
        </w:rPr>
        <w:t xml:space="preserve"> </w:t>
      </w:r>
      <w:proofErr w:type="spellStart"/>
      <w:r w:rsidRPr="00F3439A">
        <w:rPr>
          <w:bCs/>
          <w:sz w:val="22"/>
          <w:szCs w:val="22"/>
          <w:lang w:val="sr-Latn-ME"/>
        </w:rPr>
        <w:t>angioedema</w:t>
      </w:r>
      <w:proofErr w:type="spellEnd"/>
      <w:r w:rsidRPr="00F3439A">
        <w:rPr>
          <w:bCs/>
          <w:sz w:val="22"/>
          <w:szCs w:val="22"/>
          <w:lang w:val="sr-Latn-ME"/>
        </w:rPr>
        <w:t xml:space="preserve"> u pedijatrijskoj populaciji.</w:t>
      </w:r>
    </w:p>
    <w:p w14:paraId="723C8949" w14:textId="77777777" w:rsidR="00F738B6" w:rsidRPr="00F3439A" w:rsidRDefault="00F738B6" w:rsidP="005F54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76BB87F" w14:textId="339B2EB4" w:rsidR="00F738B6" w:rsidRPr="00F3439A" w:rsidRDefault="00F738B6" w:rsidP="005F54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3439A">
        <w:rPr>
          <w:bCs/>
          <w:sz w:val="22"/>
          <w:szCs w:val="22"/>
          <w:lang w:val="sr-Latn-ME"/>
        </w:rPr>
        <w:t>Ovaj l</w:t>
      </w:r>
      <w:r w:rsidR="00AD5C01" w:rsidRPr="00F3439A">
        <w:rPr>
          <w:bCs/>
          <w:sz w:val="22"/>
          <w:szCs w:val="22"/>
          <w:lang w:val="sr-Latn-ME"/>
        </w:rPr>
        <w:t>ij</w:t>
      </w:r>
      <w:r w:rsidRPr="00F3439A">
        <w:rPr>
          <w:bCs/>
          <w:sz w:val="22"/>
          <w:szCs w:val="22"/>
          <w:lang w:val="sr-Latn-ME"/>
        </w:rPr>
        <w:t xml:space="preserve">ek sadrži manje od 1 </w:t>
      </w:r>
      <w:proofErr w:type="spellStart"/>
      <w:r w:rsidRPr="00F3439A">
        <w:rPr>
          <w:bCs/>
          <w:sz w:val="22"/>
          <w:szCs w:val="22"/>
          <w:lang w:val="sr-Latn-ME"/>
        </w:rPr>
        <w:t>mmol</w:t>
      </w:r>
      <w:proofErr w:type="spellEnd"/>
      <w:r w:rsidRPr="00F3439A">
        <w:rPr>
          <w:bCs/>
          <w:sz w:val="22"/>
          <w:szCs w:val="22"/>
          <w:lang w:val="sr-Latn-ME"/>
        </w:rPr>
        <w:t xml:space="preserve"> (23 miligrama) natrijuma po dozi</w:t>
      </w:r>
      <w:r w:rsidR="00AF0E44">
        <w:rPr>
          <w:bCs/>
          <w:sz w:val="22"/>
          <w:szCs w:val="22"/>
          <w:lang w:val="sr-Latn-ME"/>
        </w:rPr>
        <w:t>,</w:t>
      </w:r>
      <w:r w:rsidRPr="00F3439A">
        <w:rPr>
          <w:bCs/>
          <w:sz w:val="22"/>
          <w:szCs w:val="22"/>
          <w:lang w:val="sr-Latn-ME"/>
        </w:rPr>
        <w:t xml:space="preserve"> odnosno suštinski je „bez natrijuma”.</w:t>
      </w:r>
    </w:p>
    <w:p w14:paraId="1A91A719" w14:textId="77777777" w:rsidR="00F738B6" w:rsidRPr="00F3439A" w:rsidRDefault="00F738B6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0C41E15" w14:textId="77777777" w:rsidR="00411B4B" w:rsidRPr="00F3439A" w:rsidRDefault="00411B4B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3439A">
        <w:rPr>
          <w:b/>
          <w:bCs/>
          <w:sz w:val="22"/>
          <w:szCs w:val="22"/>
          <w:lang w:val="sr-Latn-ME"/>
        </w:rPr>
        <w:t>4.5.</w:t>
      </w:r>
      <w:r w:rsidR="000D60CC" w:rsidRPr="00F3439A">
        <w:rPr>
          <w:b/>
          <w:bCs/>
          <w:sz w:val="22"/>
          <w:szCs w:val="22"/>
          <w:lang w:val="sr-Latn-ME"/>
        </w:rPr>
        <w:tab/>
      </w:r>
      <w:r w:rsidRPr="00F3439A">
        <w:rPr>
          <w:b/>
          <w:bCs/>
          <w:sz w:val="22"/>
          <w:szCs w:val="22"/>
          <w:lang w:val="sr-Latn-ME"/>
        </w:rPr>
        <w:t>Interakcije sa drugim ljekovima i druge vrste interakcija</w:t>
      </w:r>
    </w:p>
    <w:p w14:paraId="5EC2E7B7" w14:textId="77777777" w:rsidR="0072020E" w:rsidRPr="00F3439A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6403A62" w14:textId="43C1602C" w:rsidR="00B3417A" w:rsidRPr="00F3439A" w:rsidRDefault="00B3417A" w:rsidP="005F54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3439A">
        <w:rPr>
          <w:bCs/>
          <w:sz w:val="22"/>
          <w:szCs w:val="22"/>
          <w:lang w:val="sr-Latn-ME"/>
        </w:rPr>
        <w:t xml:space="preserve">Ne očekuju se </w:t>
      </w:r>
      <w:proofErr w:type="spellStart"/>
      <w:r w:rsidRPr="00F3439A">
        <w:rPr>
          <w:bCs/>
          <w:sz w:val="22"/>
          <w:szCs w:val="22"/>
          <w:lang w:val="sr-Latn-ME"/>
        </w:rPr>
        <w:t>farmakokinetičke</w:t>
      </w:r>
      <w:proofErr w:type="spellEnd"/>
      <w:r w:rsidRPr="00F3439A">
        <w:rPr>
          <w:bCs/>
          <w:sz w:val="22"/>
          <w:szCs w:val="22"/>
          <w:lang w:val="sr-Latn-ME"/>
        </w:rPr>
        <w:t xml:space="preserve"> interakcije sa l</w:t>
      </w:r>
      <w:r w:rsidR="00AD5C01" w:rsidRPr="00F3439A">
        <w:rPr>
          <w:bCs/>
          <w:sz w:val="22"/>
          <w:szCs w:val="22"/>
          <w:lang w:val="sr-Latn-ME"/>
        </w:rPr>
        <w:t>j</w:t>
      </w:r>
      <w:r w:rsidRPr="00F3439A">
        <w:rPr>
          <w:bCs/>
          <w:sz w:val="22"/>
          <w:szCs w:val="22"/>
          <w:lang w:val="sr-Latn-ME"/>
        </w:rPr>
        <w:t>ekovima koje uključuju CYP450 (vid</w:t>
      </w:r>
      <w:r w:rsidR="00AD5C01" w:rsidRPr="00F3439A">
        <w:rPr>
          <w:bCs/>
          <w:sz w:val="22"/>
          <w:szCs w:val="22"/>
          <w:lang w:val="sr-Latn-ME"/>
        </w:rPr>
        <w:t>j</w:t>
      </w:r>
      <w:r w:rsidRPr="00F3439A">
        <w:rPr>
          <w:bCs/>
          <w:sz w:val="22"/>
          <w:szCs w:val="22"/>
          <w:lang w:val="sr-Latn-ME"/>
        </w:rPr>
        <w:t>eti od</w:t>
      </w:r>
      <w:r w:rsidR="00AD5C01" w:rsidRPr="00F3439A">
        <w:rPr>
          <w:bCs/>
          <w:sz w:val="22"/>
          <w:szCs w:val="22"/>
          <w:lang w:val="sr-Latn-ME"/>
        </w:rPr>
        <w:t>j</w:t>
      </w:r>
      <w:r w:rsidRPr="00F3439A">
        <w:rPr>
          <w:bCs/>
          <w:sz w:val="22"/>
          <w:szCs w:val="22"/>
          <w:lang w:val="sr-Latn-ME"/>
        </w:rPr>
        <w:t>eljak 5.2)</w:t>
      </w:r>
      <w:r w:rsidR="00AF0E44">
        <w:rPr>
          <w:bCs/>
          <w:sz w:val="22"/>
          <w:szCs w:val="22"/>
          <w:lang w:val="sr-Latn-ME"/>
        </w:rPr>
        <w:t>.</w:t>
      </w:r>
    </w:p>
    <w:p w14:paraId="190CB8D1" w14:textId="77777777" w:rsidR="00B3417A" w:rsidRPr="00F3439A" w:rsidRDefault="00B3417A" w:rsidP="005F54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81ADD1B" w14:textId="48CF2F11" w:rsidR="00B3417A" w:rsidRPr="00F3439A" w:rsidRDefault="00B3417A" w:rsidP="005F54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3439A">
        <w:rPr>
          <w:bCs/>
          <w:sz w:val="22"/>
          <w:szCs w:val="22"/>
          <w:lang w:val="sr-Latn-ME"/>
        </w:rPr>
        <w:t>Nije ispitivana isto</w:t>
      </w:r>
      <w:r w:rsidR="00A97539">
        <w:rPr>
          <w:bCs/>
          <w:sz w:val="22"/>
          <w:szCs w:val="22"/>
          <w:lang w:val="sr-Latn-ME"/>
        </w:rPr>
        <w:t xml:space="preserve">vremena </w:t>
      </w:r>
      <w:r w:rsidRPr="00F3439A">
        <w:rPr>
          <w:bCs/>
          <w:sz w:val="22"/>
          <w:szCs w:val="22"/>
          <w:lang w:val="sr-Latn-ME"/>
        </w:rPr>
        <w:t>prim</w:t>
      </w:r>
      <w:r w:rsidR="00AD5C01" w:rsidRPr="00F3439A">
        <w:rPr>
          <w:bCs/>
          <w:sz w:val="22"/>
          <w:szCs w:val="22"/>
          <w:lang w:val="sr-Latn-ME"/>
        </w:rPr>
        <w:t>j</w:t>
      </w:r>
      <w:r w:rsidRPr="00F3439A">
        <w:rPr>
          <w:bCs/>
          <w:sz w:val="22"/>
          <w:szCs w:val="22"/>
          <w:lang w:val="sr-Latn-ME"/>
        </w:rPr>
        <w:t>ena l</w:t>
      </w:r>
      <w:r w:rsidR="00AD5C01" w:rsidRPr="00F3439A">
        <w:rPr>
          <w:bCs/>
          <w:sz w:val="22"/>
          <w:szCs w:val="22"/>
          <w:lang w:val="sr-Latn-ME"/>
        </w:rPr>
        <w:t>ij</w:t>
      </w:r>
      <w:r w:rsidRPr="00F3439A">
        <w:rPr>
          <w:bCs/>
          <w:sz w:val="22"/>
          <w:szCs w:val="22"/>
          <w:lang w:val="sr-Latn-ME"/>
        </w:rPr>
        <w:t xml:space="preserve">eka </w:t>
      </w:r>
      <w:proofErr w:type="spellStart"/>
      <w:r w:rsidRPr="00F3439A">
        <w:rPr>
          <w:bCs/>
          <w:sz w:val="22"/>
          <w:szCs w:val="22"/>
          <w:lang w:val="sr-Latn-ME"/>
        </w:rPr>
        <w:t>Ikatibant</w:t>
      </w:r>
      <w:proofErr w:type="spellEnd"/>
      <w:r w:rsidRPr="00F3439A">
        <w:rPr>
          <w:bCs/>
          <w:sz w:val="22"/>
          <w:szCs w:val="22"/>
          <w:lang w:val="sr-Latn-ME"/>
        </w:rPr>
        <w:t xml:space="preserve"> SK sa ACE inhibitorima. ACE inhibitori su kontraindikovani kod pacijenata sa </w:t>
      </w:r>
      <w:proofErr w:type="spellStart"/>
      <w:r w:rsidRPr="00F3439A">
        <w:rPr>
          <w:bCs/>
          <w:sz w:val="22"/>
          <w:szCs w:val="22"/>
          <w:lang w:val="sr-Latn-ME"/>
        </w:rPr>
        <w:t>nasl</w:t>
      </w:r>
      <w:r w:rsidR="00AF0E44">
        <w:rPr>
          <w:bCs/>
          <w:sz w:val="22"/>
          <w:szCs w:val="22"/>
          <w:lang w:val="sr-Latn-ME"/>
        </w:rPr>
        <w:t>j</w:t>
      </w:r>
      <w:r w:rsidRPr="00F3439A">
        <w:rPr>
          <w:bCs/>
          <w:sz w:val="22"/>
          <w:szCs w:val="22"/>
          <w:lang w:val="sr-Latn-ME"/>
        </w:rPr>
        <w:t>ednim</w:t>
      </w:r>
      <w:proofErr w:type="spellEnd"/>
      <w:r w:rsidRPr="00F3439A">
        <w:rPr>
          <w:bCs/>
          <w:sz w:val="22"/>
          <w:szCs w:val="22"/>
          <w:lang w:val="sr-Latn-ME"/>
        </w:rPr>
        <w:t xml:space="preserve"> </w:t>
      </w:r>
      <w:proofErr w:type="spellStart"/>
      <w:r w:rsidRPr="00F3439A">
        <w:rPr>
          <w:bCs/>
          <w:sz w:val="22"/>
          <w:szCs w:val="22"/>
          <w:lang w:val="sr-Latn-ME"/>
        </w:rPr>
        <w:t>angioedemom</w:t>
      </w:r>
      <w:proofErr w:type="spellEnd"/>
      <w:r w:rsidRPr="00F3439A">
        <w:rPr>
          <w:bCs/>
          <w:sz w:val="22"/>
          <w:szCs w:val="22"/>
          <w:lang w:val="sr-Latn-ME"/>
        </w:rPr>
        <w:t xml:space="preserve"> (</w:t>
      </w:r>
      <w:proofErr w:type="spellStart"/>
      <w:r w:rsidRPr="00F3439A">
        <w:rPr>
          <w:bCs/>
          <w:sz w:val="22"/>
          <w:szCs w:val="22"/>
          <w:lang w:val="sr-Latn-ME"/>
        </w:rPr>
        <w:t>HAE</w:t>
      </w:r>
      <w:proofErr w:type="spellEnd"/>
      <w:r w:rsidRPr="00F3439A">
        <w:rPr>
          <w:bCs/>
          <w:sz w:val="22"/>
          <w:szCs w:val="22"/>
          <w:lang w:val="sr-Latn-ME"/>
        </w:rPr>
        <w:t xml:space="preserve">), zbog mogućeg povećanja koncentracije </w:t>
      </w:r>
      <w:proofErr w:type="spellStart"/>
      <w:r w:rsidRPr="00F3439A">
        <w:rPr>
          <w:bCs/>
          <w:sz w:val="22"/>
          <w:szCs w:val="22"/>
          <w:lang w:val="sr-Latn-ME"/>
        </w:rPr>
        <w:t>bradikinina</w:t>
      </w:r>
      <w:proofErr w:type="spellEnd"/>
      <w:r w:rsidRPr="00F3439A">
        <w:rPr>
          <w:bCs/>
          <w:sz w:val="22"/>
          <w:szCs w:val="22"/>
          <w:lang w:val="sr-Latn-ME"/>
        </w:rPr>
        <w:t>.</w:t>
      </w:r>
    </w:p>
    <w:p w14:paraId="59A10A9B" w14:textId="77777777" w:rsidR="00B3417A" w:rsidRPr="00F3439A" w:rsidRDefault="00B3417A" w:rsidP="005F54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1220C62F" w14:textId="77777777" w:rsidR="00B3417A" w:rsidRPr="00F3439A" w:rsidRDefault="00B3417A" w:rsidP="005F546A">
      <w:pPr>
        <w:tabs>
          <w:tab w:val="left" w:pos="540"/>
          <w:tab w:val="left" w:pos="569"/>
        </w:tabs>
        <w:jc w:val="both"/>
        <w:rPr>
          <w:bCs/>
          <w:sz w:val="22"/>
          <w:szCs w:val="22"/>
          <w:u w:val="single"/>
          <w:lang w:val="sr-Latn-ME"/>
        </w:rPr>
      </w:pPr>
      <w:r w:rsidRPr="00F3439A">
        <w:rPr>
          <w:bCs/>
          <w:sz w:val="22"/>
          <w:szCs w:val="22"/>
          <w:u w:val="single"/>
          <w:lang w:val="sr-Latn-ME"/>
        </w:rPr>
        <w:t>Pedijatrijska populacija</w:t>
      </w:r>
    </w:p>
    <w:p w14:paraId="0E5FC5CE" w14:textId="77777777" w:rsidR="00B3417A" w:rsidRPr="00F3439A" w:rsidRDefault="00B3417A" w:rsidP="005F54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B342351" w14:textId="77777777" w:rsidR="00B3417A" w:rsidRPr="00F3439A" w:rsidRDefault="00B3417A" w:rsidP="005F54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3439A">
        <w:rPr>
          <w:bCs/>
          <w:sz w:val="22"/>
          <w:szCs w:val="22"/>
          <w:lang w:val="sr-Latn-ME"/>
        </w:rPr>
        <w:t>Studije o interakcijama su sprovedene samo kod odraslih.</w:t>
      </w:r>
    </w:p>
    <w:p w14:paraId="6A3B85BB" w14:textId="77777777" w:rsidR="00B3417A" w:rsidRPr="00F3439A" w:rsidRDefault="00B3417A" w:rsidP="005F54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088656B1" w14:textId="77777777" w:rsidR="0072020E" w:rsidRPr="00F3439A" w:rsidRDefault="0072020E" w:rsidP="005F546A">
      <w:pPr>
        <w:tabs>
          <w:tab w:val="left" w:pos="540"/>
          <w:tab w:val="left" w:pos="569"/>
        </w:tabs>
        <w:jc w:val="both"/>
        <w:rPr>
          <w:b/>
          <w:sz w:val="22"/>
          <w:szCs w:val="22"/>
          <w:lang w:val="sr-Latn-ME"/>
        </w:rPr>
      </w:pPr>
      <w:r w:rsidRPr="00F3439A">
        <w:rPr>
          <w:b/>
          <w:bCs/>
          <w:sz w:val="22"/>
          <w:szCs w:val="22"/>
          <w:lang w:val="sr-Latn-ME"/>
        </w:rPr>
        <w:t xml:space="preserve">4.6. </w:t>
      </w:r>
      <w:r w:rsidR="00480FB1" w:rsidRPr="00F3439A">
        <w:rPr>
          <w:b/>
          <w:bCs/>
          <w:sz w:val="22"/>
          <w:szCs w:val="22"/>
          <w:lang w:val="sr-Latn-ME"/>
        </w:rPr>
        <w:tab/>
      </w:r>
      <w:r w:rsidR="006D20A5" w:rsidRPr="00F3439A">
        <w:rPr>
          <w:b/>
          <w:sz w:val="22"/>
          <w:szCs w:val="22"/>
          <w:lang w:val="sr-Latn-ME"/>
        </w:rPr>
        <w:t>Plodnost, trudnoća i dojenje</w:t>
      </w:r>
    </w:p>
    <w:p w14:paraId="24B86C2A" w14:textId="77777777" w:rsidR="002031B3" w:rsidRPr="00F3439A" w:rsidRDefault="002031B3" w:rsidP="005F546A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176CA4AA" w14:textId="77777777" w:rsidR="008C51F8" w:rsidRDefault="008C51F8" w:rsidP="005F546A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521A5302" w14:textId="3A930C12" w:rsidR="002031B3" w:rsidRDefault="002031B3" w:rsidP="005F546A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F3439A">
        <w:rPr>
          <w:sz w:val="22"/>
          <w:szCs w:val="22"/>
          <w:u w:val="single"/>
          <w:lang w:val="sr-Latn-ME"/>
        </w:rPr>
        <w:lastRenderedPageBreak/>
        <w:t>Plodnost</w:t>
      </w:r>
    </w:p>
    <w:p w14:paraId="3642D6FF" w14:textId="77777777" w:rsidR="008C51F8" w:rsidRPr="00F3439A" w:rsidRDefault="008C51F8" w:rsidP="005F546A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56EF6611" w14:textId="7BDD6F05" w:rsidR="00B3417A" w:rsidRPr="00F3439A" w:rsidRDefault="00B3417A" w:rsidP="005F546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F3439A">
        <w:rPr>
          <w:sz w:val="22"/>
          <w:szCs w:val="22"/>
          <w:lang w:val="sr-Latn-ME"/>
        </w:rPr>
        <w:t xml:space="preserve">Kod pacova i pasa, ponovna upotreba </w:t>
      </w:r>
      <w:proofErr w:type="spellStart"/>
      <w:r w:rsidRPr="00F3439A">
        <w:rPr>
          <w:sz w:val="22"/>
          <w:szCs w:val="22"/>
          <w:lang w:val="sr-Latn-ME"/>
        </w:rPr>
        <w:t>ikatibanta</w:t>
      </w:r>
      <w:proofErr w:type="spellEnd"/>
      <w:r w:rsidRPr="00F3439A">
        <w:rPr>
          <w:sz w:val="22"/>
          <w:szCs w:val="22"/>
          <w:lang w:val="sr-Latn-ME"/>
        </w:rPr>
        <w:t xml:space="preserve"> uticala je na reproduktivne organe. </w:t>
      </w:r>
      <w:proofErr w:type="spellStart"/>
      <w:r w:rsidRPr="00F3439A">
        <w:rPr>
          <w:sz w:val="22"/>
          <w:szCs w:val="22"/>
          <w:lang w:val="sr-Latn-ME"/>
        </w:rPr>
        <w:t>Ikatibant</w:t>
      </w:r>
      <w:proofErr w:type="spellEnd"/>
      <w:r w:rsidRPr="00F3439A">
        <w:rPr>
          <w:sz w:val="22"/>
          <w:szCs w:val="22"/>
          <w:lang w:val="sr-Latn-ME"/>
        </w:rPr>
        <w:t xml:space="preserve"> nije uticao na plodnost mužjaka miševa i pacova (vid</w:t>
      </w:r>
      <w:r w:rsidR="00AD5C01" w:rsidRPr="00F3439A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>eti od</w:t>
      </w:r>
      <w:r w:rsidR="00AD5C01" w:rsidRPr="00F3439A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>eljak 5.3). U studiji koja je obuhvatila 39 zdravih odraslih muškaraca i žena tretiranih sa 30 mg na svakih 6 sati sa 3 doze na svaka 3 dana sa ukupno 9 doza, nije bilo klinički značajne prom</w:t>
      </w:r>
      <w:r w:rsidR="00AD5C01" w:rsidRPr="00F3439A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>ene u odnosu na početne vr</w:t>
      </w:r>
      <w:r w:rsidR="00AD5C01" w:rsidRPr="00F3439A">
        <w:rPr>
          <w:sz w:val="22"/>
          <w:szCs w:val="22"/>
          <w:lang w:val="sr-Latn-ME"/>
        </w:rPr>
        <w:t>ij</w:t>
      </w:r>
      <w:r w:rsidRPr="00F3439A">
        <w:rPr>
          <w:sz w:val="22"/>
          <w:szCs w:val="22"/>
          <w:lang w:val="sr-Latn-ME"/>
        </w:rPr>
        <w:t xml:space="preserve">ednosti u </w:t>
      </w:r>
      <w:proofErr w:type="spellStart"/>
      <w:r w:rsidRPr="00F3439A">
        <w:rPr>
          <w:sz w:val="22"/>
          <w:szCs w:val="22"/>
          <w:lang w:val="sr-Latn-ME"/>
        </w:rPr>
        <w:t>bazalnoj</w:t>
      </w:r>
      <w:proofErr w:type="spellEnd"/>
      <w:r w:rsidRPr="00F3439A">
        <w:rPr>
          <w:sz w:val="22"/>
          <w:szCs w:val="22"/>
          <w:lang w:val="sr-Latn-ME"/>
        </w:rPr>
        <w:t xml:space="preserve"> i </w:t>
      </w:r>
      <w:proofErr w:type="spellStart"/>
      <w:r w:rsidRPr="00F3439A">
        <w:rPr>
          <w:sz w:val="22"/>
          <w:szCs w:val="22"/>
          <w:lang w:val="sr-Latn-ME"/>
        </w:rPr>
        <w:t>GnRh</w:t>
      </w:r>
      <w:proofErr w:type="spellEnd"/>
      <w:r w:rsidRPr="00F3439A">
        <w:rPr>
          <w:sz w:val="22"/>
          <w:szCs w:val="22"/>
          <w:lang w:val="sr-Latn-ME"/>
        </w:rPr>
        <w:t xml:space="preserve"> stimulisanoj koncentraciji reproduktivnih hormona bilo kod žena ili muškaraca. Nije bilo značajnijeg uticaja </w:t>
      </w:r>
      <w:proofErr w:type="spellStart"/>
      <w:r w:rsidRPr="00F3439A">
        <w:rPr>
          <w:sz w:val="22"/>
          <w:szCs w:val="22"/>
          <w:lang w:val="sr-Latn-ME"/>
        </w:rPr>
        <w:t>ikatibanta</w:t>
      </w:r>
      <w:proofErr w:type="spellEnd"/>
      <w:r w:rsidRPr="00F3439A">
        <w:rPr>
          <w:sz w:val="22"/>
          <w:szCs w:val="22"/>
          <w:lang w:val="sr-Latn-ME"/>
        </w:rPr>
        <w:t xml:space="preserve"> na koncentraciju u </w:t>
      </w:r>
      <w:proofErr w:type="spellStart"/>
      <w:r w:rsidRPr="00F3439A">
        <w:rPr>
          <w:sz w:val="22"/>
          <w:szCs w:val="22"/>
          <w:lang w:val="sr-Latn-ME"/>
        </w:rPr>
        <w:t>lutealnoj</w:t>
      </w:r>
      <w:proofErr w:type="spellEnd"/>
      <w:r w:rsidRPr="00F3439A">
        <w:rPr>
          <w:sz w:val="22"/>
          <w:szCs w:val="22"/>
          <w:lang w:val="sr-Latn-ME"/>
        </w:rPr>
        <w:t xml:space="preserve"> fazi </w:t>
      </w:r>
      <w:proofErr w:type="spellStart"/>
      <w:r w:rsidRPr="00F3439A">
        <w:rPr>
          <w:sz w:val="22"/>
          <w:szCs w:val="22"/>
          <w:lang w:val="sr-Latn-ME"/>
        </w:rPr>
        <w:t>progesterona</w:t>
      </w:r>
      <w:proofErr w:type="spellEnd"/>
      <w:r w:rsidRPr="00F3439A">
        <w:rPr>
          <w:sz w:val="22"/>
          <w:szCs w:val="22"/>
          <w:lang w:val="sr-Latn-ME"/>
        </w:rPr>
        <w:t xml:space="preserve"> i na </w:t>
      </w:r>
      <w:proofErr w:type="spellStart"/>
      <w:r w:rsidRPr="00F3439A">
        <w:rPr>
          <w:sz w:val="22"/>
          <w:szCs w:val="22"/>
          <w:lang w:val="sr-Latn-ME"/>
        </w:rPr>
        <w:t>lutealnu</w:t>
      </w:r>
      <w:proofErr w:type="spellEnd"/>
      <w:r w:rsidRPr="00F3439A">
        <w:rPr>
          <w:sz w:val="22"/>
          <w:szCs w:val="22"/>
          <w:lang w:val="sr-Latn-ME"/>
        </w:rPr>
        <w:t xml:space="preserve"> funkciju, ili na dužinu menstrualnog ciklusa kod žena i nije bilo nikakvog značajnijeg uticaja </w:t>
      </w:r>
      <w:proofErr w:type="spellStart"/>
      <w:r w:rsidRPr="00F3439A">
        <w:rPr>
          <w:sz w:val="22"/>
          <w:szCs w:val="22"/>
          <w:lang w:val="sr-Latn-ME"/>
        </w:rPr>
        <w:t>ikatibanta</w:t>
      </w:r>
      <w:proofErr w:type="spellEnd"/>
      <w:r w:rsidRPr="00F3439A">
        <w:rPr>
          <w:sz w:val="22"/>
          <w:szCs w:val="22"/>
          <w:lang w:val="sr-Latn-ME"/>
        </w:rPr>
        <w:t xml:space="preserve"> na broj spermatozoida, pokretljivost i morfologiju kod muškaraca. V</w:t>
      </w:r>
      <w:r w:rsidR="00AD5C01" w:rsidRPr="00F3439A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>erovatno da režim doziranja koji je prim</w:t>
      </w:r>
      <w:r w:rsidR="00D028E0">
        <w:rPr>
          <w:sz w:val="22"/>
          <w:szCs w:val="22"/>
          <w:lang w:val="sr-Latn-ME"/>
        </w:rPr>
        <w:t>i</w:t>
      </w:r>
      <w:r w:rsidR="00AD5C01" w:rsidRPr="00F3439A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>enjen u ovoj studiji neće moći da se održi u kliničkom okruženju.</w:t>
      </w:r>
    </w:p>
    <w:p w14:paraId="392B7B0F" w14:textId="77777777" w:rsidR="002031B3" w:rsidRPr="00F3439A" w:rsidRDefault="002031B3" w:rsidP="005F546A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541CC2F8" w14:textId="77777777" w:rsidR="007A3ECB" w:rsidRPr="00F3439A" w:rsidRDefault="007A3ECB" w:rsidP="005F546A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  <w:r w:rsidRPr="00F3439A">
        <w:rPr>
          <w:sz w:val="22"/>
          <w:szCs w:val="22"/>
          <w:u w:val="single"/>
          <w:lang w:val="sr-Latn-ME"/>
        </w:rPr>
        <w:t>Trudnoća</w:t>
      </w:r>
    </w:p>
    <w:p w14:paraId="6E7079BC" w14:textId="77777777" w:rsidR="002031B3" w:rsidRPr="00F3439A" w:rsidRDefault="002031B3" w:rsidP="005F546A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6BFB12BC" w14:textId="4798DE8F" w:rsidR="00B3417A" w:rsidRPr="00F3439A" w:rsidRDefault="00B3417A" w:rsidP="005F546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r w:rsidRPr="00F3439A">
        <w:rPr>
          <w:sz w:val="22"/>
          <w:szCs w:val="22"/>
          <w:lang w:val="sr-Latn-ME"/>
        </w:rPr>
        <w:t xml:space="preserve">Za </w:t>
      </w:r>
      <w:proofErr w:type="spellStart"/>
      <w:r w:rsidRPr="00F3439A">
        <w:rPr>
          <w:sz w:val="22"/>
          <w:szCs w:val="22"/>
          <w:lang w:val="sr-Latn-ME"/>
        </w:rPr>
        <w:t>ikatibant</w:t>
      </w:r>
      <w:proofErr w:type="spellEnd"/>
      <w:r w:rsidRPr="00F3439A">
        <w:rPr>
          <w:sz w:val="22"/>
          <w:szCs w:val="22"/>
          <w:lang w:val="sr-Latn-ME"/>
        </w:rPr>
        <w:t xml:space="preserve"> nisu dostupni klinički podaci o izloženosti tokom trudnoće. Testovi na životinjama pokazali su uticaj na </w:t>
      </w:r>
      <w:proofErr w:type="spellStart"/>
      <w:r w:rsidRPr="00F3439A">
        <w:rPr>
          <w:sz w:val="22"/>
          <w:szCs w:val="22"/>
          <w:lang w:val="sr-Latn-ME"/>
        </w:rPr>
        <w:t>implantaciju</w:t>
      </w:r>
      <w:proofErr w:type="spellEnd"/>
      <w:r w:rsidRPr="00F3439A">
        <w:rPr>
          <w:sz w:val="22"/>
          <w:szCs w:val="22"/>
          <w:lang w:val="sr-Latn-ME"/>
        </w:rPr>
        <w:t xml:space="preserve"> u materici i porođaj (vid</w:t>
      </w:r>
      <w:r w:rsidR="00AD5C01" w:rsidRPr="00F3439A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>eti od</w:t>
      </w:r>
      <w:r w:rsidR="00AD5C01" w:rsidRPr="00F3439A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 xml:space="preserve">eljak 5.3), ali nije poznat mogući rizik za </w:t>
      </w:r>
      <w:proofErr w:type="spellStart"/>
      <w:r w:rsidRPr="00F3439A">
        <w:rPr>
          <w:sz w:val="22"/>
          <w:szCs w:val="22"/>
          <w:lang w:val="sr-Latn-ME"/>
        </w:rPr>
        <w:t>ljude</w:t>
      </w:r>
      <w:proofErr w:type="spellEnd"/>
      <w:r w:rsidRPr="00F3439A">
        <w:rPr>
          <w:sz w:val="22"/>
          <w:szCs w:val="22"/>
          <w:lang w:val="sr-Latn-ME"/>
        </w:rPr>
        <w:t>.</w:t>
      </w:r>
    </w:p>
    <w:p w14:paraId="1A0AB6CD" w14:textId="27D22E00" w:rsidR="00B3417A" w:rsidRPr="00F3439A" w:rsidRDefault="00B3417A" w:rsidP="005F546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F3439A">
        <w:rPr>
          <w:sz w:val="22"/>
          <w:szCs w:val="22"/>
          <w:lang w:val="sr-Latn-ME"/>
        </w:rPr>
        <w:t>Ikatibant</w:t>
      </w:r>
      <w:proofErr w:type="spellEnd"/>
      <w:r w:rsidRPr="00F3439A">
        <w:rPr>
          <w:sz w:val="22"/>
          <w:szCs w:val="22"/>
          <w:lang w:val="sr-Latn-ME"/>
        </w:rPr>
        <w:t xml:space="preserve"> SK se sm</w:t>
      </w:r>
      <w:r w:rsidR="00F30BB4" w:rsidRPr="00F3439A">
        <w:rPr>
          <w:sz w:val="22"/>
          <w:szCs w:val="22"/>
          <w:lang w:val="sr-Latn-ME"/>
        </w:rPr>
        <w:t>ij</w:t>
      </w:r>
      <w:r w:rsidRPr="00F3439A">
        <w:rPr>
          <w:sz w:val="22"/>
          <w:szCs w:val="22"/>
          <w:lang w:val="sr-Latn-ME"/>
        </w:rPr>
        <w:t>e koristiti u trudnoći, jedino ako potencijalna korist opravdava potencijalni rizik za fetus (npr. za l</w:t>
      </w:r>
      <w:r w:rsidR="00F30BB4" w:rsidRPr="00F3439A">
        <w:rPr>
          <w:sz w:val="22"/>
          <w:szCs w:val="22"/>
          <w:lang w:val="sr-Latn-ME"/>
        </w:rPr>
        <w:t>ij</w:t>
      </w:r>
      <w:r w:rsidRPr="00F3439A">
        <w:rPr>
          <w:sz w:val="22"/>
          <w:szCs w:val="22"/>
          <w:lang w:val="sr-Latn-ME"/>
        </w:rPr>
        <w:t xml:space="preserve">ečenje potencijalno životno </w:t>
      </w:r>
      <w:proofErr w:type="spellStart"/>
      <w:r w:rsidRPr="00F3439A">
        <w:rPr>
          <w:sz w:val="22"/>
          <w:szCs w:val="22"/>
          <w:lang w:val="sr-Latn-ME"/>
        </w:rPr>
        <w:t>ugrožavajućih</w:t>
      </w:r>
      <w:proofErr w:type="spellEnd"/>
      <w:r w:rsidRPr="00F3439A">
        <w:rPr>
          <w:sz w:val="22"/>
          <w:szCs w:val="22"/>
          <w:lang w:val="sr-Latn-ME"/>
        </w:rPr>
        <w:t xml:space="preserve"> </w:t>
      </w:r>
      <w:proofErr w:type="spellStart"/>
      <w:r w:rsidRPr="00F3439A">
        <w:rPr>
          <w:sz w:val="22"/>
          <w:szCs w:val="22"/>
          <w:lang w:val="sr-Latn-ME"/>
        </w:rPr>
        <w:t>laringealnih</w:t>
      </w:r>
      <w:proofErr w:type="spellEnd"/>
      <w:r w:rsidRPr="00F3439A">
        <w:rPr>
          <w:sz w:val="22"/>
          <w:szCs w:val="22"/>
          <w:lang w:val="sr-Latn-ME"/>
        </w:rPr>
        <w:t xml:space="preserve"> napada).</w:t>
      </w:r>
    </w:p>
    <w:p w14:paraId="28139DBB" w14:textId="77777777" w:rsidR="00B3417A" w:rsidRPr="00F3439A" w:rsidRDefault="00B3417A" w:rsidP="005F546A">
      <w:pPr>
        <w:tabs>
          <w:tab w:val="left" w:pos="540"/>
          <w:tab w:val="left" w:pos="569"/>
        </w:tabs>
        <w:jc w:val="both"/>
        <w:rPr>
          <w:sz w:val="22"/>
          <w:szCs w:val="22"/>
          <w:u w:val="single"/>
          <w:lang w:val="sr-Latn-ME"/>
        </w:rPr>
      </w:pPr>
    </w:p>
    <w:p w14:paraId="1396DECF" w14:textId="77777777" w:rsidR="0072020E" w:rsidRPr="00F3439A" w:rsidRDefault="007A3ECB" w:rsidP="005F546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3439A">
        <w:rPr>
          <w:sz w:val="22"/>
          <w:szCs w:val="22"/>
          <w:u w:val="single"/>
          <w:lang w:val="sr-Latn-ME"/>
        </w:rPr>
        <w:t xml:space="preserve">Dojenje </w:t>
      </w:r>
    </w:p>
    <w:p w14:paraId="1DEE76CE" w14:textId="77777777" w:rsidR="00227BDB" w:rsidRPr="00F3439A" w:rsidRDefault="00227BDB" w:rsidP="005F546A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</w:p>
    <w:p w14:paraId="60507AE0" w14:textId="760FC137" w:rsidR="00B3417A" w:rsidRPr="00F3439A" w:rsidRDefault="00B3417A" w:rsidP="005F546A">
      <w:pPr>
        <w:tabs>
          <w:tab w:val="left" w:pos="90"/>
          <w:tab w:val="left" w:pos="360"/>
        </w:tabs>
        <w:jc w:val="both"/>
        <w:rPr>
          <w:sz w:val="22"/>
          <w:szCs w:val="22"/>
          <w:lang w:val="sr-Latn-ME"/>
        </w:rPr>
      </w:pPr>
      <w:proofErr w:type="spellStart"/>
      <w:r w:rsidRPr="00F3439A">
        <w:rPr>
          <w:sz w:val="22"/>
          <w:szCs w:val="22"/>
          <w:lang w:val="sr-Latn-ME"/>
        </w:rPr>
        <w:t>Ikatibant</w:t>
      </w:r>
      <w:proofErr w:type="spellEnd"/>
      <w:r w:rsidRPr="00F3439A">
        <w:rPr>
          <w:sz w:val="22"/>
          <w:szCs w:val="22"/>
          <w:lang w:val="sr-Latn-ME"/>
        </w:rPr>
        <w:t xml:space="preserve"> se izlučuje u ml</w:t>
      </w:r>
      <w:r w:rsidR="00F30BB4" w:rsidRPr="00F3439A">
        <w:rPr>
          <w:sz w:val="22"/>
          <w:szCs w:val="22"/>
          <w:lang w:val="sr-Latn-ME"/>
        </w:rPr>
        <w:t>ij</w:t>
      </w:r>
      <w:r w:rsidRPr="00F3439A">
        <w:rPr>
          <w:sz w:val="22"/>
          <w:szCs w:val="22"/>
          <w:lang w:val="sr-Latn-ME"/>
        </w:rPr>
        <w:t>eko ženki pacova u koncentracijama sličnim onima u krvi majke. Nisu prim</w:t>
      </w:r>
      <w:r w:rsidR="00AF0E44">
        <w:rPr>
          <w:sz w:val="22"/>
          <w:szCs w:val="22"/>
          <w:lang w:val="sr-Latn-ME"/>
        </w:rPr>
        <w:t>i</w:t>
      </w:r>
      <w:r w:rsidR="00F30BB4" w:rsidRPr="00F3439A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 xml:space="preserve">ećeni efekti na </w:t>
      </w:r>
      <w:proofErr w:type="spellStart"/>
      <w:r w:rsidRPr="00F3439A">
        <w:rPr>
          <w:sz w:val="22"/>
          <w:szCs w:val="22"/>
          <w:lang w:val="sr-Latn-ME"/>
        </w:rPr>
        <w:t>postnatalni</w:t>
      </w:r>
      <w:proofErr w:type="spellEnd"/>
      <w:r w:rsidRPr="00F3439A">
        <w:rPr>
          <w:sz w:val="22"/>
          <w:szCs w:val="22"/>
          <w:lang w:val="sr-Latn-ME"/>
        </w:rPr>
        <w:t xml:space="preserve"> razvoj mladunaca pacova.</w:t>
      </w:r>
    </w:p>
    <w:p w14:paraId="0A86CC81" w14:textId="7DF62A0B" w:rsidR="00B3417A" w:rsidRPr="00F3439A" w:rsidRDefault="00B3417A" w:rsidP="005F546A">
      <w:pPr>
        <w:tabs>
          <w:tab w:val="left" w:pos="90"/>
          <w:tab w:val="left" w:pos="360"/>
        </w:tabs>
        <w:jc w:val="both"/>
        <w:rPr>
          <w:sz w:val="22"/>
          <w:szCs w:val="22"/>
          <w:lang w:val="sr-Latn-ME"/>
        </w:rPr>
      </w:pPr>
      <w:r w:rsidRPr="00F3439A">
        <w:rPr>
          <w:sz w:val="22"/>
          <w:szCs w:val="22"/>
          <w:lang w:val="sr-Latn-ME"/>
        </w:rPr>
        <w:t xml:space="preserve">Nije poznato da li se </w:t>
      </w:r>
      <w:proofErr w:type="spellStart"/>
      <w:r w:rsidRPr="00F3439A">
        <w:rPr>
          <w:sz w:val="22"/>
          <w:szCs w:val="22"/>
          <w:lang w:val="sr-Latn-ME"/>
        </w:rPr>
        <w:t>ikatibant</w:t>
      </w:r>
      <w:proofErr w:type="spellEnd"/>
      <w:r w:rsidRPr="00F3439A">
        <w:rPr>
          <w:sz w:val="22"/>
          <w:szCs w:val="22"/>
          <w:lang w:val="sr-Latn-ME"/>
        </w:rPr>
        <w:t xml:space="preserve"> izlučuje u ml</w:t>
      </w:r>
      <w:r w:rsidR="00F30BB4" w:rsidRPr="00F3439A">
        <w:rPr>
          <w:sz w:val="22"/>
          <w:szCs w:val="22"/>
          <w:lang w:val="sr-Latn-ME"/>
        </w:rPr>
        <w:t>ij</w:t>
      </w:r>
      <w:r w:rsidRPr="00F3439A">
        <w:rPr>
          <w:sz w:val="22"/>
          <w:szCs w:val="22"/>
          <w:lang w:val="sr-Latn-ME"/>
        </w:rPr>
        <w:t xml:space="preserve">eko kod </w:t>
      </w:r>
      <w:proofErr w:type="spellStart"/>
      <w:r w:rsidRPr="00F3439A">
        <w:rPr>
          <w:sz w:val="22"/>
          <w:szCs w:val="22"/>
          <w:lang w:val="sr-Latn-ME"/>
        </w:rPr>
        <w:t>ljudi</w:t>
      </w:r>
      <w:proofErr w:type="spellEnd"/>
      <w:r w:rsidRPr="00F3439A">
        <w:rPr>
          <w:sz w:val="22"/>
          <w:szCs w:val="22"/>
          <w:lang w:val="sr-Latn-ME"/>
        </w:rPr>
        <w:t xml:space="preserve">, ali se dojiljama koje žele uzeti </w:t>
      </w:r>
      <w:proofErr w:type="spellStart"/>
      <w:r w:rsidRPr="00F3439A">
        <w:rPr>
          <w:sz w:val="22"/>
          <w:szCs w:val="22"/>
          <w:lang w:val="sr-Latn-ME"/>
        </w:rPr>
        <w:t>Ikatibant</w:t>
      </w:r>
      <w:proofErr w:type="spellEnd"/>
      <w:r w:rsidRPr="00F3439A">
        <w:rPr>
          <w:sz w:val="22"/>
          <w:szCs w:val="22"/>
          <w:lang w:val="sr-Latn-ME"/>
        </w:rPr>
        <w:t xml:space="preserve"> SK sav</w:t>
      </w:r>
      <w:r w:rsidR="00F30BB4" w:rsidRPr="00F3439A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>etuje da ne doje 12 časova posl</w:t>
      </w:r>
      <w:r w:rsidR="003E6377">
        <w:rPr>
          <w:sz w:val="22"/>
          <w:szCs w:val="22"/>
          <w:lang w:val="sr-Latn-ME"/>
        </w:rPr>
        <w:t>ij</w:t>
      </w:r>
      <w:r w:rsidRPr="00F3439A">
        <w:rPr>
          <w:sz w:val="22"/>
          <w:szCs w:val="22"/>
          <w:lang w:val="sr-Latn-ME"/>
        </w:rPr>
        <w:t>e terapije.</w:t>
      </w:r>
    </w:p>
    <w:p w14:paraId="70601E44" w14:textId="77777777" w:rsidR="00B3417A" w:rsidRPr="00F3439A" w:rsidRDefault="00B3417A" w:rsidP="005F546A">
      <w:pPr>
        <w:tabs>
          <w:tab w:val="left" w:pos="90"/>
          <w:tab w:val="left" w:pos="360"/>
        </w:tabs>
        <w:jc w:val="both"/>
        <w:rPr>
          <w:b/>
          <w:bCs/>
          <w:sz w:val="22"/>
          <w:szCs w:val="22"/>
          <w:lang w:val="sr-Latn-ME"/>
        </w:rPr>
      </w:pPr>
    </w:p>
    <w:p w14:paraId="327619C1" w14:textId="77777777" w:rsidR="0072020E" w:rsidRPr="00F3439A" w:rsidRDefault="0072020E" w:rsidP="005F546A">
      <w:pPr>
        <w:tabs>
          <w:tab w:val="left" w:pos="540"/>
          <w:tab w:val="left" w:pos="569"/>
        </w:tabs>
        <w:ind w:left="540" w:hanging="540"/>
        <w:jc w:val="both"/>
        <w:rPr>
          <w:b/>
          <w:bCs/>
          <w:sz w:val="22"/>
          <w:szCs w:val="22"/>
          <w:lang w:val="sr-Latn-ME"/>
        </w:rPr>
      </w:pPr>
      <w:r w:rsidRPr="00F3439A">
        <w:rPr>
          <w:b/>
          <w:bCs/>
          <w:sz w:val="22"/>
          <w:szCs w:val="22"/>
          <w:lang w:val="sr-Latn-ME"/>
        </w:rPr>
        <w:t xml:space="preserve">4.7. </w:t>
      </w:r>
      <w:r w:rsidR="00480FB1" w:rsidRPr="00F3439A">
        <w:rPr>
          <w:b/>
          <w:bCs/>
          <w:sz w:val="22"/>
          <w:szCs w:val="22"/>
          <w:lang w:val="sr-Latn-ME"/>
        </w:rPr>
        <w:tab/>
      </w:r>
      <w:r w:rsidRPr="00F3439A">
        <w:rPr>
          <w:b/>
          <w:bCs/>
          <w:sz w:val="22"/>
          <w:szCs w:val="22"/>
          <w:lang w:val="sr-Latn-ME"/>
        </w:rPr>
        <w:t xml:space="preserve">Uticaj na </w:t>
      </w:r>
      <w:r w:rsidR="002031B3" w:rsidRPr="00F3439A">
        <w:rPr>
          <w:b/>
          <w:bCs/>
          <w:sz w:val="22"/>
          <w:szCs w:val="22"/>
          <w:lang w:val="sr-Latn-ME"/>
        </w:rPr>
        <w:t xml:space="preserve">sposobnost </w:t>
      </w:r>
      <w:r w:rsidR="00F34554" w:rsidRPr="00F3439A">
        <w:rPr>
          <w:b/>
          <w:bCs/>
          <w:sz w:val="22"/>
          <w:szCs w:val="22"/>
          <w:lang w:val="sr-Latn-ME"/>
        </w:rPr>
        <w:t>upravljanja vozili</w:t>
      </w:r>
      <w:r w:rsidRPr="00F3439A">
        <w:rPr>
          <w:b/>
          <w:bCs/>
          <w:sz w:val="22"/>
          <w:szCs w:val="22"/>
          <w:lang w:val="sr-Latn-ME"/>
        </w:rPr>
        <w:t>m</w:t>
      </w:r>
      <w:r w:rsidR="00F34554" w:rsidRPr="00F3439A">
        <w:rPr>
          <w:b/>
          <w:bCs/>
          <w:sz w:val="22"/>
          <w:szCs w:val="22"/>
          <w:lang w:val="sr-Latn-ME"/>
        </w:rPr>
        <w:t>a</w:t>
      </w:r>
      <w:r w:rsidRPr="00F3439A">
        <w:rPr>
          <w:b/>
          <w:bCs/>
          <w:sz w:val="22"/>
          <w:szCs w:val="22"/>
          <w:lang w:val="sr-Latn-ME"/>
        </w:rPr>
        <w:t xml:space="preserve"> i </w:t>
      </w:r>
      <w:r w:rsidR="000D3449" w:rsidRPr="00F3439A">
        <w:rPr>
          <w:b/>
          <w:bCs/>
          <w:sz w:val="22"/>
          <w:szCs w:val="22"/>
          <w:lang w:val="sr-Latn-ME"/>
        </w:rPr>
        <w:t xml:space="preserve">rukovanje </w:t>
      </w:r>
      <w:r w:rsidRPr="00F3439A">
        <w:rPr>
          <w:b/>
          <w:bCs/>
          <w:sz w:val="22"/>
          <w:szCs w:val="22"/>
          <w:lang w:val="sr-Latn-ME"/>
        </w:rPr>
        <w:t>mašinama</w:t>
      </w:r>
    </w:p>
    <w:p w14:paraId="77C6CF1C" w14:textId="77777777" w:rsidR="00B3417A" w:rsidRPr="00F3439A" w:rsidRDefault="00B3417A" w:rsidP="005F546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210468C0" w14:textId="2093A6EA" w:rsidR="0072020E" w:rsidRPr="00F3439A" w:rsidRDefault="00B3417A" w:rsidP="005F546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  <w:proofErr w:type="spellStart"/>
      <w:r w:rsidRPr="00F3439A">
        <w:rPr>
          <w:sz w:val="22"/>
          <w:szCs w:val="22"/>
          <w:lang w:val="sr-Latn-ME"/>
        </w:rPr>
        <w:t>Ikatibant</w:t>
      </w:r>
      <w:proofErr w:type="spellEnd"/>
      <w:r w:rsidRPr="00F3439A">
        <w:rPr>
          <w:sz w:val="22"/>
          <w:szCs w:val="22"/>
          <w:lang w:val="sr-Latn-ME"/>
        </w:rPr>
        <w:t xml:space="preserve"> SK ima um</w:t>
      </w:r>
      <w:r w:rsidR="00F30BB4" w:rsidRPr="00F3439A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>eren uticaj na sposobnost upravljanja vozilima i rukovanja mašinama. Iscrpljenost, letargija, umor, pospanost i vrtoglavica zab</w:t>
      </w:r>
      <w:r w:rsidR="00F30BB4" w:rsidRPr="00F3439A">
        <w:rPr>
          <w:sz w:val="22"/>
          <w:szCs w:val="22"/>
          <w:lang w:val="sr-Latn-ME"/>
        </w:rPr>
        <w:t>i</w:t>
      </w:r>
      <w:r w:rsidRPr="00F3439A">
        <w:rPr>
          <w:sz w:val="22"/>
          <w:szCs w:val="22"/>
          <w:lang w:val="sr-Latn-ME"/>
        </w:rPr>
        <w:t>l</w:t>
      </w:r>
      <w:r w:rsidR="00F30BB4" w:rsidRPr="00F3439A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>eženi su posl</w:t>
      </w:r>
      <w:r w:rsidR="00F30BB4" w:rsidRPr="00F3439A">
        <w:rPr>
          <w:sz w:val="22"/>
          <w:szCs w:val="22"/>
          <w:lang w:val="sr-Latn-ME"/>
        </w:rPr>
        <w:t>ij</w:t>
      </w:r>
      <w:r w:rsidRPr="00F3439A">
        <w:rPr>
          <w:sz w:val="22"/>
          <w:szCs w:val="22"/>
          <w:lang w:val="sr-Latn-ME"/>
        </w:rPr>
        <w:t>e prim</w:t>
      </w:r>
      <w:r w:rsidR="00F30BB4" w:rsidRPr="00F3439A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>ene l</w:t>
      </w:r>
      <w:r w:rsidR="00F30BB4" w:rsidRPr="00F3439A">
        <w:rPr>
          <w:sz w:val="22"/>
          <w:szCs w:val="22"/>
          <w:lang w:val="sr-Latn-ME"/>
        </w:rPr>
        <w:t>ij</w:t>
      </w:r>
      <w:r w:rsidRPr="00F3439A">
        <w:rPr>
          <w:sz w:val="22"/>
          <w:szCs w:val="22"/>
          <w:lang w:val="sr-Latn-ME"/>
        </w:rPr>
        <w:t xml:space="preserve">eka </w:t>
      </w:r>
      <w:proofErr w:type="spellStart"/>
      <w:r w:rsidRPr="00F3439A">
        <w:rPr>
          <w:sz w:val="22"/>
          <w:szCs w:val="22"/>
          <w:lang w:val="sr-Latn-ME"/>
        </w:rPr>
        <w:t>Ikatibant</w:t>
      </w:r>
      <w:proofErr w:type="spellEnd"/>
      <w:r w:rsidRPr="00F3439A">
        <w:rPr>
          <w:sz w:val="22"/>
          <w:szCs w:val="22"/>
          <w:lang w:val="sr-Latn-ME"/>
        </w:rPr>
        <w:t xml:space="preserve"> SK. Ovi simptomi mogu se pojaviti kao posl</w:t>
      </w:r>
      <w:r w:rsidR="00D028E0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 xml:space="preserve">edica napada </w:t>
      </w:r>
      <w:proofErr w:type="spellStart"/>
      <w:r w:rsidRPr="00F3439A">
        <w:rPr>
          <w:sz w:val="22"/>
          <w:szCs w:val="22"/>
          <w:lang w:val="sr-Latn-ME"/>
        </w:rPr>
        <w:t>nasl</w:t>
      </w:r>
      <w:r w:rsidR="003E6377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>ednog</w:t>
      </w:r>
      <w:proofErr w:type="spellEnd"/>
      <w:r w:rsidRPr="00F3439A">
        <w:rPr>
          <w:sz w:val="22"/>
          <w:szCs w:val="22"/>
          <w:lang w:val="sr-Latn-ME"/>
        </w:rPr>
        <w:t xml:space="preserve"> </w:t>
      </w:r>
      <w:proofErr w:type="spellStart"/>
      <w:r w:rsidRPr="00F3439A">
        <w:rPr>
          <w:sz w:val="22"/>
          <w:szCs w:val="22"/>
          <w:lang w:val="sr-Latn-ME"/>
        </w:rPr>
        <w:t>angioedema</w:t>
      </w:r>
      <w:proofErr w:type="spellEnd"/>
      <w:r w:rsidRPr="00F3439A">
        <w:rPr>
          <w:sz w:val="22"/>
          <w:szCs w:val="22"/>
          <w:lang w:val="sr-Latn-ME"/>
        </w:rPr>
        <w:t>. Pacijente treba upozoriti da ne upravljaju vozilima i ne rukuju mašinama ako os</w:t>
      </w:r>
      <w:r w:rsidR="00D028E0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>ećaju umor ili vrtoglavicu.</w:t>
      </w:r>
    </w:p>
    <w:p w14:paraId="41333FBA" w14:textId="77777777" w:rsidR="00B3417A" w:rsidRPr="00F3439A" w:rsidRDefault="00B3417A" w:rsidP="005F546A">
      <w:pPr>
        <w:tabs>
          <w:tab w:val="left" w:pos="540"/>
          <w:tab w:val="left" w:pos="569"/>
        </w:tabs>
        <w:jc w:val="both"/>
        <w:rPr>
          <w:sz w:val="22"/>
          <w:szCs w:val="22"/>
          <w:lang w:val="sr-Latn-ME"/>
        </w:rPr>
      </w:pPr>
    </w:p>
    <w:p w14:paraId="6620A254" w14:textId="77777777" w:rsidR="0072020E" w:rsidRPr="00F3439A" w:rsidRDefault="0072020E" w:rsidP="005F546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  <w:r w:rsidRPr="00F3439A">
        <w:rPr>
          <w:b/>
          <w:bCs/>
          <w:sz w:val="22"/>
          <w:szCs w:val="22"/>
          <w:lang w:val="sr-Latn-ME"/>
        </w:rPr>
        <w:t xml:space="preserve">4.8. </w:t>
      </w:r>
      <w:r w:rsidR="00480FB1" w:rsidRPr="00F3439A">
        <w:rPr>
          <w:b/>
          <w:bCs/>
          <w:sz w:val="22"/>
          <w:szCs w:val="22"/>
          <w:lang w:val="sr-Latn-ME"/>
        </w:rPr>
        <w:tab/>
      </w:r>
      <w:r w:rsidRPr="00F3439A">
        <w:rPr>
          <w:b/>
          <w:bCs/>
          <w:sz w:val="22"/>
          <w:szCs w:val="22"/>
          <w:lang w:val="sr-Latn-ME"/>
        </w:rPr>
        <w:t>Neželjena dejstva</w:t>
      </w:r>
    </w:p>
    <w:p w14:paraId="0D004F9A" w14:textId="77777777" w:rsidR="004E70AD" w:rsidRPr="00F3439A" w:rsidRDefault="004E70AD" w:rsidP="005F546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FFA8DAD" w14:textId="6AC02387" w:rsidR="00B3417A" w:rsidRPr="00F3439A" w:rsidRDefault="00B3417A" w:rsidP="005F546A">
      <w:pPr>
        <w:pStyle w:val="BodyText"/>
        <w:spacing w:before="116"/>
        <w:ind w:left="0"/>
        <w:rPr>
          <w:lang w:val="sr-Latn-ME"/>
        </w:rPr>
      </w:pPr>
      <w:r w:rsidRPr="00F3439A">
        <w:rPr>
          <w:u w:val="single"/>
          <w:lang w:val="sr-Latn-ME"/>
        </w:rPr>
        <w:t>Sažetak</w:t>
      </w:r>
      <w:r w:rsidRPr="00F3439A">
        <w:rPr>
          <w:spacing w:val="-10"/>
          <w:u w:val="single"/>
          <w:lang w:val="sr-Latn-ME"/>
        </w:rPr>
        <w:t xml:space="preserve"> </w:t>
      </w:r>
      <w:proofErr w:type="spellStart"/>
      <w:r w:rsidRPr="00F3439A">
        <w:rPr>
          <w:u w:val="single"/>
          <w:lang w:val="sr-Latn-ME"/>
        </w:rPr>
        <w:t>bezb</w:t>
      </w:r>
      <w:r w:rsidR="00F30BB4" w:rsidRPr="00F3439A">
        <w:rPr>
          <w:u w:val="single"/>
          <w:lang w:val="sr-Latn-ME"/>
        </w:rPr>
        <w:t>j</w:t>
      </w:r>
      <w:r w:rsidRPr="00F3439A">
        <w:rPr>
          <w:u w:val="single"/>
          <w:lang w:val="sr-Latn-ME"/>
        </w:rPr>
        <w:t>ednosnog</w:t>
      </w:r>
      <w:proofErr w:type="spellEnd"/>
      <w:r w:rsidRPr="00F3439A">
        <w:rPr>
          <w:spacing w:val="-9"/>
          <w:u w:val="single"/>
          <w:lang w:val="sr-Latn-ME"/>
        </w:rPr>
        <w:t xml:space="preserve"> </w:t>
      </w:r>
      <w:r w:rsidRPr="00F3439A">
        <w:rPr>
          <w:u w:val="single"/>
          <w:lang w:val="sr-Latn-ME"/>
        </w:rPr>
        <w:t>profila</w:t>
      </w:r>
    </w:p>
    <w:p w14:paraId="2A1A11AC" w14:textId="77777777" w:rsidR="00B3417A" w:rsidRPr="00F3439A" w:rsidRDefault="00B3417A" w:rsidP="005F546A">
      <w:pPr>
        <w:pStyle w:val="BodyText"/>
        <w:spacing w:before="9"/>
        <w:ind w:left="0"/>
        <w:rPr>
          <w:sz w:val="20"/>
          <w:lang w:val="sr-Latn-ME"/>
        </w:rPr>
      </w:pPr>
    </w:p>
    <w:p w14:paraId="4524B592" w14:textId="6A4ADE92" w:rsidR="00B3417A" w:rsidRPr="00F3439A" w:rsidRDefault="00B3417A" w:rsidP="005F546A">
      <w:pPr>
        <w:pStyle w:val="BodyText"/>
        <w:spacing w:before="9"/>
        <w:ind w:left="0"/>
        <w:rPr>
          <w:lang w:val="sr-Latn-ME"/>
        </w:rPr>
      </w:pPr>
      <w:r w:rsidRPr="00F3439A">
        <w:rPr>
          <w:lang w:val="sr-Latn-ME"/>
        </w:rPr>
        <w:t xml:space="preserve">U kliničkim studijama koje su se koristile za registraciju, ukupno 999 napada </w:t>
      </w:r>
      <w:proofErr w:type="spellStart"/>
      <w:r w:rsidRPr="00F3439A">
        <w:rPr>
          <w:lang w:val="sr-Latn-ME"/>
        </w:rPr>
        <w:t>nasl</w:t>
      </w:r>
      <w:r w:rsidR="003E6377">
        <w:rPr>
          <w:lang w:val="sr-Latn-ME"/>
        </w:rPr>
        <w:t>j</w:t>
      </w:r>
      <w:r w:rsidRPr="00F3439A">
        <w:rPr>
          <w:lang w:val="sr-Latn-ME"/>
        </w:rPr>
        <w:t>ednog</w:t>
      </w:r>
      <w:proofErr w:type="spellEnd"/>
      <w:r w:rsidRPr="00F3439A">
        <w:rPr>
          <w:lang w:val="sr-Latn-ME"/>
        </w:rPr>
        <w:t xml:space="preserve"> </w:t>
      </w:r>
      <w:proofErr w:type="spellStart"/>
      <w:r w:rsidRPr="00F3439A">
        <w:rPr>
          <w:lang w:val="sr-Latn-ME"/>
        </w:rPr>
        <w:t>angioedema</w:t>
      </w:r>
      <w:proofErr w:type="spellEnd"/>
      <w:r w:rsidRPr="00F3439A">
        <w:rPr>
          <w:lang w:val="sr-Latn-ME"/>
        </w:rPr>
        <w:t xml:space="preserve"> (</w:t>
      </w:r>
      <w:proofErr w:type="spellStart"/>
      <w:r w:rsidRPr="00F3439A">
        <w:rPr>
          <w:lang w:val="sr-Latn-ME"/>
        </w:rPr>
        <w:t>HAE</w:t>
      </w:r>
      <w:proofErr w:type="spellEnd"/>
      <w:r w:rsidRPr="00F3439A">
        <w:rPr>
          <w:lang w:val="sr-Latn-ME"/>
        </w:rPr>
        <w:t>) je tretirano sa 30 mg l</w:t>
      </w:r>
      <w:r w:rsidR="00F30BB4" w:rsidRPr="00F3439A">
        <w:rPr>
          <w:lang w:val="sr-Latn-ME"/>
        </w:rPr>
        <w:t>ij</w:t>
      </w:r>
      <w:r w:rsidRPr="00F3439A">
        <w:rPr>
          <w:lang w:val="sr-Latn-ME"/>
        </w:rPr>
        <w:t xml:space="preserve">eka </w:t>
      </w:r>
      <w:proofErr w:type="spellStart"/>
      <w:r w:rsidRPr="00F3439A">
        <w:rPr>
          <w:lang w:val="sr-Latn-ME"/>
        </w:rPr>
        <w:t>Ikatibant</w:t>
      </w:r>
      <w:proofErr w:type="spellEnd"/>
      <w:r w:rsidRPr="00F3439A">
        <w:rPr>
          <w:lang w:val="sr-Latn-ME"/>
        </w:rPr>
        <w:t xml:space="preserve"> SK koji je </w:t>
      </w:r>
      <w:proofErr w:type="spellStart"/>
      <w:r w:rsidR="00D028E0" w:rsidRPr="00F3439A">
        <w:rPr>
          <w:lang w:val="sr-Latn-ME"/>
        </w:rPr>
        <w:t>su</w:t>
      </w:r>
      <w:r w:rsidR="00492C60">
        <w:rPr>
          <w:lang w:val="sr-Latn-ME"/>
        </w:rPr>
        <w:t>b</w:t>
      </w:r>
      <w:r w:rsidR="00D028E0" w:rsidRPr="00F3439A">
        <w:rPr>
          <w:lang w:val="sr-Latn-ME"/>
        </w:rPr>
        <w:t>kutano</w:t>
      </w:r>
      <w:proofErr w:type="spellEnd"/>
      <w:r w:rsidRPr="00F3439A">
        <w:rPr>
          <w:lang w:val="sr-Latn-ME"/>
        </w:rPr>
        <w:t xml:space="preserve"> (potkožno) apliciran od strane zdravstvenog radnika. </w:t>
      </w:r>
      <w:proofErr w:type="spellStart"/>
      <w:r w:rsidRPr="00F3439A">
        <w:rPr>
          <w:lang w:val="sr-Latn-ME"/>
        </w:rPr>
        <w:t>Ikatibant</w:t>
      </w:r>
      <w:proofErr w:type="spellEnd"/>
      <w:r w:rsidRPr="00F3439A">
        <w:rPr>
          <w:lang w:val="sr-Latn-ME"/>
        </w:rPr>
        <w:t xml:space="preserve"> SK 30 mg SC je apliciran od strane zdravstvenog radnika na 129 zdravih ispitanika i 236 pacijenata sa </w:t>
      </w:r>
      <w:proofErr w:type="spellStart"/>
      <w:r w:rsidRPr="00F3439A">
        <w:rPr>
          <w:lang w:val="sr-Latn-ME"/>
        </w:rPr>
        <w:t>nasl</w:t>
      </w:r>
      <w:r w:rsidR="003E6377">
        <w:rPr>
          <w:lang w:val="sr-Latn-ME"/>
        </w:rPr>
        <w:t>j</w:t>
      </w:r>
      <w:r w:rsidRPr="00F3439A">
        <w:rPr>
          <w:lang w:val="sr-Latn-ME"/>
        </w:rPr>
        <w:t>ednim</w:t>
      </w:r>
      <w:proofErr w:type="spellEnd"/>
      <w:r w:rsidRPr="00F3439A">
        <w:rPr>
          <w:lang w:val="sr-Latn-ME"/>
        </w:rPr>
        <w:t xml:space="preserve"> </w:t>
      </w:r>
      <w:proofErr w:type="spellStart"/>
      <w:r w:rsidRPr="00F3439A">
        <w:rPr>
          <w:lang w:val="sr-Latn-ME"/>
        </w:rPr>
        <w:t>angioedemom</w:t>
      </w:r>
      <w:proofErr w:type="spellEnd"/>
      <w:r w:rsidRPr="00F3439A">
        <w:rPr>
          <w:lang w:val="sr-Latn-ME"/>
        </w:rPr>
        <w:t xml:space="preserve"> (</w:t>
      </w:r>
      <w:proofErr w:type="spellStart"/>
      <w:r w:rsidRPr="00F3439A">
        <w:rPr>
          <w:lang w:val="sr-Latn-ME"/>
        </w:rPr>
        <w:t>HAE</w:t>
      </w:r>
      <w:proofErr w:type="spellEnd"/>
      <w:r w:rsidRPr="00F3439A">
        <w:rPr>
          <w:lang w:val="sr-Latn-ME"/>
        </w:rPr>
        <w:t>).</w:t>
      </w:r>
    </w:p>
    <w:p w14:paraId="2C5683D2" w14:textId="0D33AE3F" w:rsidR="00B3417A" w:rsidRPr="00F3439A" w:rsidRDefault="00B3417A" w:rsidP="005F546A">
      <w:pPr>
        <w:pStyle w:val="BodyText"/>
        <w:spacing w:before="9"/>
        <w:ind w:left="0"/>
        <w:rPr>
          <w:lang w:val="sr-Latn-ME"/>
        </w:rPr>
      </w:pPr>
      <w:r w:rsidRPr="00F3439A">
        <w:rPr>
          <w:lang w:val="sr-Latn-ME"/>
        </w:rPr>
        <w:t>Gotovo kod svih ispitanika koji su l</w:t>
      </w:r>
      <w:r w:rsidR="00F30BB4" w:rsidRPr="00F3439A">
        <w:rPr>
          <w:lang w:val="sr-Latn-ME"/>
        </w:rPr>
        <w:t>ij</w:t>
      </w:r>
      <w:r w:rsidRPr="00F3439A">
        <w:rPr>
          <w:lang w:val="sr-Latn-ME"/>
        </w:rPr>
        <w:t xml:space="preserve">ečeni potkožno </w:t>
      </w:r>
      <w:proofErr w:type="spellStart"/>
      <w:r w:rsidRPr="00F3439A">
        <w:rPr>
          <w:lang w:val="sr-Latn-ME"/>
        </w:rPr>
        <w:t>prim</w:t>
      </w:r>
      <w:r w:rsidR="00F30BB4" w:rsidRPr="00F3439A">
        <w:rPr>
          <w:lang w:val="sr-Latn-ME"/>
        </w:rPr>
        <w:t>j</w:t>
      </w:r>
      <w:r w:rsidRPr="00F3439A">
        <w:rPr>
          <w:lang w:val="sr-Latn-ME"/>
        </w:rPr>
        <w:t>enjenim</w:t>
      </w:r>
      <w:proofErr w:type="spellEnd"/>
      <w:r w:rsidRPr="00F3439A">
        <w:rPr>
          <w:lang w:val="sr-Latn-ME"/>
        </w:rPr>
        <w:t xml:space="preserve"> </w:t>
      </w:r>
      <w:proofErr w:type="spellStart"/>
      <w:r w:rsidRPr="00F3439A">
        <w:rPr>
          <w:lang w:val="sr-Latn-ME"/>
        </w:rPr>
        <w:t>ikatibantom</w:t>
      </w:r>
      <w:proofErr w:type="spellEnd"/>
      <w:r w:rsidRPr="00F3439A">
        <w:rPr>
          <w:lang w:val="sr-Latn-ME"/>
        </w:rPr>
        <w:t xml:space="preserve"> u kliničkim testovima, razvile su se reakcije na m</w:t>
      </w:r>
      <w:r w:rsidR="00F30BB4" w:rsidRPr="00F3439A">
        <w:rPr>
          <w:lang w:val="sr-Latn-ME"/>
        </w:rPr>
        <w:t>j</w:t>
      </w:r>
      <w:r w:rsidRPr="00F3439A">
        <w:rPr>
          <w:lang w:val="sr-Latn-ME"/>
        </w:rPr>
        <w:t>estu prim</w:t>
      </w:r>
      <w:r w:rsidR="00F30BB4" w:rsidRPr="00F3439A">
        <w:rPr>
          <w:lang w:val="sr-Latn-ME"/>
        </w:rPr>
        <w:t>j</w:t>
      </w:r>
      <w:r w:rsidRPr="00F3439A">
        <w:rPr>
          <w:lang w:val="sr-Latn-ME"/>
        </w:rPr>
        <w:t xml:space="preserve">ene injekcije (karakteristična iritacija kože, oticanje, bol, svrab, </w:t>
      </w:r>
      <w:proofErr w:type="spellStart"/>
      <w:r w:rsidRPr="00F3439A">
        <w:rPr>
          <w:lang w:val="sr-Latn-ME"/>
        </w:rPr>
        <w:t>eritem</w:t>
      </w:r>
      <w:proofErr w:type="spellEnd"/>
      <w:r w:rsidRPr="00F3439A">
        <w:rPr>
          <w:lang w:val="sr-Latn-ME"/>
        </w:rPr>
        <w:t>, os</w:t>
      </w:r>
      <w:r w:rsidR="00D028E0">
        <w:rPr>
          <w:lang w:val="sr-Latn-ME"/>
        </w:rPr>
        <w:t>j</w:t>
      </w:r>
      <w:r w:rsidRPr="00F3439A">
        <w:rPr>
          <w:lang w:val="sr-Latn-ME"/>
        </w:rPr>
        <w:t>ećaj peckanja). Uopšteno, ove reakcije bile su blage do um</w:t>
      </w:r>
      <w:r w:rsidR="00F30BB4" w:rsidRPr="00F3439A">
        <w:rPr>
          <w:lang w:val="sr-Latn-ME"/>
        </w:rPr>
        <w:t>j</w:t>
      </w:r>
      <w:r w:rsidRPr="00F3439A">
        <w:rPr>
          <w:lang w:val="sr-Latn-ME"/>
        </w:rPr>
        <w:t>erene po težini, prolazne i r</w:t>
      </w:r>
      <w:r w:rsidR="00D028E0">
        <w:rPr>
          <w:lang w:val="sr-Latn-ME"/>
        </w:rPr>
        <w:t>i</w:t>
      </w:r>
      <w:r w:rsidR="00F30BB4" w:rsidRPr="00F3439A">
        <w:rPr>
          <w:lang w:val="sr-Latn-ME"/>
        </w:rPr>
        <w:t>j</w:t>
      </w:r>
      <w:r w:rsidRPr="00F3439A">
        <w:rPr>
          <w:lang w:val="sr-Latn-ME"/>
        </w:rPr>
        <w:t>ešene bez dodatnih intervencija.</w:t>
      </w:r>
    </w:p>
    <w:p w14:paraId="0E0BEAB4" w14:textId="77777777" w:rsidR="00B3417A" w:rsidRPr="00F3439A" w:rsidRDefault="00B3417A" w:rsidP="005F546A">
      <w:pPr>
        <w:pStyle w:val="BodyText"/>
        <w:spacing w:before="9"/>
        <w:ind w:left="0"/>
        <w:rPr>
          <w:sz w:val="20"/>
          <w:lang w:val="sr-Latn-ME"/>
        </w:rPr>
      </w:pPr>
    </w:p>
    <w:p w14:paraId="7A37C5F1" w14:textId="77777777" w:rsidR="00B3417A" w:rsidRPr="00F3439A" w:rsidRDefault="00B3417A" w:rsidP="005F546A">
      <w:pPr>
        <w:pStyle w:val="BodyText"/>
        <w:spacing w:before="1"/>
        <w:ind w:left="0"/>
        <w:rPr>
          <w:lang w:val="sr-Latn-ME"/>
        </w:rPr>
      </w:pPr>
      <w:r w:rsidRPr="00F3439A">
        <w:rPr>
          <w:u w:val="single"/>
          <w:lang w:val="sr-Latn-ME"/>
        </w:rPr>
        <w:t>Tabelarni</w:t>
      </w:r>
      <w:r w:rsidRPr="00F3439A">
        <w:rPr>
          <w:spacing w:val="-6"/>
          <w:u w:val="single"/>
          <w:lang w:val="sr-Latn-ME"/>
        </w:rPr>
        <w:t xml:space="preserve"> </w:t>
      </w:r>
      <w:r w:rsidRPr="00F3439A">
        <w:rPr>
          <w:u w:val="single"/>
          <w:lang w:val="sr-Latn-ME"/>
        </w:rPr>
        <w:t>prikaz</w:t>
      </w:r>
      <w:r w:rsidRPr="00F3439A">
        <w:rPr>
          <w:spacing w:val="-5"/>
          <w:u w:val="single"/>
          <w:lang w:val="sr-Latn-ME"/>
        </w:rPr>
        <w:t xml:space="preserve"> </w:t>
      </w:r>
      <w:r w:rsidRPr="00F3439A">
        <w:rPr>
          <w:u w:val="single"/>
          <w:lang w:val="sr-Latn-ME"/>
        </w:rPr>
        <w:t>neželjenih</w:t>
      </w:r>
      <w:r w:rsidRPr="00F3439A">
        <w:rPr>
          <w:spacing w:val="-6"/>
          <w:u w:val="single"/>
          <w:lang w:val="sr-Latn-ME"/>
        </w:rPr>
        <w:t xml:space="preserve"> </w:t>
      </w:r>
      <w:r w:rsidRPr="00F3439A">
        <w:rPr>
          <w:u w:val="single"/>
          <w:lang w:val="sr-Latn-ME"/>
        </w:rPr>
        <w:t>reakcija</w:t>
      </w:r>
    </w:p>
    <w:p w14:paraId="48B1A47D" w14:textId="5CCD9DFA" w:rsidR="00B3417A" w:rsidRPr="00F3439A" w:rsidRDefault="00B3417A" w:rsidP="005F546A">
      <w:pPr>
        <w:spacing w:before="119"/>
        <w:jc w:val="both"/>
        <w:rPr>
          <w:sz w:val="22"/>
          <w:szCs w:val="22"/>
          <w:lang w:val="sr-Latn-ME"/>
        </w:rPr>
      </w:pPr>
      <w:r w:rsidRPr="00F3439A">
        <w:rPr>
          <w:sz w:val="22"/>
          <w:szCs w:val="22"/>
          <w:lang w:val="sr-Latn-ME"/>
        </w:rPr>
        <w:t>Učestalost neželjenih dejstava navedenih u tabeli 2, definisana je prema sl</w:t>
      </w:r>
      <w:r w:rsidR="00A21E4D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>edećim pravilima:</w:t>
      </w:r>
    </w:p>
    <w:p w14:paraId="620025A7" w14:textId="40B8D5BC" w:rsidR="00B3417A" w:rsidRPr="00F3439A" w:rsidRDefault="00B3417A" w:rsidP="005F546A">
      <w:pPr>
        <w:jc w:val="both"/>
        <w:rPr>
          <w:sz w:val="22"/>
          <w:szCs w:val="22"/>
          <w:lang w:val="sr-Latn-ME"/>
        </w:rPr>
      </w:pPr>
      <w:r w:rsidRPr="00F3439A">
        <w:rPr>
          <w:sz w:val="22"/>
          <w:szCs w:val="22"/>
          <w:lang w:val="sr-Latn-ME"/>
        </w:rPr>
        <w:t>Veoma često (≥ 1/10); često (≥ 1/100 do &lt; 1/10); povremeno (≥ 1/1000 do &lt; 1/100); r</w:t>
      </w:r>
      <w:r w:rsidR="00F30BB4" w:rsidRPr="00F3439A">
        <w:rPr>
          <w:sz w:val="22"/>
          <w:szCs w:val="22"/>
          <w:lang w:val="sr-Latn-ME"/>
        </w:rPr>
        <w:t>ij</w:t>
      </w:r>
      <w:r w:rsidRPr="00F3439A">
        <w:rPr>
          <w:sz w:val="22"/>
          <w:szCs w:val="22"/>
          <w:lang w:val="sr-Latn-ME"/>
        </w:rPr>
        <w:t>etko (≥1/10000 do &lt;1/1000); veoma r</w:t>
      </w:r>
      <w:r w:rsidR="00F30BB4" w:rsidRPr="00F3439A">
        <w:rPr>
          <w:sz w:val="22"/>
          <w:szCs w:val="22"/>
          <w:lang w:val="sr-Latn-ME"/>
        </w:rPr>
        <w:t>ij</w:t>
      </w:r>
      <w:r w:rsidRPr="00F3439A">
        <w:rPr>
          <w:sz w:val="22"/>
          <w:szCs w:val="22"/>
          <w:lang w:val="sr-Latn-ME"/>
        </w:rPr>
        <w:t>etko (&lt;1/10000).</w:t>
      </w:r>
    </w:p>
    <w:p w14:paraId="3AB15421" w14:textId="50198BBD" w:rsidR="00B3417A" w:rsidRDefault="00B3417A" w:rsidP="005F546A">
      <w:pPr>
        <w:spacing w:before="120" w:after="120"/>
        <w:jc w:val="both"/>
        <w:rPr>
          <w:sz w:val="22"/>
          <w:szCs w:val="22"/>
          <w:lang w:val="sr-Latn-ME"/>
        </w:rPr>
      </w:pPr>
      <w:r w:rsidRPr="00F3439A">
        <w:rPr>
          <w:sz w:val="22"/>
          <w:szCs w:val="22"/>
          <w:lang w:val="sr-Latn-ME"/>
        </w:rPr>
        <w:t>Sva neželjena dejstva iz razdoblja nakon stavljanja l</w:t>
      </w:r>
      <w:r w:rsidR="00F30BB4" w:rsidRPr="00F3439A">
        <w:rPr>
          <w:sz w:val="22"/>
          <w:szCs w:val="22"/>
          <w:lang w:val="sr-Latn-ME"/>
        </w:rPr>
        <w:t>ij</w:t>
      </w:r>
      <w:r w:rsidRPr="00F3439A">
        <w:rPr>
          <w:sz w:val="22"/>
          <w:szCs w:val="22"/>
          <w:lang w:val="sr-Latn-ME"/>
        </w:rPr>
        <w:t xml:space="preserve">eka u promet navedena su u </w:t>
      </w:r>
      <w:r w:rsidRPr="00F3439A">
        <w:rPr>
          <w:i/>
          <w:iCs/>
          <w:sz w:val="22"/>
          <w:szCs w:val="22"/>
          <w:lang w:val="sr-Latn-ME"/>
        </w:rPr>
        <w:t>kurzivu</w:t>
      </w:r>
      <w:r w:rsidRPr="00F3439A">
        <w:rPr>
          <w:sz w:val="22"/>
          <w:szCs w:val="22"/>
          <w:lang w:val="sr-Latn-ME"/>
        </w:rPr>
        <w:t>.</w:t>
      </w:r>
    </w:p>
    <w:p w14:paraId="7F12AC9F" w14:textId="51700B6C" w:rsidR="008C51F8" w:rsidRDefault="008C51F8" w:rsidP="005F546A">
      <w:pPr>
        <w:spacing w:before="120" w:after="120"/>
        <w:jc w:val="both"/>
        <w:rPr>
          <w:sz w:val="22"/>
          <w:szCs w:val="22"/>
          <w:lang w:val="sr-Latn-ME"/>
        </w:rPr>
      </w:pPr>
    </w:p>
    <w:p w14:paraId="5273145C" w14:textId="01C9B1DD" w:rsidR="008C51F8" w:rsidRDefault="008C51F8" w:rsidP="005F546A">
      <w:pPr>
        <w:spacing w:before="120" w:after="120"/>
        <w:jc w:val="both"/>
        <w:rPr>
          <w:sz w:val="22"/>
          <w:szCs w:val="22"/>
          <w:lang w:val="sr-Latn-ME"/>
        </w:rPr>
      </w:pPr>
    </w:p>
    <w:p w14:paraId="31B91E8A" w14:textId="77777777" w:rsidR="008C51F8" w:rsidRPr="00F3439A" w:rsidRDefault="008C51F8" w:rsidP="005F546A">
      <w:pPr>
        <w:spacing w:before="120" w:after="120"/>
        <w:jc w:val="both"/>
        <w:rPr>
          <w:sz w:val="22"/>
          <w:szCs w:val="22"/>
          <w:lang w:val="sr-Latn-ME"/>
        </w:rPr>
      </w:pPr>
    </w:p>
    <w:p w14:paraId="3FF5555F" w14:textId="14A8AE37" w:rsidR="00B3417A" w:rsidRPr="00F3439A" w:rsidRDefault="00B3417A" w:rsidP="005F546A">
      <w:pPr>
        <w:spacing w:before="120" w:after="120"/>
        <w:jc w:val="both"/>
        <w:rPr>
          <w:b/>
          <w:bCs/>
          <w:lang w:val="sr-Latn-ME"/>
        </w:rPr>
      </w:pPr>
      <w:r w:rsidRPr="00F3439A">
        <w:rPr>
          <w:b/>
          <w:bCs/>
          <w:lang w:val="sr-Latn-ME"/>
        </w:rPr>
        <w:lastRenderedPageBreak/>
        <w:t>Tabela</w:t>
      </w:r>
      <w:r w:rsidRPr="00F3439A">
        <w:rPr>
          <w:b/>
          <w:bCs/>
          <w:spacing w:val="-3"/>
          <w:lang w:val="sr-Latn-ME"/>
        </w:rPr>
        <w:t xml:space="preserve"> </w:t>
      </w:r>
      <w:r w:rsidRPr="00F3439A">
        <w:rPr>
          <w:b/>
          <w:bCs/>
          <w:lang w:val="sr-Latn-ME"/>
        </w:rPr>
        <w:t>2: Neželjena dejstva zabeležena kod prim</w:t>
      </w:r>
      <w:r w:rsidR="00D028E0">
        <w:rPr>
          <w:b/>
          <w:bCs/>
          <w:lang w:val="sr-Latn-ME"/>
        </w:rPr>
        <w:t>j</w:t>
      </w:r>
      <w:r w:rsidRPr="00F3439A">
        <w:rPr>
          <w:b/>
          <w:bCs/>
          <w:lang w:val="sr-Latn-ME"/>
        </w:rPr>
        <w:t xml:space="preserve">ene </w:t>
      </w:r>
      <w:proofErr w:type="spellStart"/>
      <w:r w:rsidRPr="00F3439A">
        <w:rPr>
          <w:b/>
          <w:bCs/>
          <w:lang w:val="sr-Latn-ME"/>
        </w:rPr>
        <w:t>ikatibanta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55"/>
        <w:gridCol w:w="4508"/>
      </w:tblGrid>
      <w:tr w:rsidR="00B3417A" w:rsidRPr="00F3439A" w14:paraId="39B70815" w14:textId="77777777" w:rsidTr="00F3439A">
        <w:tc>
          <w:tcPr>
            <w:tcW w:w="4927" w:type="dxa"/>
            <w:tcBorders>
              <w:right w:val="nil"/>
            </w:tcBorders>
          </w:tcPr>
          <w:p w14:paraId="41D9001E" w14:textId="77777777" w:rsidR="00B3417A" w:rsidRPr="00F3439A" w:rsidRDefault="00B3417A" w:rsidP="005F546A">
            <w:pPr>
              <w:pStyle w:val="BodyText"/>
              <w:spacing w:before="1"/>
              <w:ind w:left="0"/>
              <w:rPr>
                <w:lang w:val="sr-Latn-ME"/>
              </w:rPr>
            </w:pPr>
            <w:r w:rsidRPr="00F3439A">
              <w:rPr>
                <w:lang w:val="sr-Latn-ME"/>
              </w:rPr>
              <w:t>Klasa sistema organa</w:t>
            </w:r>
          </w:p>
          <w:p w14:paraId="3CE65A3D" w14:textId="77777777" w:rsidR="00B3417A" w:rsidRPr="00F3439A" w:rsidRDefault="00B3417A" w:rsidP="005F546A">
            <w:pPr>
              <w:pStyle w:val="BodyText"/>
              <w:spacing w:before="1"/>
              <w:ind w:left="0"/>
              <w:rPr>
                <w:lang w:val="sr-Latn-ME"/>
              </w:rPr>
            </w:pPr>
            <w:r w:rsidRPr="00F3439A">
              <w:rPr>
                <w:lang w:val="sr-Latn-ME"/>
              </w:rPr>
              <w:t>(kategorija incidence)</w:t>
            </w:r>
          </w:p>
        </w:tc>
        <w:tc>
          <w:tcPr>
            <w:tcW w:w="4928" w:type="dxa"/>
            <w:tcBorders>
              <w:left w:val="nil"/>
            </w:tcBorders>
          </w:tcPr>
          <w:p w14:paraId="6C2099BE" w14:textId="77777777" w:rsidR="00B3417A" w:rsidRPr="00F3439A" w:rsidRDefault="00B3417A" w:rsidP="005F546A">
            <w:pPr>
              <w:pStyle w:val="BodyText"/>
              <w:spacing w:before="1"/>
              <w:ind w:left="0"/>
              <w:rPr>
                <w:lang w:val="sr-Latn-ME"/>
              </w:rPr>
            </w:pPr>
            <w:r w:rsidRPr="00F3439A">
              <w:rPr>
                <w:lang w:val="sr-Latn-ME"/>
              </w:rPr>
              <w:t>Preporučeni izraz</w:t>
            </w:r>
          </w:p>
        </w:tc>
      </w:tr>
      <w:tr w:rsidR="00B3417A" w:rsidRPr="00F3439A" w14:paraId="02254228" w14:textId="77777777" w:rsidTr="00F3439A">
        <w:tc>
          <w:tcPr>
            <w:tcW w:w="4927" w:type="dxa"/>
            <w:tcBorders>
              <w:right w:val="nil"/>
            </w:tcBorders>
          </w:tcPr>
          <w:p w14:paraId="3DBDE36C" w14:textId="77777777" w:rsidR="00B3417A" w:rsidRPr="00F3439A" w:rsidRDefault="00B3417A" w:rsidP="005F546A">
            <w:pPr>
              <w:pStyle w:val="BodyText"/>
              <w:spacing w:before="1"/>
              <w:ind w:left="0"/>
              <w:rPr>
                <w:lang w:val="sr-Latn-ME"/>
              </w:rPr>
            </w:pPr>
            <w:r w:rsidRPr="00F3439A">
              <w:rPr>
                <w:lang w:val="sr-Latn-ME"/>
              </w:rPr>
              <w:t>Poremećaji nervnog sistema</w:t>
            </w:r>
          </w:p>
          <w:p w14:paraId="38CA7F40" w14:textId="77777777" w:rsidR="00B3417A" w:rsidRPr="00F3439A" w:rsidRDefault="00B3417A" w:rsidP="005F546A">
            <w:pPr>
              <w:pStyle w:val="BodyText"/>
              <w:spacing w:before="1"/>
              <w:ind w:left="0"/>
              <w:rPr>
                <w:lang w:val="sr-Latn-ME"/>
              </w:rPr>
            </w:pPr>
            <w:r w:rsidRPr="00F3439A">
              <w:rPr>
                <w:lang w:val="sr-Latn-ME"/>
              </w:rPr>
              <w:t>(Često, ≥1/100 do &lt;1/10)</w:t>
            </w:r>
          </w:p>
        </w:tc>
        <w:tc>
          <w:tcPr>
            <w:tcW w:w="4928" w:type="dxa"/>
            <w:tcBorders>
              <w:left w:val="nil"/>
            </w:tcBorders>
          </w:tcPr>
          <w:p w14:paraId="4B808BFF" w14:textId="77777777" w:rsidR="00B3417A" w:rsidRPr="00F3439A" w:rsidRDefault="00B3417A" w:rsidP="005F546A">
            <w:pPr>
              <w:pStyle w:val="BodyText"/>
              <w:spacing w:before="1"/>
              <w:ind w:left="0"/>
              <w:rPr>
                <w:lang w:val="sr-Latn-ME"/>
              </w:rPr>
            </w:pPr>
          </w:p>
          <w:p w14:paraId="1D8795FF" w14:textId="77777777" w:rsidR="00B3417A" w:rsidRPr="00F3439A" w:rsidRDefault="00B3417A" w:rsidP="005F546A">
            <w:pPr>
              <w:pStyle w:val="BodyText"/>
              <w:spacing w:before="1"/>
              <w:ind w:left="0"/>
              <w:rPr>
                <w:lang w:val="sr-Latn-ME"/>
              </w:rPr>
            </w:pPr>
            <w:r w:rsidRPr="00F3439A">
              <w:rPr>
                <w:lang w:val="sr-Latn-ME"/>
              </w:rPr>
              <w:t>Vrtoglavica</w:t>
            </w:r>
          </w:p>
          <w:p w14:paraId="759221BD" w14:textId="77777777" w:rsidR="00B3417A" w:rsidRPr="00F3439A" w:rsidRDefault="00B3417A" w:rsidP="005F546A">
            <w:pPr>
              <w:pStyle w:val="BodyText"/>
              <w:spacing w:before="1"/>
              <w:ind w:left="0"/>
              <w:rPr>
                <w:lang w:val="sr-Latn-ME"/>
              </w:rPr>
            </w:pPr>
            <w:r w:rsidRPr="00F3439A">
              <w:rPr>
                <w:lang w:val="sr-Latn-ME"/>
              </w:rPr>
              <w:t>Glavobolja</w:t>
            </w:r>
          </w:p>
        </w:tc>
      </w:tr>
      <w:tr w:rsidR="00B3417A" w:rsidRPr="00F3439A" w14:paraId="231A5929" w14:textId="77777777" w:rsidTr="00F3439A">
        <w:tc>
          <w:tcPr>
            <w:tcW w:w="4927" w:type="dxa"/>
            <w:tcBorders>
              <w:right w:val="nil"/>
            </w:tcBorders>
          </w:tcPr>
          <w:p w14:paraId="6A679A9F" w14:textId="77777777" w:rsidR="00B3417A" w:rsidRPr="00F3439A" w:rsidRDefault="00B3417A" w:rsidP="005F546A">
            <w:pPr>
              <w:pStyle w:val="BodyText"/>
              <w:spacing w:before="1"/>
              <w:ind w:left="0"/>
              <w:rPr>
                <w:lang w:val="sr-Latn-ME"/>
              </w:rPr>
            </w:pPr>
            <w:r w:rsidRPr="00F3439A">
              <w:rPr>
                <w:lang w:val="sr-Latn-ME"/>
              </w:rPr>
              <w:t>Gastrointestinalni poremećaji</w:t>
            </w:r>
          </w:p>
          <w:p w14:paraId="23A3B868" w14:textId="77777777" w:rsidR="00B3417A" w:rsidRPr="00F3439A" w:rsidRDefault="00B3417A" w:rsidP="005F546A">
            <w:pPr>
              <w:pStyle w:val="BodyText"/>
              <w:spacing w:before="1"/>
              <w:ind w:left="0"/>
              <w:rPr>
                <w:lang w:val="sr-Latn-ME"/>
              </w:rPr>
            </w:pPr>
            <w:r w:rsidRPr="00F3439A">
              <w:rPr>
                <w:lang w:val="sr-Latn-ME"/>
              </w:rPr>
              <w:t>(Često, ≥1/100 do &lt;1/10)</w:t>
            </w:r>
          </w:p>
        </w:tc>
        <w:tc>
          <w:tcPr>
            <w:tcW w:w="4928" w:type="dxa"/>
            <w:tcBorders>
              <w:left w:val="nil"/>
            </w:tcBorders>
          </w:tcPr>
          <w:p w14:paraId="5AE634D0" w14:textId="77777777" w:rsidR="00B3417A" w:rsidRPr="00F3439A" w:rsidRDefault="00B3417A" w:rsidP="005F546A">
            <w:pPr>
              <w:pStyle w:val="BodyText"/>
              <w:spacing w:before="1"/>
              <w:ind w:left="0"/>
              <w:rPr>
                <w:lang w:val="sr-Latn-ME"/>
              </w:rPr>
            </w:pPr>
          </w:p>
          <w:p w14:paraId="4C84F0E5" w14:textId="77777777" w:rsidR="00B3417A" w:rsidRPr="00F3439A" w:rsidRDefault="00B3417A" w:rsidP="005F546A">
            <w:pPr>
              <w:pStyle w:val="BodyText"/>
              <w:spacing w:before="1"/>
              <w:ind w:left="0"/>
              <w:rPr>
                <w:lang w:val="sr-Latn-ME"/>
              </w:rPr>
            </w:pPr>
            <w:r w:rsidRPr="00F3439A">
              <w:rPr>
                <w:lang w:val="sr-Latn-ME"/>
              </w:rPr>
              <w:t>Mučnina</w:t>
            </w:r>
          </w:p>
        </w:tc>
      </w:tr>
      <w:tr w:rsidR="00B3417A" w:rsidRPr="00F3439A" w14:paraId="4B4AC285" w14:textId="77777777" w:rsidTr="00F3439A">
        <w:tc>
          <w:tcPr>
            <w:tcW w:w="4927" w:type="dxa"/>
            <w:tcBorders>
              <w:right w:val="nil"/>
            </w:tcBorders>
          </w:tcPr>
          <w:p w14:paraId="44DB36D0" w14:textId="77777777" w:rsidR="00B3417A" w:rsidRPr="00F3439A" w:rsidRDefault="00B3417A" w:rsidP="005F546A">
            <w:pPr>
              <w:pStyle w:val="BodyText"/>
              <w:spacing w:before="1"/>
              <w:ind w:left="0"/>
              <w:rPr>
                <w:lang w:val="sr-Latn-ME"/>
              </w:rPr>
            </w:pPr>
            <w:r w:rsidRPr="00F3439A">
              <w:rPr>
                <w:lang w:val="sr-Latn-ME"/>
              </w:rPr>
              <w:t>Poremećaji kože i potkožnog tkiva</w:t>
            </w:r>
          </w:p>
          <w:p w14:paraId="28D296E4" w14:textId="77777777" w:rsidR="00B3417A" w:rsidRPr="00F3439A" w:rsidRDefault="00B3417A" w:rsidP="005F546A">
            <w:pPr>
              <w:pStyle w:val="BodyText"/>
              <w:spacing w:before="1"/>
              <w:ind w:left="0"/>
              <w:rPr>
                <w:lang w:val="sr-Latn-ME"/>
              </w:rPr>
            </w:pPr>
            <w:r w:rsidRPr="00F3439A">
              <w:rPr>
                <w:lang w:val="sr-Latn-ME"/>
              </w:rPr>
              <w:t>(Često, ≥1/100 do &lt;1/10)</w:t>
            </w:r>
          </w:p>
          <w:p w14:paraId="31F36DB0" w14:textId="77777777" w:rsidR="00B3417A" w:rsidRPr="00F3439A" w:rsidRDefault="00B3417A" w:rsidP="005F546A">
            <w:pPr>
              <w:pStyle w:val="BodyText"/>
              <w:spacing w:before="1"/>
              <w:ind w:left="0"/>
              <w:rPr>
                <w:lang w:val="sr-Latn-ME"/>
              </w:rPr>
            </w:pPr>
          </w:p>
          <w:p w14:paraId="62C3D001" w14:textId="77777777" w:rsidR="00B3417A" w:rsidRPr="00F3439A" w:rsidRDefault="00B3417A" w:rsidP="005F546A">
            <w:pPr>
              <w:pStyle w:val="BodyText"/>
              <w:spacing w:before="1"/>
              <w:ind w:left="0"/>
              <w:rPr>
                <w:lang w:val="sr-Latn-ME"/>
              </w:rPr>
            </w:pPr>
          </w:p>
          <w:p w14:paraId="0D0F92C1" w14:textId="486D3F09" w:rsidR="00B3417A" w:rsidRPr="00F3439A" w:rsidRDefault="00B3417A" w:rsidP="005F546A">
            <w:pPr>
              <w:pStyle w:val="BodyText"/>
              <w:spacing w:before="1"/>
              <w:ind w:left="0"/>
              <w:rPr>
                <w:lang w:val="sr-Latn-ME"/>
              </w:rPr>
            </w:pPr>
            <w:r w:rsidRPr="00F3439A">
              <w:rPr>
                <w:i/>
                <w:iCs/>
                <w:lang w:val="sr-Latn-ME"/>
              </w:rPr>
              <w:t>(Nepoznato, ne može se proc</w:t>
            </w:r>
            <w:r w:rsidR="00D028E0">
              <w:rPr>
                <w:i/>
                <w:iCs/>
                <w:lang w:val="sr-Latn-ME"/>
              </w:rPr>
              <w:t>i</w:t>
            </w:r>
            <w:r w:rsidR="00E278AD" w:rsidRPr="00F3439A">
              <w:rPr>
                <w:i/>
                <w:iCs/>
                <w:lang w:val="sr-Latn-ME"/>
              </w:rPr>
              <w:t>j</w:t>
            </w:r>
            <w:r w:rsidRPr="00F3439A">
              <w:rPr>
                <w:i/>
                <w:iCs/>
                <w:lang w:val="sr-Latn-ME"/>
              </w:rPr>
              <w:t>eniti na osnovu dostupnih podataka)</w:t>
            </w:r>
          </w:p>
        </w:tc>
        <w:tc>
          <w:tcPr>
            <w:tcW w:w="4928" w:type="dxa"/>
            <w:tcBorders>
              <w:left w:val="nil"/>
            </w:tcBorders>
          </w:tcPr>
          <w:p w14:paraId="297DA82B" w14:textId="77777777" w:rsidR="00B3417A" w:rsidRPr="00F3439A" w:rsidRDefault="00B3417A" w:rsidP="005F546A">
            <w:pPr>
              <w:pStyle w:val="BodyText"/>
              <w:spacing w:before="1"/>
              <w:ind w:left="0"/>
              <w:rPr>
                <w:lang w:val="sr-Latn-ME"/>
              </w:rPr>
            </w:pPr>
          </w:p>
          <w:p w14:paraId="54A939FC" w14:textId="77777777" w:rsidR="00B3417A" w:rsidRPr="00F3439A" w:rsidRDefault="00B3417A" w:rsidP="005F546A">
            <w:pPr>
              <w:pStyle w:val="BodyText"/>
              <w:spacing w:before="1"/>
              <w:ind w:left="0"/>
              <w:rPr>
                <w:lang w:val="sr-Latn-ME"/>
              </w:rPr>
            </w:pPr>
            <w:r w:rsidRPr="00F3439A">
              <w:rPr>
                <w:lang w:val="sr-Latn-ME"/>
              </w:rPr>
              <w:t>Osip</w:t>
            </w:r>
          </w:p>
          <w:p w14:paraId="7B225382" w14:textId="77777777" w:rsidR="00B3417A" w:rsidRPr="00F3439A" w:rsidRDefault="00B3417A" w:rsidP="005F546A">
            <w:pPr>
              <w:pStyle w:val="BodyText"/>
              <w:spacing w:before="1"/>
              <w:ind w:left="0"/>
              <w:rPr>
                <w:lang w:val="sr-Latn-ME"/>
              </w:rPr>
            </w:pPr>
            <w:proofErr w:type="spellStart"/>
            <w:r w:rsidRPr="00F3439A">
              <w:rPr>
                <w:lang w:val="sr-Latn-ME"/>
              </w:rPr>
              <w:t>Eritem</w:t>
            </w:r>
            <w:proofErr w:type="spellEnd"/>
          </w:p>
          <w:p w14:paraId="6EEA8FB2" w14:textId="77777777" w:rsidR="00B3417A" w:rsidRPr="00F3439A" w:rsidRDefault="00B3417A" w:rsidP="005F546A">
            <w:pPr>
              <w:pStyle w:val="BodyText"/>
              <w:spacing w:before="1"/>
              <w:ind w:left="0"/>
              <w:rPr>
                <w:lang w:val="sr-Latn-ME"/>
              </w:rPr>
            </w:pPr>
            <w:r w:rsidRPr="00F3439A">
              <w:rPr>
                <w:lang w:val="sr-Latn-ME"/>
              </w:rPr>
              <w:t>Svrab</w:t>
            </w:r>
          </w:p>
          <w:p w14:paraId="3797880A" w14:textId="77777777" w:rsidR="00B3417A" w:rsidRPr="00F3439A" w:rsidRDefault="00B3417A" w:rsidP="005F546A">
            <w:pPr>
              <w:pStyle w:val="BodyText"/>
              <w:spacing w:before="1"/>
              <w:ind w:left="0"/>
              <w:rPr>
                <w:i/>
                <w:iCs/>
                <w:lang w:val="sr-Latn-ME"/>
              </w:rPr>
            </w:pPr>
            <w:r w:rsidRPr="00F3439A">
              <w:rPr>
                <w:i/>
                <w:iCs/>
                <w:lang w:val="sr-Latn-ME"/>
              </w:rPr>
              <w:t>Urtikarija</w:t>
            </w:r>
          </w:p>
        </w:tc>
      </w:tr>
      <w:tr w:rsidR="00B3417A" w:rsidRPr="00F3439A" w14:paraId="5121D841" w14:textId="77777777" w:rsidTr="00F3439A">
        <w:tc>
          <w:tcPr>
            <w:tcW w:w="4927" w:type="dxa"/>
            <w:tcBorders>
              <w:right w:val="nil"/>
            </w:tcBorders>
          </w:tcPr>
          <w:p w14:paraId="0E154ED2" w14:textId="35A937C3" w:rsidR="00B3417A" w:rsidRPr="00F3439A" w:rsidRDefault="00B3417A" w:rsidP="005F546A">
            <w:pPr>
              <w:pStyle w:val="BodyText"/>
              <w:spacing w:before="1"/>
              <w:ind w:left="0"/>
              <w:rPr>
                <w:lang w:val="sr-Latn-ME"/>
              </w:rPr>
            </w:pPr>
            <w:r w:rsidRPr="00F3439A">
              <w:rPr>
                <w:lang w:val="sr-Latn-ME"/>
              </w:rPr>
              <w:t>Opšti poremećaji i reakcije na m</w:t>
            </w:r>
            <w:r w:rsidR="00E278AD" w:rsidRPr="00F3439A">
              <w:rPr>
                <w:lang w:val="sr-Latn-ME"/>
              </w:rPr>
              <w:t>j</w:t>
            </w:r>
            <w:r w:rsidRPr="00F3439A">
              <w:rPr>
                <w:lang w:val="sr-Latn-ME"/>
              </w:rPr>
              <w:t>estu prim</w:t>
            </w:r>
            <w:r w:rsidR="00E278AD" w:rsidRPr="00F3439A">
              <w:rPr>
                <w:lang w:val="sr-Latn-ME"/>
              </w:rPr>
              <w:t>j</w:t>
            </w:r>
            <w:r w:rsidRPr="00F3439A">
              <w:rPr>
                <w:lang w:val="sr-Latn-ME"/>
              </w:rPr>
              <w:t>ene</w:t>
            </w:r>
          </w:p>
          <w:p w14:paraId="627D9458" w14:textId="77777777" w:rsidR="00B3417A" w:rsidRPr="00F3439A" w:rsidRDefault="00B3417A" w:rsidP="005F546A">
            <w:pPr>
              <w:pStyle w:val="BodyText"/>
              <w:spacing w:before="1"/>
              <w:ind w:left="0"/>
              <w:rPr>
                <w:lang w:val="sr-Latn-ME"/>
              </w:rPr>
            </w:pPr>
            <w:r w:rsidRPr="00F3439A">
              <w:rPr>
                <w:lang w:val="sr-Latn-ME"/>
              </w:rPr>
              <w:t>(Veoma često, ≥1/10)</w:t>
            </w:r>
          </w:p>
          <w:p w14:paraId="06B0EDCE" w14:textId="77777777" w:rsidR="00B3417A" w:rsidRPr="00F3439A" w:rsidRDefault="00B3417A" w:rsidP="005F546A">
            <w:pPr>
              <w:pStyle w:val="BodyText"/>
              <w:spacing w:before="1"/>
              <w:ind w:left="0"/>
              <w:rPr>
                <w:lang w:val="sr-Latn-ME"/>
              </w:rPr>
            </w:pPr>
            <w:r w:rsidRPr="00F3439A">
              <w:rPr>
                <w:lang w:val="sr-Latn-ME"/>
              </w:rPr>
              <w:t>(Često, ≥1/100 do &lt;1/10)</w:t>
            </w:r>
          </w:p>
        </w:tc>
        <w:tc>
          <w:tcPr>
            <w:tcW w:w="4928" w:type="dxa"/>
            <w:tcBorders>
              <w:left w:val="nil"/>
            </w:tcBorders>
          </w:tcPr>
          <w:p w14:paraId="4C9FB8A6" w14:textId="77777777" w:rsidR="00B3417A" w:rsidRPr="00F3439A" w:rsidRDefault="00B3417A" w:rsidP="005F546A">
            <w:pPr>
              <w:pStyle w:val="BodyText"/>
              <w:spacing w:before="1"/>
              <w:ind w:left="0"/>
              <w:rPr>
                <w:lang w:val="sr-Latn-ME"/>
              </w:rPr>
            </w:pPr>
          </w:p>
          <w:p w14:paraId="267B96B7" w14:textId="37CD0B48" w:rsidR="00B3417A" w:rsidRPr="00F3439A" w:rsidRDefault="00B3417A" w:rsidP="005F546A">
            <w:pPr>
              <w:pStyle w:val="BodyText"/>
              <w:spacing w:before="1"/>
              <w:ind w:left="0"/>
              <w:rPr>
                <w:lang w:val="sr-Latn-ME"/>
              </w:rPr>
            </w:pPr>
            <w:r w:rsidRPr="00F3439A">
              <w:rPr>
                <w:lang w:val="sr-Latn-ME"/>
              </w:rPr>
              <w:t>Reakcije na m</w:t>
            </w:r>
            <w:r w:rsidR="00E278AD" w:rsidRPr="00F3439A">
              <w:rPr>
                <w:lang w:val="sr-Latn-ME"/>
              </w:rPr>
              <w:t>j</w:t>
            </w:r>
            <w:r w:rsidRPr="00F3439A">
              <w:rPr>
                <w:lang w:val="sr-Latn-ME"/>
              </w:rPr>
              <w:t>estu ubrizgavanja injekcije*</w:t>
            </w:r>
          </w:p>
          <w:p w14:paraId="6E51BF39" w14:textId="5036A205" w:rsidR="00B3417A" w:rsidRPr="00F3439A" w:rsidRDefault="00B3417A" w:rsidP="005F546A">
            <w:pPr>
              <w:pStyle w:val="BodyText"/>
              <w:spacing w:before="1"/>
              <w:ind w:left="0"/>
              <w:rPr>
                <w:lang w:val="sr-Latn-ME"/>
              </w:rPr>
            </w:pPr>
            <w:r w:rsidRPr="00F3439A">
              <w:rPr>
                <w:lang w:val="sr-Latn-ME"/>
              </w:rPr>
              <w:t>Povišena t</w:t>
            </w:r>
            <w:r w:rsidR="00E278AD" w:rsidRPr="00F3439A">
              <w:rPr>
                <w:lang w:val="sr-Latn-ME"/>
              </w:rPr>
              <w:t>j</w:t>
            </w:r>
            <w:r w:rsidRPr="00F3439A">
              <w:rPr>
                <w:lang w:val="sr-Latn-ME"/>
              </w:rPr>
              <w:t>elesna temperatura</w:t>
            </w:r>
          </w:p>
        </w:tc>
      </w:tr>
      <w:tr w:rsidR="00B3417A" w:rsidRPr="00F3439A" w14:paraId="13AA787E" w14:textId="77777777" w:rsidTr="00F3439A">
        <w:tc>
          <w:tcPr>
            <w:tcW w:w="4927" w:type="dxa"/>
            <w:tcBorders>
              <w:right w:val="nil"/>
            </w:tcBorders>
          </w:tcPr>
          <w:p w14:paraId="1A721AD8" w14:textId="77777777" w:rsidR="00B3417A" w:rsidRPr="00F3439A" w:rsidRDefault="00B3417A" w:rsidP="005F546A">
            <w:pPr>
              <w:pStyle w:val="BodyText"/>
              <w:spacing w:before="1"/>
              <w:ind w:left="0"/>
              <w:rPr>
                <w:lang w:val="sr-Latn-ME"/>
              </w:rPr>
            </w:pPr>
            <w:r w:rsidRPr="00F3439A">
              <w:rPr>
                <w:lang w:val="sr-Latn-ME"/>
              </w:rPr>
              <w:t>Ispitivanja</w:t>
            </w:r>
          </w:p>
          <w:p w14:paraId="267C9328" w14:textId="77777777" w:rsidR="00B3417A" w:rsidRPr="00F3439A" w:rsidRDefault="00B3417A" w:rsidP="005F546A">
            <w:pPr>
              <w:pStyle w:val="BodyText"/>
              <w:spacing w:before="1"/>
              <w:ind w:left="0"/>
              <w:rPr>
                <w:lang w:val="sr-Latn-ME"/>
              </w:rPr>
            </w:pPr>
            <w:r w:rsidRPr="00F3439A">
              <w:rPr>
                <w:lang w:val="sr-Latn-ME"/>
              </w:rPr>
              <w:t>(Često, ≥1/100 do &lt;1/10)</w:t>
            </w:r>
          </w:p>
        </w:tc>
        <w:tc>
          <w:tcPr>
            <w:tcW w:w="4928" w:type="dxa"/>
            <w:tcBorders>
              <w:left w:val="nil"/>
            </w:tcBorders>
          </w:tcPr>
          <w:p w14:paraId="14263256" w14:textId="77777777" w:rsidR="00B3417A" w:rsidRPr="00F3439A" w:rsidRDefault="00B3417A" w:rsidP="005F546A">
            <w:pPr>
              <w:pStyle w:val="BodyText"/>
              <w:spacing w:before="1"/>
              <w:ind w:left="0"/>
              <w:rPr>
                <w:lang w:val="sr-Latn-ME"/>
              </w:rPr>
            </w:pPr>
          </w:p>
          <w:p w14:paraId="1865C7B0" w14:textId="77777777" w:rsidR="00B3417A" w:rsidRPr="00F3439A" w:rsidRDefault="00B3417A" w:rsidP="005F546A">
            <w:pPr>
              <w:pStyle w:val="BodyText"/>
              <w:spacing w:before="1"/>
              <w:ind w:left="0"/>
              <w:rPr>
                <w:lang w:val="sr-Latn-ME"/>
              </w:rPr>
            </w:pPr>
            <w:r w:rsidRPr="00F3439A">
              <w:rPr>
                <w:lang w:val="sr-Latn-ME"/>
              </w:rPr>
              <w:t xml:space="preserve">Povećane </w:t>
            </w:r>
            <w:proofErr w:type="spellStart"/>
            <w:r w:rsidRPr="00F3439A">
              <w:rPr>
                <w:lang w:val="sr-Latn-ME"/>
              </w:rPr>
              <w:t>transaminaze</w:t>
            </w:r>
            <w:proofErr w:type="spellEnd"/>
          </w:p>
        </w:tc>
      </w:tr>
      <w:tr w:rsidR="00B3417A" w:rsidRPr="00F3439A" w14:paraId="791AE20C" w14:textId="77777777" w:rsidTr="00F3439A">
        <w:tc>
          <w:tcPr>
            <w:tcW w:w="9855" w:type="dxa"/>
            <w:gridSpan w:val="2"/>
          </w:tcPr>
          <w:p w14:paraId="0DDD2D2D" w14:textId="120A554C" w:rsidR="00B3417A" w:rsidRPr="00F3439A" w:rsidRDefault="00B3417A" w:rsidP="005F546A">
            <w:pPr>
              <w:pStyle w:val="BodyText"/>
              <w:spacing w:before="1"/>
              <w:ind w:left="0"/>
              <w:rPr>
                <w:lang w:val="sr-Latn-ME"/>
              </w:rPr>
            </w:pPr>
            <w:r w:rsidRPr="00F3439A">
              <w:rPr>
                <w:lang w:val="sr-Latn-ME"/>
              </w:rPr>
              <w:t>* Modrice na m</w:t>
            </w:r>
            <w:r w:rsidR="00E278AD" w:rsidRPr="00F3439A">
              <w:rPr>
                <w:lang w:val="sr-Latn-ME"/>
              </w:rPr>
              <w:t>j</w:t>
            </w:r>
            <w:r w:rsidRPr="00F3439A">
              <w:rPr>
                <w:lang w:val="sr-Latn-ME"/>
              </w:rPr>
              <w:t xml:space="preserve">estu uboda, </w:t>
            </w:r>
            <w:proofErr w:type="spellStart"/>
            <w:r w:rsidRPr="00F3439A">
              <w:rPr>
                <w:lang w:val="sr-Latn-ME"/>
              </w:rPr>
              <w:t>hematom</w:t>
            </w:r>
            <w:proofErr w:type="spellEnd"/>
            <w:r w:rsidRPr="00F3439A">
              <w:rPr>
                <w:lang w:val="sr-Latn-ME"/>
              </w:rPr>
              <w:t xml:space="preserve"> na m</w:t>
            </w:r>
            <w:r w:rsidR="00E278AD" w:rsidRPr="00F3439A">
              <w:rPr>
                <w:lang w:val="sr-Latn-ME"/>
              </w:rPr>
              <w:t>j</w:t>
            </w:r>
            <w:r w:rsidRPr="00F3439A">
              <w:rPr>
                <w:lang w:val="sr-Latn-ME"/>
              </w:rPr>
              <w:t>estu uboda, peckanje na m</w:t>
            </w:r>
            <w:r w:rsidR="00E278AD" w:rsidRPr="00F3439A">
              <w:rPr>
                <w:lang w:val="sr-Latn-ME"/>
              </w:rPr>
              <w:t>j</w:t>
            </w:r>
            <w:r w:rsidRPr="00F3439A">
              <w:rPr>
                <w:lang w:val="sr-Latn-ME"/>
              </w:rPr>
              <w:t xml:space="preserve">estu uboda, </w:t>
            </w:r>
            <w:proofErr w:type="spellStart"/>
            <w:r w:rsidRPr="00F3439A">
              <w:rPr>
                <w:lang w:val="sr-Latn-ME"/>
              </w:rPr>
              <w:t>eritem</w:t>
            </w:r>
            <w:proofErr w:type="spellEnd"/>
            <w:r w:rsidRPr="00F3439A">
              <w:rPr>
                <w:lang w:val="sr-Latn-ME"/>
              </w:rPr>
              <w:t xml:space="preserve"> na m</w:t>
            </w:r>
            <w:r w:rsidR="00E278AD" w:rsidRPr="00F3439A">
              <w:rPr>
                <w:lang w:val="sr-Latn-ME"/>
              </w:rPr>
              <w:t>j</w:t>
            </w:r>
            <w:r w:rsidRPr="00F3439A">
              <w:rPr>
                <w:lang w:val="sr-Latn-ME"/>
              </w:rPr>
              <w:t xml:space="preserve">estu uboda, </w:t>
            </w:r>
            <w:proofErr w:type="spellStart"/>
            <w:r w:rsidRPr="00F3439A">
              <w:rPr>
                <w:lang w:val="sr-Latn-ME"/>
              </w:rPr>
              <w:t>hipoestezija</w:t>
            </w:r>
            <w:proofErr w:type="spellEnd"/>
            <w:r w:rsidRPr="00F3439A">
              <w:rPr>
                <w:lang w:val="sr-Latn-ME"/>
              </w:rPr>
              <w:t xml:space="preserve"> na m</w:t>
            </w:r>
            <w:r w:rsidR="00E278AD" w:rsidRPr="00F3439A">
              <w:rPr>
                <w:lang w:val="sr-Latn-ME"/>
              </w:rPr>
              <w:t>j</w:t>
            </w:r>
            <w:r w:rsidRPr="00F3439A">
              <w:rPr>
                <w:lang w:val="sr-Latn-ME"/>
              </w:rPr>
              <w:t>estu uboda, iritacija na m</w:t>
            </w:r>
            <w:r w:rsidR="00E278AD" w:rsidRPr="00F3439A">
              <w:rPr>
                <w:lang w:val="sr-Latn-ME"/>
              </w:rPr>
              <w:t>j</w:t>
            </w:r>
            <w:r w:rsidRPr="00F3439A">
              <w:rPr>
                <w:lang w:val="sr-Latn-ME"/>
              </w:rPr>
              <w:t xml:space="preserve">estu uboda, </w:t>
            </w:r>
            <w:proofErr w:type="spellStart"/>
            <w:r w:rsidRPr="00F3439A">
              <w:rPr>
                <w:lang w:val="sr-Latn-ME"/>
              </w:rPr>
              <w:t>utrnulost</w:t>
            </w:r>
            <w:proofErr w:type="spellEnd"/>
            <w:r w:rsidRPr="00F3439A">
              <w:rPr>
                <w:lang w:val="sr-Latn-ME"/>
              </w:rPr>
              <w:t xml:space="preserve"> na m</w:t>
            </w:r>
            <w:r w:rsidR="00E278AD" w:rsidRPr="00F3439A">
              <w:rPr>
                <w:lang w:val="sr-Latn-ME"/>
              </w:rPr>
              <w:t>j</w:t>
            </w:r>
            <w:r w:rsidRPr="00F3439A">
              <w:rPr>
                <w:lang w:val="sr-Latn-ME"/>
              </w:rPr>
              <w:t xml:space="preserve">estu uboda, </w:t>
            </w:r>
            <w:proofErr w:type="spellStart"/>
            <w:r w:rsidRPr="00F3439A">
              <w:rPr>
                <w:lang w:val="sr-Latn-ME"/>
              </w:rPr>
              <w:t>edem</w:t>
            </w:r>
            <w:proofErr w:type="spellEnd"/>
            <w:r w:rsidRPr="00F3439A">
              <w:rPr>
                <w:lang w:val="sr-Latn-ME"/>
              </w:rPr>
              <w:t xml:space="preserve"> na m</w:t>
            </w:r>
            <w:r w:rsidR="00E278AD" w:rsidRPr="00F3439A">
              <w:rPr>
                <w:lang w:val="sr-Latn-ME"/>
              </w:rPr>
              <w:t>j</w:t>
            </w:r>
            <w:r w:rsidRPr="00F3439A">
              <w:rPr>
                <w:lang w:val="sr-Latn-ME"/>
              </w:rPr>
              <w:t>estu uboda, bol na m</w:t>
            </w:r>
            <w:r w:rsidR="00E278AD" w:rsidRPr="00F3439A">
              <w:rPr>
                <w:lang w:val="sr-Latn-ME"/>
              </w:rPr>
              <w:t>j</w:t>
            </w:r>
            <w:r w:rsidRPr="00F3439A">
              <w:rPr>
                <w:lang w:val="sr-Latn-ME"/>
              </w:rPr>
              <w:t>estu uboda, os</w:t>
            </w:r>
            <w:r w:rsidR="00D028E0">
              <w:rPr>
                <w:lang w:val="sr-Latn-ME"/>
              </w:rPr>
              <w:t>j</w:t>
            </w:r>
            <w:r w:rsidRPr="00F3439A">
              <w:rPr>
                <w:lang w:val="sr-Latn-ME"/>
              </w:rPr>
              <w:t>ećaj pritiska na m</w:t>
            </w:r>
            <w:r w:rsidR="00E278AD" w:rsidRPr="00F3439A">
              <w:rPr>
                <w:lang w:val="sr-Latn-ME"/>
              </w:rPr>
              <w:t>j</w:t>
            </w:r>
            <w:r w:rsidRPr="00F3439A">
              <w:rPr>
                <w:lang w:val="sr-Latn-ME"/>
              </w:rPr>
              <w:t xml:space="preserve">estu uboda, svrab na </w:t>
            </w:r>
            <w:r w:rsidR="00E278AD" w:rsidRPr="00F3439A">
              <w:rPr>
                <w:lang w:val="sr-Latn-ME"/>
              </w:rPr>
              <w:t>mjestu</w:t>
            </w:r>
            <w:r w:rsidRPr="00F3439A">
              <w:rPr>
                <w:lang w:val="sr-Latn-ME"/>
              </w:rPr>
              <w:t xml:space="preserve"> uboda, oteklina na </w:t>
            </w:r>
            <w:r w:rsidR="00E278AD" w:rsidRPr="00F3439A">
              <w:rPr>
                <w:lang w:val="sr-Latn-ME"/>
              </w:rPr>
              <w:t>mjestu</w:t>
            </w:r>
            <w:r w:rsidRPr="00F3439A">
              <w:rPr>
                <w:lang w:val="sr-Latn-ME"/>
              </w:rPr>
              <w:t xml:space="preserve"> uboda, urtikarija na </w:t>
            </w:r>
            <w:r w:rsidR="00E278AD" w:rsidRPr="00F3439A">
              <w:rPr>
                <w:lang w:val="sr-Latn-ME"/>
              </w:rPr>
              <w:t>mjestu</w:t>
            </w:r>
            <w:r w:rsidRPr="00F3439A">
              <w:rPr>
                <w:lang w:val="sr-Latn-ME"/>
              </w:rPr>
              <w:t xml:space="preserve"> uboda i os</w:t>
            </w:r>
            <w:r w:rsidR="00D028E0">
              <w:rPr>
                <w:lang w:val="sr-Latn-ME"/>
              </w:rPr>
              <w:t>j</w:t>
            </w:r>
            <w:r w:rsidRPr="00F3439A">
              <w:rPr>
                <w:lang w:val="sr-Latn-ME"/>
              </w:rPr>
              <w:t xml:space="preserve">ećaj toplote na </w:t>
            </w:r>
            <w:r w:rsidR="00E278AD" w:rsidRPr="00F3439A">
              <w:rPr>
                <w:lang w:val="sr-Latn-ME"/>
              </w:rPr>
              <w:t>mjestu</w:t>
            </w:r>
            <w:r w:rsidRPr="00F3439A">
              <w:rPr>
                <w:lang w:val="sr-Latn-ME"/>
              </w:rPr>
              <w:t xml:space="preserve"> uboda.</w:t>
            </w:r>
          </w:p>
        </w:tc>
      </w:tr>
    </w:tbl>
    <w:p w14:paraId="175EEA3C" w14:textId="77777777" w:rsidR="00B3417A" w:rsidRPr="00F3439A" w:rsidRDefault="00B3417A" w:rsidP="005F546A">
      <w:pPr>
        <w:jc w:val="both"/>
        <w:rPr>
          <w:sz w:val="22"/>
          <w:szCs w:val="22"/>
          <w:u w:val="single"/>
          <w:lang w:val="sr-Latn-ME"/>
        </w:rPr>
      </w:pPr>
    </w:p>
    <w:p w14:paraId="2F4CCDA6" w14:textId="77777777" w:rsidR="00B3417A" w:rsidRPr="00F3439A" w:rsidRDefault="00B3417A" w:rsidP="005F546A">
      <w:pPr>
        <w:jc w:val="both"/>
        <w:rPr>
          <w:sz w:val="22"/>
          <w:szCs w:val="22"/>
          <w:u w:val="single"/>
          <w:lang w:val="sr-Latn-ME"/>
        </w:rPr>
      </w:pPr>
      <w:r w:rsidRPr="00F3439A">
        <w:rPr>
          <w:sz w:val="22"/>
          <w:szCs w:val="22"/>
          <w:u w:val="single"/>
          <w:lang w:val="sr-Latn-ME"/>
        </w:rPr>
        <w:t>Pedijatrijska populacija</w:t>
      </w:r>
    </w:p>
    <w:p w14:paraId="307A2895" w14:textId="77777777" w:rsidR="00B3417A" w:rsidRPr="00F3439A" w:rsidRDefault="00B3417A" w:rsidP="005F546A">
      <w:pPr>
        <w:jc w:val="both"/>
        <w:rPr>
          <w:sz w:val="22"/>
          <w:szCs w:val="22"/>
          <w:lang w:val="sr-Latn-ME"/>
        </w:rPr>
      </w:pPr>
    </w:p>
    <w:p w14:paraId="59739659" w14:textId="6AD801C2" w:rsidR="00B3417A" w:rsidRPr="00F3439A" w:rsidRDefault="00B3417A" w:rsidP="005F546A">
      <w:pPr>
        <w:jc w:val="both"/>
        <w:rPr>
          <w:sz w:val="22"/>
          <w:szCs w:val="22"/>
          <w:lang w:val="sr-Latn-ME"/>
        </w:rPr>
      </w:pPr>
      <w:r w:rsidRPr="00F3439A">
        <w:rPr>
          <w:sz w:val="22"/>
          <w:szCs w:val="22"/>
          <w:lang w:val="sr-Latn-ME"/>
        </w:rPr>
        <w:t>Ukupno 32 pedijatrijska pacijenta (8 d</w:t>
      </w:r>
      <w:r w:rsidR="00E278AD" w:rsidRPr="00F3439A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 xml:space="preserve">ece uzrasta od 2 do 11 godina i 24 adolescenata uzrasta od 12 do 17 godina) sa </w:t>
      </w:r>
      <w:proofErr w:type="spellStart"/>
      <w:r w:rsidRPr="00F3439A">
        <w:rPr>
          <w:sz w:val="22"/>
          <w:szCs w:val="22"/>
          <w:lang w:val="sr-Latn-ME"/>
        </w:rPr>
        <w:t>nasl</w:t>
      </w:r>
      <w:r w:rsidR="003E6377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>ednim</w:t>
      </w:r>
      <w:proofErr w:type="spellEnd"/>
      <w:r w:rsidRPr="00F3439A">
        <w:rPr>
          <w:sz w:val="22"/>
          <w:szCs w:val="22"/>
          <w:lang w:val="sr-Latn-ME"/>
        </w:rPr>
        <w:t xml:space="preserve"> </w:t>
      </w:r>
      <w:proofErr w:type="spellStart"/>
      <w:r w:rsidRPr="00F3439A">
        <w:rPr>
          <w:sz w:val="22"/>
          <w:szCs w:val="22"/>
          <w:lang w:val="sr-Latn-ME"/>
        </w:rPr>
        <w:t>angioedemom</w:t>
      </w:r>
      <w:proofErr w:type="spellEnd"/>
      <w:r w:rsidRPr="00F3439A">
        <w:rPr>
          <w:sz w:val="22"/>
          <w:szCs w:val="22"/>
          <w:lang w:val="sr-Latn-ME"/>
        </w:rPr>
        <w:t xml:space="preserve"> izloženo je l</w:t>
      </w:r>
      <w:r w:rsidR="00E278AD" w:rsidRPr="00F3439A">
        <w:rPr>
          <w:sz w:val="22"/>
          <w:szCs w:val="22"/>
          <w:lang w:val="sr-Latn-ME"/>
        </w:rPr>
        <w:t>ij</w:t>
      </w:r>
      <w:r w:rsidRPr="00F3439A">
        <w:rPr>
          <w:sz w:val="22"/>
          <w:szCs w:val="22"/>
          <w:lang w:val="sr-Latn-ME"/>
        </w:rPr>
        <w:t xml:space="preserve">ečenju </w:t>
      </w:r>
      <w:proofErr w:type="spellStart"/>
      <w:r w:rsidRPr="00F3439A">
        <w:rPr>
          <w:sz w:val="22"/>
          <w:szCs w:val="22"/>
          <w:lang w:val="sr-Latn-ME"/>
        </w:rPr>
        <w:t>ikatibantom</w:t>
      </w:r>
      <w:proofErr w:type="spellEnd"/>
      <w:r w:rsidRPr="00F3439A">
        <w:rPr>
          <w:sz w:val="22"/>
          <w:szCs w:val="22"/>
          <w:lang w:val="sr-Latn-ME"/>
        </w:rPr>
        <w:t xml:space="preserve"> tokom kliničkih</w:t>
      </w:r>
    </w:p>
    <w:p w14:paraId="425BB357" w14:textId="55497BB4" w:rsidR="00B3417A" w:rsidRPr="00F3439A" w:rsidRDefault="00B3417A" w:rsidP="005F546A">
      <w:pPr>
        <w:jc w:val="both"/>
        <w:rPr>
          <w:sz w:val="22"/>
          <w:szCs w:val="22"/>
          <w:lang w:val="sr-Latn-ME"/>
        </w:rPr>
      </w:pPr>
      <w:r w:rsidRPr="00F3439A">
        <w:rPr>
          <w:sz w:val="22"/>
          <w:szCs w:val="22"/>
          <w:lang w:val="sr-Latn-ME"/>
        </w:rPr>
        <w:t xml:space="preserve">ispitivanja. Trideset i jedan pacijent dobio je jednu dozu </w:t>
      </w:r>
      <w:proofErr w:type="spellStart"/>
      <w:r w:rsidRPr="00F3439A">
        <w:rPr>
          <w:sz w:val="22"/>
          <w:szCs w:val="22"/>
          <w:lang w:val="sr-Latn-ME"/>
        </w:rPr>
        <w:t>ikatibanta</w:t>
      </w:r>
      <w:proofErr w:type="spellEnd"/>
      <w:r w:rsidRPr="00F3439A">
        <w:rPr>
          <w:sz w:val="22"/>
          <w:szCs w:val="22"/>
          <w:lang w:val="sr-Latn-ME"/>
        </w:rPr>
        <w:t xml:space="preserve"> i 1 pacijent (adolescent) je primio </w:t>
      </w:r>
      <w:proofErr w:type="spellStart"/>
      <w:r w:rsidRPr="00F3439A">
        <w:rPr>
          <w:sz w:val="22"/>
          <w:szCs w:val="22"/>
          <w:lang w:val="sr-Latn-ME"/>
        </w:rPr>
        <w:t>ikatibant</w:t>
      </w:r>
      <w:proofErr w:type="spellEnd"/>
      <w:r w:rsidRPr="00F3439A">
        <w:rPr>
          <w:sz w:val="22"/>
          <w:szCs w:val="22"/>
          <w:lang w:val="sr-Latn-ME"/>
        </w:rPr>
        <w:t xml:space="preserve"> za dva napada </w:t>
      </w:r>
      <w:proofErr w:type="spellStart"/>
      <w:r w:rsidRPr="00F3439A">
        <w:rPr>
          <w:sz w:val="22"/>
          <w:szCs w:val="22"/>
          <w:lang w:val="sr-Latn-ME"/>
        </w:rPr>
        <w:t>nasl</w:t>
      </w:r>
      <w:r w:rsidR="003E6377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>ednog</w:t>
      </w:r>
      <w:proofErr w:type="spellEnd"/>
      <w:r w:rsidRPr="00F3439A">
        <w:rPr>
          <w:sz w:val="22"/>
          <w:szCs w:val="22"/>
          <w:lang w:val="sr-Latn-ME"/>
        </w:rPr>
        <w:t xml:space="preserve"> </w:t>
      </w:r>
      <w:proofErr w:type="spellStart"/>
      <w:r w:rsidRPr="00F3439A">
        <w:rPr>
          <w:sz w:val="22"/>
          <w:szCs w:val="22"/>
          <w:lang w:val="sr-Latn-ME"/>
        </w:rPr>
        <w:t>angioedema</w:t>
      </w:r>
      <w:proofErr w:type="spellEnd"/>
      <w:r w:rsidRPr="00F3439A">
        <w:rPr>
          <w:sz w:val="22"/>
          <w:szCs w:val="22"/>
          <w:lang w:val="sr-Latn-ME"/>
        </w:rPr>
        <w:t xml:space="preserve"> (ukupno dv</w:t>
      </w:r>
      <w:r w:rsidR="00E278AD" w:rsidRPr="00F3439A">
        <w:rPr>
          <w:sz w:val="22"/>
          <w:szCs w:val="22"/>
          <w:lang w:val="sr-Latn-ME"/>
        </w:rPr>
        <w:t>ij</w:t>
      </w:r>
      <w:r w:rsidRPr="00F3439A">
        <w:rPr>
          <w:sz w:val="22"/>
          <w:szCs w:val="22"/>
          <w:lang w:val="sr-Latn-ME"/>
        </w:rPr>
        <w:t xml:space="preserve">e doze). </w:t>
      </w:r>
      <w:proofErr w:type="spellStart"/>
      <w:r w:rsidRPr="00F3439A">
        <w:rPr>
          <w:sz w:val="22"/>
          <w:szCs w:val="22"/>
          <w:lang w:val="sr-Latn-ME"/>
        </w:rPr>
        <w:t>Ikatibant</w:t>
      </w:r>
      <w:proofErr w:type="spellEnd"/>
      <w:r w:rsidRPr="00F3439A">
        <w:rPr>
          <w:sz w:val="22"/>
          <w:szCs w:val="22"/>
          <w:lang w:val="sr-Latn-ME"/>
        </w:rPr>
        <w:t xml:space="preserve"> SK je prim</w:t>
      </w:r>
      <w:r w:rsidR="00D028E0">
        <w:rPr>
          <w:sz w:val="22"/>
          <w:szCs w:val="22"/>
          <w:lang w:val="sr-Latn-ME"/>
        </w:rPr>
        <w:t>i</w:t>
      </w:r>
      <w:r w:rsidR="00E278AD" w:rsidRPr="00F3439A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 xml:space="preserve">enjen </w:t>
      </w:r>
      <w:proofErr w:type="spellStart"/>
      <w:r w:rsidRPr="00F3439A">
        <w:rPr>
          <w:sz w:val="22"/>
          <w:szCs w:val="22"/>
          <w:lang w:val="sr-Latn-ME"/>
        </w:rPr>
        <w:t>su</w:t>
      </w:r>
      <w:r w:rsidR="00492C60">
        <w:rPr>
          <w:sz w:val="22"/>
          <w:szCs w:val="22"/>
          <w:lang w:val="sr-Latn-ME"/>
        </w:rPr>
        <w:t>b</w:t>
      </w:r>
      <w:r w:rsidRPr="00F3439A">
        <w:rPr>
          <w:sz w:val="22"/>
          <w:szCs w:val="22"/>
          <w:lang w:val="sr-Latn-ME"/>
        </w:rPr>
        <w:t>kutanom</w:t>
      </w:r>
      <w:proofErr w:type="spellEnd"/>
      <w:r w:rsidRPr="00F3439A">
        <w:rPr>
          <w:sz w:val="22"/>
          <w:szCs w:val="22"/>
          <w:lang w:val="sr-Latn-ME"/>
        </w:rPr>
        <w:t xml:space="preserve"> injekcijom pri dozi od 0,4 mg/kg na temelju t</w:t>
      </w:r>
      <w:r w:rsidR="00E278AD" w:rsidRPr="00F3439A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>elesne mase do maksimalne doze od 30 mg.</w:t>
      </w:r>
    </w:p>
    <w:p w14:paraId="52FBF6BB" w14:textId="77777777" w:rsidR="00B3417A" w:rsidRPr="00F3439A" w:rsidRDefault="00B3417A" w:rsidP="005F546A">
      <w:pPr>
        <w:jc w:val="both"/>
        <w:rPr>
          <w:sz w:val="22"/>
          <w:szCs w:val="22"/>
          <w:lang w:val="sr-Latn-ME"/>
        </w:rPr>
      </w:pPr>
    </w:p>
    <w:p w14:paraId="273553E1" w14:textId="7F1B7B1C" w:rsidR="00B3417A" w:rsidRPr="00F3439A" w:rsidRDefault="00B3417A" w:rsidP="005F546A">
      <w:pPr>
        <w:jc w:val="both"/>
        <w:rPr>
          <w:sz w:val="22"/>
          <w:szCs w:val="22"/>
          <w:lang w:val="sr-Latn-ME"/>
        </w:rPr>
      </w:pPr>
      <w:r w:rsidRPr="00F3439A">
        <w:rPr>
          <w:sz w:val="22"/>
          <w:szCs w:val="22"/>
          <w:lang w:val="sr-Latn-ME"/>
        </w:rPr>
        <w:t>Većina pedijatrijskih pacijenata l</w:t>
      </w:r>
      <w:r w:rsidR="00E278AD" w:rsidRPr="00F3439A">
        <w:rPr>
          <w:sz w:val="22"/>
          <w:szCs w:val="22"/>
          <w:lang w:val="sr-Latn-ME"/>
        </w:rPr>
        <w:t>ij</w:t>
      </w:r>
      <w:r w:rsidRPr="00F3439A">
        <w:rPr>
          <w:sz w:val="22"/>
          <w:szCs w:val="22"/>
          <w:lang w:val="sr-Latn-ME"/>
        </w:rPr>
        <w:t xml:space="preserve">ečenih </w:t>
      </w:r>
      <w:proofErr w:type="spellStart"/>
      <w:r w:rsidRPr="00F3439A">
        <w:rPr>
          <w:sz w:val="22"/>
          <w:szCs w:val="22"/>
          <w:lang w:val="sr-Latn-ME"/>
        </w:rPr>
        <w:t>su</w:t>
      </w:r>
      <w:r w:rsidR="00492C60">
        <w:rPr>
          <w:sz w:val="22"/>
          <w:szCs w:val="22"/>
          <w:lang w:val="sr-Latn-ME"/>
        </w:rPr>
        <w:t>b</w:t>
      </w:r>
      <w:r w:rsidRPr="00F3439A">
        <w:rPr>
          <w:sz w:val="22"/>
          <w:szCs w:val="22"/>
          <w:lang w:val="sr-Latn-ME"/>
        </w:rPr>
        <w:t>kutano</w:t>
      </w:r>
      <w:proofErr w:type="spellEnd"/>
      <w:r w:rsidRPr="00F3439A">
        <w:rPr>
          <w:sz w:val="22"/>
          <w:szCs w:val="22"/>
          <w:lang w:val="sr-Latn-ME"/>
        </w:rPr>
        <w:t xml:space="preserve"> prim</w:t>
      </w:r>
      <w:r w:rsidR="00D028E0">
        <w:rPr>
          <w:sz w:val="22"/>
          <w:szCs w:val="22"/>
          <w:lang w:val="sr-Latn-ME"/>
        </w:rPr>
        <w:t>i</w:t>
      </w:r>
      <w:r w:rsidR="00E278AD" w:rsidRPr="00F3439A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 xml:space="preserve">enjenim </w:t>
      </w:r>
      <w:proofErr w:type="spellStart"/>
      <w:r w:rsidRPr="00F3439A">
        <w:rPr>
          <w:sz w:val="22"/>
          <w:szCs w:val="22"/>
          <w:lang w:val="sr-Latn-ME"/>
        </w:rPr>
        <w:t>ikatibantom</w:t>
      </w:r>
      <w:proofErr w:type="spellEnd"/>
      <w:r w:rsidRPr="00F3439A">
        <w:rPr>
          <w:sz w:val="22"/>
          <w:szCs w:val="22"/>
          <w:lang w:val="sr-Latn-ME"/>
        </w:rPr>
        <w:t xml:space="preserve"> imala je reakcije na </w:t>
      </w:r>
      <w:r w:rsidR="00E278AD" w:rsidRPr="00F3439A">
        <w:rPr>
          <w:sz w:val="22"/>
          <w:szCs w:val="22"/>
          <w:lang w:val="sr-Latn-ME"/>
        </w:rPr>
        <w:t>mjestu</w:t>
      </w:r>
      <w:r w:rsidRPr="00F3439A">
        <w:rPr>
          <w:sz w:val="22"/>
          <w:szCs w:val="22"/>
          <w:lang w:val="sr-Latn-ME"/>
        </w:rPr>
        <w:t xml:space="preserve"> ubrizgavanja kao što su </w:t>
      </w:r>
      <w:proofErr w:type="spellStart"/>
      <w:r w:rsidRPr="00F3439A">
        <w:rPr>
          <w:sz w:val="22"/>
          <w:szCs w:val="22"/>
          <w:lang w:val="sr-Latn-ME"/>
        </w:rPr>
        <w:t>eritem</w:t>
      </w:r>
      <w:proofErr w:type="spellEnd"/>
      <w:r w:rsidRPr="00F3439A">
        <w:rPr>
          <w:sz w:val="22"/>
          <w:szCs w:val="22"/>
          <w:lang w:val="sr-Latn-ME"/>
        </w:rPr>
        <w:t>, oticanje, os</w:t>
      </w:r>
      <w:r w:rsidR="00D028E0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>ećaj peckanja, bol na koži i svrab/</w:t>
      </w:r>
      <w:proofErr w:type="spellStart"/>
      <w:r w:rsidRPr="00F3439A">
        <w:rPr>
          <w:sz w:val="22"/>
          <w:szCs w:val="22"/>
          <w:lang w:val="sr-Latn-ME"/>
        </w:rPr>
        <w:t>pruritus</w:t>
      </w:r>
      <w:proofErr w:type="spellEnd"/>
      <w:r w:rsidRPr="00F3439A">
        <w:rPr>
          <w:sz w:val="22"/>
          <w:szCs w:val="22"/>
          <w:lang w:val="sr-Latn-ME"/>
        </w:rPr>
        <w:t>; ustanovljeno je da su te reakcije bile blage do um</w:t>
      </w:r>
      <w:r w:rsidR="00E278AD" w:rsidRPr="00F3439A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 xml:space="preserve">erene po težini i da su odgovarale reakcijama koje su prijavljivane kod odraslih pacijenata. Kod dva pedijatrijska pacijenta pojavile su se reakcije na </w:t>
      </w:r>
      <w:r w:rsidR="00E278AD" w:rsidRPr="00F3439A">
        <w:rPr>
          <w:sz w:val="22"/>
          <w:szCs w:val="22"/>
          <w:lang w:val="sr-Latn-ME"/>
        </w:rPr>
        <w:t>mjestu</w:t>
      </w:r>
      <w:r w:rsidRPr="00F3439A">
        <w:rPr>
          <w:sz w:val="22"/>
          <w:szCs w:val="22"/>
          <w:lang w:val="sr-Latn-ME"/>
        </w:rPr>
        <w:t xml:space="preserve"> injekcije koje su oc</w:t>
      </w:r>
      <w:r w:rsidR="00D028E0">
        <w:rPr>
          <w:sz w:val="22"/>
          <w:szCs w:val="22"/>
          <w:lang w:val="sr-Latn-ME"/>
        </w:rPr>
        <w:t>i</w:t>
      </w:r>
      <w:r w:rsidR="00E278AD" w:rsidRPr="00F3439A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 xml:space="preserve">enjene kao teške i koje su se potpuno povukle u roku od 6 sati. Te su reakcije bile </w:t>
      </w:r>
      <w:proofErr w:type="spellStart"/>
      <w:r w:rsidRPr="00F3439A">
        <w:rPr>
          <w:sz w:val="22"/>
          <w:szCs w:val="22"/>
          <w:lang w:val="sr-Latn-ME"/>
        </w:rPr>
        <w:t>eritem</w:t>
      </w:r>
      <w:proofErr w:type="spellEnd"/>
      <w:r w:rsidRPr="00F3439A">
        <w:rPr>
          <w:sz w:val="22"/>
          <w:szCs w:val="22"/>
          <w:lang w:val="sr-Latn-ME"/>
        </w:rPr>
        <w:t>, oticanje, os</w:t>
      </w:r>
      <w:r w:rsidR="00D028E0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>ećaj peckanja i toplote.</w:t>
      </w:r>
    </w:p>
    <w:p w14:paraId="43DFA073" w14:textId="77777777" w:rsidR="00B3417A" w:rsidRPr="00F3439A" w:rsidRDefault="00B3417A" w:rsidP="005F546A">
      <w:pPr>
        <w:jc w:val="both"/>
        <w:rPr>
          <w:sz w:val="22"/>
          <w:szCs w:val="22"/>
          <w:lang w:val="sr-Latn-ME"/>
        </w:rPr>
      </w:pPr>
    </w:p>
    <w:p w14:paraId="751B4114" w14:textId="28D792B6" w:rsidR="00B3417A" w:rsidRPr="00F3439A" w:rsidRDefault="00B3417A" w:rsidP="005F546A">
      <w:pPr>
        <w:jc w:val="both"/>
        <w:rPr>
          <w:sz w:val="22"/>
          <w:szCs w:val="22"/>
          <w:lang w:val="sr-Latn-ME"/>
        </w:rPr>
      </w:pPr>
      <w:r w:rsidRPr="00F3439A">
        <w:rPr>
          <w:sz w:val="22"/>
          <w:szCs w:val="22"/>
          <w:lang w:val="sr-Latn-ME"/>
        </w:rPr>
        <w:t>Tokom kliničkih ispitivanja nisu zapažene klinički značajne prom</w:t>
      </w:r>
      <w:r w:rsidR="00E278AD" w:rsidRPr="00F3439A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>ene u reproduktivnim hormonima.</w:t>
      </w:r>
    </w:p>
    <w:p w14:paraId="319C8C49" w14:textId="77777777" w:rsidR="00B3417A" w:rsidRPr="00F3439A" w:rsidRDefault="00B3417A" w:rsidP="005F546A">
      <w:pPr>
        <w:jc w:val="both"/>
        <w:rPr>
          <w:sz w:val="22"/>
          <w:szCs w:val="22"/>
          <w:lang w:val="sr-Latn-ME"/>
        </w:rPr>
      </w:pPr>
    </w:p>
    <w:p w14:paraId="5DBE9546" w14:textId="77777777" w:rsidR="00B3417A" w:rsidRPr="00F3439A" w:rsidRDefault="00B3417A" w:rsidP="005F546A">
      <w:pPr>
        <w:jc w:val="both"/>
        <w:rPr>
          <w:sz w:val="22"/>
          <w:szCs w:val="22"/>
          <w:u w:val="single"/>
          <w:lang w:val="sr-Latn-ME"/>
        </w:rPr>
      </w:pPr>
      <w:r w:rsidRPr="00F3439A">
        <w:rPr>
          <w:sz w:val="22"/>
          <w:szCs w:val="22"/>
          <w:u w:val="single"/>
          <w:lang w:val="sr-Latn-ME"/>
        </w:rPr>
        <w:t>Opis odabranih neželjenih reakcija</w:t>
      </w:r>
    </w:p>
    <w:p w14:paraId="73718694" w14:textId="77777777" w:rsidR="00B3417A" w:rsidRPr="00F3439A" w:rsidRDefault="00B3417A" w:rsidP="005F546A">
      <w:pPr>
        <w:jc w:val="both"/>
        <w:rPr>
          <w:sz w:val="22"/>
          <w:szCs w:val="22"/>
          <w:lang w:val="sr-Latn-ME"/>
        </w:rPr>
      </w:pPr>
      <w:r w:rsidRPr="00F3439A">
        <w:rPr>
          <w:sz w:val="22"/>
          <w:szCs w:val="22"/>
          <w:lang w:val="sr-Latn-ME"/>
        </w:rPr>
        <w:t xml:space="preserve"> </w:t>
      </w:r>
    </w:p>
    <w:p w14:paraId="6544C809" w14:textId="77777777" w:rsidR="00B3417A" w:rsidRPr="00F3439A" w:rsidRDefault="00B3417A" w:rsidP="005F546A">
      <w:pPr>
        <w:jc w:val="both"/>
        <w:rPr>
          <w:sz w:val="22"/>
          <w:szCs w:val="22"/>
          <w:u w:val="single"/>
          <w:lang w:val="sr-Latn-ME"/>
        </w:rPr>
      </w:pPr>
      <w:proofErr w:type="spellStart"/>
      <w:r w:rsidRPr="00F3439A">
        <w:rPr>
          <w:sz w:val="22"/>
          <w:szCs w:val="22"/>
          <w:u w:val="single"/>
          <w:lang w:val="sr-Latn-ME"/>
        </w:rPr>
        <w:t>Imunogenost</w:t>
      </w:r>
      <w:proofErr w:type="spellEnd"/>
    </w:p>
    <w:p w14:paraId="1ABAED3E" w14:textId="77777777" w:rsidR="00B3417A" w:rsidRPr="00F3439A" w:rsidRDefault="00B3417A" w:rsidP="005F546A">
      <w:pPr>
        <w:jc w:val="both"/>
        <w:rPr>
          <w:sz w:val="22"/>
          <w:szCs w:val="22"/>
          <w:lang w:val="sr-Latn-ME"/>
        </w:rPr>
      </w:pPr>
    </w:p>
    <w:p w14:paraId="102C338D" w14:textId="7AC51881" w:rsidR="00B3417A" w:rsidRPr="00F3439A" w:rsidRDefault="00B3417A" w:rsidP="005F546A">
      <w:pPr>
        <w:jc w:val="both"/>
        <w:rPr>
          <w:sz w:val="22"/>
          <w:szCs w:val="22"/>
          <w:lang w:val="sr-Latn-ME"/>
        </w:rPr>
      </w:pPr>
      <w:r w:rsidRPr="00F3439A">
        <w:rPr>
          <w:sz w:val="22"/>
          <w:szCs w:val="22"/>
          <w:lang w:val="sr-Latn-ME"/>
        </w:rPr>
        <w:t>Kroz ponovljene tretmane u nadgledanoj III fazi ispitivanja, prim</w:t>
      </w:r>
      <w:r w:rsidR="003E6377">
        <w:rPr>
          <w:sz w:val="22"/>
          <w:szCs w:val="22"/>
          <w:lang w:val="sr-Latn-ME"/>
        </w:rPr>
        <w:t>i</w:t>
      </w:r>
      <w:r w:rsidR="00E278AD" w:rsidRPr="00F3439A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>ećena je u r</w:t>
      </w:r>
      <w:r w:rsidR="00E278AD" w:rsidRPr="00F3439A">
        <w:rPr>
          <w:sz w:val="22"/>
          <w:szCs w:val="22"/>
          <w:lang w:val="sr-Latn-ME"/>
        </w:rPr>
        <w:t>ij</w:t>
      </w:r>
      <w:r w:rsidRPr="00F3439A">
        <w:rPr>
          <w:sz w:val="22"/>
          <w:szCs w:val="22"/>
          <w:lang w:val="sr-Latn-ME"/>
        </w:rPr>
        <w:t>etkim slučajevima prolazna pozitivnost na anti-</w:t>
      </w:r>
      <w:proofErr w:type="spellStart"/>
      <w:r w:rsidRPr="00F3439A">
        <w:rPr>
          <w:sz w:val="22"/>
          <w:szCs w:val="22"/>
          <w:lang w:val="sr-Latn-ME"/>
        </w:rPr>
        <w:t>ikatibantna</w:t>
      </w:r>
      <w:proofErr w:type="spellEnd"/>
      <w:r w:rsidRPr="00F3439A">
        <w:rPr>
          <w:sz w:val="22"/>
          <w:szCs w:val="22"/>
          <w:lang w:val="sr-Latn-ME"/>
        </w:rPr>
        <w:t xml:space="preserve"> antit</w:t>
      </w:r>
      <w:r w:rsidR="00E278AD" w:rsidRPr="00F3439A">
        <w:rPr>
          <w:sz w:val="22"/>
          <w:szCs w:val="22"/>
          <w:lang w:val="sr-Latn-ME"/>
        </w:rPr>
        <w:t>ij</w:t>
      </w:r>
      <w:r w:rsidRPr="00F3439A">
        <w:rPr>
          <w:sz w:val="22"/>
          <w:szCs w:val="22"/>
          <w:lang w:val="sr-Latn-ME"/>
        </w:rPr>
        <w:t>ela. Kod svih pacijenata se zadržala efikasnost. Jedan pacijent tretiran l</w:t>
      </w:r>
      <w:r w:rsidR="00E278AD" w:rsidRPr="00F3439A">
        <w:rPr>
          <w:sz w:val="22"/>
          <w:szCs w:val="22"/>
          <w:lang w:val="sr-Latn-ME"/>
        </w:rPr>
        <w:t>ij</w:t>
      </w:r>
      <w:r w:rsidRPr="00F3439A">
        <w:rPr>
          <w:sz w:val="22"/>
          <w:szCs w:val="22"/>
          <w:lang w:val="sr-Latn-ME"/>
        </w:rPr>
        <w:t xml:space="preserve">ekom </w:t>
      </w:r>
      <w:proofErr w:type="spellStart"/>
      <w:r w:rsidRPr="00F3439A">
        <w:rPr>
          <w:sz w:val="22"/>
          <w:szCs w:val="22"/>
          <w:lang w:val="sr-Latn-ME"/>
        </w:rPr>
        <w:t>Ikatibant</w:t>
      </w:r>
      <w:proofErr w:type="spellEnd"/>
      <w:r w:rsidRPr="00F3439A">
        <w:rPr>
          <w:sz w:val="22"/>
          <w:szCs w:val="22"/>
          <w:lang w:val="sr-Latn-ME"/>
        </w:rPr>
        <w:t xml:space="preserve"> SK je bio pozitivan na anti-</w:t>
      </w:r>
      <w:proofErr w:type="spellStart"/>
      <w:r w:rsidRPr="00F3439A">
        <w:rPr>
          <w:sz w:val="22"/>
          <w:szCs w:val="22"/>
          <w:lang w:val="sr-Latn-ME"/>
        </w:rPr>
        <w:t>ikatibant</w:t>
      </w:r>
      <w:proofErr w:type="spellEnd"/>
      <w:r w:rsidRPr="00F3439A">
        <w:rPr>
          <w:sz w:val="22"/>
          <w:szCs w:val="22"/>
          <w:lang w:val="sr-Latn-ME"/>
        </w:rPr>
        <w:t xml:space="preserve"> antit</w:t>
      </w:r>
      <w:r w:rsidR="00E278AD" w:rsidRPr="00F3439A">
        <w:rPr>
          <w:sz w:val="22"/>
          <w:szCs w:val="22"/>
          <w:lang w:val="sr-Latn-ME"/>
        </w:rPr>
        <w:t>ij</w:t>
      </w:r>
      <w:r w:rsidRPr="00F3439A">
        <w:rPr>
          <w:sz w:val="22"/>
          <w:szCs w:val="22"/>
          <w:lang w:val="sr-Latn-ME"/>
        </w:rPr>
        <w:t>ela pr</w:t>
      </w:r>
      <w:r w:rsidR="00E278AD" w:rsidRPr="00F3439A">
        <w:rPr>
          <w:sz w:val="22"/>
          <w:szCs w:val="22"/>
          <w:lang w:val="sr-Latn-ME"/>
        </w:rPr>
        <w:t>ij</w:t>
      </w:r>
      <w:r w:rsidRPr="00F3439A">
        <w:rPr>
          <w:sz w:val="22"/>
          <w:szCs w:val="22"/>
          <w:lang w:val="sr-Latn-ME"/>
        </w:rPr>
        <w:t>e i posl</w:t>
      </w:r>
      <w:r w:rsidR="00E278AD" w:rsidRPr="00F3439A">
        <w:rPr>
          <w:sz w:val="22"/>
          <w:szCs w:val="22"/>
          <w:lang w:val="sr-Latn-ME"/>
        </w:rPr>
        <w:t>ij</w:t>
      </w:r>
      <w:r w:rsidRPr="00F3439A">
        <w:rPr>
          <w:sz w:val="22"/>
          <w:szCs w:val="22"/>
          <w:lang w:val="sr-Latn-ME"/>
        </w:rPr>
        <w:t>e tretmana sa l</w:t>
      </w:r>
      <w:r w:rsidR="00E278AD" w:rsidRPr="00F3439A">
        <w:rPr>
          <w:sz w:val="22"/>
          <w:szCs w:val="22"/>
          <w:lang w:val="sr-Latn-ME"/>
        </w:rPr>
        <w:t>ij</w:t>
      </w:r>
      <w:r w:rsidRPr="00F3439A">
        <w:rPr>
          <w:sz w:val="22"/>
          <w:szCs w:val="22"/>
          <w:lang w:val="sr-Latn-ME"/>
        </w:rPr>
        <w:t xml:space="preserve">ekom </w:t>
      </w:r>
      <w:proofErr w:type="spellStart"/>
      <w:r w:rsidRPr="00F3439A">
        <w:rPr>
          <w:sz w:val="22"/>
          <w:szCs w:val="22"/>
          <w:lang w:val="sr-Latn-ME"/>
        </w:rPr>
        <w:t>Ikatibant</w:t>
      </w:r>
      <w:proofErr w:type="spellEnd"/>
      <w:r w:rsidRPr="00F3439A">
        <w:rPr>
          <w:sz w:val="22"/>
          <w:szCs w:val="22"/>
          <w:lang w:val="sr-Latn-ME"/>
        </w:rPr>
        <w:t xml:space="preserve"> SK. Ovaj pacijent je praćen 5 m</w:t>
      </w:r>
      <w:r w:rsidR="00E278AD" w:rsidRPr="00F3439A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>eseci i drugi uzorci su bili negativni na anti-</w:t>
      </w:r>
      <w:proofErr w:type="spellStart"/>
      <w:r w:rsidRPr="00F3439A">
        <w:rPr>
          <w:sz w:val="22"/>
          <w:szCs w:val="22"/>
          <w:lang w:val="sr-Latn-ME"/>
        </w:rPr>
        <w:t>ikatibant</w:t>
      </w:r>
      <w:proofErr w:type="spellEnd"/>
      <w:r w:rsidRPr="00F3439A">
        <w:rPr>
          <w:sz w:val="22"/>
          <w:szCs w:val="22"/>
          <w:lang w:val="sr-Latn-ME"/>
        </w:rPr>
        <w:t xml:space="preserve"> antit</w:t>
      </w:r>
      <w:r w:rsidR="00E278AD" w:rsidRPr="00F3439A">
        <w:rPr>
          <w:sz w:val="22"/>
          <w:szCs w:val="22"/>
          <w:lang w:val="sr-Latn-ME"/>
        </w:rPr>
        <w:t>ij</w:t>
      </w:r>
      <w:r w:rsidRPr="00F3439A">
        <w:rPr>
          <w:sz w:val="22"/>
          <w:szCs w:val="22"/>
          <w:lang w:val="sr-Latn-ME"/>
        </w:rPr>
        <w:t>ela. Nisu zab</w:t>
      </w:r>
      <w:r w:rsidR="00E278AD" w:rsidRPr="00F3439A">
        <w:rPr>
          <w:sz w:val="22"/>
          <w:szCs w:val="22"/>
          <w:lang w:val="sr-Latn-ME"/>
        </w:rPr>
        <w:t>i</w:t>
      </w:r>
      <w:r w:rsidRPr="00F3439A">
        <w:rPr>
          <w:sz w:val="22"/>
          <w:szCs w:val="22"/>
          <w:lang w:val="sr-Latn-ME"/>
        </w:rPr>
        <w:t>l</w:t>
      </w:r>
      <w:r w:rsidR="00E278AD" w:rsidRPr="00F3439A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>eženi slučajevi preos</w:t>
      </w:r>
      <w:r w:rsidR="00E278AD" w:rsidRPr="00F3439A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 xml:space="preserve">etljivosti ili </w:t>
      </w:r>
      <w:proofErr w:type="spellStart"/>
      <w:r w:rsidRPr="00F3439A">
        <w:rPr>
          <w:sz w:val="22"/>
          <w:szCs w:val="22"/>
          <w:lang w:val="sr-Latn-ME"/>
        </w:rPr>
        <w:t>anafilaktičke</w:t>
      </w:r>
      <w:proofErr w:type="spellEnd"/>
      <w:r w:rsidRPr="00F3439A">
        <w:rPr>
          <w:sz w:val="22"/>
          <w:szCs w:val="22"/>
          <w:lang w:val="sr-Latn-ME"/>
        </w:rPr>
        <w:t xml:space="preserve"> reakcije na </w:t>
      </w:r>
      <w:proofErr w:type="spellStart"/>
      <w:r w:rsidRPr="00F3439A">
        <w:rPr>
          <w:sz w:val="22"/>
          <w:szCs w:val="22"/>
          <w:lang w:val="sr-Latn-ME"/>
        </w:rPr>
        <w:t>Ikatibant</w:t>
      </w:r>
      <w:proofErr w:type="spellEnd"/>
      <w:r w:rsidRPr="00F3439A">
        <w:rPr>
          <w:sz w:val="22"/>
          <w:szCs w:val="22"/>
          <w:lang w:val="sr-Latn-ME"/>
        </w:rPr>
        <w:t xml:space="preserve"> SK.</w:t>
      </w:r>
    </w:p>
    <w:p w14:paraId="0AC25B67" w14:textId="77777777" w:rsidR="00B3417A" w:rsidRPr="00F3439A" w:rsidRDefault="00B3417A" w:rsidP="005F546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5D393437" w14:textId="77777777" w:rsidR="005A23D2" w:rsidRPr="00F3439A" w:rsidRDefault="005A23D2" w:rsidP="005F546A">
      <w:pPr>
        <w:spacing w:after="200" w:line="276" w:lineRule="auto"/>
        <w:jc w:val="both"/>
        <w:rPr>
          <w:rFonts w:eastAsia="Calibri"/>
          <w:sz w:val="22"/>
          <w:szCs w:val="22"/>
          <w:u w:val="single"/>
          <w:lang w:val="sr-Latn-ME"/>
        </w:rPr>
      </w:pPr>
      <w:r w:rsidRPr="00F3439A">
        <w:rPr>
          <w:rFonts w:eastAsia="Calibri"/>
          <w:sz w:val="22"/>
          <w:szCs w:val="22"/>
          <w:u w:val="single"/>
          <w:lang w:val="sr-Latn-ME"/>
        </w:rPr>
        <w:t>Prijavljivanje sumnji na neželjena dejstva</w:t>
      </w:r>
    </w:p>
    <w:p w14:paraId="76950BDA" w14:textId="77777777" w:rsidR="005A23D2" w:rsidRPr="00F3439A" w:rsidRDefault="005A23D2" w:rsidP="005F546A">
      <w:pPr>
        <w:spacing w:after="200"/>
        <w:jc w:val="both"/>
        <w:rPr>
          <w:rFonts w:eastAsia="Calibri"/>
          <w:sz w:val="22"/>
          <w:szCs w:val="22"/>
          <w:lang w:val="sr-Latn-ME"/>
        </w:rPr>
      </w:pPr>
      <w:r w:rsidRPr="00F3439A">
        <w:rPr>
          <w:rFonts w:eastAsia="Calibri"/>
          <w:sz w:val="22"/>
          <w:szCs w:val="22"/>
          <w:lang w:val="sr-Latn-ME"/>
        </w:rPr>
        <w:t>Prijavljivanje neželjenih dejstava nakon dobijanja dozvole je od velikog značaja jer obezbjeđuje kont</w:t>
      </w:r>
      <w:r w:rsidR="00EA5765" w:rsidRPr="00F3439A">
        <w:rPr>
          <w:rFonts w:eastAsia="Calibri"/>
          <w:sz w:val="22"/>
          <w:szCs w:val="22"/>
          <w:lang w:val="sr-Latn-ME"/>
        </w:rPr>
        <w:t>inuirano praćenje odnosa korist</w:t>
      </w:r>
      <w:r w:rsidRPr="00F3439A">
        <w:rPr>
          <w:rFonts w:eastAsia="Calibri"/>
          <w:sz w:val="22"/>
          <w:szCs w:val="22"/>
          <w:lang w:val="sr-Latn-ME"/>
        </w:rPr>
        <w:t>/rizik primjene lijeka. Zdravstveni radnici treba da prijave svaku sumnju na neželjeno</w:t>
      </w:r>
      <w:r w:rsidR="009B062A" w:rsidRPr="00F3439A">
        <w:rPr>
          <w:rFonts w:eastAsia="Calibri"/>
          <w:sz w:val="22"/>
          <w:szCs w:val="22"/>
          <w:lang w:val="sr-Latn-ME"/>
        </w:rPr>
        <w:t xml:space="preserve"> </w:t>
      </w:r>
      <w:r w:rsidRPr="00F3439A">
        <w:rPr>
          <w:rFonts w:eastAsia="Calibri"/>
          <w:sz w:val="22"/>
          <w:szCs w:val="22"/>
          <w:lang w:val="sr-Latn-ME"/>
        </w:rPr>
        <w:t xml:space="preserve">dejstvo ovog lijeka </w:t>
      </w:r>
      <w:r w:rsidR="004E70AD" w:rsidRPr="00F3439A">
        <w:rPr>
          <w:rFonts w:eastAsia="Calibri"/>
          <w:sz w:val="22"/>
          <w:szCs w:val="22"/>
          <w:lang w:val="sr-Latn-ME"/>
        </w:rPr>
        <w:t>Institutu</w:t>
      </w:r>
      <w:r w:rsidRPr="00F3439A">
        <w:rPr>
          <w:rFonts w:eastAsia="Calibri"/>
          <w:sz w:val="22"/>
          <w:szCs w:val="22"/>
          <w:lang w:val="sr-Latn-ME"/>
        </w:rPr>
        <w:t xml:space="preserve"> za ljekove i medicinska sredstva</w:t>
      </w:r>
      <w:r w:rsidR="004E70AD" w:rsidRPr="00F3439A">
        <w:rPr>
          <w:rFonts w:eastAsia="Calibri"/>
          <w:sz w:val="22"/>
          <w:szCs w:val="22"/>
          <w:lang w:val="sr-Latn-ME"/>
        </w:rPr>
        <w:t xml:space="preserve"> </w:t>
      </w:r>
      <w:r w:rsidRPr="00F3439A">
        <w:rPr>
          <w:rFonts w:eastAsia="Calibri"/>
          <w:sz w:val="22"/>
          <w:szCs w:val="22"/>
          <w:lang w:val="sr-Latn-ME"/>
        </w:rPr>
        <w:t>(</w:t>
      </w:r>
      <w:r w:rsidR="004E70AD" w:rsidRPr="00F3439A">
        <w:rPr>
          <w:rFonts w:eastAsia="Calibri"/>
          <w:sz w:val="22"/>
          <w:szCs w:val="22"/>
          <w:lang w:val="sr-Latn-ME"/>
        </w:rPr>
        <w:t>CInMED</w:t>
      </w:r>
      <w:r w:rsidRPr="00F3439A">
        <w:rPr>
          <w:rFonts w:eastAsia="Calibri"/>
          <w:sz w:val="22"/>
          <w:szCs w:val="22"/>
          <w:lang w:val="sr-Latn-ME"/>
        </w:rPr>
        <w:t>):</w:t>
      </w:r>
    </w:p>
    <w:p w14:paraId="4EF49D49" w14:textId="77777777" w:rsidR="005A23D2" w:rsidRPr="00F3439A" w:rsidRDefault="004E70AD" w:rsidP="005F546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3439A">
        <w:rPr>
          <w:rFonts w:eastAsia="Calibri"/>
          <w:sz w:val="22"/>
          <w:szCs w:val="22"/>
          <w:lang w:val="sr-Latn-ME"/>
        </w:rPr>
        <w:lastRenderedPageBreak/>
        <w:t xml:space="preserve">Institut </w:t>
      </w:r>
      <w:r w:rsidR="005A23D2" w:rsidRPr="00F3439A">
        <w:rPr>
          <w:rFonts w:eastAsia="Calibri"/>
          <w:sz w:val="22"/>
          <w:szCs w:val="22"/>
          <w:lang w:val="sr-Latn-ME"/>
        </w:rPr>
        <w:t xml:space="preserve">za ljekove i medicinska sredstva </w:t>
      </w:r>
    </w:p>
    <w:p w14:paraId="1942D35C" w14:textId="77777777" w:rsidR="005A23D2" w:rsidRPr="00F3439A" w:rsidRDefault="005A23D2" w:rsidP="005F546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3439A">
        <w:rPr>
          <w:rFonts w:eastAsia="Calibri"/>
          <w:sz w:val="22"/>
          <w:szCs w:val="22"/>
          <w:lang w:val="sr-Latn-ME"/>
        </w:rPr>
        <w:t xml:space="preserve">Odjeljenje za </w:t>
      </w:r>
      <w:proofErr w:type="spellStart"/>
      <w:r w:rsidRPr="00F3439A">
        <w:rPr>
          <w:rFonts w:eastAsia="Calibri"/>
          <w:sz w:val="22"/>
          <w:szCs w:val="22"/>
          <w:lang w:val="sr-Latn-ME"/>
        </w:rPr>
        <w:t>farmakovigilancu</w:t>
      </w:r>
      <w:proofErr w:type="spellEnd"/>
    </w:p>
    <w:p w14:paraId="33B34218" w14:textId="77777777" w:rsidR="00EA5765" w:rsidRPr="00F3439A" w:rsidRDefault="005A23D2" w:rsidP="005F546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3439A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7EFB6C1B" w14:textId="77777777" w:rsidR="00EA5765" w:rsidRPr="00F3439A" w:rsidRDefault="00EA5765" w:rsidP="005F546A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0E6F3C66" w14:textId="77777777" w:rsidR="005A23D2" w:rsidRPr="00F3439A" w:rsidRDefault="005A23D2" w:rsidP="005F546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3439A">
        <w:rPr>
          <w:rFonts w:eastAsia="Calibri"/>
          <w:sz w:val="22"/>
          <w:szCs w:val="22"/>
          <w:lang w:val="sr-Latn-ME"/>
        </w:rPr>
        <w:t>tel: +382 (0) 20 310 280</w:t>
      </w:r>
    </w:p>
    <w:p w14:paraId="5C6CE0CE" w14:textId="77777777" w:rsidR="00EA5765" w:rsidRPr="00F3439A" w:rsidRDefault="005A23D2" w:rsidP="005F546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F3439A">
        <w:rPr>
          <w:rFonts w:eastAsia="Calibri"/>
          <w:sz w:val="22"/>
          <w:szCs w:val="22"/>
          <w:lang w:val="sr-Latn-ME"/>
        </w:rPr>
        <w:t>fax</w:t>
      </w:r>
      <w:proofErr w:type="spellEnd"/>
      <w:r w:rsidRPr="00F3439A">
        <w:rPr>
          <w:rFonts w:eastAsia="Calibri"/>
          <w:sz w:val="22"/>
          <w:szCs w:val="22"/>
          <w:lang w:val="sr-Latn-ME"/>
        </w:rPr>
        <w:t>:</w:t>
      </w:r>
      <w:r w:rsidR="00EA5765" w:rsidRPr="00F3439A">
        <w:rPr>
          <w:rFonts w:eastAsia="Calibri"/>
          <w:sz w:val="22"/>
          <w:szCs w:val="22"/>
          <w:lang w:val="sr-Latn-ME"/>
        </w:rPr>
        <w:t xml:space="preserve"> </w:t>
      </w:r>
      <w:r w:rsidRPr="00F3439A">
        <w:rPr>
          <w:rFonts w:eastAsia="Calibri"/>
          <w:sz w:val="22"/>
          <w:szCs w:val="22"/>
          <w:lang w:val="sr-Latn-ME"/>
        </w:rPr>
        <w:t>+382 (0) 20 310 581</w:t>
      </w:r>
    </w:p>
    <w:p w14:paraId="57F9312D" w14:textId="77777777" w:rsidR="005A23D2" w:rsidRPr="00F3439A" w:rsidRDefault="009C388D" w:rsidP="005F546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8" w:history="1">
        <w:r w:rsidR="004E70AD" w:rsidRPr="00F3439A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0DE06C3C" w14:textId="77777777" w:rsidR="00EA5765" w:rsidRPr="00F3439A" w:rsidRDefault="009C388D" w:rsidP="005F546A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9" w:history="1">
        <w:r w:rsidR="004E70AD" w:rsidRPr="00F3439A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75A4E7F3" w14:textId="770AF8B0" w:rsidR="005A23D2" w:rsidRPr="00F3439A" w:rsidRDefault="005A23D2" w:rsidP="005F546A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F3439A">
        <w:rPr>
          <w:rFonts w:eastAsia="Calibri"/>
          <w:sz w:val="22"/>
          <w:szCs w:val="22"/>
          <w:lang w:val="sr-Latn-ME"/>
        </w:rPr>
        <w:t>putem IS zdravstvene zaštite</w:t>
      </w:r>
    </w:p>
    <w:p w14:paraId="6EEE7CA0" w14:textId="77777777" w:rsidR="002F69A5" w:rsidRPr="00F3439A" w:rsidRDefault="002F69A5" w:rsidP="002F69A5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proofErr w:type="spellStart"/>
      <w:r w:rsidRPr="00F3439A">
        <w:rPr>
          <w:rFonts w:eastAsia="Calibri"/>
          <w:sz w:val="22"/>
          <w:szCs w:val="22"/>
          <w:lang w:val="sr-Latn-ME"/>
        </w:rPr>
        <w:t>QR</w:t>
      </w:r>
      <w:proofErr w:type="spellEnd"/>
      <w:r w:rsidRPr="00F3439A">
        <w:rPr>
          <w:rFonts w:eastAsia="Calibri"/>
          <w:sz w:val="22"/>
          <w:szCs w:val="22"/>
          <w:lang w:val="sr-Latn-ME"/>
        </w:rPr>
        <w:t xml:space="preserve"> kod za </w:t>
      </w:r>
      <w:proofErr w:type="spellStart"/>
      <w:r w:rsidRPr="00F3439A">
        <w:rPr>
          <w:rFonts w:eastAsia="Calibri"/>
          <w:sz w:val="22"/>
          <w:szCs w:val="22"/>
          <w:lang w:val="sr-Latn-ME"/>
        </w:rPr>
        <w:t>online</w:t>
      </w:r>
      <w:proofErr w:type="spellEnd"/>
      <w:r w:rsidRPr="00F3439A">
        <w:rPr>
          <w:rFonts w:eastAsia="Calibri"/>
          <w:sz w:val="22"/>
          <w:szCs w:val="22"/>
          <w:lang w:val="sr-Latn-ME"/>
        </w:rPr>
        <w:t xml:space="preserve"> prijavu sumnje na neželjeno dejstvo lijeka:</w:t>
      </w:r>
    </w:p>
    <w:p w14:paraId="4E2FFA0A" w14:textId="77777777" w:rsidR="002F69A5" w:rsidRPr="00F3439A" w:rsidRDefault="002F69A5" w:rsidP="002F69A5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1982B79" w14:textId="65DDA23A" w:rsidR="002F69A5" w:rsidRPr="00F3439A" w:rsidRDefault="002F69A5" w:rsidP="002F69A5">
      <w:pPr>
        <w:pStyle w:val="NoSpacing"/>
        <w:rPr>
          <w:rFonts w:eastAsia="Calibri"/>
          <w:sz w:val="22"/>
          <w:szCs w:val="22"/>
          <w:lang w:val="sr-Latn-ME"/>
        </w:rPr>
      </w:pPr>
      <w:r w:rsidRPr="00F3439A">
        <w:rPr>
          <w:noProof/>
          <w:lang w:val="sr-Latn-ME" w:eastAsia="sr-Latn-ME"/>
        </w:rPr>
        <w:drawing>
          <wp:inline distT="0" distB="0" distL="0" distR="0" wp14:anchorId="140069FB" wp14:editId="04986815">
            <wp:extent cx="967740" cy="967740"/>
            <wp:effectExtent l="0" t="0" r="3810" b="3810"/>
            <wp:docPr id="1" name="Picture 1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7740" cy="967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635148" w14:textId="77777777" w:rsidR="00836B35" w:rsidRPr="00F3439A" w:rsidRDefault="00836B3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73228AC" w14:textId="77777777" w:rsidR="00CD6F02" w:rsidRPr="00F3439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3439A">
        <w:rPr>
          <w:b/>
          <w:bCs/>
          <w:sz w:val="22"/>
          <w:szCs w:val="22"/>
          <w:lang w:val="sr-Latn-ME"/>
        </w:rPr>
        <w:t xml:space="preserve">4.9. </w:t>
      </w:r>
      <w:r w:rsidR="00480FB1" w:rsidRPr="00F3439A">
        <w:rPr>
          <w:b/>
          <w:bCs/>
          <w:sz w:val="22"/>
          <w:szCs w:val="22"/>
          <w:lang w:val="sr-Latn-ME"/>
        </w:rPr>
        <w:tab/>
      </w:r>
      <w:r w:rsidRPr="00F3439A">
        <w:rPr>
          <w:b/>
          <w:bCs/>
          <w:sz w:val="22"/>
          <w:szCs w:val="22"/>
          <w:lang w:val="sr-Latn-ME"/>
        </w:rPr>
        <w:t>Predoziranje</w:t>
      </w:r>
      <w:r w:rsidR="002846DB" w:rsidRPr="00F3439A">
        <w:rPr>
          <w:b/>
          <w:bCs/>
          <w:sz w:val="22"/>
          <w:szCs w:val="22"/>
          <w:lang w:val="sr-Latn-ME"/>
        </w:rPr>
        <w:t xml:space="preserve"> </w:t>
      </w:r>
    </w:p>
    <w:p w14:paraId="6A4F2F70" w14:textId="77777777" w:rsidR="00B3417A" w:rsidRPr="00F3439A" w:rsidRDefault="00B3417A" w:rsidP="005F546A">
      <w:pPr>
        <w:pStyle w:val="NASLOV123"/>
        <w:jc w:val="both"/>
        <w:rPr>
          <w:b w:val="0"/>
          <w:bCs/>
          <w:lang w:val="sr-Latn-ME"/>
        </w:rPr>
      </w:pPr>
      <w:r w:rsidRPr="00F3439A">
        <w:rPr>
          <w:b w:val="0"/>
          <w:bCs/>
          <w:lang w:val="sr-Latn-ME"/>
        </w:rPr>
        <w:t>Ne postoje klinički podaci o predoziranju.</w:t>
      </w:r>
    </w:p>
    <w:p w14:paraId="7ADBDD89" w14:textId="4D8C42DA" w:rsidR="00B3417A" w:rsidRDefault="00B3417A" w:rsidP="005F546A">
      <w:pPr>
        <w:pStyle w:val="NASLOV123"/>
        <w:jc w:val="both"/>
        <w:rPr>
          <w:b w:val="0"/>
          <w:bCs/>
          <w:lang w:val="sr-Latn-ME"/>
        </w:rPr>
      </w:pPr>
      <w:r w:rsidRPr="00F3439A">
        <w:rPr>
          <w:b w:val="0"/>
          <w:bCs/>
          <w:lang w:val="sr-Latn-ME"/>
        </w:rPr>
        <w:t>Doza od 3,2 mg/kg prim</w:t>
      </w:r>
      <w:r w:rsidR="003E6377">
        <w:rPr>
          <w:b w:val="0"/>
          <w:bCs/>
          <w:lang w:val="sr-Latn-ME"/>
        </w:rPr>
        <w:t>i</w:t>
      </w:r>
      <w:r w:rsidR="00E278AD" w:rsidRPr="00F3439A">
        <w:rPr>
          <w:b w:val="0"/>
          <w:bCs/>
          <w:lang w:val="sr-Latn-ME"/>
        </w:rPr>
        <w:t>j</w:t>
      </w:r>
      <w:r w:rsidRPr="00F3439A">
        <w:rPr>
          <w:b w:val="0"/>
          <w:bCs/>
          <w:lang w:val="sr-Latn-ME"/>
        </w:rPr>
        <w:t xml:space="preserve">enjena </w:t>
      </w:r>
      <w:proofErr w:type="spellStart"/>
      <w:r w:rsidRPr="00F3439A">
        <w:rPr>
          <w:b w:val="0"/>
          <w:bCs/>
          <w:lang w:val="sr-Latn-ME"/>
        </w:rPr>
        <w:t>intravenski</w:t>
      </w:r>
      <w:proofErr w:type="spellEnd"/>
      <w:r w:rsidRPr="00F3439A">
        <w:rPr>
          <w:b w:val="0"/>
          <w:bCs/>
          <w:lang w:val="sr-Latn-ME"/>
        </w:rPr>
        <w:t xml:space="preserve"> (oko 8 puta veća od terapijske doze) kod zdravih ispitanika uzrokovala je prolazni </w:t>
      </w:r>
      <w:proofErr w:type="spellStart"/>
      <w:r w:rsidRPr="00F3439A">
        <w:rPr>
          <w:b w:val="0"/>
          <w:bCs/>
          <w:lang w:val="sr-Latn-ME"/>
        </w:rPr>
        <w:t>eritem</w:t>
      </w:r>
      <w:proofErr w:type="spellEnd"/>
      <w:r w:rsidRPr="00F3439A">
        <w:rPr>
          <w:b w:val="0"/>
          <w:bCs/>
          <w:lang w:val="sr-Latn-ME"/>
        </w:rPr>
        <w:t xml:space="preserve">, svrab, crvenilo kože ili </w:t>
      </w:r>
      <w:proofErr w:type="spellStart"/>
      <w:r w:rsidRPr="00F3439A">
        <w:rPr>
          <w:b w:val="0"/>
          <w:bCs/>
          <w:lang w:val="sr-Latn-ME"/>
        </w:rPr>
        <w:t>hipotenziju</w:t>
      </w:r>
      <w:proofErr w:type="spellEnd"/>
      <w:r w:rsidRPr="00F3439A">
        <w:rPr>
          <w:b w:val="0"/>
          <w:bCs/>
          <w:lang w:val="sr-Latn-ME"/>
        </w:rPr>
        <w:t>. Nije bila potrebna terapijska intervencija.</w:t>
      </w:r>
    </w:p>
    <w:p w14:paraId="18ED94D7" w14:textId="77777777" w:rsidR="008C51F8" w:rsidRPr="00F3439A" w:rsidRDefault="008C51F8" w:rsidP="008C51F8">
      <w:pPr>
        <w:pStyle w:val="NASLOV123"/>
        <w:spacing w:before="0" w:after="0"/>
        <w:jc w:val="both"/>
        <w:rPr>
          <w:b w:val="0"/>
          <w:bCs/>
          <w:lang w:val="sr-Latn-ME"/>
        </w:rPr>
      </w:pPr>
    </w:p>
    <w:p w14:paraId="5FCEC8A7" w14:textId="77777777" w:rsidR="0072020E" w:rsidRPr="00F3439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3439A">
        <w:rPr>
          <w:b/>
          <w:bCs/>
          <w:sz w:val="22"/>
          <w:szCs w:val="22"/>
          <w:lang w:val="sr-Latn-ME"/>
        </w:rPr>
        <w:t xml:space="preserve">5. </w:t>
      </w:r>
      <w:r w:rsidR="00480FB1" w:rsidRPr="00F3439A">
        <w:rPr>
          <w:b/>
          <w:bCs/>
          <w:sz w:val="22"/>
          <w:szCs w:val="22"/>
          <w:lang w:val="sr-Latn-ME"/>
        </w:rPr>
        <w:tab/>
      </w:r>
      <w:r w:rsidRPr="00F3439A">
        <w:rPr>
          <w:b/>
          <w:bCs/>
          <w:sz w:val="22"/>
          <w:szCs w:val="22"/>
          <w:lang w:val="sr-Latn-ME"/>
        </w:rPr>
        <w:t>FARMAKOLOŠK</w:t>
      </w:r>
      <w:r w:rsidR="000D425A" w:rsidRPr="00F3439A">
        <w:rPr>
          <w:b/>
          <w:bCs/>
          <w:sz w:val="22"/>
          <w:szCs w:val="22"/>
          <w:lang w:val="sr-Latn-ME"/>
        </w:rPr>
        <w:t>I</w:t>
      </w:r>
      <w:r w:rsidRPr="00F3439A">
        <w:rPr>
          <w:b/>
          <w:bCs/>
          <w:sz w:val="22"/>
          <w:szCs w:val="22"/>
          <w:lang w:val="sr-Latn-ME"/>
        </w:rPr>
        <w:t xml:space="preserve"> PODACI</w:t>
      </w:r>
    </w:p>
    <w:p w14:paraId="1AF4A07D" w14:textId="77777777" w:rsidR="0072020E" w:rsidRPr="00F3439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5BD8B84" w14:textId="77777777" w:rsidR="0072020E" w:rsidRPr="00F3439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3439A">
        <w:rPr>
          <w:b/>
          <w:bCs/>
          <w:sz w:val="22"/>
          <w:szCs w:val="22"/>
          <w:lang w:val="sr-Latn-ME"/>
        </w:rPr>
        <w:t xml:space="preserve">5.1. </w:t>
      </w:r>
      <w:r w:rsidR="00480FB1" w:rsidRPr="00F3439A">
        <w:rPr>
          <w:b/>
          <w:bCs/>
          <w:sz w:val="22"/>
          <w:szCs w:val="22"/>
          <w:lang w:val="sr-Latn-ME"/>
        </w:rPr>
        <w:tab/>
      </w:r>
      <w:proofErr w:type="spellStart"/>
      <w:r w:rsidRPr="00F3439A">
        <w:rPr>
          <w:b/>
          <w:bCs/>
          <w:sz w:val="22"/>
          <w:szCs w:val="22"/>
          <w:lang w:val="sr-Latn-ME"/>
        </w:rPr>
        <w:t>Farmakodinamski</w:t>
      </w:r>
      <w:proofErr w:type="spellEnd"/>
      <w:r w:rsidRPr="00F3439A">
        <w:rPr>
          <w:b/>
          <w:bCs/>
          <w:sz w:val="22"/>
          <w:szCs w:val="22"/>
          <w:lang w:val="sr-Latn-ME"/>
        </w:rPr>
        <w:t xml:space="preserve"> podaci</w:t>
      </w:r>
      <w:r w:rsidR="003A7059" w:rsidRPr="00F3439A">
        <w:rPr>
          <w:b/>
          <w:bCs/>
          <w:sz w:val="22"/>
          <w:szCs w:val="22"/>
          <w:lang w:val="sr-Latn-ME"/>
        </w:rPr>
        <w:t xml:space="preserve"> </w:t>
      </w:r>
    </w:p>
    <w:p w14:paraId="439E11F5" w14:textId="77777777" w:rsidR="00F45F77" w:rsidRPr="00F3439A" w:rsidRDefault="00F45F77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223B707" w14:textId="39795E6B" w:rsidR="0072020E" w:rsidRPr="00F3439A" w:rsidRDefault="0072020E" w:rsidP="005F54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F3439A">
        <w:rPr>
          <w:bCs/>
          <w:sz w:val="22"/>
          <w:szCs w:val="22"/>
          <w:lang w:val="sr-Latn-ME"/>
        </w:rPr>
        <w:t>Farmakoterapijska</w:t>
      </w:r>
      <w:proofErr w:type="spellEnd"/>
      <w:r w:rsidRPr="00F3439A">
        <w:rPr>
          <w:bCs/>
          <w:sz w:val="22"/>
          <w:szCs w:val="22"/>
          <w:lang w:val="sr-Latn-ME"/>
        </w:rPr>
        <w:t xml:space="preserve"> grupa:</w:t>
      </w:r>
      <w:r w:rsidR="00B3417A" w:rsidRPr="00F3439A">
        <w:rPr>
          <w:lang w:val="sr-Latn-ME"/>
        </w:rPr>
        <w:t xml:space="preserve"> </w:t>
      </w:r>
      <w:r w:rsidR="00B3417A" w:rsidRPr="00F3439A">
        <w:rPr>
          <w:bCs/>
          <w:sz w:val="22"/>
          <w:szCs w:val="22"/>
          <w:lang w:val="sr-Latn-ME"/>
        </w:rPr>
        <w:t>Ostala hematološka sredstva; L</w:t>
      </w:r>
      <w:r w:rsidR="00E278AD" w:rsidRPr="00F3439A">
        <w:rPr>
          <w:bCs/>
          <w:sz w:val="22"/>
          <w:szCs w:val="22"/>
          <w:lang w:val="sr-Latn-ME"/>
        </w:rPr>
        <w:t>j</w:t>
      </w:r>
      <w:r w:rsidR="00B3417A" w:rsidRPr="00F3439A">
        <w:rPr>
          <w:bCs/>
          <w:sz w:val="22"/>
          <w:szCs w:val="22"/>
          <w:lang w:val="sr-Latn-ME"/>
        </w:rPr>
        <w:t xml:space="preserve">ekovi korišćeni u </w:t>
      </w:r>
      <w:proofErr w:type="spellStart"/>
      <w:r w:rsidR="00B3417A" w:rsidRPr="00F3439A">
        <w:rPr>
          <w:bCs/>
          <w:sz w:val="22"/>
          <w:szCs w:val="22"/>
          <w:lang w:val="sr-Latn-ME"/>
        </w:rPr>
        <w:t>nasl</w:t>
      </w:r>
      <w:r w:rsidR="003E6377">
        <w:rPr>
          <w:bCs/>
          <w:sz w:val="22"/>
          <w:szCs w:val="22"/>
          <w:lang w:val="sr-Latn-ME"/>
        </w:rPr>
        <w:t>j</w:t>
      </w:r>
      <w:r w:rsidR="00B3417A" w:rsidRPr="00F3439A">
        <w:rPr>
          <w:bCs/>
          <w:sz w:val="22"/>
          <w:szCs w:val="22"/>
          <w:lang w:val="sr-Latn-ME"/>
        </w:rPr>
        <w:t>ednim</w:t>
      </w:r>
      <w:proofErr w:type="spellEnd"/>
      <w:r w:rsidR="00B3417A" w:rsidRPr="00F3439A">
        <w:rPr>
          <w:bCs/>
          <w:sz w:val="22"/>
          <w:szCs w:val="22"/>
          <w:lang w:val="sr-Latn-ME"/>
        </w:rPr>
        <w:t xml:space="preserve"> </w:t>
      </w:r>
      <w:proofErr w:type="spellStart"/>
      <w:r w:rsidR="00B3417A" w:rsidRPr="00F3439A">
        <w:rPr>
          <w:bCs/>
          <w:sz w:val="22"/>
          <w:szCs w:val="22"/>
          <w:lang w:val="sr-Latn-ME"/>
        </w:rPr>
        <w:t>angioedemima</w:t>
      </w:r>
      <w:proofErr w:type="spellEnd"/>
    </w:p>
    <w:p w14:paraId="4F3144E9" w14:textId="77777777" w:rsidR="0072020E" w:rsidRPr="00F3439A" w:rsidRDefault="0072020E" w:rsidP="005F54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302D6F6B" w14:textId="77777777" w:rsidR="00B3417A" w:rsidRPr="00F3439A" w:rsidRDefault="0072020E" w:rsidP="005F54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3439A">
        <w:rPr>
          <w:bCs/>
          <w:sz w:val="22"/>
          <w:szCs w:val="22"/>
          <w:lang w:val="sr-Latn-ME"/>
        </w:rPr>
        <w:t>ATC kod:</w:t>
      </w:r>
      <w:r w:rsidR="00B3417A" w:rsidRPr="00F3439A">
        <w:rPr>
          <w:bCs/>
          <w:sz w:val="22"/>
          <w:szCs w:val="22"/>
          <w:lang w:val="sr-Latn-ME"/>
        </w:rPr>
        <w:t xml:space="preserve"> B06AC02</w:t>
      </w:r>
    </w:p>
    <w:p w14:paraId="5A182E5E" w14:textId="77777777" w:rsidR="00B3417A" w:rsidRPr="00F3439A" w:rsidRDefault="00B3417A" w:rsidP="005F54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6CB7A576" w14:textId="77777777" w:rsidR="00B3417A" w:rsidRPr="00F3439A" w:rsidRDefault="00B3417A" w:rsidP="005F546A">
      <w:pPr>
        <w:pStyle w:val="BodyText"/>
        <w:ind w:left="0"/>
        <w:rPr>
          <w:u w:val="single"/>
          <w:lang w:val="sr-Latn-ME"/>
        </w:rPr>
      </w:pPr>
      <w:r w:rsidRPr="00F3439A">
        <w:rPr>
          <w:u w:val="single"/>
          <w:lang w:val="sr-Latn-ME"/>
        </w:rPr>
        <w:t>Mehanizam</w:t>
      </w:r>
      <w:r w:rsidRPr="00F3439A">
        <w:rPr>
          <w:spacing w:val="-6"/>
          <w:u w:val="single"/>
          <w:lang w:val="sr-Latn-ME"/>
        </w:rPr>
        <w:t xml:space="preserve"> </w:t>
      </w:r>
      <w:r w:rsidRPr="00F3439A">
        <w:rPr>
          <w:u w:val="single"/>
          <w:lang w:val="sr-Latn-ME"/>
        </w:rPr>
        <w:t>dejstva</w:t>
      </w:r>
    </w:p>
    <w:p w14:paraId="5C538D7C" w14:textId="77777777" w:rsidR="00B3417A" w:rsidRPr="00F3439A" w:rsidRDefault="00B3417A" w:rsidP="005F546A">
      <w:pPr>
        <w:pStyle w:val="BodyText"/>
        <w:ind w:left="0"/>
        <w:rPr>
          <w:lang w:val="sr-Latn-ME"/>
        </w:rPr>
      </w:pPr>
    </w:p>
    <w:p w14:paraId="0C67C45D" w14:textId="34BE00CC" w:rsidR="00B3417A" w:rsidRPr="00F3439A" w:rsidRDefault="00B3417A" w:rsidP="005F546A">
      <w:pPr>
        <w:pStyle w:val="BodyText"/>
        <w:spacing w:before="8"/>
        <w:ind w:left="0"/>
        <w:rPr>
          <w:lang w:val="sr-Latn-ME"/>
        </w:rPr>
      </w:pPr>
      <w:proofErr w:type="spellStart"/>
      <w:r w:rsidRPr="00F3439A">
        <w:rPr>
          <w:lang w:val="sr-Latn-ME"/>
        </w:rPr>
        <w:t>Nasl</w:t>
      </w:r>
      <w:r w:rsidR="003E6377">
        <w:rPr>
          <w:lang w:val="sr-Latn-ME"/>
        </w:rPr>
        <w:t>j</w:t>
      </w:r>
      <w:r w:rsidRPr="00F3439A">
        <w:rPr>
          <w:lang w:val="sr-Latn-ME"/>
        </w:rPr>
        <w:t>edni</w:t>
      </w:r>
      <w:proofErr w:type="spellEnd"/>
      <w:r w:rsidRPr="00F3439A">
        <w:rPr>
          <w:lang w:val="sr-Latn-ME"/>
        </w:rPr>
        <w:t xml:space="preserve"> </w:t>
      </w:r>
      <w:proofErr w:type="spellStart"/>
      <w:r w:rsidRPr="00F3439A">
        <w:rPr>
          <w:lang w:val="sr-Latn-ME"/>
        </w:rPr>
        <w:t>angioedem</w:t>
      </w:r>
      <w:proofErr w:type="spellEnd"/>
      <w:r w:rsidRPr="00F3439A">
        <w:rPr>
          <w:lang w:val="sr-Latn-ME"/>
        </w:rPr>
        <w:t xml:space="preserve"> ili </w:t>
      </w:r>
      <w:proofErr w:type="spellStart"/>
      <w:r w:rsidRPr="00F3439A">
        <w:rPr>
          <w:lang w:val="sr-Latn-ME"/>
        </w:rPr>
        <w:t>HAE</w:t>
      </w:r>
      <w:proofErr w:type="spellEnd"/>
      <w:r w:rsidRPr="00F3439A">
        <w:rPr>
          <w:lang w:val="sr-Latn-ME"/>
        </w:rPr>
        <w:t xml:space="preserve"> je </w:t>
      </w:r>
      <w:proofErr w:type="spellStart"/>
      <w:r w:rsidRPr="00F3439A">
        <w:rPr>
          <w:lang w:val="sr-Latn-ME"/>
        </w:rPr>
        <w:t>autozomno</w:t>
      </w:r>
      <w:proofErr w:type="spellEnd"/>
      <w:r w:rsidRPr="00F3439A">
        <w:rPr>
          <w:lang w:val="sr-Latn-ME"/>
        </w:rPr>
        <w:t xml:space="preserve"> dominantna bolest uzrokovana odsustvom ili poremećajem funkcije </w:t>
      </w:r>
      <w:proofErr w:type="spellStart"/>
      <w:r w:rsidRPr="00F3439A">
        <w:rPr>
          <w:lang w:val="sr-Latn-ME"/>
        </w:rPr>
        <w:t>inhibitora</w:t>
      </w:r>
      <w:proofErr w:type="spellEnd"/>
      <w:r w:rsidRPr="00F3439A">
        <w:rPr>
          <w:lang w:val="sr-Latn-ME"/>
        </w:rPr>
        <w:t xml:space="preserve"> </w:t>
      </w:r>
      <w:proofErr w:type="spellStart"/>
      <w:r w:rsidRPr="00F3439A">
        <w:rPr>
          <w:lang w:val="sr-Latn-ME"/>
        </w:rPr>
        <w:t>C1</w:t>
      </w:r>
      <w:proofErr w:type="spellEnd"/>
      <w:r w:rsidRPr="00F3439A">
        <w:rPr>
          <w:lang w:val="sr-Latn-ME"/>
        </w:rPr>
        <w:t xml:space="preserve"> </w:t>
      </w:r>
      <w:proofErr w:type="spellStart"/>
      <w:r w:rsidRPr="00F3439A">
        <w:rPr>
          <w:lang w:val="sr-Latn-ME"/>
        </w:rPr>
        <w:t>esteraze</w:t>
      </w:r>
      <w:proofErr w:type="spellEnd"/>
      <w:r w:rsidRPr="00F3439A">
        <w:rPr>
          <w:lang w:val="sr-Latn-ME"/>
        </w:rPr>
        <w:t xml:space="preserve">. Napadi </w:t>
      </w:r>
      <w:proofErr w:type="spellStart"/>
      <w:r w:rsidRPr="00F3439A">
        <w:rPr>
          <w:lang w:val="sr-Latn-ME"/>
        </w:rPr>
        <w:t>nasl</w:t>
      </w:r>
      <w:r w:rsidR="003E6377">
        <w:rPr>
          <w:lang w:val="sr-Latn-ME"/>
        </w:rPr>
        <w:t>j</w:t>
      </w:r>
      <w:r w:rsidRPr="00F3439A">
        <w:rPr>
          <w:lang w:val="sr-Latn-ME"/>
        </w:rPr>
        <w:t>ednog</w:t>
      </w:r>
      <w:proofErr w:type="spellEnd"/>
      <w:r w:rsidRPr="00F3439A">
        <w:rPr>
          <w:lang w:val="sr-Latn-ME"/>
        </w:rPr>
        <w:t xml:space="preserve"> </w:t>
      </w:r>
      <w:proofErr w:type="spellStart"/>
      <w:r w:rsidRPr="00F3439A">
        <w:rPr>
          <w:lang w:val="sr-Latn-ME"/>
        </w:rPr>
        <w:t>angioedema</w:t>
      </w:r>
      <w:proofErr w:type="spellEnd"/>
      <w:r w:rsidRPr="00F3439A">
        <w:rPr>
          <w:lang w:val="sr-Latn-ME"/>
        </w:rPr>
        <w:t xml:space="preserve"> (</w:t>
      </w:r>
      <w:proofErr w:type="spellStart"/>
      <w:r w:rsidRPr="00F3439A">
        <w:rPr>
          <w:lang w:val="sr-Latn-ME"/>
        </w:rPr>
        <w:t>HAE</w:t>
      </w:r>
      <w:proofErr w:type="spellEnd"/>
      <w:r w:rsidRPr="00F3439A">
        <w:rPr>
          <w:lang w:val="sr-Latn-ME"/>
        </w:rPr>
        <w:t xml:space="preserve">) praćeni su pojačanim otpuštanjem </w:t>
      </w:r>
      <w:proofErr w:type="spellStart"/>
      <w:r w:rsidRPr="00F3439A">
        <w:rPr>
          <w:lang w:val="sr-Latn-ME"/>
        </w:rPr>
        <w:t>bradikinina</w:t>
      </w:r>
      <w:proofErr w:type="spellEnd"/>
      <w:r w:rsidRPr="00F3439A">
        <w:rPr>
          <w:lang w:val="sr-Latn-ME"/>
        </w:rPr>
        <w:t>, koji je glavni posrednik u razvoju kliničkih simptoma.</w:t>
      </w:r>
    </w:p>
    <w:p w14:paraId="03E4CFFF" w14:textId="77777777" w:rsidR="00B3417A" w:rsidRPr="00F3439A" w:rsidRDefault="00B3417A" w:rsidP="005F546A">
      <w:pPr>
        <w:pStyle w:val="BodyText"/>
        <w:spacing w:before="8"/>
        <w:rPr>
          <w:lang w:val="sr-Latn-ME"/>
        </w:rPr>
      </w:pPr>
    </w:p>
    <w:p w14:paraId="7C0C238E" w14:textId="1B99291F" w:rsidR="00B3417A" w:rsidRPr="00F3439A" w:rsidRDefault="00B3417A" w:rsidP="005F546A">
      <w:pPr>
        <w:pStyle w:val="BodyText"/>
        <w:spacing w:before="8"/>
        <w:ind w:left="0"/>
        <w:rPr>
          <w:lang w:val="sr-Latn-ME"/>
        </w:rPr>
      </w:pPr>
      <w:proofErr w:type="spellStart"/>
      <w:r w:rsidRPr="00F3439A">
        <w:rPr>
          <w:lang w:val="sr-Latn-ME"/>
        </w:rPr>
        <w:t>Nasl</w:t>
      </w:r>
      <w:r w:rsidR="003E6377">
        <w:rPr>
          <w:lang w:val="sr-Latn-ME"/>
        </w:rPr>
        <w:t>j</w:t>
      </w:r>
      <w:r w:rsidRPr="00F3439A">
        <w:rPr>
          <w:lang w:val="sr-Latn-ME"/>
        </w:rPr>
        <w:t>edni</w:t>
      </w:r>
      <w:proofErr w:type="spellEnd"/>
      <w:r w:rsidRPr="00F3439A">
        <w:rPr>
          <w:lang w:val="sr-Latn-ME"/>
        </w:rPr>
        <w:t xml:space="preserve"> </w:t>
      </w:r>
      <w:proofErr w:type="spellStart"/>
      <w:r w:rsidRPr="00F3439A">
        <w:rPr>
          <w:lang w:val="sr-Latn-ME"/>
        </w:rPr>
        <w:t>angioedem</w:t>
      </w:r>
      <w:proofErr w:type="spellEnd"/>
      <w:r w:rsidRPr="00F3439A">
        <w:rPr>
          <w:lang w:val="sr-Latn-ME"/>
        </w:rPr>
        <w:t xml:space="preserve"> (</w:t>
      </w:r>
      <w:proofErr w:type="spellStart"/>
      <w:r w:rsidRPr="00F3439A">
        <w:rPr>
          <w:lang w:val="sr-Latn-ME"/>
        </w:rPr>
        <w:t>HAE</w:t>
      </w:r>
      <w:proofErr w:type="spellEnd"/>
      <w:r w:rsidRPr="00F3439A">
        <w:rPr>
          <w:lang w:val="sr-Latn-ME"/>
        </w:rPr>
        <w:t xml:space="preserve">) se manifestuje </w:t>
      </w:r>
      <w:proofErr w:type="spellStart"/>
      <w:r w:rsidRPr="00F3439A">
        <w:rPr>
          <w:lang w:val="sr-Latn-ME"/>
        </w:rPr>
        <w:t>intermitentnim</w:t>
      </w:r>
      <w:proofErr w:type="spellEnd"/>
      <w:r w:rsidRPr="00F3439A">
        <w:rPr>
          <w:lang w:val="sr-Latn-ME"/>
        </w:rPr>
        <w:t xml:space="preserve"> napadima potkožnog i/ili </w:t>
      </w:r>
      <w:proofErr w:type="spellStart"/>
      <w:r w:rsidRPr="00F3439A">
        <w:rPr>
          <w:lang w:val="sr-Latn-ME"/>
        </w:rPr>
        <w:t>submukoznog</w:t>
      </w:r>
      <w:proofErr w:type="spellEnd"/>
      <w:r w:rsidRPr="00F3439A">
        <w:rPr>
          <w:lang w:val="sr-Latn-ME"/>
        </w:rPr>
        <w:t xml:space="preserve"> </w:t>
      </w:r>
      <w:proofErr w:type="spellStart"/>
      <w:r w:rsidRPr="00F3439A">
        <w:rPr>
          <w:lang w:val="sr-Latn-ME"/>
        </w:rPr>
        <w:t>edema</w:t>
      </w:r>
      <w:proofErr w:type="spellEnd"/>
      <w:r w:rsidRPr="00F3439A">
        <w:rPr>
          <w:lang w:val="sr-Latn-ME"/>
        </w:rPr>
        <w:t xml:space="preserve"> koji zahvata gornje disajne puteve, kožu i probavni sistem. Napad obično traje između 2 do 5 dana.</w:t>
      </w:r>
    </w:p>
    <w:p w14:paraId="78BCE815" w14:textId="77777777" w:rsidR="00B3417A" w:rsidRPr="00F3439A" w:rsidRDefault="00B3417A" w:rsidP="005F546A">
      <w:pPr>
        <w:pStyle w:val="BodyText"/>
        <w:spacing w:before="8"/>
        <w:rPr>
          <w:lang w:val="sr-Latn-ME"/>
        </w:rPr>
      </w:pPr>
    </w:p>
    <w:p w14:paraId="0220643F" w14:textId="77777777" w:rsidR="00B3417A" w:rsidRPr="00F3439A" w:rsidRDefault="00B3417A" w:rsidP="005F546A">
      <w:pPr>
        <w:pStyle w:val="BodyText"/>
        <w:spacing w:before="8"/>
        <w:ind w:left="0"/>
        <w:rPr>
          <w:lang w:val="sr-Latn-ME"/>
        </w:rPr>
      </w:pPr>
      <w:proofErr w:type="spellStart"/>
      <w:r w:rsidRPr="00F3439A">
        <w:rPr>
          <w:lang w:val="sr-Latn-ME"/>
        </w:rPr>
        <w:t>Ikatibant</w:t>
      </w:r>
      <w:proofErr w:type="spellEnd"/>
      <w:r w:rsidRPr="00F3439A">
        <w:rPr>
          <w:lang w:val="sr-Latn-ME"/>
        </w:rPr>
        <w:t xml:space="preserve"> je selektivni </w:t>
      </w:r>
      <w:proofErr w:type="spellStart"/>
      <w:r w:rsidRPr="00F3439A">
        <w:rPr>
          <w:lang w:val="sr-Latn-ME"/>
        </w:rPr>
        <w:t>kompetitivni</w:t>
      </w:r>
      <w:proofErr w:type="spellEnd"/>
      <w:r w:rsidRPr="00F3439A">
        <w:rPr>
          <w:lang w:val="sr-Latn-ME"/>
        </w:rPr>
        <w:t xml:space="preserve"> antagonist receptora za </w:t>
      </w:r>
      <w:proofErr w:type="spellStart"/>
      <w:r w:rsidRPr="00F3439A">
        <w:rPr>
          <w:lang w:val="sr-Latn-ME"/>
        </w:rPr>
        <w:t>bradikinin</w:t>
      </w:r>
      <w:proofErr w:type="spellEnd"/>
      <w:r w:rsidRPr="00F3439A">
        <w:rPr>
          <w:lang w:val="sr-Latn-ME"/>
        </w:rPr>
        <w:t xml:space="preserve"> tipa 2 (</w:t>
      </w:r>
      <w:proofErr w:type="spellStart"/>
      <w:r w:rsidRPr="00F3439A">
        <w:rPr>
          <w:lang w:val="sr-Latn-ME"/>
        </w:rPr>
        <w:t>B2</w:t>
      </w:r>
      <w:proofErr w:type="spellEnd"/>
      <w:r w:rsidRPr="00F3439A">
        <w:rPr>
          <w:lang w:val="sr-Latn-ME"/>
        </w:rPr>
        <w:t xml:space="preserve">). To je sintetički </w:t>
      </w:r>
      <w:proofErr w:type="spellStart"/>
      <w:r w:rsidRPr="00F3439A">
        <w:rPr>
          <w:lang w:val="sr-Latn-ME"/>
        </w:rPr>
        <w:t>dekapeptid</w:t>
      </w:r>
      <w:proofErr w:type="spellEnd"/>
      <w:r w:rsidRPr="00F3439A">
        <w:rPr>
          <w:lang w:val="sr-Latn-ME"/>
        </w:rPr>
        <w:t xml:space="preserve"> sa strukturom sličnom </w:t>
      </w:r>
      <w:proofErr w:type="spellStart"/>
      <w:r w:rsidRPr="00F3439A">
        <w:rPr>
          <w:lang w:val="sr-Latn-ME"/>
        </w:rPr>
        <w:t>bradikininu</w:t>
      </w:r>
      <w:proofErr w:type="spellEnd"/>
      <w:r w:rsidRPr="00F3439A">
        <w:rPr>
          <w:lang w:val="sr-Latn-ME"/>
        </w:rPr>
        <w:t xml:space="preserve">, ali sa 5 </w:t>
      </w:r>
      <w:proofErr w:type="spellStart"/>
      <w:r w:rsidRPr="00F3439A">
        <w:rPr>
          <w:lang w:val="sr-Latn-ME"/>
        </w:rPr>
        <w:t>neproteinogenih</w:t>
      </w:r>
      <w:proofErr w:type="spellEnd"/>
      <w:r w:rsidRPr="00F3439A">
        <w:rPr>
          <w:lang w:val="sr-Latn-ME"/>
        </w:rPr>
        <w:t xml:space="preserve"> </w:t>
      </w:r>
      <w:proofErr w:type="spellStart"/>
      <w:r w:rsidRPr="00F3439A">
        <w:rPr>
          <w:lang w:val="sr-Latn-ME"/>
        </w:rPr>
        <w:t>aminokiselina</w:t>
      </w:r>
      <w:proofErr w:type="spellEnd"/>
      <w:r w:rsidRPr="00F3439A">
        <w:rPr>
          <w:lang w:val="sr-Latn-ME"/>
        </w:rPr>
        <w:t xml:space="preserve">. U HAE je povišena koncentracija </w:t>
      </w:r>
      <w:proofErr w:type="spellStart"/>
      <w:r w:rsidRPr="00F3439A">
        <w:rPr>
          <w:lang w:val="sr-Latn-ME"/>
        </w:rPr>
        <w:t>bradikinina</w:t>
      </w:r>
      <w:proofErr w:type="spellEnd"/>
      <w:r w:rsidRPr="00F3439A">
        <w:rPr>
          <w:lang w:val="sr-Latn-ME"/>
        </w:rPr>
        <w:t xml:space="preserve"> ključni posrednik u razvoju kliničkih simptoma.</w:t>
      </w:r>
    </w:p>
    <w:p w14:paraId="2FB266AE" w14:textId="77777777" w:rsidR="00B3417A" w:rsidRPr="00F3439A" w:rsidRDefault="00B3417A" w:rsidP="005F546A">
      <w:pPr>
        <w:pStyle w:val="BodyText"/>
        <w:spacing w:before="8"/>
        <w:ind w:left="0"/>
        <w:rPr>
          <w:sz w:val="20"/>
          <w:lang w:val="sr-Latn-ME"/>
        </w:rPr>
      </w:pPr>
    </w:p>
    <w:p w14:paraId="6A19F7FA" w14:textId="77777777" w:rsidR="00B3417A" w:rsidRPr="00F3439A" w:rsidRDefault="00B3417A" w:rsidP="005F546A">
      <w:pPr>
        <w:pStyle w:val="BodyText"/>
        <w:spacing w:before="8"/>
        <w:ind w:left="0"/>
        <w:rPr>
          <w:u w:val="single"/>
          <w:lang w:val="sr-Latn-ME"/>
        </w:rPr>
      </w:pPr>
      <w:proofErr w:type="spellStart"/>
      <w:r w:rsidRPr="00F3439A">
        <w:rPr>
          <w:u w:val="single"/>
          <w:lang w:val="sr-Latn-ME"/>
        </w:rPr>
        <w:t>Farmakodinamsko</w:t>
      </w:r>
      <w:proofErr w:type="spellEnd"/>
      <w:r w:rsidRPr="00F3439A">
        <w:rPr>
          <w:u w:val="single"/>
          <w:lang w:val="sr-Latn-ME"/>
        </w:rPr>
        <w:t xml:space="preserve"> dejstvo</w:t>
      </w:r>
    </w:p>
    <w:p w14:paraId="014B2FB4" w14:textId="77777777" w:rsidR="00B3417A" w:rsidRPr="00F3439A" w:rsidRDefault="00B3417A" w:rsidP="005F546A">
      <w:pPr>
        <w:pStyle w:val="BodyText"/>
        <w:spacing w:before="8"/>
        <w:ind w:left="0"/>
        <w:rPr>
          <w:u w:val="single"/>
          <w:lang w:val="sr-Latn-ME"/>
        </w:rPr>
      </w:pPr>
    </w:p>
    <w:p w14:paraId="3C71C5DC" w14:textId="3CD2674F" w:rsidR="00B3417A" w:rsidRPr="00F3439A" w:rsidRDefault="00B3417A" w:rsidP="005F546A">
      <w:pPr>
        <w:pStyle w:val="BodyText"/>
        <w:spacing w:before="8"/>
        <w:ind w:left="0"/>
        <w:rPr>
          <w:lang w:val="sr-Latn-ME"/>
        </w:rPr>
      </w:pPr>
      <w:r w:rsidRPr="00F3439A">
        <w:rPr>
          <w:lang w:val="sr-Latn-ME"/>
        </w:rPr>
        <w:t xml:space="preserve">Kod zdravih mladih ispitanika, </w:t>
      </w:r>
      <w:proofErr w:type="spellStart"/>
      <w:r w:rsidRPr="00F3439A">
        <w:rPr>
          <w:lang w:val="sr-Latn-ME"/>
        </w:rPr>
        <w:t>ikatibant</w:t>
      </w:r>
      <w:proofErr w:type="spellEnd"/>
      <w:r w:rsidRPr="00F3439A">
        <w:rPr>
          <w:lang w:val="sr-Latn-ME"/>
        </w:rPr>
        <w:t xml:space="preserve"> upotr</w:t>
      </w:r>
      <w:r w:rsidR="00D028E0">
        <w:rPr>
          <w:lang w:val="sr-Latn-ME"/>
        </w:rPr>
        <w:t>ij</w:t>
      </w:r>
      <w:r w:rsidRPr="00F3439A">
        <w:rPr>
          <w:lang w:val="sr-Latn-ME"/>
        </w:rPr>
        <w:t>ebljen u dozama od 0,8 mg/kg kroz 4 časa; 1,5 mg/kg/dan ili 0,15 mg/kg/dan kroz 3 dana, spr</w:t>
      </w:r>
      <w:r w:rsidR="00D028E0">
        <w:rPr>
          <w:lang w:val="sr-Latn-ME"/>
        </w:rPr>
        <w:t>ij</w:t>
      </w:r>
      <w:r w:rsidRPr="00F3439A">
        <w:rPr>
          <w:lang w:val="sr-Latn-ME"/>
        </w:rPr>
        <w:t xml:space="preserve">ečio je nastanak </w:t>
      </w:r>
      <w:proofErr w:type="spellStart"/>
      <w:r w:rsidRPr="00F3439A">
        <w:rPr>
          <w:lang w:val="sr-Latn-ME"/>
        </w:rPr>
        <w:t>hipotenzije</w:t>
      </w:r>
      <w:proofErr w:type="spellEnd"/>
      <w:r w:rsidRPr="00F3439A">
        <w:rPr>
          <w:lang w:val="sr-Latn-ME"/>
        </w:rPr>
        <w:t xml:space="preserve">, </w:t>
      </w:r>
      <w:proofErr w:type="spellStart"/>
      <w:r w:rsidRPr="00F3439A">
        <w:rPr>
          <w:lang w:val="sr-Latn-ME"/>
        </w:rPr>
        <w:t>vazodilatacije</w:t>
      </w:r>
      <w:proofErr w:type="spellEnd"/>
      <w:r w:rsidRPr="00F3439A">
        <w:rPr>
          <w:lang w:val="sr-Latn-ME"/>
        </w:rPr>
        <w:t xml:space="preserve"> i refleksne tahikardije, uzrokovane </w:t>
      </w:r>
      <w:proofErr w:type="spellStart"/>
      <w:r w:rsidRPr="00F3439A">
        <w:rPr>
          <w:lang w:val="sr-Latn-ME"/>
        </w:rPr>
        <w:t>bradikininom</w:t>
      </w:r>
      <w:proofErr w:type="spellEnd"/>
      <w:r w:rsidRPr="00F3439A">
        <w:rPr>
          <w:lang w:val="sr-Latn-ME"/>
        </w:rPr>
        <w:t xml:space="preserve">. Pokazalo se da je </w:t>
      </w:r>
      <w:proofErr w:type="spellStart"/>
      <w:r w:rsidRPr="00F3439A">
        <w:rPr>
          <w:lang w:val="sr-Latn-ME"/>
        </w:rPr>
        <w:t>ikatibant</w:t>
      </w:r>
      <w:proofErr w:type="spellEnd"/>
      <w:r w:rsidRPr="00F3439A">
        <w:rPr>
          <w:lang w:val="sr-Latn-ME"/>
        </w:rPr>
        <w:t xml:space="preserve"> </w:t>
      </w:r>
      <w:proofErr w:type="spellStart"/>
      <w:r w:rsidRPr="00F3439A">
        <w:rPr>
          <w:lang w:val="sr-Latn-ME"/>
        </w:rPr>
        <w:t>kompetitivni</w:t>
      </w:r>
      <w:proofErr w:type="spellEnd"/>
      <w:r w:rsidRPr="00F3439A">
        <w:rPr>
          <w:lang w:val="sr-Latn-ME"/>
        </w:rPr>
        <w:t xml:space="preserve"> antagonist, kada je doza </w:t>
      </w:r>
      <w:proofErr w:type="spellStart"/>
      <w:r w:rsidRPr="00F3439A">
        <w:rPr>
          <w:lang w:val="sr-Latn-ME"/>
        </w:rPr>
        <w:t>bradikinina</w:t>
      </w:r>
      <w:proofErr w:type="spellEnd"/>
      <w:r w:rsidRPr="00F3439A">
        <w:rPr>
          <w:lang w:val="sr-Latn-ME"/>
        </w:rPr>
        <w:t>, upotr</w:t>
      </w:r>
      <w:r w:rsidR="00A97539">
        <w:rPr>
          <w:lang w:val="sr-Latn-ME"/>
        </w:rPr>
        <w:t>ij</w:t>
      </w:r>
      <w:r w:rsidRPr="00F3439A">
        <w:rPr>
          <w:lang w:val="sr-Latn-ME"/>
        </w:rPr>
        <w:t>ebljenog radi izazivanja reakcije, povećana 4 puta.</w:t>
      </w:r>
    </w:p>
    <w:p w14:paraId="73C06EF9" w14:textId="08AAC1AB" w:rsidR="00B3417A" w:rsidRDefault="00B3417A" w:rsidP="005F546A">
      <w:pPr>
        <w:pStyle w:val="BodyText"/>
        <w:spacing w:before="8"/>
        <w:ind w:left="0"/>
        <w:rPr>
          <w:lang w:val="sr-Latn-ME"/>
        </w:rPr>
      </w:pPr>
    </w:p>
    <w:p w14:paraId="19D4831B" w14:textId="77777777" w:rsidR="008C51F8" w:rsidRPr="00F3439A" w:rsidRDefault="008C51F8" w:rsidP="005F546A">
      <w:pPr>
        <w:pStyle w:val="BodyText"/>
        <w:spacing w:before="8"/>
        <w:ind w:left="0"/>
        <w:rPr>
          <w:lang w:val="sr-Latn-ME"/>
        </w:rPr>
      </w:pPr>
    </w:p>
    <w:p w14:paraId="386E3AE5" w14:textId="74946E7F" w:rsidR="00B3417A" w:rsidRPr="00F3439A" w:rsidRDefault="00B3417A" w:rsidP="005F546A">
      <w:pPr>
        <w:pStyle w:val="BodyText"/>
        <w:spacing w:before="8"/>
        <w:ind w:left="0"/>
        <w:rPr>
          <w:u w:val="single"/>
          <w:lang w:val="sr-Latn-ME"/>
        </w:rPr>
      </w:pPr>
      <w:r w:rsidRPr="00F3439A">
        <w:rPr>
          <w:u w:val="single"/>
          <w:lang w:val="sr-Latn-ME"/>
        </w:rPr>
        <w:lastRenderedPageBreak/>
        <w:t>Klinička efikasnost i bezb</w:t>
      </w:r>
      <w:r w:rsidR="00E278AD" w:rsidRPr="00F3439A">
        <w:rPr>
          <w:u w:val="single"/>
          <w:lang w:val="sr-Latn-ME"/>
        </w:rPr>
        <w:t>j</w:t>
      </w:r>
      <w:r w:rsidRPr="00F3439A">
        <w:rPr>
          <w:u w:val="single"/>
          <w:lang w:val="sr-Latn-ME"/>
        </w:rPr>
        <w:t>ednost</w:t>
      </w:r>
    </w:p>
    <w:p w14:paraId="77D64784" w14:textId="77777777" w:rsidR="00B3417A" w:rsidRPr="00F3439A" w:rsidRDefault="00B3417A" w:rsidP="005F546A">
      <w:pPr>
        <w:pStyle w:val="BodyText"/>
        <w:spacing w:before="8"/>
        <w:ind w:left="0"/>
        <w:rPr>
          <w:lang w:val="sr-Latn-ME"/>
        </w:rPr>
      </w:pPr>
    </w:p>
    <w:p w14:paraId="72829B78" w14:textId="77777777" w:rsidR="00B3417A" w:rsidRPr="00F3439A" w:rsidRDefault="00B3417A" w:rsidP="005F546A">
      <w:pPr>
        <w:pStyle w:val="BodyText"/>
        <w:spacing w:before="8"/>
        <w:ind w:left="0"/>
        <w:rPr>
          <w:lang w:val="sr-Latn-ME"/>
        </w:rPr>
      </w:pPr>
      <w:r w:rsidRPr="00F3439A">
        <w:rPr>
          <w:lang w:val="sr-Latn-ME"/>
        </w:rPr>
        <w:t>Podaci o efikasnosti su dobijeni iz početne otvorene studije II faze i iz tri kontrolisane studije III faze.</w:t>
      </w:r>
    </w:p>
    <w:p w14:paraId="17934900" w14:textId="77777777" w:rsidR="00B3417A" w:rsidRPr="00F3439A" w:rsidRDefault="00B3417A" w:rsidP="005F546A">
      <w:pPr>
        <w:pStyle w:val="BodyText"/>
        <w:spacing w:before="8"/>
        <w:ind w:left="0"/>
        <w:rPr>
          <w:lang w:val="sr-Latn-ME"/>
        </w:rPr>
      </w:pPr>
    </w:p>
    <w:p w14:paraId="086448F7" w14:textId="39144C16" w:rsidR="00B3417A" w:rsidRPr="00F3439A" w:rsidRDefault="00B3417A" w:rsidP="005F546A">
      <w:pPr>
        <w:pStyle w:val="BodyText"/>
        <w:spacing w:before="8"/>
        <w:ind w:left="0"/>
        <w:rPr>
          <w:lang w:val="sr-Latn-ME"/>
        </w:rPr>
      </w:pPr>
      <w:r w:rsidRPr="00F3439A">
        <w:rPr>
          <w:lang w:val="sr-Latn-ME"/>
        </w:rPr>
        <w:t>Kliničke studije III faze (FAST-1 i FAST-2) bile su randomizovane, dvostruko sl</w:t>
      </w:r>
      <w:r w:rsidR="00E278AD" w:rsidRPr="00F3439A">
        <w:rPr>
          <w:lang w:val="sr-Latn-ME"/>
        </w:rPr>
        <w:t>ij</w:t>
      </w:r>
      <w:r w:rsidRPr="00F3439A">
        <w:rPr>
          <w:lang w:val="sr-Latn-ME"/>
        </w:rPr>
        <w:t xml:space="preserve">epe, kontrolisane studije sa istim dizajnom, sa jedinom razlikom u odabiru </w:t>
      </w:r>
      <w:proofErr w:type="spellStart"/>
      <w:r w:rsidRPr="00F3439A">
        <w:rPr>
          <w:lang w:val="sr-Latn-ME"/>
        </w:rPr>
        <w:t>komparatora</w:t>
      </w:r>
      <w:proofErr w:type="spellEnd"/>
      <w:r w:rsidRPr="00F3439A">
        <w:rPr>
          <w:lang w:val="sr-Latn-ME"/>
        </w:rPr>
        <w:t xml:space="preserve"> (u jednom ispitivanju </w:t>
      </w:r>
      <w:proofErr w:type="spellStart"/>
      <w:r w:rsidRPr="00F3439A">
        <w:rPr>
          <w:lang w:val="sr-Latn-ME"/>
        </w:rPr>
        <w:t>komparator</w:t>
      </w:r>
      <w:proofErr w:type="spellEnd"/>
      <w:r w:rsidRPr="00F3439A">
        <w:rPr>
          <w:lang w:val="sr-Latn-ME"/>
        </w:rPr>
        <w:t xml:space="preserve"> je bila oralna </w:t>
      </w:r>
      <w:proofErr w:type="spellStart"/>
      <w:r w:rsidRPr="00F3439A">
        <w:rPr>
          <w:lang w:val="sr-Latn-ME"/>
        </w:rPr>
        <w:t>traneksamična</w:t>
      </w:r>
      <w:proofErr w:type="spellEnd"/>
      <w:r w:rsidRPr="00F3439A">
        <w:rPr>
          <w:lang w:val="sr-Latn-ME"/>
        </w:rPr>
        <w:t xml:space="preserve"> kiselina a u drugom </w:t>
      </w:r>
      <w:proofErr w:type="spellStart"/>
      <w:r w:rsidRPr="00F3439A">
        <w:rPr>
          <w:lang w:val="sr-Latn-ME"/>
        </w:rPr>
        <w:t>placebo</w:t>
      </w:r>
      <w:proofErr w:type="spellEnd"/>
      <w:r w:rsidRPr="00F3439A">
        <w:rPr>
          <w:lang w:val="sr-Latn-ME"/>
        </w:rPr>
        <w:t xml:space="preserve">). Ukupno je randomizovano 130 pacijenata da prime ili dozu od 30 mg </w:t>
      </w:r>
      <w:proofErr w:type="spellStart"/>
      <w:r w:rsidRPr="00F3439A">
        <w:rPr>
          <w:lang w:val="sr-Latn-ME"/>
        </w:rPr>
        <w:t>ikatibanta</w:t>
      </w:r>
      <w:proofErr w:type="spellEnd"/>
      <w:r w:rsidRPr="00F3439A">
        <w:rPr>
          <w:lang w:val="sr-Latn-ME"/>
        </w:rPr>
        <w:t xml:space="preserve"> (63 pacijenta) ili </w:t>
      </w:r>
      <w:proofErr w:type="spellStart"/>
      <w:r w:rsidRPr="00F3439A">
        <w:rPr>
          <w:lang w:val="sr-Latn-ME"/>
        </w:rPr>
        <w:t>komparator</w:t>
      </w:r>
      <w:proofErr w:type="spellEnd"/>
      <w:r w:rsidRPr="00F3439A">
        <w:rPr>
          <w:lang w:val="sr-Latn-ME"/>
        </w:rPr>
        <w:t xml:space="preserve"> (</w:t>
      </w:r>
      <w:proofErr w:type="spellStart"/>
      <w:r w:rsidRPr="00F3439A">
        <w:rPr>
          <w:lang w:val="sr-Latn-ME"/>
        </w:rPr>
        <w:t>traneksamičnu</w:t>
      </w:r>
      <w:proofErr w:type="spellEnd"/>
      <w:r w:rsidRPr="00F3439A">
        <w:rPr>
          <w:lang w:val="sr-Latn-ME"/>
        </w:rPr>
        <w:t xml:space="preserve"> kiselinu, - 38 ili </w:t>
      </w:r>
      <w:proofErr w:type="spellStart"/>
      <w:r w:rsidRPr="00F3439A">
        <w:rPr>
          <w:lang w:val="sr-Latn-ME"/>
        </w:rPr>
        <w:t>placebo</w:t>
      </w:r>
      <w:proofErr w:type="spellEnd"/>
      <w:r w:rsidRPr="00F3439A">
        <w:rPr>
          <w:lang w:val="sr-Latn-ME"/>
        </w:rPr>
        <w:t xml:space="preserve"> - 29 pacijenata). Sl</w:t>
      </w:r>
      <w:r w:rsidR="003E6377">
        <w:rPr>
          <w:lang w:val="sr-Latn-ME"/>
        </w:rPr>
        <w:t>j</w:t>
      </w:r>
      <w:r w:rsidRPr="00F3439A">
        <w:rPr>
          <w:lang w:val="sr-Latn-ME"/>
        </w:rPr>
        <w:t>edeće epizode HAE l</w:t>
      </w:r>
      <w:r w:rsidR="00E278AD" w:rsidRPr="00F3439A">
        <w:rPr>
          <w:lang w:val="sr-Latn-ME"/>
        </w:rPr>
        <w:t>ij</w:t>
      </w:r>
      <w:r w:rsidRPr="00F3439A">
        <w:rPr>
          <w:lang w:val="sr-Latn-ME"/>
        </w:rPr>
        <w:t xml:space="preserve">ečene su u produžetku otvorene studije. Pacijenti sa simptomima </w:t>
      </w:r>
      <w:proofErr w:type="spellStart"/>
      <w:r w:rsidRPr="00F3439A">
        <w:rPr>
          <w:lang w:val="sr-Latn-ME"/>
        </w:rPr>
        <w:t>angioedema</w:t>
      </w:r>
      <w:proofErr w:type="spellEnd"/>
      <w:r w:rsidRPr="00F3439A">
        <w:rPr>
          <w:lang w:val="sr-Latn-ME"/>
        </w:rPr>
        <w:t xml:space="preserve"> </w:t>
      </w:r>
      <w:proofErr w:type="spellStart"/>
      <w:r w:rsidRPr="00F3439A">
        <w:rPr>
          <w:lang w:val="sr-Latn-ME"/>
        </w:rPr>
        <w:t>larinksa</w:t>
      </w:r>
      <w:proofErr w:type="spellEnd"/>
      <w:r w:rsidRPr="00F3439A">
        <w:rPr>
          <w:lang w:val="sr-Latn-ME"/>
        </w:rPr>
        <w:t xml:space="preserve"> su imali otvoreni tretman </w:t>
      </w:r>
      <w:proofErr w:type="spellStart"/>
      <w:r w:rsidRPr="00F3439A">
        <w:rPr>
          <w:lang w:val="sr-Latn-ME"/>
        </w:rPr>
        <w:t>ikatibantom</w:t>
      </w:r>
      <w:proofErr w:type="spellEnd"/>
      <w:r w:rsidRPr="00F3439A">
        <w:rPr>
          <w:lang w:val="sr-Latn-ME"/>
        </w:rPr>
        <w:t>. Primarni ishod efikasnosti bilo je vr</w:t>
      </w:r>
      <w:r w:rsidR="00E278AD" w:rsidRPr="00F3439A">
        <w:rPr>
          <w:lang w:val="sr-Latn-ME"/>
        </w:rPr>
        <w:t>ij</w:t>
      </w:r>
      <w:r w:rsidRPr="00F3439A">
        <w:rPr>
          <w:lang w:val="sr-Latn-ME"/>
        </w:rPr>
        <w:t>eme do početka povlačenja simptoma proc</w:t>
      </w:r>
      <w:r w:rsidR="00A97539">
        <w:rPr>
          <w:lang w:val="sr-Latn-ME"/>
        </w:rPr>
        <w:t>i</w:t>
      </w:r>
      <w:r w:rsidR="00E278AD" w:rsidRPr="00F3439A">
        <w:rPr>
          <w:lang w:val="sr-Latn-ME"/>
        </w:rPr>
        <w:t>j</w:t>
      </w:r>
      <w:r w:rsidRPr="00F3439A">
        <w:rPr>
          <w:lang w:val="sr-Latn-ME"/>
        </w:rPr>
        <w:t>enjeno vizuelno analognom skalom (VAS). Tabela 3 pokazuje rezultate ispitivanja efikasnosti za ove studije.</w:t>
      </w:r>
    </w:p>
    <w:p w14:paraId="0A4FD58B" w14:textId="77777777" w:rsidR="00B3417A" w:rsidRPr="00F3439A" w:rsidRDefault="00B3417A" w:rsidP="005F546A">
      <w:pPr>
        <w:pStyle w:val="BodyText"/>
        <w:spacing w:before="8"/>
        <w:ind w:left="0"/>
        <w:rPr>
          <w:lang w:val="sr-Latn-ME"/>
        </w:rPr>
      </w:pPr>
    </w:p>
    <w:p w14:paraId="33BFF69C" w14:textId="7A0A6236" w:rsidR="00B3417A" w:rsidRPr="00F3439A" w:rsidRDefault="00B3417A" w:rsidP="005F546A">
      <w:pPr>
        <w:pStyle w:val="BodyText"/>
        <w:spacing w:before="8"/>
        <w:ind w:left="0"/>
        <w:rPr>
          <w:lang w:val="sr-Latn-ME"/>
        </w:rPr>
      </w:pPr>
      <w:proofErr w:type="spellStart"/>
      <w:r w:rsidRPr="00F3439A">
        <w:rPr>
          <w:lang w:val="sr-Latn-ME"/>
        </w:rPr>
        <w:t>FAST</w:t>
      </w:r>
      <w:proofErr w:type="spellEnd"/>
      <w:r w:rsidRPr="00F3439A">
        <w:rPr>
          <w:lang w:val="sr-Latn-ME"/>
        </w:rPr>
        <w:t xml:space="preserve">-3 je </w:t>
      </w:r>
      <w:proofErr w:type="spellStart"/>
      <w:r w:rsidRPr="00F3439A">
        <w:rPr>
          <w:lang w:val="sr-Latn-ME"/>
        </w:rPr>
        <w:t>randomizovana</w:t>
      </w:r>
      <w:proofErr w:type="spellEnd"/>
      <w:r w:rsidRPr="00F3439A">
        <w:rPr>
          <w:lang w:val="sr-Latn-ME"/>
        </w:rPr>
        <w:t xml:space="preserve">, </w:t>
      </w:r>
      <w:proofErr w:type="spellStart"/>
      <w:r w:rsidRPr="00F3439A">
        <w:rPr>
          <w:lang w:val="sr-Latn-ME"/>
        </w:rPr>
        <w:t>placebo</w:t>
      </w:r>
      <w:proofErr w:type="spellEnd"/>
      <w:r w:rsidRPr="00F3439A">
        <w:rPr>
          <w:lang w:val="sr-Latn-ME"/>
        </w:rPr>
        <w:t xml:space="preserve"> kontrolisana, studija sa paralelnim grupama, u koju je uključeno 98 odraslih pacijenata pros</w:t>
      </w:r>
      <w:r w:rsidR="00E278AD" w:rsidRPr="00F3439A">
        <w:rPr>
          <w:lang w:val="sr-Latn-ME"/>
        </w:rPr>
        <w:t>j</w:t>
      </w:r>
      <w:r w:rsidRPr="00F3439A">
        <w:rPr>
          <w:lang w:val="sr-Latn-ME"/>
        </w:rPr>
        <w:t xml:space="preserve">ečne starosti od 36 godina. Pacijenti su </w:t>
      </w:r>
      <w:proofErr w:type="spellStart"/>
      <w:r w:rsidRPr="00F3439A">
        <w:rPr>
          <w:lang w:val="sr-Latn-ME"/>
        </w:rPr>
        <w:t>randomizovani</w:t>
      </w:r>
      <w:proofErr w:type="spellEnd"/>
      <w:r w:rsidRPr="00F3439A">
        <w:rPr>
          <w:lang w:val="sr-Latn-ME"/>
        </w:rPr>
        <w:t xml:space="preserve"> da dobijaju </w:t>
      </w:r>
      <w:proofErr w:type="spellStart"/>
      <w:r w:rsidRPr="00F3439A">
        <w:rPr>
          <w:lang w:val="sr-Latn-ME"/>
        </w:rPr>
        <w:t>ikatibant</w:t>
      </w:r>
      <w:proofErr w:type="spellEnd"/>
      <w:r w:rsidRPr="00F3439A">
        <w:rPr>
          <w:lang w:val="sr-Latn-ME"/>
        </w:rPr>
        <w:t xml:space="preserve"> od 30 mg ili </w:t>
      </w:r>
      <w:proofErr w:type="spellStart"/>
      <w:r w:rsidRPr="00F3439A">
        <w:rPr>
          <w:lang w:val="sr-Latn-ME"/>
        </w:rPr>
        <w:t>placebo</w:t>
      </w:r>
      <w:proofErr w:type="spellEnd"/>
      <w:r w:rsidRPr="00F3439A">
        <w:rPr>
          <w:lang w:val="sr-Latn-ME"/>
        </w:rPr>
        <w:t xml:space="preserve"> potkožno putem injekcije. Podgrupa pacijenata u ovoj studiji je doživ</w:t>
      </w:r>
      <w:r w:rsidR="00A97539">
        <w:rPr>
          <w:lang w:val="sr-Latn-ME"/>
        </w:rPr>
        <w:t>j</w:t>
      </w:r>
      <w:r w:rsidRPr="00F3439A">
        <w:rPr>
          <w:lang w:val="sr-Latn-ME"/>
        </w:rPr>
        <w:t xml:space="preserve">ela akutne HAE napade dok je primala </w:t>
      </w:r>
      <w:proofErr w:type="spellStart"/>
      <w:r w:rsidRPr="00F3439A">
        <w:rPr>
          <w:lang w:val="sr-Latn-ME"/>
        </w:rPr>
        <w:t>androgena</w:t>
      </w:r>
      <w:proofErr w:type="spellEnd"/>
      <w:r w:rsidRPr="00F3439A">
        <w:rPr>
          <w:lang w:val="sr-Latn-ME"/>
        </w:rPr>
        <w:t xml:space="preserve">, </w:t>
      </w:r>
      <w:proofErr w:type="spellStart"/>
      <w:r w:rsidRPr="00F3439A">
        <w:rPr>
          <w:lang w:val="sr-Latn-ME"/>
        </w:rPr>
        <w:t>antifibrinolitička</w:t>
      </w:r>
      <w:proofErr w:type="spellEnd"/>
      <w:r w:rsidRPr="00F3439A">
        <w:rPr>
          <w:lang w:val="sr-Latn-ME"/>
        </w:rPr>
        <w:t xml:space="preserve"> sredstva ili Cl inhibitore. Primarni cilj je vr</w:t>
      </w:r>
      <w:r w:rsidR="00E278AD" w:rsidRPr="00F3439A">
        <w:rPr>
          <w:lang w:val="sr-Latn-ME"/>
        </w:rPr>
        <w:t>ij</w:t>
      </w:r>
      <w:r w:rsidRPr="00F3439A">
        <w:rPr>
          <w:lang w:val="sr-Latn-ME"/>
        </w:rPr>
        <w:t>eme do pojave simptoma olakšanja što se proc</w:t>
      </w:r>
      <w:r w:rsidR="00E278AD" w:rsidRPr="00F3439A">
        <w:rPr>
          <w:lang w:val="sr-Latn-ME"/>
        </w:rPr>
        <w:t>j</w:t>
      </w:r>
      <w:r w:rsidRPr="00F3439A">
        <w:rPr>
          <w:lang w:val="sr-Latn-ME"/>
        </w:rPr>
        <w:t>enjuje korišćenjem kompozitne vizuelne analogne skale sa 3 stavke (VAS-3), koja uključuje proc</w:t>
      </w:r>
      <w:r w:rsidR="00E278AD" w:rsidRPr="00F3439A">
        <w:rPr>
          <w:lang w:val="sr-Latn-ME"/>
        </w:rPr>
        <w:t>j</w:t>
      </w:r>
      <w:r w:rsidRPr="00F3439A">
        <w:rPr>
          <w:lang w:val="sr-Latn-ME"/>
        </w:rPr>
        <w:t>enu oteklina na koži, bol na koži i bolova u stomaku.</w:t>
      </w:r>
    </w:p>
    <w:p w14:paraId="66649297" w14:textId="77777777" w:rsidR="00B3417A" w:rsidRPr="00F3439A" w:rsidRDefault="00B3417A" w:rsidP="005F546A">
      <w:pPr>
        <w:pStyle w:val="BodyText"/>
        <w:spacing w:before="8"/>
        <w:ind w:left="0"/>
        <w:rPr>
          <w:lang w:val="sr-Latn-ME"/>
        </w:rPr>
      </w:pPr>
      <w:r w:rsidRPr="00F3439A">
        <w:rPr>
          <w:lang w:val="sr-Latn-ME"/>
        </w:rPr>
        <w:t>Tabela 4 pokazuje rezultate efikasnosti iz studije FAST-3.</w:t>
      </w:r>
    </w:p>
    <w:p w14:paraId="3B58957B" w14:textId="77777777" w:rsidR="00B3417A" w:rsidRPr="00F3439A" w:rsidRDefault="00B3417A" w:rsidP="005F546A">
      <w:pPr>
        <w:pStyle w:val="BodyText"/>
        <w:spacing w:before="8"/>
        <w:ind w:left="0"/>
        <w:rPr>
          <w:lang w:val="sr-Latn-ME"/>
        </w:rPr>
      </w:pPr>
    </w:p>
    <w:p w14:paraId="506B555E" w14:textId="5C4ECF64" w:rsidR="00B3417A" w:rsidRPr="00F3439A" w:rsidRDefault="00B3417A" w:rsidP="005F546A">
      <w:pPr>
        <w:pStyle w:val="BodyText"/>
        <w:spacing w:before="8"/>
        <w:ind w:left="0"/>
        <w:rPr>
          <w:lang w:val="sr-Latn-ME"/>
        </w:rPr>
      </w:pPr>
      <w:r w:rsidRPr="00F3439A">
        <w:rPr>
          <w:lang w:val="sr-Latn-ME"/>
        </w:rPr>
        <w:t>U ovim studijama, kod pacijenata l</w:t>
      </w:r>
      <w:r w:rsidR="00E278AD" w:rsidRPr="00F3439A">
        <w:rPr>
          <w:lang w:val="sr-Latn-ME"/>
        </w:rPr>
        <w:t>ij</w:t>
      </w:r>
      <w:r w:rsidRPr="00F3439A">
        <w:rPr>
          <w:lang w:val="sr-Latn-ME"/>
        </w:rPr>
        <w:t xml:space="preserve">ečenih </w:t>
      </w:r>
      <w:proofErr w:type="spellStart"/>
      <w:r w:rsidRPr="00F3439A">
        <w:rPr>
          <w:lang w:val="sr-Latn-ME"/>
        </w:rPr>
        <w:t>ikatibantom</w:t>
      </w:r>
      <w:proofErr w:type="spellEnd"/>
      <w:r w:rsidRPr="00F3439A">
        <w:rPr>
          <w:lang w:val="sr-Latn-ME"/>
        </w:rPr>
        <w:t xml:space="preserve"> bila je kraća srednja vr</w:t>
      </w:r>
      <w:r w:rsidR="00E278AD" w:rsidRPr="00F3439A">
        <w:rPr>
          <w:lang w:val="sr-Latn-ME"/>
        </w:rPr>
        <w:t>ij</w:t>
      </w:r>
      <w:r w:rsidRPr="00F3439A">
        <w:rPr>
          <w:lang w:val="sr-Latn-ME"/>
        </w:rPr>
        <w:t xml:space="preserve">ednost </w:t>
      </w:r>
      <w:proofErr w:type="spellStart"/>
      <w:r w:rsidRPr="00F3439A">
        <w:rPr>
          <w:lang w:val="sr-Latn-ME"/>
        </w:rPr>
        <w:t>vremena</w:t>
      </w:r>
      <w:proofErr w:type="spellEnd"/>
      <w:r w:rsidRPr="00F3439A">
        <w:rPr>
          <w:lang w:val="sr-Latn-ME"/>
        </w:rPr>
        <w:t xml:space="preserve"> do početka povlačenja simptoma (2,0, 2,5 i 2,0 časa respektivno) u poređenju sa </w:t>
      </w:r>
      <w:proofErr w:type="spellStart"/>
      <w:r w:rsidRPr="00F3439A">
        <w:rPr>
          <w:lang w:val="sr-Latn-ME"/>
        </w:rPr>
        <w:t>traneksamičnom</w:t>
      </w:r>
      <w:proofErr w:type="spellEnd"/>
      <w:r w:rsidRPr="00F3439A">
        <w:rPr>
          <w:lang w:val="sr-Latn-ME"/>
        </w:rPr>
        <w:t xml:space="preserve"> kiselinom (12,0 časova) i </w:t>
      </w:r>
      <w:proofErr w:type="spellStart"/>
      <w:r w:rsidRPr="00F3439A">
        <w:rPr>
          <w:lang w:val="sr-Latn-ME"/>
        </w:rPr>
        <w:t>placebom</w:t>
      </w:r>
      <w:proofErr w:type="spellEnd"/>
      <w:r w:rsidRPr="00F3439A">
        <w:rPr>
          <w:lang w:val="sr-Latn-ME"/>
        </w:rPr>
        <w:t xml:space="preserve"> (4,6 i 19,8 časova). Efekat l</w:t>
      </w:r>
      <w:r w:rsidR="00E278AD" w:rsidRPr="00F3439A">
        <w:rPr>
          <w:lang w:val="sr-Latn-ME"/>
        </w:rPr>
        <w:t>ij</w:t>
      </w:r>
      <w:r w:rsidRPr="00F3439A">
        <w:rPr>
          <w:lang w:val="sr-Latn-ME"/>
        </w:rPr>
        <w:t xml:space="preserve">ečenja </w:t>
      </w:r>
      <w:proofErr w:type="spellStart"/>
      <w:r w:rsidRPr="00F3439A">
        <w:rPr>
          <w:lang w:val="sr-Latn-ME"/>
        </w:rPr>
        <w:t>ikatibantom</w:t>
      </w:r>
      <w:proofErr w:type="spellEnd"/>
      <w:r w:rsidRPr="00F3439A">
        <w:rPr>
          <w:lang w:val="sr-Latn-ME"/>
        </w:rPr>
        <w:t xml:space="preserve"> potvrđen je sekundarnim ishodima efikasnosti.</w:t>
      </w:r>
    </w:p>
    <w:p w14:paraId="40B6CE24" w14:textId="77777777" w:rsidR="00B3417A" w:rsidRPr="00F3439A" w:rsidRDefault="00B3417A" w:rsidP="005F546A">
      <w:pPr>
        <w:pStyle w:val="BodyText"/>
        <w:spacing w:before="8"/>
        <w:rPr>
          <w:lang w:val="sr-Latn-ME"/>
        </w:rPr>
      </w:pPr>
    </w:p>
    <w:p w14:paraId="400F107F" w14:textId="4480B003" w:rsidR="00B3417A" w:rsidRPr="00F3439A" w:rsidRDefault="00B3417A" w:rsidP="005F546A">
      <w:pPr>
        <w:pStyle w:val="BodyText"/>
        <w:spacing w:before="8"/>
        <w:ind w:left="0"/>
        <w:rPr>
          <w:lang w:val="sr-Latn-ME"/>
        </w:rPr>
      </w:pPr>
      <w:r w:rsidRPr="00F3439A">
        <w:rPr>
          <w:lang w:val="sr-Latn-ME"/>
        </w:rPr>
        <w:t>U integrisanoj analizi kontrolisanih studija III faze, vr</w:t>
      </w:r>
      <w:r w:rsidR="00E278AD" w:rsidRPr="00F3439A">
        <w:rPr>
          <w:lang w:val="sr-Latn-ME"/>
        </w:rPr>
        <w:t>ij</w:t>
      </w:r>
      <w:r w:rsidRPr="00F3439A">
        <w:rPr>
          <w:lang w:val="sr-Latn-ME"/>
        </w:rPr>
        <w:t>eme do pojave simptoma olakšanja i vr</w:t>
      </w:r>
      <w:r w:rsidR="00E278AD" w:rsidRPr="00F3439A">
        <w:rPr>
          <w:lang w:val="sr-Latn-ME"/>
        </w:rPr>
        <w:t>ij</w:t>
      </w:r>
      <w:r w:rsidRPr="00F3439A">
        <w:rPr>
          <w:lang w:val="sr-Latn-ME"/>
        </w:rPr>
        <w:t>eme do pojave primarnog simptoma olakšanja je slično, bez obzira na starosnu grupu, pol, rasu, t</w:t>
      </w:r>
      <w:r w:rsidR="00E278AD" w:rsidRPr="00F3439A">
        <w:rPr>
          <w:lang w:val="sr-Latn-ME"/>
        </w:rPr>
        <w:t>j</w:t>
      </w:r>
      <w:r w:rsidRPr="00F3439A">
        <w:rPr>
          <w:lang w:val="sr-Latn-ME"/>
        </w:rPr>
        <w:t xml:space="preserve">elesnu masu ili da li je ili ne pacijent koristio </w:t>
      </w:r>
      <w:proofErr w:type="spellStart"/>
      <w:r w:rsidRPr="00F3439A">
        <w:rPr>
          <w:lang w:val="sr-Latn-ME"/>
        </w:rPr>
        <w:t>androgena</w:t>
      </w:r>
      <w:proofErr w:type="spellEnd"/>
      <w:r w:rsidRPr="00F3439A">
        <w:rPr>
          <w:lang w:val="sr-Latn-ME"/>
        </w:rPr>
        <w:t xml:space="preserve"> ili </w:t>
      </w:r>
      <w:proofErr w:type="spellStart"/>
      <w:r w:rsidRPr="00F3439A">
        <w:rPr>
          <w:lang w:val="sr-Latn-ME"/>
        </w:rPr>
        <w:t>antifibrinolitička</w:t>
      </w:r>
      <w:proofErr w:type="spellEnd"/>
      <w:r w:rsidRPr="00F3439A">
        <w:rPr>
          <w:lang w:val="sr-Latn-ME"/>
        </w:rPr>
        <w:t xml:space="preserve"> sredstva.</w:t>
      </w:r>
    </w:p>
    <w:p w14:paraId="1CF8B4AD" w14:textId="77777777" w:rsidR="00B3417A" w:rsidRPr="00F3439A" w:rsidRDefault="00B3417A" w:rsidP="005F546A">
      <w:pPr>
        <w:pStyle w:val="BodyText"/>
        <w:spacing w:before="8"/>
        <w:ind w:left="0"/>
        <w:rPr>
          <w:lang w:val="sr-Latn-ME"/>
        </w:rPr>
      </w:pPr>
    </w:p>
    <w:p w14:paraId="0C3810D7" w14:textId="09B404DC" w:rsidR="00B3417A" w:rsidRPr="00F3439A" w:rsidRDefault="00B3417A" w:rsidP="005F546A">
      <w:pPr>
        <w:pStyle w:val="BodyText"/>
        <w:spacing w:before="8"/>
        <w:ind w:left="0"/>
        <w:rPr>
          <w:lang w:val="sr-Latn-ME"/>
        </w:rPr>
      </w:pPr>
      <w:r w:rsidRPr="00F3439A">
        <w:rPr>
          <w:lang w:val="sr-Latn-ME"/>
        </w:rPr>
        <w:t xml:space="preserve">Odgovor je takođe bio konzistentan u ponovljenim napadima u toku kontrolisanih ispitivanja III faze. Ukupno 237 pacijenata je tretirano sa 1386 doza od 30 mg </w:t>
      </w:r>
      <w:proofErr w:type="spellStart"/>
      <w:r w:rsidRPr="00F3439A">
        <w:rPr>
          <w:lang w:val="sr-Latn-ME"/>
        </w:rPr>
        <w:t>ikatibanta</w:t>
      </w:r>
      <w:proofErr w:type="spellEnd"/>
      <w:r w:rsidRPr="00F3439A">
        <w:rPr>
          <w:lang w:val="sr-Latn-ME"/>
        </w:rPr>
        <w:t xml:space="preserve"> u slučaju 1278 akutnih napada HAE. U prvih 15 napada l</w:t>
      </w:r>
      <w:r w:rsidR="00E278AD" w:rsidRPr="00F3439A">
        <w:rPr>
          <w:lang w:val="sr-Latn-ME"/>
        </w:rPr>
        <w:t>ij</w:t>
      </w:r>
      <w:r w:rsidRPr="00F3439A">
        <w:rPr>
          <w:lang w:val="sr-Latn-ME"/>
        </w:rPr>
        <w:t>ečenih l</w:t>
      </w:r>
      <w:r w:rsidR="00E278AD" w:rsidRPr="00F3439A">
        <w:rPr>
          <w:lang w:val="sr-Latn-ME"/>
        </w:rPr>
        <w:t>ij</w:t>
      </w:r>
      <w:r w:rsidRPr="00F3439A">
        <w:rPr>
          <w:lang w:val="sr-Latn-ME"/>
        </w:rPr>
        <w:t xml:space="preserve">ekom </w:t>
      </w:r>
      <w:proofErr w:type="spellStart"/>
      <w:r w:rsidRPr="00F3439A">
        <w:rPr>
          <w:lang w:val="sr-Latn-ME"/>
        </w:rPr>
        <w:t>Ikatibant</w:t>
      </w:r>
      <w:proofErr w:type="spellEnd"/>
      <w:r w:rsidRPr="00F3439A">
        <w:rPr>
          <w:lang w:val="sr-Latn-ME"/>
        </w:rPr>
        <w:t xml:space="preserve"> SK (1114 doza za 1030 napada), srednje vr</w:t>
      </w:r>
      <w:r w:rsidR="00E278AD" w:rsidRPr="00F3439A">
        <w:rPr>
          <w:lang w:val="sr-Latn-ME"/>
        </w:rPr>
        <w:t>ij</w:t>
      </w:r>
      <w:r w:rsidRPr="00F3439A">
        <w:rPr>
          <w:lang w:val="sr-Latn-ME"/>
        </w:rPr>
        <w:t>eme do početka ublažavanja simptoma bilo je slično u svim napadima (2,0 do 2,5 sata). 92,4% ovih napada HAE je tretirano sa jednom dozom l</w:t>
      </w:r>
      <w:r w:rsidR="00E278AD" w:rsidRPr="00F3439A">
        <w:rPr>
          <w:lang w:val="sr-Latn-ME"/>
        </w:rPr>
        <w:t>ij</w:t>
      </w:r>
      <w:r w:rsidRPr="00F3439A">
        <w:rPr>
          <w:lang w:val="sr-Latn-ME"/>
        </w:rPr>
        <w:t xml:space="preserve">eka </w:t>
      </w:r>
      <w:proofErr w:type="spellStart"/>
      <w:r w:rsidRPr="00F3439A">
        <w:rPr>
          <w:lang w:val="sr-Latn-ME"/>
        </w:rPr>
        <w:t>Ikatibant</w:t>
      </w:r>
      <w:proofErr w:type="spellEnd"/>
      <w:r w:rsidRPr="00F3439A">
        <w:rPr>
          <w:lang w:val="sr-Latn-ME"/>
        </w:rPr>
        <w:t xml:space="preserve"> SK.</w:t>
      </w:r>
    </w:p>
    <w:p w14:paraId="5DEAC03A" w14:textId="77777777" w:rsidR="00B3417A" w:rsidRPr="00F3439A" w:rsidRDefault="00B3417A" w:rsidP="005F546A">
      <w:pPr>
        <w:pStyle w:val="BodyText"/>
        <w:spacing w:before="8"/>
        <w:ind w:left="0"/>
        <w:rPr>
          <w:lang w:val="sr-Latn-ME"/>
        </w:rPr>
      </w:pPr>
    </w:p>
    <w:p w14:paraId="11DD4CC9" w14:textId="77777777" w:rsidR="00B3417A" w:rsidRPr="00F3439A" w:rsidRDefault="00B3417A" w:rsidP="005F546A">
      <w:pPr>
        <w:pStyle w:val="BodyText"/>
        <w:spacing w:before="8"/>
        <w:ind w:left="0"/>
        <w:rPr>
          <w:b/>
          <w:bCs/>
          <w:lang w:val="sr-Latn-ME"/>
        </w:rPr>
      </w:pPr>
      <w:r w:rsidRPr="00F3439A">
        <w:rPr>
          <w:b/>
          <w:bCs/>
          <w:lang w:val="sr-Latn-ME"/>
        </w:rPr>
        <w:t>Tabela 3. Rezultati efikasnosti za studije FAST-1 i FAST-2</w:t>
      </w:r>
    </w:p>
    <w:p w14:paraId="71D77B15" w14:textId="77777777" w:rsidR="00B3417A" w:rsidRPr="00F3439A" w:rsidRDefault="00B3417A" w:rsidP="005F546A">
      <w:pPr>
        <w:pStyle w:val="BodyText"/>
        <w:spacing w:before="8"/>
        <w:ind w:left="0"/>
        <w:rPr>
          <w:lang w:val="sr-Latn-ME"/>
        </w:rPr>
      </w:pPr>
    </w:p>
    <w:tbl>
      <w:tblPr>
        <w:tblW w:w="0" w:type="auto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70"/>
        <w:gridCol w:w="1276"/>
        <w:gridCol w:w="1415"/>
        <w:gridCol w:w="1986"/>
        <w:gridCol w:w="1271"/>
        <w:gridCol w:w="1631"/>
      </w:tblGrid>
      <w:tr w:rsidR="00B3417A" w:rsidRPr="00F3439A" w14:paraId="0E848F60" w14:textId="77777777" w:rsidTr="00F3439A">
        <w:trPr>
          <w:trHeight w:val="537"/>
        </w:trPr>
        <w:tc>
          <w:tcPr>
            <w:tcW w:w="9249" w:type="dxa"/>
            <w:gridSpan w:val="6"/>
          </w:tcPr>
          <w:p w14:paraId="7299BA14" w14:textId="43775CB1" w:rsidR="00B3417A" w:rsidRPr="00F3439A" w:rsidRDefault="00B3417A" w:rsidP="005F546A">
            <w:pPr>
              <w:pStyle w:val="TableParagraph"/>
              <w:spacing w:before="5"/>
              <w:ind w:left="3729" w:hanging="3413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Kontrolisana</w:t>
            </w:r>
            <w:r w:rsidRPr="00F3439A">
              <w:rPr>
                <w:spacing w:val="-1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klinička studija</w:t>
            </w:r>
            <w:r w:rsidRPr="00F3439A">
              <w:rPr>
                <w:spacing w:val="-6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l</w:t>
            </w:r>
            <w:r w:rsidR="00E278AD" w:rsidRPr="00F3439A">
              <w:rPr>
                <w:lang w:val="sr-Latn-ME"/>
              </w:rPr>
              <w:t>ij</w:t>
            </w:r>
            <w:r w:rsidRPr="00F3439A">
              <w:rPr>
                <w:lang w:val="sr-Latn-ME"/>
              </w:rPr>
              <w:t xml:space="preserve">eka </w:t>
            </w:r>
            <w:proofErr w:type="spellStart"/>
            <w:r w:rsidRPr="00F3439A">
              <w:rPr>
                <w:lang w:val="sr-Latn-ME"/>
              </w:rPr>
              <w:t>Ikatibant</w:t>
            </w:r>
            <w:proofErr w:type="spellEnd"/>
            <w:r w:rsidRPr="00F3439A">
              <w:rPr>
                <w:lang w:val="sr-Latn-ME"/>
              </w:rPr>
              <w:t xml:space="preserve"> SK u</w:t>
            </w:r>
            <w:r w:rsidRPr="00F3439A">
              <w:rPr>
                <w:spacing w:val="-6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poređenju</w:t>
            </w:r>
            <w:r w:rsidRPr="00F3439A">
              <w:rPr>
                <w:spacing w:val="-7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 xml:space="preserve">sa </w:t>
            </w:r>
            <w:proofErr w:type="spellStart"/>
            <w:r w:rsidRPr="00F3439A">
              <w:rPr>
                <w:lang w:val="sr-Latn-ME"/>
              </w:rPr>
              <w:t>traneksamičnom</w:t>
            </w:r>
            <w:proofErr w:type="spellEnd"/>
            <w:r w:rsidRPr="00F3439A">
              <w:rPr>
                <w:spacing w:val="-6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kiselinom</w:t>
            </w:r>
            <w:r w:rsidRPr="00F3439A">
              <w:rPr>
                <w:spacing w:val="-7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ili</w:t>
            </w:r>
            <w:r w:rsidRPr="00F3439A">
              <w:rPr>
                <w:spacing w:val="-5"/>
                <w:lang w:val="sr-Latn-ME"/>
              </w:rPr>
              <w:t xml:space="preserve"> </w:t>
            </w:r>
            <w:proofErr w:type="spellStart"/>
            <w:r w:rsidRPr="00F3439A">
              <w:rPr>
                <w:lang w:val="sr-Latn-ME"/>
              </w:rPr>
              <w:t>placebom</w:t>
            </w:r>
            <w:proofErr w:type="spellEnd"/>
            <w:r w:rsidRPr="00F3439A">
              <w:rPr>
                <w:lang w:val="sr-Latn-ME"/>
              </w:rPr>
              <w:t>:</w:t>
            </w:r>
            <w:r w:rsidRPr="00F3439A">
              <w:rPr>
                <w:spacing w:val="-52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Rezultati</w:t>
            </w:r>
            <w:r w:rsidRPr="00F3439A">
              <w:rPr>
                <w:spacing w:val="-3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efikasnosti</w:t>
            </w:r>
          </w:p>
        </w:tc>
      </w:tr>
      <w:tr w:rsidR="00B3417A" w:rsidRPr="00F3439A" w14:paraId="483F7728" w14:textId="77777777" w:rsidTr="00F3439A">
        <w:trPr>
          <w:trHeight w:val="282"/>
        </w:trPr>
        <w:tc>
          <w:tcPr>
            <w:tcW w:w="4361" w:type="dxa"/>
            <w:gridSpan w:val="3"/>
          </w:tcPr>
          <w:p w14:paraId="0E7CFDF7" w14:textId="77777777" w:rsidR="00B3417A" w:rsidRPr="00F3439A" w:rsidRDefault="00B3417A" w:rsidP="005F546A">
            <w:pPr>
              <w:pStyle w:val="TableParagraph"/>
              <w:spacing w:before="5"/>
              <w:ind w:left="1805" w:right="1784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FAST-2</w:t>
            </w:r>
          </w:p>
        </w:tc>
        <w:tc>
          <w:tcPr>
            <w:tcW w:w="4888" w:type="dxa"/>
            <w:gridSpan w:val="3"/>
          </w:tcPr>
          <w:p w14:paraId="6C27A706" w14:textId="77777777" w:rsidR="00B3417A" w:rsidRPr="00F3439A" w:rsidRDefault="00B3417A" w:rsidP="005F546A">
            <w:pPr>
              <w:pStyle w:val="TableParagraph"/>
              <w:spacing w:before="5"/>
              <w:ind w:left="2071" w:right="2045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FAST-1</w:t>
            </w:r>
          </w:p>
        </w:tc>
      </w:tr>
      <w:tr w:rsidR="00B3417A" w:rsidRPr="00F3439A" w14:paraId="23AAAD84" w14:textId="77777777" w:rsidTr="00F3439A">
        <w:trPr>
          <w:trHeight w:val="537"/>
        </w:trPr>
        <w:tc>
          <w:tcPr>
            <w:tcW w:w="1670" w:type="dxa"/>
          </w:tcPr>
          <w:p w14:paraId="45CB1B9D" w14:textId="77777777" w:rsidR="00B3417A" w:rsidRPr="00F3439A" w:rsidRDefault="00B3417A" w:rsidP="005F546A">
            <w:pPr>
              <w:pStyle w:val="TableParagraph"/>
              <w:jc w:val="both"/>
              <w:rPr>
                <w:lang w:val="sr-Latn-ME"/>
              </w:rPr>
            </w:pPr>
          </w:p>
        </w:tc>
        <w:tc>
          <w:tcPr>
            <w:tcW w:w="1276" w:type="dxa"/>
          </w:tcPr>
          <w:p w14:paraId="1BEF26F6" w14:textId="77777777" w:rsidR="00B3417A" w:rsidRPr="00F3439A" w:rsidRDefault="00B3417A" w:rsidP="005F546A">
            <w:pPr>
              <w:pStyle w:val="TableParagraph"/>
              <w:spacing w:before="135"/>
              <w:ind w:left="94" w:right="85"/>
              <w:jc w:val="both"/>
              <w:rPr>
                <w:lang w:val="sr-Latn-ME"/>
              </w:rPr>
            </w:pPr>
            <w:proofErr w:type="spellStart"/>
            <w:r w:rsidRPr="00F3439A">
              <w:rPr>
                <w:lang w:val="sr-Latn-ME"/>
              </w:rPr>
              <w:t>Ikatibant</w:t>
            </w:r>
            <w:proofErr w:type="spellEnd"/>
          </w:p>
        </w:tc>
        <w:tc>
          <w:tcPr>
            <w:tcW w:w="1415" w:type="dxa"/>
          </w:tcPr>
          <w:p w14:paraId="40B66570" w14:textId="77777777" w:rsidR="00B3417A" w:rsidRPr="00F3439A" w:rsidRDefault="00B3417A" w:rsidP="005F546A">
            <w:pPr>
              <w:pStyle w:val="TableParagraph"/>
              <w:spacing w:before="5"/>
              <w:ind w:left="370" w:right="16" w:hanging="332"/>
              <w:jc w:val="both"/>
              <w:rPr>
                <w:lang w:val="sr-Latn-ME"/>
              </w:rPr>
            </w:pPr>
            <w:proofErr w:type="spellStart"/>
            <w:r w:rsidRPr="00F3439A">
              <w:rPr>
                <w:spacing w:val="-1"/>
                <w:lang w:val="sr-Latn-ME"/>
              </w:rPr>
              <w:t>Traneksamična</w:t>
            </w:r>
            <w:proofErr w:type="spellEnd"/>
            <w:r w:rsidRPr="00F3439A">
              <w:rPr>
                <w:spacing w:val="-52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kiselina</w:t>
            </w:r>
          </w:p>
        </w:tc>
        <w:tc>
          <w:tcPr>
            <w:tcW w:w="1986" w:type="dxa"/>
          </w:tcPr>
          <w:p w14:paraId="305E4AC3" w14:textId="77777777" w:rsidR="00B3417A" w:rsidRPr="00F3439A" w:rsidRDefault="00B3417A" w:rsidP="005F546A">
            <w:pPr>
              <w:pStyle w:val="TableParagraph"/>
              <w:jc w:val="both"/>
              <w:rPr>
                <w:lang w:val="sr-Latn-ME"/>
              </w:rPr>
            </w:pPr>
          </w:p>
        </w:tc>
        <w:tc>
          <w:tcPr>
            <w:tcW w:w="1271" w:type="dxa"/>
          </w:tcPr>
          <w:p w14:paraId="2C66E2D9" w14:textId="77777777" w:rsidR="00B3417A" w:rsidRPr="00F3439A" w:rsidRDefault="00B3417A" w:rsidP="005F546A">
            <w:pPr>
              <w:pStyle w:val="TableParagraph"/>
              <w:spacing w:before="135"/>
              <w:ind w:left="91" w:right="81"/>
              <w:jc w:val="both"/>
              <w:rPr>
                <w:lang w:val="sr-Latn-ME"/>
              </w:rPr>
            </w:pPr>
            <w:proofErr w:type="spellStart"/>
            <w:r w:rsidRPr="00F3439A">
              <w:rPr>
                <w:lang w:val="sr-Latn-ME"/>
              </w:rPr>
              <w:t>Ikatibant</w:t>
            </w:r>
            <w:proofErr w:type="spellEnd"/>
          </w:p>
        </w:tc>
        <w:tc>
          <w:tcPr>
            <w:tcW w:w="1631" w:type="dxa"/>
          </w:tcPr>
          <w:p w14:paraId="021967AB" w14:textId="77777777" w:rsidR="00B3417A" w:rsidRPr="00F3439A" w:rsidRDefault="00B3417A" w:rsidP="005F546A">
            <w:pPr>
              <w:pStyle w:val="TableParagraph"/>
              <w:spacing w:before="135"/>
              <w:ind w:left="281" w:right="258"/>
              <w:jc w:val="both"/>
              <w:rPr>
                <w:lang w:val="sr-Latn-ME"/>
              </w:rPr>
            </w:pPr>
            <w:proofErr w:type="spellStart"/>
            <w:r w:rsidRPr="00F3439A">
              <w:rPr>
                <w:lang w:val="sr-Latn-ME"/>
              </w:rPr>
              <w:t>Placebo</w:t>
            </w:r>
            <w:proofErr w:type="spellEnd"/>
          </w:p>
        </w:tc>
      </w:tr>
      <w:tr w:rsidR="00B3417A" w:rsidRPr="00F3439A" w14:paraId="3DEF40C4" w14:textId="77777777" w:rsidTr="00F3439A">
        <w:trPr>
          <w:trHeight w:val="537"/>
        </w:trPr>
        <w:tc>
          <w:tcPr>
            <w:tcW w:w="1670" w:type="dxa"/>
          </w:tcPr>
          <w:p w14:paraId="65CF62BE" w14:textId="4423E7E4" w:rsidR="00B3417A" w:rsidRPr="00F3439A" w:rsidRDefault="00B3417A" w:rsidP="005F546A">
            <w:pPr>
              <w:pStyle w:val="TableParagraph"/>
              <w:spacing w:before="5"/>
              <w:ind w:left="19" w:right="119"/>
              <w:jc w:val="both"/>
              <w:rPr>
                <w:spacing w:val="-1"/>
                <w:lang w:val="sr-Latn-ME"/>
              </w:rPr>
            </w:pPr>
            <w:r w:rsidRPr="00F3439A">
              <w:rPr>
                <w:lang w:val="sr-Latn-ME"/>
              </w:rPr>
              <w:t>Broj ispitanika u ITT populaciji (predviđenoj za l</w:t>
            </w:r>
            <w:r w:rsidR="00475FCF" w:rsidRPr="00F3439A">
              <w:rPr>
                <w:lang w:val="sr-Latn-ME"/>
              </w:rPr>
              <w:t>ij</w:t>
            </w:r>
            <w:r w:rsidRPr="00F3439A">
              <w:rPr>
                <w:lang w:val="sr-Latn-ME"/>
              </w:rPr>
              <w:t>ečenje)</w:t>
            </w:r>
          </w:p>
        </w:tc>
        <w:tc>
          <w:tcPr>
            <w:tcW w:w="1276" w:type="dxa"/>
            <w:vAlign w:val="center"/>
          </w:tcPr>
          <w:p w14:paraId="600BEFEF" w14:textId="77777777" w:rsidR="00B3417A" w:rsidRPr="00F3439A" w:rsidRDefault="00B3417A" w:rsidP="005F546A">
            <w:pPr>
              <w:pStyle w:val="TableParagraph"/>
              <w:spacing w:before="130"/>
              <w:ind w:left="106" w:right="80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36</w:t>
            </w:r>
          </w:p>
        </w:tc>
        <w:tc>
          <w:tcPr>
            <w:tcW w:w="1415" w:type="dxa"/>
            <w:vAlign w:val="center"/>
          </w:tcPr>
          <w:p w14:paraId="450086A8" w14:textId="77777777" w:rsidR="00B3417A" w:rsidRPr="00F3439A" w:rsidRDefault="00B3417A" w:rsidP="005F546A">
            <w:pPr>
              <w:pStyle w:val="TableParagraph"/>
              <w:spacing w:before="130"/>
              <w:ind w:left="174" w:right="151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38</w:t>
            </w:r>
          </w:p>
        </w:tc>
        <w:tc>
          <w:tcPr>
            <w:tcW w:w="1986" w:type="dxa"/>
          </w:tcPr>
          <w:p w14:paraId="403AA4E9" w14:textId="534305A0" w:rsidR="00B3417A" w:rsidRPr="00F3439A" w:rsidRDefault="00B3417A" w:rsidP="005F546A">
            <w:pPr>
              <w:pStyle w:val="TableParagraph"/>
              <w:spacing w:before="5"/>
              <w:ind w:left="21" w:right="433"/>
              <w:jc w:val="both"/>
              <w:rPr>
                <w:spacing w:val="-1"/>
                <w:lang w:val="sr-Latn-ME"/>
              </w:rPr>
            </w:pPr>
            <w:r w:rsidRPr="00F3439A">
              <w:rPr>
                <w:lang w:val="sr-Latn-ME"/>
              </w:rPr>
              <w:t>Broj ispitanika u ITT populaciji (predviđenoj za l</w:t>
            </w:r>
            <w:r w:rsidR="00475FCF" w:rsidRPr="00F3439A">
              <w:rPr>
                <w:lang w:val="sr-Latn-ME"/>
              </w:rPr>
              <w:t>ij</w:t>
            </w:r>
            <w:r w:rsidRPr="00F3439A">
              <w:rPr>
                <w:lang w:val="sr-Latn-ME"/>
              </w:rPr>
              <w:t>ečenje)</w:t>
            </w:r>
          </w:p>
        </w:tc>
        <w:tc>
          <w:tcPr>
            <w:tcW w:w="1271" w:type="dxa"/>
            <w:vAlign w:val="center"/>
          </w:tcPr>
          <w:p w14:paraId="24D55C3B" w14:textId="77777777" w:rsidR="00B3417A" w:rsidRPr="00F3439A" w:rsidRDefault="00B3417A" w:rsidP="005F546A">
            <w:pPr>
              <w:pStyle w:val="TableParagraph"/>
              <w:spacing w:before="130"/>
              <w:ind w:left="99" w:right="81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27</w:t>
            </w:r>
          </w:p>
        </w:tc>
        <w:tc>
          <w:tcPr>
            <w:tcW w:w="1631" w:type="dxa"/>
            <w:vAlign w:val="center"/>
          </w:tcPr>
          <w:p w14:paraId="28401841" w14:textId="77777777" w:rsidR="00B3417A" w:rsidRPr="00F3439A" w:rsidRDefault="00B3417A" w:rsidP="005F546A">
            <w:pPr>
              <w:pStyle w:val="TableParagraph"/>
              <w:spacing w:before="130"/>
              <w:ind w:left="283" w:right="258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29</w:t>
            </w:r>
          </w:p>
        </w:tc>
      </w:tr>
      <w:tr w:rsidR="00B3417A" w:rsidRPr="00F3439A" w14:paraId="1E1BD8D0" w14:textId="77777777" w:rsidTr="00F3439A">
        <w:trPr>
          <w:trHeight w:val="537"/>
        </w:trPr>
        <w:tc>
          <w:tcPr>
            <w:tcW w:w="1670" w:type="dxa"/>
          </w:tcPr>
          <w:p w14:paraId="1E94802A" w14:textId="6DB20199" w:rsidR="00B3417A" w:rsidRPr="00F3439A" w:rsidRDefault="00B3417A" w:rsidP="005F546A">
            <w:pPr>
              <w:pStyle w:val="TableParagraph"/>
              <w:spacing w:before="5"/>
              <w:ind w:left="19" w:right="119"/>
              <w:jc w:val="both"/>
              <w:rPr>
                <w:lang w:val="sr-Latn-ME"/>
              </w:rPr>
            </w:pPr>
            <w:r w:rsidRPr="00F3439A">
              <w:rPr>
                <w:spacing w:val="-1"/>
                <w:lang w:val="sr-Latn-ME"/>
              </w:rPr>
              <w:t xml:space="preserve">Početna </w:t>
            </w:r>
            <w:r w:rsidRPr="00F3439A">
              <w:rPr>
                <w:lang w:val="sr-Latn-ME"/>
              </w:rPr>
              <w:t>vr</w:t>
            </w:r>
            <w:r w:rsidR="00475FCF" w:rsidRPr="00F3439A">
              <w:rPr>
                <w:lang w:val="sr-Latn-ME"/>
              </w:rPr>
              <w:t>ij</w:t>
            </w:r>
            <w:r w:rsidRPr="00F3439A">
              <w:rPr>
                <w:lang w:val="sr-Latn-ME"/>
              </w:rPr>
              <w:t>ednost</w:t>
            </w:r>
            <w:r w:rsidRPr="00F3439A">
              <w:rPr>
                <w:spacing w:val="-52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VAS</w:t>
            </w:r>
            <w:r w:rsidRPr="00F3439A">
              <w:rPr>
                <w:spacing w:val="-3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(mm)</w:t>
            </w:r>
          </w:p>
        </w:tc>
        <w:tc>
          <w:tcPr>
            <w:tcW w:w="1276" w:type="dxa"/>
          </w:tcPr>
          <w:p w14:paraId="42058062" w14:textId="77777777" w:rsidR="00B3417A" w:rsidRPr="00F3439A" w:rsidRDefault="00B3417A" w:rsidP="005F546A">
            <w:pPr>
              <w:pStyle w:val="TableParagraph"/>
              <w:spacing w:before="130"/>
              <w:ind w:left="106" w:right="80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63,7</w:t>
            </w:r>
          </w:p>
        </w:tc>
        <w:tc>
          <w:tcPr>
            <w:tcW w:w="1415" w:type="dxa"/>
          </w:tcPr>
          <w:p w14:paraId="681B011F" w14:textId="77777777" w:rsidR="00B3417A" w:rsidRPr="00F3439A" w:rsidRDefault="00B3417A" w:rsidP="005F546A">
            <w:pPr>
              <w:pStyle w:val="TableParagraph"/>
              <w:spacing w:before="130"/>
              <w:ind w:left="174" w:right="151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61,5</w:t>
            </w:r>
          </w:p>
        </w:tc>
        <w:tc>
          <w:tcPr>
            <w:tcW w:w="1986" w:type="dxa"/>
          </w:tcPr>
          <w:p w14:paraId="6F06F413" w14:textId="04C702D0" w:rsidR="00B3417A" w:rsidRPr="00F3439A" w:rsidRDefault="00B3417A" w:rsidP="005F546A">
            <w:pPr>
              <w:pStyle w:val="TableParagraph"/>
              <w:spacing w:before="5"/>
              <w:ind w:left="21" w:right="433"/>
              <w:jc w:val="both"/>
              <w:rPr>
                <w:lang w:val="sr-Latn-ME"/>
              </w:rPr>
            </w:pPr>
            <w:r w:rsidRPr="00F3439A">
              <w:rPr>
                <w:spacing w:val="-1"/>
                <w:lang w:val="sr-Latn-ME"/>
              </w:rPr>
              <w:t xml:space="preserve">Početna </w:t>
            </w:r>
            <w:r w:rsidRPr="00F3439A">
              <w:rPr>
                <w:lang w:val="sr-Latn-ME"/>
              </w:rPr>
              <w:t>vr</w:t>
            </w:r>
            <w:r w:rsidR="00475FCF" w:rsidRPr="00F3439A">
              <w:rPr>
                <w:lang w:val="sr-Latn-ME"/>
              </w:rPr>
              <w:t>ij</w:t>
            </w:r>
            <w:r w:rsidRPr="00F3439A">
              <w:rPr>
                <w:lang w:val="sr-Latn-ME"/>
              </w:rPr>
              <w:t>ednost</w:t>
            </w:r>
            <w:r w:rsidRPr="00F3439A">
              <w:rPr>
                <w:spacing w:val="-52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VAS</w:t>
            </w:r>
            <w:r w:rsidRPr="00F3439A">
              <w:rPr>
                <w:spacing w:val="-3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(mm)</w:t>
            </w:r>
          </w:p>
        </w:tc>
        <w:tc>
          <w:tcPr>
            <w:tcW w:w="1271" w:type="dxa"/>
          </w:tcPr>
          <w:p w14:paraId="78CE79BB" w14:textId="77777777" w:rsidR="00B3417A" w:rsidRPr="00F3439A" w:rsidRDefault="00B3417A" w:rsidP="005F546A">
            <w:pPr>
              <w:pStyle w:val="TableParagraph"/>
              <w:spacing w:before="130"/>
              <w:ind w:left="99" w:right="81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69,3</w:t>
            </w:r>
          </w:p>
        </w:tc>
        <w:tc>
          <w:tcPr>
            <w:tcW w:w="1631" w:type="dxa"/>
          </w:tcPr>
          <w:p w14:paraId="2420EC74" w14:textId="77777777" w:rsidR="00B3417A" w:rsidRPr="00F3439A" w:rsidRDefault="00B3417A" w:rsidP="005F546A">
            <w:pPr>
              <w:pStyle w:val="TableParagraph"/>
              <w:spacing w:before="130"/>
              <w:ind w:left="283" w:right="258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67,7</w:t>
            </w:r>
          </w:p>
        </w:tc>
      </w:tr>
      <w:tr w:rsidR="00B3417A" w:rsidRPr="00F3439A" w14:paraId="33ED3763" w14:textId="77777777" w:rsidTr="00F3439A">
        <w:trPr>
          <w:trHeight w:val="786"/>
        </w:trPr>
        <w:tc>
          <w:tcPr>
            <w:tcW w:w="1670" w:type="dxa"/>
          </w:tcPr>
          <w:p w14:paraId="2D595FA8" w14:textId="60F44995" w:rsidR="00B3417A" w:rsidRPr="00F3439A" w:rsidRDefault="00B3417A" w:rsidP="005F546A">
            <w:pPr>
              <w:pStyle w:val="TableParagraph"/>
              <w:spacing w:before="5"/>
              <w:ind w:left="19" w:right="80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Prom</w:t>
            </w:r>
            <w:r w:rsidR="00475FCF" w:rsidRPr="00F3439A">
              <w:rPr>
                <w:lang w:val="sr-Latn-ME"/>
              </w:rPr>
              <w:t>j</w:t>
            </w:r>
            <w:r w:rsidRPr="00F3439A">
              <w:rPr>
                <w:lang w:val="sr-Latn-ME"/>
              </w:rPr>
              <w:t>ena od</w:t>
            </w:r>
            <w:r w:rsidRPr="00F3439A">
              <w:rPr>
                <w:spacing w:val="1"/>
                <w:lang w:val="sr-Latn-ME"/>
              </w:rPr>
              <w:t xml:space="preserve"> </w:t>
            </w:r>
            <w:r w:rsidRPr="00F3439A">
              <w:rPr>
                <w:spacing w:val="-1"/>
                <w:lang w:val="sr-Latn-ME"/>
              </w:rPr>
              <w:t>početne vr</w:t>
            </w:r>
            <w:r w:rsidR="00475FCF" w:rsidRPr="00F3439A">
              <w:rPr>
                <w:spacing w:val="-1"/>
                <w:lang w:val="sr-Latn-ME"/>
              </w:rPr>
              <w:t>ij</w:t>
            </w:r>
            <w:r w:rsidRPr="00F3439A">
              <w:rPr>
                <w:spacing w:val="-1"/>
                <w:lang w:val="sr-Latn-ME"/>
              </w:rPr>
              <w:t>ednosti</w:t>
            </w:r>
            <w:r w:rsidRPr="00F3439A">
              <w:rPr>
                <w:spacing w:val="-52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do</w:t>
            </w:r>
            <w:r w:rsidRPr="00F3439A">
              <w:rPr>
                <w:spacing w:val="-2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4</w:t>
            </w:r>
            <w:r w:rsidRPr="00F3439A">
              <w:rPr>
                <w:spacing w:val="2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časa</w:t>
            </w:r>
          </w:p>
        </w:tc>
        <w:tc>
          <w:tcPr>
            <w:tcW w:w="1276" w:type="dxa"/>
          </w:tcPr>
          <w:p w14:paraId="58B77D6E" w14:textId="77777777" w:rsidR="00B3417A" w:rsidRPr="00F3439A" w:rsidRDefault="00B3417A" w:rsidP="005F546A">
            <w:pPr>
              <w:pStyle w:val="TableParagraph"/>
              <w:spacing w:before="2"/>
              <w:jc w:val="both"/>
              <w:rPr>
                <w:b/>
                <w:lang w:val="sr-Latn-ME"/>
              </w:rPr>
            </w:pPr>
          </w:p>
          <w:p w14:paraId="1253D728" w14:textId="77777777" w:rsidR="00B3417A" w:rsidRPr="00F3439A" w:rsidRDefault="00B3417A" w:rsidP="005F546A">
            <w:pPr>
              <w:pStyle w:val="TableParagraph"/>
              <w:ind w:left="106" w:right="85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-41,6</w:t>
            </w:r>
          </w:p>
        </w:tc>
        <w:tc>
          <w:tcPr>
            <w:tcW w:w="1415" w:type="dxa"/>
          </w:tcPr>
          <w:p w14:paraId="3571C61D" w14:textId="77777777" w:rsidR="00B3417A" w:rsidRPr="00F3439A" w:rsidRDefault="00B3417A" w:rsidP="005F546A">
            <w:pPr>
              <w:pStyle w:val="TableParagraph"/>
              <w:spacing w:before="2"/>
              <w:jc w:val="both"/>
              <w:rPr>
                <w:b/>
                <w:lang w:val="sr-Latn-ME"/>
              </w:rPr>
            </w:pPr>
          </w:p>
          <w:p w14:paraId="68CA234B" w14:textId="77777777" w:rsidR="00B3417A" w:rsidRPr="00F3439A" w:rsidRDefault="00B3417A" w:rsidP="005F546A">
            <w:pPr>
              <w:pStyle w:val="TableParagraph"/>
              <w:ind w:left="179" w:right="151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-14,6</w:t>
            </w:r>
          </w:p>
        </w:tc>
        <w:tc>
          <w:tcPr>
            <w:tcW w:w="1986" w:type="dxa"/>
          </w:tcPr>
          <w:p w14:paraId="2DB8EF81" w14:textId="1514ED84" w:rsidR="00B3417A" w:rsidRPr="00F3439A" w:rsidRDefault="00B3417A" w:rsidP="005F546A">
            <w:pPr>
              <w:pStyle w:val="TableParagraph"/>
              <w:spacing w:before="130"/>
              <w:ind w:left="21" w:right="159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Prom</w:t>
            </w:r>
            <w:r w:rsidR="00475FCF" w:rsidRPr="00F3439A">
              <w:rPr>
                <w:lang w:val="sr-Latn-ME"/>
              </w:rPr>
              <w:t>j</w:t>
            </w:r>
            <w:r w:rsidRPr="00F3439A">
              <w:rPr>
                <w:lang w:val="sr-Latn-ME"/>
              </w:rPr>
              <w:t>ena</w:t>
            </w:r>
            <w:r w:rsidR="00475FCF" w:rsidRPr="00F3439A">
              <w:rPr>
                <w:spacing w:val="-11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od</w:t>
            </w:r>
            <w:r w:rsidRPr="00F3439A">
              <w:rPr>
                <w:spacing w:val="-10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početne</w:t>
            </w:r>
            <w:r w:rsidRPr="00F3439A">
              <w:rPr>
                <w:spacing w:val="-52"/>
                <w:lang w:val="sr-Latn-ME"/>
              </w:rPr>
              <w:t xml:space="preserve"> </w:t>
            </w:r>
            <w:r w:rsidR="00475FCF" w:rsidRPr="00F3439A">
              <w:rPr>
                <w:spacing w:val="-52"/>
                <w:lang w:val="sr-Latn-ME"/>
              </w:rPr>
              <w:t xml:space="preserve">  </w:t>
            </w:r>
            <w:r w:rsidRPr="00F3439A">
              <w:rPr>
                <w:lang w:val="sr-Latn-ME"/>
              </w:rPr>
              <w:t>vr</w:t>
            </w:r>
            <w:r w:rsidR="00475FCF" w:rsidRPr="00F3439A">
              <w:rPr>
                <w:lang w:val="sr-Latn-ME"/>
              </w:rPr>
              <w:t>ij</w:t>
            </w:r>
            <w:r w:rsidRPr="00F3439A">
              <w:rPr>
                <w:lang w:val="sr-Latn-ME"/>
              </w:rPr>
              <w:t>ednosti</w:t>
            </w:r>
            <w:r w:rsidRPr="00F3439A">
              <w:rPr>
                <w:spacing w:val="-3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do</w:t>
            </w:r>
            <w:r w:rsidRPr="00F3439A">
              <w:rPr>
                <w:spacing w:val="-2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4</w:t>
            </w:r>
            <w:r w:rsidRPr="00F3439A">
              <w:rPr>
                <w:spacing w:val="1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sata</w:t>
            </w:r>
          </w:p>
        </w:tc>
        <w:tc>
          <w:tcPr>
            <w:tcW w:w="1271" w:type="dxa"/>
          </w:tcPr>
          <w:p w14:paraId="2AC8F9FC" w14:textId="77777777" w:rsidR="00B3417A" w:rsidRPr="00F3439A" w:rsidRDefault="00B3417A" w:rsidP="005F546A">
            <w:pPr>
              <w:pStyle w:val="TableParagraph"/>
              <w:spacing w:before="2"/>
              <w:jc w:val="both"/>
              <w:rPr>
                <w:b/>
                <w:lang w:val="sr-Latn-ME"/>
              </w:rPr>
            </w:pPr>
          </w:p>
          <w:p w14:paraId="7B2B1561" w14:textId="77777777" w:rsidR="00B3417A" w:rsidRPr="00F3439A" w:rsidRDefault="00B3417A" w:rsidP="005F546A">
            <w:pPr>
              <w:pStyle w:val="TableParagraph"/>
              <w:ind w:left="104" w:right="81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-44,8</w:t>
            </w:r>
          </w:p>
        </w:tc>
        <w:tc>
          <w:tcPr>
            <w:tcW w:w="1631" w:type="dxa"/>
          </w:tcPr>
          <w:p w14:paraId="3EE02C77" w14:textId="77777777" w:rsidR="00B3417A" w:rsidRPr="00F3439A" w:rsidRDefault="00B3417A" w:rsidP="005F546A">
            <w:pPr>
              <w:pStyle w:val="TableParagraph"/>
              <w:spacing w:before="2"/>
              <w:jc w:val="both"/>
              <w:rPr>
                <w:b/>
                <w:lang w:val="sr-Latn-ME"/>
              </w:rPr>
            </w:pPr>
          </w:p>
          <w:p w14:paraId="39169F62" w14:textId="77777777" w:rsidR="00B3417A" w:rsidRPr="00F3439A" w:rsidRDefault="00B3417A" w:rsidP="005F546A">
            <w:pPr>
              <w:pStyle w:val="TableParagraph"/>
              <w:ind w:left="287" w:right="258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-23,5</w:t>
            </w:r>
          </w:p>
        </w:tc>
      </w:tr>
      <w:tr w:rsidR="00B3417A" w:rsidRPr="00F3439A" w14:paraId="35DC3C61" w14:textId="77777777" w:rsidTr="00F3439A">
        <w:trPr>
          <w:trHeight w:val="786"/>
        </w:trPr>
        <w:tc>
          <w:tcPr>
            <w:tcW w:w="1670" w:type="dxa"/>
          </w:tcPr>
          <w:p w14:paraId="2E72A111" w14:textId="256CEB50" w:rsidR="00B3417A" w:rsidRPr="00F3439A" w:rsidRDefault="00B3417A" w:rsidP="005F546A">
            <w:pPr>
              <w:pStyle w:val="TableParagraph"/>
              <w:spacing w:before="5" w:line="250" w:lineRule="atLeast"/>
              <w:ind w:left="19" w:right="161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lastRenderedPageBreak/>
              <w:t>Razlika među</w:t>
            </w:r>
            <w:r w:rsidRPr="00F3439A">
              <w:rPr>
                <w:spacing w:val="1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terapijama (95%</w:t>
            </w:r>
            <w:r w:rsidRPr="00F3439A">
              <w:rPr>
                <w:spacing w:val="-53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CI,</w:t>
            </w:r>
            <w:r w:rsidRPr="00F3439A">
              <w:rPr>
                <w:spacing w:val="-3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p-vr</w:t>
            </w:r>
            <w:r w:rsidR="00475FCF" w:rsidRPr="00F3439A">
              <w:rPr>
                <w:lang w:val="sr-Latn-ME"/>
              </w:rPr>
              <w:t>ij</w:t>
            </w:r>
            <w:r w:rsidRPr="00F3439A">
              <w:rPr>
                <w:lang w:val="sr-Latn-ME"/>
              </w:rPr>
              <w:t>ednost)</w:t>
            </w:r>
          </w:p>
        </w:tc>
        <w:tc>
          <w:tcPr>
            <w:tcW w:w="2691" w:type="dxa"/>
            <w:gridSpan w:val="2"/>
          </w:tcPr>
          <w:p w14:paraId="7E99C351" w14:textId="77777777" w:rsidR="00B3417A" w:rsidRPr="00F3439A" w:rsidRDefault="00B3417A" w:rsidP="005F546A">
            <w:pPr>
              <w:pStyle w:val="TableParagraph"/>
              <w:spacing w:before="7"/>
              <w:jc w:val="both"/>
              <w:rPr>
                <w:b/>
                <w:lang w:val="sr-Latn-ME"/>
              </w:rPr>
            </w:pPr>
          </w:p>
          <w:p w14:paraId="6BE6F8D4" w14:textId="77777777" w:rsidR="00B3417A" w:rsidRPr="00F3439A" w:rsidRDefault="00B3417A" w:rsidP="005F546A">
            <w:pPr>
              <w:pStyle w:val="TableParagraph"/>
              <w:ind w:left="57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-27,8</w:t>
            </w:r>
            <w:r w:rsidRPr="00F3439A">
              <w:rPr>
                <w:spacing w:val="-1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(-39,4;</w:t>
            </w:r>
            <w:r w:rsidRPr="00F3439A">
              <w:rPr>
                <w:spacing w:val="1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-16,2)</w:t>
            </w:r>
            <w:r w:rsidRPr="00F3439A">
              <w:rPr>
                <w:spacing w:val="-4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p</w:t>
            </w:r>
            <w:r w:rsidRPr="00F3439A">
              <w:rPr>
                <w:spacing w:val="-5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&lt; 0,001</w:t>
            </w:r>
          </w:p>
        </w:tc>
        <w:tc>
          <w:tcPr>
            <w:tcW w:w="1986" w:type="dxa"/>
          </w:tcPr>
          <w:p w14:paraId="16E4C757" w14:textId="40BB1618" w:rsidR="00B3417A" w:rsidRPr="00F3439A" w:rsidRDefault="00B3417A" w:rsidP="005F546A">
            <w:pPr>
              <w:pStyle w:val="TableParagraph"/>
              <w:spacing w:before="5" w:line="250" w:lineRule="atLeast"/>
              <w:ind w:left="21" w:right="162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Razlika među</w:t>
            </w:r>
            <w:r w:rsidRPr="00F3439A">
              <w:rPr>
                <w:spacing w:val="1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terapijama (95% CI,</w:t>
            </w:r>
            <w:r w:rsidRPr="00F3439A">
              <w:rPr>
                <w:spacing w:val="-52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p-vr</w:t>
            </w:r>
            <w:r w:rsidR="00475FCF" w:rsidRPr="00F3439A">
              <w:rPr>
                <w:lang w:val="sr-Latn-ME"/>
              </w:rPr>
              <w:t>ij</w:t>
            </w:r>
            <w:r w:rsidRPr="00F3439A">
              <w:rPr>
                <w:lang w:val="sr-Latn-ME"/>
              </w:rPr>
              <w:t>ednost)</w:t>
            </w:r>
          </w:p>
        </w:tc>
        <w:tc>
          <w:tcPr>
            <w:tcW w:w="2902" w:type="dxa"/>
            <w:gridSpan w:val="2"/>
          </w:tcPr>
          <w:p w14:paraId="61C024DA" w14:textId="77777777" w:rsidR="00B3417A" w:rsidRPr="00F3439A" w:rsidRDefault="00B3417A" w:rsidP="005F546A">
            <w:pPr>
              <w:pStyle w:val="TableParagraph"/>
              <w:spacing w:before="7"/>
              <w:jc w:val="both"/>
              <w:rPr>
                <w:b/>
                <w:lang w:val="sr-Latn-ME"/>
              </w:rPr>
            </w:pPr>
          </w:p>
          <w:p w14:paraId="2352ADA4" w14:textId="77777777" w:rsidR="00B3417A" w:rsidRPr="00F3439A" w:rsidRDefault="00B3417A" w:rsidP="005F546A">
            <w:pPr>
              <w:pStyle w:val="TableParagraph"/>
              <w:ind w:left="214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-23,3</w:t>
            </w:r>
            <w:r w:rsidRPr="00F3439A">
              <w:rPr>
                <w:spacing w:val="-1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(-37,1;</w:t>
            </w:r>
            <w:r w:rsidRPr="00F3439A">
              <w:rPr>
                <w:spacing w:val="1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-9,4)</w:t>
            </w:r>
            <w:r w:rsidRPr="00F3439A">
              <w:rPr>
                <w:spacing w:val="-3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p</w:t>
            </w:r>
            <w:r w:rsidRPr="00F3439A">
              <w:rPr>
                <w:spacing w:val="-5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= 0,002</w:t>
            </w:r>
          </w:p>
        </w:tc>
      </w:tr>
      <w:tr w:rsidR="00B3417A" w:rsidRPr="00F3439A" w14:paraId="5990314D" w14:textId="77777777" w:rsidTr="00F3439A">
        <w:trPr>
          <w:trHeight w:val="791"/>
        </w:trPr>
        <w:tc>
          <w:tcPr>
            <w:tcW w:w="1670" w:type="dxa"/>
          </w:tcPr>
          <w:p w14:paraId="5D0519DF" w14:textId="6E472A39" w:rsidR="00B3417A" w:rsidRPr="00F3439A" w:rsidRDefault="00475FCF" w:rsidP="005F546A">
            <w:pPr>
              <w:pStyle w:val="TableParagraph"/>
              <w:spacing w:before="10"/>
              <w:ind w:left="19" w:right="80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Promjena</w:t>
            </w:r>
            <w:r w:rsidR="00B3417A" w:rsidRPr="00F3439A">
              <w:rPr>
                <w:lang w:val="sr-Latn-ME"/>
              </w:rPr>
              <w:t xml:space="preserve"> od</w:t>
            </w:r>
            <w:r w:rsidR="00B3417A" w:rsidRPr="00F3439A">
              <w:rPr>
                <w:spacing w:val="1"/>
                <w:lang w:val="sr-Latn-ME"/>
              </w:rPr>
              <w:t xml:space="preserve"> </w:t>
            </w:r>
            <w:r w:rsidR="00B3417A" w:rsidRPr="00F3439A">
              <w:rPr>
                <w:spacing w:val="-1"/>
                <w:lang w:val="sr-Latn-ME"/>
              </w:rPr>
              <w:t xml:space="preserve">početne </w:t>
            </w:r>
            <w:r w:rsidRPr="00F3439A">
              <w:rPr>
                <w:spacing w:val="-1"/>
                <w:lang w:val="sr-Latn-ME"/>
              </w:rPr>
              <w:t xml:space="preserve">vrijednosti </w:t>
            </w:r>
            <w:r w:rsidR="00B3417A" w:rsidRPr="00F3439A">
              <w:rPr>
                <w:spacing w:val="-52"/>
                <w:lang w:val="sr-Latn-ME"/>
              </w:rPr>
              <w:t xml:space="preserve"> </w:t>
            </w:r>
            <w:r w:rsidR="00B3417A" w:rsidRPr="00F3439A">
              <w:rPr>
                <w:lang w:val="sr-Latn-ME"/>
              </w:rPr>
              <w:t>do</w:t>
            </w:r>
            <w:r w:rsidR="00B3417A" w:rsidRPr="00F3439A">
              <w:rPr>
                <w:spacing w:val="-2"/>
                <w:lang w:val="sr-Latn-ME"/>
              </w:rPr>
              <w:t xml:space="preserve"> </w:t>
            </w:r>
            <w:r w:rsidR="00B3417A" w:rsidRPr="00F3439A">
              <w:rPr>
                <w:lang w:val="sr-Latn-ME"/>
              </w:rPr>
              <w:t>12</w:t>
            </w:r>
            <w:r w:rsidR="00B3417A" w:rsidRPr="00F3439A">
              <w:rPr>
                <w:spacing w:val="1"/>
                <w:lang w:val="sr-Latn-ME"/>
              </w:rPr>
              <w:t xml:space="preserve"> </w:t>
            </w:r>
            <w:r w:rsidR="00B3417A" w:rsidRPr="00F3439A">
              <w:rPr>
                <w:lang w:val="sr-Latn-ME"/>
              </w:rPr>
              <w:t>časa</w:t>
            </w:r>
          </w:p>
        </w:tc>
        <w:tc>
          <w:tcPr>
            <w:tcW w:w="1276" w:type="dxa"/>
          </w:tcPr>
          <w:p w14:paraId="27BE688A" w14:textId="77777777" w:rsidR="00B3417A" w:rsidRPr="00F3439A" w:rsidRDefault="00B3417A" w:rsidP="005F546A">
            <w:pPr>
              <w:pStyle w:val="TableParagraph"/>
              <w:spacing w:before="7"/>
              <w:jc w:val="both"/>
              <w:rPr>
                <w:b/>
                <w:lang w:val="sr-Latn-ME"/>
              </w:rPr>
            </w:pPr>
          </w:p>
          <w:p w14:paraId="4EBD3885" w14:textId="77777777" w:rsidR="00B3417A" w:rsidRPr="00F3439A" w:rsidRDefault="00B3417A" w:rsidP="005F546A">
            <w:pPr>
              <w:pStyle w:val="TableParagraph"/>
              <w:ind w:left="106" w:right="85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-54,0</w:t>
            </w:r>
          </w:p>
        </w:tc>
        <w:tc>
          <w:tcPr>
            <w:tcW w:w="1415" w:type="dxa"/>
          </w:tcPr>
          <w:p w14:paraId="4C2E1D9C" w14:textId="77777777" w:rsidR="00B3417A" w:rsidRPr="00F3439A" w:rsidRDefault="00B3417A" w:rsidP="005F546A">
            <w:pPr>
              <w:pStyle w:val="TableParagraph"/>
              <w:spacing w:before="7"/>
              <w:jc w:val="both"/>
              <w:rPr>
                <w:b/>
                <w:lang w:val="sr-Latn-ME"/>
              </w:rPr>
            </w:pPr>
          </w:p>
          <w:p w14:paraId="2032B49A" w14:textId="77777777" w:rsidR="00B3417A" w:rsidRPr="00F3439A" w:rsidRDefault="00B3417A" w:rsidP="005F546A">
            <w:pPr>
              <w:pStyle w:val="TableParagraph"/>
              <w:ind w:left="179" w:right="151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-30,3</w:t>
            </w:r>
          </w:p>
        </w:tc>
        <w:tc>
          <w:tcPr>
            <w:tcW w:w="1986" w:type="dxa"/>
          </w:tcPr>
          <w:p w14:paraId="544743FF" w14:textId="33E9DD4D" w:rsidR="00B3417A" w:rsidRPr="00F3439A" w:rsidRDefault="00475FCF" w:rsidP="005F546A">
            <w:pPr>
              <w:pStyle w:val="TableParagraph"/>
              <w:spacing w:before="135"/>
              <w:ind w:left="21" w:right="138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Promjena</w:t>
            </w:r>
            <w:r w:rsidR="00B3417A" w:rsidRPr="00F3439A">
              <w:rPr>
                <w:lang w:val="sr-Latn-ME"/>
              </w:rPr>
              <w:t xml:space="preserve"> od početne</w:t>
            </w:r>
            <w:r w:rsidR="00B3417A" w:rsidRPr="00F3439A">
              <w:rPr>
                <w:spacing w:val="-52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 xml:space="preserve">vrijednosti </w:t>
            </w:r>
            <w:r w:rsidR="00B3417A" w:rsidRPr="00F3439A">
              <w:rPr>
                <w:spacing w:val="-5"/>
                <w:lang w:val="sr-Latn-ME"/>
              </w:rPr>
              <w:t xml:space="preserve"> </w:t>
            </w:r>
            <w:r w:rsidR="00B3417A" w:rsidRPr="00F3439A">
              <w:rPr>
                <w:lang w:val="sr-Latn-ME"/>
              </w:rPr>
              <w:t>do</w:t>
            </w:r>
            <w:r w:rsidR="00B3417A" w:rsidRPr="00F3439A">
              <w:rPr>
                <w:spacing w:val="-4"/>
                <w:lang w:val="sr-Latn-ME"/>
              </w:rPr>
              <w:t xml:space="preserve"> </w:t>
            </w:r>
            <w:r w:rsidR="00B3417A" w:rsidRPr="00F3439A">
              <w:rPr>
                <w:lang w:val="sr-Latn-ME"/>
              </w:rPr>
              <w:t>12 časa</w:t>
            </w:r>
          </w:p>
        </w:tc>
        <w:tc>
          <w:tcPr>
            <w:tcW w:w="1271" w:type="dxa"/>
          </w:tcPr>
          <w:p w14:paraId="4D08757D" w14:textId="77777777" w:rsidR="00B3417A" w:rsidRPr="00F3439A" w:rsidRDefault="00B3417A" w:rsidP="005F546A">
            <w:pPr>
              <w:pStyle w:val="TableParagraph"/>
              <w:spacing w:before="7"/>
              <w:jc w:val="both"/>
              <w:rPr>
                <w:b/>
                <w:lang w:val="sr-Latn-ME"/>
              </w:rPr>
            </w:pPr>
          </w:p>
          <w:p w14:paraId="58900CCF" w14:textId="77777777" w:rsidR="00B3417A" w:rsidRPr="00F3439A" w:rsidRDefault="00B3417A" w:rsidP="005F546A">
            <w:pPr>
              <w:pStyle w:val="TableParagraph"/>
              <w:ind w:left="104" w:right="81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-54,2</w:t>
            </w:r>
          </w:p>
        </w:tc>
        <w:tc>
          <w:tcPr>
            <w:tcW w:w="1631" w:type="dxa"/>
          </w:tcPr>
          <w:p w14:paraId="29483738" w14:textId="77777777" w:rsidR="00B3417A" w:rsidRPr="00F3439A" w:rsidRDefault="00B3417A" w:rsidP="005F546A">
            <w:pPr>
              <w:pStyle w:val="TableParagraph"/>
              <w:spacing w:before="7"/>
              <w:jc w:val="both"/>
              <w:rPr>
                <w:b/>
                <w:lang w:val="sr-Latn-ME"/>
              </w:rPr>
            </w:pPr>
          </w:p>
          <w:p w14:paraId="527B26E6" w14:textId="77777777" w:rsidR="00B3417A" w:rsidRPr="00F3439A" w:rsidRDefault="00B3417A" w:rsidP="005F546A">
            <w:pPr>
              <w:pStyle w:val="TableParagraph"/>
              <w:ind w:left="287" w:right="258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-42,4</w:t>
            </w:r>
          </w:p>
        </w:tc>
      </w:tr>
      <w:tr w:rsidR="00B3417A" w:rsidRPr="00F3439A" w14:paraId="1F957351" w14:textId="77777777" w:rsidTr="00F3439A">
        <w:trPr>
          <w:trHeight w:val="786"/>
        </w:trPr>
        <w:tc>
          <w:tcPr>
            <w:tcW w:w="1670" w:type="dxa"/>
          </w:tcPr>
          <w:p w14:paraId="0BC03875" w14:textId="3CE63FB6" w:rsidR="00B3417A" w:rsidRPr="00F3439A" w:rsidRDefault="00B3417A" w:rsidP="005F546A">
            <w:pPr>
              <w:pStyle w:val="TableParagraph"/>
              <w:spacing w:before="5"/>
              <w:ind w:left="19" w:right="161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Razlika među</w:t>
            </w:r>
            <w:r w:rsidRPr="00F3439A">
              <w:rPr>
                <w:spacing w:val="1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terapijama (95%</w:t>
            </w:r>
            <w:r w:rsidRPr="00F3439A">
              <w:rPr>
                <w:spacing w:val="-53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CI,</w:t>
            </w:r>
            <w:r w:rsidRPr="00F3439A">
              <w:rPr>
                <w:spacing w:val="-3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p-vr</w:t>
            </w:r>
            <w:r w:rsidR="00A97539">
              <w:rPr>
                <w:lang w:val="sr-Latn-ME"/>
              </w:rPr>
              <w:t>ij</w:t>
            </w:r>
            <w:r w:rsidRPr="00F3439A">
              <w:rPr>
                <w:lang w:val="sr-Latn-ME"/>
              </w:rPr>
              <w:t>ednost)</w:t>
            </w:r>
          </w:p>
        </w:tc>
        <w:tc>
          <w:tcPr>
            <w:tcW w:w="2691" w:type="dxa"/>
            <w:gridSpan w:val="2"/>
          </w:tcPr>
          <w:p w14:paraId="6842A00A" w14:textId="77777777" w:rsidR="00B3417A" w:rsidRPr="00F3439A" w:rsidRDefault="00B3417A" w:rsidP="005F546A">
            <w:pPr>
              <w:pStyle w:val="TableParagraph"/>
              <w:spacing w:before="7"/>
              <w:jc w:val="both"/>
              <w:rPr>
                <w:b/>
                <w:lang w:val="sr-Latn-ME"/>
              </w:rPr>
            </w:pPr>
          </w:p>
          <w:p w14:paraId="5F02A108" w14:textId="77777777" w:rsidR="00B3417A" w:rsidRPr="00F3439A" w:rsidRDefault="00B3417A" w:rsidP="005F546A">
            <w:pPr>
              <w:pStyle w:val="TableParagraph"/>
              <w:ind w:left="57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-24,1</w:t>
            </w:r>
            <w:r w:rsidRPr="00F3439A">
              <w:rPr>
                <w:spacing w:val="-1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(-33,6;</w:t>
            </w:r>
            <w:r w:rsidRPr="00F3439A">
              <w:rPr>
                <w:spacing w:val="1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-14,6)</w:t>
            </w:r>
            <w:r w:rsidRPr="00F3439A">
              <w:rPr>
                <w:spacing w:val="-4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p</w:t>
            </w:r>
            <w:r w:rsidRPr="00F3439A">
              <w:rPr>
                <w:spacing w:val="-5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&lt; 0,001</w:t>
            </w:r>
          </w:p>
        </w:tc>
        <w:tc>
          <w:tcPr>
            <w:tcW w:w="1986" w:type="dxa"/>
          </w:tcPr>
          <w:p w14:paraId="02E8A459" w14:textId="17AEF76F" w:rsidR="00B3417A" w:rsidRPr="00F3439A" w:rsidRDefault="00B3417A" w:rsidP="005F546A">
            <w:pPr>
              <w:pStyle w:val="TableParagraph"/>
              <w:spacing w:before="5"/>
              <w:ind w:left="21" w:right="162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Razlika među</w:t>
            </w:r>
            <w:r w:rsidRPr="00F3439A">
              <w:rPr>
                <w:spacing w:val="1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terapijama (95% CI,</w:t>
            </w:r>
            <w:r w:rsidRPr="00F3439A">
              <w:rPr>
                <w:spacing w:val="-52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p-vr</w:t>
            </w:r>
            <w:r w:rsidR="00475FCF" w:rsidRPr="00F3439A">
              <w:rPr>
                <w:lang w:val="sr-Latn-ME"/>
              </w:rPr>
              <w:t>ij</w:t>
            </w:r>
            <w:r w:rsidRPr="00F3439A">
              <w:rPr>
                <w:lang w:val="sr-Latn-ME"/>
              </w:rPr>
              <w:t>ednost)</w:t>
            </w:r>
          </w:p>
        </w:tc>
        <w:tc>
          <w:tcPr>
            <w:tcW w:w="2902" w:type="dxa"/>
            <w:gridSpan w:val="2"/>
          </w:tcPr>
          <w:p w14:paraId="31F5A826" w14:textId="77777777" w:rsidR="00B3417A" w:rsidRPr="00F3439A" w:rsidRDefault="00B3417A" w:rsidP="005F546A">
            <w:pPr>
              <w:pStyle w:val="TableParagraph"/>
              <w:spacing w:before="7"/>
              <w:jc w:val="both"/>
              <w:rPr>
                <w:b/>
                <w:lang w:val="sr-Latn-ME"/>
              </w:rPr>
            </w:pPr>
          </w:p>
          <w:p w14:paraId="38408E07" w14:textId="77777777" w:rsidR="00B3417A" w:rsidRPr="00F3439A" w:rsidRDefault="00B3417A" w:rsidP="005F546A">
            <w:pPr>
              <w:pStyle w:val="TableParagraph"/>
              <w:ind w:left="214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-15,2</w:t>
            </w:r>
            <w:r w:rsidRPr="00F3439A">
              <w:rPr>
                <w:spacing w:val="-1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(-28,6;</w:t>
            </w:r>
            <w:r w:rsidRPr="00F3439A">
              <w:rPr>
                <w:spacing w:val="1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-1,7)</w:t>
            </w:r>
            <w:r w:rsidRPr="00F3439A">
              <w:rPr>
                <w:spacing w:val="-3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p</w:t>
            </w:r>
            <w:r w:rsidRPr="00F3439A">
              <w:rPr>
                <w:spacing w:val="-5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= 0,028</w:t>
            </w:r>
          </w:p>
        </w:tc>
      </w:tr>
      <w:tr w:rsidR="00B3417A" w:rsidRPr="00F3439A" w14:paraId="7B2CE3BF" w14:textId="77777777" w:rsidTr="00F3439A">
        <w:trPr>
          <w:trHeight w:val="1295"/>
        </w:trPr>
        <w:tc>
          <w:tcPr>
            <w:tcW w:w="1670" w:type="dxa"/>
          </w:tcPr>
          <w:p w14:paraId="4375BCEC" w14:textId="567710A9" w:rsidR="00B3417A" w:rsidRPr="00F3439A" w:rsidRDefault="00B3417A" w:rsidP="005F546A">
            <w:pPr>
              <w:pStyle w:val="TableParagraph"/>
              <w:spacing w:before="5"/>
              <w:ind w:left="19" w:right="7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Srednja vr</w:t>
            </w:r>
            <w:r w:rsidR="00475FCF" w:rsidRPr="00F3439A">
              <w:rPr>
                <w:lang w:val="sr-Latn-ME"/>
              </w:rPr>
              <w:t>ij</w:t>
            </w:r>
            <w:r w:rsidRPr="00F3439A">
              <w:rPr>
                <w:lang w:val="sr-Latn-ME"/>
              </w:rPr>
              <w:t>ednost</w:t>
            </w:r>
            <w:r w:rsidRPr="00F3439A">
              <w:rPr>
                <w:spacing w:val="1"/>
                <w:lang w:val="sr-Latn-ME"/>
              </w:rPr>
              <w:t xml:space="preserve"> </w:t>
            </w:r>
            <w:proofErr w:type="spellStart"/>
            <w:r w:rsidRPr="00F3439A">
              <w:rPr>
                <w:lang w:val="sr-Latn-ME"/>
              </w:rPr>
              <w:t>vremena</w:t>
            </w:r>
            <w:proofErr w:type="spellEnd"/>
            <w:r w:rsidRPr="00F3439A">
              <w:rPr>
                <w:lang w:val="sr-Latn-ME"/>
              </w:rPr>
              <w:t xml:space="preserve"> do</w:t>
            </w:r>
            <w:r w:rsidRPr="00F3439A">
              <w:rPr>
                <w:spacing w:val="1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početka</w:t>
            </w:r>
            <w:r w:rsidRPr="00F3439A">
              <w:rPr>
                <w:spacing w:val="1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povlačenja</w:t>
            </w:r>
            <w:r w:rsidRPr="00F3439A">
              <w:rPr>
                <w:spacing w:val="1"/>
                <w:lang w:val="sr-Latn-ME"/>
              </w:rPr>
              <w:t xml:space="preserve"> </w:t>
            </w:r>
            <w:r w:rsidRPr="00F3439A">
              <w:rPr>
                <w:spacing w:val="-1"/>
                <w:lang w:val="sr-Latn-ME"/>
              </w:rPr>
              <w:t>simptoma</w:t>
            </w:r>
            <w:r w:rsidRPr="00F3439A">
              <w:rPr>
                <w:spacing w:val="-10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(časovi)</w:t>
            </w:r>
          </w:p>
        </w:tc>
        <w:tc>
          <w:tcPr>
            <w:tcW w:w="1276" w:type="dxa"/>
          </w:tcPr>
          <w:p w14:paraId="16DD830D" w14:textId="77777777" w:rsidR="00B3417A" w:rsidRPr="00F3439A" w:rsidRDefault="00B3417A" w:rsidP="005F546A">
            <w:pPr>
              <w:pStyle w:val="TableParagraph"/>
              <w:jc w:val="both"/>
              <w:rPr>
                <w:lang w:val="sr-Latn-ME"/>
              </w:rPr>
            </w:pPr>
          </w:p>
        </w:tc>
        <w:tc>
          <w:tcPr>
            <w:tcW w:w="1415" w:type="dxa"/>
          </w:tcPr>
          <w:p w14:paraId="4AF950FB" w14:textId="77777777" w:rsidR="00B3417A" w:rsidRPr="00F3439A" w:rsidRDefault="00B3417A" w:rsidP="005F546A">
            <w:pPr>
              <w:pStyle w:val="TableParagraph"/>
              <w:jc w:val="both"/>
              <w:rPr>
                <w:lang w:val="sr-Latn-ME"/>
              </w:rPr>
            </w:pPr>
          </w:p>
        </w:tc>
        <w:tc>
          <w:tcPr>
            <w:tcW w:w="1986" w:type="dxa"/>
          </w:tcPr>
          <w:p w14:paraId="59A47D0E" w14:textId="30C6FB5D" w:rsidR="00B3417A" w:rsidRPr="00F3439A" w:rsidRDefault="00B3417A" w:rsidP="005F546A">
            <w:pPr>
              <w:pStyle w:val="TableParagraph"/>
              <w:spacing w:before="135"/>
              <w:ind w:left="21" w:right="70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Srednja vr</w:t>
            </w:r>
            <w:r w:rsidR="00475FCF" w:rsidRPr="00F3439A">
              <w:rPr>
                <w:lang w:val="sr-Latn-ME"/>
              </w:rPr>
              <w:t>ij</w:t>
            </w:r>
            <w:r w:rsidRPr="00F3439A">
              <w:rPr>
                <w:lang w:val="sr-Latn-ME"/>
              </w:rPr>
              <w:t>ednost</w:t>
            </w:r>
            <w:r w:rsidRPr="00F3439A">
              <w:rPr>
                <w:spacing w:val="1"/>
                <w:lang w:val="sr-Latn-ME"/>
              </w:rPr>
              <w:t xml:space="preserve"> </w:t>
            </w:r>
            <w:proofErr w:type="spellStart"/>
            <w:r w:rsidRPr="00F3439A">
              <w:rPr>
                <w:lang w:val="sr-Latn-ME"/>
              </w:rPr>
              <w:t>vremena</w:t>
            </w:r>
            <w:proofErr w:type="spellEnd"/>
            <w:r w:rsidRPr="00F3439A">
              <w:rPr>
                <w:lang w:val="sr-Latn-ME"/>
              </w:rPr>
              <w:t xml:space="preserve"> do početka</w:t>
            </w:r>
            <w:r w:rsidRPr="00F3439A">
              <w:rPr>
                <w:spacing w:val="1"/>
                <w:lang w:val="sr-Latn-ME"/>
              </w:rPr>
              <w:t xml:space="preserve"> </w:t>
            </w:r>
            <w:r w:rsidRPr="00F3439A">
              <w:rPr>
                <w:spacing w:val="-1"/>
                <w:lang w:val="sr-Latn-ME"/>
              </w:rPr>
              <w:t xml:space="preserve">povlačenja </w:t>
            </w:r>
            <w:r w:rsidRPr="00F3439A">
              <w:rPr>
                <w:lang w:val="sr-Latn-ME"/>
              </w:rPr>
              <w:t>simptoma</w:t>
            </w:r>
            <w:r w:rsidRPr="00F3439A">
              <w:rPr>
                <w:spacing w:val="-52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(časovi)</w:t>
            </w:r>
          </w:p>
        </w:tc>
        <w:tc>
          <w:tcPr>
            <w:tcW w:w="1271" w:type="dxa"/>
          </w:tcPr>
          <w:p w14:paraId="165E740E" w14:textId="77777777" w:rsidR="00B3417A" w:rsidRPr="00F3439A" w:rsidRDefault="00B3417A" w:rsidP="005F546A">
            <w:pPr>
              <w:pStyle w:val="TableParagraph"/>
              <w:jc w:val="both"/>
              <w:rPr>
                <w:lang w:val="sr-Latn-ME"/>
              </w:rPr>
            </w:pPr>
          </w:p>
        </w:tc>
        <w:tc>
          <w:tcPr>
            <w:tcW w:w="1631" w:type="dxa"/>
          </w:tcPr>
          <w:p w14:paraId="4096FB20" w14:textId="77777777" w:rsidR="00B3417A" w:rsidRPr="00F3439A" w:rsidRDefault="00B3417A" w:rsidP="005F546A">
            <w:pPr>
              <w:pStyle w:val="TableParagraph"/>
              <w:jc w:val="both"/>
              <w:rPr>
                <w:lang w:val="sr-Latn-ME"/>
              </w:rPr>
            </w:pPr>
          </w:p>
        </w:tc>
      </w:tr>
      <w:tr w:rsidR="00B3417A" w:rsidRPr="00F3439A" w14:paraId="75F8A64A" w14:textId="77777777" w:rsidTr="00F3439A">
        <w:trPr>
          <w:trHeight w:val="537"/>
        </w:trPr>
        <w:tc>
          <w:tcPr>
            <w:tcW w:w="1670" w:type="dxa"/>
          </w:tcPr>
          <w:p w14:paraId="042A1086" w14:textId="77777777" w:rsidR="00B3417A" w:rsidRPr="00F3439A" w:rsidRDefault="00B3417A" w:rsidP="005F546A">
            <w:pPr>
              <w:pStyle w:val="TableParagraph"/>
              <w:spacing w:before="5"/>
              <w:ind w:left="19" w:right="567"/>
              <w:jc w:val="both"/>
              <w:rPr>
                <w:lang w:val="sr-Latn-ME"/>
              </w:rPr>
            </w:pPr>
            <w:r w:rsidRPr="00F3439A">
              <w:rPr>
                <w:spacing w:val="-1"/>
                <w:lang w:val="sr-Latn-ME"/>
              </w:rPr>
              <w:t>Sve</w:t>
            </w:r>
            <w:r w:rsidRPr="00F3439A">
              <w:rPr>
                <w:spacing w:val="-13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epizode</w:t>
            </w:r>
            <w:r w:rsidRPr="00F3439A">
              <w:rPr>
                <w:spacing w:val="-52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(N</w:t>
            </w:r>
            <w:r w:rsidRPr="00F3439A">
              <w:rPr>
                <w:spacing w:val="1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=</w:t>
            </w:r>
            <w:r w:rsidRPr="00F3439A">
              <w:rPr>
                <w:spacing w:val="2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74)</w:t>
            </w:r>
          </w:p>
        </w:tc>
        <w:tc>
          <w:tcPr>
            <w:tcW w:w="1276" w:type="dxa"/>
          </w:tcPr>
          <w:p w14:paraId="5CC89B27" w14:textId="77777777" w:rsidR="00B3417A" w:rsidRPr="00F3439A" w:rsidRDefault="00B3417A" w:rsidP="005F546A">
            <w:pPr>
              <w:pStyle w:val="TableParagraph"/>
              <w:spacing w:before="135"/>
              <w:ind w:left="106" w:right="84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2,0</w:t>
            </w:r>
          </w:p>
        </w:tc>
        <w:tc>
          <w:tcPr>
            <w:tcW w:w="1415" w:type="dxa"/>
          </w:tcPr>
          <w:p w14:paraId="16F50308" w14:textId="77777777" w:rsidR="00B3417A" w:rsidRPr="00F3439A" w:rsidRDefault="00B3417A" w:rsidP="005F546A">
            <w:pPr>
              <w:pStyle w:val="TableParagraph"/>
              <w:spacing w:before="135"/>
              <w:ind w:left="174" w:right="151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12,0</w:t>
            </w:r>
          </w:p>
        </w:tc>
        <w:tc>
          <w:tcPr>
            <w:tcW w:w="1986" w:type="dxa"/>
          </w:tcPr>
          <w:p w14:paraId="508217E8" w14:textId="77777777" w:rsidR="00B3417A" w:rsidRPr="00F3439A" w:rsidRDefault="00B3417A" w:rsidP="005F546A">
            <w:pPr>
              <w:pStyle w:val="TableParagraph"/>
              <w:spacing w:before="135"/>
              <w:ind w:left="21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Sve</w:t>
            </w:r>
            <w:r w:rsidRPr="00F3439A">
              <w:rPr>
                <w:spacing w:val="-3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epizode</w:t>
            </w:r>
            <w:r w:rsidRPr="00F3439A">
              <w:rPr>
                <w:spacing w:val="-3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(N</w:t>
            </w:r>
            <w:r w:rsidRPr="00F3439A">
              <w:rPr>
                <w:spacing w:val="1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=</w:t>
            </w:r>
            <w:r w:rsidRPr="00F3439A">
              <w:rPr>
                <w:spacing w:val="1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56)</w:t>
            </w:r>
          </w:p>
        </w:tc>
        <w:tc>
          <w:tcPr>
            <w:tcW w:w="1271" w:type="dxa"/>
          </w:tcPr>
          <w:p w14:paraId="29DBFC7E" w14:textId="77777777" w:rsidR="00B3417A" w:rsidRPr="00F3439A" w:rsidRDefault="00B3417A" w:rsidP="005F546A">
            <w:pPr>
              <w:pStyle w:val="TableParagraph"/>
              <w:spacing w:before="135"/>
              <w:ind w:left="104" w:right="81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2,5</w:t>
            </w:r>
          </w:p>
        </w:tc>
        <w:tc>
          <w:tcPr>
            <w:tcW w:w="1631" w:type="dxa"/>
          </w:tcPr>
          <w:p w14:paraId="7772461C" w14:textId="77777777" w:rsidR="00B3417A" w:rsidRPr="00F3439A" w:rsidRDefault="00B3417A" w:rsidP="005F546A">
            <w:pPr>
              <w:pStyle w:val="TableParagraph"/>
              <w:spacing w:before="135"/>
              <w:ind w:left="287" w:right="257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4,6</w:t>
            </w:r>
          </w:p>
        </w:tc>
      </w:tr>
      <w:tr w:rsidR="00B3417A" w:rsidRPr="00F3439A" w14:paraId="6143F508" w14:textId="77777777" w:rsidTr="00F3439A">
        <w:trPr>
          <w:trHeight w:val="1041"/>
        </w:trPr>
        <w:tc>
          <w:tcPr>
            <w:tcW w:w="1670" w:type="dxa"/>
          </w:tcPr>
          <w:p w14:paraId="5F106A7A" w14:textId="1AA68622" w:rsidR="00B3417A" w:rsidRPr="00F3439A" w:rsidRDefault="00B3417A" w:rsidP="005F546A">
            <w:pPr>
              <w:pStyle w:val="TableParagraph"/>
              <w:spacing w:before="5"/>
              <w:ind w:left="19" w:right="241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Stopa</w:t>
            </w:r>
            <w:r w:rsidRPr="00F3439A">
              <w:rPr>
                <w:spacing w:val="-8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odgovora</w:t>
            </w:r>
            <w:r w:rsidRPr="00F3439A">
              <w:rPr>
                <w:spacing w:val="-52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(%,</w:t>
            </w:r>
            <w:r w:rsidRPr="00F3439A">
              <w:rPr>
                <w:spacing w:val="-1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CI)</w:t>
            </w:r>
            <w:r w:rsidRPr="00F3439A">
              <w:rPr>
                <w:spacing w:val="2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posl</w:t>
            </w:r>
            <w:r w:rsidR="00475FCF" w:rsidRPr="00F3439A">
              <w:rPr>
                <w:lang w:val="sr-Latn-ME"/>
              </w:rPr>
              <w:t>ij</w:t>
            </w:r>
            <w:r w:rsidRPr="00F3439A">
              <w:rPr>
                <w:lang w:val="sr-Latn-ME"/>
              </w:rPr>
              <w:t>e</w:t>
            </w:r>
          </w:p>
          <w:p w14:paraId="13D1C56E" w14:textId="77777777" w:rsidR="00B3417A" w:rsidRPr="00F3439A" w:rsidRDefault="00B3417A" w:rsidP="005F546A">
            <w:pPr>
              <w:pStyle w:val="TableParagraph"/>
              <w:ind w:left="19" w:right="81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4</w:t>
            </w:r>
            <w:r w:rsidRPr="00F3439A">
              <w:rPr>
                <w:spacing w:val="-6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časa</w:t>
            </w:r>
            <w:r w:rsidRPr="00F3439A">
              <w:rPr>
                <w:spacing w:val="-2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od</w:t>
            </w:r>
            <w:r w:rsidRPr="00F3439A">
              <w:rPr>
                <w:spacing w:val="-10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početka</w:t>
            </w:r>
            <w:r w:rsidRPr="00F3439A">
              <w:rPr>
                <w:spacing w:val="-52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terapije</w:t>
            </w:r>
          </w:p>
        </w:tc>
        <w:tc>
          <w:tcPr>
            <w:tcW w:w="1276" w:type="dxa"/>
          </w:tcPr>
          <w:p w14:paraId="718FD125" w14:textId="77777777" w:rsidR="00B3417A" w:rsidRPr="00F3439A" w:rsidRDefault="00B3417A" w:rsidP="005F546A">
            <w:pPr>
              <w:pStyle w:val="TableParagraph"/>
              <w:jc w:val="both"/>
              <w:rPr>
                <w:lang w:val="sr-Latn-ME"/>
              </w:rPr>
            </w:pPr>
          </w:p>
        </w:tc>
        <w:tc>
          <w:tcPr>
            <w:tcW w:w="1415" w:type="dxa"/>
          </w:tcPr>
          <w:p w14:paraId="35575D85" w14:textId="77777777" w:rsidR="00B3417A" w:rsidRPr="00F3439A" w:rsidRDefault="00B3417A" w:rsidP="005F546A">
            <w:pPr>
              <w:pStyle w:val="TableParagraph"/>
              <w:jc w:val="both"/>
              <w:rPr>
                <w:lang w:val="sr-Latn-ME"/>
              </w:rPr>
            </w:pPr>
          </w:p>
        </w:tc>
        <w:tc>
          <w:tcPr>
            <w:tcW w:w="1986" w:type="dxa"/>
          </w:tcPr>
          <w:p w14:paraId="73AB9280" w14:textId="6C3BEE24" w:rsidR="00B3417A" w:rsidRPr="00F3439A" w:rsidRDefault="00B3417A" w:rsidP="005F546A">
            <w:pPr>
              <w:pStyle w:val="TableParagraph"/>
              <w:spacing w:before="130"/>
              <w:ind w:left="21" w:right="181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Stopa odgovora (%,</w:t>
            </w:r>
            <w:r w:rsidRPr="00F3439A">
              <w:rPr>
                <w:spacing w:val="-52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CI) posl</w:t>
            </w:r>
            <w:r w:rsidR="00475FCF" w:rsidRPr="00F3439A">
              <w:rPr>
                <w:lang w:val="sr-Latn-ME"/>
              </w:rPr>
              <w:t>ij</w:t>
            </w:r>
            <w:r w:rsidRPr="00F3439A">
              <w:rPr>
                <w:lang w:val="sr-Latn-ME"/>
              </w:rPr>
              <w:t>e 4 časa od</w:t>
            </w:r>
            <w:r w:rsidRPr="00F3439A">
              <w:rPr>
                <w:spacing w:val="1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početka</w:t>
            </w:r>
            <w:r w:rsidRPr="00F3439A">
              <w:rPr>
                <w:spacing w:val="-1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terapije</w:t>
            </w:r>
          </w:p>
        </w:tc>
        <w:tc>
          <w:tcPr>
            <w:tcW w:w="1271" w:type="dxa"/>
          </w:tcPr>
          <w:p w14:paraId="18203AE1" w14:textId="77777777" w:rsidR="00B3417A" w:rsidRPr="00F3439A" w:rsidRDefault="00B3417A" w:rsidP="005F546A">
            <w:pPr>
              <w:pStyle w:val="TableParagraph"/>
              <w:jc w:val="both"/>
              <w:rPr>
                <w:lang w:val="sr-Latn-ME"/>
              </w:rPr>
            </w:pPr>
          </w:p>
        </w:tc>
        <w:tc>
          <w:tcPr>
            <w:tcW w:w="1631" w:type="dxa"/>
          </w:tcPr>
          <w:p w14:paraId="277F7F50" w14:textId="77777777" w:rsidR="00B3417A" w:rsidRPr="00F3439A" w:rsidRDefault="00B3417A" w:rsidP="005F546A">
            <w:pPr>
              <w:pStyle w:val="TableParagraph"/>
              <w:jc w:val="both"/>
              <w:rPr>
                <w:lang w:val="sr-Latn-ME"/>
              </w:rPr>
            </w:pPr>
          </w:p>
        </w:tc>
      </w:tr>
      <w:tr w:rsidR="00B3417A" w:rsidRPr="00F3439A" w14:paraId="1297C11E" w14:textId="77777777" w:rsidTr="00F3439A">
        <w:trPr>
          <w:trHeight w:val="537"/>
        </w:trPr>
        <w:tc>
          <w:tcPr>
            <w:tcW w:w="1670" w:type="dxa"/>
          </w:tcPr>
          <w:p w14:paraId="071C0D00" w14:textId="77777777" w:rsidR="00B3417A" w:rsidRPr="00F3439A" w:rsidRDefault="00B3417A" w:rsidP="005F546A">
            <w:pPr>
              <w:pStyle w:val="TableParagraph"/>
              <w:spacing w:before="5"/>
              <w:ind w:left="19" w:right="567"/>
              <w:jc w:val="both"/>
              <w:rPr>
                <w:lang w:val="sr-Latn-ME"/>
              </w:rPr>
            </w:pPr>
            <w:r w:rsidRPr="00F3439A">
              <w:rPr>
                <w:spacing w:val="-1"/>
                <w:lang w:val="sr-Latn-ME"/>
              </w:rPr>
              <w:t>Sve</w:t>
            </w:r>
            <w:r w:rsidRPr="00F3439A">
              <w:rPr>
                <w:spacing w:val="-13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epizode</w:t>
            </w:r>
            <w:r w:rsidRPr="00F3439A">
              <w:rPr>
                <w:spacing w:val="-52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(N</w:t>
            </w:r>
            <w:r w:rsidRPr="00F3439A">
              <w:rPr>
                <w:spacing w:val="1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=</w:t>
            </w:r>
            <w:r w:rsidRPr="00F3439A">
              <w:rPr>
                <w:spacing w:val="2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74)</w:t>
            </w:r>
          </w:p>
        </w:tc>
        <w:tc>
          <w:tcPr>
            <w:tcW w:w="1276" w:type="dxa"/>
          </w:tcPr>
          <w:p w14:paraId="5A2B6B5A" w14:textId="77777777" w:rsidR="00B3417A" w:rsidRPr="00F3439A" w:rsidRDefault="00B3417A" w:rsidP="005F546A">
            <w:pPr>
              <w:pStyle w:val="TableParagraph"/>
              <w:spacing w:before="5"/>
              <w:ind w:left="101" w:right="85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80,0</w:t>
            </w:r>
          </w:p>
          <w:p w14:paraId="4EC237EE" w14:textId="77777777" w:rsidR="00B3417A" w:rsidRPr="00F3439A" w:rsidRDefault="00B3417A" w:rsidP="005F546A">
            <w:pPr>
              <w:pStyle w:val="TableParagraph"/>
              <w:spacing w:before="2"/>
              <w:ind w:left="106" w:right="85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(63,1;</w:t>
            </w:r>
            <w:r w:rsidRPr="00F3439A">
              <w:rPr>
                <w:spacing w:val="2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91,6)</w:t>
            </w:r>
          </w:p>
        </w:tc>
        <w:tc>
          <w:tcPr>
            <w:tcW w:w="1415" w:type="dxa"/>
          </w:tcPr>
          <w:p w14:paraId="0BE8964E" w14:textId="77777777" w:rsidR="00B3417A" w:rsidRPr="00F3439A" w:rsidRDefault="00B3417A" w:rsidP="005F546A">
            <w:pPr>
              <w:pStyle w:val="TableParagraph"/>
              <w:spacing w:before="5"/>
              <w:ind w:left="173" w:right="151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30,6</w:t>
            </w:r>
          </w:p>
          <w:p w14:paraId="74DAF6F0" w14:textId="77777777" w:rsidR="00B3417A" w:rsidRPr="00F3439A" w:rsidRDefault="00B3417A" w:rsidP="005F546A">
            <w:pPr>
              <w:pStyle w:val="TableParagraph"/>
              <w:spacing w:before="2"/>
              <w:ind w:left="179" w:right="151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(16,3;</w:t>
            </w:r>
            <w:r w:rsidRPr="00F3439A">
              <w:rPr>
                <w:spacing w:val="2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48,1)</w:t>
            </w:r>
          </w:p>
        </w:tc>
        <w:tc>
          <w:tcPr>
            <w:tcW w:w="1986" w:type="dxa"/>
          </w:tcPr>
          <w:p w14:paraId="0F4055C5" w14:textId="77777777" w:rsidR="00B3417A" w:rsidRPr="00F3439A" w:rsidRDefault="00B3417A" w:rsidP="005F546A">
            <w:pPr>
              <w:pStyle w:val="TableParagraph"/>
              <w:spacing w:before="5"/>
              <w:ind w:left="21" w:right="869"/>
              <w:jc w:val="both"/>
              <w:rPr>
                <w:lang w:val="sr-Latn-ME"/>
              </w:rPr>
            </w:pPr>
            <w:r w:rsidRPr="00F3439A">
              <w:rPr>
                <w:spacing w:val="-1"/>
                <w:lang w:val="sr-Latn-ME"/>
              </w:rPr>
              <w:t xml:space="preserve">Sve </w:t>
            </w:r>
            <w:r w:rsidRPr="00F3439A">
              <w:rPr>
                <w:lang w:val="sr-Latn-ME"/>
              </w:rPr>
              <w:t>epizode</w:t>
            </w:r>
            <w:r w:rsidRPr="00F3439A">
              <w:rPr>
                <w:spacing w:val="-52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(N = 56)</w:t>
            </w:r>
          </w:p>
        </w:tc>
        <w:tc>
          <w:tcPr>
            <w:tcW w:w="1271" w:type="dxa"/>
          </w:tcPr>
          <w:p w14:paraId="32270E5B" w14:textId="77777777" w:rsidR="00B3417A" w:rsidRPr="00F3439A" w:rsidRDefault="00B3417A" w:rsidP="005F546A">
            <w:pPr>
              <w:pStyle w:val="TableParagraph"/>
              <w:spacing w:before="5"/>
              <w:ind w:left="98" w:right="81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66,7</w:t>
            </w:r>
          </w:p>
          <w:p w14:paraId="1F5E7DD8" w14:textId="77777777" w:rsidR="00B3417A" w:rsidRPr="00F3439A" w:rsidRDefault="00B3417A" w:rsidP="005F546A">
            <w:pPr>
              <w:pStyle w:val="TableParagraph"/>
              <w:spacing w:before="2"/>
              <w:ind w:left="104" w:right="81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(46,0;</w:t>
            </w:r>
            <w:r w:rsidRPr="00F3439A">
              <w:rPr>
                <w:spacing w:val="2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83,5)</w:t>
            </w:r>
          </w:p>
        </w:tc>
        <w:tc>
          <w:tcPr>
            <w:tcW w:w="1631" w:type="dxa"/>
          </w:tcPr>
          <w:p w14:paraId="070E9792" w14:textId="77777777" w:rsidR="00B3417A" w:rsidRPr="00F3439A" w:rsidRDefault="00B3417A" w:rsidP="005F546A">
            <w:pPr>
              <w:pStyle w:val="TableParagraph"/>
              <w:spacing w:before="5"/>
              <w:ind w:left="282" w:right="258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46,4</w:t>
            </w:r>
          </w:p>
          <w:p w14:paraId="55D9762F" w14:textId="77777777" w:rsidR="00B3417A" w:rsidRPr="00F3439A" w:rsidRDefault="00B3417A" w:rsidP="005F546A">
            <w:pPr>
              <w:pStyle w:val="TableParagraph"/>
              <w:spacing w:before="2"/>
              <w:ind w:left="287" w:right="258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(27,5;</w:t>
            </w:r>
            <w:r w:rsidRPr="00F3439A">
              <w:rPr>
                <w:spacing w:val="2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66,1)</w:t>
            </w:r>
          </w:p>
        </w:tc>
      </w:tr>
      <w:tr w:rsidR="00B3417A" w:rsidRPr="00F3439A" w14:paraId="4F7AFD9B" w14:textId="77777777" w:rsidTr="00F3439A">
        <w:trPr>
          <w:trHeight w:val="2812"/>
        </w:trPr>
        <w:tc>
          <w:tcPr>
            <w:tcW w:w="1670" w:type="dxa"/>
          </w:tcPr>
          <w:p w14:paraId="62D85FC8" w14:textId="5CA5DBB3" w:rsidR="00B3417A" w:rsidRPr="00F3439A" w:rsidRDefault="00B3417A" w:rsidP="005F546A">
            <w:pPr>
              <w:pStyle w:val="TableParagraph"/>
              <w:spacing w:before="5"/>
              <w:ind w:left="19" w:right="145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Srednja</w:t>
            </w:r>
            <w:r w:rsidRPr="00F3439A">
              <w:rPr>
                <w:spacing w:val="-9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vr</w:t>
            </w:r>
            <w:r w:rsidR="00475FCF" w:rsidRPr="00F3439A">
              <w:rPr>
                <w:lang w:val="sr-Latn-ME"/>
              </w:rPr>
              <w:t>ij</w:t>
            </w:r>
            <w:r w:rsidRPr="00F3439A">
              <w:rPr>
                <w:lang w:val="sr-Latn-ME"/>
              </w:rPr>
              <w:t>ednost</w:t>
            </w:r>
            <w:r w:rsidRPr="00F3439A">
              <w:rPr>
                <w:spacing w:val="-52"/>
                <w:lang w:val="sr-Latn-ME"/>
              </w:rPr>
              <w:t xml:space="preserve"> </w:t>
            </w:r>
            <w:proofErr w:type="spellStart"/>
            <w:r w:rsidRPr="00F3439A">
              <w:rPr>
                <w:lang w:val="sr-Latn-ME"/>
              </w:rPr>
              <w:t>vremena</w:t>
            </w:r>
            <w:proofErr w:type="spellEnd"/>
          </w:p>
          <w:p w14:paraId="21DF6B3A" w14:textId="77777777" w:rsidR="00B3417A" w:rsidRPr="00F3439A" w:rsidRDefault="00B3417A" w:rsidP="005F546A">
            <w:pPr>
              <w:pStyle w:val="TableParagraph"/>
              <w:ind w:left="19" w:right="390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do početka</w:t>
            </w:r>
            <w:r w:rsidRPr="00F3439A">
              <w:rPr>
                <w:spacing w:val="1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povlačenja</w:t>
            </w:r>
            <w:r w:rsidRPr="00F3439A">
              <w:rPr>
                <w:spacing w:val="1"/>
                <w:lang w:val="sr-Latn-ME"/>
              </w:rPr>
              <w:t xml:space="preserve"> </w:t>
            </w:r>
            <w:r w:rsidRPr="00F3439A">
              <w:rPr>
                <w:spacing w:val="-1"/>
                <w:lang w:val="sr-Latn-ME"/>
              </w:rPr>
              <w:t xml:space="preserve">simptoma: </w:t>
            </w:r>
            <w:r w:rsidRPr="00F3439A">
              <w:rPr>
                <w:lang w:val="sr-Latn-ME"/>
              </w:rPr>
              <w:t>svi</w:t>
            </w:r>
            <w:r w:rsidRPr="00F3439A">
              <w:rPr>
                <w:spacing w:val="-52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simptomi</w:t>
            </w:r>
            <w:r w:rsidRPr="00F3439A">
              <w:rPr>
                <w:spacing w:val="1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(časovi):</w:t>
            </w:r>
          </w:p>
          <w:p w14:paraId="1321554F" w14:textId="77777777" w:rsidR="00B3417A" w:rsidRPr="00F3439A" w:rsidRDefault="00B3417A" w:rsidP="005F546A">
            <w:pPr>
              <w:pStyle w:val="TableParagraph"/>
              <w:spacing w:before="1"/>
              <w:ind w:left="297" w:right="177" w:firstLine="4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Abdominalni</w:t>
            </w:r>
            <w:r w:rsidRPr="00F3439A">
              <w:rPr>
                <w:spacing w:val="-53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bol</w:t>
            </w:r>
          </w:p>
          <w:p w14:paraId="00D264E3" w14:textId="77777777" w:rsidR="00B3417A" w:rsidRPr="00F3439A" w:rsidRDefault="00B3417A" w:rsidP="005F546A">
            <w:pPr>
              <w:pStyle w:val="TableParagraph"/>
              <w:ind w:left="302" w:right="131"/>
              <w:jc w:val="both"/>
              <w:rPr>
                <w:lang w:val="sr-Latn-ME"/>
              </w:rPr>
            </w:pPr>
            <w:r w:rsidRPr="00F3439A">
              <w:rPr>
                <w:spacing w:val="-1"/>
                <w:lang w:val="sr-Latn-ME"/>
              </w:rPr>
              <w:t xml:space="preserve">Oticanje </w:t>
            </w:r>
            <w:r w:rsidRPr="00F3439A">
              <w:rPr>
                <w:lang w:val="sr-Latn-ME"/>
              </w:rPr>
              <w:t>kože</w:t>
            </w:r>
            <w:r w:rsidRPr="00F3439A">
              <w:rPr>
                <w:spacing w:val="-52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Bol</w:t>
            </w:r>
            <w:r w:rsidRPr="00F3439A">
              <w:rPr>
                <w:spacing w:val="-2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kože</w:t>
            </w:r>
          </w:p>
        </w:tc>
        <w:tc>
          <w:tcPr>
            <w:tcW w:w="1276" w:type="dxa"/>
          </w:tcPr>
          <w:p w14:paraId="2274F9E3" w14:textId="77777777" w:rsidR="00B3417A" w:rsidRPr="00F3439A" w:rsidRDefault="00B3417A" w:rsidP="005F546A">
            <w:pPr>
              <w:pStyle w:val="TableParagraph"/>
              <w:jc w:val="both"/>
              <w:rPr>
                <w:b/>
                <w:sz w:val="24"/>
                <w:lang w:val="sr-Latn-ME"/>
              </w:rPr>
            </w:pPr>
          </w:p>
          <w:p w14:paraId="7CA32D63" w14:textId="77777777" w:rsidR="00B3417A" w:rsidRPr="00F3439A" w:rsidRDefault="00B3417A" w:rsidP="005F546A">
            <w:pPr>
              <w:pStyle w:val="TableParagraph"/>
              <w:jc w:val="both"/>
              <w:rPr>
                <w:b/>
                <w:sz w:val="24"/>
                <w:lang w:val="sr-Latn-ME"/>
              </w:rPr>
            </w:pPr>
          </w:p>
          <w:p w14:paraId="1B1135F3" w14:textId="77777777" w:rsidR="00B3417A" w:rsidRPr="00F3439A" w:rsidRDefault="00B3417A" w:rsidP="005F546A">
            <w:pPr>
              <w:pStyle w:val="TableParagraph"/>
              <w:spacing w:before="212"/>
              <w:ind w:left="106" w:right="84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1,6</w:t>
            </w:r>
          </w:p>
          <w:p w14:paraId="7E4F7A9F" w14:textId="77777777" w:rsidR="00B3417A" w:rsidRPr="00F3439A" w:rsidRDefault="00B3417A" w:rsidP="005F546A">
            <w:pPr>
              <w:pStyle w:val="TableParagraph"/>
              <w:spacing w:before="1"/>
              <w:ind w:left="106" w:right="84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2,6</w:t>
            </w:r>
          </w:p>
          <w:p w14:paraId="4A2033AD" w14:textId="77777777" w:rsidR="00B3417A" w:rsidRPr="00F3439A" w:rsidRDefault="00B3417A" w:rsidP="005F546A">
            <w:pPr>
              <w:pStyle w:val="TableParagraph"/>
              <w:spacing w:before="2"/>
              <w:ind w:left="106" w:right="84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1,5</w:t>
            </w:r>
          </w:p>
        </w:tc>
        <w:tc>
          <w:tcPr>
            <w:tcW w:w="1415" w:type="dxa"/>
          </w:tcPr>
          <w:p w14:paraId="506B4EE3" w14:textId="77777777" w:rsidR="00B3417A" w:rsidRPr="00F3439A" w:rsidRDefault="00B3417A" w:rsidP="005F546A">
            <w:pPr>
              <w:pStyle w:val="TableParagraph"/>
              <w:jc w:val="both"/>
              <w:rPr>
                <w:b/>
                <w:sz w:val="24"/>
                <w:lang w:val="sr-Latn-ME"/>
              </w:rPr>
            </w:pPr>
          </w:p>
          <w:p w14:paraId="3FBE288A" w14:textId="77777777" w:rsidR="00B3417A" w:rsidRPr="00F3439A" w:rsidRDefault="00B3417A" w:rsidP="005F546A">
            <w:pPr>
              <w:pStyle w:val="TableParagraph"/>
              <w:jc w:val="both"/>
              <w:rPr>
                <w:b/>
                <w:sz w:val="24"/>
                <w:lang w:val="sr-Latn-ME"/>
              </w:rPr>
            </w:pPr>
          </w:p>
          <w:p w14:paraId="7D261A4F" w14:textId="77777777" w:rsidR="00B3417A" w:rsidRPr="00F3439A" w:rsidRDefault="00B3417A" w:rsidP="005F546A">
            <w:pPr>
              <w:pStyle w:val="TableParagraph"/>
              <w:spacing w:before="212"/>
              <w:ind w:left="179" w:right="151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3,5</w:t>
            </w:r>
          </w:p>
          <w:p w14:paraId="39CC4348" w14:textId="77777777" w:rsidR="00B3417A" w:rsidRPr="00F3439A" w:rsidRDefault="00B3417A" w:rsidP="005F546A">
            <w:pPr>
              <w:pStyle w:val="TableParagraph"/>
              <w:spacing w:before="1"/>
              <w:ind w:left="174" w:right="151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18,1</w:t>
            </w:r>
          </w:p>
          <w:p w14:paraId="6C3E0149" w14:textId="77777777" w:rsidR="00B3417A" w:rsidRPr="00F3439A" w:rsidRDefault="00B3417A" w:rsidP="005F546A">
            <w:pPr>
              <w:pStyle w:val="TableParagraph"/>
              <w:spacing w:before="2"/>
              <w:ind w:left="174" w:right="151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12,0</w:t>
            </w:r>
          </w:p>
        </w:tc>
        <w:tc>
          <w:tcPr>
            <w:tcW w:w="1986" w:type="dxa"/>
          </w:tcPr>
          <w:p w14:paraId="21C44F73" w14:textId="61EA55B7" w:rsidR="00B3417A" w:rsidRPr="00F3439A" w:rsidRDefault="00B3417A" w:rsidP="005F546A">
            <w:pPr>
              <w:pStyle w:val="TableParagraph"/>
              <w:spacing w:before="5"/>
              <w:ind w:left="21" w:right="11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Srednja vr</w:t>
            </w:r>
            <w:r w:rsidR="00475FCF" w:rsidRPr="00F3439A">
              <w:rPr>
                <w:lang w:val="sr-Latn-ME"/>
              </w:rPr>
              <w:t>ij</w:t>
            </w:r>
            <w:r w:rsidRPr="00F3439A">
              <w:rPr>
                <w:lang w:val="sr-Latn-ME"/>
              </w:rPr>
              <w:t>ednost</w:t>
            </w:r>
            <w:r w:rsidRPr="00F3439A">
              <w:rPr>
                <w:spacing w:val="1"/>
                <w:lang w:val="sr-Latn-ME"/>
              </w:rPr>
              <w:t xml:space="preserve"> </w:t>
            </w:r>
            <w:proofErr w:type="spellStart"/>
            <w:r w:rsidRPr="00F3439A">
              <w:rPr>
                <w:lang w:val="sr-Latn-ME"/>
              </w:rPr>
              <w:t>vremena</w:t>
            </w:r>
            <w:proofErr w:type="spellEnd"/>
            <w:r w:rsidRPr="00F3439A">
              <w:rPr>
                <w:lang w:val="sr-Latn-ME"/>
              </w:rPr>
              <w:t xml:space="preserve"> do početka</w:t>
            </w:r>
            <w:r w:rsidRPr="00F3439A">
              <w:rPr>
                <w:spacing w:val="1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povlačenja</w:t>
            </w:r>
            <w:r w:rsidRPr="00F3439A">
              <w:rPr>
                <w:spacing w:val="-13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simptoma:</w:t>
            </w:r>
            <w:r w:rsidRPr="00F3439A">
              <w:rPr>
                <w:spacing w:val="-52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svi</w:t>
            </w:r>
            <w:r w:rsidRPr="00F3439A">
              <w:rPr>
                <w:spacing w:val="55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simptomi</w:t>
            </w:r>
            <w:r w:rsidRPr="00F3439A">
              <w:rPr>
                <w:spacing w:val="1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(časovi):</w:t>
            </w:r>
          </w:p>
          <w:p w14:paraId="0328A10F" w14:textId="77777777" w:rsidR="00B3417A" w:rsidRPr="00F3439A" w:rsidRDefault="00B3417A" w:rsidP="005F546A">
            <w:pPr>
              <w:pStyle w:val="TableParagraph"/>
              <w:spacing w:before="5" w:line="237" w:lineRule="auto"/>
              <w:ind w:left="299" w:right="491" w:firstLine="4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Abdominalni</w:t>
            </w:r>
            <w:r w:rsidRPr="00F3439A">
              <w:rPr>
                <w:spacing w:val="-53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bol</w:t>
            </w:r>
          </w:p>
          <w:p w14:paraId="48B76B5B" w14:textId="77777777" w:rsidR="00B3417A" w:rsidRPr="00F3439A" w:rsidRDefault="00B3417A" w:rsidP="005F546A">
            <w:pPr>
              <w:pStyle w:val="TableParagraph"/>
              <w:spacing w:before="1"/>
              <w:ind w:left="304" w:right="445"/>
              <w:jc w:val="both"/>
              <w:rPr>
                <w:lang w:val="sr-Latn-ME"/>
              </w:rPr>
            </w:pPr>
            <w:r w:rsidRPr="00F3439A">
              <w:rPr>
                <w:spacing w:val="-1"/>
                <w:lang w:val="sr-Latn-ME"/>
              </w:rPr>
              <w:t xml:space="preserve">Oticanje </w:t>
            </w:r>
            <w:r w:rsidRPr="00F3439A">
              <w:rPr>
                <w:lang w:val="sr-Latn-ME"/>
              </w:rPr>
              <w:t>kože</w:t>
            </w:r>
            <w:r w:rsidRPr="00F3439A">
              <w:rPr>
                <w:spacing w:val="-52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Bol</w:t>
            </w:r>
            <w:r w:rsidRPr="00F3439A">
              <w:rPr>
                <w:spacing w:val="-2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kože</w:t>
            </w:r>
          </w:p>
        </w:tc>
        <w:tc>
          <w:tcPr>
            <w:tcW w:w="1271" w:type="dxa"/>
          </w:tcPr>
          <w:p w14:paraId="3F9E50A9" w14:textId="77777777" w:rsidR="00B3417A" w:rsidRPr="00F3439A" w:rsidRDefault="00B3417A" w:rsidP="005F546A">
            <w:pPr>
              <w:pStyle w:val="TableParagraph"/>
              <w:jc w:val="both"/>
              <w:rPr>
                <w:b/>
                <w:sz w:val="24"/>
                <w:lang w:val="sr-Latn-ME"/>
              </w:rPr>
            </w:pPr>
          </w:p>
          <w:p w14:paraId="378942A1" w14:textId="77777777" w:rsidR="00B3417A" w:rsidRPr="00F3439A" w:rsidRDefault="00B3417A" w:rsidP="005F546A">
            <w:pPr>
              <w:pStyle w:val="TableParagraph"/>
              <w:jc w:val="both"/>
              <w:rPr>
                <w:b/>
                <w:sz w:val="24"/>
                <w:lang w:val="sr-Latn-ME"/>
              </w:rPr>
            </w:pPr>
          </w:p>
          <w:p w14:paraId="27CDEF29" w14:textId="77777777" w:rsidR="00B3417A" w:rsidRPr="00F3439A" w:rsidRDefault="00B3417A" w:rsidP="005F546A">
            <w:pPr>
              <w:pStyle w:val="TableParagraph"/>
              <w:spacing w:before="212"/>
              <w:ind w:left="104" w:right="81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2,0</w:t>
            </w:r>
          </w:p>
          <w:p w14:paraId="225CB51D" w14:textId="77777777" w:rsidR="00B3417A" w:rsidRPr="00F3439A" w:rsidRDefault="00B3417A" w:rsidP="005F546A">
            <w:pPr>
              <w:pStyle w:val="TableParagraph"/>
              <w:spacing w:before="1"/>
              <w:ind w:left="104" w:right="81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3,1</w:t>
            </w:r>
          </w:p>
          <w:p w14:paraId="599CDC5F" w14:textId="77777777" w:rsidR="00B3417A" w:rsidRPr="00F3439A" w:rsidRDefault="00B3417A" w:rsidP="005F546A">
            <w:pPr>
              <w:pStyle w:val="TableParagraph"/>
              <w:spacing w:before="2"/>
              <w:ind w:left="104" w:right="81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1,6</w:t>
            </w:r>
          </w:p>
        </w:tc>
        <w:tc>
          <w:tcPr>
            <w:tcW w:w="1631" w:type="dxa"/>
          </w:tcPr>
          <w:p w14:paraId="71BF033F" w14:textId="77777777" w:rsidR="00B3417A" w:rsidRPr="00F3439A" w:rsidRDefault="00B3417A" w:rsidP="005F546A">
            <w:pPr>
              <w:pStyle w:val="TableParagraph"/>
              <w:jc w:val="both"/>
              <w:rPr>
                <w:b/>
                <w:sz w:val="24"/>
                <w:lang w:val="sr-Latn-ME"/>
              </w:rPr>
            </w:pPr>
          </w:p>
          <w:p w14:paraId="47EC86D1" w14:textId="77777777" w:rsidR="00B3417A" w:rsidRPr="00F3439A" w:rsidRDefault="00B3417A" w:rsidP="005F546A">
            <w:pPr>
              <w:pStyle w:val="TableParagraph"/>
              <w:jc w:val="both"/>
              <w:rPr>
                <w:b/>
                <w:sz w:val="24"/>
                <w:lang w:val="sr-Latn-ME"/>
              </w:rPr>
            </w:pPr>
          </w:p>
          <w:p w14:paraId="57FCCE60" w14:textId="77777777" w:rsidR="00B3417A" w:rsidRPr="00F3439A" w:rsidRDefault="00B3417A" w:rsidP="005F546A">
            <w:pPr>
              <w:pStyle w:val="TableParagraph"/>
              <w:spacing w:before="212"/>
              <w:ind w:left="287" w:right="200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3,3</w:t>
            </w:r>
          </w:p>
          <w:p w14:paraId="18861989" w14:textId="77777777" w:rsidR="00B3417A" w:rsidRPr="00F3439A" w:rsidRDefault="00B3417A" w:rsidP="005F546A">
            <w:pPr>
              <w:pStyle w:val="TableParagraph"/>
              <w:spacing w:before="1"/>
              <w:ind w:left="283" w:right="258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10,2</w:t>
            </w:r>
          </w:p>
          <w:p w14:paraId="6B8E5C62" w14:textId="77777777" w:rsidR="00B3417A" w:rsidRPr="00F3439A" w:rsidRDefault="00B3417A" w:rsidP="005F546A">
            <w:pPr>
              <w:pStyle w:val="TableParagraph"/>
              <w:spacing w:before="2"/>
              <w:ind w:left="287" w:right="257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9,0</w:t>
            </w:r>
          </w:p>
        </w:tc>
      </w:tr>
      <w:tr w:rsidR="00B3417A" w:rsidRPr="00F3439A" w14:paraId="17F0CF4C" w14:textId="77777777" w:rsidTr="00F3439A">
        <w:trPr>
          <w:trHeight w:val="1295"/>
        </w:trPr>
        <w:tc>
          <w:tcPr>
            <w:tcW w:w="1670" w:type="dxa"/>
          </w:tcPr>
          <w:p w14:paraId="3C6013A0" w14:textId="75E738B3" w:rsidR="00B3417A" w:rsidRPr="00F3439A" w:rsidRDefault="00B3417A" w:rsidP="005F546A">
            <w:pPr>
              <w:pStyle w:val="TableParagraph"/>
              <w:spacing w:before="5"/>
              <w:ind w:left="19" w:right="7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Srednja vr</w:t>
            </w:r>
            <w:r w:rsidR="00475FCF" w:rsidRPr="00F3439A">
              <w:rPr>
                <w:lang w:val="sr-Latn-ME"/>
              </w:rPr>
              <w:t>ij</w:t>
            </w:r>
            <w:r w:rsidRPr="00F3439A">
              <w:rPr>
                <w:lang w:val="sr-Latn-ME"/>
              </w:rPr>
              <w:t>ednost</w:t>
            </w:r>
            <w:r w:rsidRPr="00F3439A">
              <w:rPr>
                <w:spacing w:val="1"/>
                <w:lang w:val="sr-Latn-ME"/>
              </w:rPr>
              <w:t xml:space="preserve"> </w:t>
            </w:r>
            <w:proofErr w:type="spellStart"/>
            <w:r w:rsidRPr="00F3439A">
              <w:rPr>
                <w:lang w:val="sr-Latn-ME"/>
              </w:rPr>
              <w:t>vremena</w:t>
            </w:r>
            <w:proofErr w:type="spellEnd"/>
            <w:r w:rsidRPr="00F3439A">
              <w:rPr>
                <w:spacing w:val="3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do</w:t>
            </w:r>
            <w:r w:rsidRPr="00F3439A">
              <w:rPr>
                <w:spacing w:val="1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gotovo potpunog</w:t>
            </w:r>
            <w:r w:rsidRPr="00F3439A">
              <w:rPr>
                <w:spacing w:val="1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povlačenja</w:t>
            </w:r>
            <w:r w:rsidRPr="00F3439A">
              <w:rPr>
                <w:spacing w:val="1"/>
                <w:lang w:val="sr-Latn-ME"/>
              </w:rPr>
              <w:t xml:space="preserve"> </w:t>
            </w:r>
            <w:r w:rsidRPr="00F3439A">
              <w:rPr>
                <w:spacing w:val="-1"/>
                <w:lang w:val="sr-Latn-ME"/>
              </w:rPr>
              <w:t>simptoma</w:t>
            </w:r>
            <w:r w:rsidRPr="00F3439A">
              <w:rPr>
                <w:spacing w:val="-10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(časovi)</w:t>
            </w:r>
          </w:p>
        </w:tc>
        <w:tc>
          <w:tcPr>
            <w:tcW w:w="1276" w:type="dxa"/>
          </w:tcPr>
          <w:p w14:paraId="4CDDC5AE" w14:textId="77777777" w:rsidR="00B3417A" w:rsidRPr="00F3439A" w:rsidRDefault="00B3417A" w:rsidP="005F546A">
            <w:pPr>
              <w:pStyle w:val="TableParagraph"/>
              <w:jc w:val="both"/>
              <w:rPr>
                <w:lang w:val="sr-Latn-ME"/>
              </w:rPr>
            </w:pPr>
          </w:p>
        </w:tc>
        <w:tc>
          <w:tcPr>
            <w:tcW w:w="1415" w:type="dxa"/>
          </w:tcPr>
          <w:p w14:paraId="72F574E8" w14:textId="77777777" w:rsidR="00B3417A" w:rsidRPr="00F3439A" w:rsidRDefault="00B3417A" w:rsidP="005F546A">
            <w:pPr>
              <w:pStyle w:val="TableParagraph"/>
              <w:jc w:val="both"/>
              <w:rPr>
                <w:lang w:val="sr-Latn-ME"/>
              </w:rPr>
            </w:pPr>
          </w:p>
        </w:tc>
        <w:tc>
          <w:tcPr>
            <w:tcW w:w="1986" w:type="dxa"/>
          </w:tcPr>
          <w:p w14:paraId="4D92DA2C" w14:textId="42772875" w:rsidR="00B3417A" w:rsidRPr="00F3439A" w:rsidRDefault="00B3417A" w:rsidP="005F546A">
            <w:pPr>
              <w:pStyle w:val="TableParagraph"/>
              <w:spacing w:before="130"/>
              <w:ind w:left="21" w:right="109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Srednja vr</w:t>
            </w:r>
            <w:r w:rsidR="00475FCF" w:rsidRPr="00F3439A">
              <w:rPr>
                <w:lang w:val="sr-Latn-ME"/>
              </w:rPr>
              <w:t>ij</w:t>
            </w:r>
            <w:r w:rsidRPr="00F3439A">
              <w:rPr>
                <w:lang w:val="sr-Latn-ME"/>
              </w:rPr>
              <w:t>ednost</w:t>
            </w:r>
            <w:r w:rsidRPr="00F3439A">
              <w:rPr>
                <w:spacing w:val="1"/>
                <w:lang w:val="sr-Latn-ME"/>
              </w:rPr>
              <w:t xml:space="preserve"> </w:t>
            </w:r>
            <w:proofErr w:type="spellStart"/>
            <w:r w:rsidRPr="00F3439A">
              <w:rPr>
                <w:lang w:val="sr-Latn-ME"/>
              </w:rPr>
              <w:t>vremena</w:t>
            </w:r>
            <w:proofErr w:type="spellEnd"/>
            <w:r w:rsidRPr="00F3439A">
              <w:rPr>
                <w:lang w:val="sr-Latn-ME"/>
              </w:rPr>
              <w:t xml:space="preserve"> do gotovo</w:t>
            </w:r>
            <w:r w:rsidRPr="00F3439A">
              <w:rPr>
                <w:spacing w:val="1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potpunog</w:t>
            </w:r>
            <w:r w:rsidRPr="00F3439A">
              <w:rPr>
                <w:spacing w:val="-13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povlačenja</w:t>
            </w:r>
            <w:r w:rsidRPr="00F3439A">
              <w:rPr>
                <w:spacing w:val="-52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simptoma</w:t>
            </w:r>
            <w:r w:rsidRPr="00F3439A">
              <w:rPr>
                <w:spacing w:val="-3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(časovi)</w:t>
            </w:r>
          </w:p>
        </w:tc>
        <w:tc>
          <w:tcPr>
            <w:tcW w:w="1271" w:type="dxa"/>
          </w:tcPr>
          <w:p w14:paraId="15C8A76C" w14:textId="77777777" w:rsidR="00B3417A" w:rsidRPr="00F3439A" w:rsidRDefault="00B3417A" w:rsidP="005F546A">
            <w:pPr>
              <w:pStyle w:val="TableParagraph"/>
              <w:jc w:val="both"/>
              <w:rPr>
                <w:lang w:val="sr-Latn-ME"/>
              </w:rPr>
            </w:pPr>
          </w:p>
        </w:tc>
        <w:tc>
          <w:tcPr>
            <w:tcW w:w="1631" w:type="dxa"/>
          </w:tcPr>
          <w:p w14:paraId="4DCBA11E" w14:textId="77777777" w:rsidR="00B3417A" w:rsidRPr="00F3439A" w:rsidRDefault="00B3417A" w:rsidP="005F546A">
            <w:pPr>
              <w:pStyle w:val="TableParagraph"/>
              <w:jc w:val="both"/>
              <w:rPr>
                <w:lang w:val="sr-Latn-ME"/>
              </w:rPr>
            </w:pPr>
          </w:p>
        </w:tc>
      </w:tr>
      <w:tr w:rsidR="00B3417A" w:rsidRPr="00F3439A" w14:paraId="0EE2F187" w14:textId="77777777" w:rsidTr="00F3439A">
        <w:trPr>
          <w:trHeight w:val="537"/>
        </w:trPr>
        <w:tc>
          <w:tcPr>
            <w:tcW w:w="1670" w:type="dxa"/>
          </w:tcPr>
          <w:p w14:paraId="0C4D5075" w14:textId="77777777" w:rsidR="00B3417A" w:rsidRPr="00F3439A" w:rsidRDefault="00B3417A" w:rsidP="005F546A">
            <w:pPr>
              <w:pStyle w:val="TableParagraph"/>
              <w:spacing w:before="5"/>
              <w:ind w:left="19" w:right="567"/>
              <w:jc w:val="both"/>
              <w:rPr>
                <w:lang w:val="sr-Latn-ME"/>
              </w:rPr>
            </w:pPr>
            <w:r w:rsidRPr="00F3439A">
              <w:rPr>
                <w:spacing w:val="-1"/>
                <w:lang w:val="sr-Latn-ME"/>
              </w:rPr>
              <w:t>Sve</w:t>
            </w:r>
            <w:r w:rsidRPr="00F3439A">
              <w:rPr>
                <w:spacing w:val="-13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epizode</w:t>
            </w:r>
            <w:r w:rsidRPr="00F3439A">
              <w:rPr>
                <w:spacing w:val="-52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(N</w:t>
            </w:r>
            <w:r w:rsidRPr="00F3439A">
              <w:rPr>
                <w:spacing w:val="1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=</w:t>
            </w:r>
            <w:r w:rsidRPr="00F3439A">
              <w:rPr>
                <w:spacing w:val="2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74)</w:t>
            </w:r>
          </w:p>
        </w:tc>
        <w:tc>
          <w:tcPr>
            <w:tcW w:w="1276" w:type="dxa"/>
          </w:tcPr>
          <w:p w14:paraId="0D1454AD" w14:textId="77777777" w:rsidR="00B3417A" w:rsidRPr="00F3439A" w:rsidRDefault="00B3417A" w:rsidP="005F546A">
            <w:pPr>
              <w:pStyle w:val="TableParagraph"/>
              <w:spacing w:before="130"/>
              <w:ind w:left="106" w:right="80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10,0</w:t>
            </w:r>
          </w:p>
        </w:tc>
        <w:tc>
          <w:tcPr>
            <w:tcW w:w="1415" w:type="dxa"/>
          </w:tcPr>
          <w:p w14:paraId="60011EDA" w14:textId="77777777" w:rsidR="00B3417A" w:rsidRPr="00F3439A" w:rsidRDefault="00B3417A" w:rsidP="005F546A">
            <w:pPr>
              <w:pStyle w:val="TableParagraph"/>
              <w:spacing w:before="130"/>
              <w:ind w:left="174" w:right="151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51,0</w:t>
            </w:r>
          </w:p>
        </w:tc>
        <w:tc>
          <w:tcPr>
            <w:tcW w:w="1986" w:type="dxa"/>
          </w:tcPr>
          <w:p w14:paraId="26097F44" w14:textId="77777777" w:rsidR="00B3417A" w:rsidRPr="00F3439A" w:rsidRDefault="00B3417A" w:rsidP="005F546A">
            <w:pPr>
              <w:pStyle w:val="TableParagraph"/>
              <w:spacing w:before="5"/>
              <w:ind w:left="21" w:right="869"/>
              <w:jc w:val="both"/>
              <w:rPr>
                <w:lang w:val="sr-Latn-ME"/>
              </w:rPr>
            </w:pPr>
            <w:r w:rsidRPr="00F3439A">
              <w:rPr>
                <w:spacing w:val="-1"/>
                <w:lang w:val="sr-Latn-ME"/>
              </w:rPr>
              <w:t xml:space="preserve">Sve </w:t>
            </w:r>
            <w:r w:rsidRPr="00F3439A">
              <w:rPr>
                <w:lang w:val="sr-Latn-ME"/>
              </w:rPr>
              <w:t>epizode</w:t>
            </w:r>
            <w:r w:rsidRPr="00F3439A">
              <w:rPr>
                <w:spacing w:val="-52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(N = 56)</w:t>
            </w:r>
          </w:p>
        </w:tc>
        <w:tc>
          <w:tcPr>
            <w:tcW w:w="1271" w:type="dxa"/>
          </w:tcPr>
          <w:p w14:paraId="55642706" w14:textId="77777777" w:rsidR="00B3417A" w:rsidRPr="00F3439A" w:rsidRDefault="00B3417A" w:rsidP="005F546A">
            <w:pPr>
              <w:pStyle w:val="TableParagraph"/>
              <w:spacing w:before="130"/>
              <w:ind w:left="104" w:right="81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8,5</w:t>
            </w:r>
          </w:p>
        </w:tc>
        <w:tc>
          <w:tcPr>
            <w:tcW w:w="1631" w:type="dxa"/>
          </w:tcPr>
          <w:p w14:paraId="7E39EA6A" w14:textId="77777777" w:rsidR="00B3417A" w:rsidRPr="00F3439A" w:rsidRDefault="00B3417A" w:rsidP="005F546A">
            <w:pPr>
              <w:pStyle w:val="TableParagraph"/>
              <w:spacing w:before="130"/>
              <w:ind w:left="283" w:right="258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19,4</w:t>
            </w:r>
          </w:p>
        </w:tc>
      </w:tr>
      <w:tr w:rsidR="00B3417A" w:rsidRPr="00F3439A" w14:paraId="31C31C7F" w14:textId="77777777" w:rsidTr="00F3439A">
        <w:trPr>
          <w:trHeight w:val="537"/>
        </w:trPr>
        <w:tc>
          <w:tcPr>
            <w:tcW w:w="1670" w:type="dxa"/>
          </w:tcPr>
          <w:p w14:paraId="335875D3" w14:textId="7057ED0A" w:rsidR="00B3417A" w:rsidRPr="00F3439A" w:rsidRDefault="00B3417A" w:rsidP="005F546A">
            <w:pPr>
              <w:pStyle w:val="TableParagraph"/>
              <w:spacing w:before="5"/>
              <w:ind w:left="19" w:right="567"/>
              <w:jc w:val="both"/>
              <w:rPr>
                <w:spacing w:val="-1"/>
                <w:lang w:val="sr-Latn-ME"/>
              </w:rPr>
            </w:pPr>
            <w:r w:rsidRPr="00F3439A">
              <w:rPr>
                <w:lang w:val="sr-Latn-ME"/>
              </w:rPr>
              <w:t>Srednja vr</w:t>
            </w:r>
            <w:r w:rsidR="00475FCF" w:rsidRPr="00F3439A">
              <w:rPr>
                <w:lang w:val="sr-Latn-ME"/>
              </w:rPr>
              <w:t>ij</w:t>
            </w:r>
            <w:r w:rsidRPr="00F3439A">
              <w:rPr>
                <w:lang w:val="sr-Latn-ME"/>
              </w:rPr>
              <w:t xml:space="preserve">ednost </w:t>
            </w:r>
            <w:proofErr w:type="spellStart"/>
            <w:r w:rsidRPr="00F3439A">
              <w:rPr>
                <w:lang w:val="sr-Latn-ME"/>
              </w:rPr>
              <w:t>vremena</w:t>
            </w:r>
            <w:proofErr w:type="spellEnd"/>
            <w:r w:rsidRPr="00F3439A">
              <w:rPr>
                <w:lang w:val="sr-Latn-ME"/>
              </w:rPr>
              <w:t xml:space="preserve"> do regresije simptoma, prema pacijentu (časovi)</w:t>
            </w:r>
          </w:p>
        </w:tc>
        <w:tc>
          <w:tcPr>
            <w:tcW w:w="1276" w:type="dxa"/>
          </w:tcPr>
          <w:p w14:paraId="63ACF8D1" w14:textId="77777777" w:rsidR="00B3417A" w:rsidRPr="00F3439A" w:rsidRDefault="00B3417A" w:rsidP="005F546A">
            <w:pPr>
              <w:pStyle w:val="TableParagraph"/>
              <w:spacing w:before="130"/>
              <w:ind w:left="106" w:right="80"/>
              <w:jc w:val="both"/>
              <w:rPr>
                <w:lang w:val="sr-Latn-ME"/>
              </w:rPr>
            </w:pPr>
          </w:p>
        </w:tc>
        <w:tc>
          <w:tcPr>
            <w:tcW w:w="1415" w:type="dxa"/>
          </w:tcPr>
          <w:p w14:paraId="7DD2499B" w14:textId="77777777" w:rsidR="00B3417A" w:rsidRPr="00F3439A" w:rsidRDefault="00B3417A" w:rsidP="005F546A">
            <w:pPr>
              <w:pStyle w:val="TableParagraph"/>
              <w:spacing w:before="130"/>
              <w:ind w:left="174" w:right="151"/>
              <w:jc w:val="both"/>
              <w:rPr>
                <w:lang w:val="sr-Latn-ME"/>
              </w:rPr>
            </w:pPr>
          </w:p>
        </w:tc>
        <w:tc>
          <w:tcPr>
            <w:tcW w:w="1986" w:type="dxa"/>
          </w:tcPr>
          <w:p w14:paraId="075EBDCB" w14:textId="782D7EFB" w:rsidR="00B3417A" w:rsidRPr="00F3439A" w:rsidRDefault="00B3417A" w:rsidP="005F546A">
            <w:pPr>
              <w:pStyle w:val="TableParagraph"/>
              <w:spacing w:before="5"/>
              <w:ind w:left="21" w:right="869"/>
              <w:jc w:val="both"/>
              <w:rPr>
                <w:spacing w:val="-1"/>
                <w:lang w:val="sr-Latn-ME"/>
              </w:rPr>
            </w:pPr>
            <w:r w:rsidRPr="00F3439A">
              <w:rPr>
                <w:lang w:val="sr-Latn-ME"/>
              </w:rPr>
              <w:t>Srednja vr</w:t>
            </w:r>
            <w:r w:rsidR="00475FCF" w:rsidRPr="00F3439A">
              <w:rPr>
                <w:lang w:val="sr-Latn-ME"/>
              </w:rPr>
              <w:t>ij</w:t>
            </w:r>
            <w:r w:rsidRPr="00F3439A">
              <w:rPr>
                <w:lang w:val="sr-Latn-ME"/>
              </w:rPr>
              <w:t xml:space="preserve">ednost </w:t>
            </w:r>
            <w:proofErr w:type="spellStart"/>
            <w:r w:rsidRPr="00F3439A">
              <w:rPr>
                <w:lang w:val="sr-Latn-ME"/>
              </w:rPr>
              <w:t>vremena</w:t>
            </w:r>
            <w:proofErr w:type="spellEnd"/>
            <w:r w:rsidRPr="00F3439A">
              <w:rPr>
                <w:lang w:val="sr-Latn-ME"/>
              </w:rPr>
              <w:t xml:space="preserve"> do regresije simptoma, prema pacijentu (časovi)</w:t>
            </w:r>
          </w:p>
        </w:tc>
        <w:tc>
          <w:tcPr>
            <w:tcW w:w="1271" w:type="dxa"/>
          </w:tcPr>
          <w:p w14:paraId="58A3B93C" w14:textId="77777777" w:rsidR="00B3417A" w:rsidRPr="00F3439A" w:rsidRDefault="00B3417A" w:rsidP="005F546A">
            <w:pPr>
              <w:pStyle w:val="TableParagraph"/>
              <w:spacing w:before="130"/>
              <w:ind w:left="104" w:right="81"/>
              <w:jc w:val="both"/>
              <w:rPr>
                <w:lang w:val="sr-Latn-ME"/>
              </w:rPr>
            </w:pPr>
          </w:p>
        </w:tc>
        <w:tc>
          <w:tcPr>
            <w:tcW w:w="1631" w:type="dxa"/>
          </w:tcPr>
          <w:p w14:paraId="1C061E3F" w14:textId="77777777" w:rsidR="00B3417A" w:rsidRPr="00F3439A" w:rsidRDefault="00B3417A" w:rsidP="005F546A">
            <w:pPr>
              <w:pStyle w:val="TableParagraph"/>
              <w:spacing w:before="130"/>
              <w:ind w:left="283" w:right="258"/>
              <w:jc w:val="both"/>
              <w:rPr>
                <w:lang w:val="sr-Latn-ME"/>
              </w:rPr>
            </w:pPr>
          </w:p>
        </w:tc>
      </w:tr>
      <w:tr w:rsidR="00B3417A" w:rsidRPr="00F3439A" w14:paraId="2774316D" w14:textId="77777777" w:rsidTr="00F3439A">
        <w:trPr>
          <w:trHeight w:val="537"/>
        </w:trPr>
        <w:tc>
          <w:tcPr>
            <w:tcW w:w="1670" w:type="dxa"/>
          </w:tcPr>
          <w:p w14:paraId="25290429" w14:textId="77777777" w:rsidR="00B3417A" w:rsidRPr="00F3439A" w:rsidRDefault="00B3417A" w:rsidP="005F546A">
            <w:pPr>
              <w:pStyle w:val="TableParagraph"/>
              <w:spacing w:before="5"/>
              <w:ind w:left="19" w:right="567"/>
              <w:jc w:val="both"/>
              <w:rPr>
                <w:spacing w:val="-1"/>
                <w:lang w:val="sr-Latn-ME"/>
              </w:rPr>
            </w:pPr>
            <w:r w:rsidRPr="00F3439A">
              <w:rPr>
                <w:lang w:val="sr-Latn-ME"/>
              </w:rPr>
              <w:t>Sve epizode (N = 74)</w:t>
            </w:r>
          </w:p>
        </w:tc>
        <w:tc>
          <w:tcPr>
            <w:tcW w:w="1276" w:type="dxa"/>
          </w:tcPr>
          <w:p w14:paraId="3191726F" w14:textId="77777777" w:rsidR="00B3417A" w:rsidRPr="00F3439A" w:rsidRDefault="00B3417A" w:rsidP="005F546A">
            <w:pPr>
              <w:pStyle w:val="TableParagraph"/>
              <w:spacing w:before="130"/>
              <w:ind w:left="106" w:right="80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0,8</w:t>
            </w:r>
          </w:p>
        </w:tc>
        <w:tc>
          <w:tcPr>
            <w:tcW w:w="1415" w:type="dxa"/>
          </w:tcPr>
          <w:p w14:paraId="33DFE87D" w14:textId="77777777" w:rsidR="00B3417A" w:rsidRPr="00F3439A" w:rsidRDefault="00B3417A" w:rsidP="005F546A">
            <w:pPr>
              <w:pStyle w:val="TableParagraph"/>
              <w:spacing w:before="130"/>
              <w:ind w:left="174" w:right="151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7,9</w:t>
            </w:r>
          </w:p>
        </w:tc>
        <w:tc>
          <w:tcPr>
            <w:tcW w:w="1986" w:type="dxa"/>
          </w:tcPr>
          <w:p w14:paraId="2FE6C6EC" w14:textId="77777777" w:rsidR="00B3417A" w:rsidRPr="00F3439A" w:rsidRDefault="00B3417A" w:rsidP="005F546A">
            <w:pPr>
              <w:pStyle w:val="TableParagraph"/>
              <w:spacing w:before="5"/>
              <w:ind w:left="21" w:right="869"/>
              <w:jc w:val="both"/>
              <w:rPr>
                <w:spacing w:val="-1"/>
                <w:lang w:val="sr-Latn-ME"/>
              </w:rPr>
            </w:pPr>
            <w:r w:rsidRPr="00F3439A">
              <w:rPr>
                <w:lang w:val="sr-Latn-ME"/>
              </w:rPr>
              <w:t>Sve epizode (N = 56)</w:t>
            </w:r>
          </w:p>
        </w:tc>
        <w:tc>
          <w:tcPr>
            <w:tcW w:w="1271" w:type="dxa"/>
          </w:tcPr>
          <w:p w14:paraId="436A1876" w14:textId="77777777" w:rsidR="00B3417A" w:rsidRPr="00F3439A" w:rsidRDefault="00B3417A" w:rsidP="005F546A">
            <w:pPr>
              <w:pStyle w:val="TableParagraph"/>
              <w:spacing w:before="130"/>
              <w:ind w:left="104" w:right="81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0,8</w:t>
            </w:r>
          </w:p>
        </w:tc>
        <w:tc>
          <w:tcPr>
            <w:tcW w:w="1631" w:type="dxa"/>
          </w:tcPr>
          <w:p w14:paraId="583940B4" w14:textId="77777777" w:rsidR="00B3417A" w:rsidRPr="00F3439A" w:rsidRDefault="00B3417A" w:rsidP="005F546A">
            <w:pPr>
              <w:pStyle w:val="TableParagraph"/>
              <w:spacing w:before="130"/>
              <w:ind w:left="283" w:right="258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16,9</w:t>
            </w:r>
          </w:p>
        </w:tc>
      </w:tr>
      <w:tr w:rsidR="00B3417A" w:rsidRPr="00F3439A" w14:paraId="22922E42" w14:textId="77777777" w:rsidTr="00F3439A">
        <w:trPr>
          <w:trHeight w:val="537"/>
        </w:trPr>
        <w:tc>
          <w:tcPr>
            <w:tcW w:w="1670" w:type="dxa"/>
          </w:tcPr>
          <w:p w14:paraId="2F98FBFD" w14:textId="046D682F" w:rsidR="00B3417A" w:rsidRPr="00F3439A" w:rsidRDefault="00B3417A" w:rsidP="005F546A">
            <w:pPr>
              <w:pStyle w:val="TableParagraph"/>
              <w:spacing w:before="5"/>
              <w:ind w:left="19" w:right="567"/>
              <w:jc w:val="both"/>
              <w:rPr>
                <w:spacing w:val="-1"/>
                <w:lang w:val="sr-Latn-ME"/>
              </w:rPr>
            </w:pPr>
            <w:r w:rsidRPr="00F3439A">
              <w:rPr>
                <w:lang w:val="sr-Latn-ME"/>
              </w:rPr>
              <w:t>Srednja vr</w:t>
            </w:r>
            <w:r w:rsidR="00475FCF" w:rsidRPr="00F3439A">
              <w:rPr>
                <w:lang w:val="sr-Latn-ME"/>
              </w:rPr>
              <w:t>ij</w:t>
            </w:r>
            <w:r w:rsidRPr="00F3439A">
              <w:rPr>
                <w:lang w:val="sr-Latn-ME"/>
              </w:rPr>
              <w:t xml:space="preserve">ednost </w:t>
            </w:r>
            <w:proofErr w:type="spellStart"/>
            <w:r w:rsidRPr="00F3439A">
              <w:rPr>
                <w:lang w:val="sr-Latn-ME"/>
              </w:rPr>
              <w:t>vremena</w:t>
            </w:r>
            <w:proofErr w:type="spellEnd"/>
            <w:r w:rsidRPr="00F3439A">
              <w:rPr>
                <w:lang w:val="sr-Latn-ME"/>
              </w:rPr>
              <w:t xml:space="preserve"> do </w:t>
            </w:r>
            <w:r w:rsidRPr="00F3439A">
              <w:rPr>
                <w:lang w:val="sr-Latn-ME"/>
              </w:rPr>
              <w:lastRenderedPageBreak/>
              <w:t>uopštenog poboljšanja stanja pacijenta, prema l</w:t>
            </w:r>
            <w:r w:rsidR="00475FCF" w:rsidRPr="00F3439A">
              <w:rPr>
                <w:lang w:val="sr-Latn-ME"/>
              </w:rPr>
              <w:t>j</w:t>
            </w:r>
            <w:r w:rsidRPr="00F3439A">
              <w:rPr>
                <w:lang w:val="sr-Latn-ME"/>
              </w:rPr>
              <w:t>ekaru (časovi)</w:t>
            </w:r>
          </w:p>
        </w:tc>
        <w:tc>
          <w:tcPr>
            <w:tcW w:w="1276" w:type="dxa"/>
          </w:tcPr>
          <w:p w14:paraId="1B07E723" w14:textId="77777777" w:rsidR="00B3417A" w:rsidRPr="00F3439A" w:rsidRDefault="00B3417A" w:rsidP="005F546A">
            <w:pPr>
              <w:pStyle w:val="TableParagraph"/>
              <w:spacing w:before="130"/>
              <w:ind w:left="106" w:right="80"/>
              <w:jc w:val="both"/>
              <w:rPr>
                <w:lang w:val="sr-Latn-ME"/>
              </w:rPr>
            </w:pPr>
          </w:p>
        </w:tc>
        <w:tc>
          <w:tcPr>
            <w:tcW w:w="1415" w:type="dxa"/>
          </w:tcPr>
          <w:p w14:paraId="193AF578" w14:textId="77777777" w:rsidR="00B3417A" w:rsidRPr="00F3439A" w:rsidRDefault="00B3417A" w:rsidP="005F546A">
            <w:pPr>
              <w:pStyle w:val="TableParagraph"/>
              <w:spacing w:before="130"/>
              <w:ind w:left="174" w:right="151"/>
              <w:jc w:val="both"/>
              <w:rPr>
                <w:lang w:val="sr-Latn-ME"/>
              </w:rPr>
            </w:pPr>
          </w:p>
        </w:tc>
        <w:tc>
          <w:tcPr>
            <w:tcW w:w="1986" w:type="dxa"/>
          </w:tcPr>
          <w:p w14:paraId="05E7C893" w14:textId="7442966F" w:rsidR="00B3417A" w:rsidRPr="00F3439A" w:rsidRDefault="00B3417A" w:rsidP="005F546A">
            <w:pPr>
              <w:pStyle w:val="TableParagraph"/>
              <w:spacing w:before="5"/>
              <w:ind w:left="21" w:right="869"/>
              <w:jc w:val="both"/>
              <w:rPr>
                <w:spacing w:val="-1"/>
                <w:lang w:val="sr-Latn-ME"/>
              </w:rPr>
            </w:pPr>
            <w:r w:rsidRPr="00F3439A">
              <w:rPr>
                <w:lang w:val="sr-Latn-ME"/>
              </w:rPr>
              <w:t>Srednja vr</w:t>
            </w:r>
            <w:r w:rsidR="00475FCF" w:rsidRPr="00F3439A">
              <w:rPr>
                <w:lang w:val="sr-Latn-ME"/>
              </w:rPr>
              <w:t>ij</w:t>
            </w:r>
            <w:r w:rsidRPr="00F3439A">
              <w:rPr>
                <w:lang w:val="sr-Latn-ME"/>
              </w:rPr>
              <w:t xml:space="preserve">ednost </w:t>
            </w:r>
            <w:proofErr w:type="spellStart"/>
            <w:r w:rsidRPr="00F3439A">
              <w:rPr>
                <w:lang w:val="sr-Latn-ME"/>
              </w:rPr>
              <w:t>vremena</w:t>
            </w:r>
            <w:proofErr w:type="spellEnd"/>
            <w:r w:rsidRPr="00F3439A">
              <w:rPr>
                <w:lang w:val="sr-Latn-ME"/>
              </w:rPr>
              <w:t xml:space="preserve"> do </w:t>
            </w:r>
            <w:r w:rsidRPr="00F3439A">
              <w:rPr>
                <w:lang w:val="sr-Latn-ME"/>
              </w:rPr>
              <w:lastRenderedPageBreak/>
              <w:t>uopštenog poboljšanja stanja pacijenta, prema l</w:t>
            </w:r>
            <w:r w:rsidR="00475FCF" w:rsidRPr="00F3439A">
              <w:rPr>
                <w:lang w:val="sr-Latn-ME"/>
              </w:rPr>
              <w:t>j</w:t>
            </w:r>
            <w:r w:rsidRPr="00F3439A">
              <w:rPr>
                <w:lang w:val="sr-Latn-ME"/>
              </w:rPr>
              <w:t>ekaru (časovi)</w:t>
            </w:r>
          </w:p>
        </w:tc>
        <w:tc>
          <w:tcPr>
            <w:tcW w:w="1271" w:type="dxa"/>
          </w:tcPr>
          <w:p w14:paraId="280669EC" w14:textId="77777777" w:rsidR="00B3417A" w:rsidRPr="00F3439A" w:rsidRDefault="00B3417A" w:rsidP="005F546A">
            <w:pPr>
              <w:pStyle w:val="TableParagraph"/>
              <w:spacing w:before="130"/>
              <w:ind w:left="104" w:right="81"/>
              <w:jc w:val="both"/>
              <w:rPr>
                <w:lang w:val="sr-Latn-ME"/>
              </w:rPr>
            </w:pPr>
          </w:p>
        </w:tc>
        <w:tc>
          <w:tcPr>
            <w:tcW w:w="1631" w:type="dxa"/>
          </w:tcPr>
          <w:p w14:paraId="191A5742" w14:textId="77777777" w:rsidR="00B3417A" w:rsidRPr="00F3439A" w:rsidRDefault="00B3417A" w:rsidP="005F546A">
            <w:pPr>
              <w:pStyle w:val="TableParagraph"/>
              <w:spacing w:before="130"/>
              <w:ind w:left="283" w:right="258"/>
              <w:jc w:val="both"/>
              <w:rPr>
                <w:lang w:val="sr-Latn-ME"/>
              </w:rPr>
            </w:pPr>
          </w:p>
        </w:tc>
      </w:tr>
      <w:tr w:rsidR="00B3417A" w:rsidRPr="00F3439A" w14:paraId="3012493B" w14:textId="77777777" w:rsidTr="00F3439A">
        <w:trPr>
          <w:trHeight w:val="537"/>
        </w:trPr>
        <w:tc>
          <w:tcPr>
            <w:tcW w:w="1670" w:type="dxa"/>
          </w:tcPr>
          <w:p w14:paraId="5D05650E" w14:textId="77777777" w:rsidR="00B3417A" w:rsidRPr="00F3439A" w:rsidRDefault="00B3417A" w:rsidP="005F546A">
            <w:pPr>
              <w:pStyle w:val="TableParagraph"/>
              <w:spacing w:before="5"/>
              <w:ind w:left="19" w:right="567"/>
              <w:jc w:val="both"/>
              <w:rPr>
                <w:spacing w:val="-1"/>
                <w:lang w:val="sr-Latn-ME"/>
              </w:rPr>
            </w:pPr>
            <w:r w:rsidRPr="00F3439A">
              <w:rPr>
                <w:lang w:val="sr-Latn-ME"/>
              </w:rPr>
              <w:t>Sve epizode (N = 74)</w:t>
            </w:r>
          </w:p>
        </w:tc>
        <w:tc>
          <w:tcPr>
            <w:tcW w:w="1276" w:type="dxa"/>
          </w:tcPr>
          <w:p w14:paraId="3302A413" w14:textId="77777777" w:rsidR="00B3417A" w:rsidRPr="00F3439A" w:rsidRDefault="00B3417A" w:rsidP="005F546A">
            <w:pPr>
              <w:pStyle w:val="TableParagraph"/>
              <w:spacing w:before="130"/>
              <w:ind w:left="106" w:right="80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1,5</w:t>
            </w:r>
          </w:p>
        </w:tc>
        <w:tc>
          <w:tcPr>
            <w:tcW w:w="1415" w:type="dxa"/>
          </w:tcPr>
          <w:p w14:paraId="075D4C84" w14:textId="77777777" w:rsidR="00B3417A" w:rsidRPr="00F3439A" w:rsidRDefault="00B3417A" w:rsidP="005F546A">
            <w:pPr>
              <w:pStyle w:val="TableParagraph"/>
              <w:spacing w:before="130"/>
              <w:ind w:left="174" w:right="151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6,9</w:t>
            </w:r>
          </w:p>
        </w:tc>
        <w:tc>
          <w:tcPr>
            <w:tcW w:w="1986" w:type="dxa"/>
          </w:tcPr>
          <w:p w14:paraId="214D0EBD" w14:textId="77777777" w:rsidR="00B3417A" w:rsidRPr="00F3439A" w:rsidRDefault="00B3417A" w:rsidP="005F546A">
            <w:pPr>
              <w:pStyle w:val="TableParagraph"/>
              <w:spacing w:before="5"/>
              <w:ind w:left="21" w:right="869"/>
              <w:jc w:val="both"/>
              <w:rPr>
                <w:spacing w:val="-1"/>
                <w:lang w:val="sr-Latn-ME"/>
              </w:rPr>
            </w:pPr>
            <w:r w:rsidRPr="00F3439A">
              <w:rPr>
                <w:lang w:val="sr-Latn-ME"/>
              </w:rPr>
              <w:t>Sve epizode (N = 56)</w:t>
            </w:r>
          </w:p>
        </w:tc>
        <w:tc>
          <w:tcPr>
            <w:tcW w:w="1271" w:type="dxa"/>
          </w:tcPr>
          <w:p w14:paraId="243B37A3" w14:textId="77777777" w:rsidR="00B3417A" w:rsidRPr="00F3439A" w:rsidRDefault="00B3417A" w:rsidP="005F546A">
            <w:pPr>
              <w:pStyle w:val="TableParagraph"/>
              <w:spacing w:before="130"/>
              <w:ind w:left="104" w:right="81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1,0</w:t>
            </w:r>
          </w:p>
        </w:tc>
        <w:tc>
          <w:tcPr>
            <w:tcW w:w="1631" w:type="dxa"/>
          </w:tcPr>
          <w:p w14:paraId="0ED22CED" w14:textId="77777777" w:rsidR="00B3417A" w:rsidRPr="00F3439A" w:rsidRDefault="00B3417A" w:rsidP="005F546A">
            <w:pPr>
              <w:pStyle w:val="TableParagraph"/>
              <w:spacing w:before="130"/>
              <w:ind w:left="283" w:right="258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5,7</w:t>
            </w:r>
          </w:p>
        </w:tc>
      </w:tr>
    </w:tbl>
    <w:p w14:paraId="48901AB3" w14:textId="77777777" w:rsidR="00B3417A" w:rsidRPr="00F3439A" w:rsidRDefault="00B3417A" w:rsidP="005F546A">
      <w:pPr>
        <w:pStyle w:val="BodyText"/>
        <w:spacing w:before="8"/>
        <w:ind w:left="0"/>
        <w:rPr>
          <w:lang w:val="sr-Latn-ME"/>
        </w:rPr>
      </w:pPr>
    </w:p>
    <w:p w14:paraId="5B5D1CB1" w14:textId="77777777" w:rsidR="00B3417A" w:rsidRPr="00F3439A" w:rsidRDefault="00B3417A" w:rsidP="005F546A">
      <w:pPr>
        <w:pStyle w:val="BodyText"/>
        <w:spacing w:before="8"/>
        <w:ind w:left="0"/>
        <w:rPr>
          <w:b/>
          <w:bCs/>
          <w:lang w:val="sr-Latn-ME"/>
        </w:rPr>
      </w:pPr>
      <w:r w:rsidRPr="00F3439A">
        <w:rPr>
          <w:b/>
          <w:bCs/>
          <w:lang w:val="sr-Latn-ME"/>
        </w:rPr>
        <w:t>Tabela 4. Rezultati efikasnosti za studiju FAST-3</w:t>
      </w:r>
    </w:p>
    <w:p w14:paraId="1E22A013" w14:textId="77777777" w:rsidR="00B3417A" w:rsidRPr="00F3439A" w:rsidRDefault="00B3417A" w:rsidP="005F546A">
      <w:pPr>
        <w:pStyle w:val="BodyText"/>
        <w:spacing w:before="8"/>
        <w:ind w:left="0"/>
        <w:rPr>
          <w:lang w:val="sr-Latn-ME"/>
        </w:rPr>
      </w:pPr>
    </w:p>
    <w:tbl>
      <w:tblPr>
        <w:tblW w:w="0" w:type="auto"/>
        <w:tblInd w:w="146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  <w:insideH w:val="double" w:sz="2" w:space="0" w:color="000000"/>
          <w:insideV w:val="doub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36"/>
        <w:gridCol w:w="1109"/>
        <w:gridCol w:w="955"/>
        <w:gridCol w:w="950"/>
        <w:gridCol w:w="1137"/>
      </w:tblGrid>
      <w:tr w:rsidR="00B3417A" w:rsidRPr="00F3439A" w14:paraId="5871300E" w14:textId="77777777" w:rsidTr="00F3439A">
        <w:trPr>
          <w:trHeight w:val="253"/>
        </w:trPr>
        <w:tc>
          <w:tcPr>
            <w:tcW w:w="9287" w:type="dxa"/>
            <w:gridSpan w:val="5"/>
            <w:tcBorders>
              <w:bottom w:val="single" w:sz="6" w:space="0" w:color="000000"/>
            </w:tcBorders>
          </w:tcPr>
          <w:p w14:paraId="3163B05A" w14:textId="77777777" w:rsidR="00B3417A" w:rsidRPr="00F3439A" w:rsidRDefault="00B3417A" w:rsidP="005F546A">
            <w:pPr>
              <w:pStyle w:val="TableParagraph"/>
              <w:spacing w:line="233" w:lineRule="exact"/>
              <w:ind w:left="1487" w:right="1463"/>
              <w:jc w:val="both"/>
              <w:rPr>
                <w:b/>
                <w:lang w:val="sr-Latn-ME"/>
              </w:rPr>
            </w:pPr>
            <w:r w:rsidRPr="00F3439A">
              <w:rPr>
                <w:b/>
                <w:lang w:val="sr-Latn-ME"/>
              </w:rPr>
              <w:t>Rezultati</w:t>
            </w:r>
            <w:r w:rsidRPr="00F3439A">
              <w:rPr>
                <w:b/>
                <w:spacing w:val="-5"/>
                <w:lang w:val="sr-Latn-ME"/>
              </w:rPr>
              <w:t xml:space="preserve"> </w:t>
            </w:r>
            <w:r w:rsidRPr="00F3439A">
              <w:rPr>
                <w:b/>
                <w:lang w:val="sr-Latn-ME"/>
              </w:rPr>
              <w:t>efikasnosti:</w:t>
            </w:r>
            <w:r w:rsidRPr="00F3439A">
              <w:rPr>
                <w:b/>
                <w:spacing w:val="-5"/>
                <w:lang w:val="sr-Latn-ME"/>
              </w:rPr>
              <w:t xml:space="preserve"> </w:t>
            </w:r>
            <w:r w:rsidRPr="00F3439A">
              <w:rPr>
                <w:b/>
                <w:lang w:val="sr-Latn-ME"/>
              </w:rPr>
              <w:t>FAST-3;</w:t>
            </w:r>
            <w:r w:rsidRPr="00F3439A">
              <w:rPr>
                <w:b/>
                <w:spacing w:val="-5"/>
                <w:lang w:val="sr-Latn-ME"/>
              </w:rPr>
              <w:t xml:space="preserve"> </w:t>
            </w:r>
            <w:r w:rsidRPr="00F3439A">
              <w:rPr>
                <w:b/>
                <w:lang w:val="sr-Latn-ME"/>
              </w:rPr>
              <w:t>Kontrolisana</w:t>
            </w:r>
            <w:r w:rsidRPr="00F3439A">
              <w:rPr>
                <w:b/>
                <w:spacing w:val="-4"/>
                <w:lang w:val="sr-Latn-ME"/>
              </w:rPr>
              <w:t xml:space="preserve"> </w:t>
            </w:r>
            <w:r w:rsidRPr="00F3439A">
              <w:rPr>
                <w:b/>
                <w:lang w:val="sr-Latn-ME"/>
              </w:rPr>
              <w:t>faza</w:t>
            </w:r>
            <w:r w:rsidRPr="00F3439A">
              <w:rPr>
                <w:b/>
                <w:spacing w:val="-3"/>
                <w:lang w:val="sr-Latn-ME"/>
              </w:rPr>
              <w:t xml:space="preserve"> </w:t>
            </w:r>
            <w:r w:rsidRPr="00F3439A">
              <w:rPr>
                <w:b/>
                <w:lang w:val="sr-Latn-ME"/>
              </w:rPr>
              <w:t>--</w:t>
            </w:r>
            <w:r w:rsidRPr="00F3439A">
              <w:rPr>
                <w:b/>
                <w:spacing w:val="1"/>
                <w:lang w:val="sr-Latn-ME"/>
              </w:rPr>
              <w:t xml:space="preserve"> </w:t>
            </w:r>
            <w:r w:rsidRPr="00F3439A">
              <w:rPr>
                <w:b/>
                <w:lang w:val="sr-Latn-ME"/>
              </w:rPr>
              <w:t>ITT</w:t>
            </w:r>
            <w:r w:rsidRPr="00F3439A">
              <w:rPr>
                <w:b/>
                <w:spacing w:val="-4"/>
                <w:lang w:val="sr-Latn-ME"/>
              </w:rPr>
              <w:t xml:space="preserve"> </w:t>
            </w:r>
            <w:r w:rsidRPr="00F3439A">
              <w:rPr>
                <w:b/>
                <w:lang w:val="sr-Latn-ME"/>
              </w:rPr>
              <w:t>populacija</w:t>
            </w:r>
          </w:p>
        </w:tc>
      </w:tr>
      <w:tr w:rsidR="00B3417A" w:rsidRPr="00F3439A" w14:paraId="4F2098B6" w14:textId="77777777" w:rsidTr="00F3439A">
        <w:trPr>
          <w:trHeight w:val="503"/>
        </w:trPr>
        <w:tc>
          <w:tcPr>
            <w:tcW w:w="51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4D6E3E" w14:textId="77777777" w:rsidR="00B3417A" w:rsidRPr="00F3439A" w:rsidRDefault="00B3417A" w:rsidP="005F546A">
            <w:pPr>
              <w:pStyle w:val="TableParagraph"/>
              <w:spacing w:line="249" w:lineRule="exact"/>
              <w:ind w:left="97"/>
              <w:jc w:val="both"/>
              <w:rPr>
                <w:b/>
                <w:lang w:val="sr-Latn-ME"/>
              </w:rPr>
            </w:pPr>
            <w:r w:rsidRPr="00F3439A">
              <w:rPr>
                <w:b/>
                <w:lang w:val="sr-Latn-ME"/>
              </w:rPr>
              <w:t>Krajnja</w:t>
            </w:r>
            <w:r w:rsidRPr="00F3439A">
              <w:rPr>
                <w:b/>
                <w:spacing w:val="-4"/>
                <w:lang w:val="sr-Latn-ME"/>
              </w:rPr>
              <w:t xml:space="preserve"> </w:t>
            </w:r>
            <w:r w:rsidRPr="00F3439A">
              <w:rPr>
                <w:b/>
                <w:lang w:val="sr-Latn-ME"/>
              </w:rPr>
              <w:t>tačka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AFC3D" w14:textId="77777777" w:rsidR="00B3417A" w:rsidRPr="00F3439A" w:rsidRDefault="00B3417A" w:rsidP="005F546A">
            <w:pPr>
              <w:pStyle w:val="TableParagraph"/>
              <w:spacing w:line="249" w:lineRule="exact"/>
              <w:ind w:left="112"/>
              <w:jc w:val="both"/>
              <w:rPr>
                <w:b/>
                <w:lang w:val="sr-Latn-ME"/>
              </w:rPr>
            </w:pPr>
            <w:r w:rsidRPr="00F3439A">
              <w:rPr>
                <w:b/>
                <w:lang w:val="sr-Latn-ME"/>
              </w:rPr>
              <w:t>Statistika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BA772" w14:textId="77777777" w:rsidR="00B3417A" w:rsidRPr="00F3439A" w:rsidRDefault="00B3417A" w:rsidP="005F546A">
            <w:pPr>
              <w:pStyle w:val="TableParagraph"/>
              <w:spacing w:line="249" w:lineRule="exact"/>
              <w:ind w:left="105" w:right="85"/>
              <w:jc w:val="both"/>
              <w:rPr>
                <w:b/>
                <w:lang w:val="sr-Latn-ME"/>
              </w:rPr>
            </w:pPr>
            <w:proofErr w:type="spellStart"/>
            <w:r w:rsidRPr="00F3439A">
              <w:rPr>
                <w:b/>
                <w:lang w:val="sr-Latn-ME"/>
              </w:rPr>
              <w:t>Ikatibant</w:t>
            </w:r>
            <w:proofErr w:type="spellEnd"/>
            <w:r w:rsidRPr="00F3439A">
              <w:rPr>
                <w:b/>
                <w:lang w:val="sr-Latn-ME"/>
              </w:rPr>
              <w:t xml:space="preserve"> SK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3A0DA" w14:textId="77777777" w:rsidR="00B3417A" w:rsidRPr="00F3439A" w:rsidRDefault="00B3417A" w:rsidP="005F546A">
            <w:pPr>
              <w:pStyle w:val="TableParagraph"/>
              <w:spacing w:line="249" w:lineRule="exact"/>
              <w:ind w:left="89" w:right="71"/>
              <w:jc w:val="both"/>
              <w:rPr>
                <w:b/>
                <w:lang w:val="sr-Latn-ME"/>
              </w:rPr>
            </w:pPr>
            <w:proofErr w:type="spellStart"/>
            <w:r w:rsidRPr="00F3439A">
              <w:rPr>
                <w:b/>
                <w:lang w:val="sr-Latn-ME"/>
              </w:rPr>
              <w:t>Placebo</w:t>
            </w:r>
            <w:proofErr w:type="spellEnd"/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504E75E7" w14:textId="77777777" w:rsidR="00B3417A" w:rsidRPr="00F3439A" w:rsidRDefault="00B3417A" w:rsidP="005F546A">
            <w:pPr>
              <w:pStyle w:val="TableParagraph"/>
              <w:spacing w:line="249" w:lineRule="exact"/>
              <w:ind w:left="139" w:right="107"/>
              <w:jc w:val="both"/>
              <w:rPr>
                <w:b/>
                <w:lang w:val="sr-Latn-ME"/>
              </w:rPr>
            </w:pPr>
            <w:r w:rsidRPr="00F3439A">
              <w:rPr>
                <w:b/>
                <w:lang w:val="sr-Latn-ME"/>
              </w:rPr>
              <w:t>p-</w:t>
            </w:r>
          </w:p>
          <w:p w14:paraId="6D0E0D49" w14:textId="12540E44" w:rsidR="00B3417A" w:rsidRPr="00F3439A" w:rsidRDefault="00B3417A" w:rsidP="005F546A">
            <w:pPr>
              <w:pStyle w:val="TableParagraph"/>
              <w:spacing w:before="1" w:line="233" w:lineRule="exact"/>
              <w:ind w:left="139" w:right="108"/>
              <w:jc w:val="both"/>
              <w:rPr>
                <w:b/>
                <w:lang w:val="sr-Latn-ME"/>
              </w:rPr>
            </w:pPr>
            <w:r w:rsidRPr="00F3439A">
              <w:rPr>
                <w:b/>
                <w:lang w:val="sr-Latn-ME"/>
              </w:rPr>
              <w:t>vr</w:t>
            </w:r>
            <w:r w:rsidR="00475FCF" w:rsidRPr="00F3439A">
              <w:rPr>
                <w:b/>
                <w:lang w:val="sr-Latn-ME"/>
              </w:rPr>
              <w:t>ij</w:t>
            </w:r>
            <w:r w:rsidRPr="00F3439A">
              <w:rPr>
                <w:b/>
                <w:lang w:val="sr-Latn-ME"/>
              </w:rPr>
              <w:t>ednost</w:t>
            </w:r>
          </w:p>
        </w:tc>
      </w:tr>
      <w:tr w:rsidR="00B3417A" w:rsidRPr="00F3439A" w14:paraId="65A08840" w14:textId="77777777" w:rsidTr="00F3439A">
        <w:trPr>
          <w:trHeight w:val="253"/>
        </w:trPr>
        <w:tc>
          <w:tcPr>
            <w:tcW w:w="51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8F6D3D" w14:textId="77777777" w:rsidR="00B3417A" w:rsidRPr="00F3439A" w:rsidRDefault="00B3417A" w:rsidP="005F546A">
            <w:pPr>
              <w:pStyle w:val="TableParagraph"/>
              <w:jc w:val="both"/>
              <w:rPr>
                <w:sz w:val="18"/>
                <w:lang w:val="sr-Latn-ME"/>
              </w:rPr>
            </w:pP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5E7EF3" w14:textId="77777777" w:rsidR="00B3417A" w:rsidRPr="00F3439A" w:rsidRDefault="00B3417A" w:rsidP="005F546A">
            <w:pPr>
              <w:pStyle w:val="TableParagraph"/>
              <w:jc w:val="both"/>
              <w:rPr>
                <w:sz w:val="18"/>
                <w:lang w:val="sr-Latn-ME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38F630" w14:textId="77777777" w:rsidR="00B3417A" w:rsidRPr="00F3439A" w:rsidRDefault="00B3417A" w:rsidP="005F546A">
            <w:pPr>
              <w:pStyle w:val="TableParagraph"/>
              <w:spacing w:line="234" w:lineRule="exact"/>
              <w:ind w:left="105" w:right="85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(N=43)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954F8" w14:textId="77777777" w:rsidR="00B3417A" w:rsidRPr="00F3439A" w:rsidRDefault="00B3417A" w:rsidP="005F546A">
            <w:pPr>
              <w:pStyle w:val="TableParagraph"/>
              <w:spacing w:line="234" w:lineRule="exact"/>
              <w:ind w:left="89" w:right="70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(n=45)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D4D9D83" w14:textId="77777777" w:rsidR="00B3417A" w:rsidRPr="00F3439A" w:rsidRDefault="00B3417A" w:rsidP="005F546A">
            <w:pPr>
              <w:pStyle w:val="TableParagraph"/>
              <w:jc w:val="both"/>
              <w:rPr>
                <w:sz w:val="18"/>
                <w:lang w:val="sr-Latn-ME"/>
              </w:rPr>
            </w:pPr>
          </w:p>
        </w:tc>
      </w:tr>
      <w:tr w:rsidR="00B3417A" w:rsidRPr="00F3439A" w14:paraId="7E619EDD" w14:textId="77777777" w:rsidTr="00F3439A">
        <w:trPr>
          <w:trHeight w:val="287"/>
        </w:trPr>
        <w:tc>
          <w:tcPr>
            <w:tcW w:w="51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5A97DB09" w14:textId="77777777" w:rsidR="00B3417A" w:rsidRPr="00F3439A" w:rsidRDefault="00B3417A" w:rsidP="005F546A">
            <w:pPr>
              <w:pStyle w:val="TableParagraph"/>
              <w:spacing w:line="244" w:lineRule="exact"/>
              <w:ind w:left="97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Primarni</w:t>
            </w:r>
            <w:r w:rsidRPr="00F3439A">
              <w:rPr>
                <w:spacing w:val="-5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cilj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0EBAD5AB" w14:textId="77777777" w:rsidR="00B3417A" w:rsidRPr="00F3439A" w:rsidRDefault="00B3417A" w:rsidP="005F546A">
            <w:pPr>
              <w:pStyle w:val="TableParagraph"/>
              <w:jc w:val="both"/>
              <w:rPr>
                <w:sz w:val="20"/>
                <w:lang w:val="sr-Latn-ME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0A3BC17" w14:textId="77777777" w:rsidR="00B3417A" w:rsidRPr="00F3439A" w:rsidRDefault="00B3417A" w:rsidP="005F546A">
            <w:pPr>
              <w:pStyle w:val="TableParagraph"/>
              <w:jc w:val="both"/>
              <w:rPr>
                <w:sz w:val="20"/>
                <w:lang w:val="sr-Latn-ME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14739653" w14:textId="77777777" w:rsidR="00B3417A" w:rsidRPr="00F3439A" w:rsidRDefault="00B3417A" w:rsidP="005F546A">
            <w:pPr>
              <w:pStyle w:val="TableParagraph"/>
              <w:jc w:val="both"/>
              <w:rPr>
                <w:sz w:val="20"/>
                <w:lang w:val="sr-Latn-ME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315AAB12" w14:textId="77777777" w:rsidR="00B3417A" w:rsidRPr="00F3439A" w:rsidRDefault="00B3417A" w:rsidP="005F546A">
            <w:pPr>
              <w:pStyle w:val="TableParagraph"/>
              <w:jc w:val="both"/>
              <w:rPr>
                <w:sz w:val="20"/>
                <w:lang w:val="sr-Latn-ME"/>
              </w:rPr>
            </w:pPr>
          </w:p>
        </w:tc>
      </w:tr>
      <w:tr w:rsidR="00B3417A" w:rsidRPr="00F3439A" w14:paraId="1CCF789F" w14:textId="77777777" w:rsidTr="00F3439A">
        <w:trPr>
          <w:trHeight w:val="508"/>
        </w:trPr>
        <w:tc>
          <w:tcPr>
            <w:tcW w:w="51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186F83" w14:textId="3992057A" w:rsidR="00B3417A" w:rsidRPr="00F3439A" w:rsidRDefault="00B3417A" w:rsidP="005F546A">
            <w:pPr>
              <w:pStyle w:val="TableParagraph"/>
              <w:spacing w:line="250" w:lineRule="exact"/>
              <w:ind w:left="97" w:right="179"/>
              <w:jc w:val="both"/>
              <w:rPr>
                <w:lang w:val="sr-Latn-ME"/>
              </w:rPr>
            </w:pPr>
            <w:proofErr w:type="spellStart"/>
            <w:r w:rsidRPr="00F3439A">
              <w:rPr>
                <w:lang w:val="sr-Latn-ME"/>
              </w:rPr>
              <w:t>Vreme</w:t>
            </w:r>
            <w:proofErr w:type="spellEnd"/>
            <w:r w:rsidRPr="00F3439A">
              <w:rPr>
                <w:spacing w:val="-4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pojave</w:t>
            </w:r>
            <w:r w:rsidRPr="00F3439A">
              <w:rPr>
                <w:spacing w:val="-3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simptoma</w:t>
            </w:r>
            <w:r w:rsidRPr="00F3439A">
              <w:rPr>
                <w:spacing w:val="-4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olakšanja -</w:t>
            </w:r>
            <w:r w:rsidRPr="00F3439A">
              <w:rPr>
                <w:spacing w:val="-2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Kompozitno</w:t>
            </w:r>
            <w:r w:rsidRPr="00F3439A">
              <w:rPr>
                <w:spacing w:val="-4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VAS</w:t>
            </w:r>
            <w:r w:rsidRPr="00F3439A">
              <w:rPr>
                <w:spacing w:val="-52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(sati)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E7AA55D" w14:textId="77777777" w:rsidR="00B3417A" w:rsidRPr="00F3439A" w:rsidRDefault="00B3417A" w:rsidP="005F546A">
            <w:pPr>
              <w:pStyle w:val="TableParagraph"/>
              <w:spacing w:line="249" w:lineRule="exact"/>
              <w:ind w:left="112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Srednja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26EA82" w14:textId="77777777" w:rsidR="00B3417A" w:rsidRPr="00F3439A" w:rsidRDefault="00B3417A" w:rsidP="005F546A">
            <w:pPr>
              <w:pStyle w:val="TableParagraph"/>
              <w:spacing w:line="249" w:lineRule="exact"/>
              <w:ind w:left="105" w:right="80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2,0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FF423C" w14:textId="77777777" w:rsidR="00B3417A" w:rsidRPr="00F3439A" w:rsidRDefault="00B3417A" w:rsidP="005F546A">
            <w:pPr>
              <w:pStyle w:val="TableParagraph"/>
              <w:spacing w:line="249" w:lineRule="exact"/>
              <w:ind w:left="89" w:right="64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19,8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09CDCCE" w14:textId="77777777" w:rsidR="00B3417A" w:rsidRPr="00F3439A" w:rsidRDefault="00B3417A" w:rsidP="005F546A">
            <w:pPr>
              <w:pStyle w:val="TableParagraph"/>
              <w:spacing w:line="249" w:lineRule="exact"/>
              <w:ind w:left="139" w:right="99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&lt;0,001</w:t>
            </w:r>
          </w:p>
        </w:tc>
      </w:tr>
      <w:tr w:rsidR="00B3417A" w:rsidRPr="00F3439A" w14:paraId="23359D90" w14:textId="77777777" w:rsidTr="00F3439A">
        <w:trPr>
          <w:trHeight w:val="287"/>
        </w:trPr>
        <w:tc>
          <w:tcPr>
            <w:tcW w:w="51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5E531E90" w14:textId="77777777" w:rsidR="00B3417A" w:rsidRPr="00F3439A" w:rsidRDefault="00B3417A" w:rsidP="005F546A">
            <w:pPr>
              <w:pStyle w:val="TableParagraph"/>
              <w:spacing w:line="244" w:lineRule="exact"/>
              <w:ind w:left="97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Ostali</w:t>
            </w:r>
            <w:r w:rsidRPr="00F3439A">
              <w:rPr>
                <w:spacing w:val="-5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ciljevi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5C86580" w14:textId="77777777" w:rsidR="00B3417A" w:rsidRPr="00F3439A" w:rsidRDefault="00B3417A" w:rsidP="005F546A">
            <w:pPr>
              <w:pStyle w:val="TableParagraph"/>
              <w:jc w:val="both"/>
              <w:rPr>
                <w:sz w:val="20"/>
                <w:lang w:val="sr-Latn-ME"/>
              </w:rPr>
            </w:pP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63EA9FF0" w14:textId="77777777" w:rsidR="00B3417A" w:rsidRPr="00F3439A" w:rsidRDefault="00B3417A" w:rsidP="005F546A">
            <w:pPr>
              <w:pStyle w:val="TableParagraph"/>
              <w:jc w:val="both"/>
              <w:rPr>
                <w:sz w:val="20"/>
                <w:lang w:val="sr-Latn-ME"/>
              </w:rPr>
            </w:pP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6E6E6"/>
          </w:tcPr>
          <w:p w14:paraId="3B069C1F" w14:textId="77777777" w:rsidR="00B3417A" w:rsidRPr="00F3439A" w:rsidRDefault="00B3417A" w:rsidP="005F546A">
            <w:pPr>
              <w:pStyle w:val="TableParagraph"/>
              <w:jc w:val="both"/>
              <w:rPr>
                <w:sz w:val="20"/>
                <w:lang w:val="sr-Latn-ME"/>
              </w:rPr>
            </w:pP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E6E6E6"/>
          </w:tcPr>
          <w:p w14:paraId="07A01440" w14:textId="77777777" w:rsidR="00B3417A" w:rsidRPr="00F3439A" w:rsidRDefault="00B3417A" w:rsidP="005F546A">
            <w:pPr>
              <w:pStyle w:val="TableParagraph"/>
              <w:jc w:val="both"/>
              <w:rPr>
                <w:sz w:val="20"/>
                <w:lang w:val="sr-Latn-ME"/>
              </w:rPr>
            </w:pPr>
          </w:p>
        </w:tc>
      </w:tr>
      <w:tr w:rsidR="00B3417A" w:rsidRPr="00F3439A" w14:paraId="0D408AC7" w14:textId="77777777" w:rsidTr="00F3439A">
        <w:trPr>
          <w:trHeight w:val="287"/>
        </w:trPr>
        <w:tc>
          <w:tcPr>
            <w:tcW w:w="51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EA6DA2" w14:textId="3E40B4FC" w:rsidR="00B3417A" w:rsidRPr="00F3439A" w:rsidRDefault="00B3417A" w:rsidP="005F546A">
            <w:pPr>
              <w:pStyle w:val="TableParagraph"/>
              <w:spacing w:line="244" w:lineRule="exact"/>
              <w:ind w:left="97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Vr</w:t>
            </w:r>
            <w:r w:rsidR="00475FCF" w:rsidRPr="00F3439A">
              <w:rPr>
                <w:lang w:val="sr-Latn-ME"/>
              </w:rPr>
              <w:t>ij</w:t>
            </w:r>
            <w:r w:rsidRPr="00F3439A">
              <w:rPr>
                <w:lang w:val="sr-Latn-ME"/>
              </w:rPr>
              <w:t>eme</w:t>
            </w:r>
            <w:r w:rsidRPr="00F3439A">
              <w:rPr>
                <w:spacing w:val="-7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pojave</w:t>
            </w:r>
            <w:r w:rsidRPr="00F3439A">
              <w:rPr>
                <w:spacing w:val="-5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primarnih</w:t>
            </w:r>
            <w:r w:rsidRPr="00F3439A">
              <w:rPr>
                <w:spacing w:val="-5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simptoma</w:t>
            </w:r>
            <w:r w:rsidRPr="00F3439A">
              <w:rPr>
                <w:spacing w:val="-5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olakšanja</w:t>
            </w:r>
            <w:r w:rsidRPr="00F3439A">
              <w:rPr>
                <w:spacing w:val="-2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-</w:t>
            </w:r>
            <w:r w:rsidRPr="00F3439A">
              <w:rPr>
                <w:spacing w:val="-3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(časovi)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7CD543" w14:textId="77777777" w:rsidR="00B3417A" w:rsidRPr="00F3439A" w:rsidRDefault="00B3417A" w:rsidP="005F546A">
            <w:pPr>
              <w:pStyle w:val="TableParagraph"/>
              <w:spacing w:line="244" w:lineRule="exact"/>
              <w:ind w:left="112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Srednja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0E5D61" w14:textId="77777777" w:rsidR="00B3417A" w:rsidRPr="00F3439A" w:rsidRDefault="00B3417A" w:rsidP="005F546A">
            <w:pPr>
              <w:pStyle w:val="TableParagraph"/>
              <w:spacing w:line="244" w:lineRule="exact"/>
              <w:ind w:left="105" w:right="80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1,5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213DC3" w14:textId="77777777" w:rsidR="00B3417A" w:rsidRPr="00F3439A" w:rsidRDefault="00B3417A" w:rsidP="005F546A">
            <w:pPr>
              <w:pStyle w:val="TableParagraph"/>
              <w:spacing w:line="244" w:lineRule="exact"/>
              <w:ind w:left="89" w:right="64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18,5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64B2E6C" w14:textId="77777777" w:rsidR="00B3417A" w:rsidRPr="00F3439A" w:rsidRDefault="00B3417A" w:rsidP="005F546A">
            <w:pPr>
              <w:pStyle w:val="TableParagraph"/>
              <w:spacing w:line="244" w:lineRule="exact"/>
              <w:ind w:left="139" w:right="99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&lt;0,001</w:t>
            </w:r>
          </w:p>
        </w:tc>
      </w:tr>
      <w:tr w:rsidR="00B3417A" w:rsidRPr="00F3439A" w14:paraId="2F3A3F9E" w14:textId="77777777" w:rsidTr="00F3439A">
        <w:trPr>
          <w:trHeight w:val="508"/>
        </w:trPr>
        <w:tc>
          <w:tcPr>
            <w:tcW w:w="51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18A7D9" w14:textId="2DBD4DDA" w:rsidR="00B3417A" w:rsidRPr="00F3439A" w:rsidRDefault="00475FCF" w:rsidP="005F546A">
            <w:pPr>
              <w:pStyle w:val="TableParagraph"/>
              <w:spacing w:line="244" w:lineRule="exact"/>
              <w:ind w:left="97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Promjena</w:t>
            </w:r>
            <w:r w:rsidR="00B3417A" w:rsidRPr="00F3439A">
              <w:rPr>
                <w:spacing w:val="-4"/>
                <w:lang w:val="sr-Latn-ME"/>
              </w:rPr>
              <w:t xml:space="preserve"> </w:t>
            </w:r>
            <w:r w:rsidR="00B3417A" w:rsidRPr="00F3439A">
              <w:rPr>
                <w:lang w:val="sr-Latn-ME"/>
              </w:rPr>
              <w:t>u</w:t>
            </w:r>
            <w:r w:rsidR="00B3417A" w:rsidRPr="00F3439A">
              <w:rPr>
                <w:spacing w:val="-3"/>
                <w:lang w:val="sr-Latn-ME"/>
              </w:rPr>
              <w:t xml:space="preserve"> </w:t>
            </w:r>
            <w:r w:rsidR="00B3417A" w:rsidRPr="00F3439A">
              <w:rPr>
                <w:lang w:val="sr-Latn-ME"/>
              </w:rPr>
              <w:t>kompozitnom</w:t>
            </w:r>
            <w:r w:rsidR="00B3417A" w:rsidRPr="00F3439A">
              <w:rPr>
                <w:spacing w:val="-3"/>
                <w:lang w:val="sr-Latn-ME"/>
              </w:rPr>
              <w:t xml:space="preserve"> </w:t>
            </w:r>
            <w:r w:rsidR="00B3417A" w:rsidRPr="00F3439A">
              <w:rPr>
                <w:lang w:val="sr-Latn-ME"/>
              </w:rPr>
              <w:t>rezultatu</w:t>
            </w:r>
            <w:r w:rsidR="00B3417A" w:rsidRPr="00F3439A">
              <w:rPr>
                <w:spacing w:val="-3"/>
                <w:lang w:val="sr-Latn-ME"/>
              </w:rPr>
              <w:t xml:space="preserve"> </w:t>
            </w:r>
            <w:r w:rsidR="00B3417A" w:rsidRPr="00F3439A">
              <w:rPr>
                <w:lang w:val="sr-Latn-ME"/>
              </w:rPr>
              <w:t>VAS</w:t>
            </w:r>
            <w:r w:rsidR="00B3417A" w:rsidRPr="00F3439A">
              <w:rPr>
                <w:spacing w:val="-4"/>
                <w:lang w:val="sr-Latn-ME"/>
              </w:rPr>
              <w:t xml:space="preserve"> </w:t>
            </w:r>
            <w:r w:rsidR="00B3417A" w:rsidRPr="00F3439A">
              <w:rPr>
                <w:lang w:val="sr-Latn-ME"/>
              </w:rPr>
              <w:t>2</w:t>
            </w:r>
            <w:r w:rsidR="00B3417A" w:rsidRPr="00F3439A">
              <w:rPr>
                <w:spacing w:val="-3"/>
                <w:lang w:val="sr-Latn-ME"/>
              </w:rPr>
              <w:t xml:space="preserve"> </w:t>
            </w:r>
            <w:r w:rsidR="00B3417A" w:rsidRPr="00F3439A">
              <w:rPr>
                <w:lang w:val="sr-Latn-ME"/>
              </w:rPr>
              <w:t>sata</w:t>
            </w:r>
            <w:r w:rsidR="00B3417A" w:rsidRPr="00F3439A">
              <w:rPr>
                <w:spacing w:val="-3"/>
                <w:lang w:val="sr-Latn-ME"/>
              </w:rPr>
              <w:t xml:space="preserve"> </w:t>
            </w:r>
            <w:r w:rsidR="00B3417A" w:rsidRPr="00F3439A">
              <w:rPr>
                <w:lang w:val="sr-Latn-ME"/>
              </w:rPr>
              <w:t>posl</w:t>
            </w:r>
            <w:r w:rsidRPr="00F3439A">
              <w:rPr>
                <w:lang w:val="sr-Latn-ME"/>
              </w:rPr>
              <w:t>ij</w:t>
            </w:r>
            <w:r w:rsidR="00B3417A" w:rsidRPr="00F3439A">
              <w:rPr>
                <w:lang w:val="sr-Latn-ME"/>
              </w:rPr>
              <w:t>e</w:t>
            </w:r>
          </w:p>
          <w:p w14:paraId="4CEBE21C" w14:textId="77777777" w:rsidR="00B3417A" w:rsidRPr="00F3439A" w:rsidRDefault="00B3417A" w:rsidP="005F546A">
            <w:pPr>
              <w:pStyle w:val="TableParagraph"/>
              <w:spacing w:before="1" w:line="243" w:lineRule="exact"/>
              <w:ind w:left="97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tretmana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4E2172" w14:textId="536BFC97" w:rsidR="00B3417A" w:rsidRPr="00F3439A" w:rsidRDefault="00B3417A" w:rsidP="005F546A">
            <w:pPr>
              <w:pStyle w:val="TableParagraph"/>
              <w:spacing w:line="244" w:lineRule="exact"/>
              <w:ind w:left="112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Pros</w:t>
            </w:r>
            <w:r w:rsidR="00475FCF" w:rsidRPr="00F3439A">
              <w:rPr>
                <w:lang w:val="sr-Latn-ME"/>
              </w:rPr>
              <w:t>j</w:t>
            </w:r>
            <w:r w:rsidRPr="00F3439A">
              <w:rPr>
                <w:lang w:val="sr-Latn-ME"/>
              </w:rPr>
              <w:t>ečna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65C84A" w14:textId="77777777" w:rsidR="00B3417A" w:rsidRPr="00F3439A" w:rsidRDefault="00B3417A" w:rsidP="005F546A">
            <w:pPr>
              <w:pStyle w:val="TableParagraph"/>
              <w:spacing w:line="244" w:lineRule="exact"/>
              <w:ind w:left="105" w:right="76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-19,74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1895C" w14:textId="77777777" w:rsidR="00B3417A" w:rsidRPr="00F3439A" w:rsidRDefault="00B3417A" w:rsidP="005F546A">
            <w:pPr>
              <w:pStyle w:val="TableParagraph"/>
              <w:spacing w:line="244" w:lineRule="exact"/>
              <w:ind w:left="89" w:right="59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-7,49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4ABF7D64" w14:textId="77777777" w:rsidR="00B3417A" w:rsidRPr="00F3439A" w:rsidRDefault="00B3417A" w:rsidP="005F546A">
            <w:pPr>
              <w:pStyle w:val="TableParagraph"/>
              <w:spacing w:line="244" w:lineRule="exact"/>
              <w:ind w:left="139" w:right="99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&lt;0,001</w:t>
            </w:r>
          </w:p>
        </w:tc>
      </w:tr>
      <w:tr w:rsidR="00B3417A" w:rsidRPr="00F3439A" w14:paraId="62F2B8C4" w14:textId="77777777" w:rsidTr="00F3439A">
        <w:trPr>
          <w:trHeight w:val="503"/>
        </w:trPr>
        <w:tc>
          <w:tcPr>
            <w:tcW w:w="51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A76584" w14:textId="13B9180A" w:rsidR="00B3417A" w:rsidRPr="00F3439A" w:rsidRDefault="00475FCF" w:rsidP="005F546A">
            <w:pPr>
              <w:pStyle w:val="TableParagraph"/>
              <w:spacing w:line="244" w:lineRule="exact"/>
              <w:ind w:left="97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Promjena</w:t>
            </w:r>
            <w:r w:rsidR="00B3417A" w:rsidRPr="00F3439A">
              <w:rPr>
                <w:spacing w:val="-5"/>
                <w:lang w:val="sr-Latn-ME"/>
              </w:rPr>
              <w:t xml:space="preserve"> </w:t>
            </w:r>
            <w:r w:rsidR="00B3417A" w:rsidRPr="00F3439A">
              <w:rPr>
                <w:lang w:val="sr-Latn-ME"/>
              </w:rPr>
              <w:t>u</w:t>
            </w:r>
            <w:r w:rsidR="00B3417A" w:rsidRPr="00F3439A">
              <w:rPr>
                <w:spacing w:val="-5"/>
                <w:lang w:val="sr-Latn-ME"/>
              </w:rPr>
              <w:t xml:space="preserve"> </w:t>
            </w:r>
            <w:r w:rsidR="00B3417A" w:rsidRPr="00F3439A">
              <w:rPr>
                <w:lang w:val="sr-Latn-ME"/>
              </w:rPr>
              <w:t>kompozitnom</w:t>
            </w:r>
            <w:r w:rsidR="00B3417A" w:rsidRPr="00F3439A">
              <w:rPr>
                <w:spacing w:val="-4"/>
                <w:lang w:val="sr-Latn-ME"/>
              </w:rPr>
              <w:t xml:space="preserve"> </w:t>
            </w:r>
            <w:r w:rsidR="00B3417A" w:rsidRPr="00F3439A">
              <w:rPr>
                <w:lang w:val="sr-Latn-ME"/>
              </w:rPr>
              <w:t>rezultatu</w:t>
            </w:r>
            <w:r w:rsidR="00B3417A" w:rsidRPr="00F3439A">
              <w:rPr>
                <w:spacing w:val="-5"/>
                <w:lang w:val="sr-Latn-ME"/>
              </w:rPr>
              <w:t xml:space="preserve"> </w:t>
            </w:r>
            <w:r w:rsidR="00B3417A" w:rsidRPr="00F3439A">
              <w:rPr>
                <w:lang w:val="sr-Latn-ME"/>
              </w:rPr>
              <w:t>oc</w:t>
            </w:r>
            <w:r w:rsidR="00A97539">
              <w:rPr>
                <w:lang w:val="sr-Latn-ME"/>
              </w:rPr>
              <w:t>i</w:t>
            </w:r>
            <w:r w:rsidRPr="00F3439A">
              <w:rPr>
                <w:lang w:val="sr-Latn-ME"/>
              </w:rPr>
              <w:t>j</w:t>
            </w:r>
            <w:r w:rsidR="00B3417A" w:rsidRPr="00F3439A">
              <w:rPr>
                <w:lang w:val="sr-Latn-ME"/>
              </w:rPr>
              <w:t>enjenih</w:t>
            </w:r>
          </w:p>
          <w:p w14:paraId="78EE5FFA" w14:textId="5B514B1F" w:rsidR="00B3417A" w:rsidRPr="00F3439A" w:rsidRDefault="00B3417A" w:rsidP="005F546A">
            <w:pPr>
              <w:pStyle w:val="TableParagraph"/>
              <w:spacing w:before="1" w:line="238" w:lineRule="exact"/>
              <w:ind w:left="97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simptoma,</w:t>
            </w:r>
            <w:r w:rsidRPr="00F3439A">
              <w:rPr>
                <w:spacing w:val="-5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prim</w:t>
            </w:r>
            <w:r w:rsidR="00475FCF" w:rsidRPr="00F3439A">
              <w:rPr>
                <w:lang w:val="sr-Latn-ME"/>
              </w:rPr>
              <w:t>j</w:t>
            </w:r>
            <w:r w:rsidRPr="00F3439A">
              <w:rPr>
                <w:lang w:val="sr-Latn-ME"/>
              </w:rPr>
              <w:t>erci,</w:t>
            </w:r>
            <w:r w:rsidRPr="00F3439A">
              <w:rPr>
                <w:spacing w:val="-4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nakon</w:t>
            </w:r>
            <w:r w:rsidRPr="00F3439A">
              <w:rPr>
                <w:spacing w:val="-4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2</w:t>
            </w:r>
            <w:r w:rsidRPr="00F3439A">
              <w:rPr>
                <w:spacing w:val="-2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časa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E4F0A7" w14:textId="70C60CE9" w:rsidR="00B3417A" w:rsidRPr="00F3439A" w:rsidRDefault="00B3417A" w:rsidP="005F546A">
            <w:pPr>
              <w:pStyle w:val="TableParagraph"/>
              <w:spacing w:line="244" w:lineRule="exact"/>
              <w:ind w:left="112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Pros</w:t>
            </w:r>
            <w:r w:rsidR="00475FCF" w:rsidRPr="00F3439A">
              <w:rPr>
                <w:lang w:val="sr-Latn-ME"/>
              </w:rPr>
              <w:t>j</w:t>
            </w:r>
            <w:r w:rsidRPr="00F3439A">
              <w:rPr>
                <w:lang w:val="sr-Latn-ME"/>
              </w:rPr>
              <w:t>ečna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8F13A2B" w14:textId="77777777" w:rsidR="00B3417A" w:rsidRPr="00F3439A" w:rsidRDefault="00B3417A" w:rsidP="005F546A">
            <w:pPr>
              <w:pStyle w:val="TableParagraph"/>
              <w:spacing w:line="244" w:lineRule="exact"/>
              <w:ind w:left="105" w:right="81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-0,53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515511" w14:textId="77777777" w:rsidR="00B3417A" w:rsidRPr="00F3439A" w:rsidRDefault="00B3417A" w:rsidP="005F546A">
            <w:pPr>
              <w:pStyle w:val="TableParagraph"/>
              <w:spacing w:line="244" w:lineRule="exact"/>
              <w:ind w:left="89" w:right="59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-0,22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70395805" w14:textId="77777777" w:rsidR="00B3417A" w:rsidRPr="00F3439A" w:rsidRDefault="00B3417A" w:rsidP="005F546A">
            <w:pPr>
              <w:pStyle w:val="TableParagraph"/>
              <w:spacing w:line="244" w:lineRule="exact"/>
              <w:ind w:left="139" w:right="99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&lt;0,001</w:t>
            </w:r>
          </w:p>
        </w:tc>
      </w:tr>
      <w:tr w:rsidR="00B3417A" w:rsidRPr="00F3439A" w14:paraId="1B20A268" w14:textId="77777777" w:rsidTr="00F3439A">
        <w:trPr>
          <w:trHeight w:val="508"/>
        </w:trPr>
        <w:tc>
          <w:tcPr>
            <w:tcW w:w="51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A72846" w14:textId="26985523" w:rsidR="00B3417A" w:rsidRPr="00F3439A" w:rsidRDefault="00475FCF" w:rsidP="005F546A">
            <w:pPr>
              <w:pStyle w:val="TableParagraph"/>
              <w:spacing w:line="244" w:lineRule="exact"/>
              <w:ind w:left="97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Promjena</w:t>
            </w:r>
            <w:r w:rsidR="00B3417A" w:rsidRPr="00F3439A">
              <w:rPr>
                <w:spacing w:val="-5"/>
                <w:lang w:val="sr-Latn-ME"/>
              </w:rPr>
              <w:t xml:space="preserve"> </w:t>
            </w:r>
            <w:r w:rsidR="00B3417A" w:rsidRPr="00F3439A">
              <w:rPr>
                <w:lang w:val="sr-Latn-ME"/>
              </w:rPr>
              <w:t>u</w:t>
            </w:r>
            <w:r w:rsidR="00B3417A" w:rsidRPr="00F3439A">
              <w:rPr>
                <w:spacing w:val="-5"/>
                <w:lang w:val="sr-Latn-ME"/>
              </w:rPr>
              <w:t xml:space="preserve"> </w:t>
            </w:r>
            <w:r w:rsidR="00B3417A" w:rsidRPr="00F3439A">
              <w:rPr>
                <w:lang w:val="sr-Latn-ME"/>
              </w:rPr>
              <w:t>kompozitnom</w:t>
            </w:r>
            <w:r w:rsidR="00B3417A" w:rsidRPr="00F3439A">
              <w:rPr>
                <w:spacing w:val="-4"/>
                <w:lang w:val="sr-Latn-ME"/>
              </w:rPr>
              <w:t xml:space="preserve"> </w:t>
            </w:r>
            <w:r w:rsidR="00B3417A" w:rsidRPr="00F3439A">
              <w:rPr>
                <w:lang w:val="sr-Latn-ME"/>
              </w:rPr>
              <w:t>rezultatu</w:t>
            </w:r>
            <w:r w:rsidR="00B3417A" w:rsidRPr="00F3439A">
              <w:rPr>
                <w:spacing w:val="-5"/>
                <w:lang w:val="sr-Latn-ME"/>
              </w:rPr>
              <w:t xml:space="preserve"> </w:t>
            </w:r>
            <w:r w:rsidR="00B3417A" w:rsidRPr="00F3439A">
              <w:rPr>
                <w:lang w:val="sr-Latn-ME"/>
              </w:rPr>
              <w:t>simptomi,</w:t>
            </w:r>
          </w:p>
          <w:p w14:paraId="6BC0BC93" w14:textId="5E8BAB63" w:rsidR="00B3417A" w:rsidRPr="00F3439A" w:rsidRDefault="00B3417A" w:rsidP="005F546A">
            <w:pPr>
              <w:pStyle w:val="TableParagraph"/>
              <w:spacing w:before="1" w:line="243" w:lineRule="exact"/>
              <w:ind w:left="97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proc</w:t>
            </w:r>
            <w:r w:rsidR="00A97539">
              <w:rPr>
                <w:lang w:val="sr-Latn-ME"/>
              </w:rPr>
              <w:t>i</w:t>
            </w:r>
            <w:r w:rsidR="00475FCF" w:rsidRPr="00F3439A">
              <w:rPr>
                <w:lang w:val="sr-Latn-ME"/>
              </w:rPr>
              <w:t>j</w:t>
            </w:r>
            <w:r w:rsidRPr="00F3439A">
              <w:rPr>
                <w:lang w:val="sr-Latn-ME"/>
              </w:rPr>
              <w:t>enjeno</w:t>
            </w:r>
            <w:r w:rsidRPr="00F3439A">
              <w:rPr>
                <w:spacing w:val="-4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od</w:t>
            </w:r>
            <w:r w:rsidRPr="00F3439A">
              <w:rPr>
                <w:spacing w:val="-3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strane</w:t>
            </w:r>
            <w:r w:rsidRPr="00F3439A">
              <w:rPr>
                <w:spacing w:val="-3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istraživača,</w:t>
            </w:r>
            <w:r w:rsidRPr="00F3439A">
              <w:rPr>
                <w:spacing w:val="-3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nakon</w:t>
            </w:r>
            <w:r w:rsidRPr="00F3439A">
              <w:rPr>
                <w:spacing w:val="-4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2</w:t>
            </w:r>
            <w:r w:rsidRPr="00F3439A">
              <w:rPr>
                <w:spacing w:val="-1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časa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0F479D" w14:textId="78EA4199" w:rsidR="00B3417A" w:rsidRPr="00F3439A" w:rsidRDefault="00B3417A" w:rsidP="005F546A">
            <w:pPr>
              <w:pStyle w:val="TableParagraph"/>
              <w:spacing w:line="244" w:lineRule="exact"/>
              <w:ind w:left="112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Pros</w:t>
            </w:r>
            <w:r w:rsidR="00475FCF" w:rsidRPr="00F3439A">
              <w:rPr>
                <w:lang w:val="sr-Latn-ME"/>
              </w:rPr>
              <w:t>j</w:t>
            </w:r>
            <w:r w:rsidRPr="00F3439A">
              <w:rPr>
                <w:lang w:val="sr-Latn-ME"/>
              </w:rPr>
              <w:t>ečna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B47BF" w14:textId="77777777" w:rsidR="00B3417A" w:rsidRPr="00F3439A" w:rsidRDefault="00B3417A" w:rsidP="005F546A">
            <w:pPr>
              <w:pStyle w:val="TableParagraph"/>
              <w:spacing w:line="244" w:lineRule="exact"/>
              <w:ind w:left="105" w:right="81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-0,44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3C51EF" w14:textId="77777777" w:rsidR="00B3417A" w:rsidRPr="00F3439A" w:rsidRDefault="00B3417A" w:rsidP="005F546A">
            <w:pPr>
              <w:pStyle w:val="TableParagraph"/>
              <w:spacing w:line="244" w:lineRule="exact"/>
              <w:ind w:left="89" w:right="59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-0,19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7203F14" w14:textId="77777777" w:rsidR="00B3417A" w:rsidRPr="00F3439A" w:rsidRDefault="00B3417A" w:rsidP="005F546A">
            <w:pPr>
              <w:pStyle w:val="TableParagraph"/>
              <w:spacing w:line="244" w:lineRule="exact"/>
              <w:ind w:left="139" w:right="99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&lt;0,001</w:t>
            </w:r>
          </w:p>
        </w:tc>
      </w:tr>
      <w:tr w:rsidR="00B3417A" w:rsidRPr="00F3439A" w14:paraId="7F779032" w14:textId="77777777" w:rsidTr="00F3439A">
        <w:trPr>
          <w:trHeight w:val="503"/>
        </w:trPr>
        <w:tc>
          <w:tcPr>
            <w:tcW w:w="51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0335D7" w14:textId="7BB6AEA6" w:rsidR="00B3417A" w:rsidRPr="00F3439A" w:rsidRDefault="00B3417A" w:rsidP="005F546A">
            <w:pPr>
              <w:pStyle w:val="TableParagraph"/>
              <w:spacing w:line="244" w:lineRule="exact"/>
              <w:ind w:left="97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Vr</w:t>
            </w:r>
            <w:r w:rsidR="00475FCF" w:rsidRPr="00F3439A">
              <w:rPr>
                <w:lang w:val="sr-Latn-ME"/>
              </w:rPr>
              <w:t>ij</w:t>
            </w:r>
            <w:r w:rsidRPr="00F3439A">
              <w:rPr>
                <w:lang w:val="sr-Latn-ME"/>
              </w:rPr>
              <w:t>eme</w:t>
            </w:r>
            <w:r w:rsidRPr="00F3439A">
              <w:rPr>
                <w:spacing w:val="-1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do</w:t>
            </w:r>
            <w:r w:rsidRPr="00F3439A">
              <w:rPr>
                <w:spacing w:val="-5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gotovo</w:t>
            </w:r>
            <w:r w:rsidRPr="00F3439A">
              <w:rPr>
                <w:spacing w:val="-4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potpunog</w:t>
            </w:r>
            <w:r w:rsidRPr="00F3439A">
              <w:rPr>
                <w:spacing w:val="-5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završetka</w:t>
            </w:r>
            <w:r w:rsidRPr="00F3439A">
              <w:rPr>
                <w:spacing w:val="-4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simptoma</w:t>
            </w:r>
          </w:p>
          <w:p w14:paraId="6C354C93" w14:textId="77777777" w:rsidR="00B3417A" w:rsidRPr="00F3439A" w:rsidRDefault="00B3417A" w:rsidP="005F546A">
            <w:pPr>
              <w:pStyle w:val="TableParagraph"/>
              <w:spacing w:before="1" w:line="238" w:lineRule="exact"/>
              <w:ind w:left="97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olakšanja</w:t>
            </w:r>
            <w:r w:rsidRPr="00F3439A">
              <w:rPr>
                <w:spacing w:val="-6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(časovi)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78A94" w14:textId="77777777" w:rsidR="00B3417A" w:rsidRPr="00F3439A" w:rsidRDefault="00B3417A" w:rsidP="005F546A">
            <w:pPr>
              <w:pStyle w:val="TableParagraph"/>
              <w:spacing w:line="244" w:lineRule="exact"/>
              <w:ind w:left="112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Srednja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1C2E40" w14:textId="77777777" w:rsidR="00B3417A" w:rsidRPr="00F3439A" w:rsidRDefault="00B3417A" w:rsidP="005F546A">
            <w:pPr>
              <w:pStyle w:val="TableParagraph"/>
              <w:spacing w:line="244" w:lineRule="exact"/>
              <w:ind w:left="105" w:right="80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8,0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2728F7" w14:textId="77777777" w:rsidR="00B3417A" w:rsidRPr="00F3439A" w:rsidRDefault="00B3417A" w:rsidP="005F546A">
            <w:pPr>
              <w:pStyle w:val="TableParagraph"/>
              <w:spacing w:line="244" w:lineRule="exact"/>
              <w:ind w:left="89" w:right="64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36,0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2E5B4BCC" w14:textId="77777777" w:rsidR="00B3417A" w:rsidRPr="00F3439A" w:rsidRDefault="00B3417A" w:rsidP="005F546A">
            <w:pPr>
              <w:pStyle w:val="TableParagraph"/>
              <w:spacing w:line="244" w:lineRule="exact"/>
              <w:ind w:left="139" w:right="98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0,012</w:t>
            </w:r>
          </w:p>
        </w:tc>
      </w:tr>
      <w:tr w:rsidR="00B3417A" w:rsidRPr="00F3439A" w14:paraId="3FFEC5FF" w14:textId="77777777" w:rsidTr="00F3439A">
        <w:trPr>
          <w:trHeight w:val="508"/>
        </w:trPr>
        <w:tc>
          <w:tcPr>
            <w:tcW w:w="513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3CC1F" w14:textId="3BA1F71A" w:rsidR="00B3417A" w:rsidRPr="00F3439A" w:rsidRDefault="00B3417A" w:rsidP="005F546A">
            <w:pPr>
              <w:pStyle w:val="TableParagraph"/>
              <w:spacing w:line="244" w:lineRule="exact"/>
              <w:ind w:left="97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Vr</w:t>
            </w:r>
            <w:r w:rsidR="00475FCF" w:rsidRPr="00F3439A">
              <w:rPr>
                <w:lang w:val="sr-Latn-ME"/>
              </w:rPr>
              <w:t>ij</w:t>
            </w:r>
            <w:r w:rsidRPr="00F3439A">
              <w:rPr>
                <w:lang w:val="sr-Latn-ME"/>
              </w:rPr>
              <w:t>eme</w:t>
            </w:r>
            <w:r w:rsidRPr="00F3439A">
              <w:rPr>
                <w:spacing w:val="-5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početnog</w:t>
            </w:r>
            <w:r w:rsidRPr="00F3439A">
              <w:rPr>
                <w:spacing w:val="-4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poboljšanja</w:t>
            </w:r>
            <w:r w:rsidRPr="00F3439A">
              <w:rPr>
                <w:spacing w:val="-4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simptoma</w:t>
            </w:r>
            <w:r w:rsidRPr="00F3439A">
              <w:rPr>
                <w:spacing w:val="2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po</w:t>
            </w:r>
            <w:r w:rsidRPr="00F3439A">
              <w:rPr>
                <w:spacing w:val="-3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proc</w:t>
            </w:r>
            <w:r w:rsidR="00A97539">
              <w:rPr>
                <w:lang w:val="sr-Latn-ME"/>
              </w:rPr>
              <w:t>j</w:t>
            </w:r>
            <w:r w:rsidRPr="00F3439A">
              <w:rPr>
                <w:lang w:val="sr-Latn-ME"/>
              </w:rPr>
              <w:t>eni</w:t>
            </w:r>
            <w:r w:rsidRPr="00F3439A">
              <w:rPr>
                <w:spacing w:val="-3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na</w:t>
            </w:r>
          </w:p>
          <w:p w14:paraId="461A81C6" w14:textId="6CD9042C" w:rsidR="00B3417A" w:rsidRPr="00F3439A" w:rsidRDefault="00B3417A" w:rsidP="005F546A">
            <w:pPr>
              <w:pStyle w:val="TableParagraph"/>
              <w:spacing w:before="1" w:line="243" w:lineRule="exact"/>
              <w:ind w:left="97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osnovu</w:t>
            </w:r>
            <w:r w:rsidRPr="00F3439A">
              <w:rPr>
                <w:spacing w:val="-4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prim</w:t>
            </w:r>
            <w:r w:rsidR="00475FCF" w:rsidRPr="00F3439A">
              <w:rPr>
                <w:lang w:val="sr-Latn-ME"/>
              </w:rPr>
              <w:t>j</w:t>
            </w:r>
            <w:r w:rsidRPr="00F3439A">
              <w:rPr>
                <w:lang w:val="sr-Latn-ME"/>
              </w:rPr>
              <w:t>eraka</w:t>
            </w:r>
            <w:r w:rsidRPr="00F3439A">
              <w:rPr>
                <w:spacing w:val="-4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(časovi)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F171D5" w14:textId="77777777" w:rsidR="00B3417A" w:rsidRPr="00F3439A" w:rsidRDefault="00B3417A" w:rsidP="005F546A">
            <w:pPr>
              <w:pStyle w:val="TableParagraph"/>
              <w:spacing w:line="244" w:lineRule="exact"/>
              <w:ind w:left="112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Srednja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A8B73F" w14:textId="77777777" w:rsidR="00B3417A" w:rsidRPr="00F3439A" w:rsidRDefault="00B3417A" w:rsidP="005F546A">
            <w:pPr>
              <w:pStyle w:val="TableParagraph"/>
              <w:spacing w:line="244" w:lineRule="exact"/>
              <w:ind w:left="105" w:right="80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0,8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8AAE94" w14:textId="77777777" w:rsidR="00B3417A" w:rsidRPr="00F3439A" w:rsidRDefault="00B3417A" w:rsidP="005F546A">
            <w:pPr>
              <w:pStyle w:val="TableParagraph"/>
              <w:spacing w:line="244" w:lineRule="exact"/>
              <w:ind w:left="89" w:right="59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3,5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30582135" w14:textId="77777777" w:rsidR="00B3417A" w:rsidRPr="00F3439A" w:rsidRDefault="00B3417A" w:rsidP="005F546A">
            <w:pPr>
              <w:pStyle w:val="TableParagraph"/>
              <w:spacing w:line="244" w:lineRule="exact"/>
              <w:ind w:left="139" w:right="99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&lt;0,001</w:t>
            </w:r>
          </w:p>
        </w:tc>
      </w:tr>
      <w:tr w:rsidR="00B3417A" w:rsidRPr="00F3439A" w14:paraId="67E4D544" w14:textId="77777777" w:rsidTr="00F3439A">
        <w:trPr>
          <w:trHeight w:val="507"/>
        </w:trPr>
        <w:tc>
          <w:tcPr>
            <w:tcW w:w="5136" w:type="dxa"/>
            <w:tcBorders>
              <w:top w:val="single" w:sz="6" w:space="0" w:color="000000"/>
              <w:right w:val="single" w:sz="6" w:space="0" w:color="000000"/>
            </w:tcBorders>
          </w:tcPr>
          <w:p w14:paraId="2BFE9603" w14:textId="45CD6EE1" w:rsidR="00B3417A" w:rsidRPr="00F3439A" w:rsidRDefault="00B3417A" w:rsidP="005F546A">
            <w:pPr>
              <w:pStyle w:val="TableParagraph"/>
              <w:spacing w:line="244" w:lineRule="exact"/>
              <w:ind w:left="97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Vr</w:t>
            </w:r>
            <w:r w:rsidR="00475FCF" w:rsidRPr="00F3439A">
              <w:rPr>
                <w:lang w:val="sr-Latn-ME"/>
              </w:rPr>
              <w:t>ij</w:t>
            </w:r>
            <w:r w:rsidRPr="00F3439A">
              <w:rPr>
                <w:lang w:val="sr-Latn-ME"/>
              </w:rPr>
              <w:t>eme</w:t>
            </w:r>
            <w:r w:rsidRPr="00F3439A">
              <w:rPr>
                <w:spacing w:val="-4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početnog</w:t>
            </w:r>
            <w:r w:rsidRPr="00F3439A">
              <w:rPr>
                <w:spacing w:val="-4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vizuelnog</w:t>
            </w:r>
            <w:r w:rsidRPr="00F3439A">
              <w:rPr>
                <w:spacing w:val="-4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poboljšanja</w:t>
            </w:r>
            <w:r w:rsidRPr="00F3439A">
              <w:rPr>
                <w:spacing w:val="-4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simptoma</w:t>
            </w:r>
            <w:r w:rsidRPr="00F3439A">
              <w:rPr>
                <w:spacing w:val="-4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po</w:t>
            </w:r>
          </w:p>
          <w:p w14:paraId="60CDCAC7" w14:textId="752378AA" w:rsidR="00B3417A" w:rsidRPr="00F3439A" w:rsidRDefault="00B3417A" w:rsidP="005F546A">
            <w:pPr>
              <w:pStyle w:val="TableParagraph"/>
              <w:spacing w:before="1" w:line="242" w:lineRule="exact"/>
              <w:ind w:left="97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proc</w:t>
            </w:r>
            <w:r w:rsidR="00475FCF" w:rsidRPr="00F3439A">
              <w:rPr>
                <w:lang w:val="sr-Latn-ME"/>
              </w:rPr>
              <w:t>j</w:t>
            </w:r>
            <w:r w:rsidRPr="00F3439A">
              <w:rPr>
                <w:lang w:val="sr-Latn-ME"/>
              </w:rPr>
              <w:t>eni</w:t>
            </w:r>
            <w:r w:rsidRPr="00F3439A">
              <w:rPr>
                <w:spacing w:val="-7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istraživača</w:t>
            </w:r>
            <w:r w:rsidRPr="00F3439A">
              <w:rPr>
                <w:spacing w:val="-6"/>
                <w:lang w:val="sr-Latn-ME"/>
              </w:rPr>
              <w:t xml:space="preserve"> </w:t>
            </w:r>
            <w:r w:rsidRPr="00F3439A">
              <w:rPr>
                <w:lang w:val="sr-Latn-ME"/>
              </w:rPr>
              <w:t>(časovi)</w:t>
            </w:r>
          </w:p>
        </w:tc>
        <w:tc>
          <w:tcPr>
            <w:tcW w:w="1109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51E91E64" w14:textId="77777777" w:rsidR="00B3417A" w:rsidRPr="00F3439A" w:rsidRDefault="00B3417A" w:rsidP="005F546A">
            <w:pPr>
              <w:pStyle w:val="TableParagraph"/>
              <w:spacing w:line="244" w:lineRule="exact"/>
              <w:ind w:left="112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Srednja</w:t>
            </w:r>
          </w:p>
        </w:tc>
        <w:tc>
          <w:tcPr>
            <w:tcW w:w="955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773FC3F5" w14:textId="77777777" w:rsidR="00B3417A" w:rsidRPr="00F3439A" w:rsidRDefault="00B3417A" w:rsidP="005F546A">
            <w:pPr>
              <w:pStyle w:val="TableParagraph"/>
              <w:spacing w:line="244" w:lineRule="exact"/>
              <w:ind w:left="105" w:right="80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0,8</w:t>
            </w:r>
          </w:p>
        </w:tc>
        <w:tc>
          <w:tcPr>
            <w:tcW w:w="95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 w14:paraId="644D81D7" w14:textId="77777777" w:rsidR="00B3417A" w:rsidRPr="00F3439A" w:rsidRDefault="00B3417A" w:rsidP="005F546A">
            <w:pPr>
              <w:pStyle w:val="TableParagraph"/>
              <w:spacing w:line="244" w:lineRule="exact"/>
              <w:ind w:left="89" w:right="60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3,4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6" w:space="0" w:color="000000"/>
            </w:tcBorders>
          </w:tcPr>
          <w:p w14:paraId="0C7B0E6B" w14:textId="77777777" w:rsidR="00B3417A" w:rsidRPr="00F3439A" w:rsidRDefault="00B3417A" w:rsidP="005F546A">
            <w:pPr>
              <w:pStyle w:val="TableParagraph"/>
              <w:spacing w:line="244" w:lineRule="exact"/>
              <w:ind w:left="139" w:right="99"/>
              <w:jc w:val="both"/>
              <w:rPr>
                <w:lang w:val="sr-Latn-ME"/>
              </w:rPr>
            </w:pPr>
            <w:r w:rsidRPr="00F3439A">
              <w:rPr>
                <w:lang w:val="sr-Latn-ME"/>
              </w:rPr>
              <w:t>&lt;0,001</w:t>
            </w:r>
          </w:p>
        </w:tc>
      </w:tr>
    </w:tbl>
    <w:p w14:paraId="50D68CF6" w14:textId="77777777" w:rsidR="00B3417A" w:rsidRPr="00F3439A" w:rsidRDefault="00B3417A" w:rsidP="005F546A">
      <w:pPr>
        <w:pStyle w:val="BodyText"/>
        <w:spacing w:before="8"/>
        <w:ind w:left="0"/>
        <w:rPr>
          <w:lang w:val="sr-Latn-ME"/>
        </w:rPr>
      </w:pPr>
    </w:p>
    <w:p w14:paraId="51EA8B7D" w14:textId="52072F15" w:rsidR="00B3417A" w:rsidRPr="00F3439A" w:rsidRDefault="00B3417A" w:rsidP="005F546A">
      <w:pPr>
        <w:pStyle w:val="BodyText"/>
        <w:spacing w:before="8"/>
        <w:ind w:left="0"/>
        <w:rPr>
          <w:lang w:val="sr-Latn-ME"/>
        </w:rPr>
      </w:pPr>
      <w:r w:rsidRPr="00F3439A">
        <w:rPr>
          <w:lang w:val="sr-Latn-ME"/>
        </w:rPr>
        <w:t xml:space="preserve">Ukupno je 66 pacijenata sa </w:t>
      </w:r>
      <w:proofErr w:type="spellStart"/>
      <w:r w:rsidRPr="00F3439A">
        <w:rPr>
          <w:lang w:val="sr-Latn-ME"/>
        </w:rPr>
        <w:t>laringealnim</w:t>
      </w:r>
      <w:proofErr w:type="spellEnd"/>
      <w:r w:rsidRPr="00F3439A">
        <w:rPr>
          <w:lang w:val="sr-Latn-ME"/>
        </w:rPr>
        <w:t xml:space="preserve"> napadima </w:t>
      </w:r>
      <w:proofErr w:type="spellStart"/>
      <w:r w:rsidRPr="00F3439A">
        <w:rPr>
          <w:lang w:val="sr-Latn-ME"/>
        </w:rPr>
        <w:t>HAE</w:t>
      </w:r>
      <w:proofErr w:type="spellEnd"/>
      <w:r w:rsidRPr="00F3439A">
        <w:rPr>
          <w:lang w:val="sr-Latn-ME"/>
        </w:rPr>
        <w:t xml:space="preserve"> tretirano u ovim kontrolisanim kliničkim ispitivanjima faze III. Rezultati su bili slični kao kod pacijenata koji su imali druge (ne-</w:t>
      </w:r>
      <w:proofErr w:type="spellStart"/>
      <w:r w:rsidRPr="00F3439A">
        <w:rPr>
          <w:lang w:val="sr-Latn-ME"/>
        </w:rPr>
        <w:t>laringealne</w:t>
      </w:r>
      <w:proofErr w:type="spellEnd"/>
      <w:r w:rsidRPr="00F3439A">
        <w:rPr>
          <w:lang w:val="sr-Latn-ME"/>
        </w:rPr>
        <w:t>) napa</w:t>
      </w:r>
      <w:r w:rsidR="00A97539">
        <w:rPr>
          <w:lang w:val="sr-Latn-ME"/>
        </w:rPr>
        <w:t>d</w:t>
      </w:r>
      <w:r w:rsidRPr="00F3439A">
        <w:rPr>
          <w:lang w:val="sr-Latn-ME"/>
        </w:rPr>
        <w:t xml:space="preserve">e </w:t>
      </w:r>
      <w:proofErr w:type="spellStart"/>
      <w:r w:rsidRPr="00F3439A">
        <w:rPr>
          <w:lang w:val="sr-Latn-ME"/>
        </w:rPr>
        <w:t>HAE</w:t>
      </w:r>
      <w:proofErr w:type="spellEnd"/>
      <w:r w:rsidRPr="00F3439A">
        <w:rPr>
          <w:lang w:val="sr-Latn-ME"/>
        </w:rPr>
        <w:t xml:space="preserve">, u pogledu </w:t>
      </w:r>
      <w:proofErr w:type="spellStart"/>
      <w:r w:rsidRPr="00F3439A">
        <w:rPr>
          <w:lang w:val="sr-Latn-ME"/>
        </w:rPr>
        <w:t>vremena</w:t>
      </w:r>
      <w:proofErr w:type="spellEnd"/>
      <w:r w:rsidRPr="00F3439A">
        <w:rPr>
          <w:lang w:val="sr-Latn-ME"/>
        </w:rPr>
        <w:t xml:space="preserve"> do pojave simptoma olakšanja.</w:t>
      </w:r>
    </w:p>
    <w:p w14:paraId="2DF6173F" w14:textId="77777777" w:rsidR="00B3417A" w:rsidRPr="00F3439A" w:rsidRDefault="00B3417A" w:rsidP="005F546A">
      <w:pPr>
        <w:pStyle w:val="BodyText"/>
        <w:spacing w:before="8"/>
        <w:ind w:left="0"/>
        <w:rPr>
          <w:lang w:val="sr-Latn-ME"/>
        </w:rPr>
      </w:pPr>
    </w:p>
    <w:p w14:paraId="54E6A7BF" w14:textId="77777777" w:rsidR="00B3417A" w:rsidRPr="00F3439A" w:rsidRDefault="00B3417A" w:rsidP="005F546A">
      <w:pPr>
        <w:pStyle w:val="BodyText"/>
        <w:spacing w:before="8"/>
        <w:ind w:left="0"/>
        <w:rPr>
          <w:i/>
          <w:iCs/>
          <w:lang w:val="sr-Latn-ME"/>
        </w:rPr>
      </w:pPr>
      <w:r w:rsidRPr="00F3439A">
        <w:rPr>
          <w:i/>
          <w:iCs/>
          <w:lang w:val="sr-Latn-ME"/>
        </w:rPr>
        <w:t>Pedijatrijska populacija</w:t>
      </w:r>
    </w:p>
    <w:p w14:paraId="2FBE3EC0" w14:textId="00770917" w:rsidR="00B3417A" w:rsidRPr="00F3439A" w:rsidRDefault="00B3417A" w:rsidP="005F546A">
      <w:pPr>
        <w:pStyle w:val="BodyText"/>
        <w:spacing w:before="8"/>
        <w:ind w:left="0"/>
        <w:rPr>
          <w:lang w:val="sr-Latn-ME"/>
        </w:rPr>
      </w:pPr>
      <w:proofErr w:type="spellStart"/>
      <w:r w:rsidRPr="00F3439A">
        <w:rPr>
          <w:lang w:val="sr-Latn-ME"/>
        </w:rPr>
        <w:t>Nerandomizovano</w:t>
      </w:r>
      <w:proofErr w:type="spellEnd"/>
      <w:r w:rsidRPr="00F3439A">
        <w:rPr>
          <w:lang w:val="sr-Latn-ME"/>
        </w:rPr>
        <w:t xml:space="preserve">, otvoreno ispitivanje sa jednom grupom ispitanika (HGT-FIR-086) sprovedeno je sa ukupno 32 pacijenta. Svi su pacijenti dobili najmanje jednu dozu </w:t>
      </w:r>
      <w:proofErr w:type="spellStart"/>
      <w:r w:rsidRPr="00F3439A">
        <w:rPr>
          <w:lang w:val="sr-Latn-ME"/>
        </w:rPr>
        <w:t>ikatibanta</w:t>
      </w:r>
      <w:proofErr w:type="spellEnd"/>
      <w:r w:rsidRPr="00F3439A">
        <w:rPr>
          <w:lang w:val="sr-Latn-ME"/>
        </w:rPr>
        <w:t xml:space="preserve"> (0,4 mg/kg t</w:t>
      </w:r>
      <w:r w:rsidR="00475FCF" w:rsidRPr="00F3439A">
        <w:rPr>
          <w:lang w:val="sr-Latn-ME"/>
        </w:rPr>
        <w:t>j</w:t>
      </w:r>
      <w:r w:rsidRPr="00F3439A">
        <w:rPr>
          <w:lang w:val="sr-Latn-ME"/>
        </w:rPr>
        <w:t>elesne mase do najviše doze od 30 mg) i većina pacijenata praćena je najmanje 6 m</w:t>
      </w:r>
      <w:r w:rsidR="00475FCF" w:rsidRPr="00F3439A">
        <w:rPr>
          <w:lang w:val="sr-Latn-ME"/>
        </w:rPr>
        <w:t>j</w:t>
      </w:r>
      <w:r w:rsidRPr="00F3439A">
        <w:rPr>
          <w:lang w:val="sr-Latn-ME"/>
        </w:rPr>
        <w:t xml:space="preserve">eseci. Jedanaest pacijenata bilo je u </w:t>
      </w:r>
      <w:proofErr w:type="spellStart"/>
      <w:r w:rsidRPr="00F3439A">
        <w:rPr>
          <w:lang w:val="sr-Latn-ME"/>
        </w:rPr>
        <w:t>predpubertetu</w:t>
      </w:r>
      <w:proofErr w:type="spellEnd"/>
      <w:r w:rsidRPr="00F3439A">
        <w:rPr>
          <w:lang w:val="sr-Latn-ME"/>
        </w:rPr>
        <w:t xml:space="preserve">, a 21 pacijent bio je u pubertetu ili u </w:t>
      </w:r>
      <w:proofErr w:type="spellStart"/>
      <w:r w:rsidRPr="00F3439A">
        <w:rPr>
          <w:lang w:val="sr-Latn-ME"/>
        </w:rPr>
        <w:t>postpubertetu</w:t>
      </w:r>
      <w:proofErr w:type="spellEnd"/>
      <w:r w:rsidRPr="00F3439A">
        <w:rPr>
          <w:lang w:val="sr-Latn-ME"/>
        </w:rPr>
        <w:t>.</w:t>
      </w:r>
    </w:p>
    <w:p w14:paraId="307A28F6" w14:textId="77777777" w:rsidR="00B3417A" w:rsidRPr="00F3439A" w:rsidRDefault="00B3417A" w:rsidP="005F546A">
      <w:pPr>
        <w:pStyle w:val="BodyText"/>
        <w:spacing w:before="8"/>
        <w:ind w:left="0"/>
        <w:rPr>
          <w:lang w:val="sr-Latn-ME"/>
        </w:rPr>
      </w:pPr>
    </w:p>
    <w:p w14:paraId="59823DB5" w14:textId="79DB065D" w:rsidR="00B3417A" w:rsidRPr="00F3439A" w:rsidRDefault="00B3417A" w:rsidP="005F546A">
      <w:pPr>
        <w:pStyle w:val="BodyText"/>
        <w:spacing w:before="8"/>
        <w:ind w:left="0"/>
        <w:rPr>
          <w:lang w:val="sr-Latn-ME"/>
        </w:rPr>
      </w:pPr>
      <w:r w:rsidRPr="00F3439A">
        <w:rPr>
          <w:lang w:val="sr-Latn-ME"/>
        </w:rPr>
        <w:t>Populacija u proc</w:t>
      </w:r>
      <w:r w:rsidR="00475FCF" w:rsidRPr="00F3439A">
        <w:rPr>
          <w:lang w:val="sr-Latn-ME"/>
        </w:rPr>
        <w:t>j</w:t>
      </w:r>
      <w:r w:rsidRPr="00F3439A">
        <w:rPr>
          <w:lang w:val="sr-Latn-ME"/>
        </w:rPr>
        <w:t>eni efikasnosti sastojala se od 22 pacijenta l</w:t>
      </w:r>
      <w:r w:rsidR="00475FCF" w:rsidRPr="00F3439A">
        <w:rPr>
          <w:lang w:val="sr-Latn-ME"/>
        </w:rPr>
        <w:t>ij</w:t>
      </w:r>
      <w:r w:rsidRPr="00F3439A">
        <w:rPr>
          <w:lang w:val="sr-Latn-ME"/>
        </w:rPr>
        <w:t xml:space="preserve">ečenih </w:t>
      </w:r>
      <w:proofErr w:type="spellStart"/>
      <w:r w:rsidRPr="00F3439A">
        <w:rPr>
          <w:lang w:val="sr-Latn-ME"/>
        </w:rPr>
        <w:t>ikatibantom</w:t>
      </w:r>
      <w:proofErr w:type="spellEnd"/>
      <w:r w:rsidRPr="00F3439A">
        <w:rPr>
          <w:lang w:val="sr-Latn-ME"/>
        </w:rPr>
        <w:t xml:space="preserve"> (11 u </w:t>
      </w:r>
      <w:proofErr w:type="spellStart"/>
      <w:r w:rsidRPr="00F3439A">
        <w:rPr>
          <w:lang w:val="sr-Latn-ME"/>
        </w:rPr>
        <w:t>predpubertetu</w:t>
      </w:r>
      <w:proofErr w:type="spellEnd"/>
      <w:r w:rsidRPr="00F3439A">
        <w:rPr>
          <w:lang w:val="sr-Latn-ME"/>
        </w:rPr>
        <w:t xml:space="preserve"> i 11 u pubertetu/</w:t>
      </w:r>
      <w:proofErr w:type="spellStart"/>
      <w:r w:rsidRPr="00F3439A">
        <w:rPr>
          <w:lang w:val="sr-Latn-ME"/>
        </w:rPr>
        <w:t>postpubertetu</w:t>
      </w:r>
      <w:proofErr w:type="spellEnd"/>
      <w:r w:rsidRPr="00F3439A">
        <w:rPr>
          <w:lang w:val="sr-Latn-ME"/>
        </w:rPr>
        <w:t xml:space="preserve">) kod napada </w:t>
      </w:r>
      <w:proofErr w:type="spellStart"/>
      <w:r w:rsidRPr="00F3439A">
        <w:rPr>
          <w:lang w:val="sr-Latn-ME"/>
        </w:rPr>
        <w:t>nasl</w:t>
      </w:r>
      <w:r w:rsidR="003E6377">
        <w:rPr>
          <w:lang w:val="sr-Latn-ME"/>
        </w:rPr>
        <w:t>j</w:t>
      </w:r>
      <w:r w:rsidRPr="00F3439A">
        <w:rPr>
          <w:lang w:val="sr-Latn-ME"/>
        </w:rPr>
        <w:t>ednog</w:t>
      </w:r>
      <w:proofErr w:type="spellEnd"/>
      <w:r w:rsidRPr="00F3439A">
        <w:rPr>
          <w:lang w:val="sr-Latn-ME"/>
        </w:rPr>
        <w:t xml:space="preserve"> </w:t>
      </w:r>
      <w:proofErr w:type="spellStart"/>
      <w:r w:rsidRPr="00F3439A">
        <w:rPr>
          <w:lang w:val="sr-Latn-ME"/>
        </w:rPr>
        <w:t>angioedema</w:t>
      </w:r>
      <w:proofErr w:type="spellEnd"/>
      <w:r w:rsidRPr="00F3439A">
        <w:rPr>
          <w:lang w:val="sr-Latn-ME"/>
        </w:rPr>
        <w:t>.</w:t>
      </w:r>
    </w:p>
    <w:p w14:paraId="74862882" w14:textId="77777777" w:rsidR="00B3417A" w:rsidRPr="00F3439A" w:rsidRDefault="00B3417A" w:rsidP="005F546A">
      <w:pPr>
        <w:pStyle w:val="BodyText"/>
        <w:spacing w:before="8"/>
        <w:ind w:left="0"/>
        <w:rPr>
          <w:lang w:val="sr-Latn-ME"/>
        </w:rPr>
      </w:pPr>
    </w:p>
    <w:p w14:paraId="59CD08AC" w14:textId="7E99C8A7" w:rsidR="00B3417A" w:rsidRPr="00F3439A" w:rsidRDefault="00B3417A" w:rsidP="005F546A">
      <w:pPr>
        <w:pStyle w:val="BodyText"/>
        <w:spacing w:before="8"/>
        <w:ind w:left="0"/>
        <w:rPr>
          <w:lang w:val="sr-Latn-ME"/>
        </w:rPr>
      </w:pPr>
      <w:r w:rsidRPr="00F3439A">
        <w:rPr>
          <w:lang w:val="sr-Latn-ME"/>
        </w:rPr>
        <w:t>Primarna m</w:t>
      </w:r>
      <w:r w:rsidR="00475FCF" w:rsidRPr="00F3439A">
        <w:rPr>
          <w:lang w:val="sr-Latn-ME"/>
        </w:rPr>
        <w:t>j</w:t>
      </w:r>
      <w:r w:rsidRPr="00F3439A">
        <w:rPr>
          <w:lang w:val="sr-Latn-ME"/>
        </w:rPr>
        <w:t>era ishoda bila je vr</w:t>
      </w:r>
      <w:r w:rsidR="00475FCF" w:rsidRPr="00F3439A">
        <w:rPr>
          <w:lang w:val="sr-Latn-ME"/>
        </w:rPr>
        <w:t>ij</w:t>
      </w:r>
      <w:r w:rsidRPr="00F3439A">
        <w:rPr>
          <w:lang w:val="sr-Latn-ME"/>
        </w:rPr>
        <w:t xml:space="preserve">eme do početka poboljšanja simptoma (engl. </w:t>
      </w:r>
      <w:r w:rsidRPr="00CB24AE">
        <w:rPr>
          <w:i/>
          <w:lang w:val="sr-Latn-ME"/>
        </w:rPr>
        <w:t>ti</w:t>
      </w:r>
      <w:r w:rsidRPr="00F3439A">
        <w:rPr>
          <w:i/>
          <w:iCs/>
          <w:lang w:val="sr-Latn-ME"/>
        </w:rPr>
        <w:t xml:space="preserve">me to </w:t>
      </w:r>
      <w:proofErr w:type="spellStart"/>
      <w:r w:rsidRPr="00F3439A">
        <w:rPr>
          <w:i/>
          <w:iCs/>
          <w:lang w:val="sr-Latn-ME"/>
        </w:rPr>
        <w:t>onset</w:t>
      </w:r>
      <w:proofErr w:type="spellEnd"/>
      <w:r w:rsidRPr="00F3439A">
        <w:rPr>
          <w:i/>
          <w:iCs/>
          <w:lang w:val="sr-Latn-ME"/>
        </w:rPr>
        <w:t xml:space="preserve"> </w:t>
      </w:r>
      <w:proofErr w:type="spellStart"/>
      <w:r w:rsidRPr="00F3439A">
        <w:rPr>
          <w:i/>
          <w:iCs/>
          <w:lang w:val="sr-Latn-ME"/>
        </w:rPr>
        <w:t>of</w:t>
      </w:r>
      <w:proofErr w:type="spellEnd"/>
      <w:r w:rsidRPr="00F3439A">
        <w:rPr>
          <w:i/>
          <w:iCs/>
          <w:lang w:val="sr-Latn-ME"/>
        </w:rPr>
        <w:t xml:space="preserve"> </w:t>
      </w:r>
      <w:proofErr w:type="spellStart"/>
      <w:r w:rsidRPr="00F3439A">
        <w:rPr>
          <w:i/>
          <w:iCs/>
          <w:lang w:val="sr-Latn-ME"/>
        </w:rPr>
        <w:t>symptom</w:t>
      </w:r>
      <w:proofErr w:type="spellEnd"/>
      <w:r w:rsidRPr="00F3439A">
        <w:rPr>
          <w:i/>
          <w:iCs/>
          <w:lang w:val="sr-Latn-ME"/>
        </w:rPr>
        <w:t xml:space="preserve"> </w:t>
      </w:r>
      <w:proofErr w:type="spellStart"/>
      <w:r w:rsidRPr="00F3439A">
        <w:rPr>
          <w:i/>
          <w:iCs/>
          <w:lang w:val="sr-Latn-ME"/>
        </w:rPr>
        <w:t>relief</w:t>
      </w:r>
      <w:proofErr w:type="spellEnd"/>
      <w:r w:rsidRPr="00F3439A">
        <w:rPr>
          <w:lang w:val="sr-Latn-ME"/>
        </w:rPr>
        <w:t>, TOSR) m</w:t>
      </w:r>
      <w:r w:rsidR="00475FCF" w:rsidRPr="00F3439A">
        <w:rPr>
          <w:lang w:val="sr-Latn-ME"/>
        </w:rPr>
        <w:t>j</w:t>
      </w:r>
      <w:r w:rsidRPr="00F3439A">
        <w:rPr>
          <w:lang w:val="sr-Latn-ME"/>
        </w:rPr>
        <w:t xml:space="preserve">erena kompozitnim rezultatom simptoma koje je prijavljivao </w:t>
      </w:r>
      <w:proofErr w:type="spellStart"/>
      <w:r w:rsidRPr="00F3439A">
        <w:rPr>
          <w:lang w:val="sr-Latn-ME"/>
        </w:rPr>
        <w:t>istaživač</w:t>
      </w:r>
      <w:proofErr w:type="spellEnd"/>
      <w:r w:rsidRPr="00F3439A">
        <w:rPr>
          <w:lang w:val="sr-Latn-ME"/>
        </w:rPr>
        <w:t>. Vr</w:t>
      </w:r>
      <w:r w:rsidR="00475FCF" w:rsidRPr="00F3439A">
        <w:rPr>
          <w:lang w:val="sr-Latn-ME"/>
        </w:rPr>
        <w:t>ij</w:t>
      </w:r>
      <w:r w:rsidRPr="00F3439A">
        <w:rPr>
          <w:lang w:val="sr-Latn-ME"/>
        </w:rPr>
        <w:t>eme do poboljšanja simptoma definisano je kao vr</w:t>
      </w:r>
      <w:r w:rsidR="00475FCF" w:rsidRPr="00F3439A">
        <w:rPr>
          <w:lang w:val="sr-Latn-ME"/>
        </w:rPr>
        <w:t>ij</w:t>
      </w:r>
      <w:r w:rsidRPr="00F3439A">
        <w:rPr>
          <w:lang w:val="sr-Latn-ME"/>
        </w:rPr>
        <w:t>eme trajanja (u časovima) do poboljšanja simptoma za 20%.</w:t>
      </w:r>
    </w:p>
    <w:p w14:paraId="29D29BA8" w14:textId="77777777" w:rsidR="00B3417A" w:rsidRPr="00F3439A" w:rsidRDefault="00B3417A" w:rsidP="005F546A">
      <w:pPr>
        <w:pStyle w:val="BodyText"/>
        <w:spacing w:before="8"/>
        <w:ind w:left="0"/>
        <w:rPr>
          <w:lang w:val="sr-Latn-ME"/>
        </w:rPr>
      </w:pPr>
    </w:p>
    <w:p w14:paraId="0FAA4876" w14:textId="15E01A1D" w:rsidR="00B3417A" w:rsidRPr="00F3439A" w:rsidRDefault="00B3417A" w:rsidP="005F546A">
      <w:pPr>
        <w:pStyle w:val="BodyText"/>
        <w:spacing w:before="8"/>
        <w:ind w:left="0"/>
        <w:rPr>
          <w:lang w:val="sr-Latn-ME"/>
        </w:rPr>
      </w:pPr>
      <w:r w:rsidRPr="00F3439A">
        <w:rPr>
          <w:lang w:val="sr-Latn-ME"/>
        </w:rPr>
        <w:t>Ukupna srednja vr</w:t>
      </w:r>
      <w:r w:rsidR="00475FCF" w:rsidRPr="00F3439A">
        <w:rPr>
          <w:lang w:val="sr-Latn-ME"/>
        </w:rPr>
        <w:t>ij</w:t>
      </w:r>
      <w:r w:rsidRPr="00F3439A">
        <w:rPr>
          <w:lang w:val="sr-Latn-ME"/>
        </w:rPr>
        <w:t xml:space="preserve">ednost </w:t>
      </w:r>
      <w:proofErr w:type="spellStart"/>
      <w:r w:rsidR="00A97539">
        <w:rPr>
          <w:lang w:val="sr-Latn-ME"/>
        </w:rPr>
        <w:t>vremena</w:t>
      </w:r>
      <w:proofErr w:type="spellEnd"/>
      <w:r w:rsidR="00A97539">
        <w:rPr>
          <w:lang w:val="sr-Latn-ME"/>
        </w:rPr>
        <w:t xml:space="preserve"> </w:t>
      </w:r>
      <w:r w:rsidRPr="00F3439A">
        <w:rPr>
          <w:lang w:val="sr-Latn-ME"/>
        </w:rPr>
        <w:t>do početka poboljšanja simptoma bila je 1,0 čas (95%-</w:t>
      </w:r>
      <w:proofErr w:type="spellStart"/>
      <w:r w:rsidRPr="00F3439A">
        <w:rPr>
          <w:lang w:val="sr-Latn-ME"/>
        </w:rPr>
        <w:t>tni</w:t>
      </w:r>
      <w:proofErr w:type="spellEnd"/>
      <w:r w:rsidRPr="00F3439A">
        <w:rPr>
          <w:lang w:val="sr-Latn-ME"/>
        </w:rPr>
        <w:t xml:space="preserve"> interval pouzdanosti, 1,0-1,1 sat). Početak poboljšanja simptoma nastupio je 1 i 2 časa nakon l</w:t>
      </w:r>
      <w:r w:rsidR="00475FCF" w:rsidRPr="00F3439A">
        <w:rPr>
          <w:lang w:val="sr-Latn-ME"/>
        </w:rPr>
        <w:t>ij</w:t>
      </w:r>
      <w:r w:rsidRPr="00F3439A">
        <w:rPr>
          <w:lang w:val="sr-Latn-ME"/>
        </w:rPr>
        <w:t>ečenja u približno 50%, odnosno 90% pacijenata.</w:t>
      </w:r>
    </w:p>
    <w:p w14:paraId="12AA94D6" w14:textId="0032737D" w:rsidR="00B3417A" w:rsidRPr="00F3439A" w:rsidRDefault="00B3417A" w:rsidP="005F546A">
      <w:pPr>
        <w:pStyle w:val="BodyText"/>
        <w:spacing w:before="8"/>
        <w:ind w:left="0"/>
        <w:rPr>
          <w:lang w:val="sr-Latn-ME"/>
        </w:rPr>
      </w:pPr>
      <w:r w:rsidRPr="00F3439A">
        <w:rPr>
          <w:lang w:val="sr-Latn-ME"/>
        </w:rPr>
        <w:lastRenderedPageBreak/>
        <w:t>Ukupno, srednja vr</w:t>
      </w:r>
      <w:r w:rsidR="00475FCF" w:rsidRPr="00F3439A">
        <w:rPr>
          <w:lang w:val="sr-Latn-ME"/>
        </w:rPr>
        <w:t>ij</w:t>
      </w:r>
      <w:r w:rsidRPr="00F3439A">
        <w:rPr>
          <w:lang w:val="sr-Latn-ME"/>
        </w:rPr>
        <w:t xml:space="preserve">ednost </w:t>
      </w:r>
      <w:proofErr w:type="spellStart"/>
      <w:r w:rsidR="00A97539">
        <w:rPr>
          <w:lang w:val="sr-Latn-ME"/>
        </w:rPr>
        <w:t>vremena</w:t>
      </w:r>
      <w:proofErr w:type="spellEnd"/>
      <w:r w:rsidR="00A97539">
        <w:rPr>
          <w:lang w:val="sr-Latn-ME"/>
        </w:rPr>
        <w:t xml:space="preserve"> </w:t>
      </w:r>
      <w:r w:rsidRPr="00F3439A">
        <w:rPr>
          <w:lang w:val="sr-Latn-ME"/>
        </w:rPr>
        <w:t>do minimalnih simptoma (najranije vr</w:t>
      </w:r>
      <w:r w:rsidR="00475FCF" w:rsidRPr="00F3439A">
        <w:rPr>
          <w:lang w:val="sr-Latn-ME"/>
        </w:rPr>
        <w:t>ij</w:t>
      </w:r>
      <w:r w:rsidRPr="00F3439A">
        <w:rPr>
          <w:lang w:val="sr-Latn-ME"/>
        </w:rPr>
        <w:t>eme nakon l</w:t>
      </w:r>
      <w:r w:rsidR="00475FCF" w:rsidRPr="00F3439A">
        <w:rPr>
          <w:lang w:val="sr-Latn-ME"/>
        </w:rPr>
        <w:t>ij</w:t>
      </w:r>
      <w:r w:rsidRPr="00F3439A">
        <w:rPr>
          <w:lang w:val="sr-Latn-ME"/>
        </w:rPr>
        <w:t>ečenja kada su svi simptomi bili blagi ili odsutni) bilo je 1,1 čas (95%-</w:t>
      </w:r>
      <w:proofErr w:type="spellStart"/>
      <w:r w:rsidRPr="00F3439A">
        <w:rPr>
          <w:lang w:val="sr-Latn-ME"/>
        </w:rPr>
        <w:t>tni</w:t>
      </w:r>
      <w:proofErr w:type="spellEnd"/>
      <w:r w:rsidRPr="00F3439A">
        <w:rPr>
          <w:lang w:val="sr-Latn-ME"/>
        </w:rPr>
        <w:t xml:space="preserve"> interval pouzdanosti, 1,0-2,0 časa).</w:t>
      </w:r>
    </w:p>
    <w:p w14:paraId="351C9189" w14:textId="77777777" w:rsidR="002E37A5" w:rsidRPr="00F3439A" w:rsidRDefault="002E37A5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4080CAA" w14:textId="77777777" w:rsidR="0072020E" w:rsidRPr="00F3439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3439A">
        <w:rPr>
          <w:b/>
          <w:bCs/>
          <w:sz w:val="22"/>
          <w:szCs w:val="22"/>
          <w:lang w:val="sr-Latn-ME"/>
        </w:rPr>
        <w:t xml:space="preserve">5.2. </w:t>
      </w:r>
      <w:r w:rsidR="00480FB1" w:rsidRPr="00F3439A">
        <w:rPr>
          <w:b/>
          <w:bCs/>
          <w:sz w:val="22"/>
          <w:szCs w:val="22"/>
          <w:lang w:val="sr-Latn-ME"/>
        </w:rPr>
        <w:tab/>
      </w:r>
      <w:proofErr w:type="spellStart"/>
      <w:r w:rsidRPr="00F3439A">
        <w:rPr>
          <w:b/>
          <w:bCs/>
          <w:sz w:val="22"/>
          <w:szCs w:val="22"/>
          <w:lang w:val="sr-Latn-ME"/>
        </w:rPr>
        <w:t>Farmakokinetički</w:t>
      </w:r>
      <w:proofErr w:type="spellEnd"/>
      <w:r w:rsidRPr="00F3439A">
        <w:rPr>
          <w:b/>
          <w:bCs/>
          <w:sz w:val="22"/>
          <w:szCs w:val="22"/>
          <w:lang w:val="sr-Latn-ME"/>
        </w:rPr>
        <w:t xml:space="preserve"> podaci</w:t>
      </w:r>
      <w:r w:rsidR="003A7059" w:rsidRPr="00F3439A">
        <w:rPr>
          <w:b/>
          <w:bCs/>
          <w:sz w:val="22"/>
          <w:szCs w:val="22"/>
          <w:lang w:val="sr-Latn-ME"/>
        </w:rPr>
        <w:t xml:space="preserve"> </w:t>
      </w:r>
    </w:p>
    <w:p w14:paraId="63DA8BB4" w14:textId="77777777" w:rsidR="0072020E" w:rsidRPr="00F3439A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22E7033" w14:textId="535D15B0" w:rsidR="00B3417A" w:rsidRPr="00F3439A" w:rsidRDefault="00B3417A" w:rsidP="005F546A">
      <w:pPr>
        <w:jc w:val="both"/>
        <w:rPr>
          <w:sz w:val="22"/>
          <w:szCs w:val="22"/>
          <w:lang w:val="sr-Latn-ME"/>
        </w:rPr>
      </w:pPr>
      <w:proofErr w:type="spellStart"/>
      <w:r w:rsidRPr="00F3439A">
        <w:rPr>
          <w:sz w:val="22"/>
          <w:szCs w:val="22"/>
          <w:lang w:val="sr-Latn-ME"/>
        </w:rPr>
        <w:t>Farmakokinetika</w:t>
      </w:r>
      <w:proofErr w:type="spellEnd"/>
      <w:r w:rsidRPr="00F3439A">
        <w:rPr>
          <w:sz w:val="22"/>
          <w:szCs w:val="22"/>
          <w:lang w:val="sr-Latn-ME"/>
        </w:rPr>
        <w:t xml:space="preserve"> </w:t>
      </w:r>
      <w:proofErr w:type="spellStart"/>
      <w:r w:rsidRPr="00F3439A">
        <w:rPr>
          <w:sz w:val="22"/>
          <w:szCs w:val="22"/>
          <w:lang w:val="sr-Latn-ME"/>
        </w:rPr>
        <w:t>ikatibanta</w:t>
      </w:r>
      <w:proofErr w:type="spellEnd"/>
      <w:r w:rsidRPr="00F3439A">
        <w:rPr>
          <w:sz w:val="22"/>
          <w:szCs w:val="22"/>
          <w:lang w:val="sr-Latn-ME"/>
        </w:rPr>
        <w:t xml:space="preserve"> opisana je pomoću studija u kojima je zdravim dobrovoljcima i pacijentima l</w:t>
      </w:r>
      <w:r w:rsidR="00475FCF" w:rsidRPr="00F3439A">
        <w:rPr>
          <w:sz w:val="22"/>
          <w:szCs w:val="22"/>
          <w:lang w:val="sr-Latn-ME"/>
        </w:rPr>
        <w:t>ij</w:t>
      </w:r>
      <w:r w:rsidRPr="00F3439A">
        <w:rPr>
          <w:sz w:val="22"/>
          <w:szCs w:val="22"/>
          <w:lang w:val="sr-Latn-ME"/>
        </w:rPr>
        <w:t>ek prim</w:t>
      </w:r>
      <w:r w:rsidR="00475FCF" w:rsidRPr="00F3439A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 xml:space="preserve">enjivan </w:t>
      </w:r>
      <w:proofErr w:type="spellStart"/>
      <w:r w:rsidRPr="00F3439A">
        <w:rPr>
          <w:sz w:val="22"/>
          <w:szCs w:val="22"/>
          <w:lang w:val="sr-Latn-ME"/>
        </w:rPr>
        <w:t>intravenskim</w:t>
      </w:r>
      <w:proofErr w:type="spellEnd"/>
      <w:r w:rsidRPr="00F3439A">
        <w:rPr>
          <w:sz w:val="22"/>
          <w:szCs w:val="22"/>
          <w:lang w:val="sr-Latn-ME"/>
        </w:rPr>
        <w:t xml:space="preserve"> ili i potkožnim injekcijama. </w:t>
      </w:r>
      <w:proofErr w:type="spellStart"/>
      <w:r w:rsidRPr="00F3439A">
        <w:rPr>
          <w:sz w:val="22"/>
          <w:szCs w:val="22"/>
          <w:lang w:val="sr-Latn-ME"/>
        </w:rPr>
        <w:t>Farmakokinetički</w:t>
      </w:r>
      <w:proofErr w:type="spellEnd"/>
      <w:r w:rsidRPr="00F3439A">
        <w:rPr>
          <w:sz w:val="22"/>
          <w:szCs w:val="22"/>
          <w:lang w:val="sr-Latn-ME"/>
        </w:rPr>
        <w:t xml:space="preserve"> profil </w:t>
      </w:r>
      <w:proofErr w:type="spellStart"/>
      <w:r w:rsidRPr="00F3439A">
        <w:rPr>
          <w:sz w:val="22"/>
          <w:szCs w:val="22"/>
          <w:lang w:val="sr-Latn-ME"/>
        </w:rPr>
        <w:t>ikatibanta</w:t>
      </w:r>
      <w:proofErr w:type="spellEnd"/>
      <w:r w:rsidRPr="00F3439A">
        <w:rPr>
          <w:sz w:val="22"/>
          <w:szCs w:val="22"/>
          <w:lang w:val="sr-Latn-ME"/>
        </w:rPr>
        <w:t xml:space="preserve"> kod pacijenata s </w:t>
      </w:r>
      <w:proofErr w:type="spellStart"/>
      <w:r w:rsidRPr="00F3439A">
        <w:rPr>
          <w:sz w:val="22"/>
          <w:szCs w:val="22"/>
          <w:lang w:val="sr-Latn-ME"/>
        </w:rPr>
        <w:t>nasl</w:t>
      </w:r>
      <w:r w:rsidR="00690EF0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>ednim</w:t>
      </w:r>
      <w:proofErr w:type="spellEnd"/>
      <w:r w:rsidRPr="00F3439A">
        <w:rPr>
          <w:sz w:val="22"/>
          <w:szCs w:val="22"/>
          <w:lang w:val="sr-Latn-ME"/>
        </w:rPr>
        <w:t xml:space="preserve"> </w:t>
      </w:r>
      <w:proofErr w:type="spellStart"/>
      <w:r w:rsidRPr="00F3439A">
        <w:rPr>
          <w:sz w:val="22"/>
          <w:szCs w:val="22"/>
          <w:lang w:val="sr-Latn-ME"/>
        </w:rPr>
        <w:t>angioedemom</w:t>
      </w:r>
      <w:proofErr w:type="spellEnd"/>
      <w:r w:rsidRPr="00F3439A">
        <w:rPr>
          <w:sz w:val="22"/>
          <w:szCs w:val="22"/>
          <w:lang w:val="sr-Latn-ME"/>
        </w:rPr>
        <w:t xml:space="preserve"> (</w:t>
      </w:r>
      <w:proofErr w:type="spellStart"/>
      <w:r w:rsidRPr="00F3439A">
        <w:rPr>
          <w:sz w:val="22"/>
          <w:szCs w:val="22"/>
          <w:lang w:val="sr-Latn-ME"/>
        </w:rPr>
        <w:t>HAE</w:t>
      </w:r>
      <w:proofErr w:type="spellEnd"/>
      <w:r w:rsidRPr="00F3439A">
        <w:rPr>
          <w:sz w:val="22"/>
          <w:szCs w:val="22"/>
          <w:lang w:val="sr-Latn-ME"/>
        </w:rPr>
        <w:t>), sličan je kao kod zdravih dobrovoljaca.</w:t>
      </w:r>
    </w:p>
    <w:p w14:paraId="5A933F60" w14:textId="77777777" w:rsidR="00B3417A" w:rsidRPr="00F3439A" w:rsidRDefault="00B3417A" w:rsidP="005F546A">
      <w:pPr>
        <w:jc w:val="both"/>
        <w:rPr>
          <w:b/>
          <w:bCs/>
          <w:sz w:val="22"/>
          <w:szCs w:val="22"/>
          <w:lang w:val="sr-Latn-ME"/>
        </w:rPr>
      </w:pPr>
    </w:p>
    <w:p w14:paraId="5DF32076" w14:textId="77777777" w:rsidR="00B3417A" w:rsidRPr="00F3439A" w:rsidRDefault="00B3417A" w:rsidP="005F546A">
      <w:pPr>
        <w:pStyle w:val="BodyText"/>
        <w:ind w:left="0"/>
        <w:rPr>
          <w:lang w:val="sr-Latn-ME"/>
        </w:rPr>
      </w:pPr>
      <w:r w:rsidRPr="00F3439A">
        <w:rPr>
          <w:u w:val="single"/>
          <w:lang w:val="sr-Latn-ME"/>
        </w:rPr>
        <w:t>Resorpcija</w:t>
      </w:r>
    </w:p>
    <w:p w14:paraId="53313FDC" w14:textId="77777777" w:rsidR="00B3417A" w:rsidRPr="00F3439A" w:rsidRDefault="00B3417A" w:rsidP="005F546A">
      <w:pPr>
        <w:pStyle w:val="BodyText"/>
        <w:ind w:left="0"/>
        <w:rPr>
          <w:lang w:val="sr-Latn-ME"/>
        </w:rPr>
      </w:pPr>
    </w:p>
    <w:p w14:paraId="236BB177" w14:textId="2176F803" w:rsidR="00B3417A" w:rsidRPr="00F3439A" w:rsidRDefault="00B3417A" w:rsidP="005F546A">
      <w:pPr>
        <w:pStyle w:val="BodyText"/>
        <w:ind w:left="0"/>
        <w:rPr>
          <w:lang w:val="sr-Latn-ME"/>
        </w:rPr>
      </w:pPr>
      <w:r w:rsidRPr="00F3439A">
        <w:rPr>
          <w:lang w:val="sr-Latn-ME"/>
        </w:rPr>
        <w:t>Posl</w:t>
      </w:r>
      <w:r w:rsidR="00475FCF" w:rsidRPr="00F3439A">
        <w:rPr>
          <w:lang w:val="sr-Latn-ME"/>
        </w:rPr>
        <w:t>ij</w:t>
      </w:r>
      <w:r w:rsidRPr="00F3439A">
        <w:rPr>
          <w:lang w:val="sr-Latn-ME"/>
        </w:rPr>
        <w:t>e potkožne prim</w:t>
      </w:r>
      <w:r w:rsidR="00475FCF" w:rsidRPr="00F3439A">
        <w:rPr>
          <w:lang w:val="sr-Latn-ME"/>
        </w:rPr>
        <w:t>j</w:t>
      </w:r>
      <w:r w:rsidRPr="00F3439A">
        <w:rPr>
          <w:lang w:val="sr-Latn-ME"/>
        </w:rPr>
        <w:t xml:space="preserve">ene, apsolutna </w:t>
      </w:r>
      <w:proofErr w:type="spellStart"/>
      <w:r w:rsidRPr="00F3439A">
        <w:rPr>
          <w:lang w:val="sr-Latn-ME"/>
        </w:rPr>
        <w:t>bioraspoloživost</w:t>
      </w:r>
      <w:proofErr w:type="spellEnd"/>
      <w:r w:rsidRPr="00F3439A">
        <w:rPr>
          <w:lang w:val="sr-Latn-ME"/>
        </w:rPr>
        <w:t xml:space="preserve"> </w:t>
      </w:r>
      <w:proofErr w:type="spellStart"/>
      <w:r w:rsidRPr="00F3439A">
        <w:rPr>
          <w:lang w:val="sr-Latn-ME"/>
        </w:rPr>
        <w:t>ikatibanta</w:t>
      </w:r>
      <w:proofErr w:type="spellEnd"/>
      <w:r w:rsidRPr="00F3439A">
        <w:rPr>
          <w:lang w:val="sr-Latn-ME"/>
        </w:rPr>
        <w:t xml:space="preserve"> iznosi 97%. Vr</w:t>
      </w:r>
      <w:r w:rsidR="00475FCF" w:rsidRPr="00F3439A">
        <w:rPr>
          <w:lang w:val="sr-Latn-ME"/>
        </w:rPr>
        <w:t>ij</w:t>
      </w:r>
      <w:r w:rsidRPr="00F3439A">
        <w:rPr>
          <w:lang w:val="sr-Latn-ME"/>
        </w:rPr>
        <w:t>eme postizanja maksimalne koncentracije iznosi oko 30 minuta.</w:t>
      </w:r>
    </w:p>
    <w:p w14:paraId="7583F433" w14:textId="77777777" w:rsidR="00B3417A" w:rsidRPr="00F3439A" w:rsidRDefault="00B3417A" w:rsidP="005F546A">
      <w:pPr>
        <w:pStyle w:val="BodyText"/>
        <w:ind w:left="0"/>
        <w:rPr>
          <w:lang w:val="sr-Latn-ME"/>
        </w:rPr>
      </w:pPr>
    </w:p>
    <w:p w14:paraId="623C3DCA" w14:textId="77777777" w:rsidR="00B3417A" w:rsidRPr="00F3439A" w:rsidRDefault="00B3417A" w:rsidP="005F546A">
      <w:pPr>
        <w:pStyle w:val="BodyText"/>
        <w:ind w:left="0"/>
        <w:rPr>
          <w:u w:val="single"/>
          <w:lang w:val="sr-Latn-ME"/>
        </w:rPr>
      </w:pPr>
      <w:r w:rsidRPr="00F3439A">
        <w:rPr>
          <w:u w:val="single"/>
          <w:lang w:val="sr-Latn-ME"/>
        </w:rPr>
        <w:t>Distribucija</w:t>
      </w:r>
    </w:p>
    <w:p w14:paraId="3C1B5290" w14:textId="77777777" w:rsidR="00B3417A" w:rsidRPr="00F3439A" w:rsidRDefault="00B3417A" w:rsidP="005F546A">
      <w:pPr>
        <w:pStyle w:val="BodyText"/>
        <w:ind w:left="0"/>
        <w:rPr>
          <w:lang w:val="sr-Latn-ME"/>
        </w:rPr>
      </w:pPr>
    </w:p>
    <w:p w14:paraId="7F3B3287" w14:textId="77777777" w:rsidR="00B3417A" w:rsidRPr="00F3439A" w:rsidRDefault="00B3417A" w:rsidP="005F546A">
      <w:pPr>
        <w:pStyle w:val="BodyText"/>
        <w:ind w:left="0"/>
        <w:rPr>
          <w:lang w:val="sr-Latn-ME"/>
        </w:rPr>
      </w:pPr>
      <w:r w:rsidRPr="00F3439A">
        <w:rPr>
          <w:lang w:val="sr-Latn-ME"/>
        </w:rPr>
        <w:t xml:space="preserve">Volumen distribucije </w:t>
      </w:r>
      <w:proofErr w:type="spellStart"/>
      <w:r w:rsidRPr="00F3439A">
        <w:rPr>
          <w:lang w:val="sr-Latn-ME"/>
        </w:rPr>
        <w:t>ikatibanta</w:t>
      </w:r>
      <w:proofErr w:type="spellEnd"/>
      <w:r w:rsidRPr="00F3439A">
        <w:rPr>
          <w:lang w:val="sr-Latn-ME"/>
        </w:rPr>
        <w:t xml:space="preserve"> (</w:t>
      </w:r>
      <w:proofErr w:type="spellStart"/>
      <w:r w:rsidRPr="00F3439A">
        <w:rPr>
          <w:lang w:val="sr-Latn-ME"/>
        </w:rPr>
        <w:t>Vss</w:t>
      </w:r>
      <w:proofErr w:type="spellEnd"/>
      <w:r w:rsidRPr="00F3439A">
        <w:rPr>
          <w:lang w:val="sr-Latn-ME"/>
        </w:rPr>
        <w:t>) je oko 20-25 L. Vezivanje za proteine plazme je 44%.</w:t>
      </w:r>
    </w:p>
    <w:p w14:paraId="1D0E6B8B" w14:textId="77777777" w:rsidR="00B3417A" w:rsidRPr="00F3439A" w:rsidRDefault="00B3417A" w:rsidP="005F546A">
      <w:pPr>
        <w:pStyle w:val="BodyText"/>
        <w:ind w:left="0"/>
        <w:rPr>
          <w:lang w:val="sr-Latn-ME"/>
        </w:rPr>
      </w:pPr>
    </w:p>
    <w:p w14:paraId="4D4068C5" w14:textId="77777777" w:rsidR="00B3417A" w:rsidRPr="00F3439A" w:rsidRDefault="00B3417A" w:rsidP="005F546A">
      <w:pPr>
        <w:pStyle w:val="BodyText"/>
        <w:ind w:left="0"/>
        <w:rPr>
          <w:u w:val="single"/>
          <w:lang w:val="sr-Latn-ME"/>
        </w:rPr>
      </w:pPr>
      <w:r w:rsidRPr="00F3439A">
        <w:rPr>
          <w:u w:val="single"/>
          <w:lang w:val="sr-Latn-ME"/>
        </w:rPr>
        <w:t>Eliminacija</w:t>
      </w:r>
    </w:p>
    <w:p w14:paraId="3B002D07" w14:textId="77777777" w:rsidR="00B3417A" w:rsidRPr="00F3439A" w:rsidRDefault="00B3417A" w:rsidP="005F546A">
      <w:pPr>
        <w:pStyle w:val="BodyText"/>
        <w:ind w:left="0"/>
        <w:rPr>
          <w:lang w:val="sr-Latn-ME"/>
        </w:rPr>
      </w:pPr>
    </w:p>
    <w:p w14:paraId="10CC28C2" w14:textId="0AA8FF49" w:rsidR="00B3417A" w:rsidRPr="00F3439A" w:rsidRDefault="00B3417A" w:rsidP="005F546A">
      <w:pPr>
        <w:pStyle w:val="BodyText"/>
        <w:ind w:left="0"/>
        <w:rPr>
          <w:lang w:val="sr-Latn-ME"/>
        </w:rPr>
      </w:pPr>
      <w:proofErr w:type="spellStart"/>
      <w:r w:rsidRPr="00F3439A">
        <w:rPr>
          <w:lang w:val="sr-Latn-ME"/>
        </w:rPr>
        <w:t>Ikatibant</w:t>
      </w:r>
      <w:proofErr w:type="spellEnd"/>
      <w:r w:rsidRPr="00F3439A">
        <w:rPr>
          <w:lang w:val="sr-Latn-ME"/>
        </w:rPr>
        <w:t xml:space="preserve"> se </w:t>
      </w:r>
      <w:proofErr w:type="spellStart"/>
      <w:r w:rsidRPr="00F3439A">
        <w:rPr>
          <w:lang w:val="sr-Latn-ME"/>
        </w:rPr>
        <w:t>pretežno</w:t>
      </w:r>
      <w:proofErr w:type="spellEnd"/>
      <w:r w:rsidRPr="00F3439A">
        <w:rPr>
          <w:lang w:val="sr-Latn-ME"/>
        </w:rPr>
        <w:t xml:space="preserve"> eliminiše metabolizmom, dok se manje od 10% doze eliminiše urinom u </w:t>
      </w:r>
      <w:proofErr w:type="spellStart"/>
      <w:r w:rsidRPr="00F3439A">
        <w:rPr>
          <w:lang w:val="sr-Latn-ME"/>
        </w:rPr>
        <w:t>neprom</w:t>
      </w:r>
      <w:r w:rsidR="00690EF0">
        <w:rPr>
          <w:lang w:val="sr-Latn-ME"/>
        </w:rPr>
        <w:t>i</w:t>
      </w:r>
      <w:r w:rsidR="00475FCF" w:rsidRPr="00F3439A">
        <w:rPr>
          <w:lang w:val="sr-Latn-ME"/>
        </w:rPr>
        <w:t>j</w:t>
      </w:r>
      <w:r w:rsidRPr="00F3439A">
        <w:rPr>
          <w:lang w:val="sr-Latn-ME"/>
        </w:rPr>
        <w:t>enjenom</w:t>
      </w:r>
      <w:proofErr w:type="spellEnd"/>
      <w:r w:rsidRPr="00F3439A">
        <w:rPr>
          <w:lang w:val="sr-Latn-ME"/>
        </w:rPr>
        <w:t xml:space="preserve"> obliku. </w:t>
      </w:r>
      <w:proofErr w:type="spellStart"/>
      <w:r w:rsidRPr="00F3439A">
        <w:rPr>
          <w:lang w:val="sr-Latn-ME"/>
        </w:rPr>
        <w:t>Klirens</w:t>
      </w:r>
      <w:proofErr w:type="spellEnd"/>
      <w:r w:rsidRPr="00F3439A">
        <w:rPr>
          <w:lang w:val="sr-Latn-ME"/>
        </w:rPr>
        <w:t xml:space="preserve"> je oko 15-20 L/h pa ne zavisi od doze. Terminalni </w:t>
      </w:r>
      <w:proofErr w:type="spellStart"/>
      <w:r w:rsidRPr="00F3439A">
        <w:rPr>
          <w:lang w:val="sr-Latn-ME"/>
        </w:rPr>
        <w:t>poluživot</w:t>
      </w:r>
      <w:proofErr w:type="spellEnd"/>
      <w:r w:rsidRPr="00F3439A">
        <w:rPr>
          <w:lang w:val="sr-Latn-ME"/>
        </w:rPr>
        <w:t xml:space="preserve"> u plazmi je oko 1-2 časa.</w:t>
      </w:r>
    </w:p>
    <w:p w14:paraId="03444B55" w14:textId="77777777" w:rsidR="00B3417A" w:rsidRPr="00F3439A" w:rsidRDefault="00B3417A" w:rsidP="005F546A">
      <w:pPr>
        <w:pStyle w:val="BodyText"/>
        <w:ind w:left="0"/>
        <w:rPr>
          <w:lang w:val="sr-Latn-ME"/>
        </w:rPr>
      </w:pPr>
    </w:p>
    <w:p w14:paraId="6E0ABFD6" w14:textId="77777777" w:rsidR="00B3417A" w:rsidRPr="00F3439A" w:rsidRDefault="00B3417A" w:rsidP="005F546A">
      <w:pPr>
        <w:pStyle w:val="BodyText"/>
        <w:ind w:left="0"/>
        <w:rPr>
          <w:u w:val="single"/>
          <w:lang w:val="sr-Latn-ME"/>
        </w:rPr>
      </w:pPr>
      <w:proofErr w:type="spellStart"/>
      <w:r w:rsidRPr="00F3439A">
        <w:rPr>
          <w:u w:val="single"/>
          <w:lang w:val="sr-Latn-ME"/>
        </w:rPr>
        <w:t>Biotransformacija</w:t>
      </w:r>
      <w:proofErr w:type="spellEnd"/>
    </w:p>
    <w:p w14:paraId="2D6E6B48" w14:textId="77777777" w:rsidR="00B3417A" w:rsidRPr="00F3439A" w:rsidRDefault="00B3417A" w:rsidP="005F546A">
      <w:pPr>
        <w:pStyle w:val="BodyText"/>
        <w:ind w:left="0"/>
        <w:rPr>
          <w:u w:val="single"/>
          <w:lang w:val="sr-Latn-ME"/>
        </w:rPr>
      </w:pPr>
    </w:p>
    <w:p w14:paraId="0016815A" w14:textId="77777777" w:rsidR="00B3417A" w:rsidRPr="00F3439A" w:rsidRDefault="00B3417A" w:rsidP="005F546A">
      <w:pPr>
        <w:pStyle w:val="BodyText"/>
        <w:ind w:left="0"/>
        <w:rPr>
          <w:lang w:val="sr-Latn-ME"/>
        </w:rPr>
      </w:pPr>
      <w:proofErr w:type="spellStart"/>
      <w:r w:rsidRPr="00F3439A">
        <w:rPr>
          <w:lang w:val="sr-Latn-ME"/>
        </w:rPr>
        <w:t>Ikatibant</w:t>
      </w:r>
      <w:proofErr w:type="spellEnd"/>
      <w:r w:rsidRPr="00F3439A">
        <w:rPr>
          <w:lang w:val="sr-Latn-ME"/>
        </w:rPr>
        <w:t xml:space="preserve"> se ekstenzivno </w:t>
      </w:r>
      <w:proofErr w:type="spellStart"/>
      <w:r w:rsidRPr="00F3439A">
        <w:rPr>
          <w:lang w:val="sr-Latn-ME"/>
        </w:rPr>
        <w:t>metaboliše</w:t>
      </w:r>
      <w:proofErr w:type="spellEnd"/>
      <w:r w:rsidRPr="00F3439A">
        <w:rPr>
          <w:lang w:val="sr-Latn-ME"/>
        </w:rPr>
        <w:t xml:space="preserve"> </w:t>
      </w:r>
      <w:proofErr w:type="spellStart"/>
      <w:r w:rsidRPr="00F3439A">
        <w:rPr>
          <w:lang w:val="sr-Latn-ME"/>
        </w:rPr>
        <w:t>proteolitičkim</w:t>
      </w:r>
      <w:proofErr w:type="spellEnd"/>
      <w:r w:rsidRPr="00F3439A">
        <w:rPr>
          <w:lang w:val="sr-Latn-ME"/>
        </w:rPr>
        <w:t xml:space="preserve"> enzimima, do </w:t>
      </w:r>
      <w:proofErr w:type="spellStart"/>
      <w:r w:rsidRPr="00F3439A">
        <w:rPr>
          <w:lang w:val="sr-Latn-ME"/>
        </w:rPr>
        <w:t>inaktivnih</w:t>
      </w:r>
      <w:proofErr w:type="spellEnd"/>
      <w:r w:rsidRPr="00F3439A">
        <w:rPr>
          <w:lang w:val="sr-Latn-ME"/>
        </w:rPr>
        <w:t xml:space="preserve"> </w:t>
      </w:r>
      <w:proofErr w:type="spellStart"/>
      <w:r w:rsidRPr="00F3439A">
        <w:rPr>
          <w:lang w:val="sr-Latn-ME"/>
        </w:rPr>
        <w:t>metabolita</w:t>
      </w:r>
      <w:proofErr w:type="spellEnd"/>
      <w:r w:rsidRPr="00F3439A">
        <w:rPr>
          <w:lang w:val="sr-Latn-ME"/>
        </w:rPr>
        <w:t xml:space="preserve"> koji se primarno izlučuju putem mokraće.</w:t>
      </w:r>
    </w:p>
    <w:p w14:paraId="7A6D0527" w14:textId="77777777" w:rsidR="00B3417A" w:rsidRPr="00F3439A" w:rsidRDefault="00B3417A" w:rsidP="005F546A">
      <w:pPr>
        <w:pStyle w:val="BodyText"/>
        <w:ind w:left="0"/>
        <w:rPr>
          <w:lang w:val="sr-Latn-ME"/>
        </w:rPr>
      </w:pPr>
    </w:p>
    <w:p w14:paraId="436B907F" w14:textId="77777777" w:rsidR="00B3417A" w:rsidRPr="00F3439A" w:rsidRDefault="00B3417A" w:rsidP="005F546A">
      <w:pPr>
        <w:pStyle w:val="BodyText"/>
        <w:ind w:left="0"/>
        <w:rPr>
          <w:lang w:val="sr-Latn-ME"/>
        </w:rPr>
      </w:pPr>
      <w:r w:rsidRPr="00F3439A">
        <w:rPr>
          <w:lang w:val="sr-Latn-ME"/>
        </w:rPr>
        <w:t xml:space="preserve">In </w:t>
      </w:r>
      <w:proofErr w:type="spellStart"/>
      <w:r w:rsidRPr="00F3439A">
        <w:rPr>
          <w:lang w:val="sr-Latn-ME"/>
        </w:rPr>
        <w:t>vitro</w:t>
      </w:r>
      <w:proofErr w:type="spellEnd"/>
      <w:r w:rsidRPr="00F3439A">
        <w:rPr>
          <w:lang w:val="sr-Latn-ME"/>
        </w:rPr>
        <w:t xml:space="preserve"> testovi potvrdili su da se </w:t>
      </w:r>
      <w:proofErr w:type="spellStart"/>
      <w:r w:rsidRPr="00F3439A">
        <w:rPr>
          <w:lang w:val="sr-Latn-ME"/>
        </w:rPr>
        <w:t>ikatibant</w:t>
      </w:r>
      <w:proofErr w:type="spellEnd"/>
      <w:r w:rsidRPr="00F3439A">
        <w:rPr>
          <w:lang w:val="sr-Latn-ME"/>
        </w:rPr>
        <w:t xml:space="preserve"> ne razgrađuje </w:t>
      </w:r>
      <w:proofErr w:type="spellStart"/>
      <w:r w:rsidRPr="00F3439A">
        <w:rPr>
          <w:lang w:val="sr-Latn-ME"/>
        </w:rPr>
        <w:t>oksidativnim</w:t>
      </w:r>
      <w:proofErr w:type="spellEnd"/>
      <w:r w:rsidRPr="00F3439A">
        <w:rPr>
          <w:lang w:val="sr-Latn-ME"/>
        </w:rPr>
        <w:t xml:space="preserve"> metaboličkim putevima, pa nije </w:t>
      </w:r>
      <w:proofErr w:type="spellStart"/>
      <w:r w:rsidRPr="00F3439A">
        <w:rPr>
          <w:lang w:val="sr-Latn-ME"/>
        </w:rPr>
        <w:t>inhibitor</w:t>
      </w:r>
      <w:proofErr w:type="spellEnd"/>
      <w:r w:rsidRPr="00F3439A">
        <w:rPr>
          <w:lang w:val="sr-Latn-ME"/>
        </w:rPr>
        <w:t xml:space="preserve"> glavnih </w:t>
      </w:r>
      <w:proofErr w:type="spellStart"/>
      <w:r w:rsidRPr="00F3439A">
        <w:rPr>
          <w:lang w:val="sr-Latn-ME"/>
        </w:rPr>
        <w:t>izoenzima</w:t>
      </w:r>
      <w:proofErr w:type="spellEnd"/>
      <w:r w:rsidRPr="00F3439A">
        <w:rPr>
          <w:lang w:val="sr-Latn-ME"/>
        </w:rPr>
        <w:t xml:space="preserve"> </w:t>
      </w:r>
      <w:proofErr w:type="spellStart"/>
      <w:r w:rsidRPr="00F3439A">
        <w:rPr>
          <w:lang w:val="sr-Latn-ME"/>
        </w:rPr>
        <w:t>citohroma</w:t>
      </w:r>
      <w:proofErr w:type="spellEnd"/>
      <w:r w:rsidRPr="00F3439A">
        <w:rPr>
          <w:lang w:val="sr-Latn-ME"/>
        </w:rPr>
        <w:t xml:space="preserve"> P450 (CYP) (CYP 1A2, 2A6, 2B6, 2C8, 2C9, 2C19, 2D6, 2E1 i 3A4), i nije induktor CYP 1A2 i 3A4.</w:t>
      </w:r>
    </w:p>
    <w:p w14:paraId="10932BD6" w14:textId="77777777" w:rsidR="00B3417A" w:rsidRPr="00F3439A" w:rsidRDefault="00B3417A" w:rsidP="005F546A">
      <w:pPr>
        <w:pStyle w:val="BodyText"/>
        <w:ind w:left="0"/>
        <w:rPr>
          <w:lang w:val="sr-Latn-ME"/>
        </w:rPr>
      </w:pPr>
    </w:p>
    <w:p w14:paraId="79056018" w14:textId="77777777" w:rsidR="00B3417A" w:rsidRPr="00F3439A" w:rsidRDefault="00B3417A" w:rsidP="005F546A">
      <w:pPr>
        <w:pStyle w:val="BodyText"/>
        <w:ind w:left="0"/>
        <w:rPr>
          <w:u w:val="single"/>
          <w:lang w:val="sr-Latn-ME"/>
        </w:rPr>
      </w:pPr>
      <w:r w:rsidRPr="00F3439A">
        <w:rPr>
          <w:u w:val="single"/>
          <w:lang w:val="sr-Latn-ME"/>
        </w:rPr>
        <w:t>Posebne populacije pacijenata</w:t>
      </w:r>
    </w:p>
    <w:p w14:paraId="5E447121" w14:textId="77777777" w:rsidR="00B3417A" w:rsidRPr="00F3439A" w:rsidRDefault="00B3417A" w:rsidP="005F546A">
      <w:pPr>
        <w:pStyle w:val="BodyText"/>
        <w:ind w:left="0"/>
        <w:rPr>
          <w:u w:val="single"/>
          <w:lang w:val="sr-Latn-ME"/>
        </w:rPr>
      </w:pPr>
    </w:p>
    <w:p w14:paraId="02B4D4EF" w14:textId="77777777" w:rsidR="00B3417A" w:rsidRPr="00F3439A" w:rsidRDefault="00B3417A" w:rsidP="005F546A">
      <w:pPr>
        <w:pStyle w:val="BodyText"/>
        <w:ind w:left="0"/>
        <w:rPr>
          <w:i/>
          <w:iCs/>
          <w:lang w:val="sr-Latn-ME"/>
        </w:rPr>
      </w:pPr>
      <w:r w:rsidRPr="00F3439A">
        <w:rPr>
          <w:i/>
          <w:iCs/>
          <w:lang w:val="sr-Latn-ME"/>
        </w:rPr>
        <w:t>Stariji pacijenti</w:t>
      </w:r>
    </w:p>
    <w:p w14:paraId="6E599569" w14:textId="77777777" w:rsidR="00B3417A" w:rsidRPr="00F3439A" w:rsidRDefault="00B3417A" w:rsidP="005F546A">
      <w:pPr>
        <w:pStyle w:val="BodyText"/>
        <w:ind w:left="0"/>
        <w:rPr>
          <w:lang w:val="sr-Latn-ME"/>
        </w:rPr>
      </w:pPr>
      <w:r w:rsidRPr="00F3439A">
        <w:rPr>
          <w:lang w:val="sr-Latn-ME"/>
        </w:rPr>
        <w:t xml:space="preserve">Podaci upućuju na smanjenje </w:t>
      </w:r>
      <w:proofErr w:type="spellStart"/>
      <w:r w:rsidRPr="00F3439A">
        <w:rPr>
          <w:lang w:val="sr-Latn-ME"/>
        </w:rPr>
        <w:t>klirensa</w:t>
      </w:r>
      <w:proofErr w:type="spellEnd"/>
      <w:r w:rsidRPr="00F3439A">
        <w:rPr>
          <w:lang w:val="sr-Latn-ME"/>
        </w:rPr>
        <w:t>, u zavisnosti od starosti, koje rezultira sa oko 50-60% većom izloženošću kod starijih osoba (75-80 godina) u odnosu na pacijente starosti od 40 godina.</w:t>
      </w:r>
    </w:p>
    <w:p w14:paraId="7DC5CD03" w14:textId="77777777" w:rsidR="00B3417A" w:rsidRPr="00F3439A" w:rsidRDefault="00B3417A" w:rsidP="005F546A">
      <w:pPr>
        <w:pStyle w:val="BodyText"/>
        <w:ind w:left="0"/>
        <w:rPr>
          <w:lang w:val="sr-Latn-ME"/>
        </w:rPr>
      </w:pPr>
    </w:p>
    <w:p w14:paraId="2856E434" w14:textId="77777777" w:rsidR="00B3417A" w:rsidRPr="00F3439A" w:rsidRDefault="00B3417A" w:rsidP="005F546A">
      <w:pPr>
        <w:pStyle w:val="BodyText"/>
        <w:ind w:left="0"/>
        <w:rPr>
          <w:i/>
          <w:iCs/>
          <w:lang w:val="sr-Latn-ME"/>
        </w:rPr>
      </w:pPr>
      <w:r w:rsidRPr="00F3439A">
        <w:rPr>
          <w:i/>
          <w:iCs/>
          <w:lang w:val="sr-Latn-ME"/>
        </w:rPr>
        <w:t>Pol</w:t>
      </w:r>
    </w:p>
    <w:p w14:paraId="287D58F6" w14:textId="0949ED1B" w:rsidR="00B3417A" w:rsidRPr="00F3439A" w:rsidRDefault="00B3417A" w:rsidP="005F546A">
      <w:pPr>
        <w:pStyle w:val="BodyText"/>
        <w:ind w:left="0"/>
        <w:rPr>
          <w:lang w:val="sr-Latn-ME"/>
        </w:rPr>
      </w:pPr>
      <w:r w:rsidRPr="00F3439A">
        <w:rPr>
          <w:lang w:val="sr-Latn-ME"/>
        </w:rPr>
        <w:t xml:space="preserve">Podaci upućuju na to da nema razlike u </w:t>
      </w:r>
      <w:proofErr w:type="spellStart"/>
      <w:r w:rsidRPr="00F3439A">
        <w:rPr>
          <w:lang w:val="sr-Latn-ME"/>
        </w:rPr>
        <w:t>klirensu</w:t>
      </w:r>
      <w:proofErr w:type="spellEnd"/>
      <w:r w:rsidRPr="00F3439A">
        <w:rPr>
          <w:lang w:val="sr-Latn-ME"/>
        </w:rPr>
        <w:t xml:space="preserve"> između ženskog i muškog pola nakon korekcije za t</w:t>
      </w:r>
      <w:r w:rsidR="00475FCF" w:rsidRPr="00F3439A">
        <w:rPr>
          <w:lang w:val="sr-Latn-ME"/>
        </w:rPr>
        <w:t>j</w:t>
      </w:r>
      <w:r w:rsidRPr="00F3439A">
        <w:rPr>
          <w:lang w:val="sr-Latn-ME"/>
        </w:rPr>
        <w:t>elesnu masu.</w:t>
      </w:r>
    </w:p>
    <w:p w14:paraId="6BCAA670" w14:textId="77777777" w:rsidR="00B3417A" w:rsidRPr="00F3439A" w:rsidRDefault="00B3417A" w:rsidP="005F546A">
      <w:pPr>
        <w:pStyle w:val="BodyText"/>
        <w:ind w:left="0"/>
        <w:rPr>
          <w:lang w:val="sr-Latn-ME"/>
        </w:rPr>
      </w:pPr>
    </w:p>
    <w:p w14:paraId="5860050E" w14:textId="77777777" w:rsidR="00B3417A" w:rsidRPr="00F3439A" w:rsidRDefault="00B3417A" w:rsidP="005F546A">
      <w:pPr>
        <w:pStyle w:val="BodyText"/>
        <w:ind w:left="0"/>
        <w:rPr>
          <w:i/>
          <w:iCs/>
          <w:lang w:val="sr-Latn-ME"/>
        </w:rPr>
      </w:pPr>
      <w:r w:rsidRPr="00F3439A">
        <w:rPr>
          <w:i/>
          <w:iCs/>
          <w:lang w:val="sr-Latn-ME"/>
        </w:rPr>
        <w:t>Oštećenje funkcije jetre i bubrega</w:t>
      </w:r>
    </w:p>
    <w:p w14:paraId="76AED95A" w14:textId="77777777" w:rsidR="00B3417A" w:rsidRPr="00F3439A" w:rsidRDefault="00B3417A" w:rsidP="005F546A">
      <w:pPr>
        <w:pStyle w:val="BodyText"/>
        <w:ind w:left="0"/>
        <w:rPr>
          <w:lang w:val="sr-Latn-ME"/>
        </w:rPr>
      </w:pPr>
      <w:r w:rsidRPr="00F3439A">
        <w:rPr>
          <w:lang w:val="sr-Latn-ME"/>
        </w:rPr>
        <w:t xml:space="preserve">Ograničeni podaci upućuju na to da na izloženost </w:t>
      </w:r>
      <w:proofErr w:type="spellStart"/>
      <w:r w:rsidRPr="00F3439A">
        <w:rPr>
          <w:lang w:val="sr-Latn-ME"/>
        </w:rPr>
        <w:t>ikatibantu</w:t>
      </w:r>
      <w:proofErr w:type="spellEnd"/>
      <w:r w:rsidRPr="00F3439A">
        <w:rPr>
          <w:lang w:val="sr-Latn-ME"/>
        </w:rPr>
        <w:t xml:space="preserve"> ne utiču oštećenja funkcije jetre ili bubrega.</w:t>
      </w:r>
    </w:p>
    <w:p w14:paraId="2CD547C9" w14:textId="77777777" w:rsidR="00B3417A" w:rsidRPr="00F3439A" w:rsidRDefault="00B3417A" w:rsidP="005F546A">
      <w:pPr>
        <w:pStyle w:val="BodyText"/>
        <w:ind w:left="0"/>
        <w:rPr>
          <w:lang w:val="sr-Latn-ME"/>
        </w:rPr>
      </w:pPr>
    </w:p>
    <w:p w14:paraId="0D2FA7B0" w14:textId="77777777" w:rsidR="00B3417A" w:rsidRPr="00F3439A" w:rsidRDefault="00B3417A" w:rsidP="005F546A">
      <w:pPr>
        <w:pStyle w:val="BodyText"/>
        <w:ind w:left="0"/>
        <w:rPr>
          <w:i/>
          <w:iCs/>
          <w:lang w:val="sr-Latn-ME"/>
        </w:rPr>
      </w:pPr>
      <w:r w:rsidRPr="00F3439A">
        <w:rPr>
          <w:i/>
          <w:iCs/>
          <w:lang w:val="sr-Latn-ME"/>
        </w:rPr>
        <w:t>Rasa</w:t>
      </w:r>
    </w:p>
    <w:p w14:paraId="7840D138" w14:textId="0F9A724B" w:rsidR="00B3417A" w:rsidRPr="00F3439A" w:rsidRDefault="00B3417A" w:rsidP="005F546A">
      <w:pPr>
        <w:pStyle w:val="BodyText"/>
        <w:ind w:left="0"/>
        <w:rPr>
          <w:lang w:val="sr-Latn-ME"/>
        </w:rPr>
      </w:pPr>
      <w:r w:rsidRPr="00F3439A">
        <w:rPr>
          <w:lang w:val="sr-Latn-ME"/>
        </w:rPr>
        <w:t>Nije oc</w:t>
      </w:r>
      <w:r w:rsidR="00475FCF" w:rsidRPr="00F3439A">
        <w:rPr>
          <w:lang w:val="sr-Latn-ME"/>
        </w:rPr>
        <w:t>j</w:t>
      </w:r>
      <w:r w:rsidRPr="00F3439A">
        <w:rPr>
          <w:lang w:val="sr-Latn-ME"/>
        </w:rPr>
        <w:t xml:space="preserve">enjivan uticaj rase na </w:t>
      </w:r>
      <w:proofErr w:type="spellStart"/>
      <w:r w:rsidRPr="00F3439A">
        <w:rPr>
          <w:lang w:val="sr-Latn-ME"/>
        </w:rPr>
        <w:t>farmakokinetiku</w:t>
      </w:r>
      <w:proofErr w:type="spellEnd"/>
      <w:r w:rsidRPr="00F3439A">
        <w:rPr>
          <w:lang w:val="sr-Latn-ME"/>
        </w:rPr>
        <w:t xml:space="preserve"> </w:t>
      </w:r>
      <w:proofErr w:type="spellStart"/>
      <w:r w:rsidRPr="00F3439A">
        <w:rPr>
          <w:lang w:val="sr-Latn-ME"/>
        </w:rPr>
        <w:t>ikatibanta</w:t>
      </w:r>
      <w:proofErr w:type="spellEnd"/>
      <w:r w:rsidRPr="00F3439A">
        <w:rPr>
          <w:lang w:val="sr-Latn-ME"/>
        </w:rPr>
        <w:t xml:space="preserve">. Dostupni podaci i izloženosti ukazuju da nema razlike u </w:t>
      </w:r>
      <w:proofErr w:type="spellStart"/>
      <w:r w:rsidRPr="00F3439A">
        <w:rPr>
          <w:lang w:val="sr-Latn-ME"/>
        </w:rPr>
        <w:t>klirensu</w:t>
      </w:r>
      <w:proofErr w:type="spellEnd"/>
      <w:r w:rsidRPr="00F3439A">
        <w:rPr>
          <w:lang w:val="sr-Latn-ME"/>
        </w:rPr>
        <w:t xml:space="preserve"> između ispitanika koji ni</w:t>
      </w:r>
      <w:r w:rsidR="00475FCF" w:rsidRPr="00F3439A">
        <w:rPr>
          <w:lang w:val="sr-Latn-ME"/>
        </w:rPr>
        <w:t>je</w:t>
      </w:r>
      <w:r w:rsidRPr="00F3439A">
        <w:rPr>
          <w:lang w:val="sr-Latn-ME"/>
        </w:rPr>
        <w:t>su b</w:t>
      </w:r>
      <w:r w:rsidR="00CF7607">
        <w:rPr>
          <w:lang w:val="sr-Latn-ME"/>
        </w:rPr>
        <w:t>i</w:t>
      </w:r>
      <w:r w:rsidR="00475FCF" w:rsidRPr="00F3439A">
        <w:rPr>
          <w:lang w:val="sr-Latn-ME"/>
        </w:rPr>
        <w:t>j</w:t>
      </w:r>
      <w:r w:rsidRPr="00F3439A">
        <w:rPr>
          <w:lang w:val="sr-Latn-ME"/>
        </w:rPr>
        <w:t>elci (n=40) i b</w:t>
      </w:r>
      <w:r w:rsidR="00CF7607">
        <w:rPr>
          <w:lang w:val="sr-Latn-ME"/>
        </w:rPr>
        <w:t>i</w:t>
      </w:r>
      <w:r w:rsidR="00475FCF" w:rsidRPr="00F3439A">
        <w:rPr>
          <w:lang w:val="sr-Latn-ME"/>
        </w:rPr>
        <w:t>j</w:t>
      </w:r>
      <w:r w:rsidRPr="00F3439A">
        <w:rPr>
          <w:lang w:val="sr-Latn-ME"/>
        </w:rPr>
        <w:t>elaca (n=132).</w:t>
      </w:r>
    </w:p>
    <w:p w14:paraId="69A739B7" w14:textId="77777777" w:rsidR="00B3417A" w:rsidRPr="00F3439A" w:rsidRDefault="00B3417A" w:rsidP="005F546A">
      <w:pPr>
        <w:pStyle w:val="BodyText"/>
        <w:ind w:left="0"/>
        <w:rPr>
          <w:lang w:val="sr-Latn-ME"/>
        </w:rPr>
      </w:pPr>
    </w:p>
    <w:p w14:paraId="4F5E22BB" w14:textId="77777777" w:rsidR="00B3417A" w:rsidRPr="00F3439A" w:rsidRDefault="00B3417A" w:rsidP="005F546A">
      <w:pPr>
        <w:pStyle w:val="BodyText"/>
        <w:ind w:left="0"/>
        <w:rPr>
          <w:i/>
          <w:iCs/>
          <w:lang w:val="sr-Latn-ME"/>
        </w:rPr>
      </w:pPr>
      <w:r w:rsidRPr="00F3439A">
        <w:rPr>
          <w:i/>
          <w:iCs/>
          <w:lang w:val="sr-Latn-ME"/>
        </w:rPr>
        <w:t>Pedijatrijska populacija</w:t>
      </w:r>
    </w:p>
    <w:p w14:paraId="6967466F" w14:textId="2A85288D" w:rsidR="00B3417A" w:rsidRPr="00F3439A" w:rsidRDefault="00B3417A" w:rsidP="005F54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F3439A">
        <w:rPr>
          <w:sz w:val="22"/>
          <w:szCs w:val="22"/>
          <w:lang w:val="sr-Latn-ME"/>
        </w:rPr>
        <w:t>Farmakokinetika</w:t>
      </w:r>
      <w:proofErr w:type="spellEnd"/>
      <w:r w:rsidRPr="00F3439A">
        <w:rPr>
          <w:sz w:val="22"/>
          <w:szCs w:val="22"/>
          <w:lang w:val="sr-Latn-ME"/>
        </w:rPr>
        <w:t xml:space="preserve"> </w:t>
      </w:r>
      <w:proofErr w:type="spellStart"/>
      <w:r w:rsidRPr="00F3439A">
        <w:rPr>
          <w:sz w:val="22"/>
          <w:szCs w:val="22"/>
          <w:lang w:val="sr-Latn-ME"/>
        </w:rPr>
        <w:t>ikatibanta</w:t>
      </w:r>
      <w:proofErr w:type="spellEnd"/>
      <w:r w:rsidRPr="00F3439A">
        <w:rPr>
          <w:sz w:val="22"/>
          <w:szCs w:val="22"/>
          <w:lang w:val="sr-Latn-ME"/>
        </w:rPr>
        <w:t xml:space="preserve"> bila je proc</w:t>
      </w:r>
      <w:r w:rsidR="00CF7607">
        <w:rPr>
          <w:sz w:val="22"/>
          <w:szCs w:val="22"/>
          <w:lang w:val="sr-Latn-ME"/>
        </w:rPr>
        <w:t>i</w:t>
      </w:r>
      <w:r w:rsidR="00475FCF" w:rsidRPr="00F3439A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 xml:space="preserve">enjena kod pedijatrijskih pacijenata sa </w:t>
      </w:r>
      <w:proofErr w:type="spellStart"/>
      <w:r w:rsidRPr="00F3439A">
        <w:rPr>
          <w:sz w:val="22"/>
          <w:szCs w:val="22"/>
          <w:lang w:val="sr-Latn-ME"/>
        </w:rPr>
        <w:t>nasl</w:t>
      </w:r>
      <w:r w:rsidR="00690EF0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>ednim</w:t>
      </w:r>
      <w:proofErr w:type="spellEnd"/>
      <w:r w:rsidRPr="00F3439A">
        <w:rPr>
          <w:sz w:val="22"/>
          <w:szCs w:val="22"/>
          <w:lang w:val="sr-Latn-ME"/>
        </w:rPr>
        <w:t xml:space="preserve"> </w:t>
      </w:r>
      <w:proofErr w:type="spellStart"/>
      <w:r w:rsidRPr="00F3439A">
        <w:rPr>
          <w:sz w:val="22"/>
          <w:szCs w:val="22"/>
          <w:lang w:val="sr-Latn-ME"/>
        </w:rPr>
        <w:t>angioedemom</w:t>
      </w:r>
      <w:proofErr w:type="spellEnd"/>
      <w:r w:rsidRPr="00F3439A">
        <w:rPr>
          <w:sz w:val="22"/>
          <w:szCs w:val="22"/>
          <w:lang w:val="sr-Latn-ME"/>
        </w:rPr>
        <w:t xml:space="preserve"> u studiji HGT-FIR-086 (vid</w:t>
      </w:r>
      <w:r w:rsidR="00475FCF" w:rsidRPr="00F3439A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>eti od</w:t>
      </w:r>
      <w:r w:rsidR="00475FCF" w:rsidRPr="00F3439A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 xml:space="preserve">eljak 5.1). Nakon jedne </w:t>
      </w:r>
      <w:proofErr w:type="spellStart"/>
      <w:r w:rsidRPr="00F3439A">
        <w:rPr>
          <w:sz w:val="22"/>
          <w:szCs w:val="22"/>
          <w:lang w:val="sr-Latn-ME"/>
        </w:rPr>
        <w:t>su</w:t>
      </w:r>
      <w:r w:rsidR="00492C60">
        <w:rPr>
          <w:sz w:val="22"/>
          <w:szCs w:val="22"/>
          <w:lang w:val="sr-Latn-ME"/>
        </w:rPr>
        <w:t>b</w:t>
      </w:r>
      <w:r w:rsidRPr="00F3439A">
        <w:rPr>
          <w:sz w:val="22"/>
          <w:szCs w:val="22"/>
          <w:lang w:val="sr-Latn-ME"/>
        </w:rPr>
        <w:t>kutane</w:t>
      </w:r>
      <w:proofErr w:type="spellEnd"/>
      <w:r w:rsidRPr="00F3439A">
        <w:rPr>
          <w:sz w:val="22"/>
          <w:szCs w:val="22"/>
          <w:lang w:val="sr-Latn-ME"/>
        </w:rPr>
        <w:t xml:space="preserve"> prim</w:t>
      </w:r>
      <w:r w:rsidR="00475FCF" w:rsidRPr="00F3439A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>ene (0,4 mg/kg do najviše 30 mg), vr</w:t>
      </w:r>
      <w:r w:rsidR="00475FCF" w:rsidRPr="00F3439A">
        <w:rPr>
          <w:sz w:val="22"/>
          <w:szCs w:val="22"/>
          <w:lang w:val="sr-Latn-ME"/>
        </w:rPr>
        <w:t>ij</w:t>
      </w:r>
      <w:r w:rsidRPr="00F3439A">
        <w:rPr>
          <w:sz w:val="22"/>
          <w:szCs w:val="22"/>
          <w:lang w:val="sr-Latn-ME"/>
        </w:rPr>
        <w:t>eme do maksimalne koncentracije približno je 30 minuta, a terminalno poluvr</w:t>
      </w:r>
      <w:r w:rsidR="00475FCF" w:rsidRPr="00F3439A">
        <w:rPr>
          <w:sz w:val="22"/>
          <w:szCs w:val="22"/>
          <w:lang w:val="sr-Latn-ME"/>
        </w:rPr>
        <w:t>ij</w:t>
      </w:r>
      <w:r w:rsidRPr="00F3439A">
        <w:rPr>
          <w:sz w:val="22"/>
          <w:szCs w:val="22"/>
          <w:lang w:val="sr-Latn-ME"/>
        </w:rPr>
        <w:t xml:space="preserve">eme eliminacije je približno 2 časa. Nema zapaženih razlika u izloženosti </w:t>
      </w:r>
      <w:proofErr w:type="spellStart"/>
      <w:r w:rsidRPr="00F3439A">
        <w:rPr>
          <w:sz w:val="22"/>
          <w:szCs w:val="22"/>
          <w:lang w:val="sr-Latn-ME"/>
        </w:rPr>
        <w:t>ikatibantu</w:t>
      </w:r>
      <w:proofErr w:type="spellEnd"/>
      <w:r w:rsidRPr="00F3439A">
        <w:rPr>
          <w:sz w:val="22"/>
          <w:szCs w:val="22"/>
          <w:lang w:val="sr-Latn-ME"/>
        </w:rPr>
        <w:t xml:space="preserve"> između pacijenata s </w:t>
      </w:r>
      <w:proofErr w:type="spellStart"/>
      <w:r w:rsidRPr="00F3439A">
        <w:rPr>
          <w:sz w:val="22"/>
          <w:szCs w:val="22"/>
          <w:lang w:val="sr-Latn-ME"/>
        </w:rPr>
        <w:t>nasl</w:t>
      </w:r>
      <w:r w:rsidR="00690EF0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>ednim</w:t>
      </w:r>
      <w:proofErr w:type="spellEnd"/>
      <w:r w:rsidRPr="00F3439A">
        <w:rPr>
          <w:sz w:val="22"/>
          <w:szCs w:val="22"/>
          <w:lang w:val="sr-Latn-ME"/>
        </w:rPr>
        <w:t xml:space="preserve"> </w:t>
      </w:r>
      <w:proofErr w:type="spellStart"/>
      <w:r w:rsidRPr="00F3439A">
        <w:rPr>
          <w:sz w:val="22"/>
          <w:szCs w:val="22"/>
          <w:lang w:val="sr-Latn-ME"/>
        </w:rPr>
        <w:t>angioedemom</w:t>
      </w:r>
      <w:proofErr w:type="spellEnd"/>
      <w:r w:rsidRPr="00F3439A">
        <w:rPr>
          <w:sz w:val="22"/>
          <w:szCs w:val="22"/>
          <w:lang w:val="sr-Latn-ME"/>
        </w:rPr>
        <w:t xml:space="preserve"> sa ili bez napada. </w:t>
      </w:r>
      <w:proofErr w:type="spellStart"/>
      <w:r w:rsidRPr="00F3439A">
        <w:rPr>
          <w:sz w:val="22"/>
          <w:szCs w:val="22"/>
          <w:lang w:val="sr-Latn-ME"/>
        </w:rPr>
        <w:t>Populacijsko</w:t>
      </w:r>
      <w:proofErr w:type="spellEnd"/>
      <w:r w:rsidRPr="00F3439A">
        <w:rPr>
          <w:sz w:val="22"/>
          <w:szCs w:val="22"/>
          <w:lang w:val="sr-Latn-ME"/>
        </w:rPr>
        <w:t xml:space="preserve"> </w:t>
      </w:r>
      <w:proofErr w:type="spellStart"/>
      <w:r w:rsidRPr="00F3439A">
        <w:rPr>
          <w:sz w:val="22"/>
          <w:szCs w:val="22"/>
          <w:lang w:val="sr-Latn-ME"/>
        </w:rPr>
        <w:t>farmakokinetičko</w:t>
      </w:r>
      <w:proofErr w:type="spellEnd"/>
      <w:r w:rsidRPr="00F3439A">
        <w:rPr>
          <w:sz w:val="22"/>
          <w:szCs w:val="22"/>
          <w:lang w:val="sr-Latn-ME"/>
        </w:rPr>
        <w:t xml:space="preserve"> modeliranje, koristeći podatke iz odrasle i pedijatrijske populacije, pokazalo je da je </w:t>
      </w:r>
      <w:proofErr w:type="spellStart"/>
      <w:r w:rsidRPr="00F3439A">
        <w:rPr>
          <w:sz w:val="22"/>
          <w:szCs w:val="22"/>
          <w:lang w:val="sr-Latn-ME"/>
        </w:rPr>
        <w:t>klirens</w:t>
      </w:r>
      <w:proofErr w:type="spellEnd"/>
      <w:r w:rsidRPr="00F3439A">
        <w:rPr>
          <w:sz w:val="22"/>
          <w:szCs w:val="22"/>
          <w:lang w:val="sr-Latn-ME"/>
        </w:rPr>
        <w:t xml:space="preserve"> </w:t>
      </w:r>
      <w:proofErr w:type="spellStart"/>
      <w:r w:rsidRPr="00F3439A">
        <w:rPr>
          <w:sz w:val="22"/>
          <w:szCs w:val="22"/>
          <w:lang w:val="sr-Latn-ME"/>
        </w:rPr>
        <w:t>ikatibanta</w:t>
      </w:r>
      <w:proofErr w:type="spellEnd"/>
      <w:r w:rsidRPr="00F3439A">
        <w:rPr>
          <w:sz w:val="22"/>
          <w:szCs w:val="22"/>
          <w:lang w:val="sr-Latn-ME"/>
        </w:rPr>
        <w:t xml:space="preserve"> povezan sa </w:t>
      </w:r>
      <w:r w:rsidRPr="00F3439A">
        <w:rPr>
          <w:sz w:val="22"/>
          <w:szCs w:val="22"/>
          <w:lang w:val="sr-Latn-ME"/>
        </w:rPr>
        <w:lastRenderedPageBreak/>
        <w:t>t</w:t>
      </w:r>
      <w:r w:rsidR="00475FCF" w:rsidRPr="00F3439A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 xml:space="preserve">elesnom masom, a niže </w:t>
      </w:r>
      <w:r w:rsidR="00475FCF" w:rsidRPr="00F3439A">
        <w:rPr>
          <w:sz w:val="22"/>
          <w:szCs w:val="22"/>
          <w:lang w:val="sr-Latn-ME"/>
        </w:rPr>
        <w:t xml:space="preserve">vrijednosti </w:t>
      </w:r>
      <w:r w:rsidRPr="00F3439A">
        <w:rPr>
          <w:sz w:val="22"/>
          <w:szCs w:val="22"/>
          <w:lang w:val="sr-Latn-ME"/>
        </w:rPr>
        <w:t xml:space="preserve"> </w:t>
      </w:r>
      <w:proofErr w:type="spellStart"/>
      <w:r w:rsidRPr="00F3439A">
        <w:rPr>
          <w:sz w:val="22"/>
          <w:szCs w:val="22"/>
          <w:lang w:val="sr-Latn-ME"/>
        </w:rPr>
        <w:t>klirensa</w:t>
      </w:r>
      <w:proofErr w:type="spellEnd"/>
      <w:r w:rsidRPr="00F3439A">
        <w:rPr>
          <w:sz w:val="22"/>
          <w:szCs w:val="22"/>
          <w:lang w:val="sr-Latn-ME"/>
        </w:rPr>
        <w:t xml:space="preserve"> zab</w:t>
      </w:r>
      <w:r w:rsidR="00475FCF" w:rsidRPr="00F3439A">
        <w:rPr>
          <w:sz w:val="22"/>
          <w:szCs w:val="22"/>
          <w:lang w:val="sr-Latn-ME"/>
        </w:rPr>
        <w:t>i</w:t>
      </w:r>
      <w:r w:rsidRPr="00F3439A">
        <w:rPr>
          <w:sz w:val="22"/>
          <w:szCs w:val="22"/>
          <w:lang w:val="sr-Latn-ME"/>
        </w:rPr>
        <w:t>l</w:t>
      </w:r>
      <w:r w:rsidR="00475FCF" w:rsidRPr="00F3439A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>ežene su kod manje t</w:t>
      </w:r>
      <w:r w:rsidR="00475FCF" w:rsidRPr="00F3439A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 xml:space="preserve">elesne mase u pedijatrijskoj populaciji sa </w:t>
      </w:r>
      <w:proofErr w:type="spellStart"/>
      <w:r w:rsidRPr="00F3439A">
        <w:rPr>
          <w:sz w:val="22"/>
          <w:szCs w:val="22"/>
          <w:lang w:val="sr-Latn-ME"/>
        </w:rPr>
        <w:t>nasl</w:t>
      </w:r>
      <w:r w:rsidR="00690EF0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>ednim</w:t>
      </w:r>
      <w:proofErr w:type="spellEnd"/>
      <w:r w:rsidRPr="00F3439A">
        <w:rPr>
          <w:sz w:val="22"/>
          <w:szCs w:val="22"/>
          <w:lang w:val="sr-Latn-ME"/>
        </w:rPr>
        <w:t xml:space="preserve"> </w:t>
      </w:r>
      <w:proofErr w:type="spellStart"/>
      <w:r w:rsidRPr="00F3439A">
        <w:rPr>
          <w:sz w:val="22"/>
          <w:szCs w:val="22"/>
          <w:lang w:val="sr-Latn-ME"/>
        </w:rPr>
        <w:t>angioedemom</w:t>
      </w:r>
      <w:proofErr w:type="spellEnd"/>
      <w:r w:rsidRPr="00F3439A">
        <w:rPr>
          <w:sz w:val="22"/>
          <w:szCs w:val="22"/>
          <w:lang w:val="sr-Latn-ME"/>
        </w:rPr>
        <w:t>. Na temelju modeliranja za doziranje prema skupinama t</w:t>
      </w:r>
      <w:r w:rsidR="00475FCF" w:rsidRPr="00F3439A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 xml:space="preserve">elesne mase, predviđena izloženost </w:t>
      </w:r>
      <w:proofErr w:type="spellStart"/>
      <w:r w:rsidRPr="00F3439A">
        <w:rPr>
          <w:sz w:val="22"/>
          <w:szCs w:val="22"/>
          <w:lang w:val="sr-Latn-ME"/>
        </w:rPr>
        <w:t>ikatibantu</w:t>
      </w:r>
      <w:proofErr w:type="spellEnd"/>
      <w:r w:rsidRPr="00F3439A">
        <w:rPr>
          <w:sz w:val="22"/>
          <w:szCs w:val="22"/>
          <w:lang w:val="sr-Latn-ME"/>
        </w:rPr>
        <w:t xml:space="preserve"> u pedijatrijskoj populaciji sa </w:t>
      </w:r>
      <w:proofErr w:type="spellStart"/>
      <w:r w:rsidRPr="00F3439A">
        <w:rPr>
          <w:sz w:val="22"/>
          <w:szCs w:val="22"/>
          <w:lang w:val="sr-Latn-ME"/>
        </w:rPr>
        <w:t>nasl</w:t>
      </w:r>
      <w:r w:rsidR="00690EF0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>ednim</w:t>
      </w:r>
      <w:proofErr w:type="spellEnd"/>
      <w:r w:rsidRPr="00F3439A">
        <w:rPr>
          <w:sz w:val="22"/>
          <w:szCs w:val="22"/>
          <w:lang w:val="sr-Latn-ME"/>
        </w:rPr>
        <w:t xml:space="preserve"> </w:t>
      </w:r>
      <w:proofErr w:type="spellStart"/>
      <w:r w:rsidRPr="00F3439A">
        <w:rPr>
          <w:sz w:val="22"/>
          <w:szCs w:val="22"/>
          <w:lang w:val="sr-Latn-ME"/>
        </w:rPr>
        <w:t>angioedemom</w:t>
      </w:r>
      <w:proofErr w:type="spellEnd"/>
      <w:r w:rsidRPr="00F3439A">
        <w:rPr>
          <w:sz w:val="22"/>
          <w:szCs w:val="22"/>
          <w:lang w:val="sr-Latn-ME"/>
        </w:rPr>
        <w:t xml:space="preserve"> (vid</w:t>
      </w:r>
      <w:r w:rsidR="00475FCF" w:rsidRPr="00F3439A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>eti od</w:t>
      </w:r>
      <w:r w:rsidR="00475FCF" w:rsidRPr="00F3439A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 xml:space="preserve">eljak 4.2) niža je od opažene izloženosti u studijama koje su </w:t>
      </w:r>
      <w:r w:rsidR="000E1C23">
        <w:rPr>
          <w:sz w:val="22"/>
          <w:szCs w:val="22"/>
          <w:lang w:val="sr-Latn-ME"/>
        </w:rPr>
        <w:t>s</w:t>
      </w:r>
      <w:r w:rsidRPr="00F3439A">
        <w:rPr>
          <w:sz w:val="22"/>
          <w:szCs w:val="22"/>
          <w:lang w:val="sr-Latn-ME"/>
        </w:rPr>
        <w:t xml:space="preserve">provedene kod odraslih pacijenata sa </w:t>
      </w:r>
      <w:proofErr w:type="spellStart"/>
      <w:r w:rsidRPr="00F3439A">
        <w:rPr>
          <w:sz w:val="22"/>
          <w:szCs w:val="22"/>
          <w:lang w:val="sr-Latn-ME"/>
        </w:rPr>
        <w:t>nasl</w:t>
      </w:r>
      <w:r w:rsidR="00690EF0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>ednim</w:t>
      </w:r>
      <w:proofErr w:type="spellEnd"/>
      <w:r w:rsidRPr="00F3439A">
        <w:rPr>
          <w:sz w:val="22"/>
          <w:szCs w:val="22"/>
          <w:lang w:val="sr-Latn-ME"/>
        </w:rPr>
        <w:t xml:space="preserve"> </w:t>
      </w:r>
      <w:proofErr w:type="spellStart"/>
      <w:r w:rsidRPr="00F3439A">
        <w:rPr>
          <w:sz w:val="22"/>
          <w:szCs w:val="22"/>
          <w:lang w:val="sr-Latn-ME"/>
        </w:rPr>
        <w:t>angioedemom</w:t>
      </w:r>
      <w:proofErr w:type="spellEnd"/>
      <w:r w:rsidRPr="00F3439A">
        <w:rPr>
          <w:sz w:val="22"/>
          <w:szCs w:val="22"/>
          <w:lang w:val="sr-Latn-ME"/>
        </w:rPr>
        <w:t>.</w:t>
      </w:r>
    </w:p>
    <w:p w14:paraId="3A05FCBF" w14:textId="77777777" w:rsidR="00B3417A" w:rsidRPr="00F3439A" w:rsidRDefault="00B3417A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2BDFEDC" w14:textId="77777777" w:rsidR="0072020E" w:rsidRPr="00F3439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3439A">
        <w:rPr>
          <w:b/>
          <w:bCs/>
          <w:sz w:val="22"/>
          <w:szCs w:val="22"/>
          <w:lang w:val="sr-Latn-ME"/>
        </w:rPr>
        <w:t xml:space="preserve">5.3. </w:t>
      </w:r>
      <w:r w:rsidR="00480FB1" w:rsidRPr="00F3439A">
        <w:rPr>
          <w:b/>
          <w:bCs/>
          <w:sz w:val="22"/>
          <w:szCs w:val="22"/>
          <w:lang w:val="sr-Latn-ME"/>
        </w:rPr>
        <w:tab/>
      </w:r>
      <w:proofErr w:type="spellStart"/>
      <w:r w:rsidRPr="00F3439A">
        <w:rPr>
          <w:b/>
          <w:bCs/>
          <w:sz w:val="22"/>
          <w:szCs w:val="22"/>
          <w:lang w:val="sr-Latn-ME"/>
        </w:rPr>
        <w:t>Pretklinički</w:t>
      </w:r>
      <w:proofErr w:type="spellEnd"/>
      <w:r w:rsidRPr="00F3439A">
        <w:rPr>
          <w:b/>
          <w:bCs/>
          <w:sz w:val="22"/>
          <w:szCs w:val="22"/>
          <w:lang w:val="sr-Latn-ME"/>
        </w:rPr>
        <w:t xml:space="preserve"> podaci o bezbjednosti </w:t>
      </w:r>
    </w:p>
    <w:p w14:paraId="1DE6FEBD" w14:textId="77777777" w:rsidR="00836B35" w:rsidRPr="00F3439A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1C750B5" w14:textId="08D1844F" w:rsidR="0080293B" w:rsidRPr="00F3439A" w:rsidRDefault="0080293B" w:rsidP="005F546A">
      <w:pPr>
        <w:jc w:val="both"/>
        <w:rPr>
          <w:sz w:val="22"/>
          <w:szCs w:val="22"/>
          <w:lang w:val="sr-Latn-ME"/>
        </w:rPr>
      </w:pPr>
      <w:r w:rsidRPr="00F3439A">
        <w:rPr>
          <w:sz w:val="22"/>
          <w:szCs w:val="22"/>
          <w:lang w:val="sr-Latn-ME"/>
        </w:rPr>
        <w:t>Sprovedene su studije ponovljenih doza u trajanju do 6 m</w:t>
      </w:r>
      <w:r w:rsidR="00B07EB7" w:rsidRPr="00F3439A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>eseci kod pacova i 9 m</w:t>
      </w:r>
      <w:r w:rsidR="00B07EB7" w:rsidRPr="00F3439A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 xml:space="preserve">eseci kod pasa. I kod pacova i kod pasa postojalo je smanjenje koncentracije </w:t>
      </w:r>
      <w:proofErr w:type="spellStart"/>
      <w:r w:rsidRPr="00F3439A">
        <w:rPr>
          <w:sz w:val="22"/>
          <w:szCs w:val="22"/>
          <w:lang w:val="sr-Latn-ME"/>
        </w:rPr>
        <w:t>cirkulišućih</w:t>
      </w:r>
      <w:proofErr w:type="spellEnd"/>
      <w:r w:rsidRPr="00F3439A">
        <w:rPr>
          <w:sz w:val="22"/>
          <w:szCs w:val="22"/>
          <w:lang w:val="sr-Latn-ME"/>
        </w:rPr>
        <w:t xml:space="preserve"> polnih hormona u zavisnosti od doze, pa je ponovljena prim</w:t>
      </w:r>
      <w:r w:rsidR="00B07EB7" w:rsidRPr="00F3439A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 xml:space="preserve">ena </w:t>
      </w:r>
      <w:proofErr w:type="spellStart"/>
      <w:r w:rsidRPr="00F3439A">
        <w:rPr>
          <w:sz w:val="22"/>
          <w:szCs w:val="22"/>
          <w:lang w:val="sr-Latn-ME"/>
        </w:rPr>
        <w:t>ikatibanta</w:t>
      </w:r>
      <w:proofErr w:type="spellEnd"/>
      <w:r w:rsidRPr="00F3439A">
        <w:rPr>
          <w:sz w:val="22"/>
          <w:szCs w:val="22"/>
          <w:lang w:val="sr-Latn-ME"/>
        </w:rPr>
        <w:t xml:space="preserve"> </w:t>
      </w:r>
      <w:proofErr w:type="spellStart"/>
      <w:r w:rsidRPr="00F3439A">
        <w:rPr>
          <w:sz w:val="22"/>
          <w:szCs w:val="22"/>
          <w:lang w:val="sr-Latn-ME"/>
        </w:rPr>
        <w:t>reverzibilno</w:t>
      </w:r>
      <w:proofErr w:type="spellEnd"/>
      <w:r w:rsidRPr="00F3439A">
        <w:rPr>
          <w:sz w:val="22"/>
          <w:szCs w:val="22"/>
          <w:lang w:val="sr-Latn-ME"/>
        </w:rPr>
        <w:t xml:space="preserve"> odlagala polno sazr</w:t>
      </w:r>
      <w:r w:rsidR="00CF7607">
        <w:rPr>
          <w:sz w:val="22"/>
          <w:szCs w:val="22"/>
          <w:lang w:val="sr-Latn-ME"/>
        </w:rPr>
        <w:t>ij</w:t>
      </w:r>
      <w:r w:rsidRPr="00F3439A">
        <w:rPr>
          <w:sz w:val="22"/>
          <w:szCs w:val="22"/>
          <w:lang w:val="sr-Latn-ME"/>
        </w:rPr>
        <w:t>evanje.</w:t>
      </w:r>
    </w:p>
    <w:p w14:paraId="16700480" w14:textId="77777777" w:rsidR="0080293B" w:rsidRPr="00F3439A" w:rsidRDefault="0080293B" w:rsidP="005F546A">
      <w:pPr>
        <w:jc w:val="both"/>
        <w:rPr>
          <w:sz w:val="22"/>
          <w:szCs w:val="22"/>
          <w:lang w:val="sr-Latn-ME"/>
        </w:rPr>
      </w:pPr>
    </w:p>
    <w:p w14:paraId="626966AF" w14:textId="11339164" w:rsidR="0080293B" w:rsidRPr="00F3439A" w:rsidRDefault="0080293B" w:rsidP="005F546A">
      <w:pPr>
        <w:jc w:val="both"/>
        <w:rPr>
          <w:sz w:val="22"/>
          <w:szCs w:val="22"/>
          <w:lang w:val="sr-Latn-ME"/>
        </w:rPr>
      </w:pPr>
      <w:r w:rsidRPr="00F3439A">
        <w:rPr>
          <w:sz w:val="22"/>
          <w:szCs w:val="22"/>
          <w:lang w:val="sr-Latn-ME"/>
        </w:rPr>
        <w:t>Maksimalne dnevne izloženosti definisane pomoću površine ispod krive-PIK (</w:t>
      </w:r>
      <w:proofErr w:type="spellStart"/>
      <w:r w:rsidRPr="00F3439A">
        <w:rPr>
          <w:sz w:val="22"/>
          <w:szCs w:val="22"/>
          <w:lang w:val="sr-Latn-ME"/>
        </w:rPr>
        <w:t>eng</w:t>
      </w:r>
      <w:proofErr w:type="spellEnd"/>
      <w:r w:rsidRPr="00F3439A">
        <w:rPr>
          <w:sz w:val="22"/>
          <w:szCs w:val="22"/>
          <w:lang w:val="sr-Latn-ME"/>
        </w:rPr>
        <w:t xml:space="preserve">. area </w:t>
      </w:r>
      <w:proofErr w:type="spellStart"/>
      <w:r w:rsidRPr="00F3439A">
        <w:rPr>
          <w:sz w:val="22"/>
          <w:szCs w:val="22"/>
          <w:lang w:val="sr-Latn-ME"/>
        </w:rPr>
        <w:t>under</w:t>
      </w:r>
      <w:proofErr w:type="spellEnd"/>
      <w:r w:rsidRPr="00F3439A">
        <w:rPr>
          <w:sz w:val="22"/>
          <w:szCs w:val="22"/>
          <w:lang w:val="sr-Latn-ME"/>
        </w:rPr>
        <w:t xml:space="preserve"> </w:t>
      </w:r>
      <w:proofErr w:type="spellStart"/>
      <w:r w:rsidRPr="00F3439A">
        <w:rPr>
          <w:sz w:val="22"/>
          <w:szCs w:val="22"/>
          <w:lang w:val="sr-Latn-ME"/>
        </w:rPr>
        <w:t>the</w:t>
      </w:r>
      <w:proofErr w:type="spellEnd"/>
      <w:r w:rsidRPr="00F3439A">
        <w:rPr>
          <w:sz w:val="22"/>
          <w:szCs w:val="22"/>
          <w:lang w:val="sr-Latn-ME"/>
        </w:rPr>
        <w:t xml:space="preserve"> </w:t>
      </w:r>
      <w:proofErr w:type="spellStart"/>
      <w:r w:rsidRPr="00F3439A">
        <w:rPr>
          <w:sz w:val="22"/>
          <w:szCs w:val="22"/>
          <w:lang w:val="sr-Latn-ME"/>
        </w:rPr>
        <w:t>curve</w:t>
      </w:r>
      <w:proofErr w:type="spellEnd"/>
      <w:r w:rsidRPr="00F3439A">
        <w:rPr>
          <w:sz w:val="22"/>
          <w:szCs w:val="22"/>
          <w:lang w:val="sr-Latn-ME"/>
        </w:rPr>
        <w:t xml:space="preserve">, </w:t>
      </w:r>
      <w:proofErr w:type="spellStart"/>
      <w:r w:rsidRPr="00F3439A">
        <w:rPr>
          <w:sz w:val="22"/>
          <w:szCs w:val="22"/>
          <w:lang w:val="sr-Latn-ME"/>
        </w:rPr>
        <w:t>AUC</w:t>
      </w:r>
      <w:proofErr w:type="spellEnd"/>
      <w:r w:rsidRPr="00F3439A">
        <w:rPr>
          <w:sz w:val="22"/>
          <w:szCs w:val="22"/>
          <w:lang w:val="sr-Latn-ME"/>
        </w:rPr>
        <w:t>) na nivou na kojem ni</w:t>
      </w:r>
      <w:r w:rsidR="00B07EB7" w:rsidRPr="00F3439A">
        <w:rPr>
          <w:sz w:val="22"/>
          <w:szCs w:val="22"/>
          <w:lang w:val="sr-Latn-ME"/>
        </w:rPr>
        <w:t>je</w:t>
      </w:r>
      <w:r w:rsidRPr="00F3439A">
        <w:rPr>
          <w:sz w:val="22"/>
          <w:szCs w:val="22"/>
          <w:lang w:val="sr-Latn-ME"/>
        </w:rPr>
        <w:t>su prim</w:t>
      </w:r>
      <w:r w:rsidR="00B07EB7" w:rsidRPr="00F3439A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 xml:space="preserve">ećena neželjena dejstva (engl. No </w:t>
      </w:r>
      <w:proofErr w:type="spellStart"/>
      <w:r w:rsidRPr="00F3439A">
        <w:rPr>
          <w:sz w:val="22"/>
          <w:szCs w:val="22"/>
          <w:lang w:val="sr-Latn-ME"/>
        </w:rPr>
        <w:t>Observed</w:t>
      </w:r>
      <w:proofErr w:type="spellEnd"/>
      <w:r w:rsidRPr="00F3439A">
        <w:rPr>
          <w:sz w:val="22"/>
          <w:szCs w:val="22"/>
          <w:lang w:val="sr-Latn-ME"/>
        </w:rPr>
        <w:t xml:space="preserve"> </w:t>
      </w:r>
      <w:proofErr w:type="spellStart"/>
      <w:r w:rsidRPr="00F3439A">
        <w:rPr>
          <w:sz w:val="22"/>
          <w:szCs w:val="22"/>
          <w:lang w:val="sr-Latn-ME"/>
        </w:rPr>
        <w:t>Adverse</w:t>
      </w:r>
      <w:proofErr w:type="spellEnd"/>
      <w:r w:rsidRPr="00F3439A">
        <w:rPr>
          <w:sz w:val="22"/>
          <w:szCs w:val="22"/>
          <w:lang w:val="sr-Latn-ME"/>
        </w:rPr>
        <w:t xml:space="preserve"> </w:t>
      </w:r>
      <w:proofErr w:type="spellStart"/>
      <w:r w:rsidRPr="00F3439A">
        <w:rPr>
          <w:sz w:val="22"/>
          <w:szCs w:val="22"/>
          <w:lang w:val="sr-Latn-ME"/>
        </w:rPr>
        <w:t>Effect</w:t>
      </w:r>
      <w:proofErr w:type="spellEnd"/>
      <w:r w:rsidRPr="00F3439A">
        <w:rPr>
          <w:sz w:val="22"/>
          <w:szCs w:val="22"/>
          <w:lang w:val="sr-Latn-ME"/>
        </w:rPr>
        <w:t xml:space="preserve"> </w:t>
      </w:r>
      <w:proofErr w:type="spellStart"/>
      <w:r w:rsidRPr="00F3439A">
        <w:rPr>
          <w:sz w:val="22"/>
          <w:szCs w:val="22"/>
          <w:lang w:val="sr-Latn-ME"/>
        </w:rPr>
        <w:t>Levels</w:t>
      </w:r>
      <w:proofErr w:type="spellEnd"/>
      <w:r w:rsidRPr="00F3439A">
        <w:rPr>
          <w:sz w:val="22"/>
          <w:szCs w:val="22"/>
          <w:lang w:val="sr-Latn-ME"/>
        </w:rPr>
        <w:t>, NOAEL) u studiji na psima koja je trajala 9 m</w:t>
      </w:r>
      <w:r w:rsidR="00B07EB7" w:rsidRPr="00F3439A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 xml:space="preserve">eseci, bile su 2,3 puta PIK kod </w:t>
      </w:r>
      <w:proofErr w:type="spellStart"/>
      <w:r w:rsidRPr="00F3439A">
        <w:rPr>
          <w:sz w:val="22"/>
          <w:szCs w:val="22"/>
          <w:lang w:val="sr-Latn-ME"/>
        </w:rPr>
        <w:t>ljudi</w:t>
      </w:r>
      <w:proofErr w:type="spellEnd"/>
      <w:r w:rsidRPr="00F3439A">
        <w:rPr>
          <w:sz w:val="22"/>
          <w:szCs w:val="22"/>
          <w:lang w:val="sr-Latn-ME"/>
        </w:rPr>
        <w:t xml:space="preserve"> posl</w:t>
      </w:r>
      <w:r w:rsidR="00B07EB7" w:rsidRPr="00F3439A">
        <w:rPr>
          <w:sz w:val="22"/>
          <w:szCs w:val="22"/>
          <w:lang w:val="sr-Latn-ME"/>
        </w:rPr>
        <w:t>ij</w:t>
      </w:r>
      <w:r w:rsidRPr="00F3439A">
        <w:rPr>
          <w:sz w:val="22"/>
          <w:szCs w:val="22"/>
          <w:lang w:val="sr-Latn-ME"/>
        </w:rPr>
        <w:t>e potkožne prim</w:t>
      </w:r>
      <w:r w:rsidR="00B07EB7" w:rsidRPr="00F3439A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>ene doze od 30 mg. NOAEL nije bila m</w:t>
      </w:r>
      <w:r w:rsidR="00B07EB7" w:rsidRPr="00F3439A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>erljiva u studiji na pacovima, ali su svi podaci iz te studije pokazali ili potpuno ili d</w:t>
      </w:r>
      <w:r w:rsidR="00B07EB7" w:rsidRPr="00F3439A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 xml:space="preserve">elimično </w:t>
      </w:r>
      <w:proofErr w:type="spellStart"/>
      <w:r w:rsidRPr="00F3439A">
        <w:rPr>
          <w:sz w:val="22"/>
          <w:szCs w:val="22"/>
          <w:lang w:val="sr-Latn-ME"/>
        </w:rPr>
        <w:t>reverzibilne</w:t>
      </w:r>
      <w:proofErr w:type="spellEnd"/>
      <w:r w:rsidRPr="00F3439A">
        <w:rPr>
          <w:sz w:val="22"/>
          <w:szCs w:val="22"/>
          <w:lang w:val="sr-Latn-ME"/>
        </w:rPr>
        <w:t xml:space="preserve"> efekte na tretirane pacova. Pri svim dozama testiranim na pacovima, prim</w:t>
      </w:r>
      <w:r w:rsidR="00A21E4D">
        <w:rPr>
          <w:sz w:val="22"/>
          <w:szCs w:val="22"/>
          <w:lang w:val="sr-Latn-ME"/>
        </w:rPr>
        <w:t>i</w:t>
      </w:r>
      <w:r w:rsidR="00B07EB7" w:rsidRPr="00F3439A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>ećena je hipertrofija nadbubrežnih žl</w:t>
      </w:r>
      <w:r w:rsidR="00CF7607">
        <w:rPr>
          <w:sz w:val="22"/>
          <w:szCs w:val="22"/>
          <w:lang w:val="sr-Latn-ME"/>
        </w:rPr>
        <w:t>ij</w:t>
      </w:r>
      <w:r w:rsidRPr="00F3439A">
        <w:rPr>
          <w:sz w:val="22"/>
          <w:szCs w:val="22"/>
          <w:lang w:val="sr-Latn-ME"/>
        </w:rPr>
        <w:t>ezda. Hipertrofija nadbubrežnih žl</w:t>
      </w:r>
      <w:r w:rsidR="00CF7607">
        <w:rPr>
          <w:sz w:val="22"/>
          <w:szCs w:val="22"/>
          <w:lang w:val="sr-Latn-ME"/>
        </w:rPr>
        <w:t>ij</w:t>
      </w:r>
      <w:r w:rsidRPr="00F3439A">
        <w:rPr>
          <w:sz w:val="22"/>
          <w:szCs w:val="22"/>
          <w:lang w:val="sr-Latn-ME"/>
        </w:rPr>
        <w:t>ezda povlačila se posl</w:t>
      </w:r>
      <w:r w:rsidR="00B07EB7" w:rsidRPr="00F3439A">
        <w:rPr>
          <w:sz w:val="22"/>
          <w:szCs w:val="22"/>
          <w:lang w:val="sr-Latn-ME"/>
        </w:rPr>
        <w:t>ij</w:t>
      </w:r>
      <w:r w:rsidRPr="00F3439A">
        <w:rPr>
          <w:sz w:val="22"/>
          <w:szCs w:val="22"/>
          <w:lang w:val="sr-Latn-ME"/>
        </w:rPr>
        <w:t xml:space="preserve">e prestanka terapije </w:t>
      </w:r>
      <w:proofErr w:type="spellStart"/>
      <w:r w:rsidRPr="00F3439A">
        <w:rPr>
          <w:sz w:val="22"/>
          <w:szCs w:val="22"/>
          <w:lang w:val="sr-Latn-ME"/>
        </w:rPr>
        <w:t>ikatibantom</w:t>
      </w:r>
      <w:proofErr w:type="spellEnd"/>
      <w:r w:rsidRPr="00F3439A">
        <w:rPr>
          <w:sz w:val="22"/>
          <w:szCs w:val="22"/>
          <w:lang w:val="sr-Latn-ME"/>
        </w:rPr>
        <w:t>. Nije poznat klinički značaj ovih nalaza na nadbubrežnim žl</w:t>
      </w:r>
      <w:r w:rsidR="00CF7607">
        <w:rPr>
          <w:sz w:val="22"/>
          <w:szCs w:val="22"/>
          <w:lang w:val="sr-Latn-ME"/>
        </w:rPr>
        <w:t>ij</w:t>
      </w:r>
      <w:r w:rsidRPr="00F3439A">
        <w:rPr>
          <w:sz w:val="22"/>
          <w:szCs w:val="22"/>
          <w:lang w:val="sr-Latn-ME"/>
        </w:rPr>
        <w:t>ezdama.</w:t>
      </w:r>
    </w:p>
    <w:p w14:paraId="00952CA8" w14:textId="77777777" w:rsidR="0080293B" w:rsidRPr="00F3439A" w:rsidRDefault="0080293B" w:rsidP="005F546A">
      <w:pPr>
        <w:jc w:val="both"/>
        <w:rPr>
          <w:sz w:val="22"/>
          <w:szCs w:val="22"/>
          <w:lang w:val="sr-Latn-ME"/>
        </w:rPr>
      </w:pPr>
    </w:p>
    <w:p w14:paraId="75DEDDC7" w14:textId="77777777" w:rsidR="0080293B" w:rsidRPr="00F3439A" w:rsidRDefault="0080293B" w:rsidP="005F546A">
      <w:pPr>
        <w:jc w:val="both"/>
        <w:rPr>
          <w:sz w:val="22"/>
          <w:szCs w:val="22"/>
          <w:lang w:val="sr-Latn-ME"/>
        </w:rPr>
      </w:pPr>
      <w:proofErr w:type="spellStart"/>
      <w:r w:rsidRPr="00F3439A">
        <w:rPr>
          <w:sz w:val="22"/>
          <w:szCs w:val="22"/>
          <w:lang w:val="sr-Latn-ME"/>
        </w:rPr>
        <w:t>Ikatibant</w:t>
      </w:r>
      <w:proofErr w:type="spellEnd"/>
      <w:r w:rsidRPr="00F3439A">
        <w:rPr>
          <w:sz w:val="22"/>
          <w:szCs w:val="22"/>
          <w:lang w:val="sr-Latn-ME"/>
        </w:rPr>
        <w:t xml:space="preserve"> nije imao uticaj na plodnost mužjaka miševa (najveća doza od 80,8 mg/kg/dan) i pacova (najveća doza od 10 mg/kg/dan).</w:t>
      </w:r>
    </w:p>
    <w:p w14:paraId="01EF16B5" w14:textId="77777777" w:rsidR="0080293B" w:rsidRPr="00F3439A" w:rsidRDefault="0080293B" w:rsidP="005F546A">
      <w:pPr>
        <w:jc w:val="both"/>
        <w:rPr>
          <w:sz w:val="22"/>
          <w:szCs w:val="22"/>
          <w:lang w:val="sr-Latn-ME"/>
        </w:rPr>
      </w:pPr>
    </w:p>
    <w:p w14:paraId="4C46BCB3" w14:textId="51716E28" w:rsidR="0080293B" w:rsidRPr="00F3439A" w:rsidRDefault="0080293B" w:rsidP="005F546A">
      <w:pPr>
        <w:jc w:val="both"/>
        <w:rPr>
          <w:sz w:val="22"/>
          <w:szCs w:val="22"/>
          <w:lang w:val="sr-Latn-ME"/>
        </w:rPr>
      </w:pPr>
      <w:r w:rsidRPr="00F3439A">
        <w:rPr>
          <w:sz w:val="22"/>
          <w:szCs w:val="22"/>
          <w:lang w:val="sr-Latn-ME"/>
        </w:rPr>
        <w:t>U dvogodišnjem ispitivanju proc</w:t>
      </w:r>
      <w:r w:rsidR="00B07EB7" w:rsidRPr="00F3439A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 xml:space="preserve">ene </w:t>
      </w:r>
      <w:proofErr w:type="spellStart"/>
      <w:r w:rsidRPr="00F3439A">
        <w:rPr>
          <w:sz w:val="22"/>
          <w:szCs w:val="22"/>
          <w:lang w:val="sr-Latn-ME"/>
        </w:rPr>
        <w:t>karcinogenog</w:t>
      </w:r>
      <w:proofErr w:type="spellEnd"/>
      <w:r w:rsidRPr="00F3439A">
        <w:rPr>
          <w:sz w:val="22"/>
          <w:szCs w:val="22"/>
          <w:lang w:val="sr-Latn-ME"/>
        </w:rPr>
        <w:t xml:space="preserve"> potencijala </w:t>
      </w:r>
      <w:proofErr w:type="spellStart"/>
      <w:r w:rsidRPr="00F3439A">
        <w:rPr>
          <w:sz w:val="22"/>
          <w:szCs w:val="22"/>
          <w:lang w:val="sr-Latn-ME"/>
        </w:rPr>
        <w:t>ikatibanta</w:t>
      </w:r>
      <w:proofErr w:type="spellEnd"/>
      <w:r w:rsidRPr="00F3439A">
        <w:rPr>
          <w:sz w:val="22"/>
          <w:szCs w:val="22"/>
          <w:lang w:val="sr-Latn-ME"/>
        </w:rPr>
        <w:t xml:space="preserve"> kod pacova, dnevne doze koje su dovodile do približno dvostruko veće izloženosti od one koja se postiže prim</w:t>
      </w:r>
      <w:r w:rsidR="00B07EB7" w:rsidRPr="00F3439A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 xml:space="preserve">enom terapijskih doza kod </w:t>
      </w:r>
      <w:proofErr w:type="spellStart"/>
      <w:r w:rsidRPr="00F3439A">
        <w:rPr>
          <w:sz w:val="22"/>
          <w:szCs w:val="22"/>
          <w:lang w:val="sr-Latn-ME"/>
        </w:rPr>
        <w:t>ljudi</w:t>
      </w:r>
      <w:proofErr w:type="spellEnd"/>
      <w:r w:rsidRPr="00F3439A">
        <w:rPr>
          <w:sz w:val="22"/>
          <w:szCs w:val="22"/>
          <w:lang w:val="sr-Latn-ME"/>
        </w:rPr>
        <w:t xml:space="preserve">, nisu uticale na </w:t>
      </w:r>
      <w:proofErr w:type="spellStart"/>
      <w:r w:rsidRPr="00F3439A">
        <w:rPr>
          <w:sz w:val="22"/>
          <w:szCs w:val="22"/>
          <w:lang w:val="sr-Latn-ME"/>
        </w:rPr>
        <w:t>incidenciju</w:t>
      </w:r>
      <w:proofErr w:type="spellEnd"/>
      <w:r w:rsidRPr="00F3439A">
        <w:rPr>
          <w:sz w:val="22"/>
          <w:szCs w:val="22"/>
          <w:lang w:val="sr-Latn-ME"/>
        </w:rPr>
        <w:t xml:space="preserve"> ili morfologiju tumora. Rezultati ne ukazuju na </w:t>
      </w:r>
      <w:proofErr w:type="spellStart"/>
      <w:r w:rsidRPr="00F3439A">
        <w:rPr>
          <w:sz w:val="22"/>
          <w:szCs w:val="22"/>
          <w:lang w:val="sr-Latn-ME"/>
        </w:rPr>
        <w:t>karcinogeni</w:t>
      </w:r>
      <w:proofErr w:type="spellEnd"/>
      <w:r w:rsidRPr="00F3439A">
        <w:rPr>
          <w:sz w:val="22"/>
          <w:szCs w:val="22"/>
          <w:lang w:val="sr-Latn-ME"/>
        </w:rPr>
        <w:t xml:space="preserve"> potencijal.</w:t>
      </w:r>
    </w:p>
    <w:p w14:paraId="50C1F98B" w14:textId="77777777" w:rsidR="0080293B" w:rsidRPr="00F3439A" w:rsidRDefault="0080293B" w:rsidP="005F546A">
      <w:pPr>
        <w:jc w:val="both"/>
        <w:rPr>
          <w:sz w:val="22"/>
          <w:szCs w:val="22"/>
          <w:lang w:val="sr-Latn-ME"/>
        </w:rPr>
      </w:pPr>
    </w:p>
    <w:p w14:paraId="3C8F2429" w14:textId="77777777" w:rsidR="0080293B" w:rsidRPr="00F3439A" w:rsidRDefault="0080293B" w:rsidP="005F546A">
      <w:pPr>
        <w:jc w:val="both"/>
        <w:rPr>
          <w:sz w:val="22"/>
          <w:szCs w:val="22"/>
          <w:lang w:val="sr-Latn-ME"/>
        </w:rPr>
      </w:pPr>
      <w:r w:rsidRPr="00F3439A">
        <w:rPr>
          <w:sz w:val="22"/>
          <w:szCs w:val="22"/>
          <w:lang w:val="sr-Latn-ME"/>
        </w:rPr>
        <w:t xml:space="preserve">U standardnom skupu in </w:t>
      </w:r>
      <w:proofErr w:type="spellStart"/>
      <w:r w:rsidRPr="00F3439A">
        <w:rPr>
          <w:sz w:val="22"/>
          <w:szCs w:val="22"/>
          <w:lang w:val="sr-Latn-ME"/>
        </w:rPr>
        <w:t>vitro</w:t>
      </w:r>
      <w:proofErr w:type="spellEnd"/>
      <w:r w:rsidRPr="00F3439A">
        <w:rPr>
          <w:sz w:val="22"/>
          <w:szCs w:val="22"/>
          <w:lang w:val="sr-Latn-ME"/>
        </w:rPr>
        <w:t xml:space="preserve"> i in </w:t>
      </w:r>
      <w:proofErr w:type="spellStart"/>
      <w:r w:rsidRPr="00F3439A">
        <w:rPr>
          <w:sz w:val="22"/>
          <w:szCs w:val="22"/>
          <w:lang w:val="sr-Latn-ME"/>
        </w:rPr>
        <w:t>vivo</w:t>
      </w:r>
      <w:proofErr w:type="spellEnd"/>
      <w:r w:rsidRPr="00F3439A">
        <w:rPr>
          <w:sz w:val="22"/>
          <w:szCs w:val="22"/>
          <w:lang w:val="sr-Latn-ME"/>
        </w:rPr>
        <w:t xml:space="preserve"> testova, </w:t>
      </w:r>
      <w:proofErr w:type="spellStart"/>
      <w:r w:rsidRPr="00F3439A">
        <w:rPr>
          <w:sz w:val="22"/>
          <w:szCs w:val="22"/>
          <w:lang w:val="sr-Latn-ME"/>
        </w:rPr>
        <w:t>ikatibant</w:t>
      </w:r>
      <w:proofErr w:type="spellEnd"/>
      <w:r w:rsidRPr="00F3439A">
        <w:rPr>
          <w:sz w:val="22"/>
          <w:szCs w:val="22"/>
          <w:lang w:val="sr-Latn-ME"/>
        </w:rPr>
        <w:t xml:space="preserve"> nije bio </w:t>
      </w:r>
      <w:proofErr w:type="spellStart"/>
      <w:r w:rsidRPr="00F3439A">
        <w:rPr>
          <w:sz w:val="22"/>
          <w:szCs w:val="22"/>
          <w:lang w:val="sr-Latn-ME"/>
        </w:rPr>
        <w:t>genotoksičan</w:t>
      </w:r>
      <w:proofErr w:type="spellEnd"/>
      <w:r w:rsidRPr="00F3439A">
        <w:rPr>
          <w:sz w:val="22"/>
          <w:szCs w:val="22"/>
          <w:lang w:val="sr-Latn-ME"/>
        </w:rPr>
        <w:t>.</w:t>
      </w:r>
    </w:p>
    <w:p w14:paraId="5A6B0A7D" w14:textId="77777777" w:rsidR="0080293B" w:rsidRPr="00F3439A" w:rsidRDefault="0080293B" w:rsidP="005F546A">
      <w:pPr>
        <w:jc w:val="both"/>
        <w:rPr>
          <w:sz w:val="22"/>
          <w:szCs w:val="22"/>
          <w:lang w:val="sr-Latn-ME"/>
        </w:rPr>
      </w:pPr>
    </w:p>
    <w:p w14:paraId="577E5632" w14:textId="103E94E7" w:rsidR="0080293B" w:rsidRPr="00F3439A" w:rsidRDefault="0080293B" w:rsidP="005F546A">
      <w:pPr>
        <w:jc w:val="both"/>
        <w:rPr>
          <w:sz w:val="22"/>
          <w:szCs w:val="22"/>
          <w:lang w:val="sr-Latn-ME"/>
        </w:rPr>
      </w:pPr>
      <w:proofErr w:type="spellStart"/>
      <w:r w:rsidRPr="00F3439A">
        <w:rPr>
          <w:sz w:val="22"/>
          <w:szCs w:val="22"/>
          <w:lang w:val="sr-Latn-ME"/>
        </w:rPr>
        <w:t>Ikatibant</w:t>
      </w:r>
      <w:proofErr w:type="spellEnd"/>
      <w:r w:rsidRPr="00F3439A">
        <w:rPr>
          <w:sz w:val="22"/>
          <w:szCs w:val="22"/>
          <w:lang w:val="sr-Latn-ME"/>
        </w:rPr>
        <w:t xml:space="preserve"> nije bio </w:t>
      </w:r>
      <w:proofErr w:type="spellStart"/>
      <w:r w:rsidRPr="00F3439A">
        <w:rPr>
          <w:sz w:val="22"/>
          <w:szCs w:val="22"/>
          <w:lang w:val="sr-Latn-ME"/>
        </w:rPr>
        <w:t>teratogen</w:t>
      </w:r>
      <w:proofErr w:type="spellEnd"/>
      <w:r w:rsidRPr="00F3439A">
        <w:rPr>
          <w:sz w:val="22"/>
          <w:szCs w:val="22"/>
          <w:lang w:val="sr-Latn-ME"/>
        </w:rPr>
        <w:t xml:space="preserve"> pri potkožnoj prim</w:t>
      </w:r>
      <w:r w:rsidR="00B07EB7" w:rsidRPr="00F3439A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 xml:space="preserve">eni putem injekcija tokom ranog embrionalnog i </w:t>
      </w:r>
      <w:proofErr w:type="spellStart"/>
      <w:r w:rsidRPr="00F3439A">
        <w:rPr>
          <w:sz w:val="22"/>
          <w:szCs w:val="22"/>
          <w:lang w:val="sr-Latn-ME"/>
        </w:rPr>
        <w:t>fetalnog</w:t>
      </w:r>
      <w:proofErr w:type="spellEnd"/>
      <w:r w:rsidRPr="00F3439A">
        <w:rPr>
          <w:sz w:val="22"/>
          <w:szCs w:val="22"/>
          <w:lang w:val="sr-Latn-ME"/>
        </w:rPr>
        <w:t xml:space="preserve"> razvoja kod pacova (najveća doza od 25 mg/kg/dan) i kunića (najveća doza od 10 mg/kg/dan). </w:t>
      </w:r>
      <w:proofErr w:type="spellStart"/>
      <w:r w:rsidRPr="00F3439A">
        <w:rPr>
          <w:sz w:val="22"/>
          <w:szCs w:val="22"/>
          <w:lang w:val="sr-Latn-ME"/>
        </w:rPr>
        <w:t>Ikatibant</w:t>
      </w:r>
      <w:proofErr w:type="spellEnd"/>
      <w:r w:rsidRPr="00F3439A">
        <w:rPr>
          <w:sz w:val="22"/>
          <w:szCs w:val="22"/>
          <w:lang w:val="sr-Latn-ME"/>
        </w:rPr>
        <w:t xml:space="preserve"> je potentan antagonist </w:t>
      </w:r>
      <w:proofErr w:type="spellStart"/>
      <w:r w:rsidRPr="00F3439A">
        <w:rPr>
          <w:sz w:val="22"/>
          <w:szCs w:val="22"/>
          <w:lang w:val="sr-Latn-ME"/>
        </w:rPr>
        <w:t>bradikinina</w:t>
      </w:r>
      <w:proofErr w:type="spellEnd"/>
      <w:r w:rsidRPr="00F3439A">
        <w:rPr>
          <w:sz w:val="22"/>
          <w:szCs w:val="22"/>
          <w:lang w:val="sr-Latn-ME"/>
        </w:rPr>
        <w:t>, pa prema tome, pri visokim koncentracijama, l</w:t>
      </w:r>
      <w:r w:rsidR="00B07EB7" w:rsidRPr="00F3439A">
        <w:rPr>
          <w:sz w:val="22"/>
          <w:szCs w:val="22"/>
          <w:lang w:val="sr-Latn-ME"/>
        </w:rPr>
        <w:t>ij</w:t>
      </w:r>
      <w:r w:rsidRPr="00F3439A">
        <w:rPr>
          <w:sz w:val="22"/>
          <w:szCs w:val="22"/>
          <w:lang w:val="sr-Latn-ME"/>
        </w:rPr>
        <w:t xml:space="preserve">ečenje može imati uticaja na proces </w:t>
      </w:r>
      <w:proofErr w:type="spellStart"/>
      <w:r w:rsidRPr="00F3439A">
        <w:rPr>
          <w:sz w:val="22"/>
          <w:szCs w:val="22"/>
          <w:lang w:val="sr-Latn-ME"/>
        </w:rPr>
        <w:t>implantacije</w:t>
      </w:r>
      <w:proofErr w:type="spellEnd"/>
      <w:r w:rsidRPr="00F3439A">
        <w:rPr>
          <w:sz w:val="22"/>
          <w:szCs w:val="22"/>
          <w:lang w:val="sr-Latn-ME"/>
        </w:rPr>
        <w:t xml:space="preserve"> u materici i posl</w:t>
      </w:r>
      <w:r w:rsidR="00A21E4D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 xml:space="preserve">edičnu stabilnost materice u ranoj trudnoći. Ovi uticaji na matericu odražavaju se i u kasnoj trudnoći u kojoj </w:t>
      </w:r>
      <w:proofErr w:type="spellStart"/>
      <w:r w:rsidRPr="00F3439A">
        <w:rPr>
          <w:sz w:val="22"/>
          <w:szCs w:val="22"/>
          <w:lang w:val="sr-Latn-ME"/>
        </w:rPr>
        <w:t>ikatibant</w:t>
      </w:r>
      <w:proofErr w:type="spellEnd"/>
      <w:r w:rsidRPr="00F3439A">
        <w:rPr>
          <w:sz w:val="22"/>
          <w:szCs w:val="22"/>
          <w:lang w:val="sr-Latn-ME"/>
        </w:rPr>
        <w:t xml:space="preserve"> pokazuje </w:t>
      </w:r>
      <w:proofErr w:type="spellStart"/>
      <w:r w:rsidRPr="00F3439A">
        <w:rPr>
          <w:sz w:val="22"/>
          <w:szCs w:val="22"/>
          <w:lang w:val="sr-Latn-ME"/>
        </w:rPr>
        <w:t>tokolitički</w:t>
      </w:r>
      <w:proofErr w:type="spellEnd"/>
      <w:r w:rsidRPr="00F3439A">
        <w:rPr>
          <w:sz w:val="22"/>
          <w:szCs w:val="22"/>
          <w:lang w:val="sr-Latn-ME"/>
        </w:rPr>
        <w:t xml:space="preserve"> efekat koji dovodi do odloženog porođaja ženki pacova, sa povećanim </w:t>
      </w:r>
      <w:proofErr w:type="spellStart"/>
      <w:r w:rsidRPr="00F3439A">
        <w:rPr>
          <w:sz w:val="22"/>
          <w:szCs w:val="22"/>
          <w:lang w:val="sr-Latn-ME"/>
        </w:rPr>
        <w:t>fetalnim</w:t>
      </w:r>
      <w:proofErr w:type="spellEnd"/>
      <w:r w:rsidRPr="00F3439A">
        <w:rPr>
          <w:sz w:val="22"/>
          <w:szCs w:val="22"/>
          <w:lang w:val="sr-Latn-ME"/>
        </w:rPr>
        <w:t xml:space="preserve"> </w:t>
      </w:r>
      <w:proofErr w:type="spellStart"/>
      <w:r w:rsidRPr="00F3439A">
        <w:rPr>
          <w:sz w:val="22"/>
          <w:szCs w:val="22"/>
          <w:lang w:val="sr-Latn-ME"/>
        </w:rPr>
        <w:t>distresom</w:t>
      </w:r>
      <w:proofErr w:type="spellEnd"/>
      <w:r w:rsidRPr="00F3439A">
        <w:rPr>
          <w:sz w:val="22"/>
          <w:szCs w:val="22"/>
          <w:lang w:val="sr-Latn-ME"/>
        </w:rPr>
        <w:t xml:space="preserve"> i </w:t>
      </w:r>
      <w:proofErr w:type="spellStart"/>
      <w:r w:rsidRPr="00F3439A">
        <w:rPr>
          <w:sz w:val="22"/>
          <w:szCs w:val="22"/>
          <w:lang w:val="sr-Latn-ME"/>
        </w:rPr>
        <w:t>perinatalnom</w:t>
      </w:r>
      <w:proofErr w:type="spellEnd"/>
      <w:r w:rsidRPr="00F3439A">
        <w:rPr>
          <w:sz w:val="22"/>
          <w:szCs w:val="22"/>
          <w:lang w:val="sr-Latn-ME"/>
        </w:rPr>
        <w:t xml:space="preserve"> smrtnosti pri visokim dozama (10 mg/kg/dan).</w:t>
      </w:r>
    </w:p>
    <w:p w14:paraId="24BD8E83" w14:textId="77777777" w:rsidR="0080293B" w:rsidRPr="00F3439A" w:rsidRDefault="0080293B" w:rsidP="005F546A">
      <w:pPr>
        <w:jc w:val="both"/>
        <w:rPr>
          <w:sz w:val="22"/>
          <w:szCs w:val="22"/>
          <w:lang w:val="sr-Latn-ME"/>
        </w:rPr>
      </w:pPr>
    </w:p>
    <w:p w14:paraId="171102F8" w14:textId="079BE0F5" w:rsidR="0080293B" w:rsidRPr="00F3439A" w:rsidRDefault="0080293B" w:rsidP="005F546A">
      <w:pPr>
        <w:jc w:val="both"/>
        <w:rPr>
          <w:sz w:val="22"/>
          <w:szCs w:val="22"/>
          <w:lang w:val="sr-Latn-ME"/>
        </w:rPr>
      </w:pPr>
      <w:r w:rsidRPr="00F3439A">
        <w:rPr>
          <w:sz w:val="22"/>
          <w:szCs w:val="22"/>
          <w:lang w:val="sr-Latn-ME"/>
        </w:rPr>
        <w:t>U studiji u trajanju od dv</w:t>
      </w:r>
      <w:r w:rsidR="00B07EB7" w:rsidRPr="00F3439A">
        <w:rPr>
          <w:sz w:val="22"/>
          <w:szCs w:val="22"/>
          <w:lang w:val="sr-Latn-ME"/>
        </w:rPr>
        <w:t>ij</w:t>
      </w:r>
      <w:r w:rsidRPr="00F3439A">
        <w:rPr>
          <w:sz w:val="22"/>
          <w:szCs w:val="22"/>
          <w:lang w:val="sr-Latn-ME"/>
        </w:rPr>
        <w:t>e ned</w:t>
      </w:r>
      <w:r w:rsidR="00B07EB7" w:rsidRPr="00F3439A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 xml:space="preserve">elje, za utvrđivanje raspona </w:t>
      </w:r>
      <w:proofErr w:type="spellStart"/>
      <w:r w:rsidRPr="00F3439A">
        <w:rPr>
          <w:sz w:val="22"/>
          <w:szCs w:val="22"/>
          <w:lang w:val="sr-Latn-ME"/>
        </w:rPr>
        <w:t>su</w:t>
      </w:r>
      <w:r w:rsidR="00492C60">
        <w:rPr>
          <w:sz w:val="22"/>
          <w:szCs w:val="22"/>
          <w:lang w:val="sr-Latn-ME"/>
        </w:rPr>
        <w:t>b</w:t>
      </w:r>
      <w:r w:rsidRPr="00F3439A">
        <w:rPr>
          <w:sz w:val="22"/>
          <w:szCs w:val="22"/>
          <w:lang w:val="sr-Latn-ME"/>
        </w:rPr>
        <w:t>kutane</w:t>
      </w:r>
      <w:proofErr w:type="spellEnd"/>
      <w:r w:rsidRPr="00F3439A">
        <w:rPr>
          <w:sz w:val="22"/>
          <w:szCs w:val="22"/>
          <w:lang w:val="sr-Latn-ME"/>
        </w:rPr>
        <w:t xml:space="preserve"> doze kod </w:t>
      </w:r>
      <w:proofErr w:type="spellStart"/>
      <w:r w:rsidRPr="00F3439A">
        <w:rPr>
          <w:sz w:val="22"/>
          <w:szCs w:val="22"/>
          <w:lang w:val="sr-Latn-ME"/>
        </w:rPr>
        <w:t>juvenilnih</w:t>
      </w:r>
      <w:proofErr w:type="spellEnd"/>
      <w:r w:rsidRPr="00F3439A">
        <w:rPr>
          <w:sz w:val="22"/>
          <w:szCs w:val="22"/>
          <w:lang w:val="sr-Latn-ME"/>
        </w:rPr>
        <w:t xml:space="preserve"> pacova, doza od 25 mg/kg/dan utvrđena je kao maksimalna podnošljiva doza. U </w:t>
      </w:r>
      <w:proofErr w:type="spellStart"/>
      <w:r w:rsidRPr="00F3439A">
        <w:rPr>
          <w:sz w:val="22"/>
          <w:szCs w:val="22"/>
          <w:lang w:val="sr-Latn-ME"/>
        </w:rPr>
        <w:t>pivotalnom</w:t>
      </w:r>
      <w:proofErr w:type="spellEnd"/>
      <w:r w:rsidRPr="00F3439A">
        <w:rPr>
          <w:sz w:val="22"/>
          <w:szCs w:val="22"/>
          <w:lang w:val="sr-Latn-ME"/>
        </w:rPr>
        <w:t xml:space="preserve"> ispitivanju toksičnosti kod mladunaca u kom su polno nezreli pacovi dnevno primali 3 mg/kg/dan u razdoblju od 7 ned</w:t>
      </w:r>
      <w:r w:rsidR="00B07EB7" w:rsidRPr="00F3439A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>elja, prim</w:t>
      </w:r>
      <w:r w:rsidR="00A21E4D">
        <w:rPr>
          <w:sz w:val="22"/>
          <w:szCs w:val="22"/>
          <w:lang w:val="sr-Latn-ME"/>
        </w:rPr>
        <w:t>i</w:t>
      </w:r>
      <w:r w:rsidR="00B07EB7" w:rsidRPr="00F3439A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 xml:space="preserve">ećena je atrofija </w:t>
      </w:r>
      <w:proofErr w:type="spellStart"/>
      <w:r w:rsidRPr="00F3439A">
        <w:rPr>
          <w:sz w:val="22"/>
          <w:szCs w:val="22"/>
          <w:lang w:val="sr-Latn-ME"/>
        </w:rPr>
        <w:t>semenika</w:t>
      </w:r>
      <w:proofErr w:type="spellEnd"/>
      <w:r w:rsidRPr="00F3439A">
        <w:rPr>
          <w:sz w:val="22"/>
          <w:szCs w:val="22"/>
          <w:lang w:val="sr-Latn-ME"/>
        </w:rPr>
        <w:t xml:space="preserve"> i </w:t>
      </w:r>
      <w:proofErr w:type="spellStart"/>
      <w:r w:rsidRPr="00F3439A">
        <w:rPr>
          <w:sz w:val="22"/>
          <w:szCs w:val="22"/>
          <w:lang w:val="sr-Latn-ME"/>
        </w:rPr>
        <w:t>pasemenika</w:t>
      </w:r>
      <w:proofErr w:type="spellEnd"/>
      <w:r w:rsidRPr="00F3439A">
        <w:rPr>
          <w:sz w:val="22"/>
          <w:szCs w:val="22"/>
          <w:lang w:val="sr-Latn-ME"/>
        </w:rPr>
        <w:t>; prim</w:t>
      </w:r>
      <w:r w:rsidR="00A21E4D">
        <w:rPr>
          <w:sz w:val="22"/>
          <w:szCs w:val="22"/>
          <w:lang w:val="sr-Latn-ME"/>
        </w:rPr>
        <w:t>i</w:t>
      </w:r>
      <w:r w:rsidR="00B07EB7" w:rsidRPr="00F3439A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>ećeni mikroskopski rezultati bili su d</w:t>
      </w:r>
      <w:r w:rsidR="00B07EB7" w:rsidRPr="00F3439A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 xml:space="preserve">elimično </w:t>
      </w:r>
      <w:proofErr w:type="spellStart"/>
      <w:r w:rsidRPr="00F3439A">
        <w:rPr>
          <w:sz w:val="22"/>
          <w:szCs w:val="22"/>
          <w:lang w:val="sr-Latn-ME"/>
        </w:rPr>
        <w:t>reverzibilni</w:t>
      </w:r>
      <w:proofErr w:type="spellEnd"/>
      <w:r w:rsidRPr="00F3439A">
        <w:rPr>
          <w:sz w:val="22"/>
          <w:szCs w:val="22"/>
          <w:lang w:val="sr-Latn-ME"/>
        </w:rPr>
        <w:t xml:space="preserve">. Slični efekti </w:t>
      </w:r>
      <w:proofErr w:type="spellStart"/>
      <w:r w:rsidRPr="00F3439A">
        <w:rPr>
          <w:sz w:val="22"/>
          <w:szCs w:val="22"/>
          <w:lang w:val="sr-Latn-ME"/>
        </w:rPr>
        <w:t>ikatibanta</w:t>
      </w:r>
      <w:proofErr w:type="spellEnd"/>
      <w:r w:rsidRPr="00F3439A">
        <w:rPr>
          <w:sz w:val="22"/>
          <w:szCs w:val="22"/>
          <w:lang w:val="sr-Latn-ME"/>
        </w:rPr>
        <w:t xml:space="preserve"> na reproduktivno tkivo uočeni su kod polno </w:t>
      </w:r>
      <w:proofErr w:type="spellStart"/>
      <w:r w:rsidRPr="00F3439A">
        <w:rPr>
          <w:sz w:val="22"/>
          <w:szCs w:val="22"/>
          <w:lang w:val="sr-Latn-ME"/>
        </w:rPr>
        <w:t>zrelih</w:t>
      </w:r>
      <w:proofErr w:type="spellEnd"/>
      <w:r w:rsidRPr="00F3439A">
        <w:rPr>
          <w:sz w:val="22"/>
          <w:szCs w:val="22"/>
          <w:lang w:val="sr-Latn-ME"/>
        </w:rPr>
        <w:t xml:space="preserve"> pacova i pasa. Ti </w:t>
      </w:r>
      <w:proofErr w:type="spellStart"/>
      <w:r w:rsidRPr="00F3439A">
        <w:rPr>
          <w:sz w:val="22"/>
          <w:szCs w:val="22"/>
          <w:lang w:val="sr-Latn-ME"/>
        </w:rPr>
        <w:t>tkivni</w:t>
      </w:r>
      <w:proofErr w:type="spellEnd"/>
      <w:r w:rsidRPr="00F3439A">
        <w:rPr>
          <w:sz w:val="22"/>
          <w:szCs w:val="22"/>
          <w:lang w:val="sr-Latn-ME"/>
        </w:rPr>
        <w:t xml:space="preserve"> nalazi bili su u skladu s prijavljenim efektima </w:t>
      </w:r>
      <w:proofErr w:type="spellStart"/>
      <w:r w:rsidRPr="00F3439A">
        <w:rPr>
          <w:sz w:val="22"/>
          <w:szCs w:val="22"/>
          <w:lang w:val="sr-Latn-ME"/>
        </w:rPr>
        <w:t>gonadotropina</w:t>
      </w:r>
      <w:proofErr w:type="spellEnd"/>
      <w:r w:rsidRPr="00F3439A">
        <w:rPr>
          <w:sz w:val="22"/>
          <w:szCs w:val="22"/>
          <w:lang w:val="sr-Latn-ME"/>
        </w:rPr>
        <w:t xml:space="preserve">, a tokom kasnijeg razdoblja bez terapije izgleda da su </w:t>
      </w:r>
      <w:proofErr w:type="spellStart"/>
      <w:r w:rsidRPr="00F3439A">
        <w:rPr>
          <w:sz w:val="22"/>
          <w:szCs w:val="22"/>
          <w:lang w:val="sr-Latn-ME"/>
        </w:rPr>
        <w:t>reverzibilni</w:t>
      </w:r>
      <w:proofErr w:type="spellEnd"/>
      <w:r w:rsidRPr="00F3439A">
        <w:rPr>
          <w:sz w:val="22"/>
          <w:szCs w:val="22"/>
          <w:lang w:val="sr-Latn-ME"/>
        </w:rPr>
        <w:t>.</w:t>
      </w:r>
    </w:p>
    <w:p w14:paraId="02ABB399" w14:textId="77777777" w:rsidR="0080293B" w:rsidRPr="00F3439A" w:rsidRDefault="0080293B" w:rsidP="005F546A">
      <w:pPr>
        <w:jc w:val="both"/>
        <w:rPr>
          <w:sz w:val="22"/>
          <w:szCs w:val="22"/>
          <w:lang w:val="sr-Latn-ME"/>
        </w:rPr>
      </w:pPr>
    </w:p>
    <w:p w14:paraId="10159D59" w14:textId="7E9D4D58" w:rsidR="0080293B" w:rsidRPr="00F3439A" w:rsidRDefault="0080293B" w:rsidP="005F546A">
      <w:pPr>
        <w:jc w:val="both"/>
        <w:rPr>
          <w:sz w:val="22"/>
          <w:szCs w:val="22"/>
          <w:lang w:val="sr-Latn-ME"/>
        </w:rPr>
      </w:pPr>
      <w:proofErr w:type="spellStart"/>
      <w:r w:rsidRPr="00F3439A">
        <w:rPr>
          <w:sz w:val="22"/>
          <w:szCs w:val="22"/>
          <w:lang w:val="sr-Latn-ME"/>
        </w:rPr>
        <w:t>Ikatibant</w:t>
      </w:r>
      <w:proofErr w:type="spellEnd"/>
      <w:r w:rsidRPr="00F3439A">
        <w:rPr>
          <w:sz w:val="22"/>
          <w:szCs w:val="22"/>
          <w:lang w:val="sr-Latn-ME"/>
        </w:rPr>
        <w:t xml:space="preserve"> nije izazvao prom</w:t>
      </w:r>
      <w:r w:rsidR="00B07EB7" w:rsidRPr="00F3439A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 xml:space="preserve">enu srčane </w:t>
      </w:r>
      <w:proofErr w:type="spellStart"/>
      <w:r w:rsidRPr="00F3439A">
        <w:rPr>
          <w:sz w:val="22"/>
          <w:szCs w:val="22"/>
          <w:lang w:val="sr-Latn-ME"/>
        </w:rPr>
        <w:t>sprovodljivosti</w:t>
      </w:r>
      <w:proofErr w:type="spellEnd"/>
      <w:r w:rsidRPr="00F3439A">
        <w:rPr>
          <w:sz w:val="22"/>
          <w:szCs w:val="22"/>
          <w:lang w:val="sr-Latn-ME"/>
        </w:rPr>
        <w:t xml:space="preserve"> in </w:t>
      </w:r>
      <w:proofErr w:type="spellStart"/>
      <w:r w:rsidRPr="00F3439A">
        <w:rPr>
          <w:sz w:val="22"/>
          <w:szCs w:val="22"/>
          <w:lang w:val="sr-Latn-ME"/>
        </w:rPr>
        <w:t>vitro</w:t>
      </w:r>
      <w:proofErr w:type="spellEnd"/>
      <w:r w:rsidRPr="00F3439A">
        <w:rPr>
          <w:sz w:val="22"/>
          <w:szCs w:val="22"/>
          <w:lang w:val="sr-Latn-ME"/>
        </w:rPr>
        <w:t xml:space="preserve"> (</w:t>
      </w:r>
      <w:proofErr w:type="spellStart"/>
      <w:r w:rsidRPr="00F3439A">
        <w:rPr>
          <w:sz w:val="22"/>
          <w:szCs w:val="22"/>
          <w:lang w:val="sr-Latn-ME"/>
        </w:rPr>
        <w:t>hERG</w:t>
      </w:r>
      <w:proofErr w:type="spellEnd"/>
      <w:r w:rsidRPr="00F3439A">
        <w:rPr>
          <w:sz w:val="22"/>
          <w:szCs w:val="22"/>
          <w:lang w:val="sr-Latn-ME"/>
        </w:rPr>
        <w:t xml:space="preserve"> kanal) ili in </w:t>
      </w:r>
      <w:proofErr w:type="spellStart"/>
      <w:r w:rsidRPr="00F3439A">
        <w:rPr>
          <w:sz w:val="22"/>
          <w:szCs w:val="22"/>
          <w:lang w:val="sr-Latn-ME"/>
        </w:rPr>
        <w:t>vivo</w:t>
      </w:r>
      <w:proofErr w:type="spellEnd"/>
      <w:r w:rsidRPr="00F3439A">
        <w:rPr>
          <w:sz w:val="22"/>
          <w:szCs w:val="22"/>
          <w:lang w:val="sr-Latn-ME"/>
        </w:rPr>
        <w:t xml:space="preserve"> kod normalnih pasa ili različitih modela pasa (sa </w:t>
      </w:r>
      <w:proofErr w:type="spellStart"/>
      <w:r w:rsidRPr="00F3439A">
        <w:rPr>
          <w:sz w:val="22"/>
          <w:szCs w:val="22"/>
          <w:lang w:val="sr-Latn-ME"/>
        </w:rPr>
        <w:t>ventrikularnom</w:t>
      </w:r>
      <w:proofErr w:type="spellEnd"/>
      <w:r w:rsidRPr="00F3439A">
        <w:rPr>
          <w:sz w:val="22"/>
          <w:szCs w:val="22"/>
          <w:lang w:val="sr-Latn-ME"/>
        </w:rPr>
        <w:t xml:space="preserve"> stimulacijom, fizičkim naporom i podvezivanjem koronarnih sudova) kod kojih ni</w:t>
      </w:r>
      <w:r w:rsidR="00CF7607">
        <w:rPr>
          <w:sz w:val="22"/>
          <w:szCs w:val="22"/>
          <w:lang w:val="sr-Latn-ME"/>
        </w:rPr>
        <w:t>j</w:t>
      </w:r>
      <w:r w:rsidR="00B07EB7" w:rsidRPr="00F3439A">
        <w:rPr>
          <w:sz w:val="22"/>
          <w:szCs w:val="22"/>
          <w:lang w:val="sr-Latn-ME"/>
        </w:rPr>
        <w:t>e</w:t>
      </w:r>
      <w:r w:rsidR="00CF7607">
        <w:rPr>
          <w:sz w:val="22"/>
          <w:szCs w:val="22"/>
          <w:lang w:val="sr-Latn-ME"/>
        </w:rPr>
        <w:t>s</w:t>
      </w:r>
      <w:r w:rsidRPr="00F3439A">
        <w:rPr>
          <w:sz w:val="22"/>
          <w:szCs w:val="22"/>
          <w:lang w:val="sr-Latn-ME"/>
        </w:rPr>
        <w:t>u prim</w:t>
      </w:r>
      <w:r w:rsidR="00B07EB7" w:rsidRPr="00F3439A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 xml:space="preserve">ećene nikakve povezane </w:t>
      </w:r>
      <w:proofErr w:type="spellStart"/>
      <w:r w:rsidRPr="00F3439A">
        <w:rPr>
          <w:sz w:val="22"/>
          <w:szCs w:val="22"/>
          <w:lang w:val="sr-Latn-ME"/>
        </w:rPr>
        <w:t>hemodinamičke</w:t>
      </w:r>
      <w:proofErr w:type="spellEnd"/>
      <w:r w:rsidRPr="00F3439A">
        <w:rPr>
          <w:sz w:val="22"/>
          <w:szCs w:val="22"/>
          <w:lang w:val="sr-Latn-ME"/>
        </w:rPr>
        <w:t xml:space="preserve"> prom</w:t>
      </w:r>
      <w:r w:rsidR="00B07EB7" w:rsidRPr="00F3439A">
        <w:rPr>
          <w:sz w:val="22"/>
          <w:szCs w:val="22"/>
          <w:lang w:val="sr-Latn-ME"/>
        </w:rPr>
        <w:t>j</w:t>
      </w:r>
      <w:r w:rsidRPr="00F3439A">
        <w:rPr>
          <w:sz w:val="22"/>
          <w:szCs w:val="22"/>
          <w:lang w:val="sr-Latn-ME"/>
        </w:rPr>
        <w:t xml:space="preserve">ene. Pokazalo se da </w:t>
      </w:r>
      <w:proofErr w:type="spellStart"/>
      <w:r w:rsidRPr="00F3439A">
        <w:rPr>
          <w:sz w:val="22"/>
          <w:szCs w:val="22"/>
          <w:lang w:val="sr-Latn-ME"/>
        </w:rPr>
        <w:t>ikatibant</w:t>
      </w:r>
      <w:proofErr w:type="spellEnd"/>
      <w:r w:rsidRPr="00F3439A">
        <w:rPr>
          <w:sz w:val="22"/>
          <w:szCs w:val="22"/>
          <w:lang w:val="sr-Latn-ME"/>
        </w:rPr>
        <w:t xml:space="preserve"> pogoršava induciranu </w:t>
      </w:r>
      <w:proofErr w:type="spellStart"/>
      <w:r w:rsidRPr="00F3439A">
        <w:rPr>
          <w:sz w:val="22"/>
          <w:szCs w:val="22"/>
          <w:lang w:val="sr-Latn-ME"/>
        </w:rPr>
        <w:t>ishemiju</w:t>
      </w:r>
      <w:proofErr w:type="spellEnd"/>
      <w:r w:rsidRPr="00F3439A">
        <w:rPr>
          <w:sz w:val="22"/>
          <w:szCs w:val="22"/>
          <w:lang w:val="sr-Latn-ME"/>
        </w:rPr>
        <w:t xml:space="preserve"> srca na nekoliko </w:t>
      </w:r>
      <w:proofErr w:type="spellStart"/>
      <w:r w:rsidRPr="00F3439A">
        <w:rPr>
          <w:sz w:val="22"/>
          <w:szCs w:val="22"/>
          <w:lang w:val="sr-Latn-ME"/>
        </w:rPr>
        <w:t>pretkliničkih</w:t>
      </w:r>
      <w:proofErr w:type="spellEnd"/>
      <w:r w:rsidRPr="00F3439A">
        <w:rPr>
          <w:sz w:val="22"/>
          <w:szCs w:val="22"/>
          <w:lang w:val="sr-Latn-ME"/>
        </w:rPr>
        <w:t xml:space="preserve"> modela, iako u akutnoj </w:t>
      </w:r>
      <w:proofErr w:type="spellStart"/>
      <w:r w:rsidRPr="00F3439A">
        <w:rPr>
          <w:sz w:val="22"/>
          <w:szCs w:val="22"/>
          <w:lang w:val="sr-Latn-ME"/>
        </w:rPr>
        <w:t>ishemiji</w:t>
      </w:r>
      <w:proofErr w:type="spellEnd"/>
      <w:r w:rsidRPr="00F3439A">
        <w:rPr>
          <w:sz w:val="22"/>
          <w:szCs w:val="22"/>
          <w:lang w:val="sr-Latn-ME"/>
        </w:rPr>
        <w:t xml:space="preserve"> nije konzistentno dokazan štetan efekat.</w:t>
      </w:r>
    </w:p>
    <w:p w14:paraId="28420B9E" w14:textId="1C60DDF0" w:rsidR="00396DFD" w:rsidRDefault="00396DFD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4B2F0981" w14:textId="77777777" w:rsidR="008C51F8" w:rsidRPr="00F3439A" w:rsidRDefault="008C51F8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8C4844B" w14:textId="77777777" w:rsidR="0072020E" w:rsidRPr="00F3439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3439A">
        <w:rPr>
          <w:b/>
          <w:bCs/>
          <w:sz w:val="22"/>
          <w:szCs w:val="22"/>
          <w:lang w:val="sr-Latn-ME"/>
        </w:rPr>
        <w:t xml:space="preserve">6. </w:t>
      </w:r>
      <w:r w:rsidR="00480FB1" w:rsidRPr="00F3439A">
        <w:rPr>
          <w:b/>
          <w:bCs/>
          <w:sz w:val="22"/>
          <w:szCs w:val="22"/>
          <w:lang w:val="sr-Latn-ME"/>
        </w:rPr>
        <w:tab/>
      </w:r>
      <w:r w:rsidRPr="00F3439A">
        <w:rPr>
          <w:b/>
          <w:bCs/>
          <w:sz w:val="22"/>
          <w:szCs w:val="22"/>
          <w:lang w:val="sr-Latn-ME"/>
        </w:rPr>
        <w:t>FARMACEUTSKI PODACI</w:t>
      </w:r>
    </w:p>
    <w:p w14:paraId="7613E731" w14:textId="1AF18982" w:rsidR="00836B35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F351319" w14:textId="77777777" w:rsidR="008C51F8" w:rsidRPr="00F3439A" w:rsidRDefault="008C51F8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4993A9C" w14:textId="77777777" w:rsidR="0072020E" w:rsidRPr="00F3439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3439A">
        <w:rPr>
          <w:b/>
          <w:bCs/>
          <w:sz w:val="22"/>
          <w:szCs w:val="22"/>
          <w:lang w:val="sr-Latn-ME"/>
        </w:rPr>
        <w:lastRenderedPageBreak/>
        <w:t xml:space="preserve">6.1. </w:t>
      </w:r>
      <w:r w:rsidR="00480FB1" w:rsidRPr="00F3439A">
        <w:rPr>
          <w:b/>
          <w:bCs/>
          <w:sz w:val="22"/>
          <w:szCs w:val="22"/>
          <w:lang w:val="sr-Latn-ME"/>
        </w:rPr>
        <w:tab/>
      </w:r>
      <w:r w:rsidRPr="00F3439A">
        <w:rPr>
          <w:b/>
          <w:bCs/>
          <w:sz w:val="22"/>
          <w:szCs w:val="22"/>
          <w:lang w:val="sr-Latn-ME"/>
        </w:rPr>
        <w:t>Lista pomoćnih supstanci</w:t>
      </w:r>
      <w:r w:rsidR="002E0135" w:rsidRPr="00F3439A">
        <w:rPr>
          <w:b/>
          <w:bCs/>
          <w:sz w:val="22"/>
          <w:szCs w:val="22"/>
          <w:lang w:val="sr-Latn-ME"/>
        </w:rPr>
        <w:t xml:space="preserve"> (</w:t>
      </w:r>
      <w:proofErr w:type="spellStart"/>
      <w:r w:rsidR="002E0135" w:rsidRPr="00F3439A">
        <w:rPr>
          <w:b/>
          <w:bCs/>
          <w:sz w:val="22"/>
          <w:szCs w:val="22"/>
          <w:lang w:val="sr-Latn-ME"/>
        </w:rPr>
        <w:t>ekscipijenasa</w:t>
      </w:r>
      <w:proofErr w:type="spellEnd"/>
      <w:r w:rsidR="002E0135" w:rsidRPr="00F3439A">
        <w:rPr>
          <w:b/>
          <w:bCs/>
          <w:sz w:val="22"/>
          <w:szCs w:val="22"/>
          <w:lang w:val="sr-Latn-ME"/>
        </w:rPr>
        <w:t>)</w:t>
      </w:r>
    </w:p>
    <w:p w14:paraId="356A5D98" w14:textId="77777777" w:rsidR="0072020E" w:rsidRPr="00F3439A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C9571DA" w14:textId="55C0BDD8" w:rsidR="0080293B" w:rsidRPr="00F3439A" w:rsidRDefault="0080293B" w:rsidP="0080293B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3439A">
        <w:rPr>
          <w:bCs/>
          <w:sz w:val="22"/>
          <w:szCs w:val="22"/>
          <w:lang w:val="sr-Latn-ME"/>
        </w:rPr>
        <w:t>Natrijum</w:t>
      </w:r>
      <w:r w:rsidR="006370AD">
        <w:rPr>
          <w:bCs/>
          <w:sz w:val="22"/>
          <w:szCs w:val="22"/>
          <w:lang w:val="sr-Latn-ME"/>
        </w:rPr>
        <w:t xml:space="preserve"> </w:t>
      </w:r>
      <w:r w:rsidRPr="00F3439A">
        <w:rPr>
          <w:bCs/>
          <w:sz w:val="22"/>
          <w:szCs w:val="22"/>
          <w:lang w:val="sr-Latn-ME"/>
        </w:rPr>
        <w:t>hlorid</w:t>
      </w:r>
    </w:p>
    <w:p w14:paraId="1C3D85AC" w14:textId="5E3FEFFE" w:rsidR="0080293B" w:rsidRPr="00F3439A" w:rsidRDefault="0080293B" w:rsidP="0080293B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proofErr w:type="spellStart"/>
      <w:r w:rsidRPr="00F3439A">
        <w:rPr>
          <w:bCs/>
          <w:sz w:val="22"/>
          <w:szCs w:val="22"/>
          <w:lang w:val="sr-Latn-ME"/>
        </w:rPr>
        <w:t>Sirćetna</w:t>
      </w:r>
      <w:proofErr w:type="spellEnd"/>
      <w:r w:rsidRPr="00F3439A">
        <w:rPr>
          <w:bCs/>
          <w:sz w:val="22"/>
          <w:szCs w:val="22"/>
          <w:lang w:val="sr-Latn-ME"/>
        </w:rPr>
        <w:t xml:space="preserve"> kiselina, glacijalna</w:t>
      </w:r>
    </w:p>
    <w:p w14:paraId="7F3DEA47" w14:textId="122DD979" w:rsidR="0080293B" w:rsidRPr="00F3439A" w:rsidRDefault="0080293B" w:rsidP="0080293B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3439A">
        <w:rPr>
          <w:bCs/>
          <w:sz w:val="22"/>
          <w:szCs w:val="22"/>
          <w:lang w:val="sr-Latn-ME"/>
        </w:rPr>
        <w:t>Natrijum</w:t>
      </w:r>
      <w:r w:rsidR="006370AD">
        <w:rPr>
          <w:bCs/>
          <w:sz w:val="22"/>
          <w:szCs w:val="22"/>
          <w:lang w:val="sr-Latn-ME"/>
        </w:rPr>
        <w:t xml:space="preserve"> </w:t>
      </w:r>
      <w:r w:rsidRPr="00F3439A">
        <w:rPr>
          <w:bCs/>
          <w:sz w:val="22"/>
          <w:szCs w:val="22"/>
          <w:lang w:val="sr-Latn-ME"/>
        </w:rPr>
        <w:t xml:space="preserve">hidroksid (za podešavanje </w:t>
      </w:r>
      <w:proofErr w:type="spellStart"/>
      <w:r w:rsidRPr="00F3439A">
        <w:rPr>
          <w:bCs/>
          <w:sz w:val="22"/>
          <w:szCs w:val="22"/>
          <w:lang w:val="sr-Latn-ME"/>
        </w:rPr>
        <w:t>pH</w:t>
      </w:r>
      <w:proofErr w:type="spellEnd"/>
      <w:r w:rsidRPr="00F3439A">
        <w:rPr>
          <w:bCs/>
          <w:sz w:val="22"/>
          <w:szCs w:val="22"/>
          <w:lang w:val="sr-Latn-ME"/>
        </w:rPr>
        <w:t>)</w:t>
      </w:r>
    </w:p>
    <w:p w14:paraId="05519AFC" w14:textId="03FCC1E4" w:rsidR="0080293B" w:rsidRPr="00F3439A" w:rsidRDefault="0080293B" w:rsidP="0080293B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3439A">
        <w:rPr>
          <w:bCs/>
          <w:sz w:val="22"/>
          <w:szCs w:val="22"/>
          <w:lang w:val="sr-Latn-ME"/>
        </w:rPr>
        <w:t>Voda za injekcije</w:t>
      </w:r>
    </w:p>
    <w:p w14:paraId="26B36C52" w14:textId="77777777" w:rsidR="0080293B" w:rsidRPr="00F3439A" w:rsidRDefault="0080293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C4F5729" w14:textId="77777777" w:rsidR="0072020E" w:rsidRPr="00F3439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3439A">
        <w:rPr>
          <w:b/>
          <w:bCs/>
          <w:sz w:val="22"/>
          <w:szCs w:val="22"/>
          <w:lang w:val="sr-Latn-ME"/>
        </w:rPr>
        <w:t xml:space="preserve">6.2. </w:t>
      </w:r>
      <w:r w:rsidR="00480FB1" w:rsidRPr="00F3439A">
        <w:rPr>
          <w:b/>
          <w:bCs/>
          <w:sz w:val="22"/>
          <w:szCs w:val="22"/>
          <w:lang w:val="sr-Latn-ME"/>
        </w:rPr>
        <w:tab/>
      </w:r>
      <w:r w:rsidRPr="00F3439A">
        <w:rPr>
          <w:b/>
          <w:bCs/>
          <w:sz w:val="22"/>
          <w:szCs w:val="22"/>
          <w:lang w:val="sr-Latn-ME"/>
        </w:rPr>
        <w:t>Inkompatibilnost</w:t>
      </w:r>
      <w:r w:rsidR="002846DB" w:rsidRPr="00F3439A">
        <w:rPr>
          <w:b/>
          <w:bCs/>
          <w:sz w:val="22"/>
          <w:szCs w:val="22"/>
          <w:lang w:val="sr-Latn-ME"/>
        </w:rPr>
        <w:t>i</w:t>
      </w:r>
    </w:p>
    <w:p w14:paraId="1ACFA3C7" w14:textId="77777777" w:rsidR="0072020E" w:rsidRPr="00F3439A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2ACAC1A4" w14:textId="2A9F97C1" w:rsidR="0080293B" w:rsidRPr="00F3439A" w:rsidRDefault="0080293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3439A">
        <w:rPr>
          <w:bCs/>
          <w:sz w:val="22"/>
          <w:szCs w:val="22"/>
          <w:lang w:val="sr-Latn-ME"/>
        </w:rPr>
        <w:t>Nije prim</w:t>
      </w:r>
      <w:r w:rsidR="00B07EB7" w:rsidRPr="00F3439A">
        <w:rPr>
          <w:bCs/>
          <w:sz w:val="22"/>
          <w:szCs w:val="22"/>
          <w:lang w:val="sr-Latn-ME"/>
        </w:rPr>
        <w:t>j</w:t>
      </w:r>
      <w:r w:rsidRPr="00F3439A">
        <w:rPr>
          <w:bCs/>
          <w:sz w:val="22"/>
          <w:szCs w:val="22"/>
          <w:lang w:val="sr-Latn-ME"/>
        </w:rPr>
        <w:t>enljivo.</w:t>
      </w:r>
    </w:p>
    <w:p w14:paraId="3F737AD5" w14:textId="77777777" w:rsidR="0080293B" w:rsidRPr="00F3439A" w:rsidRDefault="0080293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C3C1771" w14:textId="77777777" w:rsidR="0072020E" w:rsidRPr="00F3439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3439A">
        <w:rPr>
          <w:b/>
          <w:bCs/>
          <w:sz w:val="22"/>
          <w:szCs w:val="22"/>
          <w:lang w:val="sr-Latn-ME"/>
        </w:rPr>
        <w:t>6.3.</w:t>
      </w:r>
      <w:r w:rsidR="00C05DF8" w:rsidRPr="00F3439A">
        <w:rPr>
          <w:b/>
          <w:bCs/>
          <w:sz w:val="22"/>
          <w:szCs w:val="22"/>
          <w:lang w:val="sr-Latn-ME"/>
        </w:rPr>
        <w:t xml:space="preserve"> </w:t>
      </w:r>
      <w:r w:rsidR="00480FB1" w:rsidRPr="00F3439A">
        <w:rPr>
          <w:b/>
          <w:bCs/>
          <w:sz w:val="22"/>
          <w:szCs w:val="22"/>
          <w:lang w:val="sr-Latn-ME"/>
        </w:rPr>
        <w:tab/>
      </w:r>
      <w:r w:rsidRPr="00F3439A">
        <w:rPr>
          <w:b/>
          <w:bCs/>
          <w:sz w:val="22"/>
          <w:szCs w:val="22"/>
          <w:lang w:val="sr-Latn-ME"/>
        </w:rPr>
        <w:t>Rok upotrebe</w:t>
      </w:r>
    </w:p>
    <w:p w14:paraId="385C30A1" w14:textId="77777777" w:rsidR="0072020E" w:rsidRPr="00F3439A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3C25D84" w14:textId="39798F45" w:rsidR="0080293B" w:rsidRPr="00F3439A" w:rsidRDefault="0080293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3439A">
        <w:rPr>
          <w:sz w:val="22"/>
          <w:szCs w:val="22"/>
          <w:lang w:val="sr-Latn-ME"/>
        </w:rPr>
        <w:t>2 godine</w:t>
      </w:r>
      <w:r w:rsidR="00787ECE">
        <w:rPr>
          <w:sz w:val="22"/>
          <w:szCs w:val="22"/>
          <w:lang w:val="sr-Latn-ME"/>
        </w:rPr>
        <w:t>.</w:t>
      </w:r>
    </w:p>
    <w:p w14:paraId="128A604E" w14:textId="77777777" w:rsidR="0080293B" w:rsidRPr="00F3439A" w:rsidRDefault="0080293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19D5186" w14:textId="77777777" w:rsidR="0072020E" w:rsidRPr="00F3439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3439A">
        <w:rPr>
          <w:b/>
          <w:bCs/>
          <w:sz w:val="22"/>
          <w:szCs w:val="22"/>
          <w:lang w:val="sr-Latn-ME"/>
        </w:rPr>
        <w:t xml:space="preserve">6.4. </w:t>
      </w:r>
      <w:r w:rsidR="00480FB1" w:rsidRPr="00F3439A">
        <w:rPr>
          <w:b/>
          <w:bCs/>
          <w:sz w:val="22"/>
          <w:szCs w:val="22"/>
          <w:lang w:val="sr-Latn-ME"/>
        </w:rPr>
        <w:tab/>
      </w:r>
      <w:r w:rsidRPr="00F3439A">
        <w:rPr>
          <w:b/>
          <w:bCs/>
          <w:sz w:val="22"/>
          <w:szCs w:val="22"/>
          <w:lang w:val="sr-Latn-ME"/>
        </w:rPr>
        <w:t>Posebne mjere upozorenja pri čuvanju</w:t>
      </w:r>
      <w:r w:rsidR="00F8570A" w:rsidRPr="00F3439A">
        <w:rPr>
          <w:b/>
          <w:bCs/>
          <w:sz w:val="22"/>
          <w:szCs w:val="22"/>
          <w:lang w:val="sr-Latn-ME"/>
        </w:rPr>
        <w:t xml:space="preserve"> lijeka</w:t>
      </w:r>
    </w:p>
    <w:p w14:paraId="6B4D5C91" w14:textId="77777777" w:rsidR="00EC2532" w:rsidRPr="00F3439A" w:rsidRDefault="00EC2532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11E50D2E" w14:textId="77777777" w:rsidR="0080293B" w:rsidRPr="00F3439A" w:rsidRDefault="0080293B" w:rsidP="0080293B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3439A">
        <w:rPr>
          <w:bCs/>
          <w:sz w:val="22"/>
          <w:szCs w:val="22"/>
          <w:lang w:val="sr-Latn-ME"/>
        </w:rPr>
        <w:t>Čuvati na temperaturi do 25°C.</w:t>
      </w:r>
    </w:p>
    <w:p w14:paraId="1B3763C5" w14:textId="77777777" w:rsidR="0080293B" w:rsidRPr="00F3439A" w:rsidRDefault="0080293B" w:rsidP="0080293B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  <w:r w:rsidRPr="00F3439A">
        <w:rPr>
          <w:bCs/>
          <w:sz w:val="22"/>
          <w:szCs w:val="22"/>
          <w:lang w:val="sr-Latn-ME"/>
        </w:rPr>
        <w:t>Ne zamrzavati.</w:t>
      </w:r>
    </w:p>
    <w:p w14:paraId="36FB500A" w14:textId="77777777" w:rsidR="0080293B" w:rsidRPr="00F3439A" w:rsidRDefault="0080293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23A5072" w14:textId="77777777" w:rsidR="0072020E" w:rsidRPr="00F3439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3439A">
        <w:rPr>
          <w:b/>
          <w:bCs/>
          <w:sz w:val="22"/>
          <w:szCs w:val="22"/>
          <w:lang w:val="sr-Latn-ME"/>
        </w:rPr>
        <w:t xml:space="preserve">6.5. </w:t>
      </w:r>
      <w:r w:rsidR="00480FB1" w:rsidRPr="00F3439A">
        <w:rPr>
          <w:b/>
          <w:bCs/>
          <w:sz w:val="22"/>
          <w:szCs w:val="22"/>
          <w:lang w:val="sr-Latn-ME"/>
        </w:rPr>
        <w:tab/>
      </w:r>
      <w:r w:rsidR="002846DB" w:rsidRPr="00F3439A">
        <w:rPr>
          <w:b/>
          <w:bCs/>
          <w:sz w:val="22"/>
          <w:szCs w:val="22"/>
          <w:lang w:val="sr-Latn-ME"/>
        </w:rPr>
        <w:t xml:space="preserve">Vrsta i sadržaj </w:t>
      </w:r>
      <w:r w:rsidR="00F8570A" w:rsidRPr="00F3439A">
        <w:rPr>
          <w:b/>
          <w:bCs/>
          <w:sz w:val="22"/>
          <w:szCs w:val="22"/>
          <w:lang w:val="sr-Latn-ME"/>
        </w:rPr>
        <w:t>pakovanja</w:t>
      </w:r>
      <w:r w:rsidR="00C06864" w:rsidRPr="00F3439A">
        <w:rPr>
          <w:b/>
          <w:bCs/>
          <w:sz w:val="22"/>
          <w:szCs w:val="22"/>
          <w:lang w:val="sr-Latn-ME"/>
        </w:rPr>
        <w:t xml:space="preserve"> </w:t>
      </w:r>
    </w:p>
    <w:p w14:paraId="722D03D2" w14:textId="77777777" w:rsidR="0072020E" w:rsidRPr="00F3439A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3F88A65" w14:textId="1AEB92F5" w:rsidR="0080293B" w:rsidRDefault="00F85F56" w:rsidP="005F54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3 ml rastvora</w:t>
      </w:r>
      <w:r w:rsidR="00005E83">
        <w:rPr>
          <w:bCs/>
          <w:sz w:val="22"/>
          <w:szCs w:val="22"/>
          <w:lang w:val="sr-Latn-ME"/>
        </w:rPr>
        <w:t xml:space="preserve"> </w:t>
      </w:r>
      <w:r>
        <w:rPr>
          <w:bCs/>
          <w:sz w:val="22"/>
          <w:szCs w:val="22"/>
          <w:lang w:val="sr-Latn-ME"/>
        </w:rPr>
        <w:t xml:space="preserve">u </w:t>
      </w:r>
      <w:r w:rsidR="0080293B" w:rsidRPr="00F3439A">
        <w:rPr>
          <w:bCs/>
          <w:sz w:val="22"/>
          <w:szCs w:val="22"/>
          <w:lang w:val="sr-Latn-ME"/>
        </w:rPr>
        <w:t>napunjen</w:t>
      </w:r>
      <w:r>
        <w:rPr>
          <w:bCs/>
          <w:sz w:val="22"/>
          <w:szCs w:val="22"/>
          <w:lang w:val="sr-Latn-ME"/>
        </w:rPr>
        <w:t>om</w:t>
      </w:r>
      <w:r w:rsidR="0080293B" w:rsidRPr="00F3439A">
        <w:rPr>
          <w:bCs/>
          <w:sz w:val="22"/>
          <w:szCs w:val="22"/>
          <w:lang w:val="sr-Latn-ME"/>
        </w:rPr>
        <w:t xml:space="preserve"> injekcion</w:t>
      </w:r>
      <w:r>
        <w:rPr>
          <w:bCs/>
          <w:sz w:val="22"/>
          <w:szCs w:val="22"/>
          <w:lang w:val="sr-Latn-ME"/>
        </w:rPr>
        <w:t>om</w:t>
      </w:r>
      <w:r w:rsidR="0080293B" w:rsidRPr="00F3439A">
        <w:rPr>
          <w:bCs/>
          <w:sz w:val="22"/>
          <w:szCs w:val="22"/>
          <w:lang w:val="sr-Latn-ME"/>
        </w:rPr>
        <w:t xml:space="preserve"> špric</w:t>
      </w:r>
      <w:r>
        <w:rPr>
          <w:bCs/>
          <w:sz w:val="22"/>
          <w:szCs w:val="22"/>
          <w:lang w:val="sr-Latn-ME"/>
        </w:rPr>
        <w:t>u od 3 ml</w:t>
      </w:r>
      <w:r w:rsidR="00005E83">
        <w:rPr>
          <w:bCs/>
          <w:sz w:val="22"/>
          <w:szCs w:val="22"/>
          <w:lang w:val="sr-Latn-ME"/>
        </w:rPr>
        <w:t xml:space="preserve"> </w:t>
      </w:r>
      <w:r>
        <w:rPr>
          <w:bCs/>
          <w:sz w:val="22"/>
          <w:szCs w:val="22"/>
          <w:lang w:val="sr-Latn-ME"/>
        </w:rPr>
        <w:t>(</w:t>
      </w:r>
      <w:r w:rsidR="0080293B" w:rsidRPr="00F3439A">
        <w:rPr>
          <w:bCs/>
          <w:sz w:val="22"/>
          <w:szCs w:val="22"/>
          <w:lang w:val="sr-Latn-ME"/>
        </w:rPr>
        <w:t>stakl</w:t>
      </w:r>
      <w:r>
        <w:rPr>
          <w:bCs/>
          <w:sz w:val="22"/>
          <w:szCs w:val="22"/>
          <w:lang w:val="sr-Latn-ME"/>
        </w:rPr>
        <w:t>o</w:t>
      </w:r>
      <w:r w:rsidR="0080293B" w:rsidRPr="00F3439A">
        <w:rPr>
          <w:bCs/>
          <w:sz w:val="22"/>
          <w:szCs w:val="22"/>
          <w:lang w:val="sr-Latn-ME"/>
        </w:rPr>
        <w:t xml:space="preserve"> tip I</w:t>
      </w:r>
      <w:r>
        <w:rPr>
          <w:bCs/>
          <w:sz w:val="22"/>
          <w:szCs w:val="22"/>
          <w:lang w:val="sr-Latn-ME"/>
        </w:rPr>
        <w:t>)</w:t>
      </w:r>
      <w:r w:rsidR="0080293B" w:rsidRPr="00F3439A">
        <w:rPr>
          <w:bCs/>
          <w:sz w:val="22"/>
          <w:szCs w:val="22"/>
          <w:lang w:val="sr-Latn-ME"/>
        </w:rPr>
        <w:t xml:space="preserve"> sa sivim čepom (</w:t>
      </w:r>
      <w:proofErr w:type="spellStart"/>
      <w:r w:rsidR="0080293B" w:rsidRPr="00F3439A">
        <w:rPr>
          <w:bCs/>
          <w:sz w:val="22"/>
          <w:szCs w:val="22"/>
          <w:lang w:val="sr-Latn-ME"/>
        </w:rPr>
        <w:t>hlorbutil</w:t>
      </w:r>
      <w:proofErr w:type="spellEnd"/>
      <w:r w:rsidR="0080293B" w:rsidRPr="00F3439A">
        <w:rPr>
          <w:bCs/>
          <w:sz w:val="22"/>
          <w:szCs w:val="22"/>
          <w:lang w:val="sr-Latn-ME"/>
        </w:rPr>
        <w:t xml:space="preserve">) na vrhu klipa sa </w:t>
      </w:r>
      <w:proofErr w:type="spellStart"/>
      <w:r w:rsidR="00005E83">
        <w:rPr>
          <w:bCs/>
          <w:i/>
          <w:sz w:val="22"/>
          <w:szCs w:val="22"/>
          <w:lang w:val="sr-Latn-ME"/>
        </w:rPr>
        <w:t>l</w:t>
      </w:r>
      <w:r w:rsidR="0080293B" w:rsidRPr="00CB24AE">
        <w:rPr>
          <w:bCs/>
          <w:i/>
          <w:sz w:val="22"/>
          <w:szCs w:val="22"/>
          <w:lang w:val="sr-Latn-ME"/>
        </w:rPr>
        <w:t>uer-lock</w:t>
      </w:r>
      <w:proofErr w:type="spellEnd"/>
      <w:r w:rsidR="0080293B" w:rsidRPr="00F3439A">
        <w:rPr>
          <w:bCs/>
          <w:sz w:val="22"/>
          <w:szCs w:val="22"/>
          <w:lang w:val="sr-Latn-ME"/>
        </w:rPr>
        <w:t xml:space="preserve"> adapterom sa b</w:t>
      </w:r>
      <w:r w:rsidR="00B07EB7" w:rsidRPr="00F3439A">
        <w:rPr>
          <w:bCs/>
          <w:sz w:val="22"/>
          <w:szCs w:val="22"/>
          <w:lang w:val="sr-Latn-ME"/>
        </w:rPr>
        <w:t>ij</w:t>
      </w:r>
      <w:r w:rsidR="0080293B" w:rsidRPr="00F3439A">
        <w:rPr>
          <w:bCs/>
          <w:sz w:val="22"/>
          <w:szCs w:val="22"/>
          <w:lang w:val="sr-Latn-ME"/>
        </w:rPr>
        <w:t xml:space="preserve">elim plastičnim zatvaračem od </w:t>
      </w:r>
      <w:proofErr w:type="spellStart"/>
      <w:r w:rsidR="0080293B" w:rsidRPr="00F3439A">
        <w:rPr>
          <w:bCs/>
          <w:sz w:val="22"/>
          <w:szCs w:val="22"/>
          <w:lang w:val="sr-Latn-ME"/>
        </w:rPr>
        <w:t>polipropilena</w:t>
      </w:r>
      <w:proofErr w:type="spellEnd"/>
      <w:r w:rsidR="0080293B" w:rsidRPr="00F3439A">
        <w:rPr>
          <w:bCs/>
          <w:sz w:val="22"/>
          <w:szCs w:val="22"/>
          <w:lang w:val="sr-Latn-ME"/>
        </w:rPr>
        <w:t>.</w:t>
      </w:r>
    </w:p>
    <w:p w14:paraId="0E669C4A" w14:textId="7BD27D9F" w:rsidR="00607D88" w:rsidRDefault="00607D88" w:rsidP="005F54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Igla za potkožnu primjenu (25 G; 16 mm) je uključena u pakovanje.</w:t>
      </w:r>
    </w:p>
    <w:p w14:paraId="5BF1C83E" w14:textId="77777777" w:rsidR="00607D88" w:rsidRPr="00F3439A" w:rsidRDefault="00607D88" w:rsidP="005F54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</w:p>
    <w:p w14:paraId="703DFC1B" w14:textId="219AA466" w:rsidR="0080293B" w:rsidRPr="00F3439A" w:rsidRDefault="0080293B" w:rsidP="005F546A">
      <w:pPr>
        <w:tabs>
          <w:tab w:val="left" w:pos="540"/>
          <w:tab w:val="left" w:pos="569"/>
        </w:tabs>
        <w:jc w:val="both"/>
        <w:rPr>
          <w:bCs/>
          <w:sz w:val="22"/>
          <w:szCs w:val="22"/>
          <w:lang w:val="sr-Latn-ME"/>
        </w:rPr>
      </w:pPr>
      <w:r w:rsidRPr="00F3439A">
        <w:rPr>
          <w:bCs/>
          <w:sz w:val="22"/>
          <w:szCs w:val="22"/>
          <w:lang w:val="sr-Latn-ME"/>
        </w:rPr>
        <w:t xml:space="preserve">Spoljašnje pakovanje je </w:t>
      </w:r>
      <w:proofErr w:type="spellStart"/>
      <w:r w:rsidRPr="00F3439A">
        <w:rPr>
          <w:bCs/>
          <w:sz w:val="22"/>
          <w:szCs w:val="22"/>
          <w:lang w:val="sr-Latn-ME"/>
        </w:rPr>
        <w:t>složiva</w:t>
      </w:r>
      <w:proofErr w:type="spellEnd"/>
      <w:r w:rsidRPr="00F3439A">
        <w:rPr>
          <w:bCs/>
          <w:sz w:val="22"/>
          <w:szCs w:val="22"/>
          <w:lang w:val="sr-Latn-ME"/>
        </w:rPr>
        <w:t xml:space="preserve"> kartonska kutija u kojoj se nalaze jedan špric, jedna igla (25G, 16 mm) i Uputstvo za l</w:t>
      </w:r>
      <w:r w:rsidR="00B07EB7" w:rsidRPr="00F3439A">
        <w:rPr>
          <w:bCs/>
          <w:sz w:val="22"/>
          <w:szCs w:val="22"/>
          <w:lang w:val="sr-Latn-ME"/>
        </w:rPr>
        <w:t>ij</w:t>
      </w:r>
      <w:r w:rsidRPr="00F3439A">
        <w:rPr>
          <w:bCs/>
          <w:sz w:val="22"/>
          <w:szCs w:val="22"/>
          <w:lang w:val="sr-Latn-ME"/>
        </w:rPr>
        <w:t>ek.</w:t>
      </w:r>
    </w:p>
    <w:p w14:paraId="14FD952B" w14:textId="77777777" w:rsidR="0080293B" w:rsidRPr="00F3439A" w:rsidRDefault="0080293B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F5041C0" w14:textId="77777777" w:rsidR="002846DB" w:rsidRPr="00F3439A" w:rsidRDefault="0072020E" w:rsidP="005F546A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3439A">
        <w:rPr>
          <w:b/>
          <w:bCs/>
          <w:sz w:val="22"/>
          <w:szCs w:val="22"/>
          <w:lang w:val="sr-Latn-ME"/>
        </w:rPr>
        <w:t xml:space="preserve">6.6. </w:t>
      </w:r>
      <w:r w:rsidR="00480FB1" w:rsidRPr="00F3439A">
        <w:rPr>
          <w:b/>
          <w:bCs/>
          <w:sz w:val="22"/>
          <w:szCs w:val="22"/>
          <w:lang w:val="sr-Latn-ME"/>
        </w:rPr>
        <w:tab/>
      </w:r>
      <w:r w:rsidRPr="00F3439A">
        <w:rPr>
          <w:b/>
          <w:bCs/>
          <w:color w:val="000000"/>
          <w:sz w:val="22"/>
          <w:szCs w:val="22"/>
          <w:lang w:val="sr-Latn-ME"/>
        </w:rPr>
        <w:t>Posebne mjere opreza pri odlaganju materijala koji treba odbaciti nakon primjene lijeka</w:t>
      </w:r>
      <w:r w:rsidRPr="00F3439A">
        <w:rPr>
          <w:b/>
          <w:bCs/>
          <w:sz w:val="22"/>
          <w:szCs w:val="22"/>
          <w:lang w:val="sr-Latn-ME"/>
        </w:rPr>
        <w:t xml:space="preserve"> </w:t>
      </w:r>
      <w:r w:rsidR="00310F03" w:rsidRPr="00F3439A">
        <w:rPr>
          <w:b/>
          <w:bCs/>
          <w:sz w:val="22"/>
          <w:szCs w:val="22"/>
          <w:lang w:val="sr-Latn-ME"/>
        </w:rPr>
        <w:t>(i druga uputs</w:t>
      </w:r>
      <w:r w:rsidR="004109FA" w:rsidRPr="00F3439A">
        <w:rPr>
          <w:b/>
          <w:bCs/>
          <w:sz w:val="22"/>
          <w:szCs w:val="22"/>
          <w:lang w:val="sr-Latn-ME"/>
        </w:rPr>
        <w:t>t</w:t>
      </w:r>
      <w:r w:rsidR="00310F03" w:rsidRPr="00F3439A">
        <w:rPr>
          <w:b/>
          <w:bCs/>
          <w:sz w:val="22"/>
          <w:szCs w:val="22"/>
          <w:lang w:val="sr-Latn-ME"/>
        </w:rPr>
        <w:t xml:space="preserve">va za rukovanje lijekom) </w:t>
      </w:r>
    </w:p>
    <w:p w14:paraId="24F74642" w14:textId="77777777" w:rsidR="00B66A70" w:rsidRPr="00F3439A" w:rsidRDefault="00B66A70" w:rsidP="005F546A">
      <w:pPr>
        <w:tabs>
          <w:tab w:val="left" w:pos="540"/>
          <w:tab w:val="left" w:pos="569"/>
        </w:tabs>
        <w:jc w:val="both"/>
        <w:rPr>
          <w:b/>
          <w:bCs/>
          <w:sz w:val="22"/>
          <w:szCs w:val="22"/>
          <w:lang w:val="sr-Latn-ME"/>
        </w:rPr>
      </w:pPr>
    </w:p>
    <w:p w14:paraId="3D4F0DD8" w14:textId="77777777" w:rsidR="0080293B" w:rsidRPr="00F3439A" w:rsidRDefault="0080293B" w:rsidP="005F546A">
      <w:pPr>
        <w:pStyle w:val="BodyText"/>
        <w:ind w:left="0"/>
        <w:rPr>
          <w:lang w:val="sr-Latn-ME"/>
        </w:rPr>
      </w:pPr>
      <w:r w:rsidRPr="00F3439A">
        <w:rPr>
          <w:lang w:val="sr-Latn-ME"/>
        </w:rPr>
        <w:t xml:space="preserve">Rastvor treba da bude bistar, bezbojan i bez vidljivih čestica. </w:t>
      </w:r>
    </w:p>
    <w:p w14:paraId="1CD2F655" w14:textId="77777777" w:rsidR="0080293B" w:rsidRPr="00F3439A" w:rsidRDefault="0080293B" w:rsidP="005F546A">
      <w:pPr>
        <w:pStyle w:val="BodyText"/>
        <w:ind w:left="0"/>
        <w:rPr>
          <w:lang w:val="sr-Latn-ME"/>
        </w:rPr>
      </w:pPr>
    </w:p>
    <w:p w14:paraId="6440CCB4" w14:textId="4AA5B8DB" w:rsidR="0080293B" w:rsidRPr="00F3439A" w:rsidRDefault="0080293B" w:rsidP="005F546A">
      <w:pPr>
        <w:pStyle w:val="BodyText"/>
        <w:ind w:left="0"/>
        <w:rPr>
          <w:u w:val="single"/>
          <w:lang w:val="sr-Latn-ME"/>
        </w:rPr>
      </w:pPr>
      <w:r w:rsidRPr="00F3439A">
        <w:rPr>
          <w:u w:val="single"/>
          <w:lang w:val="sr-Latn-ME"/>
        </w:rPr>
        <w:t>Pedijatrijska prim</w:t>
      </w:r>
      <w:r w:rsidR="00A21E4D">
        <w:rPr>
          <w:u w:val="single"/>
          <w:lang w:val="sr-Latn-ME"/>
        </w:rPr>
        <w:t>j</w:t>
      </w:r>
      <w:r w:rsidRPr="00F3439A">
        <w:rPr>
          <w:u w:val="single"/>
          <w:lang w:val="sr-Latn-ME"/>
        </w:rPr>
        <w:t>ena</w:t>
      </w:r>
    </w:p>
    <w:p w14:paraId="24FA0D94" w14:textId="77777777" w:rsidR="0080293B" w:rsidRPr="00F3439A" w:rsidRDefault="0080293B" w:rsidP="005F546A">
      <w:pPr>
        <w:pStyle w:val="BodyText"/>
        <w:ind w:left="0"/>
        <w:rPr>
          <w:u w:val="single"/>
          <w:lang w:val="sr-Latn-ME"/>
        </w:rPr>
      </w:pPr>
    </w:p>
    <w:p w14:paraId="27E7A7BB" w14:textId="68BE5ABA" w:rsidR="0080293B" w:rsidRPr="00F3439A" w:rsidRDefault="0080293B" w:rsidP="005F546A">
      <w:pPr>
        <w:pStyle w:val="BodyText"/>
        <w:ind w:left="0"/>
        <w:rPr>
          <w:lang w:val="sr-Latn-ME"/>
        </w:rPr>
      </w:pPr>
      <w:r w:rsidRPr="00F3439A">
        <w:rPr>
          <w:lang w:val="sr-Latn-ME"/>
        </w:rPr>
        <w:t xml:space="preserve">Odgovarajuća doza koju treba </w:t>
      </w:r>
      <w:r w:rsidR="00F3439A" w:rsidRPr="00F3439A">
        <w:rPr>
          <w:lang w:val="sr-Latn-ME"/>
        </w:rPr>
        <w:t xml:space="preserve">primijeniti </w:t>
      </w:r>
      <w:r w:rsidR="00787ECE">
        <w:rPr>
          <w:lang w:val="sr-Latn-ME"/>
        </w:rPr>
        <w:t>određuje</w:t>
      </w:r>
      <w:r w:rsidRPr="00F3439A">
        <w:rPr>
          <w:lang w:val="sr-Latn-ME"/>
        </w:rPr>
        <w:t xml:space="preserve"> se na </w:t>
      </w:r>
      <w:r w:rsidR="00607D88">
        <w:rPr>
          <w:lang w:val="sr-Latn-ME"/>
        </w:rPr>
        <w:t xml:space="preserve">osnovu </w:t>
      </w:r>
      <w:r w:rsidRPr="00F3439A">
        <w:rPr>
          <w:lang w:val="sr-Latn-ME"/>
        </w:rPr>
        <w:t>t</w:t>
      </w:r>
      <w:r w:rsidR="00B07EB7" w:rsidRPr="00F3439A">
        <w:rPr>
          <w:lang w:val="sr-Latn-ME"/>
        </w:rPr>
        <w:t>j</w:t>
      </w:r>
      <w:r w:rsidRPr="00F3439A">
        <w:rPr>
          <w:lang w:val="sr-Latn-ME"/>
        </w:rPr>
        <w:t>elesn</w:t>
      </w:r>
      <w:r w:rsidR="00607D88">
        <w:rPr>
          <w:lang w:val="sr-Latn-ME"/>
        </w:rPr>
        <w:t>e</w:t>
      </w:r>
      <w:r w:rsidRPr="00F3439A">
        <w:rPr>
          <w:lang w:val="sr-Latn-ME"/>
        </w:rPr>
        <w:t xml:space="preserve"> mas</w:t>
      </w:r>
      <w:r w:rsidR="00607D88">
        <w:rPr>
          <w:lang w:val="sr-Latn-ME"/>
        </w:rPr>
        <w:t>e</w:t>
      </w:r>
      <w:r w:rsidRPr="00F3439A">
        <w:rPr>
          <w:lang w:val="sr-Latn-ME"/>
        </w:rPr>
        <w:t xml:space="preserve"> (vid</w:t>
      </w:r>
      <w:r w:rsidR="00B07EB7" w:rsidRPr="00F3439A">
        <w:rPr>
          <w:lang w:val="sr-Latn-ME"/>
        </w:rPr>
        <w:t>j</w:t>
      </w:r>
      <w:r w:rsidRPr="00F3439A">
        <w:rPr>
          <w:lang w:val="sr-Latn-ME"/>
        </w:rPr>
        <w:t>eti od</w:t>
      </w:r>
      <w:r w:rsidR="00B07EB7" w:rsidRPr="00F3439A">
        <w:rPr>
          <w:lang w:val="sr-Latn-ME"/>
        </w:rPr>
        <w:t>j</w:t>
      </w:r>
      <w:r w:rsidRPr="00F3439A">
        <w:rPr>
          <w:lang w:val="sr-Latn-ME"/>
        </w:rPr>
        <w:t>eljak 4.2).</w:t>
      </w:r>
    </w:p>
    <w:p w14:paraId="7D1A76EA" w14:textId="77777777" w:rsidR="0080293B" w:rsidRPr="00F3439A" w:rsidRDefault="0080293B" w:rsidP="005F546A">
      <w:pPr>
        <w:pStyle w:val="BodyText"/>
        <w:ind w:left="0"/>
        <w:rPr>
          <w:lang w:val="sr-Latn-ME"/>
        </w:rPr>
      </w:pPr>
    </w:p>
    <w:p w14:paraId="7B50E1DF" w14:textId="69AB7F43" w:rsidR="0080293B" w:rsidRPr="00F3439A" w:rsidRDefault="0080293B" w:rsidP="005F546A">
      <w:pPr>
        <w:pStyle w:val="BodyText"/>
        <w:ind w:left="0"/>
        <w:rPr>
          <w:lang w:val="sr-Latn-ME"/>
        </w:rPr>
      </w:pPr>
      <w:r w:rsidRPr="00F3439A">
        <w:rPr>
          <w:lang w:val="sr-Latn-ME"/>
        </w:rPr>
        <w:t>Kada je potrebna doza niža od 30 mg (3 m</w:t>
      </w:r>
      <w:r w:rsidR="00A21E4D">
        <w:rPr>
          <w:lang w:val="sr-Latn-ME"/>
        </w:rPr>
        <w:t>l</w:t>
      </w:r>
      <w:r w:rsidRPr="00F3439A">
        <w:rPr>
          <w:lang w:val="sr-Latn-ME"/>
        </w:rPr>
        <w:t>), potrebna je sl</w:t>
      </w:r>
      <w:r w:rsidR="00A21E4D">
        <w:rPr>
          <w:lang w:val="sr-Latn-ME"/>
        </w:rPr>
        <w:t>j</w:t>
      </w:r>
      <w:r w:rsidRPr="00F3439A">
        <w:rPr>
          <w:lang w:val="sr-Latn-ME"/>
        </w:rPr>
        <w:t>edeća oprema za uzimanje i prim</w:t>
      </w:r>
      <w:r w:rsidR="00B07EB7" w:rsidRPr="00F3439A">
        <w:rPr>
          <w:lang w:val="sr-Latn-ME"/>
        </w:rPr>
        <w:t>j</w:t>
      </w:r>
      <w:r w:rsidRPr="00F3439A">
        <w:rPr>
          <w:lang w:val="sr-Latn-ME"/>
        </w:rPr>
        <w:t>enu odgovarajuće doze:</w:t>
      </w:r>
    </w:p>
    <w:p w14:paraId="68F61362" w14:textId="77777777" w:rsidR="0080293B" w:rsidRPr="00F3439A" w:rsidRDefault="0080293B" w:rsidP="005F546A">
      <w:pPr>
        <w:pStyle w:val="BodyText"/>
        <w:numPr>
          <w:ilvl w:val="0"/>
          <w:numId w:val="12"/>
        </w:numPr>
        <w:rPr>
          <w:lang w:val="sr-Latn-ME"/>
        </w:rPr>
      </w:pPr>
      <w:r w:rsidRPr="00F3439A">
        <w:rPr>
          <w:lang w:val="sr-Latn-ME"/>
        </w:rPr>
        <w:t>Adapter (</w:t>
      </w:r>
      <w:proofErr w:type="spellStart"/>
      <w:r w:rsidRPr="00F3439A">
        <w:rPr>
          <w:lang w:val="sr-Latn-ME"/>
        </w:rPr>
        <w:t>proksimalni</w:t>
      </w:r>
      <w:proofErr w:type="spellEnd"/>
      <w:r w:rsidRPr="00F3439A">
        <w:rPr>
          <w:lang w:val="sr-Latn-ME"/>
        </w:rPr>
        <w:t xml:space="preserve"> i/ili </w:t>
      </w:r>
      <w:proofErr w:type="spellStart"/>
      <w:r w:rsidRPr="00F3439A">
        <w:rPr>
          <w:lang w:val="sr-Latn-ME"/>
        </w:rPr>
        <w:t>distalni</w:t>
      </w:r>
      <w:proofErr w:type="spellEnd"/>
      <w:r w:rsidRPr="00F3439A">
        <w:rPr>
          <w:lang w:val="sr-Latn-ME"/>
        </w:rPr>
        <w:t xml:space="preserve"> ženski </w:t>
      </w:r>
      <w:proofErr w:type="spellStart"/>
      <w:r w:rsidRPr="00F3439A">
        <w:rPr>
          <w:i/>
          <w:iCs/>
          <w:lang w:val="sr-Latn-ME"/>
        </w:rPr>
        <w:t>luer</w:t>
      </w:r>
      <w:proofErr w:type="spellEnd"/>
      <w:r w:rsidRPr="00F3439A">
        <w:rPr>
          <w:i/>
          <w:iCs/>
          <w:lang w:val="sr-Latn-ME"/>
        </w:rPr>
        <w:t xml:space="preserve"> </w:t>
      </w:r>
      <w:proofErr w:type="spellStart"/>
      <w:r w:rsidRPr="00F3439A">
        <w:rPr>
          <w:i/>
          <w:iCs/>
          <w:lang w:val="sr-Latn-ME"/>
        </w:rPr>
        <w:t>lock</w:t>
      </w:r>
      <w:proofErr w:type="spellEnd"/>
      <w:r w:rsidRPr="00F3439A">
        <w:rPr>
          <w:lang w:val="sr-Latn-ME"/>
        </w:rPr>
        <w:t xml:space="preserve"> konektor/</w:t>
      </w:r>
      <w:proofErr w:type="spellStart"/>
      <w:r w:rsidRPr="00F3439A">
        <w:rPr>
          <w:lang w:val="sr-Latn-ME"/>
        </w:rPr>
        <w:t>spojnik</w:t>
      </w:r>
      <w:proofErr w:type="spellEnd"/>
      <w:r w:rsidRPr="00F3439A">
        <w:rPr>
          <w:lang w:val="sr-Latn-ME"/>
        </w:rPr>
        <w:t>)</w:t>
      </w:r>
    </w:p>
    <w:p w14:paraId="43527BAE" w14:textId="733E2A8B" w:rsidR="0080293B" w:rsidRPr="00F3439A" w:rsidRDefault="0080293B" w:rsidP="005F546A">
      <w:pPr>
        <w:pStyle w:val="BodyText"/>
        <w:numPr>
          <w:ilvl w:val="0"/>
          <w:numId w:val="12"/>
        </w:numPr>
        <w:rPr>
          <w:lang w:val="sr-Latn-ME"/>
        </w:rPr>
      </w:pPr>
      <w:r w:rsidRPr="00F3439A">
        <w:rPr>
          <w:lang w:val="sr-Latn-ME"/>
        </w:rPr>
        <w:t>Graduisani špric od 3 m</w:t>
      </w:r>
      <w:r w:rsidR="00A21E4D">
        <w:rPr>
          <w:lang w:val="sr-Latn-ME"/>
        </w:rPr>
        <w:t>l</w:t>
      </w:r>
      <w:r w:rsidRPr="00F3439A">
        <w:rPr>
          <w:lang w:val="sr-Latn-ME"/>
        </w:rPr>
        <w:t xml:space="preserve"> (preporučena)</w:t>
      </w:r>
    </w:p>
    <w:p w14:paraId="4E5F9D53" w14:textId="77777777" w:rsidR="0080293B" w:rsidRPr="00F3439A" w:rsidRDefault="0080293B" w:rsidP="005F546A">
      <w:pPr>
        <w:pStyle w:val="BodyText"/>
        <w:ind w:left="0"/>
        <w:rPr>
          <w:lang w:val="sr-Latn-ME"/>
        </w:rPr>
      </w:pPr>
    </w:p>
    <w:p w14:paraId="45234E32" w14:textId="704F3DBC" w:rsidR="0080293B" w:rsidRPr="00F3439A" w:rsidRDefault="0080293B" w:rsidP="005F546A">
      <w:pPr>
        <w:pStyle w:val="BodyText"/>
        <w:ind w:left="0"/>
        <w:rPr>
          <w:lang w:val="sr-Latn-ME"/>
        </w:rPr>
      </w:pPr>
      <w:r w:rsidRPr="00F3439A">
        <w:rPr>
          <w:lang w:val="sr-Latn-ME"/>
        </w:rPr>
        <w:t xml:space="preserve">Napunjen špric </w:t>
      </w:r>
      <w:proofErr w:type="spellStart"/>
      <w:r w:rsidRPr="00F3439A">
        <w:rPr>
          <w:lang w:val="sr-Latn-ME"/>
        </w:rPr>
        <w:t>ikatibanta</w:t>
      </w:r>
      <w:proofErr w:type="spellEnd"/>
      <w:r w:rsidRPr="00F3439A">
        <w:rPr>
          <w:lang w:val="sr-Latn-ME"/>
        </w:rPr>
        <w:t xml:space="preserve"> i sve druge komponente nam</w:t>
      </w:r>
      <w:r w:rsidR="001E2D3F">
        <w:rPr>
          <w:lang w:val="sr-Latn-ME"/>
        </w:rPr>
        <w:t>i</w:t>
      </w:r>
      <w:r w:rsidR="00B07EB7" w:rsidRPr="00F3439A">
        <w:rPr>
          <w:lang w:val="sr-Latn-ME"/>
        </w:rPr>
        <w:t>j</w:t>
      </w:r>
      <w:r w:rsidRPr="00F3439A">
        <w:rPr>
          <w:lang w:val="sr-Latn-ME"/>
        </w:rPr>
        <w:t>enjene su samo za jednokratnu upotrebu.</w:t>
      </w:r>
    </w:p>
    <w:p w14:paraId="767BB438" w14:textId="77777777" w:rsidR="0080293B" w:rsidRPr="00F3439A" w:rsidRDefault="0080293B" w:rsidP="005F546A">
      <w:pPr>
        <w:pStyle w:val="BodyText"/>
        <w:ind w:left="0"/>
        <w:rPr>
          <w:lang w:val="sr-Latn-ME"/>
        </w:rPr>
      </w:pPr>
    </w:p>
    <w:p w14:paraId="02BDC34E" w14:textId="786DBE05" w:rsidR="0080293B" w:rsidRPr="00F3439A" w:rsidRDefault="0080293B" w:rsidP="005F546A">
      <w:pPr>
        <w:pStyle w:val="BodyText"/>
        <w:ind w:left="0"/>
        <w:rPr>
          <w:lang w:val="sr-Latn-ME"/>
        </w:rPr>
      </w:pPr>
      <w:r w:rsidRPr="00F3439A">
        <w:rPr>
          <w:lang w:val="sr-Latn-ME"/>
        </w:rPr>
        <w:t>Svu</w:t>
      </w:r>
      <w:r w:rsidRPr="00F3439A">
        <w:rPr>
          <w:spacing w:val="17"/>
          <w:lang w:val="sr-Latn-ME"/>
        </w:rPr>
        <w:t xml:space="preserve"> </w:t>
      </w:r>
      <w:r w:rsidRPr="00F3439A">
        <w:rPr>
          <w:lang w:val="sr-Latn-ME"/>
        </w:rPr>
        <w:t>neiskorišćenu</w:t>
      </w:r>
      <w:r w:rsidRPr="00F3439A">
        <w:rPr>
          <w:spacing w:val="22"/>
          <w:lang w:val="sr-Latn-ME"/>
        </w:rPr>
        <w:t xml:space="preserve"> </w:t>
      </w:r>
      <w:r w:rsidRPr="00F3439A">
        <w:rPr>
          <w:lang w:val="sr-Latn-ME"/>
        </w:rPr>
        <w:t>količinu</w:t>
      </w:r>
      <w:r w:rsidRPr="00F3439A">
        <w:rPr>
          <w:spacing w:val="22"/>
          <w:lang w:val="sr-Latn-ME"/>
        </w:rPr>
        <w:t xml:space="preserve"> </w:t>
      </w:r>
      <w:r w:rsidRPr="00F3439A">
        <w:rPr>
          <w:lang w:val="sr-Latn-ME"/>
        </w:rPr>
        <w:t>l</w:t>
      </w:r>
      <w:r w:rsidR="00B07EB7" w:rsidRPr="00F3439A">
        <w:rPr>
          <w:lang w:val="sr-Latn-ME"/>
        </w:rPr>
        <w:t>ij</w:t>
      </w:r>
      <w:r w:rsidRPr="00F3439A">
        <w:rPr>
          <w:lang w:val="sr-Latn-ME"/>
        </w:rPr>
        <w:t>eka</w:t>
      </w:r>
      <w:r w:rsidRPr="00F3439A">
        <w:rPr>
          <w:spacing w:val="20"/>
          <w:lang w:val="sr-Latn-ME"/>
        </w:rPr>
        <w:t xml:space="preserve"> </w:t>
      </w:r>
      <w:r w:rsidRPr="00F3439A">
        <w:rPr>
          <w:lang w:val="sr-Latn-ME"/>
        </w:rPr>
        <w:t>ili</w:t>
      </w:r>
      <w:r w:rsidRPr="00F3439A">
        <w:rPr>
          <w:spacing w:val="15"/>
          <w:lang w:val="sr-Latn-ME"/>
        </w:rPr>
        <w:t xml:space="preserve"> </w:t>
      </w:r>
      <w:r w:rsidRPr="00F3439A">
        <w:rPr>
          <w:lang w:val="sr-Latn-ME"/>
        </w:rPr>
        <w:t>otpadnog</w:t>
      </w:r>
      <w:r w:rsidRPr="00F3439A">
        <w:rPr>
          <w:spacing w:val="17"/>
          <w:lang w:val="sr-Latn-ME"/>
        </w:rPr>
        <w:t xml:space="preserve"> </w:t>
      </w:r>
      <w:r w:rsidRPr="00F3439A">
        <w:rPr>
          <w:lang w:val="sr-Latn-ME"/>
        </w:rPr>
        <w:t>materijala</w:t>
      </w:r>
      <w:r w:rsidRPr="00F3439A">
        <w:rPr>
          <w:spacing w:val="20"/>
          <w:lang w:val="sr-Latn-ME"/>
        </w:rPr>
        <w:t xml:space="preserve"> </w:t>
      </w:r>
      <w:r w:rsidRPr="00F3439A">
        <w:rPr>
          <w:lang w:val="sr-Latn-ME"/>
        </w:rPr>
        <w:t>nakon</w:t>
      </w:r>
      <w:r w:rsidRPr="00F3439A">
        <w:rPr>
          <w:spacing w:val="17"/>
          <w:lang w:val="sr-Latn-ME"/>
        </w:rPr>
        <w:t xml:space="preserve"> </w:t>
      </w:r>
      <w:r w:rsidRPr="00F3439A">
        <w:rPr>
          <w:lang w:val="sr-Latn-ME"/>
        </w:rPr>
        <w:t>njegove</w:t>
      </w:r>
      <w:r w:rsidRPr="00F3439A">
        <w:rPr>
          <w:spacing w:val="11"/>
          <w:lang w:val="sr-Latn-ME"/>
        </w:rPr>
        <w:t xml:space="preserve"> </w:t>
      </w:r>
      <w:r w:rsidRPr="00F3439A">
        <w:rPr>
          <w:lang w:val="sr-Latn-ME"/>
        </w:rPr>
        <w:t>upotrebe</w:t>
      </w:r>
      <w:r w:rsidRPr="00F3439A">
        <w:rPr>
          <w:spacing w:val="12"/>
          <w:lang w:val="sr-Latn-ME"/>
        </w:rPr>
        <w:t xml:space="preserve"> </w:t>
      </w:r>
      <w:r w:rsidRPr="00F3439A">
        <w:rPr>
          <w:lang w:val="sr-Latn-ME"/>
        </w:rPr>
        <w:t>treba</w:t>
      </w:r>
      <w:r w:rsidRPr="00F3439A">
        <w:rPr>
          <w:spacing w:val="20"/>
          <w:lang w:val="sr-Latn-ME"/>
        </w:rPr>
        <w:t xml:space="preserve"> </w:t>
      </w:r>
      <w:r w:rsidRPr="00F3439A">
        <w:rPr>
          <w:lang w:val="sr-Latn-ME"/>
        </w:rPr>
        <w:t>ukloniti,</w:t>
      </w:r>
      <w:r w:rsidRPr="00F3439A">
        <w:rPr>
          <w:spacing w:val="20"/>
          <w:lang w:val="sr-Latn-ME"/>
        </w:rPr>
        <w:t xml:space="preserve"> </w:t>
      </w:r>
      <w:r w:rsidRPr="00F3439A">
        <w:rPr>
          <w:lang w:val="sr-Latn-ME"/>
        </w:rPr>
        <w:t>u</w:t>
      </w:r>
      <w:r w:rsidRPr="00F3439A">
        <w:rPr>
          <w:spacing w:val="17"/>
          <w:lang w:val="sr-Latn-ME"/>
        </w:rPr>
        <w:t xml:space="preserve"> </w:t>
      </w:r>
      <w:r w:rsidRPr="00F3439A">
        <w:rPr>
          <w:lang w:val="sr-Latn-ME"/>
        </w:rPr>
        <w:t>skladu</w:t>
      </w:r>
      <w:r w:rsidRPr="00F3439A">
        <w:rPr>
          <w:spacing w:val="17"/>
          <w:lang w:val="sr-Latn-ME"/>
        </w:rPr>
        <w:t xml:space="preserve"> </w:t>
      </w:r>
      <w:r w:rsidRPr="00F3439A">
        <w:rPr>
          <w:lang w:val="sr-Latn-ME"/>
        </w:rPr>
        <w:t>sa</w:t>
      </w:r>
      <w:r w:rsidRPr="00F3439A">
        <w:rPr>
          <w:spacing w:val="1"/>
          <w:lang w:val="sr-Latn-ME"/>
        </w:rPr>
        <w:t xml:space="preserve"> </w:t>
      </w:r>
      <w:r w:rsidRPr="00F3439A">
        <w:rPr>
          <w:lang w:val="sr-Latn-ME"/>
        </w:rPr>
        <w:t>važećim</w:t>
      </w:r>
      <w:r w:rsidRPr="00F3439A">
        <w:rPr>
          <w:spacing w:val="-7"/>
          <w:lang w:val="sr-Latn-ME"/>
        </w:rPr>
        <w:t xml:space="preserve"> </w:t>
      </w:r>
      <w:r w:rsidRPr="00F3439A">
        <w:rPr>
          <w:lang w:val="sr-Latn-ME"/>
        </w:rPr>
        <w:t>propisima.</w:t>
      </w:r>
    </w:p>
    <w:p w14:paraId="44FA3DA9" w14:textId="77777777" w:rsidR="0080293B" w:rsidRPr="00F3439A" w:rsidRDefault="0080293B" w:rsidP="005F546A">
      <w:pPr>
        <w:pStyle w:val="BodyText"/>
        <w:ind w:left="0"/>
        <w:rPr>
          <w:lang w:val="sr-Latn-ME"/>
        </w:rPr>
      </w:pPr>
    </w:p>
    <w:p w14:paraId="4F1C4A52" w14:textId="77777777" w:rsidR="0080293B" w:rsidRPr="00F3439A" w:rsidRDefault="0080293B" w:rsidP="005F546A">
      <w:pPr>
        <w:pStyle w:val="BodyText"/>
        <w:ind w:left="0"/>
        <w:rPr>
          <w:lang w:val="sr-Latn-ME"/>
        </w:rPr>
      </w:pPr>
      <w:r w:rsidRPr="00F3439A">
        <w:rPr>
          <w:lang w:val="sr-Latn-ME"/>
        </w:rPr>
        <w:t>Sve igle i špric trebaju biti odloženi u rezervoar za oštre predmete.</w:t>
      </w:r>
    </w:p>
    <w:p w14:paraId="0B5C190A" w14:textId="7C1EDD48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471C093E" w14:textId="77777777" w:rsidR="008C51F8" w:rsidRPr="00F3439A" w:rsidRDefault="008C51F8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73941AA" w14:textId="77777777" w:rsidR="00F8570A" w:rsidRPr="00F3439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3439A">
        <w:rPr>
          <w:b/>
          <w:bCs/>
          <w:sz w:val="22"/>
          <w:szCs w:val="22"/>
          <w:lang w:val="sr-Latn-ME"/>
        </w:rPr>
        <w:t xml:space="preserve">7. </w:t>
      </w:r>
      <w:r w:rsidR="00480FB1" w:rsidRPr="00F3439A">
        <w:rPr>
          <w:b/>
          <w:bCs/>
          <w:sz w:val="22"/>
          <w:szCs w:val="22"/>
          <w:lang w:val="sr-Latn-ME"/>
        </w:rPr>
        <w:tab/>
      </w:r>
      <w:r w:rsidRPr="00F3439A">
        <w:rPr>
          <w:b/>
          <w:bCs/>
          <w:sz w:val="22"/>
          <w:szCs w:val="22"/>
          <w:lang w:val="sr-Latn-ME"/>
        </w:rPr>
        <w:t>NOSILAC DOZVOLE</w:t>
      </w:r>
      <w:r w:rsidR="00483928" w:rsidRPr="00F3439A">
        <w:rPr>
          <w:b/>
          <w:bCs/>
          <w:sz w:val="22"/>
          <w:szCs w:val="22"/>
          <w:lang w:val="sr-Latn-ME"/>
        </w:rPr>
        <w:t xml:space="preserve"> </w:t>
      </w:r>
    </w:p>
    <w:p w14:paraId="1A98F6F8" w14:textId="77777777" w:rsidR="00C61BE0" w:rsidRPr="00F3439A" w:rsidRDefault="00C61BE0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F5CDDD9" w14:textId="234F3177" w:rsidR="0063594C" w:rsidRDefault="00035A13" w:rsidP="0063594C">
      <w:pPr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 xml:space="preserve">Farmont </w:t>
      </w:r>
      <w:proofErr w:type="spellStart"/>
      <w:r>
        <w:rPr>
          <w:sz w:val="22"/>
          <w:szCs w:val="22"/>
          <w:lang w:val="sr-Latn-RS"/>
        </w:rPr>
        <w:t>M.P</w:t>
      </w:r>
      <w:proofErr w:type="spellEnd"/>
      <w:r>
        <w:rPr>
          <w:sz w:val="22"/>
          <w:szCs w:val="22"/>
          <w:lang w:val="sr-Latn-RS"/>
        </w:rPr>
        <w:t>.</w:t>
      </w:r>
      <w:r w:rsidR="0063594C" w:rsidRPr="00065AD1">
        <w:rPr>
          <w:sz w:val="22"/>
          <w:szCs w:val="22"/>
          <w:lang w:val="sr-Latn-RS"/>
        </w:rPr>
        <w:t>,</w:t>
      </w:r>
    </w:p>
    <w:p w14:paraId="12B0993D" w14:textId="2416F1E3" w:rsidR="0063594C" w:rsidRPr="00065AD1" w:rsidRDefault="0063594C" w:rsidP="0063594C">
      <w:pPr>
        <w:rPr>
          <w:sz w:val="22"/>
          <w:szCs w:val="22"/>
          <w:lang w:val="sr-Latn-RS"/>
        </w:rPr>
      </w:pPr>
      <w:proofErr w:type="spellStart"/>
      <w:r>
        <w:rPr>
          <w:sz w:val="22"/>
          <w:szCs w:val="22"/>
          <w:lang w:val="sr-Latn-RS"/>
        </w:rPr>
        <w:t>Kosić</w:t>
      </w:r>
      <w:proofErr w:type="spellEnd"/>
      <w:r>
        <w:rPr>
          <w:sz w:val="22"/>
          <w:szCs w:val="22"/>
          <w:lang w:val="sr-Latn-RS"/>
        </w:rPr>
        <w:t>- Stari put</w:t>
      </w:r>
      <w:r w:rsidRPr="00065AD1">
        <w:rPr>
          <w:sz w:val="22"/>
          <w:szCs w:val="22"/>
          <w:lang w:val="sr-Latn-RS"/>
        </w:rPr>
        <w:t xml:space="preserve"> </w:t>
      </w:r>
      <w:r>
        <w:rPr>
          <w:sz w:val="22"/>
          <w:szCs w:val="22"/>
          <w:lang w:val="sr-Latn-RS"/>
        </w:rPr>
        <w:t>bb,</w:t>
      </w:r>
    </w:p>
    <w:p w14:paraId="2F0999F4" w14:textId="3800C084" w:rsidR="0063594C" w:rsidRDefault="0063594C" w:rsidP="0063594C">
      <w:pPr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Danilovgrad</w:t>
      </w:r>
    </w:p>
    <w:p w14:paraId="0FE64938" w14:textId="78828E7F" w:rsidR="0062603E" w:rsidRDefault="0062603E" w:rsidP="0063594C">
      <w:pPr>
        <w:rPr>
          <w:sz w:val="22"/>
          <w:szCs w:val="22"/>
          <w:lang w:val="sr-Latn-RS"/>
        </w:rPr>
      </w:pPr>
      <w:r>
        <w:rPr>
          <w:sz w:val="22"/>
          <w:szCs w:val="22"/>
          <w:lang w:val="sr-Latn-RS"/>
        </w:rPr>
        <w:t>Crna Gora</w:t>
      </w:r>
    </w:p>
    <w:p w14:paraId="583844B8" w14:textId="77777777" w:rsidR="0072020E" w:rsidRPr="00F3439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bookmarkStart w:id="0" w:name="_GoBack"/>
      <w:bookmarkEnd w:id="0"/>
      <w:r w:rsidRPr="00F3439A">
        <w:rPr>
          <w:b/>
          <w:bCs/>
          <w:sz w:val="22"/>
          <w:szCs w:val="22"/>
          <w:lang w:val="sr-Latn-ME"/>
        </w:rPr>
        <w:lastRenderedPageBreak/>
        <w:t xml:space="preserve">8. </w:t>
      </w:r>
      <w:r w:rsidR="00480FB1" w:rsidRPr="00F3439A">
        <w:rPr>
          <w:b/>
          <w:bCs/>
          <w:sz w:val="22"/>
          <w:szCs w:val="22"/>
          <w:lang w:val="sr-Latn-ME"/>
        </w:rPr>
        <w:tab/>
      </w:r>
      <w:r w:rsidRPr="00F3439A">
        <w:rPr>
          <w:b/>
          <w:bCs/>
          <w:sz w:val="22"/>
          <w:szCs w:val="22"/>
          <w:lang w:val="sr-Latn-ME"/>
        </w:rPr>
        <w:t>BROJ DOZVOLE</w:t>
      </w:r>
      <w:r w:rsidR="008A6D43" w:rsidRPr="00F3439A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01B13A2A" w14:textId="67E82B89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50DB0A59" w14:textId="6BB986E9" w:rsidR="008C51F8" w:rsidRPr="00035A13" w:rsidRDefault="008C51F8" w:rsidP="00035A13">
      <w:pPr>
        <w:tabs>
          <w:tab w:val="left" w:pos="2580"/>
        </w:tabs>
        <w:rPr>
          <w:sz w:val="22"/>
          <w:szCs w:val="22"/>
          <w:lang w:val="sr-Latn-ME"/>
        </w:rPr>
      </w:pPr>
      <w:r w:rsidRPr="00035A13">
        <w:rPr>
          <w:sz w:val="22"/>
          <w:szCs w:val="22"/>
          <w:lang w:val="sr-Latn-ME"/>
        </w:rPr>
        <w:t>2030/24/1999 - 8344</w:t>
      </w:r>
    </w:p>
    <w:p w14:paraId="70369F8B" w14:textId="77777777" w:rsidR="008C51F8" w:rsidRPr="00F3439A" w:rsidRDefault="008C51F8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710FF47" w14:textId="77777777" w:rsidR="00F45F77" w:rsidRPr="00F3439A" w:rsidRDefault="00F45F77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321E0C1B" w14:textId="77777777" w:rsidR="0072020E" w:rsidRPr="00F3439A" w:rsidRDefault="0072020E" w:rsidP="00480FB1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F3439A">
        <w:rPr>
          <w:b/>
          <w:bCs/>
          <w:sz w:val="22"/>
          <w:szCs w:val="22"/>
          <w:lang w:val="sr-Latn-ME"/>
        </w:rPr>
        <w:t xml:space="preserve">9. </w:t>
      </w:r>
      <w:r w:rsidR="00480FB1" w:rsidRPr="00F3439A">
        <w:rPr>
          <w:b/>
          <w:bCs/>
          <w:sz w:val="22"/>
          <w:szCs w:val="22"/>
          <w:lang w:val="sr-Latn-ME"/>
        </w:rPr>
        <w:tab/>
      </w:r>
      <w:r w:rsidRPr="00F3439A">
        <w:rPr>
          <w:b/>
          <w:bCs/>
          <w:sz w:val="22"/>
          <w:szCs w:val="22"/>
          <w:lang w:val="sr-Latn-ME"/>
        </w:rPr>
        <w:t xml:space="preserve">DATUM </w:t>
      </w:r>
      <w:r w:rsidR="00C05DF8" w:rsidRPr="00F3439A">
        <w:rPr>
          <w:b/>
          <w:bCs/>
          <w:sz w:val="22"/>
          <w:szCs w:val="22"/>
          <w:lang w:val="sr-Latn-ME"/>
        </w:rPr>
        <w:t xml:space="preserve">PRVE </w:t>
      </w:r>
      <w:r w:rsidR="008A6D43" w:rsidRPr="00F3439A">
        <w:rPr>
          <w:b/>
          <w:bCs/>
          <w:sz w:val="22"/>
          <w:szCs w:val="22"/>
          <w:lang w:val="sr-Latn-ME"/>
        </w:rPr>
        <w:t>DOZVOLE</w:t>
      </w:r>
      <w:r w:rsidR="00C05DF8" w:rsidRPr="00F3439A">
        <w:rPr>
          <w:b/>
          <w:bCs/>
          <w:sz w:val="22"/>
          <w:szCs w:val="22"/>
          <w:lang w:val="sr-Latn-ME"/>
        </w:rPr>
        <w:t>/OBNOVE DOZVOLE</w:t>
      </w:r>
      <w:r w:rsidR="008A6D43" w:rsidRPr="00F3439A">
        <w:rPr>
          <w:b/>
          <w:bCs/>
          <w:sz w:val="22"/>
          <w:szCs w:val="22"/>
          <w:lang w:val="sr-Latn-ME"/>
        </w:rPr>
        <w:t xml:space="preserve"> ZA STAVLJANJE LIJEKA U PROMET</w:t>
      </w:r>
    </w:p>
    <w:p w14:paraId="45C332F4" w14:textId="0CF3A30B" w:rsidR="0072020E" w:rsidRDefault="0072020E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79C29B1C" w14:textId="1FDF742B" w:rsidR="008C51F8" w:rsidRPr="00035A13" w:rsidRDefault="008C51F8" w:rsidP="00035A13">
      <w:pPr>
        <w:tabs>
          <w:tab w:val="left" w:pos="2580"/>
        </w:tabs>
        <w:rPr>
          <w:sz w:val="22"/>
          <w:szCs w:val="22"/>
          <w:lang w:val="sr-Latn-ME"/>
        </w:rPr>
      </w:pPr>
      <w:r w:rsidRPr="00035A13">
        <w:rPr>
          <w:sz w:val="22"/>
          <w:szCs w:val="22"/>
          <w:lang w:val="sr-Latn-ME"/>
        </w:rPr>
        <w:t>08.04.2024. godine</w:t>
      </w:r>
    </w:p>
    <w:p w14:paraId="5A786245" w14:textId="77777777" w:rsidR="008C51F8" w:rsidRPr="00F3439A" w:rsidRDefault="008C51F8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6C868C59" w14:textId="77777777" w:rsidR="00836B35" w:rsidRPr="00F3439A" w:rsidRDefault="00836B35" w:rsidP="00480FB1">
      <w:pPr>
        <w:tabs>
          <w:tab w:val="left" w:pos="540"/>
          <w:tab w:val="left" w:pos="569"/>
        </w:tabs>
        <w:rPr>
          <w:bCs/>
          <w:sz w:val="22"/>
          <w:szCs w:val="22"/>
          <w:lang w:val="sr-Latn-ME"/>
        </w:rPr>
      </w:pPr>
    </w:p>
    <w:p w14:paraId="00C3226E" w14:textId="3F51E943" w:rsidR="003F6A59" w:rsidRPr="00F3439A" w:rsidRDefault="0072020E" w:rsidP="00C05DF8">
      <w:pPr>
        <w:tabs>
          <w:tab w:val="left" w:pos="540"/>
          <w:tab w:val="left" w:pos="569"/>
        </w:tabs>
        <w:ind w:left="540" w:hanging="540"/>
        <w:rPr>
          <w:b/>
          <w:bCs/>
          <w:sz w:val="22"/>
          <w:szCs w:val="22"/>
          <w:lang w:val="sr-Latn-ME"/>
        </w:rPr>
      </w:pPr>
      <w:r w:rsidRPr="00F3439A">
        <w:rPr>
          <w:b/>
          <w:bCs/>
          <w:sz w:val="22"/>
          <w:szCs w:val="22"/>
          <w:lang w:val="sr-Latn-ME"/>
        </w:rPr>
        <w:t xml:space="preserve">10. </w:t>
      </w:r>
      <w:r w:rsidR="00480FB1" w:rsidRPr="00F3439A">
        <w:rPr>
          <w:b/>
          <w:bCs/>
          <w:sz w:val="22"/>
          <w:szCs w:val="22"/>
          <w:lang w:val="sr-Latn-ME"/>
        </w:rPr>
        <w:tab/>
      </w:r>
      <w:r w:rsidR="002846DB" w:rsidRPr="00F3439A">
        <w:rPr>
          <w:b/>
          <w:bCs/>
          <w:sz w:val="22"/>
          <w:szCs w:val="22"/>
          <w:lang w:val="sr-Latn-ME"/>
        </w:rPr>
        <w:t>D</w:t>
      </w:r>
      <w:r w:rsidR="00EC2532" w:rsidRPr="00F3439A">
        <w:rPr>
          <w:b/>
          <w:bCs/>
          <w:sz w:val="22"/>
          <w:szCs w:val="22"/>
          <w:lang w:val="sr-Latn-ME"/>
        </w:rPr>
        <w:t xml:space="preserve">ATUM REVIZIJE TEKSTA </w:t>
      </w:r>
    </w:p>
    <w:p w14:paraId="05B6158F" w14:textId="77777777" w:rsidR="004708F3" w:rsidRPr="00F3439A" w:rsidRDefault="004708F3" w:rsidP="004708F3">
      <w:pPr>
        <w:rPr>
          <w:b/>
          <w:bCs/>
          <w:sz w:val="22"/>
          <w:szCs w:val="22"/>
          <w:lang w:val="sr-Latn-ME"/>
        </w:rPr>
      </w:pPr>
    </w:p>
    <w:p w14:paraId="1D8FCDDF" w14:textId="451234BE" w:rsidR="004708F3" w:rsidRPr="00F3439A" w:rsidRDefault="008C51F8" w:rsidP="00CB24AE">
      <w:pPr>
        <w:tabs>
          <w:tab w:val="left" w:pos="2580"/>
        </w:tabs>
        <w:rPr>
          <w:sz w:val="22"/>
          <w:szCs w:val="22"/>
          <w:lang w:val="sr-Latn-ME"/>
        </w:rPr>
      </w:pPr>
      <w:r>
        <w:rPr>
          <w:sz w:val="22"/>
          <w:szCs w:val="22"/>
          <w:lang w:val="sr-Latn-ME"/>
        </w:rPr>
        <w:t>April, 2024. godine</w:t>
      </w:r>
    </w:p>
    <w:sectPr w:rsidR="004708F3" w:rsidRPr="00F3439A" w:rsidSect="00CE49C4">
      <w:footerReference w:type="default" r:id="rId12"/>
      <w:pgSz w:w="11909" w:h="16834" w:code="9"/>
      <w:pgMar w:top="1134" w:right="1418" w:bottom="1134" w:left="1418" w:header="737" w:footer="73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72F1C6" w14:textId="77777777" w:rsidR="009C388D" w:rsidRDefault="009C388D">
      <w:r>
        <w:separator/>
      </w:r>
    </w:p>
  </w:endnote>
  <w:endnote w:type="continuationSeparator" w:id="0">
    <w:p w14:paraId="6A64E551" w14:textId="77777777" w:rsidR="009C388D" w:rsidRDefault="009C38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E076FC" w14:textId="26FD32B7" w:rsidR="00AF0E44" w:rsidRPr="00B23F69" w:rsidRDefault="00AF0E44" w:rsidP="00B23F69">
    <w:pPr>
      <w:pStyle w:val="Footer"/>
      <w:jc w:val="center"/>
      <w:rPr>
        <w:sz w:val="22"/>
        <w:szCs w:val="22"/>
      </w:rPr>
    </w:pP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PAGE </w:instrText>
    </w:r>
    <w:r w:rsidRPr="00B23F69">
      <w:rPr>
        <w:sz w:val="22"/>
        <w:szCs w:val="22"/>
      </w:rPr>
      <w:fldChar w:fldCharType="separate"/>
    </w:r>
    <w:r w:rsidR="0062603E">
      <w:rPr>
        <w:noProof/>
        <w:sz w:val="22"/>
        <w:szCs w:val="22"/>
      </w:rPr>
      <w:t>13</w:t>
    </w:r>
    <w:r w:rsidRPr="00B23F69">
      <w:rPr>
        <w:sz w:val="22"/>
        <w:szCs w:val="22"/>
      </w:rPr>
      <w:fldChar w:fldCharType="end"/>
    </w:r>
    <w:r w:rsidRPr="00B23F69">
      <w:rPr>
        <w:sz w:val="22"/>
        <w:szCs w:val="22"/>
      </w:rPr>
      <w:t xml:space="preserve"> / </w:t>
    </w:r>
    <w:r w:rsidRPr="00B23F69">
      <w:rPr>
        <w:sz w:val="22"/>
        <w:szCs w:val="22"/>
      </w:rPr>
      <w:fldChar w:fldCharType="begin"/>
    </w:r>
    <w:r w:rsidRPr="00B23F69">
      <w:rPr>
        <w:sz w:val="22"/>
        <w:szCs w:val="22"/>
      </w:rPr>
      <w:instrText xml:space="preserve"> NUMPAGES </w:instrText>
    </w:r>
    <w:r w:rsidRPr="00B23F69">
      <w:rPr>
        <w:sz w:val="22"/>
        <w:szCs w:val="22"/>
      </w:rPr>
      <w:fldChar w:fldCharType="separate"/>
    </w:r>
    <w:r w:rsidR="0062603E">
      <w:rPr>
        <w:noProof/>
        <w:sz w:val="22"/>
        <w:szCs w:val="22"/>
      </w:rPr>
      <w:t>13</w:t>
    </w:r>
    <w:r w:rsidRPr="00B23F69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E2E3A" w14:textId="77777777" w:rsidR="009C388D" w:rsidRDefault="009C388D">
      <w:r>
        <w:separator/>
      </w:r>
    </w:p>
  </w:footnote>
  <w:footnote w:type="continuationSeparator" w:id="0">
    <w:p w14:paraId="26B944DB" w14:textId="77777777" w:rsidR="009C388D" w:rsidRDefault="009C38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.75pt;height:14.25pt;visibility:visible" o:bullet="t">
        <v:imagedata r:id="rId1" o:title="BT_1000x858px"/>
      </v:shape>
    </w:pict>
  </w:numPicBullet>
  <w:abstractNum w:abstractNumId="0" w15:restartNumberingAfterBreak="0">
    <w:nsid w:val="0C10687C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DF47524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FAE1BB5"/>
    <w:multiLevelType w:val="hybridMultilevel"/>
    <w:tmpl w:val="54E43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B7527E"/>
    <w:multiLevelType w:val="hybridMultilevel"/>
    <w:tmpl w:val="8D6E2A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3FA57B4"/>
    <w:multiLevelType w:val="hybridMultilevel"/>
    <w:tmpl w:val="4E9C3DB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8136F"/>
    <w:multiLevelType w:val="multilevel"/>
    <w:tmpl w:val="C5B2E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DB49BF"/>
    <w:multiLevelType w:val="hybridMultilevel"/>
    <w:tmpl w:val="F5D0C7B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1E09DD"/>
    <w:multiLevelType w:val="multilevel"/>
    <w:tmpl w:val="BBBCB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478D2C0C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9" w15:restartNumberingAfterBreak="0">
    <w:nsid w:val="5555671D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6A31197F"/>
    <w:multiLevelType w:val="hybridMultilevel"/>
    <w:tmpl w:val="C5B2E75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49724F4"/>
    <w:multiLevelType w:val="hybridMultilevel"/>
    <w:tmpl w:val="1386514C"/>
    <w:lvl w:ilvl="0" w:tplc="BF803BD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9"/>
  </w:num>
  <w:num w:numId="5">
    <w:abstractNumId w:val="5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11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2ED6"/>
    <w:rsid w:val="00000528"/>
    <w:rsid w:val="00005E83"/>
    <w:rsid w:val="000176CA"/>
    <w:rsid w:val="00035A13"/>
    <w:rsid w:val="00035D3A"/>
    <w:rsid w:val="00036FA0"/>
    <w:rsid w:val="0003793F"/>
    <w:rsid w:val="00057E35"/>
    <w:rsid w:val="00076726"/>
    <w:rsid w:val="00080303"/>
    <w:rsid w:val="00087EFB"/>
    <w:rsid w:val="000919C1"/>
    <w:rsid w:val="000A3F58"/>
    <w:rsid w:val="000A4EBB"/>
    <w:rsid w:val="000D2343"/>
    <w:rsid w:val="000D3449"/>
    <w:rsid w:val="000D425A"/>
    <w:rsid w:val="000D60CC"/>
    <w:rsid w:val="000E1C23"/>
    <w:rsid w:val="000E2084"/>
    <w:rsid w:val="000E6F55"/>
    <w:rsid w:val="000F77FA"/>
    <w:rsid w:val="001008B9"/>
    <w:rsid w:val="001067E9"/>
    <w:rsid w:val="00107BF7"/>
    <w:rsid w:val="00126F53"/>
    <w:rsid w:val="0014766D"/>
    <w:rsid w:val="001536CC"/>
    <w:rsid w:val="001A3FBA"/>
    <w:rsid w:val="001A5518"/>
    <w:rsid w:val="001B1C6A"/>
    <w:rsid w:val="001C1263"/>
    <w:rsid w:val="001C1417"/>
    <w:rsid w:val="001E2D3F"/>
    <w:rsid w:val="001E390B"/>
    <w:rsid w:val="001F42FB"/>
    <w:rsid w:val="001F719A"/>
    <w:rsid w:val="002031B3"/>
    <w:rsid w:val="00215931"/>
    <w:rsid w:val="00224C91"/>
    <w:rsid w:val="00227BDB"/>
    <w:rsid w:val="00234CB1"/>
    <w:rsid w:val="002352F8"/>
    <w:rsid w:val="002510A5"/>
    <w:rsid w:val="00254A0A"/>
    <w:rsid w:val="00261637"/>
    <w:rsid w:val="00266046"/>
    <w:rsid w:val="002846DB"/>
    <w:rsid w:val="00284CCD"/>
    <w:rsid w:val="002C6637"/>
    <w:rsid w:val="002E0135"/>
    <w:rsid w:val="002E37A5"/>
    <w:rsid w:val="002F69A5"/>
    <w:rsid w:val="00310F03"/>
    <w:rsid w:val="003247D2"/>
    <w:rsid w:val="003445C1"/>
    <w:rsid w:val="00355B61"/>
    <w:rsid w:val="00362686"/>
    <w:rsid w:val="00371510"/>
    <w:rsid w:val="00396DFD"/>
    <w:rsid w:val="003A6377"/>
    <w:rsid w:val="003A7059"/>
    <w:rsid w:val="003B7A36"/>
    <w:rsid w:val="003C17AB"/>
    <w:rsid w:val="003C7823"/>
    <w:rsid w:val="003E1DCC"/>
    <w:rsid w:val="003E6377"/>
    <w:rsid w:val="003F11A1"/>
    <w:rsid w:val="003F6A59"/>
    <w:rsid w:val="004065C8"/>
    <w:rsid w:val="004109FA"/>
    <w:rsid w:val="00411B4B"/>
    <w:rsid w:val="00415BEE"/>
    <w:rsid w:val="00427F85"/>
    <w:rsid w:val="00436F42"/>
    <w:rsid w:val="004378B4"/>
    <w:rsid w:val="00451314"/>
    <w:rsid w:val="00452E9D"/>
    <w:rsid w:val="004534C7"/>
    <w:rsid w:val="004671AA"/>
    <w:rsid w:val="004708F3"/>
    <w:rsid w:val="00475FCF"/>
    <w:rsid w:val="00480FB1"/>
    <w:rsid w:val="00483928"/>
    <w:rsid w:val="00492C60"/>
    <w:rsid w:val="004C2C8C"/>
    <w:rsid w:val="004C331F"/>
    <w:rsid w:val="004D6103"/>
    <w:rsid w:val="004E3BCE"/>
    <w:rsid w:val="004E70AD"/>
    <w:rsid w:val="004F0E97"/>
    <w:rsid w:val="00501DD1"/>
    <w:rsid w:val="00515C21"/>
    <w:rsid w:val="00530BD7"/>
    <w:rsid w:val="00543C09"/>
    <w:rsid w:val="00545CD2"/>
    <w:rsid w:val="005476F3"/>
    <w:rsid w:val="00571DAF"/>
    <w:rsid w:val="00572527"/>
    <w:rsid w:val="00573E40"/>
    <w:rsid w:val="00576348"/>
    <w:rsid w:val="00597E95"/>
    <w:rsid w:val="005A0B2E"/>
    <w:rsid w:val="005A23D2"/>
    <w:rsid w:val="005A36CB"/>
    <w:rsid w:val="005B49B8"/>
    <w:rsid w:val="005C0741"/>
    <w:rsid w:val="005C5EF4"/>
    <w:rsid w:val="005E2E0B"/>
    <w:rsid w:val="005E7A7D"/>
    <w:rsid w:val="005F546A"/>
    <w:rsid w:val="0060157A"/>
    <w:rsid w:val="00602457"/>
    <w:rsid w:val="00607D88"/>
    <w:rsid w:val="00612C55"/>
    <w:rsid w:val="0062603E"/>
    <w:rsid w:val="0063594C"/>
    <w:rsid w:val="006370AD"/>
    <w:rsid w:val="00644FC3"/>
    <w:rsid w:val="00646BD1"/>
    <w:rsid w:val="006561C2"/>
    <w:rsid w:val="00671CB3"/>
    <w:rsid w:val="00674BAF"/>
    <w:rsid w:val="00682200"/>
    <w:rsid w:val="00690EF0"/>
    <w:rsid w:val="00692BF6"/>
    <w:rsid w:val="0069793E"/>
    <w:rsid w:val="006A1497"/>
    <w:rsid w:val="006B0BD1"/>
    <w:rsid w:val="006B5404"/>
    <w:rsid w:val="006D20A5"/>
    <w:rsid w:val="006D37BF"/>
    <w:rsid w:val="00702E22"/>
    <w:rsid w:val="0072020E"/>
    <w:rsid w:val="00756894"/>
    <w:rsid w:val="00786071"/>
    <w:rsid w:val="00787ECE"/>
    <w:rsid w:val="007A3ECB"/>
    <w:rsid w:val="007D7BB3"/>
    <w:rsid w:val="0080293B"/>
    <w:rsid w:val="00824AB9"/>
    <w:rsid w:val="00836B35"/>
    <w:rsid w:val="00843BDE"/>
    <w:rsid w:val="0087588C"/>
    <w:rsid w:val="0089705C"/>
    <w:rsid w:val="008A6D43"/>
    <w:rsid w:val="008B491E"/>
    <w:rsid w:val="008C1A28"/>
    <w:rsid w:val="008C2E98"/>
    <w:rsid w:val="008C51F8"/>
    <w:rsid w:val="008E49BD"/>
    <w:rsid w:val="008E53E9"/>
    <w:rsid w:val="008E5771"/>
    <w:rsid w:val="008F4ACF"/>
    <w:rsid w:val="00924166"/>
    <w:rsid w:val="00940B9B"/>
    <w:rsid w:val="0095676E"/>
    <w:rsid w:val="00956983"/>
    <w:rsid w:val="00963CF0"/>
    <w:rsid w:val="00964BB1"/>
    <w:rsid w:val="009775D9"/>
    <w:rsid w:val="00997175"/>
    <w:rsid w:val="009A1847"/>
    <w:rsid w:val="009B062A"/>
    <w:rsid w:val="009C388D"/>
    <w:rsid w:val="009E7C6F"/>
    <w:rsid w:val="009F1793"/>
    <w:rsid w:val="009F2D23"/>
    <w:rsid w:val="00A01D69"/>
    <w:rsid w:val="00A02335"/>
    <w:rsid w:val="00A10F79"/>
    <w:rsid w:val="00A21E4D"/>
    <w:rsid w:val="00A46C9A"/>
    <w:rsid w:val="00A619F3"/>
    <w:rsid w:val="00A62A73"/>
    <w:rsid w:val="00A87FF6"/>
    <w:rsid w:val="00A97539"/>
    <w:rsid w:val="00AA0A3B"/>
    <w:rsid w:val="00AA2763"/>
    <w:rsid w:val="00AA33B6"/>
    <w:rsid w:val="00AB50CA"/>
    <w:rsid w:val="00AB6D64"/>
    <w:rsid w:val="00AC53CE"/>
    <w:rsid w:val="00AD2193"/>
    <w:rsid w:val="00AD5C01"/>
    <w:rsid w:val="00AF0E44"/>
    <w:rsid w:val="00AF2AC7"/>
    <w:rsid w:val="00AF74CE"/>
    <w:rsid w:val="00B07EB7"/>
    <w:rsid w:val="00B208DB"/>
    <w:rsid w:val="00B23F69"/>
    <w:rsid w:val="00B3417A"/>
    <w:rsid w:val="00B60619"/>
    <w:rsid w:val="00B66A70"/>
    <w:rsid w:val="00B67366"/>
    <w:rsid w:val="00B80EE1"/>
    <w:rsid w:val="00B84135"/>
    <w:rsid w:val="00BB5C23"/>
    <w:rsid w:val="00C04D34"/>
    <w:rsid w:val="00C05DF8"/>
    <w:rsid w:val="00C06864"/>
    <w:rsid w:val="00C10F54"/>
    <w:rsid w:val="00C23D8D"/>
    <w:rsid w:val="00C37AA3"/>
    <w:rsid w:val="00C37FD7"/>
    <w:rsid w:val="00C43419"/>
    <w:rsid w:val="00C44CF3"/>
    <w:rsid w:val="00C61BE0"/>
    <w:rsid w:val="00C6707E"/>
    <w:rsid w:val="00C70B0E"/>
    <w:rsid w:val="00C773CA"/>
    <w:rsid w:val="00C83785"/>
    <w:rsid w:val="00C94C0D"/>
    <w:rsid w:val="00CA1FEB"/>
    <w:rsid w:val="00CB24AE"/>
    <w:rsid w:val="00CD4F85"/>
    <w:rsid w:val="00CD6F02"/>
    <w:rsid w:val="00CE246D"/>
    <w:rsid w:val="00CE49C4"/>
    <w:rsid w:val="00CF07A0"/>
    <w:rsid w:val="00CF3E03"/>
    <w:rsid w:val="00CF7607"/>
    <w:rsid w:val="00D0082A"/>
    <w:rsid w:val="00D028E0"/>
    <w:rsid w:val="00D21455"/>
    <w:rsid w:val="00D22C6E"/>
    <w:rsid w:val="00D47634"/>
    <w:rsid w:val="00D709B3"/>
    <w:rsid w:val="00DA2ED6"/>
    <w:rsid w:val="00DB3260"/>
    <w:rsid w:val="00DB76B8"/>
    <w:rsid w:val="00DC2EA1"/>
    <w:rsid w:val="00DD237A"/>
    <w:rsid w:val="00DD6AAF"/>
    <w:rsid w:val="00DE3F5C"/>
    <w:rsid w:val="00DF1D20"/>
    <w:rsid w:val="00E1041D"/>
    <w:rsid w:val="00E21324"/>
    <w:rsid w:val="00E246B9"/>
    <w:rsid w:val="00E278AD"/>
    <w:rsid w:val="00E31FEA"/>
    <w:rsid w:val="00E45169"/>
    <w:rsid w:val="00E47787"/>
    <w:rsid w:val="00E51C30"/>
    <w:rsid w:val="00E64180"/>
    <w:rsid w:val="00E74AEE"/>
    <w:rsid w:val="00E83058"/>
    <w:rsid w:val="00E868E5"/>
    <w:rsid w:val="00E9237A"/>
    <w:rsid w:val="00E939FA"/>
    <w:rsid w:val="00EA5765"/>
    <w:rsid w:val="00EC2532"/>
    <w:rsid w:val="00ED7812"/>
    <w:rsid w:val="00EE7374"/>
    <w:rsid w:val="00EF253B"/>
    <w:rsid w:val="00EF3B86"/>
    <w:rsid w:val="00F30BB4"/>
    <w:rsid w:val="00F317E9"/>
    <w:rsid w:val="00F3439A"/>
    <w:rsid w:val="00F34554"/>
    <w:rsid w:val="00F45F77"/>
    <w:rsid w:val="00F5167F"/>
    <w:rsid w:val="00F52258"/>
    <w:rsid w:val="00F738B6"/>
    <w:rsid w:val="00F8570A"/>
    <w:rsid w:val="00F85F56"/>
    <w:rsid w:val="00F91C7B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F7E1B5"/>
  <w15:chartTrackingRefBased/>
  <w15:docId w15:val="{72686179-00AE-4FF5-9B6D-A3DA2EF3E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qFormat/>
    <w:rsid w:val="005A0B2E"/>
    <w:pPr>
      <w:keepNext/>
      <w:tabs>
        <w:tab w:val="left" w:pos="284"/>
      </w:tabs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246B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246B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246B9"/>
  </w:style>
  <w:style w:type="numbering" w:styleId="111111">
    <w:name w:val="Outline List 2"/>
    <w:basedOn w:val="NoList"/>
    <w:rsid w:val="00E246B9"/>
    <w:pPr>
      <w:numPr>
        <w:numId w:val="3"/>
      </w:numPr>
    </w:pPr>
  </w:style>
  <w:style w:type="character" w:styleId="CommentReference">
    <w:name w:val="annotation reference"/>
    <w:semiHidden/>
    <w:rsid w:val="005A0B2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5A0B2E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A0B2E"/>
    <w:rPr>
      <w:b/>
      <w:bCs/>
    </w:rPr>
  </w:style>
  <w:style w:type="paragraph" w:styleId="BalloonText">
    <w:name w:val="Balloon Text"/>
    <w:basedOn w:val="Normal"/>
    <w:semiHidden/>
    <w:rsid w:val="005A0B2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A5765"/>
    <w:rPr>
      <w:sz w:val="24"/>
      <w:szCs w:val="24"/>
      <w:lang w:val="en-US" w:eastAsia="en-US"/>
    </w:rPr>
  </w:style>
  <w:style w:type="character" w:customStyle="1" w:styleId="CommentTextChar">
    <w:name w:val="Comment Text Char"/>
    <w:link w:val="CommentText"/>
    <w:semiHidden/>
    <w:rsid w:val="008A6D43"/>
    <w:rPr>
      <w:lang w:val="en-US" w:eastAsia="en-US"/>
    </w:rPr>
  </w:style>
  <w:style w:type="character" w:styleId="Hyperlink">
    <w:name w:val="Hyperlink"/>
    <w:basedOn w:val="DefaultParagraphFont"/>
    <w:rsid w:val="004E70AD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1"/>
    <w:qFormat/>
    <w:rsid w:val="00F738B6"/>
    <w:pPr>
      <w:widowControl w:val="0"/>
      <w:autoSpaceDE w:val="0"/>
      <w:autoSpaceDN w:val="0"/>
      <w:ind w:left="232"/>
      <w:jc w:val="both"/>
    </w:pPr>
    <w:rPr>
      <w:sz w:val="22"/>
      <w:szCs w:val="22"/>
      <w:lang w:val="bs"/>
    </w:rPr>
  </w:style>
  <w:style w:type="character" w:customStyle="1" w:styleId="BodyTextChar">
    <w:name w:val="Body Text Char"/>
    <w:basedOn w:val="DefaultParagraphFont"/>
    <w:link w:val="BodyText"/>
    <w:uiPriority w:val="1"/>
    <w:rsid w:val="00F738B6"/>
    <w:rPr>
      <w:sz w:val="22"/>
      <w:szCs w:val="22"/>
      <w:lang w:val="bs" w:eastAsia="en-US"/>
    </w:rPr>
  </w:style>
  <w:style w:type="paragraph" w:customStyle="1" w:styleId="TableParagraph">
    <w:name w:val="Table Paragraph"/>
    <w:basedOn w:val="Normal"/>
    <w:uiPriority w:val="1"/>
    <w:qFormat/>
    <w:rsid w:val="00F738B6"/>
    <w:pPr>
      <w:widowControl w:val="0"/>
      <w:autoSpaceDE w:val="0"/>
      <w:autoSpaceDN w:val="0"/>
      <w:ind w:left="110"/>
    </w:pPr>
    <w:rPr>
      <w:sz w:val="22"/>
      <w:szCs w:val="22"/>
      <w:lang w:val="bs"/>
    </w:rPr>
  </w:style>
  <w:style w:type="table" w:styleId="TableGrid">
    <w:name w:val="Table Grid"/>
    <w:basedOn w:val="TableNormal"/>
    <w:rsid w:val="00B3417A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SLOV123">
    <w:name w:val="NASLOV 123"/>
    <w:basedOn w:val="Normal"/>
    <w:qFormat/>
    <w:rsid w:val="00B3417A"/>
    <w:pPr>
      <w:tabs>
        <w:tab w:val="left" w:pos="284"/>
      </w:tabs>
      <w:spacing w:before="200" w:after="200"/>
    </w:pPr>
    <w:rPr>
      <w:b/>
      <w:sz w:val="22"/>
      <w:szCs w:val="22"/>
    </w:rPr>
  </w:style>
  <w:style w:type="paragraph" w:styleId="Revision">
    <w:name w:val="Revision"/>
    <w:hidden/>
    <w:uiPriority w:val="99"/>
    <w:semiHidden/>
    <w:rsid w:val="00597E9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6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D029F6-52E5-4BE2-B45D-5EC2FA98F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13</Pages>
  <Words>4585</Words>
  <Characters>26139</Characters>
  <Application>Microsoft Office Word</Application>
  <DocSecurity>0</DocSecurity>
  <Lines>217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SmPC</vt:lpstr>
    </vt:vector>
  </TitlesOfParts>
  <Company>CInMED</Company>
  <LinksUpToDate>false</LinksUpToDate>
  <CharactersWithSpaces>30663</CharactersWithSpaces>
  <SharedDoc>false</SharedDoc>
  <HLinks>
    <vt:vector size="12" baseType="variant">
      <vt:variant>
        <vt:i4>2621465</vt:i4>
      </vt:variant>
      <vt:variant>
        <vt:i4>3</vt:i4>
      </vt:variant>
      <vt:variant>
        <vt:i4>0</vt:i4>
      </vt:variant>
      <vt:variant>
        <vt:i4>5</vt:i4>
      </vt:variant>
      <vt:variant>
        <vt:lpwstr>mailto:nezeljenadejstva@calims.me</vt:lpwstr>
      </vt:variant>
      <vt:variant>
        <vt:lpwstr/>
      </vt:variant>
      <vt:variant>
        <vt:i4>131142</vt:i4>
      </vt:variant>
      <vt:variant>
        <vt:i4>0</vt:i4>
      </vt:variant>
      <vt:variant>
        <vt:i4>0</vt:i4>
      </vt:variant>
      <vt:variant>
        <vt:i4>5</vt:i4>
      </vt:variant>
      <vt:variant>
        <vt:lpwstr>http://www.calims.me/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SmPC</dc:title>
  <dc:subject/>
  <dc:creator>Tatjana Banković</dc:creator>
  <cp:keywords/>
  <dc:description>Sažetak karakteristika lijeka</dc:description>
  <cp:lastModifiedBy>Gordana Boljević</cp:lastModifiedBy>
  <cp:revision>6</cp:revision>
  <dcterms:created xsi:type="dcterms:W3CDTF">2024-04-02T09:44:00Z</dcterms:created>
  <dcterms:modified xsi:type="dcterms:W3CDTF">2024-08-21T05:48:00Z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