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90626" w14:textId="77777777" w:rsidR="007A5AF9" w:rsidRPr="00F337F4" w:rsidRDefault="007A5AF9" w:rsidP="007A5AF9">
      <w:pPr>
        <w:rPr>
          <w:lang w:val="sr-Latn-ME"/>
        </w:rPr>
      </w:pPr>
    </w:p>
    <w:p w14:paraId="79BDCDDF" w14:textId="77777777" w:rsidR="007A5AF9" w:rsidRPr="00F337F4" w:rsidRDefault="007A5AF9" w:rsidP="007A5AF9">
      <w:pPr>
        <w:jc w:val="center"/>
        <w:rPr>
          <w:b/>
          <w:bCs/>
          <w:iCs/>
          <w:szCs w:val="22"/>
          <w:u w:val="single"/>
          <w:lang w:val="sr-Latn-ME"/>
        </w:rPr>
      </w:pPr>
      <w:r w:rsidRPr="00F337F4">
        <w:rPr>
          <w:b/>
          <w:bCs/>
          <w:iCs/>
          <w:szCs w:val="22"/>
          <w:u w:val="single"/>
          <w:lang w:val="sr-Latn-ME"/>
        </w:rPr>
        <w:t>SAŽETAK KARAKTERISTIKA LIJEKA</w:t>
      </w:r>
    </w:p>
    <w:p w14:paraId="018FDDB3" w14:textId="77777777" w:rsidR="007A5AF9" w:rsidRPr="00F337F4" w:rsidRDefault="007A5AF9" w:rsidP="007A5AF9">
      <w:pPr>
        <w:rPr>
          <w:szCs w:val="22"/>
          <w:lang w:val="sr-Latn-ME"/>
        </w:rPr>
      </w:pPr>
      <w:r w:rsidRPr="00F337F4">
        <w:rPr>
          <w:szCs w:val="22"/>
          <w:lang w:val="sr-Latn-ME"/>
        </w:rPr>
        <w:t xml:space="preserve"> </w:t>
      </w:r>
    </w:p>
    <w:p w14:paraId="0738CEE8" w14:textId="77777777" w:rsidR="007A5AF9" w:rsidRPr="00F337F4" w:rsidRDefault="007A5AF9" w:rsidP="007A5AF9">
      <w:pPr>
        <w:rPr>
          <w:b/>
          <w:bCs/>
          <w:szCs w:val="22"/>
          <w:lang w:val="sr-Latn-ME"/>
        </w:rPr>
      </w:pPr>
    </w:p>
    <w:p w14:paraId="29665A93" w14:textId="77777777" w:rsidR="007A5AF9" w:rsidRPr="00F337F4" w:rsidRDefault="007A5AF9" w:rsidP="007A5AF9">
      <w:pPr>
        <w:pStyle w:val="NASLOV123"/>
        <w:spacing w:before="0" w:after="0"/>
        <w:rPr>
          <w:lang w:val="sr-Latn-ME"/>
        </w:rPr>
      </w:pPr>
      <w:r w:rsidRPr="00F337F4">
        <w:rPr>
          <w:lang w:val="sr-Latn-ME"/>
        </w:rPr>
        <w:t>1. NAZIV LIJEKA</w:t>
      </w:r>
    </w:p>
    <w:p w14:paraId="56AD7289" w14:textId="77777777" w:rsidR="007A5AF9" w:rsidRDefault="007A5AF9" w:rsidP="007A5AF9">
      <w:pPr>
        <w:rPr>
          <w:bCs/>
          <w:szCs w:val="22"/>
          <w:lang w:val="sr-Latn-ME"/>
        </w:rPr>
      </w:pPr>
    </w:p>
    <w:p w14:paraId="570FCBA5" w14:textId="77777777" w:rsidR="007A5AF9" w:rsidRPr="00F337F4" w:rsidRDefault="007A5AF9" w:rsidP="007A5AF9">
      <w:pPr>
        <w:rPr>
          <w:bCs/>
          <w:szCs w:val="22"/>
          <w:lang w:val="sr-Latn-ME"/>
        </w:rPr>
      </w:pPr>
      <w:r w:rsidRPr="00F337F4">
        <w:rPr>
          <w:bCs/>
          <w:szCs w:val="22"/>
          <w:lang w:val="sr-Latn-ME"/>
        </w:rPr>
        <w:t xml:space="preserve">Ceftriaxona Qilu, 1 g, prašak za rastvor za injekciju/infuziju </w:t>
      </w:r>
    </w:p>
    <w:p w14:paraId="1404613F" w14:textId="77777777" w:rsidR="007A5AF9" w:rsidRPr="00F337F4" w:rsidRDefault="007A5AF9" w:rsidP="007A5AF9">
      <w:pPr>
        <w:rPr>
          <w:szCs w:val="22"/>
          <w:lang w:val="sr-Latn-ME"/>
        </w:rPr>
      </w:pPr>
      <w:r w:rsidRPr="00F337F4">
        <w:rPr>
          <w:szCs w:val="22"/>
          <w:lang w:val="sr-Latn-ME"/>
        </w:rPr>
        <w:t>INN: ceftriakson</w:t>
      </w:r>
    </w:p>
    <w:p w14:paraId="07135B5F" w14:textId="77777777" w:rsidR="007A5AF9" w:rsidRDefault="007A5AF9" w:rsidP="007A5AF9">
      <w:pPr>
        <w:pStyle w:val="NASLOV123"/>
        <w:spacing w:before="0" w:after="0"/>
        <w:rPr>
          <w:lang w:val="sr-Latn-ME"/>
        </w:rPr>
      </w:pPr>
    </w:p>
    <w:p w14:paraId="0CA508CE" w14:textId="77777777" w:rsidR="007A5AF9" w:rsidRDefault="007A5AF9" w:rsidP="007A5AF9">
      <w:pPr>
        <w:pStyle w:val="NASLOV123"/>
        <w:spacing w:before="0" w:after="0"/>
        <w:rPr>
          <w:lang w:val="sr-Latn-ME"/>
        </w:rPr>
      </w:pPr>
    </w:p>
    <w:p w14:paraId="324F90A4" w14:textId="77777777" w:rsidR="007A5AF9" w:rsidRPr="00F337F4" w:rsidRDefault="007A5AF9" w:rsidP="007A5AF9">
      <w:pPr>
        <w:pStyle w:val="NASLOV123"/>
        <w:spacing w:before="0" w:after="0"/>
        <w:rPr>
          <w:lang w:val="sr-Latn-ME"/>
        </w:rPr>
      </w:pPr>
      <w:r w:rsidRPr="00F337F4">
        <w:rPr>
          <w:lang w:val="sr-Latn-ME"/>
        </w:rPr>
        <w:t>2. KVALITATIVNI I KVANTITATIVNI SASTAV</w:t>
      </w:r>
    </w:p>
    <w:p w14:paraId="316CBA32" w14:textId="77777777" w:rsidR="007A5AF9" w:rsidRDefault="007A5AF9" w:rsidP="007A5AF9">
      <w:pPr>
        <w:rPr>
          <w:szCs w:val="22"/>
          <w:lang w:val="sr-Latn-ME"/>
        </w:rPr>
      </w:pPr>
    </w:p>
    <w:p w14:paraId="332FE91B" w14:textId="77777777" w:rsidR="007A5AF9" w:rsidRPr="00F337F4" w:rsidRDefault="007A5AF9" w:rsidP="007A5AF9">
      <w:pPr>
        <w:rPr>
          <w:szCs w:val="22"/>
          <w:lang w:val="sr-Latn-ME"/>
        </w:rPr>
      </w:pPr>
      <w:r w:rsidRPr="00F337F4">
        <w:rPr>
          <w:szCs w:val="22"/>
          <w:lang w:val="sr-Latn-ME"/>
        </w:rPr>
        <w:t xml:space="preserve">Jedna bočica sadrži 1 g ceftriaksona u obliku ceftriakson natrijuma. </w:t>
      </w:r>
    </w:p>
    <w:p w14:paraId="500E7B96" w14:textId="77777777" w:rsidR="007A5AF9" w:rsidRPr="00F337F4" w:rsidRDefault="007A5AF9" w:rsidP="007A5AF9">
      <w:pPr>
        <w:rPr>
          <w:szCs w:val="22"/>
          <w:lang w:val="sr-Latn-ME"/>
        </w:rPr>
      </w:pPr>
      <w:r w:rsidRPr="00F337F4">
        <w:rPr>
          <w:szCs w:val="22"/>
          <w:lang w:val="sr-Latn-ME"/>
        </w:rPr>
        <w:t>Jedan gram ceftriakson natrijuma sadrži približno 3,6 mmol (82,8 mg) natrijuma.</w:t>
      </w:r>
    </w:p>
    <w:p w14:paraId="56A80DF8" w14:textId="77777777" w:rsidR="007A5AF9" w:rsidRDefault="007A5AF9" w:rsidP="007A5AF9">
      <w:pPr>
        <w:shd w:val="clear" w:color="auto" w:fill="FFFFFF" w:themeFill="background1"/>
        <w:rPr>
          <w:lang w:val="sr-Latn-ME"/>
        </w:rPr>
      </w:pPr>
    </w:p>
    <w:p w14:paraId="082CD331" w14:textId="77777777" w:rsidR="007A5AF9" w:rsidRPr="00F337F4" w:rsidRDefault="007A5AF9" w:rsidP="007A5AF9">
      <w:pPr>
        <w:rPr>
          <w:szCs w:val="22"/>
          <w:lang w:val="sr-Latn-ME"/>
        </w:rPr>
      </w:pPr>
      <w:r w:rsidRPr="00F337F4">
        <w:rPr>
          <w:szCs w:val="22"/>
          <w:lang w:val="sr-Latn-ME"/>
        </w:rPr>
        <w:t>Lijek ne sadrži pomoćne supstance.</w:t>
      </w:r>
    </w:p>
    <w:p w14:paraId="3AAEA816" w14:textId="77777777" w:rsidR="007A5AF9" w:rsidRDefault="007A5AF9" w:rsidP="007A5AF9">
      <w:pPr>
        <w:pStyle w:val="NASLOV123"/>
        <w:spacing w:before="0" w:after="0"/>
        <w:rPr>
          <w:lang w:val="sr-Latn-ME"/>
        </w:rPr>
      </w:pPr>
    </w:p>
    <w:p w14:paraId="5973310D" w14:textId="77777777" w:rsidR="007A5AF9" w:rsidRDefault="007A5AF9" w:rsidP="007A5AF9">
      <w:pPr>
        <w:pStyle w:val="NASLOV123"/>
        <w:spacing w:before="0" w:after="0"/>
        <w:rPr>
          <w:lang w:val="sr-Latn-ME"/>
        </w:rPr>
      </w:pPr>
    </w:p>
    <w:p w14:paraId="332DB07E" w14:textId="77777777" w:rsidR="007A5AF9" w:rsidRPr="00F337F4" w:rsidRDefault="007A5AF9" w:rsidP="007A5AF9">
      <w:pPr>
        <w:pStyle w:val="NASLOV123"/>
        <w:spacing w:before="0" w:after="0"/>
        <w:rPr>
          <w:lang w:val="sr-Latn-ME"/>
        </w:rPr>
      </w:pPr>
      <w:r w:rsidRPr="00F337F4">
        <w:rPr>
          <w:lang w:val="sr-Latn-ME"/>
        </w:rPr>
        <w:t>3. FARMACEUTSKI OBLIK</w:t>
      </w:r>
    </w:p>
    <w:p w14:paraId="7AD89368" w14:textId="77777777" w:rsidR="007A5AF9" w:rsidRDefault="007A5AF9" w:rsidP="007A5AF9">
      <w:pPr>
        <w:rPr>
          <w:szCs w:val="22"/>
          <w:lang w:val="sr-Latn-ME"/>
        </w:rPr>
      </w:pPr>
    </w:p>
    <w:p w14:paraId="619C017A" w14:textId="77777777" w:rsidR="007A5AF9" w:rsidRPr="00F337F4" w:rsidRDefault="007A5AF9" w:rsidP="007A5AF9">
      <w:pPr>
        <w:rPr>
          <w:szCs w:val="22"/>
          <w:lang w:val="sr-Latn-ME"/>
        </w:rPr>
      </w:pPr>
      <w:r w:rsidRPr="00F337F4">
        <w:rPr>
          <w:szCs w:val="22"/>
          <w:lang w:val="sr-Latn-ME"/>
        </w:rPr>
        <w:t>Prašak za rastvor za injekciju/infuziju.</w:t>
      </w:r>
    </w:p>
    <w:p w14:paraId="38F19989" w14:textId="77777777" w:rsidR="007A5AF9" w:rsidRPr="00F337F4" w:rsidRDefault="007A5AF9" w:rsidP="007A5AF9">
      <w:pPr>
        <w:rPr>
          <w:szCs w:val="22"/>
          <w:lang w:val="sr-Latn-ME"/>
        </w:rPr>
      </w:pPr>
      <w:r w:rsidRPr="00F337F4">
        <w:rPr>
          <w:szCs w:val="22"/>
          <w:lang w:val="sr-Latn-ME"/>
        </w:rPr>
        <w:t>Skoro bijel</w:t>
      </w:r>
      <w:r>
        <w:rPr>
          <w:szCs w:val="22"/>
          <w:lang w:val="sr-Latn-ME"/>
        </w:rPr>
        <w:t>i</w:t>
      </w:r>
      <w:r w:rsidRPr="00F337F4">
        <w:rPr>
          <w:szCs w:val="22"/>
          <w:lang w:val="sr-Latn-ME"/>
        </w:rPr>
        <w:t xml:space="preserve"> ili žućkast kristalni prašak.</w:t>
      </w:r>
    </w:p>
    <w:p w14:paraId="279BEC0C" w14:textId="77777777" w:rsidR="007A5AF9" w:rsidRDefault="007A5AF9" w:rsidP="007A5AF9">
      <w:pPr>
        <w:pStyle w:val="NASLOV123"/>
        <w:spacing w:before="0" w:after="0"/>
        <w:rPr>
          <w:lang w:val="sr-Latn-ME"/>
        </w:rPr>
      </w:pPr>
    </w:p>
    <w:p w14:paraId="23BB4295" w14:textId="77777777" w:rsidR="007A5AF9" w:rsidRDefault="007A5AF9" w:rsidP="007A5AF9">
      <w:pPr>
        <w:pStyle w:val="NASLOV123"/>
        <w:spacing w:before="0" w:after="0"/>
        <w:rPr>
          <w:lang w:val="sr-Latn-ME"/>
        </w:rPr>
      </w:pPr>
    </w:p>
    <w:p w14:paraId="61F606C6" w14:textId="77777777" w:rsidR="007A5AF9" w:rsidRPr="00F337F4" w:rsidRDefault="007A5AF9" w:rsidP="007A5AF9">
      <w:pPr>
        <w:pStyle w:val="NASLOV123"/>
        <w:spacing w:before="0" w:after="0"/>
        <w:rPr>
          <w:lang w:val="sr-Latn-ME"/>
        </w:rPr>
      </w:pPr>
      <w:r w:rsidRPr="00F337F4">
        <w:rPr>
          <w:lang w:val="sr-Latn-ME"/>
        </w:rPr>
        <w:t>4. KLINIČKI PODACI</w:t>
      </w:r>
    </w:p>
    <w:p w14:paraId="366EC00F" w14:textId="77777777" w:rsidR="007A5AF9" w:rsidRPr="00F337F4" w:rsidRDefault="007A5AF9" w:rsidP="007A5AF9">
      <w:pPr>
        <w:rPr>
          <w:b/>
          <w:bCs/>
          <w:szCs w:val="22"/>
          <w:lang w:val="sr-Latn-ME"/>
        </w:rPr>
      </w:pPr>
      <w:r w:rsidRPr="00F337F4">
        <w:rPr>
          <w:b/>
          <w:bCs/>
          <w:szCs w:val="22"/>
          <w:lang w:val="sr-Latn-ME"/>
        </w:rPr>
        <w:t>4.1. Terapijske indikacije</w:t>
      </w:r>
    </w:p>
    <w:p w14:paraId="51CAC907" w14:textId="77777777" w:rsidR="007A5AF9" w:rsidRPr="00F337F4" w:rsidRDefault="007A5AF9" w:rsidP="007A5AF9">
      <w:pPr>
        <w:rPr>
          <w:szCs w:val="22"/>
          <w:lang w:val="sr-Latn-ME"/>
        </w:rPr>
      </w:pPr>
    </w:p>
    <w:p w14:paraId="6B8EF99E" w14:textId="77777777" w:rsidR="007A5AF9" w:rsidRPr="00F337F4" w:rsidRDefault="007A5AF9" w:rsidP="007A5AF9">
      <w:pPr>
        <w:rPr>
          <w:szCs w:val="22"/>
          <w:lang w:val="sr-Latn-ME"/>
        </w:rPr>
      </w:pPr>
      <w:r w:rsidRPr="00F337F4">
        <w:rPr>
          <w:szCs w:val="22"/>
          <w:lang w:val="sr-Latn-ME"/>
        </w:rPr>
        <w:t>Lijek Ceftriaxona Qilu je indikovan u terapiji sledećih infekcija kod odraslih i djece uključujući i novorođenčad rođenu u terminu:</w:t>
      </w:r>
    </w:p>
    <w:p w14:paraId="670B07B3" w14:textId="77777777" w:rsidR="007A5AF9" w:rsidRPr="00F337F4" w:rsidRDefault="007A5AF9" w:rsidP="007A5AF9">
      <w:pPr>
        <w:pStyle w:val="ListParagraph"/>
        <w:numPr>
          <w:ilvl w:val="0"/>
          <w:numId w:val="4"/>
        </w:numPr>
        <w:rPr>
          <w:szCs w:val="22"/>
          <w:lang w:val="sr-Latn-ME"/>
        </w:rPr>
      </w:pPr>
      <w:r w:rsidRPr="00F337F4">
        <w:rPr>
          <w:szCs w:val="22"/>
          <w:lang w:val="sr-Latn-ME"/>
        </w:rPr>
        <w:t>bakterijski meningitis</w:t>
      </w:r>
    </w:p>
    <w:p w14:paraId="2D334E0C" w14:textId="77777777" w:rsidR="007A5AF9" w:rsidRPr="00F337F4" w:rsidRDefault="007A5AF9" w:rsidP="007A5AF9">
      <w:pPr>
        <w:pStyle w:val="ListParagraph"/>
        <w:numPr>
          <w:ilvl w:val="0"/>
          <w:numId w:val="4"/>
        </w:numPr>
        <w:rPr>
          <w:szCs w:val="22"/>
          <w:lang w:val="sr-Latn-ME"/>
        </w:rPr>
      </w:pPr>
      <w:r w:rsidRPr="00F337F4">
        <w:rPr>
          <w:szCs w:val="22"/>
          <w:lang w:val="sr-Latn-ME"/>
        </w:rPr>
        <w:t>vanbolnički stečena pneumonija</w:t>
      </w:r>
    </w:p>
    <w:p w14:paraId="2445EB0B" w14:textId="77777777" w:rsidR="007A5AF9" w:rsidRPr="00F337F4" w:rsidRDefault="007A5AF9" w:rsidP="007A5AF9">
      <w:pPr>
        <w:pStyle w:val="ListParagraph"/>
        <w:numPr>
          <w:ilvl w:val="0"/>
          <w:numId w:val="4"/>
        </w:numPr>
        <w:rPr>
          <w:szCs w:val="22"/>
          <w:lang w:val="sr-Latn-ME"/>
        </w:rPr>
      </w:pPr>
      <w:r w:rsidRPr="00F337F4">
        <w:rPr>
          <w:szCs w:val="22"/>
          <w:lang w:val="sr-Latn-ME"/>
        </w:rPr>
        <w:t>bolnička pneumonija</w:t>
      </w:r>
    </w:p>
    <w:p w14:paraId="2956BFD1" w14:textId="77777777" w:rsidR="007A5AF9" w:rsidRPr="00F337F4" w:rsidRDefault="007A5AF9" w:rsidP="007A5AF9">
      <w:pPr>
        <w:pStyle w:val="ListParagraph"/>
        <w:numPr>
          <w:ilvl w:val="0"/>
          <w:numId w:val="4"/>
        </w:numPr>
        <w:rPr>
          <w:szCs w:val="22"/>
          <w:lang w:val="sr-Latn-ME"/>
        </w:rPr>
      </w:pPr>
      <w:r w:rsidRPr="00F337F4">
        <w:rPr>
          <w:szCs w:val="22"/>
          <w:lang w:val="sr-Latn-ME"/>
        </w:rPr>
        <w:t xml:space="preserve">akutni </w:t>
      </w:r>
      <w:r w:rsidRPr="00F337F4">
        <w:rPr>
          <w:i/>
          <w:szCs w:val="22"/>
          <w:lang w:val="sr-Latn-ME"/>
        </w:rPr>
        <w:t>otitis media</w:t>
      </w:r>
    </w:p>
    <w:p w14:paraId="00097EF6" w14:textId="77777777" w:rsidR="007A5AF9" w:rsidRPr="00F337F4" w:rsidRDefault="007A5AF9" w:rsidP="007A5AF9">
      <w:pPr>
        <w:pStyle w:val="ListParagraph"/>
        <w:numPr>
          <w:ilvl w:val="0"/>
          <w:numId w:val="4"/>
        </w:numPr>
        <w:rPr>
          <w:szCs w:val="22"/>
          <w:lang w:val="sr-Latn-ME"/>
        </w:rPr>
      </w:pPr>
      <w:r w:rsidRPr="00F337F4">
        <w:rPr>
          <w:szCs w:val="22"/>
          <w:lang w:val="sr-Latn-ME"/>
        </w:rPr>
        <w:t>intraabdominalne infekcije</w:t>
      </w:r>
    </w:p>
    <w:p w14:paraId="0758422B" w14:textId="77777777" w:rsidR="007A5AF9" w:rsidRPr="00F337F4" w:rsidRDefault="007A5AF9" w:rsidP="007A5AF9">
      <w:pPr>
        <w:pStyle w:val="ListParagraph"/>
        <w:numPr>
          <w:ilvl w:val="0"/>
          <w:numId w:val="4"/>
        </w:numPr>
        <w:rPr>
          <w:szCs w:val="22"/>
          <w:lang w:val="sr-Latn-ME"/>
        </w:rPr>
      </w:pPr>
      <w:r w:rsidRPr="00F337F4">
        <w:rPr>
          <w:szCs w:val="22"/>
          <w:lang w:val="sr-Latn-ME"/>
        </w:rPr>
        <w:t>komplikovane infekcije urinarnog trakta (uključujući pijeloneritis)</w:t>
      </w:r>
    </w:p>
    <w:p w14:paraId="5FEF11D6" w14:textId="77777777" w:rsidR="007A5AF9" w:rsidRPr="00F337F4" w:rsidRDefault="007A5AF9" w:rsidP="007A5AF9">
      <w:pPr>
        <w:pStyle w:val="ListParagraph"/>
        <w:numPr>
          <w:ilvl w:val="0"/>
          <w:numId w:val="4"/>
        </w:numPr>
        <w:rPr>
          <w:szCs w:val="22"/>
          <w:lang w:val="sr-Latn-ME"/>
        </w:rPr>
      </w:pPr>
      <w:r w:rsidRPr="00F337F4">
        <w:rPr>
          <w:szCs w:val="22"/>
          <w:lang w:val="sr-Latn-ME"/>
        </w:rPr>
        <w:t>infekcije kostiju i zglobova</w:t>
      </w:r>
    </w:p>
    <w:p w14:paraId="718C184C" w14:textId="77777777" w:rsidR="007A5AF9" w:rsidRPr="00F337F4" w:rsidRDefault="007A5AF9" w:rsidP="007A5AF9">
      <w:pPr>
        <w:pStyle w:val="ListParagraph"/>
        <w:numPr>
          <w:ilvl w:val="0"/>
          <w:numId w:val="4"/>
        </w:numPr>
        <w:rPr>
          <w:szCs w:val="22"/>
          <w:lang w:val="sr-Latn-ME"/>
        </w:rPr>
      </w:pPr>
      <w:r w:rsidRPr="00F337F4">
        <w:rPr>
          <w:szCs w:val="22"/>
          <w:lang w:val="sr-Latn-ME"/>
        </w:rPr>
        <w:t>komplikovane infekcije kože i mekih tkiva</w:t>
      </w:r>
    </w:p>
    <w:p w14:paraId="268D1645" w14:textId="77777777" w:rsidR="007A5AF9" w:rsidRPr="00F337F4" w:rsidRDefault="007A5AF9" w:rsidP="007A5AF9">
      <w:pPr>
        <w:pStyle w:val="ListParagraph"/>
        <w:numPr>
          <w:ilvl w:val="0"/>
          <w:numId w:val="4"/>
        </w:numPr>
        <w:rPr>
          <w:szCs w:val="22"/>
          <w:lang w:val="sr-Latn-ME"/>
        </w:rPr>
      </w:pPr>
      <w:r w:rsidRPr="00F337F4">
        <w:rPr>
          <w:szCs w:val="22"/>
          <w:lang w:val="sr-Latn-ME"/>
        </w:rPr>
        <w:t>gonoreja</w:t>
      </w:r>
    </w:p>
    <w:p w14:paraId="0D9C15E2" w14:textId="77777777" w:rsidR="007A5AF9" w:rsidRPr="00F337F4" w:rsidRDefault="007A5AF9" w:rsidP="007A5AF9">
      <w:pPr>
        <w:pStyle w:val="ListParagraph"/>
        <w:numPr>
          <w:ilvl w:val="0"/>
          <w:numId w:val="4"/>
        </w:numPr>
        <w:rPr>
          <w:szCs w:val="22"/>
          <w:lang w:val="sr-Latn-ME"/>
        </w:rPr>
      </w:pPr>
      <w:r w:rsidRPr="00F337F4">
        <w:rPr>
          <w:szCs w:val="22"/>
          <w:lang w:val="sr-Latn-ME"/>
        </w:rPr>
        <w:t>sifilis</w:t>
      </w:r>
    </w:p>
    <w:p w14:paraId="38003726" w14:textId="77777777" w:rsidR="007A5AF9" w:rsidRPr="00F337F4" w:rsidRDefault="007A5AF9" w:rsidP="007A5AF9">
      <w:pPr>
        <w:pStyle w:val="ListParagraph"/>
        <w:numPr>
          <w:ilvl w:val="0"/>
          <w:numId w:val="4"/>
        </w:numPr>
        <w:rPr>
          <w:szCs w:val="22"/>
          <w:lang w:val="sr-Latn-ME"/>
        </w:rPr>
      </w:pPr>
      <w:r w:rsidRPr="00F337F4">
        <w:rPr>
          <w:szCs w:val="22"/>
          <w:lang w:val="sr-Latn-ME"/>
        </w:rPr>
        <w:t>bakterijski endokarditis.</w:t>
      </w:r>
    </w:p>
    <w:p w14:paraId="7B50818C" w14:textId="77777777" w:rsidR="007A5AF9" w:rsidRPr="00F337F4" w:rsidRDefault="007A5AF9" w:rsidP="007A5AF9">
      <w:pPr>
        <w:rPr>
          <w:szCs w:val="22"/>
          <w:lang w:val="sr-Latn-ME"/>
        </w:rPr>
      </w:pPr>
    </w:p>
    <w:p w14:paraId="5A86C268" w14:textId="77777777" w:rsidR="007A5AF9" w:rsidRPr="00F337F4" w:rsidRDefault="007A5AF9" w:rsidP="007A5AF9">
      <w:pPr>
        <w:rPr>
          <w:szCs w:val="22"/>
          <w:lang w:val="sr-Latn-ME"/>
        </w:rPr>
      </w:pPr>
      <w:r w:rsidRPr="00F337F4">
        <w:rPr>
          <w:szCs w:val="22"/>
          <w:lang w:val="sr-Latn-ME"/>
        </w:rPr>
        <w:t>Lijek Ceftriaxona Qilu se može koristiti:</w:t>
      </w:r>
    </w:p>
    <w:p w14:paraId="7EDCF502" w14:textId="77777777" w:rsidR="007A5AF9" w:rsidRPr="00F337F4" w:rsidRDefault="007A5AF9" w:rsidP="007A5AF9">
      <w:pPr>
        <w:pStyle w:val="ListParagraph"/>
        <w:numPr>
          <w:ilvl w:val="0"/>
          <w:numId w:val="5"/>
        </w:numPr>
        <w:rPr>
          <w:szCs w:val="22"/>
          <w:lang w:val="sr-Latn-ME"/>
        </w:rPr>
      </w:pPr>
      <w:r w:rsidRPr="00F337F4">
        <w:rPr>
          <w:szCs w:val="22"/>
          <w:lang w:val="sr-Latn-ME"/>
        </w:rPr>
        <w:t>u terapiji akutne egzacerbacije hronične opstuktivne bolesti pluća  kod odraslih</w:t>
      </w:r>
    </w:p>
    <w:p w14:paraId="7DB036C6" w14:textId="77777777" w:rsidR="007A5AF9" w:rsidRPr="00F337F4" w:rsidRDefault="007A5AF9" w:rsidP="007A5AF9">
      <w:pPr>
        <w:pStyle w:val="ListParagraph"/>
        <w:numPr>
          <w:ilvl w:val="0"/>
          <w:numId w:val="5"/>
        </w:numPr>
        <w:rPr>
          <w:szCs w:val="22"/>
          <w:lang w:val="sr-Latn-ME"/>
        </w:rPr>
      </w:pPr>
      <w:r w:rsidRPr="00F337F4">
        <w:rPr>
          <w:szCs w:val="22"/>
          <w:lang w:val="sr-Latn-ME"/>
        </w:rPr>
        <w:t xml:space="preserve">u terapiji diseminovane </w:t>
      </w:r>
      <w:r w:rsidRPr="00F337F4">
        <w:rPr>
          <w:i/>
          <w:szCs w:val="22"/>
          <w:lang w:val="sr-Latn-ME"/>
        </w:rPr>
        <w:t>Lyme borreliosis</w:t>
      </w:r>
      <w:r w:rsidRPr="00F337F4">
        <w:rPr>
          <w:szCs w:val="22"/>
          <w:lang w:val="sr-Latn-ME"/>
        </w:rPr>
        <w:t xml:space="preserve"> (rana faza (stadijum II) i kasna faza (stadijum III)) kod odraslih i djece uključujući novorođenčad od 15. dana života</w:t>
      </w:r>
    </w:p>
    <w:p w14:paraId="6C323D3E" w14:textId="77777777" w:rsidR="007A5AF9" w:rsidRPr="00F337F4" w:rsidRDefault="007A5AF9" w:rsidP="007A5AF9">
      <w:pPr>
        <w:pStyle w:val="ListParagraph"/>
        <w:numPr>
          <w:ilvl w:val="0"/>
          <w:numId w:val="5"/>
        </w:numPr>
        <w:rPr>
          <w:szCs w:val="22"/>
          <w:lang w:val="sr-Latn-ME"/>
        </w:rPr>
      </w:pPr>
      <w:r w:rsidRPr="00F337F4">
        <w:rPr>
          <w:szCs w:val="22"/>
          <w:lang w:val="sr-Latn-ME"/>
        </w:rPr>
        <w:t>za pre-operativnu profilaksu infekcija operativnog mjesta</w:t>
      </w:r>
    </w:p>
    <w:p w14:paraId="5E646257" w14:textId="77777777" w:rsidR="007A5AF9" w:rsidRPr="00F337F4" w:rsidRDefault="007A5AF9" w:rsidP="007A5AF9">
      <w:pPr>
        <w:pStyle w:val="ListParagraph"/>
        <w:numPr>
          <w:ilvl w:val="0"/>
          <w:numId w:val="5"/>
        </w:numPr>
        <w:rPr>
          <w:szCs w:val="22"/>
          <w:lang w:val="sr-Latn-ME"/>
        </w:rPr>
      </w:pPr>
      <w:r w:rsidRPr="00F337F4">
        <w:rPr>
          <w:szCs w:val="22"/>
          <w:lang w:val="sr-Latn-ME"/>
        </w:rPr>
        <w:t>za liječenje  pacijenata sa neutropenijom i povišenom tjelesnom temperaturom za koju se sumnja da je posledica bakterijske infekcije</w:t>
      </w:r>
    </w:p>
    <w:p w14:paraId="4C1D9652" w14:textId="77777777" w:rsidR="007A5AF9" w:rsidRPr="00F337F4" w:rsidRDefault="007A5AF9" w:rsidP="007A5AF9">
      <w:pPr>
        <w:pStyle w:val="ListParagraph"/>
        <w:numPr>
          <w:ilvl w:val="0"/>
          <w:numId w:val="5"/>
        </w:numPr>
        <w:rPr>
          <w:szCs w:val="22"/>
          <w:lang w:val="sr-Latn-ME"/>
        </w:rPr>
      </w:pPr>
      <w:r w:rsidRPr="00F337F4">
        <w:rPr>
          <w:szCs w:val="22"/>
          <w:lang w:val="sr-Latn-ME"/>
        </w:rPr>
        <w:t>za liječenje pacijenata sa bakterijemijom koja je povezana, ili  se sumnja da je povezana sa nekom od gore navedenih infekcija.</w:t>
      </w:r>
    </w:p>
    <w:p w14:paraId="261CA527" w14:textId="77777777" w:rsidR="007A5AF9" w:rsidRPr="00F337F4" w:rsidRDefault="007A5AF9" w:rsidP="007A5AF9">
      <w:pPr>
        <w:rPr>
          <w:color w:val="FF0000"/>
          <w:szCs w:val="22"/>
          <w:lang w:val="sr-Latn-ME"/>
        </w:rPr>
      </w:pPr>
    </w:p>
    <w:p w14:paraId="33F88915" w14:textId="77777777" w:rsidR="007A5AF9" w:rsidRPr="00F337F4" w:rsidRDefault="007A5AF9" w:rsidP="007A5AF9">
      <w:pPr>
        <w:rPr>
          <w:szCs w:val="22"/>
          <w:lang w:val="sr-Latn-ME"/>
        </w:rPr>
      </w:pPr>
      <w:r w:rsidRPr="00F337F4">
        <w:rPr>
          <w:szCs w:val="22"/>
          <w:lang w:val="sr-Latn-ME"/>
        </w:rPr>
        <w:t>Lijek Ceftriaxona Qilu treba primijeniti u kombinaciji sa drugim antibakterijskim ljekovima uvijek kada postoji mogućnost da se mogući raspon bakterija koje izazivaju infekciju ne poklapa sa spektrom dejstva ceftriaksona (vidjeti dio 4.4).</w:t>
      </w:r>
    </w:p>
    <w:p w14:paraId="60AFC225" w14:textId="77777777" w:rsidR="007A5AF9" w:rsidRPr="00F337F4" w:rsidRDefault="007A5AF9" w:rsidP="007A5AF9">
      <w:pPr>
        <w:rPr>
          <w:szCs w:val="22"/>
          <w:lang w:val="sr-Latn-ME"/>
        </w:rPr>
      </w:pPr>
    </w:p>
    <w:p w14:paraId="51B7E546" w14:textId="77777777" w:rsidR="007A5AF9" w:rsidRDefault="007A5AF9" w:rsidP="007A5AF9">
      <w:pPr>
        <w:rPr>
          <w:szCs w:val="22"/>
          <w:lang w:val="sr-Latn-ME"/>
        </w:rPr>
      </w:pPr>
      <w:r w:rsidRPr="00F337F4">
        <w:rPr>
          <w:szCs w:val="22"/>
          <w:lang w:val="sr-Latn-ME"/>
        </w:rPr>
        <w:t>Potrebno je uzeti u obzir lokalne zvanične smjernice za pravilnu upotrebu antibakterijskih ljekova.</w:t>
      </w:r>
    </w:p>
    <w:p w14:paraId="33C41BA9" w14:textId="77777777" w:rsidR="007A5AF9" w:rsidRPr="00F337F4" w:rsidRDefault="007A5AF9" w:rsidP="007A5AF9">
      <w:pPr>
        <w:rPr>
          <w:b/>
          <w:bCs/>
          <w:szCs w:val="22"/>
          <w:lang w:val="sr-Latn-ME"/>
        </w:rPr>
      </w:pPr>
      <w:r w:rsidRPr="00F337F4">
        <w:rPr>
          <w:b/>
          <w:bCs/>
          <w:szCs w:val="22"/>
          <w:lang w:val="sr-Latn-ME"/>
        </w:rPr>
        <w:lastRenderedPageBreak/>
        <w:t>4.2. Doziranje i način primjene</w:t>
      </w:r>
    </w:p>
    <w:p w14:paraId="0565E83B" w14:textId="77777777" w:rsidR="007A5AF9" w:rsidRPr="00F337F4" w:rsidRDefault="007A5AF9" w:rsidP="007A5AF9">
      <w:pPr>
        <w:rPr>
          <w:b/>
          <w:bCs/>
          <w:szCs w:val="22"/>
          <w:lang w:val="sr-Latn-ME"/>
        </w:rPr>
      </w:pPr>
    </w:p>
    <w:p w14:paraId="318ADE00" w14:textId="77777777" w:rsidR="007A5AF9" w:rsidRPr="00F337F4" w:rsidRDefault="007A5AF9" w:rsidP="007A5AF9">
      <w:pPr>
        <w:rPr>
          <w:szCs w:val="22"/>
          <w:u w:val="single"/>
          <w:lang w:val="sr-Latn-ME"/>
        </w:rPr>
      </w:pPr>
      <w:r w:rsidRPr="00F337F4">
        <w:rPr>
          <w:szCs w:val="22"/>
          <w:u w:val="single"/>
          <w:lang w:val="sr-Latn-ME"/>
        </w:rPr>
        <w:t>Doziranje</w:t>
      </w:r>
    </w:p>
    <w:p w14:paraId="3773732D" w14:textId="77777777" w:rsidR="007A5AF9" w:rsidRPr="00F337F4" w:rsidRDefault="007A5AF9" w:rsidP="007A5AF9">
      <w:pPr>
        <w:rPr>
          <w:bCs/>
          <w:szCs w:val="22"/>
          <w:lang w:val="sr-Latn-ME"/>
        </w:rPr>
      </w:pPr>
      <w:r w:rsidRPr="00F337F4">
        <w:rPr>
          <w:bCs/>
          <w:szCs w:val="22"/>
          <w:lang w:val="sr-Latn-ME"/>
        </w:rPr>
        <w:t>Doza zavisi od težine infekcije, osjetljivosti mikroorganizama, mjesta i vrste infekcije, kao i od starosti i funkcije jetre i bubrega pacijenta.</w:t>
      </w:r>
    </w:p>
    <w:p w14:paraId="631662A2" w14:textId="77777777" w:rsidR="007A5AF9" w:rsidRPr="00F337F4" w:rsidRDefault="007A5AF9" w:rsidP="007A5AF9">
      <w:pPr>
        <w:rPr>
          <w:bCs/>
          <w:szCs w:val="22"/>
          <w:lang w:val="sr-Latn-ME"/>
        </w:rPr>
      </w:pPr>
    </w:p>
    <w:p w14:paraId="6CD2C028" w14:textId="77777777" w:rsidR="007A5AF9" w:rsidRPr="00F337F4" w:rsidRDefault="007A5AF9" w:rsidP="007A5AF9">
      <w:pPr>
        <w:rPr>
          <w:bCs/>
          <w:szCs w:val="22"/>
          <w:lang w:val="sr-Latn-ME"/>
        </w:rPr>
      </w:pPr>
      <w:r w:rsidRPr="00F337F4">
        <w:rPr>
          <w:bCs/>
          <w:szCs w:val="22"/>
          <w:lang w:val="sr-Latn-ME"/>
        </w:rPr>
        <w:t>Preporučene doze u tabelama koje slijede predstavljaju uobičajene preporučene doze u ovim indikacijama. U posebno teškim slučajevima, potrebno je razmotriti primjenu veće doze u preporučenom rasponu.</w:t>
      </w:r>
    </w:p>
    <w:p w14:paraId="6C22C088" w14:textId="77777777" w:rsidR="007A5AF9" w:rsidRPr="00F337F4" w:rsidRDefault="007A5AF9" w:rsidP="007A5AF9">
      <w:pPr>
        <w:rPr>
          <w:szCs w:val="22"/>
          <w:lang w:val="sr-Latn-ME"/>
        </w:rPr>
      </w:pPr>
    </w:p>
    <w:p w14:paraId="0C4100F1" w14:textId="77777777" w:rsidR="007A5AF9" w:rsidRPr="00F337F4" w:rsidRDefault="007A5AF9" w:rsidP="007A5AF9">
      <w:pPr>
        <w:rPr>
          <w:i/>
          <w:szCs w:val="22"/>
          <w:u w:val="single"/>
          <w:lang w:val="sr-Latn-ME"/>
        </w:rPr>
      </w:pPr>
      <w:r w:rsidRPr="00F337F4">
        <w:rPr>
          <w:i/>
          <w:szCs w:val="22"/>
          <w:u w:val="single"/>
          <w:lang w:val="sr-Latn-ME"/>
        </w:rPr>
        <w:t>Odrasli i djeca uzrasta preko 12 godina (≥ 50 kg)</w:t>
      </w:r>
    </w:p>
    <w:p w14:paraId="34CDE7CE" w14:textId="77777777" w:rsidR="007A5AF9" w:rsidRPr="00F337F4" w:rsidRDefault="007A5AF9" w:rsidP="007A5AF9">
      <w:pPr>
        <w:rPr>
          <w:szCs w:val="22"/>
          <w:u w:val="single"/>
          <w:lang w:val="sr-Latn-ME"/>
        </w:rPr>
      </w:pPr>
    </w:p>
    <w:tbl>
      <w:tblPr>
        <w:tblW w:w="8217" w:type="dxa"/>
        <w:tblLook w:val="04A0" w:firstRow="1" w:lastRow="0" w:firstColumn="1" w:lastColumn="0" w:noHBand="0" w:noVBand="1"/>
      </w:tblPr>
      <w:tblGrid>
        <w:gridCol w:w="1487"/>
        <w:gridCol w:w="1418"/>
        <w:gridCol w:w="5387"/>
      </w:tblGrid>
      <w:tr w:rsidR="007A5AF9" w:rsidRPr="00F337F4" w14:paraId="36D58697" w14:textId="77777777" w:rsidTr="003D5905">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42A3E6"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Doza ceftriaksona*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9969522"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Učestalost primjene**</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30E40661"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Indikacije</w:t>
            </w:r>
          </w:p>
        </w:tc>
      </w:tr>
      <w:tr w:rsidR="007A5AF9" w:rsidRPr="00F337F4" w14:paraId="3E99045E" w14:textId="77777777" w:rsidTr="003D5905">
        <w:trPr>
          <w:trHeight w:val="3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3899100B"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1-2 g</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30950E2"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7770D49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vanbolnički stečena pneumonija</w:t>
            </w:r>
          </w:p>
        </w:tc>
      </w:tr>
      <w:tr w:rsidR="007A5AF9" w:rsidRPr="00F337F4" w14:paraId="29368683" w14:textId="77777777" w:rsidTr="003D5905">
        <w:trPr>
          <w:trHeight w:val="300"/>
        </w:trPr>
        <w:tc>
          <w:tcPr>
            <w:tcW w:w="1418" w:type="dxa"/>
            <w:vMerge/>
            <w:tcBorders>
              <w:top w:val="nil"/>
              <w:left w:val="single" w:sz="4" w:space="0" w:color="auto"/>
              <w:bottom w:val="single" w:sz="4" w:space="0" w:color="000000"/>
              <w:right w:val="single" w:sz="4" w:space="0" w:color="auto"/>
            </w:tcBorders>
            <w:vAlign w:val="center"/>
            <w:hideMark/>
          </w:tcPr>
          <w:p w14:paraId="0F495DB2"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0C9C3D73"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60EE18B3"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akutna egzacerbacija hronične opstruktivne bolesti pluća</w:t>
            </w:r>
          </w:p>
        </w:tc>
      </w:tr>
      <w:tr w:rsidR="007A5AF9" w:rsidRPr="00F337F4" w14:paraId="232BB69F" w14:textId="77777777" w:rsidTr="003D5905">
        <w:trPr>
          <w:trHeight w:val="300"/>
        </w:trPr>
        <w:tc>
          <w:tcPr>
            <w:tcW w:w="1418" w:type="dxa"/>
            <w:vMerge/>
            <w:tcBorders>
              <w:top w:val="nil"/>
              <w:left w:val="single" w:sz="4" w:space="0" w:color="auto"/>
              <w:bottom w:val="single" w:sz="4" w:space="0" w:color="000000"/>
              <w:right w:val="single" w:sz="4" w:space="0" w:color="auto"/>
            </w:tcBorders>
            <w:vAlign w:val="center"/>
            <w:hideMark/>
          </w:tcPr>
          <w:p w14:paraId="2BD31041"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5B235E16"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76DD4EF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intraabdominalne infekcije</w:t>
            </w:r>
          </w:p>
        </w:tc>
      </w:tr>
      <w:tr w:rsidR="007A5AF9" w:rsidRPr="00F337F4" w14:paraId="6C788F44" w14:textId="77777777" w:rsidTr="003D5905">
        <w:trPr>
          <w:trHeight w:val="600"/>
        </w:trPr>
        <w:tc>
          <w:tcPr>
            <w:tcW w:w="1418" w:type="dxa"/>
            <w:vMerge/>
            <w:tcBorders>
              <w:top w:val="nil"/>
              <w:left w:val="single" w:sz="4" w:space="0" w:color="auto"/>
              <w:bottom w:val="single" w:sz="4" w:space="0" w:color="000000"/>
              <w:right w:val="single" w:sz="4" w:space="0" w:color="auto"/>
            </w:tcBorders>
            <w:vAlign w:val="center"/>
            <w:hideMark/>
          </w:tcPr>
          <w:p w14:paraId="5F09B785"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12D24748"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2805401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urinarnog trakta (uključujući pijelonefritis)</w:t>
            </w:r>
          </w:p>
        </w:tc>
      </w:tr>
      <w:tr w:rsidR="007A5AF9" w:rsidRPr="00F337F4" w14:paraId="7C6FC989" w14:textId="77777777" w:rsidTr="003D5905">
        <w:trPr>
          <w:trHeight w:val="30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81D0688"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2 g</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907FB9"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0E80C0C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bolnička pneumonija</w:t>
            </w:r>
          </w:p>
        </w:tc>
      </w:tr>
      <w:tr w:rsidR="007A5AF9" w:rsidRPr="00F337F4" w14:paraId="097CADBD" w14:textId="77777777" w:rsidTr="003D5905">
        <w:trPr>
          <w:trHeight w:val="300"/>
        </w:trPr>
        <w:tc>
          <w:tcPr>
            <w:tcW w:w="1418" w:type="dxa"/>
            <w:vMerge/>
            <w:tcBorders>
              <w:top w:val="nil"/>
              <w:left w:val="single" w:sz="4" w:space="0" w:color="auto"/>
              <w:bottom w:val="single" w:sz="4" w:space="0" w:color="000000"/>
              <w:right w:val="single" w:sz="4" w:space="0" w:color="auto"/>
            </w:tcBorders>
            <w:vAlign w:val="center"/>
            <w:hideMark/>
          </w:tcPr>
          <w:p w14:paraId="67937EA9"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206EF6D5"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5C00104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kože i mekih tkiva</w:t>
            </w:r>
          </w:p>
        </w:tc>
      </w:tr>
      <w:tr w:rsidR="007A5AF9" w:rsidRPr="00F337F4" w14:paraId="3E599085" w14:textId="77777777" w:rsidTr="003D5905">
        <w:trPr>
          <w:trHeight w:val="300"/>
        </w:trPr>
        <w:tc>
          <w:tcPr>
            <w:tcW w:w="1418" w:type="dxa"/>
            <w:vMerge/>
            <w:tcBorders>
              <w:top w:val="nil"/>
              <w:left w:val="single" w:sz="4" w:space="0" w:color="auto"/>
              <w:bottom w:val="single" w:sz="4" w:space="0" w:color="000000"/>
              <w:right w:val="single" w:sz="4" w:space="0" w:color="auto"/>
            </w:tcBorders>
            <w:vAlign w:val="center"/>
            <w:hideMark/>
          </w:tcPr>
          <w:p w14:paraId="0F21E582"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226E6865"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00A7BF1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infekcije kostiju i zglobova</w:t>
            </w:r>
          </w:p>
        </w:tc>
      </w:tr>
      <w:tr w:rsidR="007A5AF9" w:rsidRPr="00F337F4" w14:paraId="0C5CFC04" w14:textId="77777777" w:rsidTr="003D5905">
        <w:trPr>
          <w:trHeight w:val="90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0A11A4"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2-4 g</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537EEB"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5C38DC0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liječenje pacijenata sa neutropenijom i povišenom tjelesnom temperaturom za koju se sumnja da je posledica bakterijske infekcije</w:t>
            </w:r>
          </w:p>
        </w:tc>
      </w:tr>
      <w:tr w:rsidR="007A5AF9" w:rsidRPr="00F337F4" w14:paraId="124B9403" w14:textId="77777777" w:rsidTr="003D5905">
        <w:trPr>
          <w:trHeight w:val="300"/>
        </w:trPr>
        <w:tc>
          <w:tcPr>
            <w:tcW w:w="1418" w:type="dxa"/>
            <w:vMerge/>
            <w:tcBorders>
              <w:top w:val="nil"/>
              <w:left w:val="single" w:sz="4" w:space="0" w:color="auto"/>
              <w:bottom w:val="single" w:sz="4" w:space="0" w:color="auto"/>
              <w:right w:val="single" w:sz="4" w:space="0" w:color="auto"/>
            </w:tcBorders>
            <w:vAlign w:val="center"/>
            <w:hideMark/>
          </w:tcPr>
          <w:p w14:paraId="663CDD46"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auto"/>
              <w:right w:val="single" w:sz="4" w:space="0" w:color="auto"/>
            </w:tcBorders>
            <w:vAlign w:val="center"/>
            <w:hideMark/>
          </w:tcPr>
          <w:p w14:paraId="4801ACA2"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noWrap/>
            <w:vAlign w:val="bottom"/>
            <w:hideMark/>
          </w:tcPr>
          <w:p w14:paraId="0348936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endokarditis</w:t>
            </w:r>
          </w:p>
        </w:tc>
      </w:tr>
      <w:tr w:rsidR="007A5AF9" w:rsidRPr="00F337F4" w14:paraId="58E074D9" w14:textId="77777777" w:rsidTr="003D5905">
        <w:trPr>
          <w:trHeight w:val="300"/>
        </w:trPr>
        <w:tc>
          <w:tcPr>
            <w:tcW w:w="1418" w:type="dxa"/>
            <w:vMerge/>
            <w:tcBorders>
              <w:top w:val="nil"/>
              <w:left w:val="single" w:sz="4" w:space="0" w:color="auto"/>
              <w:bottom w:val="single" w:sz="4" w:space="0" w:color="auto"/>
              <w:right w:val="single" w:sz="4" w:space="0" w:color="auto"/>
            </w:tcBorders>
            <w:vAlign w:val="center"/>
            <w:hideMark/>
          </w:tcPr>
          <w:p w14:paraId="7879F667"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auto"/>
              <w:right w:val="single" w:sz="4" w:space="0" w:color="auto"/>
            </w:tcBorders>
            <w:vAlign w:val="center"/>
            <w:hideMark/>
          </w:tcPr>
          <w:p w14:paraId="79EED0EA"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59D198D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meningitis</w:t>
            </w:r>
          </w:p>
        </w:tc>
      </w:tr>
    </w:tbl>
    <w:p w14:paraId="35EF8A64" w14:textId="77777777" w:rsidR="007A5AF9" w:rsidRPr="00F337F4" w:rsidRDefault="007A5AF9" w:rsidP="007A5AF9">
      <w:pPr>
        <w:rPr>
          <w:color w:val="FF0000"/>
          <w:szCs w:val="22"/>
          <w:lang w:val="sr-Latn-ME"/>
        </w:rPr>
      </w:pPr>
      <w:r w:rsidRPr="00F337F4">
        <w:rPr>
          <w:szCs w:val="22"/>
          <w:lang w:val="sr-Latn-ME"/>
        </w:rPr>
        <w:t>*Kod dokazane bakterijemije, treba razmotriti primjenu doza na gornjoj granici preporučenog raspona.</w:t>
      </w:r>
    </w:p>
    <w:p w14:paraId="419CE4D6" w14:textId="77777777" w:rsidR="007A5AF9" w:rsidRPr="00F337F4" w:rsidRDefault="007A5AF9" w:rsidP="007A5AF9">
      <w:pPr>
        <w:rPr>
          <w:szCs w:val="22"/>
          <w:lang w:val="sr-Latn-ME"/>
        </w:rPr>
      </w:pPr>
      <w:r w:rsidRPr="00F337F4">
        <w:rPr>
          <w:szCs w:val="22"/>
          <w:lang w:val="sr-Latn-ME"/>
        </w:rPr>
        <w:t>**Može se razmotriti primjena dva puta dnevno (svakih 12 sati) ako se primjenjuju doze veće od 2 g dnevno.</w:t>
      </w:r>
    </w:p>
    <w:p w14:paraId="3B03BCA9" w14:textId="77777777" w:rsidR="007A5AF9" w:rsidRPr="00F337F4" w:rsidRDefault="007A5AF9" w:rsidP="007A5AF9">
      <w:pPr>
        <w:rPr>
          <w:szCs w:val="22"/>
          <w:u w:val="single"/>
          <w:lang w:val="sr-Latn-ME"/>
        </w:rPr>
      </w:pPr>
    </w:p>
    <w:p w14:paraId="19696DD9" w14:textId="77777777" w:rsidR="007A5AF9" w:rsidRPr="00D63E74" w:rsidRDefault="007A5AF9" w:rsidP="007A5AF9">
      <w:pPr>
        <w:rPr>
          <w:szCs w:val="22"/>
          <w:lang w:val="sr-Latn-ME"/>
        </w:rPr>
      </w:pPr>
      <w:r w:rsidRPr="00D63E74">
        <w:rPr>
          <w:szCs w:val="22"/>
          <w:lang w:val="sr-Latn-ME"/>
        </w:rPr>
        <w:t>Indikacije za odrasle i djecu stariju od 12 godina (≥ 50 kg) koji zahtijevaju poseban režim doziranja:</w:t>
      </w:r>
    </w:p>
    <w:p w14:paraId="7CA7D81F" w14:textId="77777777" w:rsidR="007A5AF9" w:rsidRPr="00F337F4" w:rsidRDefault="007A5AF9" w:rsidP="007A5AF9">
      <w:pPr>
        <w:rPr>
          <w:szCs w:val="22"/>
          <w:u w:val="single"/>
          <w:lang w:val="sr-Latn-ME"/>
        </w:rPr>
      </w:pPr>
    </w:p>
    <w:p w14:paraId="4E1B299A" w14:textId="77777777" w:rsidR="007A5AF9" w:rsidRPr="00F337F4" w:rsidRDefault="007A5AF9" w:rsidP="007A5AF9">
      <w:pPr>
        <w:rPr>
          <w:i/>
          <w:szCs w:val="22"/>
          <w:u w:val="single"/>
          <w:lang w:val="sr-Latn-ME"/>
        </w:rPr>
      </w:pPr>
      <w:r w:rsidRPr="00F337F4">
        <w:rPr>
          <w:szCs w:val="22"/>
          <w:u w:val="single"/>
          <w:lang w:val="sr-Latn-ME"/>
        </w:rPr>
        <w:t xml:space="preserve">Akutni </w:t>
      </w:r>
      <w:r w:rsidRPr="00F337F4">
        <w:rPr>
          <w:i/>
          <w:szCs w:val="22"/>
          <w:u w:val="single"/>
          <w:lang w:val="sr-Latn-ME"/>
        </w:rPr>
        <w:t>otitis media</w:t>
      </w:r>
    </w:p>
    <w:p w14:paraId="0317DB08" w14:textId="77777777" w:rsidR="007A5AF9" w:rsidRPr="00F337F4" w:rsidRDefault="007A5AF9" w:rsidP="007A5AF9">
      <w:pPr>
        <w:rPr>
          <w:szCs w:val="22"/>
          <w:lang w:val="sr-Latn-ME"/>
        </w:rPr>
      </w:pPr>
      <w:r w:rsidRPr="00F337F4">
        <w:rPr>
          <w:szCs w:val="22"/>
          <w:lang w:val="sr-Latn-ME"/>
        </w:rPr>
        <w:t>Može se primijeniti pojedinačna intramuskularna doza lijeka Ceftriaxona Qilu 1-2 g.</w:t>
      </w:r>
    </w:p>
    <w:p w14:paraId="453A6C77" w14:textId="77777777" w:rsidR="007A5AF9" w:rsidRPr="00F337F4" w:rsidRDefault="007A5AF9" w:rsidP="007A5AF9">
      <w:pPr>
        <w:rPr>
          <w:szCs w:val="22"/>
          <w:lang w:val="sr-Latn-ME"/>
        </w:rPr>
      </w:pPr>
      <w:r w:rsidRPr="00F337F4">
        <w:rPr>
          <w:szCs w:val="22"/>
          <w:lang w:val="sr-Latn-ME"/>
        </w:rPr>
        <w:t xml:space="preserve">Ograničeni podaci ukazuju na to da kod pacijenata sa teškim oblikom bolesti ili onih kod kojih je prethodna terapija bila neuspješna, lijek Ceftriaxona Qilu može biti efikasan kada se primjenjuje intramuskularno u dozi od 1-2 g dnevno tokom 3 dana. </w:t>
      </w:r>
    </w:p>
    <w:p w14:paraId="6D5FF1AA" w14:textId="77777777" w:rsidR="007A5AF9" w:rsidRPr="00F337F4" w:rsidRDefault="007A5AF9" w:rsidP="007A5AF9">
      <w:pPr>
        <w:rPr>
          <w:szCs w:val="22"/>
          <w:lang w:val="sr-Latn-ME"/>
        </w:rPr>
      </w:pPr>
    </w:p>
    <w:p w14:paraId="14C6EED6" w14:textId="77777777" w:rsidR="007A5AF9" w:rsidRPr="00F337F4" w:rsidRDefault="007A5AF9" w:rsidP="007A5AF9">
      <w:pPr>
        <w:rPr>
          <w:color w:val="FF0000"/>
          <w:szCs w:val="22"/>
          <w:u w:val="single"/>
          <w:lang w:val="sr-Latn-ME"/>
        </w:rPr>
      </w:pPr>
      <w:r w:rsidRPr="00F337F4">
        <w:rPr>
          <w:szCs w:val="22"/>
          <w:u w:val="single"/>
          <w:lang w:val="sr-Latn-ME"/>
        </w:rPr>
        <w:t>Preoperativna profilaksa infekcija operativnog mjesta</w:t>
      </w:r>
    </w:p>
    <w:p w14:paraId="2EC546C2" w14:textId="77777777" w:rsidR="007A5AF9" w:rsidRPr="00F337F4" w:rsidRDefault="007A5AF9" w:rsidP="007A5AF9">
      <w:pPr>
        <w:rPr>
          <w:szCs w:val="22"/>
          <w:lang w:val="sr-Latn-ME"/>
        </w:rPr>
      </w:pPr>
      <w:r w:rsidRPr="00F337F4">
        <w:rPr>
          <w:szCs w:val="22"/>
          <w:lang w:val="sr-Latn-ME"/>
        </w:rPr>
        <w:t>2 g kao pojedinačna preoperativna doza.</w:t>
      </w:r>
    </w:p>
    <w:p w14:paraId="61385119" w14:textId="77777777" w:rsidR="007A5AF9" w:rsidRPr="00F337F4" w:rsidRDefault="007A5AF9" w:rsidP="007A5AF9">
      <w:pPr>
        <w:rPr>
          <w:szCs w:val="22"/>
          <w:lang w:val="sr-Latn-ME"/>
        </w:rPr>
      </w:pPr>
    </w:p>
    <w:p w14:paraId="488C1701" w14:textId="77777777" w:rsidR="007A5AF9" w:rsidRPr="00F337F4" w:rsidRDefault="007A5AF9" w:rsidP="007A5AF9">
      <w:pPr>
        <w:rPr>
          <w:szCs w:val="22"/>
          <w:u w:val="single"/>
          <w:lang w:val="sr-Latn-ME"/>
        </w:rPr>
      </w:pPr>
      <w:r w:rsidRPr="00F337F4">
        <w:rPr>
          <w:szCs w:val="22"/>
          <w:u w:val="single"/>
          <w:lang w:val="sr-Latn-ME"/>
        </w:rPr>
        <w:t>Gonoreja</w:t>
      </w:r>
    </w:p>
    <w:p w14:paraId="415B62EC" w14:textId="77777777" w:rsidR="007A5AF9" w:rsidRPr="00F337F4" w:rsidRDefault="007A5AF9" w:rsidP="007A5AF9">
      <w:pPr>
        <w:rPr>
          <w:szCs w:val="22"/>
          <w:lang w:val="sr-Latn-ME"/>
        </w:rPr>
      </w:pPr>
      <w:r w:rsidRPr="00F337F4">
        <w:rPr>
          <w:szCs w:val="22"/>
          <w:lang w:val="sr-Latn-ME"/>
        </w:rPr>
        <w:t>500 mg kao pojedinačna intramuskularna doza.</w:t>
      </w:r>
    </w:p>
    <w:p w14:paraId="69EEBE3D" w14:textId="77777777" w:rsidR="007A5AF9" w:rsidRPr="00F337F4" w:rsidRDefault="007A5AF9" w:rsidP="007A5AF9">
      <w:pPr>
        <w:rPr>
          <w:szCs w:val="22"/>
          <w:lang w:val="sr-Latn-ME"/>
        </w:rPr>
      </w:pPr>
    </w:p>
    <w:p w14:paraId="07052772" w14:textId="77777777" w:rsidR="007A5AF9" w:rsidRPr="00F337F4" w:rsidRDefault="007A5AF9" w:rsidP="007A5AF9">
      <w:pPr>
        <w:rPr>
          <w:szCs w:val="22"/>
          <w:u w:val="single"/>
          <w:lang w:val="sr-Latn-ME"/>
        </w:rPr>
      </w:pPr>
      <w:r w:rsidRPr="00F337F4">
        <w:rPr>
          <w:szCs w:val="22"/>
          <w:u w:val="single"/>
          <w:lang w:val="sr-Latn-ME"/>
        </w:rPr>
        <w:t>Sifilis</w:t>
      </w:r>
    </w:p>
    <w:p w14:paraId="6BC6E880" w14:textId="77777777" w:rsidR="007A5AF9" w:rsidRPr="00F337F4" w:rsidRDefault="007A5AF9" w:rsidP="007A5AF9">
      <w:pPr>
        <w:rPr>
          <w:szCs w:val="22"/>
          <w:lang w:val="sr-Latn-ME"/>
        </w:rPr>
      </w:pPr>
      <w:r w:rsidRPr="00F337F4">
        <w:rPr>
          <w:szCs w:val="22"/>
          <w:lang w:val="sr-Latn-ME"/>
        </w:rPr>
        <w:t>Uobičajene preporučene doze su 500 mg – 1 g jednom dnevno, koje se u slučaju neurosifilisa povećavaju do 2 g jednom dnevno tokom 10-14 dana. Preporuke doziranja kod sifilisa, uključujući i neurosifilis, zasnovane su na ograničenim podacima. Treba uzeti u obzir nacionalne zvanične smjernice.</w:t>
      </w:r>
    </w:p>
    <w:p w14:paraId="48D25728" w14:textId="77777777" w:rsidR="007A5AF9" w:rsidRPr="00F337F4" w:rsidRDefault="007A5AF9" w:rsidP="007A5AF9">
      <w:pPr>
        <w:rPr>
          <w:szCs w:val="22"/>
          <w:lang w:val="sr-Latn-ME"/>
        </w:rPr>
      </w:pPr>
    </w:p>
    <w:p w14:paraId="48667FA9" w14:textId="77777777" w:rsidR="007A5AF9" w:rsidRPr="00F337F4" w:rsidRDefault="007A5AF9" w:rsidP="007A5AF9">
      <w:pPr>
        <w:rPr>
          <w:szCs w:val="22"/>
          <w:u w:val="single"/>
          <w:lang w:val="sr-Latn-ME"/>
        </w:rPr>
      </w:pPr>
      <w:r w:rsidRPr="00F337F4">
        <w:rPr>
          <w:szCs w:val="22"/>
          <w:u w:val="single"/>
          <w:lang w:val="sr-Latn-ME"/>
        </w:rPr>
        <w:t xml:space="preserve">Diseminovana </w:t>
      </w:r>
      <w:r w:rsidRPr="00F337F4">
        <w:rPr>
          <w:i/>
          <w:szCs w:val="22"/>
          <w:u w:val="single"/>
          <w:lang w:val="sr-Latn-ME"/>
        </w:rPr>
        <w:t>Lyme borreliosis</w:t>
      </w:r>
      <w:r w:rsidRPr="00F337F4">
        <w:rPr>
          <w:szCs w:val="22"/>
          <w:u w:val="single"/>
          <w:lang w:val="sr-Latn-ME"/>
        </w:rPr>
        <w:t xml:space="preserve"> – (rana faza (stadijum II) i kasna faza  (stadijum III)</w:t>
      </w:r>
    </w:p>
    <w:p w14:paraId="1F3C3FFA" w14:textId="77777777" w:rsidR="007A5AF9" w:rsidRPr="00F337F4" w:rsidRDefault="007A5AF9" w:rsidP="007A5AF9">
      <w:pPr>
        <w:rPr>
          <w:szCs w:val="22"/>
          <w:lang w:val="sr-Latn-ME"/>
        </w:rPr>
      </w:pPr>
      <w:r w:rsidRPr="00F337F4">
        <w:rPr>
          <w:szCs w:val="22"/>
          <w:lang w:val="sr-Latn-ME"/>
        </w:rPr>
        <w:t xml:space="preserve">2 g jednom dnevno tokom 14-21 dana. Preporučeno trajanje liječenja varira i treba uzeti u obzir nacionalne zvanične smjernice. </w:t>
      </w:r>
    </w:p>
    <w:p w14:paraId="36CDB0C6" w14:textId="77777777" w:rsidR="007A5AF9" w:rsidRDefault="007A5AF9" w:rsidP="007A5AF9">
      <w:pPr>
        <w:rPr>
          <w:i/>
          <w:szCs w:val="22"/>
          <w:u w:val="single"/>
          <w:lang w:val="sr-Latn-ME"/>
        </w:rPr>
      </w:pPr>
    </w:p>
    <w:p w14:paraId="0C0364B0" w14:textId="77777777" w:rsidR="007A5AF9" w:rsidRPr="00D63E74" w:rsidRDefault="007A5AF9" w:rsidP="007A5AF9">
      <w:pPr>
        <w:rPr>
          <w:i/>
          <w:szCs w:val="22"/>
          <w:u w:val="single"/>
          <w:lang w:val="sr-Latn-ME"/>
        </w:rPr>
      </w:pPr>
      <w:r w:rsidRPr="00D63E74">
        <w:rPr>
          <w:i/>
          <w:szCs w:val="22"/>
          <w:u w:val="single"/>
          <w:lang w:val="sr-Latn-ME"/>
        </w:rPr>
        <w:t>Pedijatrijska populacija</w:t>
      </w:r>
    </w:p>
    <w:p w14:paraId="52C3267A" w14:textId="77777777" w:rsidR="007A5AF9" w:rsidRPr="00D63E74" w:rsidRDefault="007A5AF9" w:rsidP="007A5AF9">
      <w:pPr>
        <w:rPr>
          <w:i/>
          <w:szCs w:val="22"/>
          <w:lang w:val="sr-Latn-ME"/>
        </w:rPr>
      </w:pPr>
      <w:r w:rsidRPr="00D63E74">
        <w:rPr>
          <w:i/>
          <w:szCs w:val="22"/>
          <w:lang w:val="sr-Latn-ME"/>
        </w:rPr>
        <w:t>Novorođenčad, odojčad i djeca uzrasta od 15 dana do 12 godina (&lt; 50 kg)</w:t>
      </w:r>
    </w:p>
    <w:p w14:paraId="7F6CC744" w14:textId="77777777" w:rsidR="007A5AF9" w:rsidRPr="00F337F4" w:rsidRDefault="007A5AF9" w:rsidP="007A5AF9">
      <w:pPr>
        <w:rPr>
          <w:szCs w:val="22"/>
          <w:lang w:val="sr-Latn-ME"/>
        </w:rPr>
      </w:pPr>
      <w:r w:rsidRPr="00F337F4">
        <w:rPr>
          <w:szCs w:val="22"/>
          <w:lang w:val="sr-Latn-ME"/>
        </w:rPr>
        <w:lastRenderedPageBreak/>
        <w:t xml:space="preserve">Djeci tjelesne mase od 50 kg ili više treba dati uobičajenu dozu za odrasle. </w:t>
      </w:r>
    </w:p>
    <w:p w14:paraId="0B257B9C" w14:textId="77777777" w:rsidR="007A5AF9" w:rsidRPr="00F337F4" w:rsidRDefault="007A5AF9" w:rsidP="007A5AF9">
      <w:pPr>
        <w:rPr>
          <w:szCs w:val="22"/>
          <w:lang w:val="sr-Latn-ME"/>
        </w:rPr>
      </w:pPr>
    </w:p>
    <w:tbl>
      <w:tblPr>
        <w:tblW w:w="8292" w:type="dxa"/>
        <w:tblLook w:val="04A0" w:firstRow="1" w:lastRow="0" w:firstColumn="1" w:lastColumn="0" w:noHBand="0" w:noVBand="1"/>
      </w:tblPr>
      <w:tblGrid>
        <w:gridCol w:w="1487"/>
        <w:gridCol w:w="1418"/>
        <w:gridCol w:w="5387"/>
      </w:tblGrid>
      <w:tr w:rsidR="007A5AF9" w:rsidRPr="00F337F4" w14:paraId="6891C1D4" w14:textId="77777777" w:rsidTr="003D5905">
        <w:trPr>
          <w:trHeight w:val="600"/>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3C58C"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Doza ceftriaksona*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3BE5658"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Učestalost primjene**</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38031036"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Indikacije</w:t>
            </w:r>
          </w:p>
        </w:tc>
      </w:tr>
      <w:tr w:rsidR="007A5AF9" w:rsidRPr="00F337F4" w14:paraId="266D8710" w14:textId="77777777" w:rsidTr="003D5905">
        <w:trPr>
          <w:trHeight w:val="300"/>
        </w:trPr>
        <w:tc>
          <w:tcPr>
            <w:tcW w:w="1487" w:type="dxa"/>
            <w:vMerge w:val="restart"/>
            <w:tcBorders>
              <w:top w:val="nil"/>
              <w:left w:val="single" w:sz="4" w:space="0" w:color="auto"/>
              <w:bottom w:val="single" w:sz="4" w:space="0" w:color="000000"/>
              <w:right w:val="single" w:sz="4" w:space="0" w:color="auto"/>
            </w:tcBorders>
            <w:shd w:val="clear" w:color="auto" w:fill="auto"/>
            <w:vAlign w:val="center"/>
            <w:hideMark/>
          </w:tcPr>
          <w:p w14:paraId="3AC5D688"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50-80 mg/kg</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2C3E431"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4015FBE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intraabdominalne infekcije</w:t>
            </w:r>
          </w:p>
        </w:tc>
      </w:tr>
      <w:tr w:rsidR="007A5AF9" w:rsidRPr="00F337F4" w14:paraId="136DA413" w14:textId="77777777" w:rsidTr="003D5905">
        <w:trPr>
          <w:trHeight w:val="600"/>
        </w:trPr>
        <w:tc>
          <w:tcPr>
            <w:tcW w:w="1487" w:type="dxa"/>
            <w:vMerge/>
            <w:tcBorders>
              <w:top w:val="nil"/>
              <w:left w:val="single" w:sz="4" w:space="0" w:color="auto"/>
              <w:bottom w:val="single" w:sz="4" w:space="0" w:color="000000"/>
              <w:right w:val="single" w:sz="4" w:space="0" w:color="auto"/>
            </w:tcBorders>
            <w:vAlign w:val="center"/>
            <w:hideMark/>
          </w:tcPr>
          <w:p w14:paraId="52E348DA"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746EBD71"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5766879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urinarnog trakta (uključujući pijeloneritis)</w:t>
            </w:r>
          </w:p>
        </w:tc>
      </w:tr>
      <w:tr w:rsidR="007A5AF9" w:rsidRPr="00F337F4" w14:paraId="5A4A5730"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703C210D"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4DCCD9BF"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46CA4F2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vanbolnički stečena pneumonija</w:t>
            </w:r>
          </w:p>
        </w:tc>
      </w:tr>
      <w:tr w:rsidR="007A5AF9" w:rsidRPr="00F337F4" w14:paraId="42501B94"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70FFC119"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1E9FD52B"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74C19A79"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bolnička pneumonija</w:t>
            </w:r>
          </w:p>
        </w:tc>
      </w:tr>
      <w:tr w:rsidR="007A5AF9" w:rsidRPr="00F337F4" w14:paraId="043D2D1D" w14:textId="77777777" w:rsidTr="003D5905">
        <w:trPr>
          <w:trHeight w:val="300"/>
        </w:trPr>
        <w:tc>
          <w:tcPr>
            <w:tcW w:w="1487" w:type="dxa"/>
            <w:vMerge w:val="restart"/>
            <w:tcBorders>
              <w:top w:val="nil"/>
              <w:left w:val="single" w:sz="4" w:space="0" w:color="auto"/>
              <w:bottom w:val="single" w:sz="4" w:space="0" w:color="auto"/>
              <w:right w:val="single" w:sz="4" w:space="0" w:color="auto"/>
            </w:tcBorders>
            <w:shd w:val="clear" w:color="auto" w:fill="auto"/>
            <w:vAlign w:val="center"/>
            <w:hideMark/>
          </w:tcPr>
          <w:p w14:paraId="163ECDEA"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50-100 mg/kg (najviše 4 g)</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6E58FC"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5E58804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kože i mekih tkiva</w:t>
            </w:r>
          </w:p>
        </w:tc>
      </w:tr>
      <w:tr w:rsidR="007A5AF9" w:rsidRPr="00F337F4" w14:paraId="233B704B" w14:textId="77777777" w:rsidTr="003D5905">
        <w:trPr>
          <w:trHeight w:val="300"/>
        </w:trPr>
        <w:tc>
          <w:tcPr>
            <w:tcW w:w="1487" w:type="dxa"/>
            <w:vMerge/>
            <w:tcBorders>
              <w:top w:val="nil"/>
              <w:left w:val="single" w:sz="4" w:space="0" w:color="auto"/>
              <w:bottom w:val="single" w:sz="4" w:space="0" w:color="auto"/>
              <w:right w:val="single" w:sz="4" w:space="0" w:color="auto"/>
            </w:tcBorders>
            <w:vAlign w:val="center"/>
            <w:hideMark/>
          </w:tcPr>
          <w:p w14:paraId="39F86071"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auto"/>
              <w:right w:val="single" w:sz="4" w:space="0" w:color="auto"/>
            </w:tcBorders>
            <w:vAlign w:val="center"/>
            <w:hideMark/>
          </w:tcPr>
          <w:p w14:paraId="08989DA7"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61E4D7E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infekcije kostiju i zglobova</w:t>
            </w:r>
          </w:p>
        </w:tc>
      </w:tr>
      <w:tr w:rsidR="007A5AF9" w:rsidRPr="00F337F4" w14:paraId="5C402F57" w14:textId="77777777" w:rsidTr="003D5905">
        <w:trPr>
          <w:trHeight w:val="900"/>
        </w:trPr>
        <w:tc>
          <w:tcPr>
            <w:tcW w:w="1487" w:type="dxa"/>
            <w:vMerge/>
            <w:tcBorders>
              <w:top w:val="nil"/>
              <w:left w:val="single" w:sz="4" w:space="0" w:color="auto"/>
              <w:bottom w:val="single" w:sz="4" w:space="0" w:color="auto"/>
              <w:right w:val="single" w:sz="4" w:space="0" w:color="auto"/>
            </w:tcBorders>
            <w:vAlign w:val="center"/>
            <w:hideMark/>
          </w:tcPr>
          <w:p w14:paraId="3A4FA9A4"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auto"/>
              <w:right w:val="single" w:sz="4" w:space="0" w:color="auto"/>
            </w:tcBorders>
            <w:vAlign w:val="center"/>
            <w:hideMark/>
          </w:tcPr>
          <w:p w14:paraId="1D2BBB7E"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31C48C1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terapija pacijenata sa neutropenijom koji imaju povišenu tjelesnu temperaturu za koju se sumnja da je posledica bakterijske infekcije</w:t>
            </w:r>
          </w:p>
        </w:tc>
      </w:tr>
      <w:tr w:rsidR="007A5AF9" w:rsidRPr="00F337F4" w14:paraId="643AC2B6" w14:textId="77777777" w:rsidTr="003D5905">
        <w:trPr>
          <w:trHeight w:val="734"/>
        </w:trPr>
        <w:tc>
          <w:tcPr>
            <w:tcW w:w="1487" w:type="dxa"/>
            <w:tcBorders>
              <w:top w:val="nil"/>
              <w:left w:val="single" w:sz="4" w:space="0" w:color="auto"/>
              <w:bottom w:val="single" w:sz="4" w:space="0" w:color="auto"/>
              <w:right w:val="single" w:sz="4" w:space="0" w:color="auto"/>
            </w:tcBorders>
            <w:shd w:val="clear" w:color="auto" w:fill="auto"/>
            <w:vAlign w:val="center"/>
            <w:hideMark/>
          </w:tcPr>
          <w:p w14:paraId="256511A5"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80-100 mg/kg (najviše 4 g)</w:t>
            </w:r>
          </w:p>
        </w:tc>
        <w:tc>
          <w:tcPr>
            <w:tcW w:w="1418" w:type="dxa"/>
            <w:tcBorders>
              <w:top w:val="nil"/>
              <w:left w:val="nil"/>
              <w:bottom w:val="single" w:sz="4" w:space="0" w:color="auto"/>
              <w:right w:val="single" w:sz="4" w:space="0" w:color="auto"/>
            </w:tcBorders>
            <w:shd w:val="clear" w:color="auto" w:fill="auto"/>
            <w:noWrap/>
            <w:vAlign w:val="bottom"/>
            <w:hideMark/>
          </w:tcPr>
          <w:p w14:paraId="3162B624"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p w14:paraId="32F25CB2" w14:textId="77777777" w:rsidR="007A5AF9" w:rsidRPr="00F337F4" w:rsidRDefault="007A5AF9" w:rsidP="003D5905">
            <w:pPr>
              <w:tabs>
                <w:tab w:val="clear" w:pos="284"/>
              </w:tabs>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16DAD56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meningitis</w:t>
            </w:r>
          </w:p>
        </w:tc>
      </w:tr>
      <w:tr w:rsidR="007A5AF9" w:rsidRPr="00F337F4" w14:paraId="29D5CABC" w14:textId="77777777" w:rsidTr="003D5905">
        <w:trPr>
          <w:trHeight w:val="660"/>
        </w:trPr>
        <w:tc>
          <w:tcPr>
            <w:tcW w:w="1487" w:type="dxa"/>
            <w:tcBorders>
              <w:top w:val="nil"/>
              <w:left w:val="single" w:sz="4" w:space="0" w:color="auto"/>
              <w:bottom w:val="single" w:sz="4" w:space="0" w:color="auto"/>
              <w:right w:val="single" w:sz="4" w:space="0" w:color="auto"/>
            </w:tcBorders>
            <w:shd w:val="clear" w:color="auto" w:fill="auto"/>
            <w:vAlign w:val="bottom"/>
            <w:hideMark/>
          </w:tcPr>
          <w:p w14:paraId="3D4CB395"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100 mg/kg (najviše 4 g)</w:t>
            </w:r>
          </w:p>
        </w:tc>
        <w:tc>
          <w:tcPr>
            <w:tcW w:w="1418" w:type="dxa"/>
            <w:tcBorders>
              <w:top w:val="nil"/>
              <w:left w:val="nil"/>
              <w:bottom w:val="single" w:sz="4" w:space="0" w:color="auto"/>
              <w:right w:val="single" w:sz="4" w:space="0" w:color="auto"/>
            </w:tcBorders>
            <w:shd w:val="clear" w:color="auto" w:fill="auto"/>
            <w:noWrap/>
            <w:vAlign w:val="bottom"/>
            <w:hideMark/>
          </w:tcPr>
          <w:p w14:paraId="42923172"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noWrap/>
            <w:vAlign w:val="bottom"/>
            <w:hideMark/>
          </w:tcPr>
          <w:p w14:paraId="7D7FC5D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endokarditis</w:t>
            </w:r>
          </w:p>
        </w:tc>
      </w:tr>
    </w:tbl>
    <w:p w14:paraId="09CF4B11" w14:textId="77777777" w:rsidR="007A5AF9" w:rsidRPr="00F337F4" w:rsidRDefault="007A5AF9" w:rsidP="007A5AF9">
      <w:pPr>
        <w:rPr>
          <w:szCs w:val="22"/>
          <w:lang w:val="sr-Latn-ME"/>
        </w:rPr>
      </w:pPr>
      <w:r w:rsidRPr="00F337F4">
        <w:rPr>
          <w:szCs w:val="22"/>
          <w:lang w:val="sr-Latn-ME"/>
        </w:rPr>
        <w:t>*Kod dokazane bakterijemije, treba razmotriti primjenu doza na gornjoj granici preporučenog raspona.</w:t>
      </w:r>
    </w:p>
    <w:p w14:paraId="707F8A90" w14:textId="77777777" w:rsidR="007A5AF9" w:rsidRPr="00F337F4" w:rsidRDefault="007A5AF9" w:rsidP="007A5AF9">
      <w:pPr>
        <w:rPr>
          <w:szCs w:val="22"/>
          <w:lang w:val="sr-Latn-ME"/>
        </w:rPr>
      </w:pPr>
      <w:r w:rsidRPr="00F337F4">
        <w:rPr>
          <w:szCs w:val="22"/>
          <w:lang w:val="sr-Latn-ME"/>
        </w:rPr>
        <w:t>**U slučaju primjene doza većih od 2</w:t>
      </w:r>
      <w:r>
        <w:rPr>
          <w:szCs w:val="22"/>
          <w:lang w:val="sr-Latn-ME"/>
        </w:rPr>
        <w:t xml:space="preserve"> </w:t>
      </w:r>
      <w:r w:rsidRPr="00F337F4">
        <w:rPr>
          <w:szCs w:val="22"/>
          <w:lang w:val="sr-Latn-ME"/>
        </w:rPr>
        <w:t>g dnevno treba razmotriti primjenu lijeka dva puta dnevno (svakih 12 sati).</w:t>
      </w:r>
    </w:p>
    <w:p w14:paraId="67F3A9C6" w14:textId="77777777" w:rsidR="007A5AF9" w:rsidRPr="00F337F4" w:rsidRDefault="007A5AF9" w:rsidP="007A5AF9">
      <w:pPr>
        <w:rPr>
          <w:szCs w:val="22"/>
          <w:lang w:val="sr-Latn-ME"/>
        </w:rPr>
      </w:pPr>
    </w:p>
    <w:p w14:paraId="09C50DB0" w14:textId="77777777" w:rsidR="007A5AF9" w:rsidRPr="00D63E74" w:rsidRDefault="007A5AF9" w:rsidP="007A5AF9">
      <w:pPr>
        <w:rPr>
          <w:szCs w:val="22"/>
          <w:lang w:val="sr-Latn-ME"/>
        </w:rPr>
      </w:pPr>
      <w:r w:rsidRPr="00D63E74">
        <w:rPr>
          <w:szCs w:val="22"/>
          <w:lang w:val="sr-Latn-ME"/>
        </w:rPr>
        <w:t>Indikacije za novorođenčad, odojčad i djecu uzrasta od 15 dana do 12 godina (&lt; 50 kg) koje zahtijevaju poseban režim doziranja</w:t>
      </w:r>
    </w:p>
    <w:p w14:paraId="67AADCF8" w14:textId="77777777" w:rsidR="007A5AF9" w:rsidRPr="00F337F4" w:rsidRDefault="007A5AF9" w:rsidP="007A5AF9">
      <w:pPr>
        <w:rPr>
          <w:szCs w:val="22"/>
          <w:u w:val="single"/>
          <w:lang w:val="sr-Latn-ME"/>
        </w:rPr>
      </w:pPr>
    </w:p>
    <w:p w14:paraId="20EC139A" w14:textId="77777777" w:rsidR="007A5AF9" w:rsidRPr="00F337F4" w:rsidRDefault="007A5AF9" w:rsidP="007A5AF9">
      <w:pPr>
        <w:rPr>
          <w:i/>
          <w:szCs w:val="22"/>
          <w:u w:val="single"/>
          <w:lang w:val="sr-Latn-ME"/>
        </w:rPr>
      </w:pPr>
      <w:r w:rsidRPr="00F337F4">
        <w:rPr>
          <w:szCs w:val="22"/>
          <w:u w:val="single"/>
          <w:lang w:val="sr-Latn-ME"/>
        </w:rPr>
        <w:t xml:space="preserve">Akutni </w:t>
      </w:r>
      <w:r w:rsidRPr="00F337F4">
        <w:rPr>
          <w:i/>
          <w:szCs w:val="22"/>
          <w:u w:val="single"/>
          <w:lang w:val="sr-Latn-ME"/>
        </w:rPr>
        <w:t>otitis media</w:t>
      </w:r>
    </w:p>
    <w:p w14:paraId="1BB8B7F1" w14:textId="77777777" w:rsidR="007A5AF9" w:rsidRPr="00F337F4" w:rsidRDefault="007A5AF9" w:rsidP="007A5AF9">
      <w:pPr>
        <w:rPr>
          <w:szCs w:val="22"/>
          <w:lang w:val="sr-Latn-ME"/>
        </w:rPr>
      </w:pPr>
      <w:r w:rsidRPr="00F337F4">
        <w:rPr>
          <w:szCs w:val="22"/>
          <w:lang w:val="sr-Latn-ME"/>
        </w:rPr>
        <w:t xml:space="preserve">Za početno liječenje akutnog </w:t>
      </w:r>
      <w:r w:rsidRPr="00F337F4">
        <w:rPr>
          <w:i/>
          <w:szCs w:val="22"/>
          <w:lang w:val="sr-Latn-ME"/>
        </w:rPr>
        <w:t>otitis media</w:t>
      </w:r>
      <w:r w:rsidRPr="00F337F4">
        <w:rPr>
          <w:szCs w:val="22"/>
          <w:lang w:val="sr-Latn-ME"/>
        </w:rPr>
        <w:t xml:space="preserve"> može se primijeniti pojedinačna intramuskularna doza lijeka Ceftriaxona Qilu od 50 mg/kg. Ograničeni podaci ukazuju na to da u slučajevima teških oblika bolesti ili kada je početna terapija bila neuspješna, ceftriakson može biti efikasan kada se daje intramuskularno u dozi od 50 mg/kg dnevno tokom 3 dana. </w:t>
      </w:r>
    </w:p>
    <w:p w14:paraId="1875467C" w14:textId="77777777" w:rsidR="007A5AF9" w:rsidRPr="00F337F4" w:rsidRDefault="007A5AF9" w:rsidP="007A5AF9">
      <w:pPr>
        <w:rPr>
          <w:szCs w:val="22"/>
          <w:lang w:val="sr-Latn-ME"/>
        </w:rPr>
      </w:pPr>
    </w:p>
    <w:p w14:paraId="661DC3C8" w14:textId="77777777" w:rsidR="007A5AF9" w:rsidRPr="00F337F4" w:rsidRDefault="007A5AF9" w:rsidP="007A5AF9">
      <w:pPr>
        <w:rPr>
          <w:color w:val="FF0000"/>
          <w:szCs w:val="22"/>
          <w:u w:val="single"/>
          <w:lang w:val="sr-Latn-ME"/>
        </w:rPr>
      </w:pPr>
      <w:r w:rsidRPr="00F337F4">
        <w:rPr>
          <w:szCs w:val="22"/>
          <w:u w:val="single"/>
          <w:lang w:val="sr-Latn-ME"/>
        </w:rPr>
        <w:t>Preoperativna profilaksa infekcija operativnog mjesta</w:t>
      </w:r>
    </w:p>
    <w:p w14:paraId="1EECCD77" w14:textId="77777777" w:rsidR="007A5AF9" w:rsidRPr="00F337F4" w:rsidRDefault="007A5AF9" w:rsidP="007A5AF9">
      <w:pPr>
        <w:rPr>
          <w:szCs w:val="22"/>
          <w:lang w:val="sr-Latn-ME"/>
        </w:rPr>
      </w:pPr>
      <w:r w:rsidRPr="00F337F4">
        <w:rPr>
          <w:szCs w:val="22"/>
          <w:lang w:val="sr-Latn-ME"/>
        </w:rPr>
        <w:t>50-80 mg/kg kao pojedinačna preoperativna doza.</w:t>
      </w:r>
    </w:p>
    <w:p w14:paraId="7D9300BB" w14:textId="77777777" w:rsidR="007A5AF9" w:rsidRPr="00F337F4" w:rsidRDefault="007A5AF9" w:rsidP="007A5AF9">
      <w:pPr>
        <w:rPr>
          <w:szCs w:val="22"/>
          <w:lang w:val="sr-Latn-ME"/>
        </w:rPr>
      </w:pPr>
    </w:p>
    <w:p w14:paraId="0B8FF01C" w14:textId="77777777" w:rsidR="007A5AF9" w:rsidRPr="00F337F4" w:rsidRDefault="007A5AF9" w:rsidP="007A5AF9">
      <w:pPr>
        <w:rPr>
          <w:szCs w:val="22"/>
          <w:u w:val="single"/>
          <w:lang w:val="sr-Latn-ME"/>
        </w:rPr>
      </w:pPr>
      <w:r w:rsidRPr="00F337F4">
        <w:rPr>
          <w:szCs w:val="22"/>
          <w:u w:val="single"/>
          <w:lang w:val="sr-Latn-ME"/>
        </w:rPr>
        <w:t>Sifilis</w:t>
      </w:r>
    </w:p>
    <w:p w14:paraId="2BFB247C" w14:textId="77777777" w:rsidR="007A5AF9" w:rsidRPr="00F337F4" w:rsidRDefault="007A5AF9" w:rsidP="007A5AF9">
      <w:pPr>
        <w:rPr>
          <w:szCs w:val="22"/>
          <w:lang w:val="sr-Latn-ME"/>
        </w:rPr>
      </w:pPr>
      <w:r w:rsidRPr="00F337F4">
        <w:rPr>
          <w:szCs w:val="22"/>
          <w:lang w:val="sr-Latn-ME"/>
        </w:rPr>
        <w:t>Uobičajene preporučene doze su 75-100 mg/kg (maksimalno 4 g) jednom dnevno tokom 10-14 dana. Preporuke za doze kod sifilisa, uključujući neurosifilis, temelje se na vrlo ograničenim podacima. Treba uzeti u obzir nacionalne vežeće smjernice.</w:t>
      </w:r>
    </w:p>
    <w:p w14:paraId="5CB3795E" w14:textId="77777777" w:rsidR="007A5AF9" w:rsidRPr="00F337F4" w:rsidRDefault="007A5AF9" w:rsidP="007A5AF9">
      <w:pPr>
        <w:rPr>
          <w:color w:val="FF0000"/>
          <w:szCs w:val="22"/>
          <w:lang w:val="sr-Latn-ME"/>
        </w:rPr>
      </w:pPr>
    </w:p>
    <w:p w14:paraId="6C44008F" w14:textId="77777777" w:rsidR="007A5AF9" w:rsidRPr="00F337F4" w:rsidRDefault="007A5AF9" w:rsidP="007A5AF9">
      <w:pPr>
        <w:rPr>
          <w:szCs w:val="22"/>
          <w:u w:val="single"/>
          <w:lang w:val="sr-Latn-ME"/>
        </w:rPr>
      </w:pPr>
      <w:r w:rsidRPr="00F337F4">
        <w:rPr>
          <w:szCs w:val="22"/>
          <w:u w:val="single"/>
          <w:lang w:val="sr-Latn-ME"/>
        </w:rPr>
        <w:t xml:space="preserve">Diseminovana </w:t>
      </w:r>
      <w:r w:rsidRPr="00F337F4">
        <w:rPr>
          <w:i/>
          <w:szCs w:val="22"/>
          <w:u w:val="single"/>
          <w:lang w:val="sr-Latn-ME"/>
        </w:rPr>
        <w:t>Lyme borreliosis</w:t>
      </w:r>
      <w:r w:rsidRPr="00F337F4">
        <w:rPr>
          <w:szCs w:val="22"/>
          <w:u w:val="single"/>
          <w:lang w:val="sr-Latn-ME"/>
        </w:rPr>
        <w:t xml:space="preserve"> - rana faza (stadijum II) i kasna faza (stadijum III) </w:t>
      </w:r>
    </w:p>
    <w:p w14:paraId="07D65FFE" w14:textId="77777777" w:rsidR="007A5AF9" w:rsidRPr="00F337F4" w:rsidRDefault="007A5AF9" w:rsidP="007A5AF9">
      <w:pPr>
        <w:rPr>
          <w:color w:val="FF0000"/>
          <w:szCs w:val="22"/>
          <w:lang w:val="sr-Latn-ME"/>
        </w:rPr>
      </w:pPr>
      <w:r w:rsidRPr="00F337F4">
        <w:rPr>
          <w:szCs w:val="22"/>
          <w:lang w:val="sr-Latn-ME"/>
        </w:rPr>
        <w:t>50-80 mg/kg jednom dnevno, tokom 14-21 dan. Razlikuje se preporučeno trajanje liječenja i treba uzeti u obzir nacionalne važeće smjernice.</w:t>
      </w:r>
    </w:p>
    <w:p w14:paraId="462D586F" w14:textId="77777777" w:rsidR="007A5AF9" w:rsidRPr="00F337F4" w:rsidRDefault="007A5AF9" w:rsidP="007A5AF9">
      <w:pPr>
        <w:rPr>
          <w:szCs w:val="22"/>
          <w:lang w:val="sr-Latn-ME"/>
        </w:rPr>
      </w:pPr>
    </w:p>
    <w:p w14:paraId="54A666E6" w14:textId="77777777" w:rsidR="007A5AF9" w:rsidRPr="00D63E74" w:rsidRDefault="007A5AF9" w:rsidP="007A5AF9">
      <w:pPr>
        <w:rPr>
          <w:i/>
          <w:szCs w:val="22"/>
          <w:u w:val="single"/>
          <w:lang w:val="sr-Latn-ME"/>
        </w:rPr>
      </w:pPr>
      <w:r w:rsidRPr="00D63E74">
        <w:rPr>
          <w:i/>
          <w:szCs w:val="22"/>
          <w:u w:val="single"/>
          <w:lang w:val="sr-Latn-ME"/>
        </w:rPr>
        <w:t>Novorođenčad starosti 0-14 dana</w:t>
      </w:r>
    </w:p>
    <w:p w14:paraId="0EC677D3" w14:textId="77777777" w:rsidR="007A5AF9" w:rsidRDefault="007A5AF9" w:rsidP="007A5AF9">
      <w:pPr>
        <w:rPr>
          <w:szCs w:val="22"/>
          <w:lang w:val="sr-Latn-ME"/>
        </w:rPr>
      </w:pPr>
      <w:r w:rsidRPr="00F337F4">
        <w:rPr>
          <w:szCs w:val="22"/>
          <w:lang w:val="sr-Latn-ME"/>
        </w:rPr>
        <w:t>Lijek Ceftriaxona Qilu je kontraindikovan kod prevremeno rođene djece do postmenstrualnog perioda od 41 nedjelje (gestacijski period + hronološki period).</w:t>
      </w:r>
    </w:p>
    <w:p w14:paraId="6EEF8D33" w14:textId="77777777" w:rsidR="007A5AF9" w:rsidRDefault="007A5AF9" w:rsidP="007A5AF9">
      <w:pPr>
        <w:rPr>
          <w:szCs w:val="22"/>
          <w:lang w:val="sr-Latn-ME"/>
        </w:rPr>
      </w:pPr>
    </w:p>
    <w:p w14:paraId="7708DC87" w14:textId="4F41FDBF" w:rsidR="007A5AF9" w:rsidRDefault="007A5AF9" w:rsidP="007A5AF9">
      <w:pPr>
        <w:rPr>
          <w:szCs w:val="22"/>
          <w:lang w:val="sr-Latn-ME"/>
        </w:rPr>
      </w:pPr>
    </w:p>
    <w:p w14:paraId="31B05603" w14:textId="52881B4E" w:rsidR="003D5905" w:rsidRDefault="003D5905" w:rsidP="007A5AF9">
      <w:pPr>
        <w:rPr>
          <w:szCs w:val="22"/>
          <w:lang w:val="sr-Latn-ME"/>
        </w:rPr>
      </w:pPr>
    </w:p>
    <w:p w14:paraId="4A8C52E1" w14:textId="400688E2" w:rsidR="003D5905" w:rsidRDefault="003D5905" w:rsidP="007A5AF9">
      <w:pPr>
        <w:rPr>
          <w:szCs w:val="22"/>
          <w:lang w:val="sr-Latn-ME"/>
        </w:rPr>
      </w:pPr>
    </w:p>
    <w:p w14:paraId="55BE2D0D" w14:textId="77777777" w:rsidR="003D5905" w:rsidRDefault="003D5905" w:rsidP="007A5AF9">
      <w:pPr>
        <w:rPr>
          <w:szCs w:val="22"/>
          <w:lang w:val="sr-Latn-ME"/>
        </w:rPr>
      </w:pPr>
    </w:p>
    <w:p w14:paraId="2A0122C0" w14:textId="77777777" w:rsidR="007A5AF9" w:rsidRPr="00F337F4" w:rsidRDefault="007A5AF9" w:rsidP="007A5AF9">
      <w:pPr>
        <w:rPr>
          <w:szCs w:val="22"/>
          <w:lang w:val="sr-Latn-ME"/>
        </w:rPr>
      </w:pPr>
    </w:p>
    <w:tbl>
      <w:tblPr>
        <w:tblW w:w="8292" w:type="dxa"/>
        <w:tblLook w:val="04A0" w:firstRow="1" w:lastRow="0" w:firstColumn="1" w:lastColumn="0" w:noHBand="0" w:noVBand="1"/>
      </w:tblPr>
      <w:tblGrid>
        <w:gridCol w:w="1487"/>
        <w:gridCol w:w="1418"/>
        <w:gridCol w:w="5387"/>
      </w:tblGrid>
      <w:tr w:rsidR="007A5AF9" w:rsidRPr="00F337F4" w14:paraId="47098832" w14:textId="77777777" w:rsidTr="003D5905">
        <w:trPr>
          <w:trHeight w:val="600"/>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9EF566"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lastRenderedPageBreak/>
              <w:t>Doza ceftriaksona*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38EEC5"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Učestalost primjene</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042CD58F"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Indikacije</w:t>
            </w:r>
          </w:p>
        </w:tc>
      </w:tr>
      <w:tr w:rsidR="007A5AF9" w:rsidRPr="00F337F4" w14:paraId="2D126C1A" w14:textId="77777777" w:rsidTr="003D5905">
        <w:trPr>
          <w:trHeight w:val="300"/>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AB74F"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20-50 mg/kg</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17470A"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vAlign w:val="bottom"/>
            <w:hideMark/>
          </w:tcPr>
          <w:p w14:paraId="410D0F5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intraabdominalne infekcije</w:t>
            </w:r>
          </w:p>
        </w:tc>
      </w:tr>
      <w:tr w:rsidR="007A5AF9" w:rsidRPr="00F337F4" w14:paraId="7FE7E17B"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36C9DFB6"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799820C8"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5C2E866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kože i mekih tkiva</w:t>
            </w:r>
          </w:p>
        </w:tc>
      </w:tr>
      <w:tr w:rsidR="007A5AF9" w:rsidRPr="00F337F4" w14:paraId="22A874EF" w14:textId="77777777" w:rsidTr="003D5905">
        <w:trPr>
          <w:trHeight w:val="600"/>
        </w:trPr>
        <w:tc>
          <w:tcPr>
            <w:tcW w:w="1487" w:type="dxa"/>
            <w:vMerge/>
            <w:tcBorders>
              <w:top w:val="nil"/>
              <w:left w:val="single" w:sz="4" w:space="0" w:color="auto"/>
              <w:bottom w:val="single" w:sz="4" w:space="0" w:color="000000"/>
              <w:right w:val="single" w:sz="4" w:space="0" w:color="auto"/>
            </w:tcBorders>
            <w:vAlign w:val="center"/>
            <w:hideMark/>
          </w:tcPr>
          <w:p w14:paraId="7DC21C5F"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1AC76FE9"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701CF9C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komplikovane infekcije urinarnog trakta (uključujući pijeloneritis)</w:t>
            </w:r>
          </w:p>
        </w:tc>
      </w:tr>
      <w:tr w:rsidR="007A5AF9" w:rsidRPr="00F337F4" w14:paraId="003AE443"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339ABCAE"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52454078"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45C70C9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vanbolnički stečena pneumonija</w:t>
            </w:r>
          </w:p>
        </w:tc>
      </w:tr>
      <w:tr w:rsidR="007A5AF9" w:rsidRPr="00F337F4" w14:paraId="0DDF60FB"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6E5384ED"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151F66D9"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70B94029"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bolnička pneumonija</w:t>
            </w:r>
          </w:p>
        </w:tc>
      </w:tr>
      <w:tr w:rsidR="007A5AF9" w:rsidRPr="00F337F4" w14:paraId="7074A1D0"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4D9828DE"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6164A284"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6CBB81E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infekcije kostiju i zglobova</w:t>
            </w:r>
          </w:p>
        </w:tc>
      </w:tr>
      <w:tr w:rsidR="007A5AF9" w:rsidRPr="00F337F4" w14:paraId="03D87C29" w14:textId="77777777" w:rsidTr="003D5905">
        <w:trPr>
          <w:trHeight w:val="900"/>
        </w:trPr>
        <w:tc>
          <w:tcPr>
            <w:tcW w:w="1487" w:type="dxa"/>
            <w:vMerge/>
            <w:tcBorders>
              <w:top w:val="nil"/>
              <w:left w:val="single" w:sz="4" w:space="0" w:color="auto"/>
              <w:bottom w:val="single" w:sz="4" w:space="0" w:color="000000"/>
              <w:right w:val="single" w:sz="4" w:space="0" w:color="auto"/>
            </w:tcBorders>
            <w:vAlign w:val="center"/>
            <w:hideMark/>
          </w:tcPr>
          <w:p w14:paraId="4570894C"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094FEF45"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vAlign w:val="bottom"/>
            <w:hideMark/>
          </w:tcPr>
          <w:p w14:paraId="5A9AE88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liječenje pacijenata sa neutropenijom i povišenom tjelesnom temperaturom za koju se sumnja da je posledica bakterijske infekcije</w:t>
            </w:r>
          </w:p>
        </w:tc>
      </w:tr>
      <w:tr w:rsidR="007A5AF9" w:rsidRPr="00F337F4" w14:paraId="6B9F8DEF" w14:textId="77777777" w:rsidTr="003D5905">
        <w:trPr>
          <w:trHeight w:val="300"/>
        </w:trPr>
        <w:tc>
          <w:tcPr>
            <w:tcW w:w="14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1FEBF1"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50 mg/kg</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AB3520" w14:textId="77777777" w:rsidR="007A5AF9" w:rsidRPr="00F337F4" w:rsidRDefault="007A5AF9" w:rsidP="003D5905">
            <w:pPr>
              <w:tabs>
                <w:tab w:val="clear" w:pos="284"/>
              </w:tabs>
              <w:jc w:val="center"/>
              <w:rPr>
                <w:color w:val="000000"/>
                <w:szCs w:val="22"/>
                <w:lang w:val="sr-Latn-ME"/>
              </w:rPr>
            </w:pPr>
            <w:r w:rsidRPr="00F337F4">
              <w:rPr>
                <w:color w:val="000000"/>
                <w:szCs w:val="22"/>
                <w:lang w:val="sr-Latn-ME"/>
              </w:rPr>
              <w:t>jednom dnevno</w:t>
            </w:r>
          </w:p>
        </w:tc>
        <w:tc>
          <w:tcPr>
            <w:tcW w:w="5387" w:type="dxa"/>
            <w:tcBorders>
              <w:top w:val="nil"/>
              <w:left w:val="nil"/>
              <w:bottom w:val="single" w:sz="4" w:space="0" w:color="auto"/>
              <w:right w:val="single" w:sz="4" w:space="0" w:color="auto"/>
            </w:tcBorders>
            <w:shd w:val="clear" w:color="auto" w:fill="auto"/>
            <w:noWrap/>
            <w:vAlign w:val="bottom"/>
            <w:hideMark/>
          </w:tcPr>
          <w:p w14:paraId="3521C56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meningitis</w:t>
            </w:r>
          </w:p>
        </w:tc>
      </w:tr>
      <w:tr w:rsidR="007A5AF9" w:rsidRPr="00F337F4" w14:paraId="16B6736F" w14:textId="77777777" w:rsidTr="003D5905">
        <w:trPr>
          <w:trHeight w:val="300"/>
        </w:trPr>
        <w:tc>
          <w:tcPr>
            <w:tcW w:w="1487" w:type="dxa"/>
            <w:vMerge/>
            <w:tcBorders>
              <w:top w:val="nil"/>
              <w:left w:val="single" w:sz="4" w:space="0" w:color="auto"/>
              <w:bottom w:val="single" w:sz="4" w:space="0" w:color="000000"/>
              <w:right w:val="single" w:sz="4" w:space="0" w:color="auto"/>
            </w:tcBorders>
            <w:vAlign w:val="center"/>
            <w:hideMark/>
          </w:tcPr>
          <w:p w14:paraId="6314F186" w14:textId="77777777" w:rsidR="007A5AF9" w:rsidRPr="00F337F4" w:rsidRDefault="007A5AF9" w:rsidP="003D5905">
            <w:pPr>
              <w:tabs>
                <w:tab w:val="clear" w:pos="284"/>
              </w:tabs>
              <w:jc w:val="left"/>
              <w:rPr>
                <w:color w:val="000000"/>
                <w:szCs w:val="22"/>
                <w:lang w:val="sr-Latn-ME"/>
              </w:rPr>
            </w:pPr>
          </w:p>
        </w:tc>
        <w:tc>
          <w:tcPr>
            <w:tcW w:w="1418" w:type="dxa"/>
            <w:vMerge/>
            <w:tcBorders>
              <w:top w:val="nil"/>
              <w:left w:val="single" w:sz="4" w:space="0" w:color="auto"/>
              <w:bottom w:val="single" w:sz="4" w:space="0" w:color="000000"/>
              <w:right w:val="single" w:sz="4" w:space="0" w:color="auto"/>
            </w:tcBorders>
            <w:vAlign w:val="center"/>
            <w:hideMark/>
          </w:tcPr>
          <w:p w14:paraId="35828A81" w14:textId="77777777" w:rsidR="007A5AF9" w:rsidRPr="00F337F4" w:rsidRDefault="007A5AF9" w:rsidP="003D5905">
            <w:pPr>
              <w:tabs>
                <w:tab w:val="clear" w:pos="284"/>
              </w:tabs>
              <w:jc w:val="left"/>
              <w:rPr>
                <w:color w:val="000000"/>
                <w:szCs w:val="22"/>
                <w:lang w:val="sr-Latn-ME"/>
              </w:rPr>
            </w:pPr>
          </w:p>
        </w:tc>
        <w:tc>
          <w:tcPr>
            <w:tcW w:w="5387" w:type="dxa"/>
            <w:tcBorders>
              <w:top w:val="nil"/>
              <w:left w:val="nil"/>
              <w:bottom w:val="single" w:sz="4" w:space="0" w:color="auto"/>
              <w:right w:val="single" w:sz="4" w:space="0" w:color="auto"/>
            </w:tcBorders>
            <w:shd w:val="clear" w:color="auto" w:fill="auto"/>
            <w:noWrap/>
            <w:vAlign w:val="bottom"/>
            <w:hideMark/>
          </w:tcPr>
          <w:p w14:paraId="6C08551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bakterijski endokarditis</w:t>
            </w:r>
          </w:p>
        </w:tc>
      </w:tr>
    </w:tbl>
    <w:p w14:paraId="707735D3" w14:textId="77777777" w:rsidR="007A5AF9" w:rsidRPr="00F337F4" w:rsidRDefault="007A5AF9" w:rsidP="007A5AF9">
      <w:pPr>
        <w:rPr>
          <w:szCs w:val="22"/>
          <w:lang w:val="sr-Latn-ME"/>
        </w:rPr>
      </w:pPr>
      <w:r w:rsidRPr="00F337F4">
        <w:rPr>
          <w:szCs w:val="22"/>
          <w:lang w:val="sr-Latn-ME"/>
        </w:rPr>
        <w:t>*Kod dokazane bakterijemije, treba razmotriti primjenu doza na gornjoj granici preporučenog raspona.</w:t>
      </w:r>
    </w:p>
    <w:p w14:paraId="2858CAF4" w14:textId="77777777" w:rsidR="007A5AF9" w:rsidRPr="00F337F4" w:rsidRDefault="007A5AF9" w:rsidP="007A5AF9">
      <w:pPr>
        <w:rPr>
          <w:szCs w:val="22"/>
          <w:lang w:val="sr-Latn-ME"/>
        </w:rPr>
      </w:pPr>
      <w:r w:rsidRPr="00F337F4">
        <w:rPr>
          <w:szCs w:val="22"/>
          <w:lang w:val="sr-Latn-ME"/>
        </w:rPr>
        <w:t xml:space="preserve">Ne smije se prekoračiti maksimalna doza od 50 mg/kg dnevno. </w:t>
      </w:r>
    </w:p>
    <w:p w14:paraId="716EAA4F" w14:textId="77777777" w:rsidR="007A5AF9" w:rsidRPr="00F337F4" w:rsidRDefault="007A5AF9" w:rsidP="007A5AF9">
      <w:pPr>
        <w:rPr>
          <w:szCs w:val="22"/>
          <w:lang w:val="sr-Latn-ME"/>
        </w:rPr>
      </w:pPr>
    </w:p>
    <w:p w14:paraId="3D889754" w14:textId="77777777" w:rsidR="007A5AF9" w:rsidRPr="00D63E74" w:rsidRDefault="007A5AF9" w:rsidP="007A5AF9">
      <w:pPr>
        <w:rPr>
          <w:szCs w:val="22"/>
          <w:lang w:val="sr-Latn-ME"/>
        </w:rPr>
      </w:pPr>
      <w:r w:rsidRPr="00D63E74">
        <w:rPr>
          <w:szCs w:val="22"/>
          <w:lang w:val="sr-Latn-ME"/>
        </w:rPr>
        <w:t>Indikacije za novorođenčad starosti 0-14 dana koje zahtijevaju poseban režim doziranja:</w:t>
      </w:r>
    </w:p>
    <w:p w14:paraId="3C224A75" w14:textId="77777777" w:rsidR="007A5AF9" w:rsidRPr="00F337F4" w:rsidRDefault="007A5AF9" w:rsidP="007A5AF9">
      <w:pPr>
        <w:rPr>
          <w:szCs w:val="22"/>
          <w:lang w:val="sr-Latn-ME"/>
        </w:rPr>
      </w:pPr>
    </w:p>
    <w:p w14:paraId="0A8F3549" w14:textId="77777777" w:rsidR="007A5AF9" w:rsidRPr="00F337F4" w:rsidRDefault="007A5AF9" w:rsidP="007A5AF9">
      <w:pPr>
        <w:rPr>
          <w:i/>
          <w:szCs w:val="22"/>
          <w:u w:val="single"/>
          <w:lang w:val="sr-Latn-ME"/>
        </w:rPr>
      </w:pPr>
      <w:r w:rsidRPr="00F337F4">
        <w:rPr>
          <w:szCs w:val="22"/>
          <w:u w:val="single"/>
          <w:lang w:val="sr-Latn-ME"/>
        </w:rPr>
        <w:t xml:space="preserve">Akutni </w:t>
      </w:r>
      <w:r w:rsidRPr="00F337F4">
        <w:rPr>
          <w:i/>
          <w:szCs w:val="22"/>
          <w:u w:val="single"/>
          <w:lang w:val="sr-Latn-ME"/>
        </w:rPr>
        <w:t>otitis media</w:t>
      </w:r>
    </w:p>
    <w:p w14:paraId="32FBEFA3" w14:textId="77777777" w:rsidR="007A5AF9" w:rsidRPr="00F337F4" w:rsidRDefault="007A5AF9" w:rsidP="007A5AF9">
      <w:pPr>
        <w:rPr>
          <w:szCs w:val="22"/>
          <w:lang w:val="sr-Latn-ME"/>
        </w:rPr>
      </w:pPr>
      <w:r w:rsidRPr="00F337F4">
        <w:rPr>
          <w:szCs w:val="22"/>
          <w:lang w:val="sr-Latn-ME"/>
        </w:rPr>
        <w:t xml:space="preserve">Za početno liječenje akutnog </w:t>
      </w:r>
      <w:r w:rsidRPr="00F337F4">
        <w:rPr>
          <w:i/>
          <w:szCs w:val="22"/>
          <w:lang w:val="sr-Latn-ME"/>
        </w:rPr>
        <w:t>otitis media</w:t>
      </w:r>
      <w:r w:rsidRPr="00F337F4">
        <w:rPr>
          <w:szCs w:val="22"/>
          <w:lang w:val="sr-Latn-ME"/>
        </w:rPr>
        <w:t xml:space="preserve"> može se primijeniti jedna intramuskularna doza lijeka Ceftriaxona Qilu od 50 mg/kg. </w:t>
      </w:r>
    </w:p>
    <w:p w14:paraId="062509F3" w14:textId="77777777" w:rsidR="007A5AF9" w:rsidRPr="00F337F4" w:rsidRDefault="007A5AF9" w:rsidP="007A5AF9">
      <w:pPr>
        <w:rPr>
          <w:szCs w:val="22"/>
          <w:lang w:val="sr-Latn-ME"/>
        </w:rPr>
      </w:pPr>
    </w:p>
    <w:p w14:paraId="55FB5890" w14:textId="77777777" w:rsidR="007A5AF9" w:rsidRPr="00F337F4" w:rsidRDefault="007A5AF9" w:rsidP="007A5AF9">
      <w:pPr>
        <w:rPr>
          <w:color w:val="FF0000"/>
          <w:szCs w:val="22"/>
          <w:u w:val="single"/>
          <w:lang w:val="sr-Latn-ME"/>
        </w:rPr>
      </w:pPr>
      <w:r w:rsidRPr="00F337F4">
        <w:rPr>
          <w:szCs w:val="22"/>
          <w:u w:val="single"/>
          <w:lang w:val="sr-Latn-ME"/>
        </w:rPr>
        <w:t>Preoperativna profilaksa infekcija operativnog mesta</w:t>
      </w:r>
    </w:p>
    <w:p w14:paraId="26816960" w14:textId="77777777" w:rsidR="007A5AF9" w:rsidRPr="00F337F4" w:rsidRDefault="007A5AF9" w:rsidP="007A5AF9">
      <w:pPr>
        <w:rPr>
          <w:szCs w:val="22"/>
          <w:lang w:val="sr-Latn-ME"/>
        </w:rPr>
      </w:pPr>
      <w:r w:rsidRPr="00F337F4">
        <w:rPr>
          <w:szCs w:val="22"/>
          <w:lang w:val="sr-Latn-ME"/>
        </w:rPr>
        <w:t>20-50 mg/kg kao pojedinačna preoperativna doza.</w:t>
      </w:r>
    </w:p>
    <w:p w14:paraId="4DB45247" w14:textId="77777777" w:rsidR="007A5AF9" w:rsidRPr="00F337F4" w:rsidRDefault="007A5AF9" w:rsidP="007A5AF9">
      <w:pPr>
        <w:rPr>
          <w:szCs w:val="22"/>
          <w:lang w:val="sr-Latn-ME"/>
        </w:rPr>
      </w:pPr>
    </w:p>
    <w:p w14:paraId="19C555CC" w14:textId="77777777" w:rsidR="007A5AF9" w:rsidRPr="00F337F4" w:rsidRDefault="007A5AF9" w:rsidP="007A5AF9">
      <w:pPr>
        <w:rPr>
          <w:szCs w:val="22"/>
          <w:u w:val="single"/>
          <w:lang w:val="sr-Latn-ME"/>
        </w:rPr>
      </w:pPr>
      <w:r w:rsidRPr="00F337F4">
        <w:rPr>
          <w:szCs w:val="22"/>
          <w:u w:val="single"/>
          <w:lang w:val="sr-Latn-ME"/>
        </w:rPr>
        <w:t>Sifilis</w:t>
      </w:r>
    </w:p>
    <w:p w14:paraId="42792B15" w14:textId="77777777" w:rsidR="007A5AF9" w:rsidRPr="00F337F4" w:rsidRDefault="007A5AF9" w:rsidP="007A5AF9">
      <w:pPr>
        <w:rPr>
          <w:szCs w:val="22"/>
          <w:lang w:val="sr-Latn-ME"/>
        </w:rPr>
      </w:pPr>
      <w:r w:rsidRPr="00F337F4">
        <w:rPr>
          <w:szCs w:val="22"/>
          <w:lang w:val="sr-Latn-ME"/>
        </w:rPr>
        <w:t>Uobičajena preporučena doza je 50 mg/kg jednom dnevno tokom 10-14 dana. Preporuke za doze kod sifilisa, uključujući neurosifilis, temelje se na vrlo ograničenim podacima. Treba uzeti u obzir nacionalne važeće smjernice.</w:t>
      </w:r>
    </w:p>
    <w:p w14:paraId="3D769268" w14:textId="77777777" w:rsidR="007A5AF9" w:rsidRPr="00F337F4" w:rsidRDefault="007A5AF9" w:rsidP="007A5AF9">
      <w:pPr>
        <w:rPr>
          <w:szCs w:val="22"/>
          <w:lang w:val="sr-Latn-ME"/>
        </w:rPr>
      </w:pPr>
    </w:p>
    <w:p w14:paraId="08DB6817" w14:textId="77777777" w:rsidR="007A5AF9" w:rsidRPr="00D63E74" w:rsidRDefault="007A5AF9" w:rsidP="007A5AF9">
      <w:pPr>
        <w:rPr>
          <w:i/>
          <w:szCs w:val="22"/>
          <w:u w:val="single"/>
          <w:lang w:val="sr-Latn-ME"/>
        </w:rPr>
      </w:pPr>
      <w:r w:rsidRPr="00D63E74">
        <w:rPr>
          <w:i/>
          <w:szCs w:val="22"/>
          <w:u w:val="single"/>
          <w:lang w:val="sr-Latn-ME"/>
        </w:rPr>
        <w:t>Trajanje liječenja</w:t>
      </w:r>
    </w:p>
    <w:p w14:paraId="6434F8B2" w14:textId="77777777" w:rsidR="007A5AF9" w:rsidRPr="00F337F4" w:rsidRDefault="007A5AF9" w:rsidP="007A5AF9">
      <w:pPr>
        <w:rPr>
          <w:szCs w:val="22"/>
          <w:lang w:val="sr-Latn-ME"/>
        </w:rPr>
      </w:pPr>
      <w:r w:rsidRPr="00F337F4">
        <w:rPr>
          <w:szCs w:val="22"/>
          <w:lang w:val="sr-Latn-ME"/>
        </w:rPr>
        <w:t>Trajanje terapije varira u zavisnosti od toka bolesti. Kao što važi za terapiju antibioticima uopšte, primjenu ceftriaksona treba nastaviti tokom 48-72 sata nakon što pacijent postane afebrilan ili se postigne eradikacija bakterija.</w:t>
      </w:r>
    </w:p>
    <w:p w14:paraId="5F35A34C" w14:textId="77777777" w:rsidR="007A5AF9" w:rsidRPr="00F337F4" w:rsidRDefault="007A5AF9" w:rsidP="007A5AF9">
      <w:pPr>
        <w:rPr>
          <w:szCs w:val="22"/>
          <w:lang w:val="sr-Latn-ME"/>
        </w:rPr>
      </w:pPr>
    </w:p>
    <w:p w14:paraId="27C68443" w14:textId="77777777" w:rsidR="007A5AF9" w:rsidRPr="00D63E74" w:rsidRDefault="007A5AF9" w:rsidP="007A5AF9">
      <w:pPr>
        <w:rPr>
          <w:i/>
          <w:szCs w:val="22"/>
          <w:u w:val="single"/>
          <w:lang w:val="sr-Latn-ME"/>
        </w:rPr>
      </w:pPr>
      <w:r w:rsidRPr="00D63E74">
        <w:rPr>
          <w:i/>
          <w:szCs w:val="22"/>
          <w:u w:val="single"/>
          <w:lang w:val="sr-Latn-ME"/>
        </w:rPr>
        <w:t>Starije osobe</w:t>
      </w:r>
    </w:p>
    <w:p w14:paraId="05CCB62A" w14:textId="77777777" w:rsidR="007A5AF9" w:rsidRPr="00F337F4" w:rsidRDefault="007A5AF9" w:rsidP="007A5AF9">
      <w:pPr>
        <w:rPr>
          <w:szCs w:val="22"/>
          <w:lang w:val="sr-Latn-ME"/>
        </w:rPr>
      </w:pPr>
      <w:r w:rsidRPr="00F337F4">
        <w:rPr>
          <w:szCs w:val="22"/>
          <w:lang w:val="sr-Latn-ME"/>
        </w:rPr>
        <w:t xml:space="preserve">Ukoliko je funkcija bubrega i jetre zadovoljavajuća, nije potrebno prilagođavanje doze za starije osobe. </w:t>
      </w:r>
    </w:p>
    <w:p w14:paraId="19752919" w14:textId="77777777" w:rsidR="007A5AF9" w:rsidRPr="00F337F4" w:rsidRDefault="007A5AF9" w:rsidP="007A5AF9">
      <w:pPr>
        <w:rPr>
          <w:szCs w:val="22"/>
          <w:lang w:val="sr-Latn-ME"/>
        </w:rPr>
      </w:pPr>
    </w:p>
    <w:p w14:paraId="3EB674A1" w14:textId="77777777" w:rsidR="007A5AF9" w:rsidRPr="00D63E74" w:rsidRDefault="007A5AF9" w:rsidP="007A5AF9">
      <w:pPr>
        <w:rPr>
          <w:i/>
          <w:szCs w:val="22"/>
          <w:u w:val="single"/>
          <w:lang w:val="sr-Latn-ME"/>
        </w:rPr>
      </w:pPr>
      <w:r w:rsidRPr="00F337F4">
        <w:rPr>
          <w:i/>
          <w:szCs w:val="22"/>
          <w:u w:val="single"/>
          <w:lang w:val="sr-Latn-ME"/>
        </w:rPr>
        <w:t>Pacijenti s oštećenjem funkcije jetre</w:t>
      </w:r>
    </w:p>
    <w:p w14:paraId="78A52871" w14:textId="77777777" w:rsidR="007A5AF9" w:rsidRPr="00F337F4" w:rsidRDefault="007A5AF9" w:rsidP="007A5AF9">
      <w:pPr>
        <w:rPr>
          <w:szCs w:val="22"/>
          <w:lang w:val="sr-Latn-ME"/>
        </w:rPr>
      </w:pPr>
      <w:r w:rsidRPr="00F337F4">
        <w:rPr>
          <w:szCs w:val="22"/>
          <w:lang w:val="sr-Latn-ME"/>
        </w:rPr>
        <w:t>Raspoloživi podaci ne ukazuju na potrebu za prilagođavanjem doze kod blagog do umjerenog oštećenja funkcije jetre, ukoliko funkcija bubrega nije oštećena. Nema podataka iz ispitivanja na pacijentima sa ozbiljnim oštećenjem jetre (vidjeti dio 5.2).</w:t>
      </w:r>
    </w:p>
    <w:p w14:paraId="730D5CBA" w14:textId="77777777" w:rsidR="007A5AF9" w:rsidRPr="00F337F4" w:rsidRDefault="007A5AF9" w:rsidP="007A5AF9">
      <w:pPr>
        <w:rPr>
          <w:szCs w:val="22"/>
          <w:lang w:val="sr-Latn-ME"/>
        </w:rPr>
      </w:pPr>
    </w:p>
    <w:p w14:paraId="62AB3824" w14:textId="77777777" w:rsidR="007A5AF9" w:rsidRPr="00D63E74" w:rsidRDefault="007A5AF9" w:rsidP="007A5AF9">
      <w:pPr>
        <w:rPr>
          <w:i/>
          <w:szCs w:val="22"/>
          <w:u w:val="single"/>
          <w:lang w:val="sr-Latn-ME"/>
        </w:rPr>
      </w:pPr>
      <w:r w:rsidRPr="00F337F4">
        <w:rPr>
          <w:i/>
          <w:szCs w:val="22"/>
          <w:u w:val="single"/>
          <w:lang w:val="sr-Latn-ME"/>
        </w:rPr>
        <w:t>Pacijenti s oštećenjem funkcije bubrega</w:t>
      </w:r>
    </w:p>
    <w:p w14:paraId="5D959E8F" w14:textId="77777777" w:rsidR="007A5AF9" w:rsidRPr="00F337F4" w:rsidRDefault="007A5AF9" w:rsidP="007A5AF9">
      <w:pPr>
        <w:rPr>
          <w:szCs w:val="22"/>
          <w:lang w:val="sr-Latn-ME"/>
        </w:rPr>
      </w:pPr>
      <w:r w:rsidRPr="00F337F4">
        <w:rPr>
          <w:szCs w:val="22"/>
          <w:lang w:val="sr-Latn-ME"/>
        </w:rPr>
        <w:t xml:space="preserve">Kod pacijenata sa oštećenjem funkcije bubrega nema potrebe za smanjivanjem doze ceftriaksona, ukoliko funkcija jetre nije oštećena. Jedino u slučajevima preterminalne insuficijencije bubrega (klirens kreatinina &lt; 10 mL/min) ne smije se prekoračiti doza ceftriaksona od 2 g dnevno. Kod pacijenata na dijalizi nije potrebna primjena dodatnih doza nakon procesa dijalize. Ceftriakson se ne može ukloniti hemodijalizom ili peritonealnom dijalizom. </w:t>
      </w:r>
    </w:p>
    <w:p w14:paraId="4FF0B9DA" w14:textId="77777777" w:rsidR="007A5AF9" w:rsidRPr="00F337F4" w:rsidRDefault="007A5AF9" w:rsidP="007A5AF9">
      <w:pPr>
        <w:rPr>
          <w:szCs w:val="22"/>
          <w:lang w:val="sr-Latn-ME"/>
        </w:rPr>
      </w:pPr>
      <w:r w:rsidRPr="00F337F4">
        <w:rPr>
          <w:szCs w:val="22"/>
          <w:lang w:val="sr-Latn-ME"/>
        </w:rPr>
        <w:t>Savjetuje se pažljivo kliničko praćenje bezbjednosti i efikasnosti.</w:t>
      </w:r>
    </w:p>
    <w:p w14:paraId="3622E131" w14:textId="77777777" w:rsidR="007A5AF9" w:rsidRDefault="007A5AF9" w:rsidP="007A5AF9">
      <w:pPr>
        <w:rPr>
          <w:i/>
          <w:szCs w:val="22"/>
          <w:u w:val="single"/>
          <w:lang w:val="sr-Latn-ME"/>
        </w:rPr>
      </w:pPr>
    </w:p>
    <w:p w14:paraId="2A35DB19" w14:textId="77777777" w:rsidR="003D5905" w:rsidRDefault="003D5905" w:rsidP="007A5AF9">
      <w:pPr>
        <w:rPr>
          <w:i/>
          <w:szCs w:val="22"/>
          <w:u w:val="single"/>
          <w:lang w:val="sr-Latn-ME"/>
        </w:rPr>
      </w:pPr>
    </w:p>
    <w:p w14:paraId="5C24884F" w14:textId="77777777" w:rsidR="003D5905" w:rsidRDefault="003D5905" w:rsidP="007A5AF9">
      <w:pPr>
        <w:rPr>
          <w:i/>
          <w:szCs w:val="22"/>
          <w:u w:val="single"/>
          <w:lang w:val="sr-Latn-ME"/>
        </w:rPr>
      </w:pPr>
    </w:p>
    <w:p w14:paraId="7325E904" w14:textId="1867AB55" w:rsidR="007A5AF9" w:rsidRPr="00D63E74" w:rsidRDefault="007A5AF9" w:rsidP="007A5AF9">
      <w:pPr>
        <w:rPr>
          <w:i/>
          <w:szCs w:val="22"/>
          <w:u w:val="single"/>
          <w:lang w:val="sr-Latn-ME"/>
        </w:rPr>
      </w:pPr>
      <w:r w:rsidRPr="00F337F4">
        <w:rPr>
          <w:i/>
          <w:szCs w:val="22"/>
          <w:u w:val="single"/>
          <w:lang w:val="sr-Latn-ME"/>
        </w:rPr>
        <w:lastRenderedPageBreak/>
        <w:t>Pacijenti s teškim</w:t>
      </w:r>
      <w:r w:rsidRPr="00D63E74">
        <w:rPr>
          <w:i/>
          <w:szCs w:val="22"/>
          <w:u w:val="single"/>
          <w:lang w:val="sr-Latn-ME"/>
        </w:rPr>
        <w:t xml:space="preserve"> oštećenje</w:t>
      </w:r>
      <w:r w:rsidRPr="00F337F4">
        <w:rPr>
          <w:i/>
          <w:szCs w:val="22"/>
          <w:u w:val="single"/>
          <w:lang w:val="sr-Latn-ME"/>
        </w:rPr>
        <w:t>m</w:t>
      </w:r>
      <w:r w:rsidRPr="00D63E74">
        <w:rPr>
          <w:i/>
          <w:szCs w:val="22"/>
          <w:u w:val="single"/>
          <w:lang w:val="sr-Latn-ME"/>
        </w:rPr>
        <w:t xml:space="preserve"> funkcije jetre i bubrega</w:t>
      </w:r>
    </w:p>
    <w:p w14:paraId="106944F4" w14:textId="77777777" w:rsidR="007A5AF9" w:rsidRPr="00F337F4" w:rsidRDefault="007A5AF9" w:rsidP="007A5AF9">
      <w:pPr>
        <w:rPr>
          <w:szCs w:val="22"/>
          <w:lang w:val="sr-Latn-ME"/>
        </w:rPr>
      </w:pPr>
      <w:r w:rsidRPr="00F337F4">
        <w:rPr>
          <w:szCs w:val="22"/>
          <w:lang w:val="sr-Latn-ME"/>
        </w:rPr>
        <w:t>Kod pacijenata sa teškim poremećajem funkcije jetre i bubrega savjetuje se pažljivo kliničko praćenje bezbjednosti i efikasnosti.</w:t>
      </w:r>
    </w:p>
    <w:p w14:paraId="3186F9EA" w14:textId="77777777" w:rsidR="007A5AF9" w:rsidRPr="00F337F4" w:rsidRDefault="007A5AF9" w:rsidP="007A5AF9">
      <w:pPr>
        <w:rPr>
          <w:szCs w:val="22"/>
          <w:lang w:val="sr-Latn-ME"/>
        </w:rPr>
      </w:pPr>
    </w:p>
    <w:p w14:paraId="222E6578" w14:textId="77777777" w:rsidR="007A5AF9" w:rsidRPr="00F337F4" w:rsidRDefault="007A5AF9" w:rsidP="007A5AF9">
      <w:pPr>
        <w:rPr>
          <w:bCs/>
          <w:szCs w:val="22"/>
          <w:u w:val="single"/>
          <w:lang w:val="sr-Latn-ME"/>
        </w:rPr>
      </w:pPr>
      <w:r w:rsidRPr="00F337F4">
        <w:rPr>
          <w:bCs/>
          <w:szCs w:val="22"/>
          <w:u w:val="single"/>
          <w:lang w:val="sr-Latn-ME"/>
        </w:rPr>
        <w:t>Način primjene</w:t>
      </w:r>
    </w:p>
    <w:p w14:paraId="68F76FCD" w14:textId="77777777" w:rsidR="007A5AF9" w:rsidRPr="00F337F4" w:rsidRDefault="007A5AF9" w:rsidP="007A5AF9">
      <w:pPr>
        <w:rPr>
          <w:b/>
          <w:szCs w:val="22"/>
          <w:lang w:val="sr-Latn-ME"/>
        </w:rPr>
      </w:pPr>
    </w:p>
    <w:p w14:paraId="7789090D" w14:textId="77777777" w:rsidR="007A5AF9" w:rsidRPr="00D63E74" w:rsidRDefault="007A5AF9" w:rsidP="007A5AF9">
      <w:pPr>
        <w:rPr>
          <w:i/>
          <w:szCs w:val="22"/>
          <w:u w:val="single"/>
          <w:lang w:val="sr-Latn-ME"/>
        </w:rPr>
      </w:pPr>
      <w:r w:rsidRPr="00D63E74">
        <w:rPr>
          <w:i/>
          <w:szCs w:val="22"/>
          <w:u w:val="single"/>
          <w:lang w:val="sr-Latn-ME"/>
        </w:rPr>
        <w:t>Intramuskularna primjena</w:t>
      </w:r>
    </w:p>
    <w:p w14:paraId="5F2D220B" w14:textId="77777777" w:rsidR="007A5AF9" w:rsidRPr="00F337F4" w:rsidRDefault="007A5AF9" w:rsidP="007A5AF9">
      <w:pPr>
        <w:rPr>
          <w:szCs w:val="22"/>
          <w:lang w:val="sr-Latn-ME"/>
        </w:rPr>
      </w:pPr>
      <w:r w:rsidRPr="00F337F4">
        <w:rPr>
          <w:szCs w:val="22"/>
          <w:lang w:val="sr-Latn-ME"/>
        </w:rPr>
        <w:t xml:space="preserve">Lijek Ceftriaxona Qilu se može primijeniti kao duboka intramuskularna injekcija. Intramuskularnu injekciju treba primijeniti u mišićnu masu relativno velikog mišića i to ne više od 1g lijeka u jedno mjesto. </w:t>
      </w:r>
    </w:p>
    <w:p w14:paraId="617FF69B" w14:textId="77777777" w:rsidR="007A5AF9" w:rsidRPr="00F337F4" w:rsidRDefault="007A5AF9" w:rsidP="007A5AF9">
      <w:pPr>
        <w:rPr>
          <w:szCs w:val="22"/>
          <w:lang w:val="sr-Latn-ME"/>
        </w:rPr>
      </w:pPr>
    </w:p>
    <w:p w14:paraId="052486C2" w14:textId="77777777" w:rsidR="007A5AF9" w:rsidRPr="00F337F4" w:rsidRDefault="007A5AF9" w:rsidP="007A5AF9">
      <w:pPr>
        <w:rPr>
          <w:szCs w:val="22"/>
          <w:lang w:val="sr-Latn-ME"/>
        </w:rPr>
      </w:pPr>
      <w:r w:rsidRPr="00F337F4">
        <w:rPr>
          <w:szCs w:val="22"/>
          <w:lang w:val="sr-Latn-ME"/>
        </w:rPr>
        <w:t>Ako se kao rastvarač koristi lidokain, injekcioni rastvor se ne smije nikada primijeniti intravenski (vidjeti dio 4.3). Treba pročitati i Sažetak karakteristika lijeka za lijek lidokain.</w:t>
      </w:r>
    </w:p>
    <w:p w14:paraId="655269E9" w14:textId="77777777" w:rsidR="007A5AF9" w:rsidRPr="00F337F4" w:rsidRDefault="007A5AF9" w:rsidP="007A5AF9">
      <w:pPr>
        <w:rPr>
          <w:szCs w:val="22"/>
          <w:u w:val="single"/>
          <w:lang w:val="sr-Latn-ME"/>
        </w:rPr>
      </w:pPr>
    </w:p>
    <w:p w14:paraId="25B5FAA5" w14:textId="77777777" w:rsidR="007A5AF9" w:rsidRPr="00D63E74" w:rsidRDefault="007A5AF9" w:rsidP="007A5AF9">
      <w:pPr>
        <w:rPr>
          <w:i/>
          <w:szCs w:val="22"/>
          <w:u w:val="single"/>
          <w:lang w:val="sr-Latn-ME"/>
        </w:rPr>
      </w:pPr>
      <w:r w:rsidRPr="00D63E74">
        <w:rPr>
          <w:i/>
          <w:szCs w:val="22"/>
          <w:u w:val="single"/>
          <w:lang w:val="sr-Latn-ME"/>
        </w:rPr>
        <w:t>Intravenska primjena</w:t>
      </w:r>
    </w:p>
    <w:p w14:paraId="515D4E1A" w14:textId="77777777" w:rsidR="007A5AF9" w:rsidRPr="00F337F4" w:rsidRDefault="007A5AF9" w:rsidP="007A5AF9">
      <w:pPr>
        <w:rPr>
          <w:szCs w:val="22"/>
          <w:lang w:val="sr-Latn-ME"/>
        </w:rPr>
      </w:pPr>
      <w:r w:rsidRPr="00F337F4">
        <w:rPr>
          <w:szCs w:val="22"/>
          <w:lang w:val="sr-Latn-ME"/>
        </w:rPr>
        <w:t xml:space="preserve">Lijek Ceftriaxona Qilu se može primijeniti i kao intravenska infuzija tokom najmanje 30 minuta (preporučen način primjene) ili kao spora intravenska injekcija tokom 5 minuta. Intravenska intermitentna injekcija treba da se primijeni  tokom 5 minuta, poželjno u veliku venu. Intravenske doze od 50 mg/kg ili više kod odojčadi i djece uzrasta do 12 godina treba </w:t>
      </w:r>
      <w:r>
        <w:rPr>
          <w:szCs w:val="22"/>
          <w:lang w:val="sr-Latn-ME"/>
        </w:rPr>
        <w:t>primjeniti</w:t>
      </w:r>
      <w:r w:rsidRPr="00F337F4">
        <w:rPr>
          <w:szCs w:val="22"/>
          <w:lang w:val="sr-Latn-ME"/>
        </w:rPr>
        <w:t xml:space="preserve"> kao infuziju. Kod novorođenčadi, intravenske doze treba primjenjivati tokom 60 minuta kako bi se smanjio potencijalni rizik od bilirubinske encefalopatije (vidjeti djelove 4.3 i 4.4). Intramuskularnu primjenu treba razmotriti kada intravenska primjena nije moguća ili ne odgovara određenom pacijentu. Za doze veće od 2</w:t>
      </w:r>
      <w:r>
        <w:rPr>
          <w:szCs w:val="22"/>
          <w:lang w:val="sr-Latn-ME"/>
        </w:rPr>
        <w:t xml:space="preserve"> </w:t>
      </w:r>
      <w:r w:rsidRPr="00F337F4">
        <w:rPr>
          <w:szCs w:val="22"/>
          <w:lang w:val="sr-Latn-ME"/>
        </w:rPr>
        <w:t>g lijek</w:t>
      </w:r>
      <w:r>
        <w:rPr>
          <w:szCs w:val="22"/>
          <w:lang w:val="sr-Latn-ME"/>
        </w:rPr>
        <w:t xml:space="preserve"> se mora</w:t>
      </w:r>
      <w:r w:rsidRPr="00F337F4">
        <w:rPr>
          <w:szCs w:val="22"/>
          <w:lang w:val="sr-Latn-ME"/>
        </w:rPr>
        <w:t xml:space="preserve"> primijeniti intravenski.</w:t>
      </w:r>
    </w:p>
    <w:p w14:paraId="038A2433" w14:textId="77777777" w:rsidR="007A5AF9" w:rsidRPr="00F337F4" w:rsidRDefault="007A5AF9" w:rsidP="007A5AF9">
      <w:pPr>
        <w:rPr>
          <w:szCs w:val="22"/>
          <w:lang w:val="sr-Latn-ME"/>
        </w:rPr>
      </w:pPr>
    </w:p>
    <w:p w14:paraId="659B6974" w14:textId="77777777" w:rsidR="007A5AF9" w:rsidRPr="00F337F4" w:rsidRDefault="007A5AF9" w:rsidP="007A5AF9">
      <w:pPr>
        <w:rPr>
          <w:szCs w:val="22"/>
          <w:lang w:val="sr-Latn-ME"/>
        </w:rPr>
      </w:pPr>
      <w:r w:rsidRPr="00F337F4">
        <w:rPr>
          <w:szCs w:val="22"/>
          <w:lang w:val="sr-Latn-ME"/>
        </w:rPr>
        <w:t>Ceftriakson je kontraindikovan kod novorođenčadi (≤ 28 dana) ukoliko im je neophodna (ili se očekuje da će biti neophodna) terapija sa intravenskim rastvorom koji sadrži kalcijum, uključujući kontinuirane infuzije koje sadrže kalcijum, kao što je parenteralna ishrana, zbog rizika od precipitacije ceftriakson-kalcijuma (vidjeti dio 4.3).</w:t>
      </w:r>
    </w:p>
    <w:p w14:paraId="1629786F" w14:textId="77777777" w:rsidR="007A5AF9" w:rsidRPr="00F337F4" w:rsidRDefault="007A5AF9" w:rsidP="007A5AF9">
      <w:pPr>
        <w:rPr>
          <w:szCs w:val="22"/>
          <w:lang w:val="sr-Latn-ME"/>
        </w:rPr>
      </w:pPr>
    </w:p>
    <w:p w14:paraId="4FFE0660" w14:textId="77777777" w:rsidR="007A5AF9" w:rsidRPr="00F337F4" w:rsidRDefault="007A5AF9" w:rsidP="007A5AF9">
      <w:pPr>
        <w:rPr>
          <w:szCs w:val="22"/>
          <w:lang w:val="sr-Latn-ME"/>
        </w:rPr>
      </w:pPr>
      <w:r w:rsidRPr="00F337F4">
        <w:rPr>
          <w:szCs w:val="22"/>
          <w:lang w:val="sr-Latn-ME"/>
        </w:rPr>
        <w:t xml:space="preserve">Rastvori koji sadrže kalcijum (npr. Ringerov ili Hartmanov rastvor) ne </w:t>
      </w:r>
      <w:r>
        <w:rPr>
          <w:szCs w:val="22"/>
          <w:lang w:val="sr-Latn-ME"/>
        </w:rPr>
        <w:t xml:space="preserve">smiju </w:t>
      </w:r>
      <w:r w:rsidRPr="00F337F4">
        <w:rPr>
          <w:szCs w:val="22"/>
          <w:lang w:val="sr-Latn-ME"/>
        </w:rPr>
        <w:t>se korist</w:t>
      </w:r>
      <w:r>
        <w:rPr>
          <w:szCs w:val="22"/>
          <w:lang w:val="sr-Latn-ME"/>
        </w:rPr>
        <w:t>iti</w:t>
      </w:r>
      <w:r w:rsidRPr="00F337F4">
        <w:rPr>
          <w:szCs w:val="22"/>
          <w:lang w:val="sr-Latn-ME"/>
        </w:rPr>
        <w:t xml:space="preserve"> za rekonstituciju ceftriaksona ili za dalje razblaživanje rekonstituisanog rastvora za intravensku primjenu, zbog mogućeg stvaranja taloga. Talog ceftriakson-kalcijuma se takođe može javiti kada se ceftriakson pomiješa sa rastvorima koji sadrže kalcijum, u istoj liniji za infuziju. Stoga se ceftriakson i rastvori koji sadrže kalcijum ne smiju miješati niti primjenjivati istovremeno (vidjeti djelove 4.3, 4.4 i 6.2).</w:t>
      </w:r>
    </w:p>
    <w:p w14:paraId="5F4778B9" w14:textId="77777777" w:rsidR="007A5AF9" w:rsidRPr="00F337F4" w:rsidRDefault="007A5AF9" w:rsidP="007A5AF9">
      <w:pPr>
        <w:rPr>
          <w:szCs w:val="22"/>
          <w:lang w:val="sr-Latn-ME"/>
        </w:rPr>
      </w:pPr>
    </w:p>
    <w:p w14:paraId="53EF47F8" w14:textId="77777777" w:rsidR="007A5AF9" w:rsidRPr="00F337F4" w:rsidRDefault="007A5AF9" w:rsidP="007A5AF9">
      <w:pPr>
        <w:rPr>
          <w:color w:val="00B050"/>
          <w:szCs w:val="22"/>
          <w:lang w:val="sr-Latn-ME"/>
        </w:rPr>
      </w:pPr>
      <w:r w:rsidRPr="00F337F4">
        <w:rPr>
          <w:szCs w:val="22"/>
          <w:lang w:val="sr-Latn-ME"/>
        </w:rPr>
        <w:t xml:space="preserve">Za preoperativnu profilaksu infekcija operativnog mesta, ceftriakson treba dati 30-90 minuta prije hirurške intervencije. </w:t>
      </w:r>
    </w:p>
    <w:p w14:paraId="1DA8CB1D" w14:textId="77777777" w:rsidR="007A5AF9" w:rsidRPr="00F337F4" w:rsidRDefault="007A5AF9" w:rsidP="007A5AF9">
      <w:pPr>
        <w:rPr>
          <w:szCs w:val="22"/>
          <w:lang w:val="sr-Latn-ME"/>
        </w:rPr>
      </w:pPr>
      <w:r w:rsidRPr="00F337F4">
        <w:rPr>
          <w:szCs w:val="22"/>
          <w:lang w:val="sr-Latn-ME"/>
        </w:rPr>
        <w:t>Za uputstvo vezano za rastvaranje lijeka prije upotrebe vidjeti dio 6.6.</w:t>
      </w:r>
    </w:p>
    <w:p w14:paraId="6F84DF17" w14:textId="77777777" w:rsidR="007A5AF9" w:rsidRPr="00F337F4" w:rsidRDefault="007A5AF9" w:rsidP="007A5AF9">
      <w:pPr>
        <w:rPr>
          <w:szCs w:val="22"/>
          <w:u w:val="single"/>
          <w:lang w:val="sr-Latn-ME"/>
        </w:rPr>
      </w:pPr>
    </w:p>
    <w:p w14:paraId="576F611A" w14:textId="77777777" w:rsidR="007A5AF9" w:rsidRPr="00F337F4" w:rsidRDefault="007A5AF9" w:rsidP="007A5AF9">
      <w:pPr>
        <w:rPr>
          <w:b/>
          <w:bCs/>
          <w:szCs w:val="22"/>
          <w:lang w:val="sr-Latn-ME"/>
        </w:rPr>
      </w:pPr>
      <w:r w:rsidRPr="00F337F4">
        <w:rPr>
          <w:b/>
          <w:bCs/>
          <w:szCs w:val="22"/>
          <w:lang w:val="sr-Latn-ME"/>
        </w:rPr>
        <w:t>4.3. Kontraindikacije</w:t>
      </w:r>
    </w:p>
    <w:p w14:paraId="66ED0413" w14:textId="77777777" w:rsidR="007A5AF9" w:rsidRPr="00F337F4" w:rsidRDefault="007A5AF9" w:rsidP="007A5AF9">
      <w:pPr>
        <w:rPr>
          <w:szCs w:val="22"/>
          <w:lang w:val="sr-Latn-ME"/>
        </w:rPr>
      </w:pPr>
    </w:p>
    <w:p w14:paraId="2DC240BE" w14:textId="77777777" w:rsidR="007A5AF9" w:rsidRPr="00F337F4" w:rsidRDefault="007A5AF9" w:rsidP="007A5AF9">
      <w:pPr>
        <w:rPr>
          <w:szCs w:val="22"/>
          <w:lang w:val="sr-Latn-ME"/>
        </w:rPr>
      </w:pPr>
      <w:r w:rsidRPr="00F337F4">
        <w:rPr>
          <w:szCs w:val="22"/>
          <w:lang w:val="sr-Latn-ME"/>
        </w:rPr>
        <w:t>Preosjetljivost na ceftriakson ili na bilo koji drugi cefalosporinski antibiotik.</w:t>
      </w:r>
    </w:p>
    <w:p w14:paraId="103A8BD3" w14:textId="77777777" w:rsidR="007A5AF9" w:rsidRPr="00F337F4" w:rsidRDefault="007A5AF9" w:rsidP="007A5AF9">
      <w:pPr>
        <w:rPr>
          <w:szCs w:val="22"/>
          <w:lang w:val="sr-Latn-ME"/>
        </w:rPr>
      </w:pPr>
      <w:r w:rsidRPr="00F337F4">
        <w:rPr>
          <w:szCs w:val="22"/>
          <w:lang w:val="sr-Latn-ME"/>
        </w:rPr>
        <w:t>Teška preosjetljivost (npr. anafilaktička reakcija) na bilo koji drugi antibiotik beta-laktamske strukture (penicilini, monobaktami i karbapenemi) u anamnezi.</w:t>
      </w:r>
    </w:p>
    <w:p w14:paraId="3112C61D" w14:textId="77777777" w:rsidR="007A5AF9" w:rsidRPr="00F337F4" w:rsidRDefault="007A5AF9" w:rsidP="007A5AF9">
      <w:pPr>
        <w:rPr>
          <w:szCs w:val="22"/>
          <w:lang w:val="sr-Latn-ME"/>
        </w:rPr>
      </w:pPr>
    </w:p>
    <w:p w14:paraId="384723AC" w14:textId="77777777" w:rsidR="007A5AF9" w:rsidRPr="00F337F4" w:rsidRDefault="007A5AF9" w:rsidP="007A5AF9">
      <w:pPr>
        <w:rPr>
          <w:szCs w:val="22"/>
          <w:lang w:val="sr-Latn-ME"/>
        </w:rPr>
      </w:pPr>
      <w:r w:rsidRPr="00F337F4">
        <w:rPr>
          <w:szCs w:val="22"/>
          <w:lang w:val="sr-Latn-ME"/>
        </w:rPr>
        <w:t>Ceftriakson je kontraindikovan kod:</w:t>
      </w:r>
    </w:p>
    <w:p w14:paraId="1C304EDC" w14:textId="77777777" w:rsidR="007A5AF9" w:rsidRPr="00F337F4" w:rsidRDefault="007A5AF9" w:rsidP="007A5AF9">
      <w:pPr>
        <w:pStyle w:val="ListParagraph"/>
        <w:numPr>
          <w:ilvl w:val="0"/>
          <w:numId w:val="7"/>
        </w:numPr>
        <w:rPr>
          <w:szCs w:val="22"/>
          <w:lang w:val="sr-Latn-ME"/>
        </w:rPr>
      </w:pPr>
      <w:r w:rsidRPr="00F337F4">
        <w:rPr>
          <w:szCs w:val="22"/>
          <w:lang w:val="sr-Latn-ME"/>
        </w:rPr>
        <w:t>preterminske novorođenčadi do postmenstrualnog perioda od 41 nedjelje (gestacijski period + hronološki period)*;</w:t>
      </w:r>
    </w:p>
    <w:p w14:paraId="044E0B71" w14:textId="77777777" w:rsidR="007A5AF9" w:rsidRPr="00F337F4" w:rsidRDefault="007A5AF9" w:rsidP="007A5AF9">
      <w:pPr>
        <w:pStyle w:val="ListParagraph"/>
        <w:numPr>
          <w:ilvl w:val="0"/>
          <w:numId w:val="7"/>
        </w:numPr>
        <w:rPr>
          <w:szCs w:val="22"/>
          <w:lang w:val="sr-Latn-ME"/>
        </w:rPr>
      </w:pPr>
      <w:r w:rsidRPr="00F337F4">
        <w:rPr>
          <w:szCs w:val="22"/>
          <w:lang w:val="sr-Latn-ME"/>
        </w:rPr>
        <w:t>terminske novorođenčadi (uzrasta do 28 dana):</w:t>
      </w:r>
    </w:p>
    <w:p w14:paraId="4119A666" w14:textId="77777777" w:rsidR="007A5AF9" w:rsidRPr="00F337F4" w:rsidRDefault="007A5AF9" w:rsidP="007A5AF9">
      <w:pPr>
        <w:pStyle w:val="ListParagraph"/>
        <w:numPr>
          <w:ilvl w:val="0"/>
          <w:numId w:val="8"/>
        </w:numPr>
        <w:rPr>
          <w:szCs w:val="22"/>
          <w:lang w:val="sr-Latn-ME"/>
        </w:rPr>
      </w:pPr>
      <w:r w:rsidRPr="00F337F4">
        <w:rPr>
          <w:szCs w:val="22"/>
          <w:lang w:val="sr-Latn-ME"/>
        </w:rPr>
        <w:t>sa hiperbilirubinemijom, žuticom, ili kod kojih postoji hipoalbuminemija ili acidoza jer su ovo stanja kod kojih je verovatna izmjena u vezivanju bilirubina*;</w:t>
      </w:r>
    </w:p>
    <w:p w14:paraId="10116150" w14:textId="77777777" w:rsidR="007A5AF9" w:rsidRPr="00F337F4" w:rsidRDefault="007A5AF9" w:rsidP="007A5AF9">
      <w:pPr>
        <w:pStyle w:val="ListParagraph"/>
        <w:numPr>
          <w:ilvl w:val="0"/>
          <w:numId w:val="8"/>
        </w:numPr>
        <w:rPr>
          <w:szCs w:val="22"/>
          <w:lang w:val="sr-Latn-ME"/>
        </w:rPr>
      </w:pPr>
      <w:r w:rsidRPr="00F337F4">
        <w:rPr>
          <w:szCs w:val="22"/>
          <w:lang w:val="sr-Latn-ME"/>
        </w:rPr>
        <w:t>ukoliko je kod njih potrebna (ili se očekuje da bude potrebna) primjena kalcijuma intravenski ili infuzija na bazi kalcijuma, zbog rizika od precipitacije soli ceftriakson-kalcijuma (vidjeti djelove 4.4, 4.8 i 6.2).</w:t>
      </w:r>
    </w:p>
    <w:p w14:paraId="05CEEDC4" w14:textId="77777777" w:rsidR="007A5AF9" w:rsidRPr="00F337F4" w:rsidRDefault="007A5AF9" w:rsidP="007A5AF9">
      <w:pPr>
        <w:ind w:left="720"/>
        <w:rPr>
          <w:szCs w:val="22"/>
          <w:lang w:val="sr-Latn-ME"/>
        </w:rPr>
      </w:pPr>
      <w:r w:rsidRPr="00F337F4">
        <w:rPr>
          <w:szCs w:val="22"/>
          <w:lang w:val="sr-Latn-ME"/>
        </w:rPr>
        <w:t>*</w:t>
      </w:r>
      <w:r w:rsidRPr="00F337F4">
        <w:rPr>
          <w:i/>
          <w:szCs w:val="22"/>
          <w:lang w:val="sr-Latn-ME"/>
        </w:rPr>
        <w:t>In vitro</w:t>
      </w:r>
      <w:r w:rsidRPr="00F337F4">
        <w:rPr>
          <w:szCs w:val="22"/>
          <w:lang w:val="sr-Latn-ME"/>
        </w:rPr>
        <w:t xml:space="preserve"> studije su pokazale da ceftriakson može da istisne bilirubin sa njegovih mjesta vezivanja za serumske albumine, što može dovesti do mogućeg rizika od bilirubinske encefalopatije kod ovih pacijenata.</w:t>
      </w:r>
    </w:p>
    <w:p w14:paraId="6E84386A" w14:textId="77777777" w:rsidR="007A5AF9" w:rsidRPr="00F337F4" w:rsidRDefault="007A5AF9" w:rsidP="007A5AF9">
      <w:pPr>
        <w:rPr>
          <w:szCs w:val="22"/>
          <w:lang w:val="sr-Latn-ME"/>
        </w:rPr>
      </w:pPr>
    </w:p>
    <w:p w14:paraId="61752DE5" w14:textId="77777777" w:rsidR="007A5AF9" w:rsidRPr="00F337F4" w:rsidRDefault="007A5AF9" w:rsidP="007A5AF9">
      <w:pPr>
        <w:rPr>
          <w:szCs w:val="22"/>
          <w:lang w:val="sr-Latn-ME"/>
        </w:rPr>
      </w:pPr>
      <w:r w:rsidRPr="00F337F4">
        <w:rPr>
          <w:szCs w:val="22"/>
          <w:lang w:val="sr-Latn-ME"/>
        </w:rPr>
        <w:lastRenderedPageBreak/>
        <w:t xml:space="preserve">Prije intramuskularne primjene ceftriaksona rekonstituisanog rastvorom lidokaina moraju se isključiti kontraindikacije na lidokain (vidjeti dio 4.4). Vidjeti informacije o lidokainu u odgovarajućem Sažetku karakteristika lijeka, a posebno dio </w:t>
      </w:r>
      <w:r w:rsidRPr="00F337F4">
        <w:rPr>
          <w:i/>
          <w:szCs w:val="22"/>
          <w:lang w:val="sr-Latn-ME"/>
        </w:rPr>
        <w:t>Kontraindikacije</w:t>
      </w:r>
      <w:r w:rsidRPr="00F337F4">
        <w:rPr>
          <w:szCs w:val="22"/>
          <w:lang w:val="sr-Latn-ME"/>
        </w:rPr>
        <w:t>.</w:t>
      </w:r>
    </w:p>
    <w:p w14:paraId="676E9FE7" w14:textId="77777777" w:rsidR="007A5AF9" w:rsidRPr="00F337F4" w:rsidRDefault="007A5AF9" w:rsidP="007A5AF9">
      <w:pPr>
        <w:rPr>
          <w:szCs w:val="22"/>
          <w:lang w:val="sr-Latn-ME"/>
        </w:rPr>
      </w:pPr>
    </w:p>
    <w:p w14:paraId="19F94879" w14:textId="77777777" w:rsidR="007A5AF9" w:rsidRDefault="007A5AF9" w:rsidP="007A5AF9">
      <w:pPr>
        <w:rPr>
          <w:szCs w:val="22"/>
          <w:lang w:val="sr-Latn-ME"/>
        </w:rPr>
      </w:pPr>
      <w:r w:rsidRPr="00F337F4">
        <w:rPr>
          <w:szCs w:val="22"/>
          <w:lang w:val="sr-Latn-ME"/>
        </w:rPr>
        <w:t>Rastvor ceftriaksona koji sadrži lidokain nikada ne smije biti primijenjen intravenskim putem.</w:t>
      </w:r>
    </w:p>
    <w:p w14:paraId="469A9116" w14:textId="77777777" w:rsidR="007A5AF9" w:rsidRPr="00F337F4" w:rsidRDefault="007A5AF9" w:rsidP="007A5AF9">
      <w:pPr>
        <w:rPr>
          <w:szCs w:val="22"/>
          <w:lang w:val="sr-Latn-ME"/>
        </w:rPr>
      </w:pPr>
    </w:p>
    <w:p w14:paraId="0B5DFE7C" w14:textId="77777777" w:rsidR="007A5AF9" w:rsidRPr="00F337F4" w:rsidRDefault="007A5AF9" w:rsidP="007A5AF9">
      <w:pPr>
        <w:rPr>
          <w:b/>
          <w:bCs/>
          <w:szCs w:val="22"/>
          <w:lang w:val="sr-Latn-ME"/>
        </w:rPr>
      </w:pPr>
      <w:r w:rsidRPr="00F337F4">
        <w:rPr>
          <w:b/>
          <w:bCs/>
          <w:szCs w:val="22"/>
          <w:lang w:val="sr-Latn-ME"/>
        </w:rPr>
        <w:t>4.4. Posebna upozorenja i mjere opreza pri upotrebi lijeka</w:t>
      </w:r>
    </w:p>
    <w:p w14:paraId="2FF89B30" w14:textId="77777777" w:rsidR="007A5AF9" w:rsidRPr="00F337F4" w:rsidRDefault="007A5AF9" w:rsidP="007A5AF9">
      <w:pPr>
        <w:rPr>
          <w:szCs w:val="22"/>
          <w:u w:val="single"/>
          <w:lang w:val="sr-Latn-ME"/>
        </w:rPr>
      </w:pPr>
    </w:p>
    <w:p w14:paraId="6F66467E" w14:textId="77777777" w:rsidR="007A5AF9" w:rsidRPr="00F337F4" w:rsidRDefault="007A5AF9" w:rsidP="007A5AF9">
      <w:pPr>
        <w:rPr>
          <w:szCs w:val="22"/>
          <w:u w:val="single"/>
          <w:lang w:val="sr-Latn-ME"/>
        </w:rPr>
      </w:pPr>
      <w:r w:rsidRPr="00F337F4">
        <w:rPr>
          <w:szCs w:val="22"/>
          <w:u w:val="single"/>
          <w:lang w:val="sr-Latn-ME"/>
        </w:rPr>
        <w:t>Reakcije preosjetljivosti</w:t>
      </w:r>
    </w:p>
    <w:p w14:paraId="41AB499B" w14:textId="77777777" w:rsidR="007A5AF9" w:rsidRPr="00F337F4" w:rsidRDefault="007A5AF9" w:rsidP="007A5AF9">
      <w:pPr>
        <w:rPr>
          <w:szCs w:val="22"/>
          <w:lang w:val="sr-Latn-ME"/>
        </w:rPr>
      </w:pPr>
      <w:r w:rsidRPr="00F337F4">
        <w:rPr>
          <w:szCs w:val="22"/>
          <w:lang w:val="sr-Latn-ME"/>
        </w:rPr>
        <w:t xml:space="preserve">Kao i kod svih beta-laktamskih antibiotika, prijavljivane su ozbiljne reakcije preosjetljivosti  koje su ponekada imale fatalni ishod. (vidjeti dio 4.8). U slučaju pojave teških reakcija preosjetljivosti primjena ceftriaksona se mora odmah obustaviti i primijeniti odgovarajuće hitne mjere. Prije započinjanja terapije, potrebno je utvrditi da li pacijent u anamnezi ima teške reakcije preosjetljivosti na ceftriakson, druge cefalosporine ili na bilo koju drugu vrstu beta-laktamskih antibiotika. Savjetuje se oprez ukoliko se ceftriakson primjenjuje kod pacijenata sa blažim reakcijama preosjetljivosti na druge beta-laktamske antibiotike u anamnezi. </w:t>
      </w:r>
    </w:p>
    <w:p w14:paraId="6333A6A2" w14:textId="77777777" w:rsidR="007A5AF9" w:rsidRPr="00F337F4" w:rsidRDefault="007A5AF9" w:rsidP="007A5AF9">
      <w:pPr>
        <w:rPr>
          <w:szCs w:val="22"/>
          <w:lang w:val="sr-Latn-ME"/>
        </w:rPr>
      </w:pPr>
      <w:r w:rsidRPr="00F337F4">
        <w:rPr>
          <w:szCs w:val="22"/>
          <w:lang w:val="sr-Latn-ME"/>
        </w:rPr>
        <w:t>Prijavljene su teške kožne neželjene reakcije (</w:t>
      </w:r>
      <w:r w:rsidRPr="00F337F4">
        <w:rPr>
          <w:i/>
          <w:szCs w:val="22"/>
          <w:lang w:val="sr-Latn-ME"/>
        </w:rPr>
        <w:t>Stevens Johnson</w:t>
      </w:r>
      <w:r w:rsidRPr="00F337F4">
        <w:rPr>
          <w:szCs w:val="22"/>
          <w:lang w:val="sr-Latn-ME"/>
        </w:rPr>
        <w:t xml:space="preserve"> sindrom ili </w:t>
      </w:r>
      <w:r w:rsidRPr="00F337F4">
        <w:rPr>
          <w:i/>
          <w:szCs w:val="22"/>
          <w:lang w:val="sr-Latn-ME"/>
        </w:rPr>
        <w:t>Lyell</w:t>
      </w:r>
      <w:r w:rsidRPr="00F337F4">
        <w:rPr>
          <w:szCs w:val="22"/>
          <w:lang w:val="sr-Latn-ME"/>
        </w:rPr>
        <w:t xml:space="preserve"> sindrom/toksična epidermalna nekroliza) i reakcija na lijek sa eozinofilijom i sistemskim simptomima (DRESS), koje mogu biti opasne po život ili smrtonosne, međutim njihova učestalost je nepoznata (vidjeti dio 4.8).</w:t>
      </w:r>
    </w:p>
    <w:p w14:paraId="4F8C8132" w14:textId="77777777" w:rsidR="007A5AF9" w:rsidRPr="00F337F4" w:rsidRDefault="007A5AF9" w:rsidP="007A5AF9">
      <w:pPr>
        <w:rPr>
          <w:szCs w:val="22"/>
          <w:u w:val="single"/>
          <w:lang w:val="sr-Latn-ME"/>
        </w:rPr>
      </w:pPr>
    </w:p>
    <w:p w14:paraId="5C454E07" w14:textId="77777777" w:rsidR="007A5AF9" w:rsidRPr="00F337F4" w:rsidRDefault="007A5AF9" w:rsidP="007A5AF9">
      <w:pPr>
        <w:rPr>
          <w:szCs w:val="22"/>
          <w:u w:val="single"/>
          <w:lang w:val="sr-Latn-ME"/>
        </w:rPr>
      </w:pPr>
      <w:r w:rsidRPr="00F337F4">
        <w:rPr>
          <w:szCs w:val="22"/>
          <w:u w:val="single"/>
          <w:lang w:val="sr-Latn-ME"/>
        </w:rPr>
        <w:t>Jarisch-Herxheimer reakcija (JHR)</w:t>
      </w:r>
    </w:p>
    <w:p w14:paraId="69CF4DD7" w14:textId="77777777" w:rsidR="007A5AF9" w:rsidRPr="00F337F4" w:rsidRDefault="007A5AF9" w:rsidP="007A5AF9">
      <w:pPr>
        <w:rPr>
          <w:szCs w:val="22"/>
          <w:lang w:val="sr-Latn-ME"/>
        </w:rPr>
      </w:pPr>
      <w:r w:rsidRPr="00F337F4">
        <w:rPr>
          <w:szCs w:val="22"/>
          <w:lang w:val="sr-Latn-ME"/>
        </w:rPr>
        <w:t>Kod pojedinih pacijenata sa infekcijom uzrokovanom spirohetama može doći do ispoljavanja Jarisch-Herxheimer reakcije (JHR) ubrzo nakon početka terapije. JHR je obično samolimitirajuće stanje ili se može kontrolisati simptomatskom terapijom. Antibiotsku terapiju ne treba prekinuti, ukoliko dođe do ovakve reakcije.</w:t>
      </w:r>
    </w:p>
    <w:p w14:paraId="50EA0F24" w14:textId="77777777" w:rsidR="007A5AF9" w:rsidRPr="00F337F4" w:rsidRDefault="007A5AF9" w:rsidP="007A5AF9">
      <w:pPr>
        <w:rPr>
          <w:szCs w:val="22"/>
          <w:u w:val="single"/>
          <w:lang w:val="sr-Latn-ME"/>
        </w:rPr>
      </w:pPr>
    </w:p>
    <w:p w14:paraId="3E53B058" w14:textId="77777777" w:rsidR="007A5AF9" w:rsidRPr="00F337F4" w:rsidRDefault="007A5AF9" w:rsidP="007A5AF9">
      <w:pPr>
        <w:rPr>
          <w:szCs w:val="22"/>
          <w:u w:val="single"/>
          <w:lang w:val="sr-Latn-ME"/>
        </w:rPr>
      </w:pPr>
      <w:r w:rsidRPr="00F337F4">
        <w:rPr>
          <w:szCs w:val="22"/>
          <w:u w:val="single"/>
          <w:lang w:val="sr-Latn-ME"/>
        </w:rPr>
        <w:t>Interakcija sa proizvodima koji sadrže kalcijum</w:t>
      </w:r>
    </w:p>
    <w:p w14:paraId="2BA0F8C3" w14:textId="77777777" w:rsidR="007A5AF9" w:rsidRPr="00F337F4" w:rsidRDefault="007A5AF9" w:rsidP="007A5AF9">
      <w:pPr>
        <w:rPr>
          <w:szCs w:val="22"/>
          <w:lang w:val="sr-Latn-ME"/>
        </w:rPr>
      </w:pPr>
      <w:r w:rsidRPr="00F337F4">
        <w:rPr>
          <w:szCs w:val="22"/>
          <w:lang w:val="sr-Latn-ME"/>
        </w:rPr>
        <w:t>Opisani su slučajevi pojave precipitata</w:t>
      </w:r>
      <w:r w:rsidRPr="00F337F4">
        <w:rPr>
          <w:lang w:val="sr-Latn-ME"/>
        </w:rPr>
        <w:t xml:space="preserve"> </w:t>
      </w:r>
      <w:r w:rsidRPr="00F337F4">
        <w:rPr>
          <w:szCs w:val="22"/>
          <w:lang w:val="sr-Latn-ME"/>
        </w:rPr>
        <w:t xml:space="preserve">ceftriakson-kalcijuma u plućima i bubrezima, sa fatalnim ishodom, kod prijevremeno rođene i terminske novorođenčadi uzrasta ispod jednog mjeseca. U najmanje jednom slučaju, pacijent je primao ceftriakson i kalcijum u različito vrijeme, kroz odvojene infuzione linije. U dostupnoj naučnoj literaturi ne postoje izvještaji o potvrđenoj intravaskularnoj precipitaciji kod pacijenata, osim novorođenčadi, na terapiji ceftriaksonom i rastvorima koji sadrže kalcijum ili bilo kojim drugim proizvodom na bazi kalcijuma. </w:t>
      </w:r>
      <w:r w:rsidRPr="00F337F4">
        <w:rPr>
          <w:i/>
          <w:szCs w:val="22"/>
          <w:lang w:val="sr-Latn-ME"/>
        </w:rPr>
        <w:t>In vitro</w:t>
      </w:r>
      <w:r w:rsidRPr="00F337F4">
        <w:rPr>
          <w:szCs w:val="22"/>
          <w:lang w:val="sr-Latn-ME"/>
        </w:rPr>
        <w:t xml:space="preserve"> studije su pokazale da kod novorođenčadi postoji povećan rizik od precipitacije ceftriakson-kalcijuma u poređenju sa drugim starosnim grupama.</w:t>
      </w:r>
    </w:p>
    <w:p w14:paraId="59740DAE" w14:textId="77777777" w:rsidR="007A5AF9" w:rsidRPr="00F337F4" w:rsidRDefault="007A5AF9" w:rsidP="007A5AF9">
      <w:pPr>
        <w:rPr>
          <w:szCs w:val="22"/>
          <w:lang w:val="sr-Latn-ME"/>
        </w:rPr>
      </w:pPr>
      <w:r w:rsidRPr="00F337F4">
        <w:rPr>
          <w:szCs w:val="22"/>
          <w:lang w:val="sr-Latn-ME"/>
        </w:rPr>
        <w:t>Kod svih pacijenata, bez obzira na starosnu grupu, ceftriakson se ne smije miješati ili istovremeno primjenjivati sa bilo kojim rastvorom za intravensku primjenu na bazi kalcijuma, čak i u slučaju primjene putem različitih infuzionih linija ili na različitim mjestima primjene infuzije. Međutim, kod pacijenata uzrasta iznad 28 dana, ceftriakson i rastvori kalcijuma mogu se primjenjivati uzastopno, jedan za drugim, ukoliko se koriste infuzione linije na različitim mjestima ili ukoliko se infuzione linije mijenjaju ili detaljno ispiraju između infuzija korišćenjem fiziološkog rastvora, kako bi se izbjegla precipitacija. Kod pacijenata kod kojih je potrebna kontinuirana infuzija rastvora za totalnu parenteralnu ishranu (TPI) koji sadrže kalcijum, ljekar treba da razmotri upotrebu alternativnog antibiotika čija primjena ne nosi sličan rizik od precipitacije. Ukoliko se primjena ceftriaksona smatra neophodnom kod pacijenata kod kojih je potrebna kontinuirana parenteralna ishrana, TPI rastvori i ceftriakson se mogu primijeniti istovremeno, ali putem različitih infuzionih linija na različitim mjestima primjene. Alternativno, infuzija TPI rastvora se može obustaviti u vrijeme primjene infuzije ceftriaksona, uz ispiranje infuzionih linija između primjene astvora (vidjeti djelove 4.3, 4.8, 5.2 i 6.2).</w:t>
      </w:r>
    </w:p>
    <w:p w14:paraId="543DB8EE" w14:textId="77777777" w:rsidR="007A5AF9" w:rsidRPr="00F337F4" w:rsidRDefault="007A5AF9" w:rsidP="007A5AF9">
      <w:pPr>
        <w:rPr>
          <w:szCs w:val="22"/>
          <w:lang w:val="sr-Latn-ME"/>
        </w:rPr>
      </w:pPr>
    </w:p>
    <w:p w14:paraId="5EEC71CE" w14:textId="77777777" w:rsidR="007A5AF9" w:rsidRPr="00F337F4" w:rsidRDefault="007A5AF9" w:rsidP="007A5AF9">
      <w:pPr>
        <w:rPr>
          <w:szCs w:val="22"/>
          <w:u w:val="single"/>
          <w:lang w:val="sr-Latn-ME"/>
        </w:rPr>
      </w:pPr>
      <w:r w:rsidRPr="00F337F4">
        <w:rPr>
          <w:szCs w:val="22"/>
          <w:u w:val="single"/>
          <w:lang w:val="sr-Latn-ME"/>
        </w:rPr>
        <w:t>Pedijatrijska populacija</w:t>
      </w:r>
    </w:p>
    <w:p w14:paraId="2FD6C287" w14:textId="77777777" w:rsidR="007A5AF9" w:rsidRPr="00F337F4" w:rsidRDefault="007A5AF9" w:rsidP="007A5AF9">
      <w:pPr>
        <w:rPr>
          <w:szCs w:val="22"/>
          <w:lang w:val="sr-Latn-ME"/>
        </w:rPr>
      </w:pPr>
      <w:r w:rsidRPr="00F337F4">
        <w:rPr>
          <w:szCs w:val="22"/>
          <w:lang w:val="sr-Latn-ME"/>
        </w:rPr>
        <w:t xml:space="preserve">Bezbjednost i efikasnost primjene ceftriaksona kod novorođenčadi, odojčadi i djece su utvrđene pri doziranju koje je opisano u djelu </w:t>
      </w:r>
      <w:r w:rsidRPr="00F337F4">
        <w:rPr>
          <w:i/>
          <w:szCs w:val="22"/>
          <w:lang w:val="sr-Latn-ME"/>
        </w:rPr>
        <w:t xml:space="preserve">Doziranje i način primjene </w:t>
      </w:r>
      <w:r w:rsidRPr="00F337F4">
        <w:rPr>
          <w:szCs w:val="22"/>
          <w:lang w:val="sr-Latn-ME"/>
        </w:rPr>
        <w:t xml:space="preserve">(vidjeti dio 4.2). Ispitivanja su pokazala da ceftriakson, kao i neki drugi cefalosporini, može istisnuti bilirubin iz veze sa serumskim albuminima. </w:t>
      </w:r>
    </w:p>
    <w:p w14:paraId="5CF194F3" w14:textId="77777777" w:rsidR="007A5AF9" w:rsidRPr="00F337F4" w:rsidRDefault="007A5AF9" w:rsidP="007A5AF9">
      <w:pPr>
        <w:rPr>
          <w:szCs w:val="22"/>
          <w:lang w:val="sr-Latn-ME"/>
        </w:rPr>
      </w:pPr>
    </w:p>
    <w:p w14:paraId="3AEC1B4C" w14:textId="77777777" w:rsidR="007A5AF9" w:rsidRPr="00F337F4" w:rsidRDefault="007A5AF9" w:rsidP="007A5AF9">
      <w:pPr>
        <w:rPr>
          <w:szCs w:val="22"/>
          <w:lang w:val="sr-Latn-ME"/>
        </w:rPr>
      </w:pPr>
      <w:r w:rsidRPr="00F337F4">
        <w:rPr>
          <w:szCs w:val="22"/>
          <w:lang w:val="sr-Latn-ME"/>
        </w:rPr>
        <w:t>Lijek Ceftriaxona Qilu je kontraindikovan kod preterminske i terminske novorođenčadi kod kojih postoji rizik od razvoja bilirubinske encefalopatije (vidjeti dio 4.3).</w:t>
      </w:r>
    </w:p>
    <w:p w14:paraId="0EE01777" w14:textId="77777777" w:rsidR="007A5AF9" w:rsidRPr="00F337F4" w:rsidRDefault="007A5AF9" w:rsidP="007A5AF9">
      <w:pPr>
        <w:rPr>
          <w:szCs w:val="22"/>
          <w:lang w:val="sr-Latn-ME"/>
        </w:rPr>
      </w:pPr>
    </w:p>
    <w:p w14:paraId="0A288543" w14:textId="77777777" w:rsidR="003D5905" w:rsidRDefault="003D5905" w:rsidP="007A5AF9">
      <w:pPr>
        <w:rPr>
          <w:szCs w:val="22"/>
          <w:u w:val="single"/>
          <w:lang w:val="sr-Latn-ME"/>
        </w:rPr>
      </w:pPr>
    </w:p>
    <w:p w14:paraId="5C001DE6" w14:textId="77777777" w:rsidR="003D5905" w:rsidRDefault="003D5905" w:rsidP="007A5AF9">
      <w:pPr>
        <w:rPr>
          <w:szCs w:val="22"/>
          <w:u w:val="single"/>
          <w:lang w:val="sr-Latn-ME"/>
        </w:rPr>
      </w:pPr>
    </w:p>
    <w:p w14:paraId="1A14B5D4" w14:textId="77777777" w:rsidR="003D5905" w:rsidRDefault="003D5905" w:rsidP="007A5AF9">
      <w:pPr>
        <w:rPr>
          <w:szCs w:val="22"/>
          <w:u w:val="single"/>
          <w:lang w:val="sr-Latn-ME"/>
        </w:rPr>
      </w:pPr>
    </w:p>
    <w:p w14:paraId="45F0F670" w14:textId="2B41E5AC" w:rsidR="007A5AF9" w:rsidRPr="00F337F4" w:rsidRDefault="007A5AF9" w:rsidP="007A5AF9">
      <w:pPr>
        <w:rPr>
          <w:szCs w:val="22"/>
          <w:u w:val="single"/>
          <w:lang w:val="sr-Latn-ME"/>
        </w:rPr>
      </w:pPr>
      <w:r w:rsidRPr="00F337F4">
        <w:rPr>
          <w:szCs w:val="22"/>
          <w:u w:val="single"/>
          <w:lang w:val="sr-Latn-ME"/>
        </w:rPr>
        <w:lastRenderedPageBreak/>
        <w:t>Imunski posredovana hemolitička anemija</w:t>
      </w:r>
    </w:p>
    <w:p w14:paraId="482B0818" w14:textId="77777777" w:rsidR="007A5AF9" w:rsidRPr="00F337F4" w:rsidRDefault="007A5AF9" w:rsidP="007A5AF9">
      <w:pPr>
        <w:rPr>
          <w:szCs w:val="22"/>
          <w:lang w:val="sr-Latn-ME"/>
        </w:rPr>
      </w:pPr>
      <w:r w:rsidRPr="00F337F4">
        <w:rPr>
          <w:szCs w:val="22"/>
          <w:lang w:val="sr-Latn-ME"/>
        </w:rPr>
        <w:t xml:space="preserve">Kod pacijenata na terapiji cefalosporinima, uključujući ceftriakson, uočena je imunski posredovana hemolitička anemija (vidjeti dio 4.8). Tokom terapije ceftriaksonom, kako kod dece tako i kod odraslih, prijavljeni su teški slučajevi hemolitičke anemije, uključujući i one sa fatalnim ishodom. </w:t>
      </w:r>
    </w:p>
    <w:p w14:paraId="35E25FA7" w14:textId="77777777" w:rsidR="007A5AF9" w:rsidRPr="00F337F4" w:rsidRDefault="007A5AF9" w:rsidP="007A5AF9">
      <w:pPr>
        <w:rPr>
          <w:szCs w:val="22"/>
          <w:lang w:val="sr-Latn-ME"/>
        </w:rPr>
      </w:pPr>
      <w:r w:rsidRPr="00F337F4">
        <w:rPr>
          <w:szCs w:val="22"/>
          <w:lang w:val="sr-Latn-ME"/>
        </w:rPr>
        <w:t xml:space="preserve">Ukoliko u toku terapije ceftriaksonom dođe do razvoja anemije, treba razmotriti dijagnozu anemije povezane sa primjenom ceftriaksona, a primjenu ovog lijeka obustaviti do utvrđivanja etiologije. </w:t>
      </w:r>
    </w:p>
    <w:p w14:paraId="487C68D4" w14:textId="77777777" w:rsidR="007A5AF9" w:rsidRPr="00F337F4" w:rsidRDefault="007A5AF9" w:rsidP="007A5AF9">
      <w:pPr>
        <w:rPr>
          <w:szCs w:val="22"/>
          <w:lang w:val="sr-Latn-ME"/>
        </w:rPr>
      </w:pPr>
    </w:p>
    <w:p w14:paraId="67CE5AB7" w14:textId="77777777" w:rsidR="007A5AF9" w:rsidRPr="00F337F4" w:rsidRDefault="007A5AF9" w:rsidP="007A5AF9">
      <w:pPr>
        <w:rPr>
          <w:szCs w:val="22"/>
          <w:u w:val="single"/>
          <w:lang w:val="sr-Latn-ME"/>
        </w:rPr>
      </w:pPr>
      <w:r w:rsidRPr="00F337F4">
        <w:rPr>
          <w:szCs w:val="22"/>
          <w:u w:val="single"/>
          <w:lang w:val="sr-Latn-ME"/>
        </w:rPr>
        <w:t>Dugotrajna terapija</w:t>
      </w:r>
    </w:p>
    <w:p w14:paraId="727B062E" w14:textId="77777777" w:rsidR="007A5AF9" w:rsidRPr="00F337F4" w:rsidRDefault="007A5AF9" w:rsidP="007A5AF9">
      <w:pPr>
        <w:rPr>
          <w:szCs w:val="22"/>
          <w:lang w:val="sr-Latn-ME"/>
        </w:rPr>
      </w:pPr>
      <w:r w:rsidRPr="00F337F4">
        <w:rPr>
          <w:szCs w:val="22"/>
          <w:lang w:val="sr-Latn-ME"/>
        </w:rPr>
        <w:t>U slučaju produžene terapije potrebno je u redovnim vremenskim razmacima kontrolisati kompletnu krvnu sliku.</w:t>
      </w:r>
    </w:p>
    <w:p w14:paraId="74A8FB88" w14:textId="77777777" w:rsidR="007A5AF9" w:rsidRPr="00F337F4" w:rsidRDefault="007A5AF9" w:rsidP="007A5AF9">
      <w:pPr>
        <w:rPr>
          <w:szCs w:val="22"/>
          <w:lang w:val="sr-Latn-ME"/>
        </w:rPr>
      </w:pPr>
    </w:p>
    <w:p w14:paraId="11C6951B" w14:textId="77777777" w:rsidR="007A5AF9" w:rsidRPr="00F337F4" w:rsidRDefault="007A5AF9" w:rsidP="007A5AF9">
      <w:pPr>
        <w:rPr>
          <w:szCs w:val="22"/>
          <w:u w:val="single"/>
          <w:lang w:val="sr-Latn-ME"/>
        </w:rPr>
      </w:pPr>
      <w:r w:rsidRPr="00F337F4">
        <w:rPr>
          <w:szCs w:val="22"/>
          <w:u w:val="single"/>
          <w:lang w:val="sr-Latn-ME"/>
        </w:rPr>
        <w:t>Kolitis/prekomjerni rast neosjetljivih mikroorganizama</w:t>
      </w:r>
    </w:p>
    <w:p w14:paraId="0A52FAAA" w14:textId="77777777" w:rsidR="007A5AF9" w:rsidRPr="00F337F4" w:rsidRDefault="007A5AF9" w:rsidP="007A5AF9">
      <w:pPr>
        <w:rPr>
          <w:szCs w:val="22"/>
          <w:lang w:val="sr-Latn-ME"/>
        </w:rPr>
      </w:pPr>
      <w:r w:rsidRPr="00F337F4">
        <w:rPr>
          <w:szCs w:val="22"/>
          <w:lang w:val="sr-Latn-ME"/>
        </w:rPr>
        <w:t xml:space="preserve">Kolitis povezan sa primjenom antibiotika i pseudomembranozni kolitis su prijavljivani pri primjeni skoro svih antibiotika, uključujući ceftriakson, i mogu varirati u težini od blagog do životno ugrožavajućeg. Stoga, značajno je razmotriti ovu dijagnozu kod pacijenata kod kojih dođe do pojave dijareje tokom ili nakon primjene ceftriaksona (vidjeti dio 4.8). Treba razmotriti obustavljanje primjene ceftriaksona i primjenu specifične terapije za </w:t>
      </w:r>
      <w:r w:rsidRPr="00F337F4">
        <w:rPr>
          <w:i/>
          <w:szCs w:val="22"/>
          <w:lang w:val="sr-Latn-ME"/>
        </w:rPr>
        <w:t>Clostridium difficile</w:t>
      </w:r>
      <w:r w:rsidRPr="00F337F4">
        <w:rPr>
          <w:szCs w:val="22"/>
          <w:lang w:val="sr-Latn-ME"/>
        </w:rPr>
        <w:t xml:space="preserve">. Ne treba primjenjivati ljekove koji inhibiraju peristaltiku. Kao i pri primjeni drugih antibiotika, može doći do razvoja superinfekcija uzrokovanih neosjetljivim mikroorganizmima. </w:t>
      </w:r>
    </w:p>
    <w:p w14:paraId="2C66F4AC" w14:textId="77777777" w:rsidR="007A5AF9" w:rsidRPr="00F337F4" w:rsidRDefault="007A5AF9" w:rsidP="007A5AF9">
      <w:pPr>
        <w:rPr>
          <w:szCs w:val="22"/>
          <w:lang w:val="sr-Latn-ME"/>
        </w:rPr>
      </w:pPr>
    </w:p>
    <w:p w14:paraId="04C524B5" w14:textId="77777777" w:rsidR="007A5AF9" w:rsidRPr="00F337F4" w:rsidRDefault="007A5AF9" w:rsidP="007A5AF9">
      <w:pPr>
        <w:rPr>
          <w:szCs w:val="22"/>
          <w:u w:val="single"/>
          <w:lang w:val="sr-Latn-ME"/>
        </w:rPr>
      </w:pPr>
      <w:r w:rsidRPr="00F337F4">
        <w:rPr>
          <w:szCs w:val="22"/>
          <w:u w:val="single"/>
          <w:lang w:val="sr-Latn-ME"/>
        </w:rPr>
        <w:t>Teška insuficijencija bubrega i jetre</w:t>
      </w:r>
    </w:p>
    <w:p w14:paraId="1A1DEC67" w14:textId="77777777" w:rsidR="007A5AF9" w:rsidRPr="00F337F4" w:rsidRDefault="007A5AF9" w:rsidP="007A5AF9">
      <w:pPr>
        <w:rPr>
          <w:szCs w:val="22"/>
          <w:lang w:val="sr-Latn-ME"/>
        </w:rPr>
      </w:pPr>
      <w:r w:rsidRPr="00F337F4">
        <w:rPr>
          <w:szCs w:val="22"/>
          <w:lang w:val="sr-Latn-ME"/>
        </w:rPr>
        <w:t>U slučajevima teške insuficijencije bubrega i jetre savjetuje se pažljivo kliničko praćenje bezbjednosti i efikasnosti (vidjeti dio 4.2).</w:t>
      </w:r>
    </w:p>
    <w:p w14:paraId="0902EB30" w14:textId="77777777" w:rsidR="007A5AF9" w:rsidRPr="00F337F4" w:rsidRDefault="007A5AF9" w:rsidP="007A5AF9">
      <w:pPr>
        <w:rPr>
          <w:szCs w:val="22"/>
          <w:lang w:val="sr-Latn-ME"/>
        </w:rPr>
      </w:pPr>
    </w:p>
    <w:p w14:paraId="500533A7" w14:textId="77777777" w:rsidR="007A5AF9" w:rsidRPr="00F337F4" w:rsidRDefault="007A5AF9" w:rsidP="007A5AF9">
      <w:pPr>
        <w:rPr>
          <w:szCs w:val="22"/>
          <w:u w:val="single"/>
          <w:lang w:val="sr-Latn-ME"/>
        </w:rPr>
      </w:pPr>
      <w:r w:rsidRPr="00F337F4">
        <w:rPr>
          <w:szCs w:val="22"/>
          <w:u w:val="single"/>
          <w:lang w:val="sr-Latn-ME"/>
        </w:rPr>
        <w:t>Interferencija sa serološkim testovima</w:t>
      </w:r>
    </w:p>
    <w:p w14:paraId="729B75BE" w14:textId="77777777" w:rsidR="007A5AF9" w:rsidRPr="00F337F4" w:rsidRDefault="007A5AF9" w:rsidP="007A5AF9">
      <w:pPr>
        <w:rPr>
          <w:szCs w:val="22"/>
          <w:lang w:val="sr-Latn-ME"/>
        </w:rPr>
      </w:pPr>
      <w:r w:rsidRPr="00F337F4">
        <w:rPr>
          <w:szCs w:val="22"/>
          <w:lang w:val="sr-Latn-ME"/>
        </w:rPr>
        <w:t xml:space="preserve">Može doći do uticaja na </w:t>
      </w:r>
      <w:r w:rsidRPr="00F337F4">
        <w:rPr>
          <w:i/>
          <w:szCs w:val="22"/>
          <w:lang w:val="sr-Latn-ME"/>
        </w:rPr>
        <w:t xml:space="preserve">Coombs </w:t>
      </w:r>
      <w:r w:rsidRPr="00F337F4">
        <w:rPr>
          <w:szCs w:val="22"/>
          <w:lang w:val="sr-Latn-ME"/>
        </w:rPr>
        <w:t>test, jer ceftriakson može dovesti do lažno pozitivnih rezultata ispitivanja. Ceftriakson takođe može dovesti do lažno pozitivnih rezultata za galaktozemiju (vidjeti dio 4.8).</w:t>
      </w:r>
    </w:p>
    <w:p w14:paraId="5100DF53" w14:textId="77777777" w:rsidR="007A5AF9" w:rsidRPr="00F337F4" w:rsidRDefault="007A5AF9" w:rsidP="007A5AF9">
      <w:pPr>
        <w:rPr>
          <w:szCs w:val="22"/>
          <w:lang w:val="sr-Latn-ME"/>
        </w:rPr>
      </w:pPr>
      <w:r w:rsidRPr="00F337F4">
        <w:rPr>
          <w:szCs w:val="22"/>
          <w:lang w:val="sr-Latn-ME"/>
        </w:rPr>
        <w:t>Neenzimske metode za određivanje glukoze u urinu mogu dati lažno pozitivne rezultate. Tokom terapije ceftriaksonom određivanje glukoze u urinu treba sprovesti korišćenjem enzimskih metoda (vidjeti dio 4.8).</w:t>
      </w:r>
    </w:p>
    <w:p w14:paraId="2984632C" w14:textId="77777777" w:rsidR="007A5AF9" w:rsidRPr="00F337F4" w:rsidRDefault="007A5AF9" w:rsidP="007A5AF9">
      <w:pPr>
        <w:rPr>
          <w:szCs w:val="22"/>
          <w:lang w:val="sr-Latn-ME"/>
        </w:rPr>
      </w:pPr>
    </w:p>
    <w:p w14:paraId="56DD57AA" w14:textId="77777777" w:rsidR="007A5AF9" w:rsidRPr="00F337F4" w:rsidRDefault="007A5AF9" w:rsidP="007A5AF9">
      <w:pPr>
        <w:rPr>
          <w:szCs w:val="22"/>
          <w:lang w:val="sr-Latn-ME"/>
        </w:rPr>
      </w:pPr>
      <w:r w:rsidRPr="00F337F4">
        <w:rPr>
          <w:szCs w:val="22"/>
          <w:lang w:val="sr-Latn-ME"/>
        </w:rPr>
        <w:t xml:space="preserve">Prisustvo ceftriaksona može lažno sniziti nivo glukoze u krvi utvrđen korišćenjem nekih sistema za praćenje glukoze. Potrebno je pratiti uputstvo za upotrebu svakog sistema. Ukoliko je potrebno, mogu se koristiti alternativne metode testiranja. </w:t>
      </w:r>
    </w:p>
    <w:p w14:paraId="0478F5F2" w14:textId="77777777" w:rsidR="007A5AF9" w:rsidRPr="00F337F4" w:rsidRDefault="007A5AF9" w:rsidP="007A5AF9">
      <w:pPr>
        <w:rPr>
          <w:szCs w:val="22"/>
          <w:lang w:val="sr-Latn-ME"/>
        </w:rPr>
      </w:pPr>
    </w:p>
    <w:p w14:paraId="2F7FE895" w14:textId="77777777" w:rsidR="007A5AF9" w:rsidRPr="00F337F4" w:rsidRDefault="007A5AF9" w:rsidP="007A5AF9">
      <w:pPr>
        <w:rPr>
          <w:szCs w:val="22"/>
          <w:u w:val="single"/>
          <w:lang w:val="sr-Latn-ME"/>
        </w:rPr>
      </w:pPr>
      <w:r w:rsidRPr="00F337F4">
        <w:rPr>
          <w:szCs w:val="22"/>
          <w:u w:val="single"/>
          <w:lang w:val="sr-Latn-ME"/>
        </w:rPr>
        <w:t>Natrijum</w:t>
      </w:r>
    </w:p>
    <w:p w14:paraId="590A6149" w14:textId="77777777" w:rsidR="007A5AF9" w:rsidRPr="00F337F4" w:rsidRDefault="007A5AF9" w:rsidP="007A5AF9">
      <w:pPr>
        <w:rPr>
          <w:szCs w:val="22"/>
          <w:lang w:val="sr-Latn-ME"/>
        </w:rPr>
      </w:pPr>
      <w:r w:rsidRPr="00F337F4">
        <w:rPr>
          <w:szCs w:val="22"/>
          <w:lang w:val="sr-Latn-ME"/>
        </w:rPr>
        <w:t>Ceftriaxona Qilu 1 g prašak za rastvor za injekciju/infuziju sadrži 82,8 mg natrijuma po dozi od 1 g što odgovara 4,14 % maksimalnog dnevnog unosa od 2 g natrijuma, prema preporukama SZO za odraslu osobu.</w:t>
      </w:r>
    </w:p>
    <w:p w14:paraId="7E432075" w14:textId="77777777" w:rsidR="007A5AF9" w:rsidRPr="00F337F4" w:rsidRDefault="007A5AF9" w:rsidP="007A5AF9">
      <w:pPr>
        <w:rPr>
          <w:szCs w:val="22"/>
          <w:lang w:val="sr-Latn-ME"/>
        </w:rPr>
      </w:pPr>
    </w:p>
    <w:p w14:paraId="70411AC4" w14:textId="77777777" w:rsidR="007A5AF9" w:rsidRPr="00F337F4" w:rsidRDefault="007A5AF9" w:rsidP="007A5AF9">
      <w:pPr>
        <w:rPr>
          <w:szCs w:val="22"/>
          <w:lang w:val="sr-Latn-ME"/>
        </w:rPr>
      </w:pPr>
      <w:r w:rsidRPr="00F337F4">
        <w:rPr>
          <w:szCs w:val="22"/>
          <w:lang w:val="sr-Latn-ME"/>
        </w:rPr>
        <w:t>Ovo se mora uzeti u obzir kod pacijenata na ishrani sa ograničenim unosom soli.</w:t>
      </w:r>
    </w:p>
    <w:p w14:paraId="0CACD18F" w14:textId="77777777" w:rsidR="007A5AF9" w:rsidRPr="00F337F4" w:rsidRDefault="007A5AF9" w:rsidP="007A5AF9">
      <w:pPr>
        <w:rPr>
          <w:szCs w:val="22"/>
          <w:lang w:val="sr-Latn-ME"/>
        </w:rPr>
      </w:pPr>
    </w:p>
    <w:p w14:paraId="5CF01445" w14:textId="77777777" w:rsidR="007A5AF9" w:rsidRPr="00F337F4" w:rsidRDefault="007A5AF9" w:rsidP="007A5AF9">
      <w:pPr>
        <w:rPr>
          <w:szCs w:val="22"/>
          <w:u w:val="single"/>
          <w:lang w:val="sr-Latn-ME"/>
        </w:rPr>
      </w:pPr>
      <w:r w:rsidRPr="00F337F4">
        <w:rPr>
          <w:szCs w:val="22"/>
          <w:u w:val="single"/>
          <w:lang w:val="sr-Latn-ME"/>
        </w:rPr>
        <w:t>Antibakterijski spektar</w:t>
      </w:r>
    </w:p>
    <w:p w14:paraId="01467330" w14:textId="77777777" w:rsidR="007A5AF9" w:rsidRPr="00F337F4" w:rsidRDefault="007A5AF9" w:rsidP="007A5AF9">
      <w:pPr>
        <w:rPr>
          <w:szCs w:val="22"/>
          <w:lang w:val="sr-Latn-ME"/>
        </w:rPr>
      </w:pPr>
      <w:r w:rsidRPr="00F337F4">
        <w:rPr>
          <w:szCs w:val="22"/>
          <w:lang w:val="sr-Latn-ME"/>
        </w:rPr>
        <w:t xml:space="preserve">Ceftriakson ima ograničeni spektar antibakterijske aktivnosti pa monoterapija možda neće biti odgovarajuća za određene vrste infekcija osim u slučaju kada je uzročnik već potvrđen (vidjeti dio 4.2). U slučaju polimikrobnih infekcija, gdje patogeni na koje se sumnja uključuju mikroorganizme rezistetne na ceftriakson, potrebno je razmotriti primjenu dodatnog antibiotika. </w:t>
      </w:r>
    </w:p>
    <w:p w14:paraId="06BD9CEE" w14:textId="77777777" w:rsidR="007A5AF9" w:rsidRPr="00F337F4" w:rsidRDefault="007A5AF9" w:rsidP="007A5AF9">
      <w:pPr>
        <w:rPr>
          <w:szCs w:val="22"/>
          <w:lang w:val="sr-Latn-ME"/>
        </w:rPr>
      </w:pPr>
    </w:p>
    <w:p w14:paraId="333A1B8C" w14:textId="77777777" w:rsidR="007A5AF9" w:rsidRPr="00F337F4" w:rsidRDefault="007A5AF9" w:rsidP="007A5AF9">
      <w:pPr>
        <w:rPr>
          <w:szCs w:val="22"/>
          <w:u w:val="single"/>
          <w:lang w:val="sr-Latn-ME"/>
        </w:rPr>
      </w:pPr>
      <w:r w:rsidRPr="00F337F4">
        <w:rPr>
          <w:szCs w:val="22"/>
          <w:u w:val="single"/>
          <w:lang w:val="sr-Latn-ME"/>
        </w:rPr>
        <w:t>Upotreba lidokaina</w:t>
      </w:r>
    </w:p>
    <w:p w14:paraId="573F9AF8" w14:textId="77777777" w:rsidR="007A5AF9" w:rsidRPr="00F337F4" w:rsidRDefault="007A5AF9" w:rsidP="007A5AF9">
      <w:pPr>
        <w:rPr>
          <w:szCs w:val="22"/>
          <w:lang w:val="sr-Latn-ME"/>
        </w:rPr>
      </w:pPr>
      <w:r w:rsidRPr="00F337F4">
        <w:rPr>
          <w:szCs w:val="22"/>
          <w:lang w:val="sr-Latn-ME"/>
        </w:rPr>
        <w:t>U slučaju da se rekonstitucija vrši rastvorom lidokaina, dobijeni rastvor se može primijeniti isključivo intramuskularno. Prije primjene neophodno je razmotriti kontraindikacije, upozorenja i druge relevantne informacije u odgovarajućem Sažetku karakteristika lijeka za lidokain (vidjeti dio 4.3). Rastvor sa lidokainom se nikada ne smije primijeniti intravenskim putem.</w:t>
      </w:r>
    </w:p>
    <w:p w14:paraId="3E28FAC4" w14:textId="77777777" w:rsidR="007A5AF9" w:rsidRPr="00F337F4" w:rsidRDefault="007A5AF9" w:rsidP="007A5AF9">
      <w:pPr>
        <w:rPr>
          <w:szCs w:val="22"/>
          <w:lang w:val="sr-Latn-ME"/>
        </w:rPr>
      </w:pPr>
    </w:p>
    <w:p w14:paraId="45290B1E" w14:textId="77777777" w:rsidR="007A5AF9" w:rsidRPr="00F337F4" w:rsidRDefault="007A5AF9" w:rsidP="007A5AF9">
      <w:pPr>
        <w:rPr>
          <w:szCs w:val="22"/>
          <w:u w:val="single"/>
          <w:lang w:val="sr-Latn-ME"/>
        </w:rPr>
      </w:pPr>
      <w:r w:rsidRPr="00F337F4">
        <w:rPr>
          <w:szCs w:val="22"/>
          <w:u w:val="single"/>
          <w:lang w:val="sr-Latn-ME"/>
        </w:rPr>
        <w:t>Bilijarna litijaza</w:t>
      </w:r>
    </w:p>
    <w:p w14:paraId="529C568A" w14:textId="77777777" w:rsidR="007A5AF9" w:rsidRPr="00F337F4" w:rsidRDefault="007A5AF9" w:rsidP="007A5AF9">
      <w:pPr>
        <w:rPr>
          <w:szCs w:val="22"/>
          <w:lang w:val="sr-Latn-ME"/>
        </w:rPr>
      </w:pPr>
      <w:r w:rsidRPr="00F337F4">
        <w:rPr>
          <w:szCs w:val="22"/>
          <w:lang w:val="sr-Latn-ME"/>
        </w:rPr>
        <w:t xml:space="preserve">Kada se na ultrazvuku uoče sjenke, potrebno je razmotriti mogućnost postojanja precipitata ceftriakson-kalcijuma. Sjenke, za koje se pogrešno smatralo da su posledica kamena u žuči, su uočene na ultrazvuku žučne kese, pri čemu je njihova pojava bila češća pri primjeni doza ceftriaksona od 1 g na dan ili više. Poseban oprez je potreban kod pedijatrijske populacije. Ovi precipitati se povlače nakon obustave terapije ceftriaksonom. Rijetko su precipitati ceftriakson-kalcijuma povezivani sa pojavom simptoma. U slučajevima kada dođe do </w:t>
      </w:r>
      <w:r w:rsidRPr="00F337F4">
        <w:rPr>
          <w:szCs w:val="22"/>
          <w:lang w:val="sr-Latn-ME"/>
        </w:rPr>
        <w:lastRenderedPageBreak/>
        <w:t>pojave simptoma, preporučuje se konzervativno nehirurško liječenje, dok ljekar treba da razmotri obustavu terapije ceftriaksonom, na osnovu procjene odnosa koristi i rizika u svakom pojedinačnom slučaju (vidjeti dio 4.8).</w:t>
      </w:r>
    </w:p>
    <w:p w14:paraId="52B0C167" w14:textId="77777777" w:rsidR="007A5AF9" w:rsidRPr="00F337F4" w:rsidRDefault="007A5AF9" w:rsidP="007A5AF9">
      <w:pPr>
        <w:rPr>
          <w:szCs w:val="22"/>
          <w:lang w:val="sr-Latn-ME"/>
        </w:rPr>
      </w:pPr>
    </w:p>
    <w:p w14:paraId="61F85B04" w14:textId="77777777" w:rsidR="007A5AF9" w:rsidRPr="00F337F4" w:rsidRDefault="007A5AF9" w:rsidP="007A5AF9">
      <w:pPr>
        <w:rPr>
          <w:szCs w:val="22"/>
          <w:u w:val="single"/>
          <w:lang w:val="sr-Latn-ME"/>
        </w:rPr>
      </w:pPr>
      <w:r w:rsidRPr="00F337F4">
        <w:rPr>
          <w:szCs w:val="22"/>
          <w:u w:val="single"/>
          <w:lang w:val="sr-Latn-ME"/>
        </w:rPr>
        <w:t>Bilijarna staza</w:t>
      </w:r>
    </w:p>
    <w:p w14:paraId="0FC8970D" w14:textId="77777777" w:rsidR="007A5AF9" w:rsidRPr="00F337F4" w:rsidRDefault="007A5AF9" w:rsidP="007A5AF9">
      <w:pPr>
        <w:rPr>
          <w:color w:val="FF0000"/>
          <w:szCs w:val="22"/>
          <w:lang w:val="sr-Latn-ME"/>
        </w:rPr>
      </w:pPr>
      <w:r w:rsidRPr="00F337F4">
        <w:rPr>
          <w:szCs w:val="22"/>
          <w:lang w:val="sr-Latn-ME"/>
        </w:rPr>
        <w:t>Kod pacijenata na terapiji ceftriaksonom prijavljeni su slučajevi pankreatitisa, moguće kao posledica bilijarne opstrukcije (vidjeti dio 4.8). Kod većine pacijenata postojali su faktori rizika za bilijarnu stazu i mulj u žučnoj kesi npr. prethodno, ozbiljnije liječenje, teška bolest i totalna parenteralna ishrana. Okidač ili dodatni faktor bilijarne precipitacije povezane sa primjenom ceftriaksona se ne može isključiti.</w:t>
      </w:r>
    </w:p>
    <w:p w14:paraId="1D578519" w14:textId="77777777" w:rsidR="007A5AF9" w:rsidRPr="00F337F4" w:rsidRDefault="007A5AF9" w:rsidP="007A5AF9">
      <w:pPr>
        <w:rPr>
          <w:color w:val="FF0000"/>
          <w:szCs w:val="22"/>
          <w:lang w:val="sr-Latn-ME"/>
        </w:rPr>
      </w:pPr>
    </w:p>
    <w:p w14:paraId="4199CC79" w14:textId="77777777" w:rsidR="007A5AF9" w:rsidRPr="00F337F4" w:rsidRDefault="007A5AF9" w:rsidP="007A5AF9">
      <w:pPr>
        <w:rPr>
          <w:szCs w:val="22"/>
          <w:u w:val="single"/>
          <w:lang w:val="sr-Latn-ME"/>
        </w:rPr>
      </w:pPr>
      <w:r w:rsidRPr="00F337F4">
        <w:rPr>
          <w:szCs w:val="22"/>
          <w:u w:val="single"/>
          <w:lang w:val="sr-Latn-ME"/>
        </w:rPr>
        <w:t>Renalna litijaza</w:t>
      </w:r>
    </w:p>
    <w:p w14:paraId="4446273B" w14:textId="77777777" w:rsidR="007A5AF9" w:rsidRPr="00F337F4" w:rsidRDefault="007A5AF9" w:rsidP="007A5AF9">
      <w:pPr>
        <w:rPr>
          <w:szCs w:val="22"/>
          <w:lang w:val="sr-Latn-ME"/>
        </w:rPr>
      </w:pPr>
      <w:r w:rsidRPr="00F337F4">
        <w:rPr>
          <w:szCs w:val="22"/>
          <w:lang w:val="sr-Latn-ME"/>
        </w:rPr>
        <w:t xml:space="preserve">Prijavljeni su slučajevi renalne litijaze, koja je reverzibilna nakon obustave primjene ceftriaksona (vidjeti dio 4.8). U slučajevima sa pojavom simptoma potrebno je uraditi ultrazvučni pregled. Primjena kod pacijenata sa renalnom litijazom ili hiperkalciurijom u anamnezi treba da bude bazirana na procjeni ljekara o odnosu koristi i rizika u konkretnom slučaju. </w:t>
      </w:r>
    </w:p>
    <w:p w14:paraId="525BE424" w14:textId="77777777" w:rsidR="007A5AF9" w:rsidRPr="00F337F4" w:rsidRDefault="007A5AF9" w:rsidP="007A5AF9">
      <w:pPr>
        <w:rPr>
          <w:szCs w:val="22"/>
          <w:u w:val="single"/>
          <w:lang w:val="sr-Latn-ME"/>
        </w:rPr>
      </w:pPr>
    </w:p>
    <w:p w14:paraId="2A4C0D86" w14:textId="77777777" w:rsidR="007A5AF9" w:rsidRPr="00F337F4" w:rsidRDefault="007A5AF9" w:rsidP="007A5AF9">
      <w:pPr>
        <w:rPr>
          <w:szCs w:val="22"/>
          <w:u w:val="single"/>
          <w:lang w:val="sr-Latn-ME"/>
        </w:rPr>
      </w:pPr>
      <w:r w:rsidRPr="00F337F4">
        <w:rPr>
          <w:szCs w:val="22"/>
          <w:u w:val="single"/>
          <w:lang w:val="sr-Latn-ME"/>
        </w:rPr>
        <w:t xml:space="preserve">Encefalopatija  </w:t>
      </w:r>
    </w:p>
    <w:p w14:paraId="42AF9C5B" w14:textId="77777777" w:rsidR="007A5AF9" w:rsidRPr="00F337F4" w:rsidRDefault="007A5AF9" w:rsidP="007A5AF9">
      <w:pPr>
        <w:rPr>
          <w:szCs w:val="22"/>
          <w:lang w:val="sr-Latn-ME"/>
        </w:rPr>
      </w:pPr>
      <w:r w:rsidRPr="00F337F4">
        <w:rPr>
          <w:szCs w:val="22"/>
          <w:lang w:val="sr-Latn-ME"/>
        </w:rPr>
        <w:t>Uz primjenu ceftriaksona prijavljena je encefalopatija (vidjeti dio 4.8.), posebno kod pacijenata starije dobi s teškim oštećenjem funkcije bubrega (vidjeti dio 4.2.) ili s poremećajima centralnog nervnog sistema. Ako se sumnja na encefalopatiju povezanu s ceftriaksonom (npr. smanjena svijest, promijenjeno mentalno stanje, mioklonus, konvulzije), potrebno je razmotriti prekid primjene ceftriaksona.</w:t>
      </w:r>
    </w:p>
    <w:p w14:paraId="660E1E41" w14:textId="77777777" w:rsidR="007A5AF9" w:rsidRPr="00F337F4" w:rsidRDefault="007A5AF9" w:rsidP="007A5AF9">
      <w:pPr>
        <w:rPr>
          <w:szCs w:val="22"/>
          <w:lang w:val="sr-Latn-ME"/>
        </w:rPr>
      </w:pPr>
    </w:p>
    <w:p w14:paraId="46ABA397" w14:textId="77777777" w:rsidR="007A5AF9" w:rsidRPr="00F337F4" w:rsidRDefault="007A5AF9" w:rsidP="007A5AF9">
      <w:pPr>
        <w:rPr>
          <w:b/>
          <w:bCs/>
          <w:szCs w:val="22"/>
          <w:lang w:val="sr-Latn-ME"/>
        </w:rPr>
      </w:pPr>
      <w:r w:rsidRPr="00F337F4">
        <w:rPr>
          <w:b/>
          <w:bCs/>
          <w:szCs w:val="22"/>
          <w:lang w:val="sr-Latn-ME"/>
        </w:rPr>
        <w:t>4.5. Interakcije sa drugim ljekovima i druge vrste interakcija</w:t>
      </w:r>
    </w:p>
    <w:p w14:paraId="41AFBAFC" w14:textId="77777777" w:rsidR="007A5AF9" w:rsidRPr="00F337F4" w:rsidRDefault="007A5AF9" w:rsidP="007A5AF9">
      <w:pPr>
        <w:rPr>
          <w:szCs w:val="22"/>
          <w:lang w:val="sr-Latn-ME"/>
        </w:rPr>
      </w:pPr>
    </w:p>
    <w:p w14:paraId="0DA53B4E" w14:textId="77777777" w:rsidR="007A5AF9" w:rsidRPr="00F337F4" w:rsidRDefault="007A5AF9" w:rsidP="007A5AF9">
      <w:pPr>
        <w:rPr>
          <w:szCs w:val="22"/>
          <w:lang w:val="sr-Latn-ME"/>
        </w:rPr>
      </w:pPr>
      <w:r w:rsidRPr="00F337F4">
        <w:rPr>
          <w:szCs w:val="22"/>
          <w:lang w:val="sr-Latn-ME"/>
        </w:rPr>
        <w:t>Rastvarač</w:t>
      </w:r>
      <w:r>
        <w:rPr>
          <w:szCs w:val="22"/>
          <w:lang w:val="sr-Latn-ME"/>
        </w:rPr>
        <w:t>i</w:t>
      </w:r>
      <w:r w:rsidRPr="00F337F4">
        <w:rPr>
          <w:szCs w:val="22"/>
          <w:lang w:val="sr-Latn-ME"/>
        </w:rPr>
        <w:t xml:space="preserve"> koji sadrže kalcijum (npr. Ringerov ili Hartmanov rastvor) ne</w:t>
      </w:r>
      <w:r>
        <w:rPr>
          <w:szCs w:val="22"/>
          <w:lang w:val="sr-Latn-ME"/>
        </w:rPr>
        <w:t xml:space="preserve"> smiju se </w:t>
      </w:r>
      <w:r w:rsidRPr="00F337F4">
        <w:rPr>
          <w:szCs w:val="22"/>
          <w:lang w:val="sr-Latn-ME"/>
        </w:rPr>
        <w:t xml:space="preserve">koristiti za rekonstituciju ceftriaksona ili za dalje razblaženje rekonstituisanog rastvora za intravensku primjenu, zbog mogućnosti nastajanja precipitata. Do precipitacije ceftriakson-kalcijuma takođe može doći pri mešanju ceftriaksona sa  rastvorima koji sadrže kalcijum u istoj infuzionoj liniji. Ceftriakson se ne smije istovremeno primjenjivati sa intravenskim rastvorima koji sadrže kalcijum, uključujući kontinuirane infuzije na bazi kalcijuma, kao što je parenteralna ishrana primijenjena putem Y katetera. Međutim, kod pacijenata isključujući novorođenčad, ceftriakson i rastvori koji sadrže kalcijum se mogu primijeniti jedan za drugim ukoliko se infuzione linije detaljno isperu između infuzija korišćenjem kompatibilnog rastvora. </w:t>
      </w:r>
      <w:r w:rsidRPr="00F337F4">
        <w:rPr>
          <w:i/>
          <w:szCs w:val="22"/>
          <w:lang w:val="sr-Latn-ME"/>
        </w:rPr>
        <w:t xml:space="preserve">In vitro </w:t>
      </w:r>
      <w:r w:rsidRPr="00F337F4">
        <w:rPr>
          <w:szCs w:val="22"/>
          <w:lang w:val="sr-Latn-ME"/>
        </w:rPr>
        <w:t>studije sprovedene na plazmi odraslih i novorođenčadi koja je dobijena iz krvi pupčane vrpce su pokazale povećan rizik od precipitacije ceftriakson-kalcijuma kod novorođenčadi (vidjeti djelove 4.2, 4.3, 4.4, 4.8 i 6.2).</w:t>
      </w:r>
    </w:p>
    <w:p w14:paraId="16E0C614" w14:textId="77777777" w:rsidR="007A5AF9" w:rsidRPr="00F337F4" w:rsidRDefault="007A5AF9" w:rsidP="007A5AF9">
      <w:pPr>
        <w:rPr>
          <w:szCs w:val="22"/>
          <w:lang w:val="sr-Latn-ME"/>
        </w:rPr>
      </w:pPr>
    </w:p>
    <w:p w14:paraId="481B9D38" w14:textId="77777777" w:rsidR="007A5AF9" w:rsidRPr="00F337F4" w:rsidRDefault="007A5AF9" w:rsidP="007A5AF9">
      <w:pPr>
        <w:rPr>
          <w:szCs w:val="22"/>
          <w:lang w:val="sr-Latn-ME"/>
        </w:rPr>
      </w:pPr>
      <w:r w:rsidRPr="00F337F4">
        <w:rPr>
          <w:szCs w:val="22"/>
          <w:lang w:val="sr-Latn-ME"/>
        </w:rPr>
        <w:t xml:space="preserve">Istovremena primjena oralnih antikoagulanasa može pojačati antagonizam na vitamin K i rizik od pojave krvarenja. Preporučuje se učestalo praćenje INR vrednosti (engl. - </w:t>
      </w:r>
      <w:r w:rsidRPr="00F337F4">
        <w:rPr>
          <w:i/>
          <w:szCs w:val="22"/>
          <w:lang w:val="sr-Latn-ME"/>
        </w:rPr>
        <w:t>International Normalised Ratio</w:t>
      </w:r>
      <w:r w:rsidRPr="00F337F4">
        <w:rPr>
          <w:szCs w:val="22"/>
          <w:lang w:val="sr-Latn-ME"/>
        </w:rPr>
        <w:t>) i prilagođavanje doziranja antagoniste vitamina K u skladu sa tim, kako tokom tako i nakon terapije ceftriaksonom (vidjeti dio 4.8).</w:t>
      </w:r>
    </w:p>
    <w:p w14:paraId="666B50C6" w14:textId="77777777" w:rsidR="007A5AF9" w:rsidRPr="00F337F4" w:rsidRDefault="007A5AF9" w:rsidP="007A5AF9">
      <w:pPr>
        <w:rPr>
          <w:szCs w:val="22"/>
          <w:lang w:val="sr-Latn-ME"/>
        </w:rPr>
      </w:pPr>
    </w:p>
    <w:p w14:paraId="3E069731" w14:textId="77777777" w:rsidR="007A5AF9" w:rsidRPr="00F337F4" w:rsidRDefault="007A5AF9" w:rsidP="007A5AF9">
      <w:pPr>
        <w:rPr>
          <w:szCs w:val="22"/>
          <w:lang w:val="sr-Latn-ME"/>
        </w:rPr>
      </w:pPr>
      <w:r w:rsidRPr="00F337F4">
        <w:rPr>
          <w:szCs w:val="22"/>
          <w:lang w:val="sr-Latn-ME"/>
        </w:rPr>
        <w:t xml:space="preserve">Postoje kontradiktorni podaci o mogućem povećanju renalne toksičnosti aminoglikozida kada se koriste istovremeno sa cefalosporinima. U ovakvim slučajevima potrebno je brižljivo praćenje nivoa aminoglikozida i funkcije bubrega u kliničkoj praksi.  </w:t>
      </w:r>
    </w:p>
    <w:p w14:paraId="1DE315C9" w14:textId="77777777" w:rsidR="007A5AF9" w:rsidRPr="00F337F4" w:rsidRDefault="007A5AF9" w:rsidP="007A5AF9">
      <w:pPr>
        <w:rPr>
          <w:szCs w:val="22"/>
          <w:lang w:val="sr-Latn-ME"/>
        </w:rPr>
      </w:pPr>
    </w:p>
    <w:p w14:paraId="2BC77179" w14:textId="77777777" w:rsidR="007A5AF9" w:rsidRPr="00F337F4" w:rsidRDefault="007A5AF9" w:rsidP="007A5AF9">
      <w:pPr>
        <w:rPr>
          <w:color w:val="FF0000"/>
          <w:szCs w:val="22"/>
          <w:lang w:val="sr-Latn-ME"/>
        </w:rPr>
      </w:pPr>
      <w:r w:rsidRPr="00F337F4">
        <w:rPr>
          <w:szCs w:val="22"/>
          <w:lang w:val="sr-Latn-ME"/>
        </w:rPr>
        <w:t xml:space="preserve">U jednoj </w:t>
      </w:r>
      <w:r w:rsidRPr="00F337F4">
        <w:rPr>
          <w:i/>
          <w:szCs w:val="22"/>
          <w:lang w:val="sr-Latn-ME"/>
        </w:rPr>
        <w:t>in vitro</w:t>
      </w:r>
      <w:r w:rsidRPr="00F337F4">
        <w:rPr>
          <w:szCs w:val="22"/>
          <w:lang w:val="sr-Latn-ME"/>
        </w:rPr>
        <w:t xml:space="preserve"> studiji primijećen je antagonizam hloramfenikola i ceftriaksona. Klinički značaj ovog podatka nije poznat. </w:t>
      </w:r>
    </w:p>
    <w:p w14:paraId="1D59044E" w14:textId="77777777" w:rsidR="007A5AF9" w:rsidRPr="00F337F4" w:rsidRDefault="007A5AF9" w:rsidP="007A5AF9">
      <w:pPr>
        <w:rPr>
          <w:color w:val="FF0000"/>
          <w:szCs w:val="22"/>
          <w:lang w:val="sr-Latn-ME"/>
        </w:rPr>
      </w:pPr>
    </w:p>
    <w:p w14:paraId="7B06D38A" w14:textId="77777777" w:rsidR="007A5AF9" w:rsidRPr="00F337F4" w:rsidRDefault="007A5AF9" w:rsidP="007A5AF9">
      <w:pPr>
        <w:rPr>
          <w:szCs w:val="22"/>
          <w:lang w:val="sr-Latn-ME"/>
        </w:rPr>
      </w:pPr>
      <w:r w:rsidRPr="00F337F4">
        <w:rPr>
          <w:szCs w:val="22"/>
          <w:lang w:val="sr-Latn-ME"/>
        </w:rPr>
        <w:t xml:space="preserve">Nisu prijavljene interakcije između ceftriaksona i oralnih preparata koji sadrže kalcijum, kao ni interakcije između intramuskularno primijenjenog ceftriaksona i ljekova na bazi kalcijuma za intravensku ili oralnu primjenu. </w:t>
      </w:r>
    </w:p>
    <w:p w14:paraId="4FEE3F9B" w14:textId="77777777" w:rsidR="007A5AF9" w:rsidRPr="00F337F4" w:rsidRDefault="007A5AF9" w:rsidP="007A5AF9">
      <w:pPr>
        <w:rPr>
          <w:szCs w:val="22"/>
          <w:lang w:val="sr-Latn-ME"/>
        </w:rPr>
      </w:pPr>
    </w:p>
    <w:p w14:paraId="020AFB7F" w14:textId="77777777" w:rsidR="007A5AF9" w:rsidRPr="00F337F4" w:rsidRDefault="007A5AF9" w:rsidP="007A5AF9">
      <w:pPr>
        <w:rPr>
          <w:szCs w:val="22"/>
          <w:lang w:val="sr-Latn-ME"/>
        </w:rPr>
      </w:pPr>
      <w:r w:rsidRPr="00F337F4">
        <w:rPr>
          <w:szCs w:val="22"/>
          <w:lang w:val="sr-Latn-ME"/>
        </w:rPr>
        <w:t xml:space="preserve">Kod pacijenata na terapiji ceftriaksonom može doći do pojave lažno pozitivnih rezultata </w:t>
      </w:r>
      <w:r w:rsidRPr="00F337F4">
        <w:rPr>
          <w:i/>
          <w:szCs w:val="22"/>
          <w:lang w:val="sr-Latn-ME"/>
        </w:rPr>
        <w:t>Coombs</w:t>
      </w:r>
      <w:r w:rsidRPr="00F337F4">
        <w:rPr>
          <w:szCs w:val="22"/>
          <w:lang w:val="sr-Latn-ME"/>
        </w:rPr>
        <w:t xml:space="preserve"> testa. Ceftriakson, kao i drugi antibiotici, može voditi lažno pozitivnim rezultatima za galaktozemiju. Takođe, neenzimske metode za određivanje glukoze u urinu mogu dati lažno pozitivne rezultate. Zbog ovoga je za vrijeme terapije ceftriaksonom potrebno određivati nivo glukoze u urinu primjenom enzimskih metoda. </w:t>
      </w:r>
    </w:p>
    <w:p w14:paraId="7A5EF6F9" w14:textId="77777777" w:rsidR="007A5AF9" w:rsidRPr="00F337F4" w:rsidRDefault="007A5AF9" w:rsidP="007A5AF9">
      <w:pPr>
        <w:rPr>
          <w:szCs w:val="22"/>
          <w:lang w:val="sr-Latn-ME"/>
        </w:rPr>
      </w:pPr>
    </w:p>
    <w:p w14:paraId="2835A55F" w14:textId="77777777" w:rsidR="007A5AF9" w:rsidRPr="00F337F4" w:rsidRDefault="007A5AF9" w:rsidP="007A5AF9">
      <w:pPr>
        <w:rPr>
          <w:szCs w:val="22"/>
          <w:lang w:val="sr-Latn-ME"/>
        </w:rPr>
      </w:pPr>
      <w:r w:rsidRPr="00F337F4">
        <w:rPr>
          <w:szCs w:val="22"/>
          <w:lang w:val="sr-Latn-ME"/>
        </w:rPr>
        <w:lastRenderedPageBreak/>
        <w:t xml:space="preserve">Nije primijećeno oštećenje funkcije bubrega nakon istovremene primjene visokih doza ceftriaksona i jakih diuretika (npr. furosemid). </w:t>
      </w:r>
    </w:p>
    <w:p w14:paraId="2D16021B" w14:textId="77777777" w:rsidR="007A5AF9" w:rsidRPr="00F337F4" w:rsidRDefault="007A5AF9" w:rsidP="007A5AF9">
      <w:pPr>
        <w:rPr>
          <w:szCs w:val="22"/>
          <w:lang w:val="sr-Latn-ME"/>
        </w:rPr>
      </w:pPr>
    </w:p>
    <w:p w14:paraId="405BA26C" w14:textId="77777777" w:rsidR="007A5AF9" w:rsidRDefault="007A5AF9" w:rsidP="007A5AF9">
      <w:pPr>
        <w:rPr>
          <w:szCs w:val="22"/>
          <w:lang w:val="sr-Latn-ME"/>
        </w:rPr>
      </w:pPr>
      <w:r w:rsidRPr="00F337F4">
        <w:rPr>
          <w:szCs w:val="22"/>
          <w:lang w:val="sr-Latn-ME"/>
        </w:rPr>
        <w:t xml:space="preserve">Istovremena primjena probenecida ne umanjuje eliminaciju ceftriaksona.  </w:t>
      </w:r>
    </w:p>
    <w:p w14:paraId="0D532932" w14:textId="77777777" w:rsidR="007A5AF9" w:rsidRPr="00F337F4" w:rsidRDefault="007A5AF9" w:rsidP="007A5AF9">
      <w:pPr>
        <w:rPr>
          <w:szCs w:val="22"/>
          <w:lang w:val="sr-Latn-ME"/>
        </w:rPr>
      </w:pPr>
    </w:p>
    <w:p w14:paraId="1672D032" w14:textId="77777777" w:rsidR="007A5AF9" w:rsidRPr="00F337F4" w:rsidRDefault="007A5AF9" w:rsidP="007A5AF9">
      <w:pPr>
        <w:rPr>
          <w:b/>
          <w:bCs/>
          <w:szCs w:val="22"/>
          <w:lang w:val="sr-Latn-ME"/>
        </w:rPr>
      </w:pPr>
      <w:r w:rsidRPr="00F337F4">
        <w:rPr>
          <w:b/>
          <w:bCs/>
          <w:szCs w:val="22"/>
          <w:lang w:val="sr-Latn-ME"/>
        </w:rPr>
        <w:t>4.6. Plodnost, trudnoća i dojenje</w:t>
      </w:r>
    </w:p>
    <w:p w14:paraId="4DA9C22A" w14:textId="77777777" w:rsidR="007A5AF9" w:rsidRPr="00F337F4" w:rsidRDefault="007A5AF9" w:rsidP="007A5AF9">
      <w:pPr>
        <w:rPr>
          <w:szCs w:val="22"/>
          <w:lang w:val="sr-Latn-ME"/>
        </w:rPr>
      </w:pPr>
    </w:p>
    <w:p w14:paraId="555C8FE0" w14:textId="4A602686" w:rsidR="007A5AF9" w:rsidRPr="007A5AF9" w:rsidRDefault="007A5AF9" w:rsidP="007A5AF9">
      <w:pPr>
        <w:rPr>
          <w:szCs w:val="22"/>
          <w:u w:val="single"/>
          <w:lang w:val="sr-Latn-ME"/>
        </w:rPr>
      </w:pPr>
      <w:r w:rsidRPr="00F337F4">
        <w:rPr>
          <w:szCs w:val="22"/>
          <w:u w:val="single"/>
          <w:lang w:val="sr-Latn-ME"/>
        </w:rPr>
        <w:t>Plodnost</w:t>
      </w:r>
    </w:p>
    <w:p w14:paraId="69BA452B" w14:textId="65B2C7D5" w:rsidR="007A5AF9" w:rsidRPr="007A5AF9" w:rsidRDefault="007A5AF9" w:rsidP="007A5AF9">
      <w:pPr>
        <w:rPr>
          <w:szCs w:val="22"/>
          <w:lang w:val="sr-Latn-ME"/>
        </w:rPr>
      </w:pPr>
      <w:r w:rsidRPr="00F337F4">
        <w:rPr>
          <w:szCs w:val="22"/>
          <w:lang w:val="sr-Latn-ME"/>
        </w:rPr>
        <w:t xml:space="preserve">Studije reproduktivne toksičnosti nisu dale dokaze o štetnim uticajima na plodnost muškaraca ili žena. </w:t>
      </w:r>
    </w:p>
    <w:p w14:paraId="29FC7E2E" w14:textId="77777777" w:rsidR="007A5AF9" w:rsidRDefault="007A5AF9" w:rsidP="007A5AF9">
      <w:pPr>
        <w:rPr>
          <w:szCs w:val="22"/>
          <w:u w:val="single"/>
          <w:lang w:val="sr-Latn-ME"/>
        </w:rPr>
      </w:pPr>
    </w:p>
    <w:p w14:paraId="56817257" w14:textId="77777777" w:rsidR="007A5AF9" w:rsidRPr="00F337F4" w:rsidRDefault="007A5AF9" w:rsidP="007A5AF9">
      <w:pPr>
        <w:rPr>
          <w:szCs w:val="22"/>
          <w:u w:val="single"/>
          <w:lang w:val="sr-Latn-ME"/>
        </w:rPr>
      </w:pPr>
      <w:r w:rsidRPr="00F337F4">
        <w:rPr>
          <w:szCs w:val="22"/>
          <w:u w:val="single"/>
          <w:lang w:val="sr-Latn-ME"/>
        </w:rPr>
        <w:t>Trudnoća</w:t>
      </w:r>
    </w:p>
    <w:p w14:paraId="3F0C6652" w14:textId="77777777" w:rsidR="007A5AF9" w:rsidRPr="00F337F4" w:rsidRDefault="007A5AF9" w:rsidP="007A5AF9">
      <w:pPr>
        <w:rPr>
          <w:szCs w:val="22"/>
          <w:lang w:val="sr-Latn-ME"/>
        </w:rPr>
      </w:pPr>
      <w:r w:rsidRPr="00F337F4">
        <w:rPr>
          <w:szCs w:val="22"/>
          <w:lang w:val="sr-Latn-ME"/>
        </w:rPr>
        <w:t xml:space="preserve">Ceftriakson prolazi kroz placentalnu barijeru. Postoje ograničeni podaci o upotrebi ceftriaksona kod trudnica. Ispitivanja na životinjama ne ukazuju na direktna ili indirektna štetna dejstva u pogledu embrio-fetalnog, perinatalnog i postnatalnog razvoja (vidjeti dio 5.3). Ceftriakson treba primijeniti tokom trudnoće, posebno u prvom trimestru, samo ukoliko korist premašuje rizik. </w:t>
      </w:r>
    </w:p>
    <w:p w14:paraId="59BE3526" w14:textId="77777777" w:rsidR="007A5AF9" w:rsidRPr="00F337F4" w:rsidRDefault="007A5AF9" w:rsidP="007A5AF9">
      <w:pPr>
        <w:rPr>
          <w:szCs w:val="22"/>
          <w:lang w:val="sr-Latn-ME"/>
        </w:rPr>
      </w:pPr>
    </w:p>
    <w:p w14:paraId="7109D914" w14:textId="77777777" w:rsidR="007A5AF9" w:rsidRPr="00F337F4" w:rsidRDefault="007A5AF9" w:rsidP="007A5AF9">
      <w:pPr>
        <w:rPr>
          <w:szCs w:val="22"/>
          <w:u w:val="single"/>
          <w:lang w:val="sr-Latn-ME"/>
        </w:rPr>
      </w:pPr>
      <w:r w:rsidRPr="00F337F4">
        <w:rPr>
          <w:szCs w:val="22"/>
          <w:u w:val="single"/>
          <w:lang w:val="sr-Latn-ME"/>
        </w:rPr>
        <w:t>Dojenje</w:t>
      </w:r>
    </w:p>
    <w:p w14:paraId="21D9D226" w14:textId="77777777" w:rsidR="007A5AF9" w:rsidRPr="00F337F4" w:rsidRDefault="007A5AF9" w:rsidP="007A5AF9">
      <w:pPr>
        <w:rPr>
          <w:szCs w:val="22"/>
          <w:lang w:val="sr-Latn-ME"/>
        </w:rPr>
      </w:pPr>
      <w:r w:rsidRPr="00F337F4">
        <w:rPr>
          <w:szCs w:val="22"/>
          <w:lang w:val="sr-Latn-ME"/>
        </w:rPr>
        <w:t xml:space="preserve">Ceftriakson se u niskim koncentracijama izlučuje u majčino mlijeko, ali pri primjeni terapijskih doza kod majke ne očekuju se efekti na dojenče. Međutim, ne može se isključiti rizik od dijareje i gljivične infekcije mukoznih membrana. Treba uzeti u obzir mogućnost senzibilizacije. Odluka o tome da li da se prekine dojenje ili da se prekine/odloži terapija ceftriaksonom mora se donijeti uzimajući u obzir korist od dojenja za dete i korist od terapije ceftriaksonom za majku. </w:t>
      </w:r>
    </w:p>
    <w:p w14:paraId="3C5FB546" w14:textId="77777777" w:rsidR="007A5AF9" w:rsidRPr="00F337F4" w:rsidRDefault="007A5AF9" w:rsidP="007A5AF9">
      <w:pPr>
        <w:rPr>
          <w:szCs w:val="22"/>
          <w:lang w:val="sr-Latn-ME"/>
        </w:rPr>
      </w:pPr>
    </w:p>
    <w:p w14:paraId="3EBA247C" w14:textId="77777777" w:rsidR="007A5AF9" w:rsidRPr="00F337F4" w:rsidRDefault="007A5AF9" w:rsidP="007A5AF9">
      <w:pPr>
        <w:rPr>
          <w:b/>
          <w:bCs/>
          <w:spacing w:val="-8"/>
          <w:szCs w:val="22"/>
          <w:lang w:val="sr-Latn-ME"/>
        </w:rPr>
      </w:pPr>
      <w:r w:rsidRPr="00F337F4">
        <w:rPr>
          <w:b/>
          <w:bCs/>
          <w:spacing w:val="-8"/>
          <w:szCs w:val="22"/>
          <w:lang w:val="sr-Latn-ME"/>
        </w:rPr>
        <w:t>4.7. Uticaj na sposobnost upravljanja vozilima i rukovanja mašinama</w:t>
      </w:r>
    </w:p>
    <w:p w14:paraId="06166BA9" w14:textId="77777777" w:rsidR="007A5AF9" w:rsidRPr="00F337F4" w:rsidRDefault="007A5AF9" w:rsidP="007A5AF9">
      <w:pPr>
        <w:rPr>
          <w:szCs w:val="22"/>
          <w:lang w:val="sr-Latn-ME"/>
        </w:rPr>
      </w:pPr>
    </w:p>
    <w:p w14:paraId="252CF83B" w14:textId="77777777" w:rsidR="007A5AF9" w:rsidRPr="00F337F4" w:rsidRDefault="007A5AF9" w:rsidP="007A5AF9">
      <w:pPr>
        <w:rPr>
          <w:szCs w:val="22"/>
          <w:lang w:val="sr-Latn-ME"/>
        </w:rPr>
      </w:pPr>
      <w:r w:rsidRPr="00F337F4">
        <w:rPr>
          <w:szCs w:val="22"/>
          <w:lang w:val="sr-Latn-ME"/>
        </w:rPr>
        <w:t xml:space="preserve">Tokom terapije ceftriaksonom može doći do pojave neželjenih dejstava (npr. vrtoglavica) koja mogu uticati na sposobnost upravljanja vozilima i rukovanja mašinama (vidjeti dio 4.8). Pacijente treba savjetovati da sa oprezom voze ili rukuju mašinama. </w:t>
      </w:r>
    </w:p>
    <w:p w14:paraId="493BAE00" w14:textId="77777777" w:rsidR="007A5AF9" w:rsidRPr="00F337F4" w:rsidRDefault="007A5AF9" w:rsidP="007A5AF9">
      <w:pPr>
        <w:rPr>
          <w:szCs w:val="22"/>
          <w:lang w:val="sr-Latn-ME"/>
        </w:rPr>
      </w:pPr>
    </w:p>
    <w:p w14:paraId="118F032E" w14:textId="77777777" w:rsidR="007A5AF9" w:rsidRPr="00F337F4" w:rsidRDefault="007A5AF9" w:rsidP="007A5AF9">
      <w:pPr>
        <w:rPr>
          <w:b/>
          <w:bCs/>
          <w:szCs w:val="22"/>
          <w:lang w:val="sr-Latn-ME"/>
        </w:rPr>
      </w:pPr>
      <w:r w:rsidRPr="00F337F4">
        <w:rPr>
          <w:b/>
          <w:bCs/>
          <w:szCs w:val="22"/>
          <w:lang w:val="sr-Latn-ME"/>
        </w:rPr>
        <w:t>4.8. Neželjena dejstva</w:t>
      </w:r>
    </w:p>
    <w:p w14:paraId="3679B2A2" w14:textId="77777777" w:rsidR="007A5AF9" w:rsidRPr="00F337F4" w:rsidRDefault="007A5AF9" w:rsidP="007A5AF9">
      <w:pPr>
        <w:rPr>
          <w:noProof/>
          <w:szCs w:val="22"/>
          <w:u w:val="single"/>
          <w:lang w:val="sr-Latn-ME"/>
        </w:rPr>
      </w:pPr>
    </w:p>
    <w:p w14:paraId="75C6D028" w14:textId="77777777" w:rsidR="007A5AF9" w:rsidRPr="00F337F4" w:rsidRDefault="007A5AF9" w:rsidP="007A5AF9">
      <w:pPr>
        <w:rPr>
          <w:noProof/>
          <w:szCs w:val="22"/>
          <w:lang w:val="sr-Latn-ME"/>
        </w:rPr>
      </w:pPr>
      <w:r w:rsidRPr="00F337F4">
        <w:rPr>
          <w:noProof/>
          <w:szCs w:val="22"/>
          <w:lang w:val="sr-Latn-ME"/>
        </w:rPr>
        <w:t>Najčešće prijavljena neželjena dejstva ceftriaksona su eozinofilija, leukopenija, trombocitopenija, dijareja, osip i povećanje nivoa enzima jetre. Učestalost neželjenih dejstava na ceftriakson utvrđena je na osnovu podataka iz  kliničkih studija. Za klasifikaciju učestalosti korišćena je sledeća konvencija:</w:t>
      </w:r>
    </w:p>
    <w:p w14:paraId="672C9088" w14:textId="77777777" w:rsidR="007A5AF9" w:rsidRPr="00F337F4" w:rsidRDefault="007A5AF9" w:rsidP="007A5AF9">
      <w:pPr>
        <w:rPr>
          <w:noProof/>
          <w:szCs w:val="22"/>
          <w:lang w:val="sr-Latn-ME"/>
        </w:rPr>
      </w:pPr>
      <w:r w:rsidRPr="00F337F4">
        <w:rPr>
          <w:noProof/>
          <w:szCs w:val="22"/>
          <w:lang w:val="sr-Latn-ME"/>
        </w:rPr>
        <w:t>veoma česta (≥1/10);</w:t>
      </w:r>
    </w:p>
    <w:p w14:paraId="33B190F1" w14:textId="77777777" w:rsidR="007A5AF9" w:rsidRPr="00F337F4" w:rsidRDefault="007A5AF9" w:rsidP="007A5AF9">
      <w:pPr>
        <w:rPr>
          <w:noProof/>
          <w:szCs w:val="22"/>
          <w:lang w:val="sr-Latn-ME"/>
        </w:rPr>
      </w:pPr>
      <w:r w:rsidRPr="00F337F4">
        <w:rPr>
          <w:noProof/>
          <w:szCs w:val="22"/>
          <w:lang w:val="sr-Latn-ME"/>
        </w:rPr>
        <w:t>česta  (≥1/100  do &lt;1/10);</w:t>
      </w:r>
    </w:p>
    <w:p w14:paraId="3E1237BB" w14:textId="77777777" w:rsidR="007A5AF9" w:rsidRPr="00F337F4" w:rsidRDefault="007A5AF9" w:rsidP="007A5AF9">
      <w:pPr>
        <w:rPr>
          <w:noProof/>
          <w:szCs w:val="22"/>
          <w:lang w:val="sr-Latn-ME"/>
        </w:rPr>
      </w:pPr>
      <w:r w:rsidRPr="00F337F4">
        <w:rPr>
          <w:noProof/>
          <w:szCs w:val="22"/>
          <w:lang w:val="sr-Latn-ME"/>
        </w:rPr>
        <w:t>povremena (≥1/1000  do &lt;1/100);</w:t>
      </w:r>
    </w:p>
    <w:p w14:paraId="5BF0D407" w14:textId="77777777" w:rsidR="007A5AF9" w:rsidRPr="00F337F4" w:rsidRDefault="007A5AF9" w:rsidP="007A5AF9">
      <w:pPr>
        <w:rPr>
          <w:noProof/>
          <w:szCs w:val="22"/>
          <w:lang w:val="sr-Latn-ME"/>
        </w:rPr>
      </w:pPr>
      <w:r w:rsidRPr="00F337F4">
        <w:rPr>
          <w:noProof/>
          <w:szCs w:val="22"/>
          <w:lang w:val="sr-Latn-ME"/>
        </w:rPr>
        <w:t>rijetka (≥1/10000  do &lt;1/1000);</w:t>
      </w:r>
    </w:p>
    <w:p w14:paraId="2A6D462D" w14:textId="3B2042C4" w:rsidR="007A5AF9" w:rsidRPr="00F337F4" w:rsidRDefault="007A5AF9" w:rsidP="007A5AF9">
      <w:pPr>
        <w:rPr>
          <w:noProof/>
          <w:szCs w:val="22"/>
          <w:lang w:val="sr-Latn-ME"/>
        </w:rPr>
      </w:pPr>
      <w:r w:rsidRPr="00F337F4">
        <w:rPr>
          <w:noProof/>
          <w:szCs w:val="22"/>
          <w:lang w:val="sr-Latn-ME"/>
        </w:rPr>
        <w:t>nepoznata učestalost (ne može se procijeniti na osnovu dostupnih podataka).</w:t>
      </w:r>
    </w:p>
    <w:p w14:paraId="3D29FF38" w14:textId="77777777" w:rsidR="007A5AF9" w:rsidRPr="00F337F4" w:rsidRDefault="007A5AF9" w:rsidP="007A5AF9">
      <w:pPr>
        <w:tabs>
          <w:tab w:val="clear" w:pos="284"/>
        </w:tabs>
        <w:rPr>
          <w:sz w:val="20"/>
          <w:szCs w:val="20"/>
          <w:lang w:val="sr-Latn-ME"/>
        </w:rPr>
      </w:pPr>
    </w:p>
    <w:tbl>
      <w:tblPr>
        <w:tblW w:w="9900" w:type="dxa"/>
        <w:tblLook w:val="04A0" w:firstRow="1" w:lastRow="0" w:firstColumn="1" w:lastColumn="0" w:noHBand="0" w:noVBand="1"/>
      </w:tblPr>
      <w:tblGrid>
        <w:gridCol w:w="1973"/>
        <w:gridCol w:w="1719"/>
        <w:gridCol w:w="1756"/>
        <w:gridCol w:w="2049"/>
        <w:gridCol w:w="2403"/>
      </w:tblGrid>
      <w:tr w:rsidR="007A5AF9" w:rsidRPr="00F337F4" w14:paraId="0A5AD4A6" w14:textId="77777777" w:rsidTr="003D5905">
        <w:trPr>
          <w:trHeight w:val="300"/>
        </w:trPr>
        <w:tc>
          <w:tcPr>
            <w:tcW w:w="19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0DD24"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Klasa sistema organa</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14:paraId="60A060BA"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Često</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14:paraId="03ABB7AF"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 xml:space="preserve">Povremeno </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6DB26E91"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Rijetko</w:t>
            </w:r>
          </w:p>
        </w:tc>
        <w:tc>
          <w:tcPr>
            <w:tcW w:w="2403" w:type="dxa"/>
            <w:tcBorders>
              <w:top w:val="single" w:sz="4" w:space="0" w:color="auto"/>
              <w:left w:val="nil"/>
              <w:bottom w:val="single" w:sz="4" w:space="0" w:color="auto"/>
              <w:right w:val="single" w:sz="4" w:space="0" w:color="auto"/>
            </w:tcBorders>
            <w:shd w:val="clear" w:color="auto" w:fill="auto"/>
            <w:noWrap/>
            <w:vAlign w:val="bottom"/>
            <w:hideMark/>
          </w:tcPr>
          <w:p w14:paraId="7148A124"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Nepoznata učestalost</w:t>
            </w:r>
            <w:r w:rsidRPr="00F337F4">
              <w:rPr>
                <w:bCs/>
                <w:color w:val="000000"/>
                <w:szCs w:val="22"/>
                <w:vertAlign w:val="superscript"/>
                <w:lang w:val="sr-Latn-ME"/>
              </w:rPr>
              <w:t>a</w:t>
            </w:r>
          </w:p>
        </w:tc>
      </w:tr>
      <w:tr w:rsidR="007A5AF9" w:rsidRPr="00F337F4" w14:paraId="3D9B5F13" w14:textId="77777777" w:rsidTr="003D5905">
        <w:trPr>
          <w:trHeight w:val="6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599C8D7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Infekcije i infestacije</w:t>
            </w:r>
          </w:p>
        </w:tc>
        <w:tc>
          <w:tcPr>
            <w:tcW w:w="1719" w:type="dxa"/>
            <w:tcBorders>
              <w:top w:val="nil"/>
              <w:left w:val="nil"/>
              <w:bottom w:val="single" w:sz="4" w:space="0" w:color="auto"/>
              <w:right w:val="single" w:sz="4" w:space="0" w:color="auto"/>
            </w:tcBorders>
            <w:shd w:val="clear" w:color="auto" w:fill="auto"/>
            <w:noWrap/>
            <w:vAlign w:val="bottom"/>
            <w:hideMark/>
          </w:tcPr>
          <w:p w14:paraId="65EAF72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vAlign w:val="bottom"/>
            <w:hideMark/>
          </w:tcPr>
          <w:p w14:paraId="02194BF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genitalne gljivične infekcije</w:t>
            </w:r>
          </w:p>
        </w:tc>
        <w:tc>
          <w:tcPr>
            <w:tcW w:w="2049" w:type="dxa"/>
            <w:tcBorders>
              <w:top w:val="nil"/>
              <w:left w:val="nil"/>
              <w:bottom w:val="single" w:sz="4" w:space="0" w:color="auto"/>
              <w:right w:val="single" w:sz="4" w:space="0" w:color="auto"/>
            </w:tcBorders>
            <w:shd w:val="clear" w:color="auto" w:fill="auto"/>
            <w:vAlign w:val="bottom"/>
            <w:hideMark/>
          </w:tcPr>
          <w:p w14:paraId="1F85368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pseudomembranozni kolitis</w:t>
            </w:r>
            <w:r w:rsidRPr="00F337F4">
              <w:rPr>
                <w:color w:val="000000"/>
                <w:szCs w:val="22"/>
                <w:vertAlign w:val="superscript"/>
                <w:lang w:val="sr-Latn-ME"/>
              </w:rPr>
              <w:t>b</w:t>
            </w:r>
          </w:p>
        </w:tc>
        <w:tc>
          <w:tcPr>
            <w:tcW w:w="2403" w:type="dxa"/>
            <w:tcBorders>
              <w:top w:val="nil"/>
              <w:left w:val="nil"/>
              <w:bottom w:val="single" w:sz="4" w:space="0" w:color="auto"/>
              <w:right w:val="single" w:sz="4" w:space="0" w:color="auto"/>
            </w:tcBorders>
            <w:shd w:val="clear" w:color="auto" w:fill="auto"/>
            <w:noWrap/>
            <w:vAlign w:val="bottom"/>
            <w:hideMark/>
          </w:tcPr>
          <w:p w14:paraId="5489980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superinfekcija</w:t>
            </w:r>
            <w:r w:rsidRPr="00F337F4">
              <w:rPr>
                <w:color w:val="000000"/>
                <w:szCs w:val="22"/>
                <w:vertAlign w:val="superscript"/>
                <w:lang w:val="sr-Latn-ME"/>
              </w:rPr>
              <w:t>b</w:t>
            </w:r>
          </w:p>
        </w:tc>
      </w:tr>
      <w:tr w:rsidR="007A5AF9" w:rsidRPr="00F337F4" w14:paraId="0C66350C" w14:textId="77777777" w:rsidTr="003D5905">
        <w:trPr>
          <w:trHeight w:val="9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0C9B3DC3"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Poremećaji krvi i limfnog sistema</w:t>
            </w:r>
          </w:p>
        </w:tc>
        <w:tc>
          <w:tcPr>
            <w:tcW w:w="1719" w:type="dxa"/>
            <w:tcBorders>
              <w:top w:val="nil"/>
              <w:left w:val="nil"/>
              <w:bottom w:val="single" w:sz="4" w:space="0" w:color="auto"/>
              <w:right w:val="single" w:sz="4" w:space="0" w:color="auto"/>
            </w:tcBorders>
            <w:shd w:val="clear" w:color="auto" w:fill="auto"/>
            <w:vAlign w:val="bottom"/>
            <w:hideMark/>
          </w:tcPr>
          <w:p w14:paraId="3A9D1DD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eozinofilija</w:t>
            </w:r>
            <w:r w:rsidRPr="00F337F4">
              <w:rPr>
                <w:color w:val="000000"/>
                <w:szCs w:val="22"/>
                <w:lang w:val="sr-Latn-ME"/>
              </w:rPr>
              <w:br/>
              <w:t>leukopenija</w:t>
            </w:r>
            <w:r w:rsidRPr="00F337F4">
              <w:rPr>
                <w:color w:val="000000"/>
                <w:szCs w:val="22"/>
                <w:lang w:val="sr-Latn-ME"/>
              </w:rPr>
              <w:br/>
              <w:t>trombocitopenija</w:t>
            </w:r>
          </w:p>
        </w:tc>
        <w:tc>
          <w:tcPr>
            <w:tcW w:w="1756" w:type="dxa"/>
            <w:tcBorders>
              <w:top w:val="nil"/>
              <w:left w:val="nil"/>
              <w:bottom w:val="single" w:sz="4" w:space="0" w:color="auto"/>
              <w:right w:val="single" w:sz="4" w:space="0" w:color="auto"/>
            </w:tcBorders>
            <w:shd w:val="clear" w:color="auto" w:fill="auto"/>
            <w:vAlign w:val="bottom"/>
            <w:hideMark/>
          </w:tcPr>
          <w:p w14:paraId="388F475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granulocitopenija</w:t>
            </w:r>
            <w:r w:rsidRPr="00F337F4">
              <w:rPr>
                <w:color w:val="000000"/>
                <w:szCs w:val="22"/>
                <w:lang w:val="sr-Latn-ME"/>
              </w:rPr>
              <w:br/>
              <w:t>anemija</w:t>
            </w:r>
            <w:r w:rsidRPr="00F337F4">
              <w:rPr>
                <w:color w:val="000000"/>
                <w:szCs w:val="22"/>
                <w:lang w:val="sr-Latn-ME"/>
              </w:rPr>
              <w:br/>
              <w:t>koagulopatija</w:t>
            </w:r>
          </w:p>
        </w:tc>
        <w:tc>
          <w:tcPr>
            <w:tcW w:w="2049" w:type="dxa"/>
            <w:tcBorders>
              <w:top w:val="nil"/>
              <w:left w:val="nil"/>
              <w:bottom w:val="single" w:sz="4" w:space="0" w:color="auto"/>
              <w:right w:val="single" w:sz="4" w:space="0" w:color="auto"/>
            </w:tcBorders>
            <w:shd w:val="clear" w:color="auto" w:fill="auto"/>
            <w:noWrap/>
            <w:vAlign w:val="bottom"/>
            <w:hideMark/>
          </w:tcPr>
          <w:p w14:paraId="6BB13E0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403" w:type="dxa"/>
            <w:tcBorders>
              <w:top w:val="nil"/>
              <w:left w:val="nil"/>
              <w:bottom w:val="single" w:sz="4" w:space="0" w:color="auto"/>
              <w:right w:val="single" w:sz="4" w:space="0" w:color="auto"/>
            </w:tcBorders>
            <w:shd w:val="clear" w:color="auto" w:fill="auto"/>
            <w:vAlign w:val="bottom"/>
            <w:hideMark/>
          </w:tcPr>
          <w:p w14:paraId="09A4A54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hemolitička anemija</w:t>
            </w:r>
            <w:r w:rsidRPr="00F337F4">
              <w:rPr>
                <w:color w:val="000000"/>
                <w:szCs w:val="22"/>
                <w:vertAlign w:val="superscript"/>
                <w:lang w:val="sr-Latn-ME"/>
              </w:rPr>
              <w:t>b</w:t>
            </w:r>
            <w:r w:rsidRPr="00F337F4">
              <w:rPr>
                <w:color w:val="000000"/>
                <w:szCs w:val="22"/>
                <w:lang w:val="sr-Latn-ME"/>
              </w:rPr>
              <w:br/>
              <w:t>agranulocitoza</w:t>
            </w:r>
          </w:p>
        </w:tc>
      </w:tr>
      <w:tr w:rsidR="007A5AF9" w:rsidRPr="00F337F4" w14:paraId="40F5D4E4" w14:textId="77777777" w:rsidTr="003D5905">
        <w:trPr>
          <w:trHeight w:val="12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480DB81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Poremećaj imunskog sistema</w:t>
            </w:r>
          </w:p>
        </w:tc>
        <w:tc>
          <w:tcPr>
            <w:tcW w:w="1719" w:type="dxa"/>
            <w:tcBorders>
              <w:top w:val="nil"/>
              <w:left w:val="nil"/>
              <w:bottom w:val="single" w:sz="4" w:space="0" w:color="auto"/>
              <w:right w:val="single" w:sz="4" w:space="0" w:color="auto"/>
            </w:tcBorders>
            <w:shd w:val="clear" w:color="auto" w:fill="auto"/>
            <w:noWrap/>
            <w:vAlign w:val="bottom"/>
            <w:hideMark/>
          </w:tcPr>
          <w:p w14:paraId="515B528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noWrap/>
            <w:vAlign w:val="bottom"/>
            <w:hideMark/>
          </w:tcPr>
          <w:p w14:paraId="377A8DB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049" w:type="dxa"/>
            <w:tcBorders>
              <w:top w:val="nil"/>
              <w:left w:val="nil"/>
              <w:bottom w:val="single" w:sz="4" w:space="0" w:color="auto"/>
              <w:right w:val="single" w:sz="4" w:space="0" w:color="auto"/>
            </w:tcBorders>
            <w:shd w:val="clear" w:color="auto" w:fill="auto"/>
            <w:noWrap/>
            <w:vAlign w:val="bottom"/>
            <w:hideMark/>
          </w:tcPr>
          <w:p w14:paraId="739A880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403" w:type="dxa"/>
            <w:tcBorders>
              <w:top w:val="nil"/>
              <w:left w:val="nil"/>
              <w:bottom w:val="single" w:sz="4" w:space="0" w:color="auto"/>
              <w:right w:val="single" w:sz="4" w:space="0" w:color="auto"/>
            </w:tcBorders>
            <w:shd w:val="clear" w:color="auto" w:fill="auto"/>
            <w:vAlign w:val="bottom"/>
            <w:hideMark/>
          </w:tcPr>
          <w:p w14:paraId="0A62693D" w14:textId="77777777" w:rsidR="007A5AF9" w:rsidRPr="00F337F4" w:rsidRDefault="007A5AF9" w:rsidP="003D5905">
            <w:pPr>
              <w:tabs>
                <w:tab w:val="clear" w:pos="284"/>
              </w:tabs>
              <w:jc w:val="left"/>
              <w:rPr>
                <w:color w:val="000000"/>
                <w:szCs w:val="22"/>
                <w:vertAlign w:val="superscript"/>
                <w:lang w:val="sr-Latn-ME"/>
              </w:rPr>
            </w:pPr>
            <w:r w:rsidRPr="00F337F4">
              <w:rPr>
                <w:color w:val="000000"/>
                <w:szCs w:val="22"/>
                <w:lang w:val="sr-Latn-ME"/>
              </w:rPr>
              <w:t>anafilaktički šok</w:t>
            </w:r>
            <w:r w:rsidRPr="00F337F4">
              <w:rPr>
                <w:color w:val="000000"/>
                <w:szCs w:val="22"/>
                <w:lang w:val="sr-Latn-ME"/>
              </w:rPr>
              <w:br/>
              <w:t>anafilaktička reakcija</w:t>
            </w:r>
            <w:r w:rsidRPr="00F337F4">
              <w:rPr>
                <w:color w:val="000000"/>
                <w:szCs w:val="22"/>
                <w:lang w:val="sr-Latn-ME"/>
              </w:rPr>
              <w:br/>
              <w:t>anafilaktoidna reakcija</w:t>
            </w:r>
            <w:r w:rsidRPr="00F337F4">
              <w:rPr>
                <w:color w:val="000000"/>
                <w:szCs w:val="22"/>
                <w:lang w:val="sr-Latn-ME"/>
              </w:rPr>
              <w:br/>
              <w:t>hipersenzitivnost</w:t>
            </w:r>
            <w:r w:rsidRPr="00F337F4">
              <w:rPr>
                <w:color w:val="000000"/>
                <w:szCs w:val="22"/>
                <w:vertAlign w:val="superscript"/>
                <w:lang w:val="sr-Latn-ME"/>
              </w:rPr>
              <w:t>b</w:t>
            </w:r>
          </w:p>
          <w:p w14:paraId="7C6C0F3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Jarisch-Herxheimer reakcija</w:t>
            </w:r>
            <w:r w:rsidRPr="00F337F4">
              <w:rPr>
                <w:lang w:val="sr-Latn-ME"/>
              </w:rPr>
              <w:t xml:space="preserve"> </w:t>
            </w:r>
            <w:r w:rsidRPr="00F337F4">
              <w:rPr>
                <w:sz w:val="14"/>
                <w:szCs w:val="14"/>
                <w:shd w:val="clear" w:color="auto" w:fill="FFFFFF"/>
                <w:lang w:val="sr-Latn-ME"/>
              </w:rPr>
              <w:t>b</w:t>
            </w:r>
            <w:r w:rsidRPr="00F337F4">
              <w:rPr>
                <w:color w:val="000000"/>
                <w:szCs w:val="22"/>
                <w:lang w:val="sr-Latn-ME"/>
              </w:rPr>
              <w:t xml:space="preserve"> </w:t>
            </w:r>
          </w:p>
          <w:p w14:paraId="5890AAD0" w14:textId="77777777" w:rsidR="007A5AF9" w:rsidRPr="00F337F4" w:rsidRDefault="007A5AF9" w:rsidP="003D5905">
            <w:pPr>
              <w:tabs>
                <w:tab w:val="clear" w:pos="284"/>
              </w:tabs>
              <w:jc w:val="left"/>
              <w:rPr>
                <w:color w:val="000000"/>
                <w:szCs w:val="22"/>
                <w:lang w:val="sr-Latn-ME"/>
              </w:rPr>
            </w:pPr>
          </w:p>
        </w:tc>
      </w:tr>
      <w:tr w:rsidR="007A5AF9" w:rsidRPr="00F337F4" w14:paraId="6CF14D41" w14:textId="77777777" w:rsidTr="003D5905">
        <w:trPr>
          <w:trHeight w:val="6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31F4F4D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lastRenderedPageBreak/>
              <w:t>Poremećaji nervnog sistema</w:t>
            </w:r>
          </w:p>
        </w:tc>
        <w:tc>
          <w:tcPr>
            <w:tcW w:w="1719" w:type="dxa"/>
            <w:tcBorders>
              <w:top w:val="nil"/>
              <w:left w:val="nil"/>
              <w:bottom w:val="single" w:sz="4" w:space="0" w:color="auto"/>
              <w:right w:val="single" w:sz="4" w:space="0" w:color="auto"/>
            </w:tcBorders>
            <w:shd w:val="clear" w:color="auto" w:fill="auto"/>
            <w:noWrap/>
            <w:vAlign w:val="bottom"/>
            <w:hideMark/>
          </w:tcPr>
          <w:p w14:paraId="1D609C1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vAlign w:val="bottom"/>
            <w:hideMark/>
          </w:tcPr>
          <w:p w14:paraId="1E4FFD1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glavobolja</w:t>
            </w:r>
            <w:r w:rsidRPr="00F337F4">
              <w:rPr>
                <w:color w:val="000000"/>
                <w:szCs w:val="22"/>
                <w:lang w:val="sr-Latn-ME"/>
              </w:rPr>
              <w:br/>
              <w:t>vrtoglavica</w:t>
            </w:r>
          </w:p>
        </w:tc>
        <w:tc>
          <w:tcPr>
            <w:tcW w:w="2049" w:type="dxa"/>
            <w:tcBorders>
              <w:top w:val="nil"/>
              <w:left w:val="nil"/>
              <w:bottom w:val="single" w:sz="4" w:space="0" w:color="auto"/>
              <w:right w:val="single" w:sz="4" w:space="0" w:color="auto"/>
            </w:tcBorders>
            <w:shd w:val="clear" w:color="auto" w:fill="auto"/>
            <w:noWrap/>
            <w:vAlign w:val="bottom"/>
            <w:hideMark/>
          </w:tcPr>
          <w:p w14:paraId="7DADF93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encefalopatija</w:t>
            </w:r>
          </w:p>
        </w:tc>
        <w:tc>
          <w:tcPr>
            <w:tcW w:w="2403" w:type="dxa"/>
            <w:tcBorders>
              <w:top w:val="nil"/>
              <w:left w:val="nil"/>
              <w:bottom w:val="single" w:sz="4" w:space="0" w:color="auto"/>
              <w:right w:val="single" w:sz="4" w:space="0" w:color="auto"/>
            </w:tcBorders>
            <w:shd w:val="clear" w:color="auto" w:fill="auto"/>
            <w:noWrap/>
            <w:vAlign w:val="bottom"/>
            <w:hideMark/>
          </w:tcPr>
          <w:p w14:paraId="163E3E8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konvulzije</w:t>
            </w:r>
          </w:p>
        </w:tc>
      </w:tr>
      <w:tr w:rsidR="007A5AF9" w:rsidRPr="00F337F4" w14:paraId="56C4420B" w14:textId="77777777" w:rsidTr="003D5905">
        <w:trPr>
          <w:trHeight w:val="3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002DA7C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Poremećaji uha i labirinta</w:t>
            </w:r>
          </w:p>
        </w:tc>
        <w:tc>
          <w:tcPr>
            <w:tcW w:w="1719" w:type="dxa"/>
            <w:tcBorders>
              <w:top w:val="nil"/>
              <w:left w:val="nil"/>
              <w:bottom w:val="single" w:sz="4" w:space="0" w:color="auto"/>
              <w:right w:val="single" w:sz="4" w:space="0" w:color="auto"/>
            </w:tcBorders>
            <w:shd w:val="clear" w:color="auto" w:fill="auto"/>
            <w:noWrap/>
            <w:vAlign w:val="bottom"/>
            <w:hideMark/>
          </w:tcPr>
          <w:p w14:paraId="72897BB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vAlign w:val="bottom"/>
            <w:hideMark/>
          </w:tcPr>
          <w:p w14:paraId="1F5CFFB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049" w:type="dxa"/>
            <w:tcBorders>
              <w:top w:val="nil"/>
              <w:left w:val="nil"/>
              <w:bottom w:val="single" w:sz="4" w:space="0" w:color="auto"/>
              <w:right w:val="single" w:sz="4" w:space="0" w:color="auto"/>
            </w:tcBorders>
            <w:shd w:val="clear" w:color="auto" w:fill="auto"/>
            <w:noWrap/>
            <w:vAlign w:val="bottom"/>
            <w:hideMark/>
          </w:tcPr>
          <w:p w14:paraId="4DC9FF1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403" w:type="dxa"/>
            <w:tcBorders>
              <w:top w:val="nil"/>
              <w:left w:val="nil"/>
              <w:bottom w:val="single" w:sz="4" w:space="0" w:color="auto"/>
              <w:right w:val="single" w:sz="4" w:space="0" w:color="auto"/>
            </w:tcBorders>
            <w:shd w:val="clear" w:color="auto" w:fill="auto"/>
            <w:noWrap/>
            <w:vAlign w:val="bottom"/>
            <w:hideMark/>
          </w:tcPr>
          <w:p w14:paraId="594C14B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vertigo</w:t>
            </w:r>
          </w:p>
        </w:tc>
      </w:tr>
      <w:tr w:rsidR="007A5AF9" w:rsidRPr="00F337F4" w14:paraId="1CA8A4FC" w14:textId="77777777" w:rsidTr="003D5905">
        <w:trPr>
          <w:trHeight w:val="6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4226805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Respiratorni, torakalni i medijastinalni poremećaji</w:t>
            </w:r>
          </w:p>
        </w:tc>
        <w:tc>
          <w:tcPr>
            <w:tcW w:w="1719" w:type="dxa"/>
            <w:tcBorders>
              <w:top w:val="nil"/>
              <w:left w:val="nil"/>
              <w:bottom w:val="single" w:sz="4" w:space="0" w:color="auto"/>
              <w:right w:val="single" w:sz="4" w:space="0" w:color="auto"/>
            </w:tcBorders>
            <w:shd w:val="clear" w:color="auto" w:fill="auto"/>
            <w:noWrap/>
            <w:vAlign w:val="bottom"/>
            <w:hideMark/>
          </w:tcPr>
          <w:p w14:paraId="5A16ED29"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noWrap/>
            <w:vAlign w:val="bottom"/>
            <w:hideMark/>
          </w:tcPr>
          <w:p w14:paraId="3C953063"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049" w:type="dxa"/>
            <w:tcBorders>
              <w:top w:val="nil"/>
              <w:left w:val="nil"/>
              <w:bottom w:val="single" w:sz="4" w:space="0" w:color="auto"/>
              <w:right w:val="single" w:sz="4" w:space="0" w:color="auto"/>
            </w:tcBorders>
            <w:shd w:val="clear" w:color="auto" w:fill="auto"/>
            <w:noWrap/>
            <w:vAlign w:val="bottom"/>
            <w:hideMark/>
          </w:tcPr>
          <w:p w14:paraId="426E0E6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bronhospazam</w:t>
            </w:r>
          </w:p>
        </w:tc>
        <w:tc>
          <w:tcPr>
            <w:tcW w:w="2403" w:type="dxa"/>
            <w:tcBorders>
              <w:top w:val="nil"/>
              <w:left w:val="nil"/>
              <w:bottom w:val="single" w:sz="4" w:space="0" w:color="auto"/>
              <w:right w:val="single" w:sz="4" w:space="0" w:color="auto"/>
            </w:tcBorders>
            <w:shd w:val="clear" w:color="auto" w:fill="auto"/>
            <w:noWrap/>
            <w:vAlign w:val="bottom"/>
            <w:hideMark/>
          </w:tcPr>
          <w:p w14:paraId="132C118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r>
      <w:tr w:rsidR="007A5AF9" w:rsidRPr="00F337F4" w14:paraId="0C9053E3" w14:textId="77777777" w:rsidTr="003D5905">
        <w:trPr>
          <w:trHeight w:val="9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0CCE1B9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Gastrointestinalni poremećaji</w:t>
            </w:r>
          </w:p>
        </w:tc>
        <w:tc>
          <w:tcPr>
            <w:tcW w:w="1719" w:type="dxa"/>
            <w:tcBorders>
              <w:top w:val="nil"/>
              <w:left w:val="nil"/>
              <w:bottom w:val="single" w:sz="4" w:space="0" w:color="auto"/>
              <w:right w:val="single" w:sz="4" w:space="0" w:color="auto"/>
            </w:tcBorders>
            <w:shd w:val="clear" w:color="auto" w:fill="auto"/>
            <w:vAlign w:val="bottom"/>
            <w:hideMark/>
          </w:tcPr>
          <w:p w14:paraId="5A04FA45"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dijareja</w:t>
            </w:r>
            <w:r w:rsidRPr="00F337F4">
              <w:rPr>
                <w:color w:val="000000"/>
                <w:szCs w:val="22"/>
                <w:vertAlign w:val="superscript"/>
                <w:lang w:val="sr-Latn-ME"/>
              </w:rPr>
              <w:t>b</w:t>
            </w:r>
            <w:r w:rsidRPr="00F337F4">
              <w:rPr>
                <w:color w:val="000000"/>
                <w:szCs w:val="22"/>
                <w:lang w:val="sr-Latn-ME"/>
              </w:rPr>
              <w:br/>
              <w:t>meke stolice</w:t>
            </w:r>
          </w:p>
        </w:tc>
        <w:tc>
          <w:tcPr>
            <w:tcW w:w="1756" w:type="dxa"/>
            <w:tcBorders>
              <w:top w:val="nil"/>
              <w:left w:val="nil"/>
              <w:bottom w:val="single" w:sz="4" w:space="0" w:color="auto"/>
              <w:right w:val="single" w:sz="4" w:space="0" w:color="auto"/>
            </w:tcBorders>
            <w:shd w:val="clear" w:color="auto" w:fill="auto"/>
            <w:vAlign w:val="bottom"/>
            <w:hideMark/>
          </w:tcPr>
          <w:p w14:paraId="0C020C6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mučnina</w:t>
            </w:r>
            <w:r w:rsidRPr="00F337F4">
              <w:rPr>
                <w:color w:val="000000"/>
                <w:szCs w:val="22"/>
                <w:lang w:val="sr-Latn-ME"/>
              </w:rPr>
              <w:br/>
              <w:t>povraćanje</w:t>
            </w:r>
          </w:p>
        </w:tc>
        <w:tc>
          <w:tcPr>
            <w:tcW w:w="2049" w:type="dxa"/>
            <w:tcBorders>
              <w:top w:val="nil"/>
              <w:left w:val="nil"/>
              <w:bottom w:val="nil"/>
              <w:right w:val="nil"/>
            </w:tcBorders>
            <w:shd w:val="clear" w:color="auto" w:fill="auto"/>
            <w:noWrap/>
            <w:vAlign w:val="bottom"/>
            <w:hideMark/>
          </w:tcPr>
          <w:p w14:paraId="45A35F87" w14:textId="77777777" w:rsidR="007A5AF9" w:rsidRPr="00F337F4" w:rsidRDefault="007A5AF9" w:rsidP="003D5905">
            <w:pPr>
              <w:tabs>
                <w:tab w:val="clear" w:pos="284"/>
              </w:tabs>
              <w:jc w:val="left"/>
              <w:rPr>
                <w:color w:val="000000"/>
                <w:szCs w:val="22"/>
                <w:lang w:val="sr-Latn-ME"/>
              </w:rPr>
            </w:pPr>
          </w:p>
        </w:tc>
        <w:tc>
          <w:tcPr>
            <w:tcW w:w="2403" w:type="dxa"/>
            <w:tcBorders>
              <w:top w:val="nil"/>
              <w:left w:val="single" w:sz="4" w:space="0" w:color="auto"/>
              <w:bottom w:val="single" w:sz="4" w:space="0" w:color="auto"/>
              <w:right w:val="single" w:sz="4" w:space="0" w:color="auto"/>
            </w:tcBorders>
            <w:shd w:val="clear" w:color="auto" w:fill="auto"/>
            <w:vAlign w:val="bottom"/>
            <w:hideMark/>
          </w:tcPr>
          <w:p w14:paraId="2794A525"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pankreatitis</w:t>
            </w:r>
            <w:r w:rsidRPr="00F337F4">
              <w:rPr>
                <w:color w:val="000000"/>
                <w:szCs w:val="22"/>
                <w:vertAlign w:val="superscript"/>
                <w:lang w:val="sr-Latn-ME"/>
              </w:rPr>
              <w:t>b</w:t>
            </w:r>
            <w:r w:rsidRPr="00F337F4">
              <w:rPr>
                <w:color w:val="000000"/>
                <w:szCs w:val="22"/>
                <w:lang w:val="sr-Latn-ME"/>
              </w:rPr>
              <w:br/>
              <w:t>stomatitis</w:t>
            </w:r>
            <w:r w:rsidRPr="00F337F4">
              <w:rPr>
                <w:color w:val="000000"/>
                <w:szCs w:val="22"/>
                <w:lang w:val="sr-Latn-ME"/>
              </w:rPr>
              <w:br/>
              <w:t>glositis</w:t>
            </w:r>
          </w:p>
        </w:tc>
      </w:tr>
      <w:tr w:rsidR="007A5AF9" w:rsidRPr="00F337F4" w14:paraId="4C555E74" w14:textId="77777777" w:rsidTr="003D5905">
        <w:trPr>
          <w:trHeight w:val="6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17EEDDF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Hepatobilijarni poremećaji</w:t>
            </w:r>
          </w:p>
        </w:tc>
        <w:tc>
          <w:tcPr>
            <w:tcW w:w="1719" w:type="dxa"/>
            <w:tcBorders>
              <w:top w:val="nil"/>
              <w:left w:val="nil"/>
              <w:bottom w:val="single" w:sz="4" w:space="0" w:color="auto"/>
              <w:right w:val="single" w:sz="4" w:space="0" w:color="auto"/>
            </w:tcBorders>
            <w:shd w:val="clear" w:color="auto" w:fill="auto"/>
            <w:vAlign w:val="bottom"/>
            <w:hideMark/>
          </w:tcPr>
          <w:p w14:paraId="41C636E7" w14:textId="77777777" w:rsidR="007A5AF9" w:rsidRPr="00F337F4" w:rsidRDefault="007A5AF9" w:rsidP="003D5905">
            <w:pPr>
              <w:pStyle w:val="NoSpacing"/>
              <w:rPr>
                <w:szCs w:val="22"/>
                <w:lang w:val="sr-Latn-ME"/>
              </w:rPr>
            </w:pPr>
            <w:r w:rsidRPr="00D63E74">
              <w:rPr>
                <w:sz w:val="22"/>
                <w:szCs w:val="22"/>
                <w:lang w:val="sr-Latn-ME"/>
              </w:rPr>
              <w:t>povišen nivo enzima jetre</w:t>
            </w:r>
          </w:p>
        </w:tc>
        <w:tc>
          <w:tcPr>
            <w:tcW w:w="1756" w:type="dxa"/>
            <w:tcBorders>
              <w:top w:val="nil"/>
              <w:left w:val="nil"/>
              <w:bottom w:val="single" w:sz="4" w:space="0" w:color="auto"/>
              <w:right w:val="single" w:sz="4" w:space="0" w:color="auto"/>
            </w:tcBorders>
            <w:shd w:val="clear" w:color="auto" w:fill="auto"/>
            <w:noWrap/>
            <w:vAlign w:val="bottom"/>
            <w:hideMark/>
          </w:tcPr>
          <w:p w14:paraId="6C35248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4DC6CBA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403" w:type="dxa"/>
            <w:tcBorders>
              <w:top w:val="nil"/>
              <w:left w:val="nil"/>
              <w:bottom w:val="single" w:sz="4" w:space="0" w:color="auto"/>
              <w:right w:val="single" w:sz="4" w:space="0" w:color="auto"/>
            </w:tcBorders>
            <w:shd w:val="clear" w:color="auto" w:fill="auto"/>
            <w:vAlign w:val="bottom"/>
            <w:hideMark/>
          </w:tcPr>
          <w:p w14:paraId="5E8058B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precipitacija kamenaca u žučnoj kesi</w:t>
            </w:r>
            <w:r w:rsidRPr="00F337F4">
              <w:rPr>
                <w:color w:val="000000"/>
                <w:szCs w:val="22"/>
                <w:vertAlign w:val="superscript"/>
                <w:lang w:val="sr-Latn-ME"/>
              </w:rPr>
              <w:t>b</w:t>
            </w:r>
            <w:r w:rsidRPr="00F337F4">
              <w:rPr>
                <w:color w:val="000000"/>
                <w:szCs w:val="22"/>
                <w:lang w:val="sr-Latn-ME"/>
              </w:rPr>
              <w:br/>
              <w:t>kernicterus</w:t>
            </w:r>
          </w:p>
          <w:p w14:paraId="7CD8D034" w14:textId="77777777" w:rsidR="007A5AF9" w:rsidRPr="00F337F4" w:rsidRDefault="007A5AF9" w:rsidP="003D5905">
            <w:pPr>
              <w:pStyle w:val="Default"/>
              <w:rPr>
                <w:sz w:val="22"/>
                <w:szCs w:val="22"/>
                <w:lang w:val="sr-Latn-ME"/>
              </w:rPr>
            </w:pPr>
            <w:r w:rsidRPr="00F337F4">
              <w:rPr>
                <w:sz w:val="22"/>
                <w:szCs w:val="22"/>
                <w:lang w:val="sr-Latn-ME"/>
              </w:rPr>
              <w:t>hepatitis</w:t>
            </w:r>
            <w:r w:rsidRPr="00D63E74">
              <w:rPr>
                <w:sz w:val="22"/>
                <w:szCs w:val="22"/>
                <w:vertAlign w:val="superscript"/>
                <w:lang w:val="sr-Latn-ME"/>
              </w:rPr>
              <w:t xml:space="preserve">c </w:t>
            </w:r>
          </w:p>
          <w:p w14:paraId="24B845AA" w14:textId="77777777" w:rsidR="007A5AF9" w:rsidRPr="00F337F4" w:rsidRDefault="007A5AF9" w:rsidP="003D5905">
            <w:pPr>
              <w:tabs>
                <w:tab w:val="clear" w:pos="284"/>
              </w:tabs>
              <w:jc w:val="left"/>
              <w:rPr>
                <w:color w:val="000000"/>
                <w:szCs w:val="22"/>
                <w:lang w:val="sr-Latn-ME"/>
              </w:rPr>
            </w:pPr>
            <w:r w:rsidRPr="00F337F4">
              <w:rPr>
                <w:szCs w:val="22"/>
                <w:lang w:val="sr-Latn-ME"/>
              </w:rPr>
              <w:t>holestatski hepatitis</w:t>
            </w:r>
            <w:r w:rsidRPr="00D63E74">
              <w:rPr>
                <w:szCs w:val="22"/>
                <w:vertAlign w:val="superscript"/>
                <w:lang w:val="sr-Latn-ME"/>
              </w:rPr>
              <w:t xml:space="preserve">b,c </w:t>
            </w:r>
          </w:p>
        </w:tc>
      </w:tr>
      <w:tr w:rsidR="007A5AF9" w:rsidRPr="00F337F4" w14:paraId="6B5942C9" w14:textId="77777777" w:rsidTr="003D5905">
        <w:trPr>
          <w:trHeight w:val="1615"/>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02155DD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Poremećaji kože i potkožnog tkiva</w:t>
            </w:r>
          </w:p>
        </w:tc>
        <w:tc>
          <w:tcPr>
            <w:tcW w:w="1719" w:type="dxa"/>
            <w:tcBorders>
              <w:top w:val="nil"/>
              <w:left w:val="nil"/>
              <w:bottom w:val="single" w:sz="4" w:space="0" w:color="auto"/>
              <w:right w:val="single" w:sz="4" w:space="0" w:color="auto"/>
            </w:tcBorders>
            <w:shd w:val="clear" w:color="auto" w:fill="auto"/>
            <w:noWrap/>
            <w:vAlign w:val="bottom"/>
            <w:hideMark/>
          </w:tcPr>
          <w:p w14:paraId="08BE92F9"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osip</w:t>
            </w:r>
          </w:p>
        </w:tc>
        <w:tc>
          <w:tcPr>
            <w:tcW w:w="1756" w:type="dxa"/>
            <w:tcBorders>
              <w:top w:val="nil"/>
              <w:left w:val="nil"/>
              <w:bottom w:val="single" w:sz="4" w:space="0" w:color="auto"/>
              <w:right w:val="single" w:sz="4" w:space="0" w:color="auto"/>
            </w:tcBorders>
            <w:shd w:val="clear" w:color="auto" w:fill="auto"/>
            <w:noWrap/>
            <w:vAlign w:val="bottom"/>
            <w:hideMark/>
          </w:tcPr>
          <w:p w14:paraId="121909F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svrab</w:t>
            </w:r>
          </w:p>
        </w:tc>
        <w:tc>
          <w:tcPr>
            <w:tcW w:w="2049" w:type="dxa"/>
            <w:tcBorders>
              <w:top w:val="nil"/>
              <w:left w:val="nil"/>
              <w:bottom w:val="single" w:sz="4" w:space="0" w:color="auto"/>
              <w:right w:val="single" w:sz="4" w:space="0" w:color="auto"/>
            </w:tcBorders>
            <w:shd w:val="clear" w:color="auto" w:fill="auto"/>
            <w:noWrap/>
            <w:vAlign w:val="bottom"/>
            <w:hideMark/>
          </w:tcPr>
          <w:p w14:paraId="65A01958"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urtikarija</w:t>
            </w:r>
          </w:p>
        </w:tc>
        <w:tc>
          <w:tcPr>
            <w:tcW w:w="2403" w:type="dxa"/>
            <w:tcBorders>
              <w:top w:val="nil"/>
              <w:left w:val="nil"/>
              <w:bottom w:val="single" w:sz="4" w:space="0" w:color="auto"/>
              <w:right w:val="single" w:sz="4" w:space="0" w:color="auto"/>
            </w:tcBorders>
            <w:shd w:val="clear" w:color="auto" w:fill="auto"/>
            <w:vAlign w:val="bottom"/>
            <w:hideMark/>
          </w:tcPr>
          <w:p w14:paraId="49F920A5" w14:textId="77777777" w:rsidR="007A5AF9" w:rsidRPr="00F337F4" w:rsidRDefault="007A5AF9" w:rsidP="003D5905">
            <w:pPr>
              <w:tabs>
                <w:tab w:val="clear" w:pos="284"/>
              </w:tabs>
              <w:jc w:val="left"/>
              <w:rPr>
                <w:color w:val="000000"/>
                <w:szCs w:val="22"/>
                <w:lang w:val="sr-Latn-ME"/>
              </w:rPr>
            </w:pPr>
            <w:r w:rsidRPr="00F337F4">
              <w:rPr>
                <w:i/>
                <w:iCs/>
                <w:color w:val="000000"/>
                <w:szCs w:val="22"/>
                <w:lang w:val="sr-Latn-ME"/>
              </w:rPr>
              <w:t xml:space="preserve">Stevens Johnson </w:t>
            </w:r>
            <w:r w:rsidRPr="00F337F4">
              <w:rPr>
                <w:color w:val="000000"/>
                <w:szCs w:val="22"/>
                <w:lang w:val="sr-Latn-ME"/>
              </w:rPr>
              <w:t>sindrom</w:t>
            </w:r>
            <w:r w:rsidRPr="00F337F4">
              <w:rPr>
                <w:color w:val="000000"/>
                <w:szCs w:val="22"/>
                <w:vertAlign w:val="superscript"/>
                <w:lang w:val="sr-Latn-ME"/>
              </w:rPr>
              <w:t>b</w:t>
            </w:r>
            <w:r w:rsidRPr="00F337F4">
              <w:rPr>
                <w:color w:val="000000"/>
                <w:szCs w:val="22"/>
                <w:lang w:val="sr-Latn-ME"/>
              </w:rPr>
              <w:br/>
              <w:t>toksična epidermalna nekroliza</w:t>
            </w:r>
            <w:r w:rsidRPr="00F337F4">
              <w:rPr>
                <w:color w:val="000000"/>
                <w:szCs w:val="22"/>
                <w:vertAlign w:val="superscript"/>
                <w:lang w:val="sr-Latn-ME"/>
              </w:rPr>
              <w:t>b</w:t>
            </w:r>
            <w:r w:rsidRPr="00F337F4">
              <w:rPr>
                <w:color w:val="000000"/>
                <w:szCs w:val="22"/>
                <w:lang w:val="sr-Latn-ME"/>
              </w:rPr>
              <w:br/>
              <w:t>multiformni eritem</w:t>
            </w:r>
            <w:r w:rsidRPr="00F337F4">
              <w:rPr>
                <w:color w:val="000000"/>
                <w:szCs w:val="22"/>
                <w:lang w:val="sr-Latn-ME"/>
              </w:rPr>
              <w:br/>
              <w:t>akutna generalizovana engzantematozna pustuloza</w:t>
            </w:r>
          </w:p>
          <w:p w14:paraId="756629A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reakcija na lijek sa eozinofilijom i sistemskim simptomima (DRESS</w:t>
            </w:r>
            <w:r w:rsidRPr="00F337F4">
              <w:rPr>
                <w:szCs w:val="22"/>
                <w:shd w:val="clear" w:color="auto" w:fill="FFFFFF"/>
                <w:lang w:val="sr-Latn-ME"/>
              </w:rPr>
              <w:t xml:space="preserve"> )</w:t>
            </w:r>
            <w:r w:rsidRPr="00D63E74">
              <w:rPr>
                <w:sz w:val="14"/>
                <w:szCs w:val="14"/>
                <w:shd w:val="clear" w:color="auto" w:fill="FFFFFF"/>
                <w:vertAlign w:val="superscript"/>
                <w:lang w:val="sr-Latn-ME"/>
              </w:rPr>
              <w:t>b</w:t>
            </w:r>
          </w:p>
        </w:tc>
      </w:tr>
      <w:tr w:rsidR="007A5AF9" w:rsidRPr="00F337F4" w14:paraId="2B100E78" w14:textId="77777777" w:rsidTr="003D5905">
        <w:trPr>
          <w:trHeight w:val="9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5A6405B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Poremećaji bubrega i urinarnog sistema</w:t>
            </w:r>
          </w:p>
        </w:tc>
        <w:tc>
          <w:tcPr>
            <w:tcW w:w="1719" w:type="dxa"/>
            <w:tcBorders>
              <w:top w:val="nil"/>
              <w:left w:val="nil"/>
              <w:bottom w:val="single" w:sz="4" w:space="0" w:color="auto"/>
              <w:right w:val="single" w:sz="4" w:space="0" w:color="auto"/>
            </w:tcBorders>
            <w:shd w:val="clear" w:color="auto" w:fill="auto"/>
            <w:noWrap/>
            <w:vAlign w:val="bottom"/>
            <w:hideMark/>
          </w:tcPr>
          <w:p w14:paraId="4A3D131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noWrap/>
            <w:vAlign w:val="bottom"/>
            <w:hideMark/>
          </w:tcPr>
          <w:p w14:paraId="2411C3E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049" w:type="dxa"/>
            <w:tcBorders>
              <w:top w:val="nil"/>
              <w:left w:val="nil"/>
              <w:bottom w:val="single" w:sz="4" w:space="0" w:color="auto"/>
              <w:right w:val="single" w:sz="4" w:space="0" w:color="auto"/>
            </w:tcBorders>
            <w:shd w:val="clear" w:color="auto" w:fill="auto"/>
            <w:vAlign w:val="bottom"/>
            <w:hideMark/>
          </w:tcPr>
          <w:p w14:paraId="589636E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hematurija</w:t>
            </w:r>
            <w:r w:rsidRPr="00F337F4">
              <w:rPr>
                <w:color w:val="000000"/>
                <w:szCs w:val="22"/>
                <w:lang w:val="sr-Latn-ME"/>
              </w:rPr>
              <w:br/>
              <w:t>glukozurija</w:t>
            </w:r>
          </w:p>
        </w:tc>
        <w:tc>
          <w:tcPr>
            <w:tcW w:w="2403" w:type="dxa"/>
            <w:tcBorders>
              <w:top w:val="nil"/>
              <w:left w:val="nil"/>
              <w:bottom w:val="single" w:sz="4" w:space="0" w:color="auto"/>
              <w:right w:val="single" w:sz="4" w:space="0" w:color="auto"/>
            </w:tcBorders>
            <w:shd w:val="clear" w:color="auto" w:fill="auto"/>
            <w:vAlign w:val="bottom"/>
            <w:hideMark/>
          </w:tcPr>
          <w:p w14:paraId="15C4698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oligurija</w:t>
            </w:r>
            <w:r w:rsidRPr="00F337F4">
              <w:rPr>
                <w:color w:val="000000"/>
                <w:szCs w:val="22"/>
                <w:lang w:val="sr-Latn-ME"/>
              </w:rPr>
              <w:br/>
              <w:t>precipitacija u bubrezima reverzibilnog karaktera</w:t>
            </w:r>
          </w:p>
        </w:tc>
      </w:tr>
      <w:tr w:rsidR="007A5AF9" w:rsidRPr="00F337F4" w14:paraId="520EC5FA" w14:textId="77777777" w:rsidTr="003D5905">
        <w:trPr>
          <w:trHeight w:val="1200"/>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2207E99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Opšti poremećaji i reakcije na mestu primjene</w:t>
            </w:r>
          </w:p>
        </w:tc>
        <w:tc>
          <w:tcPr>
            <w:tcW w:w="1719" w:type="dxa"/>
            <w:tcBorders>
              <w:top w:val="nil"/>
              <w:left w:val="nil"/>
              <w:bottom w:val="single" w:sz="4" w:space="0" w:color="auto"/>
              <w:right w:val="single" w:sz="4" w:space="0" w:color="auto"/>
            </w:tcBorders>
            <w:shd w:val="clear" w:color="auto" w:fill="auto"/>
            <w:noWrap/>
            <w:vAlign w:val="bottom"/>
            <w:hideMark/>
          </w:tcPr>
          <w:p w14:paraId="2497F63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vAlign w:val="bottom"/>
            <w:hideMark/>
          </w:tcPr>
          <w:p w14:paraId="74CE02C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flebitis</w:t>
            </w:r>
            <w:r w:rsidRPr="00F337F4">
              <w:rPr>
                <w:color w:val="000000"/>
                <w:szCs w:val="22"/>
                <w:lang w:val="sr-Latn-ME"/>
              </w:rPr>
              <w:br/>
              <w:t>bol na mestu primjene injekcije</w:t>
            </w:r>
            <w:r w:rsidRPr="00F337F4">
              <w:rPr>
                <w:color w:val="000000"/>
                <w:szCs w:val="22"/>
                <w:lang w:val="sr-Latn-ME"/>
              </w:rPr>
              <w:br/>
              <w:t>pireksija</w:t>
            </w:r>
          </w:p>
        </w:tc>
        <w:tc>
          <w:tcPr>
            <w:tcW w:w="2049" w:type="dxa"/>
            <w:tcBorders>
              <w:top w:val="nil"/>
              <w:left w:val="nil"/>
              <w:bottom w:val="nil"/>
              <w:right w:val="nil"/>
            </w:tcBorders>
            <w:shd w:val="clear" w:color="auto" w:fill="auto"/>
            <w:vAlign w:val="bottom"/>
            <w:hideMark/>
          </w:tcPr>
          <w:p w14:paraId="1E4CB7B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edem</w:t>
            </w:r>
            <w:r w:rsidRPr="00F337F4">
              <w:rPr>
                <w:color w:val="000000"/>
                <w:szCs w:val="22"/>
                <w:lang w:val="sr-Latn-ME"/>
              </w:rPr>
              <w:br/>
              <w:t>drhtavica</w:t>
            </w:r>
          </w:p>
        </w:tc>
        <w:tc>
          <w:tcPr>
            <w:tcW w:w="2403" w:type="dxa"/>
            <w:tcBorders>
              <w:top w:val="nil"/>
              <w:left w:val="single" w:sz="4" w:space="0" w:color="auto"/>
              <w:bottom w:val="single" w:sz="4" w:space="0" w:color="auto"/>
              <w:right w:val="single" w:sz="4" w:space="0" w:color="auto"/>
            </w:tcBorders>
            <w:shd w:val="clear" w:color="auto" w:fill="auto"/>
            <w:noWrap/>
            <w:vAlign w:val="bottom"/>
            <w:hideMark/>
          </w:tcPr>
          <w:p w14:paraId="0030252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r>
      <w:tr w:rsidR="007A5AF9" w:rsidRPr="00F337F4" w14:paraId="2853D824" w14:textId="77777777" w:rsidTr="003D5905">
        <w:trPr>
          <w:trHeight w:val="1663"/>
        </w:trPr>
        <w:tc>
          <w:tcPr>
            <w:tcW w:w="1973" w:type="dxa"/>
            <w:tcBorders>
              <w:top w:val="nil"/>
              <w:left w:val="single" w:sz="4" w:space="0" w:color="auto"/>
              <w:bottom w:val="single" w:sz="4" w:space="0" w:color="auto"/>
              <w:right w:val="single" w:sz="4" w:space="0" w:color="auto"/>
            </w:tcBorders>
            <w:shd w:val="clear" w:color="auto" w:fill="auto"/>
            <w:vAlign w:val="bottom"/>
            <w:hideMark/>
          </w:tcPr>
          <w:p w14:paraId="1BCDDC1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Ispitivanja</w:t>
            </w:r>
          </w:p>
        </w:tc>
        <w:tc>
          <w:tcPr>
            <w:tcW w:w="1719" w:type="dxa"/>
            <w:tcBorders>
              <w:top w:val="nil"/>
              <w:left w:val="nil"/>
              <w:bottom w:val="single" w:sz="4" w:space="0" w:color="auto"/>
              <w:right w:val="single" w:sz="4" w:space="0" w:color="auto"/>
            </w:tcBorders>
            <w:shd w:val="clear" w:color="auto" w:fill="auto"/>
            <w:noWrap/>
            <w:vAlign w:val="bottom"/>
            <w:hideMark/>
          </w:tcPr>
          <w:p w14:paraId="43823A0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1756" w:type="dxa"/>
            <w:tcBorders>
              <w:top w:val="nil"/>
              <w:left w:val="nil"/>
              <w:bottom w:val="single" w:sz="4" w:space="0" w:color="auto"/>
              <w:right w:val="single" w:sz="4" w:space="0" w:color="auto"/>
            </w:tcBorders>
            <w:shd w:val="clear" w:color="auto" w:fill="auto"/>
            <w:vAlign w:val="bottom"/>
            <w:hideMark/>
          </w:tcPr>
          <w:p w14:paraId="75F8CAD3"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povišen nivo kreatinina u krvi</w:t>
            </w:r>
          </w:p>
          <w:p w14:paraId="6489E7E7" w14:textId="77777777" w:rsidR="007A5AF9" w:rsidRPr="00F337F4" w:rsidRDefault="007A5AF9" w:rsidP="003D5905">
            <w:pPr>
              <w:tabs>
                <w:tab w:val="clear" w:pos="284"/>
              </w:tabs>
              <w:jc w:val="left"/>
              <w:rPr>
                <w:color w:val="000000"/>
                <w:szCs w:val="22"/>
                <w:lang w:val="sr-Latn-ME"/>
              </w:rPr>
            </w:pP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19926E73"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w:t>
            </w:r>
          </w:p>
        </w:tc>
        <w:tc>
          <w:tcPr>
            <w:tcW w:w="2403" w:type="dxa"/>
            <w:tcBorders>
              <w:top w:val="nil"/>
              <w:left w:val="nil"/>
              <w:bottom w:val="single" w:sz="4" w:space="0" w:color="auto"/>
              <w:right w:val="single" w:sz="4" w:space="0" w:color="auto"/>
            </w:tcBorders>
            <w:shd w:val="clear" w:color="auto" w:fill="auto"/>
            <w:vAlign w:val="bottom"/>
            <w:hideMark/>
          </w:tcPr>
          <w:p w14:paraId="21A3E9FA" w14:textId="77777777" w:rsidR="007A5AF9" w:rsidRPr="00F337F4" w:rsidRDefault="007A5AF9" w:rsidP="003D5905">
            <w:pPr>
              <w:tabs>
                <w:tab w:val="clear" w:pos="284"/>
              </w:tabs>
              <w:jc w:val="left"/>
              <w:rPr>
                <w:b/>
                <w:color w:val="000000"/>
                <w:szCs w:val="22"/>
                <w:lang w:val="sr-Latn-ME"/>
              </w:rPr>
            </w:pPr>
            <w:r w:rsidRPr="00F337F4">
              <w:rPr>
                <w:color w:val="000000"/>
                <w:szCs w:val="22"/>
                <w:lang w:val="sr-Latn-ME"/>
              </w:rPr>
              <w:t xml:space="preserve">lažno pozitivni rezultati </w:t>
            </w:r>
            <w:r w:rsidRPr="00F337F4">
              <w:rPr>
                <w:i/>
                <w:iCs/>
                <w:color w:val="000000"/>
                <w:szCs w:val="22"/>
                <w:lang w:val="sr-Latn-ME"/>
              </w:rPr>
              <w:t>Coombs</w:t>
            </w:r>
            <w:r w:rsidRPr="00F337F4">
              <w:rPr>
                <w:color w:val="000000"/>
                <w:szCs w:val="22"/>
                <w:lang w:val="sr-Latn-ME"/>
              </w:rPr>
              <w:t xml:space="preserve"> testa</w:t>
            </w:r>
            <w:r w:rsidRPr="00F337F4">
              <w:rPr>
                <w:color w:val="000000"/>
                <w:szCs w:val="22"/>
                <w:vertAlign w:val="superscript"/>
                <w:lang w:val="sr-Latn-ME"/>
              </w:rPr>
              <w:t>b</w:t>
            </w:r>
            <w:r w:rsidRPr="00F337F4">
              <w:rPr>
                <w:color w:val="000000"/>
                <w:szCs w:val="22"/>
                <w:lang w:val="sr-Latn-ME"/>
              </w:rPr>
              <w:br/>
              <w:t>lažno pozitivni rezultati za galaktozemiju</w:t>
            </w:r>
            <w:r w:rsidRPr="00F337F4">
              <w:rPr>
                <w:color w:val="000000"/>
                <w:szCs w:val="22"/>
                <w:vertAlign w:val="superscript"/>
                <w:lang w:val="sr-Latn-ME"/>
              </w:rPr>
              <w:t>b</w:t>
            </w:r>
            <w:r w:rsidRPr="00F337F4">
              <w:rPr>
                <w:color w:val="000000"/>
                <w:szCs w:val="22"/>
                <w:lang w:val="sr-Latn-ME"/>
              </w:rPr>
              <w:br/>
              <w:t>lažno pozitivni rezultati neenzimskih metoda za određivanje glukoze</w:t>
            </w:r>
            <w:r w:rsidRPr="00F337F4">
              <w:rPr>
                <w:color w:val="000000"/>
                <w:szCs w:val="22"/>
                <w:vertAlign w:val="superscript"/>
                <w:lang w:val="sr-Latn-ME"/>
              </w:rPr>
              <w:t>b</w:t>
            </w:r>
          </w:p>
        </w:tc>
      </w:tr>
    </w:tbl>
    <w:p w14:paraId="33979906" w14:textId="77777777" w:rsidR="007A5AF9" w:rsidRPr="00F337F4" w:rsidRDefault="007A5AF9" w:rsidP="007A5AF9">
      <w:pPr>
        <w:tabs>
          <w:tab w:val="clear" w:pos="284"/>
        </w:tabs>
        <w:rPr>
          <w:szCs w:val="22"/>
          <w:lang w:val="sr-Latn-ME"/>
        </w:rPr>
      </w:pPr>
      <w:r w:rsidRPr="00F337F4">
        <w:rPr>
          <w:szCs w:val="22"/>
          <w:vertAlign w:val="superscript"/>
          <w:lang w:val="sr-Latn-ME"/>
        </w:rPr>
        <w:t>a</w:t>
      </w:r>
      <w:r w:rsidRPr="00F337F4">
        <w:rPr>
          <w:szCs w:val="22"/>
          <w:lang w:val="sr-Latn-ME"/>
        </w:rPr>
        <w:t xml:space="preserve"> Zasnovano na postmarketinškim izvještajima. Imajući u vidu da su ove reakcije dobrovoljno prijavljene u populaciji nepoznatog obima, nije moguće s pouzdanošću procijeniti njihovu učestalost, koja je stoga kategorizovana kao nepoznata.</w:t>
      </w:r>
    </w:p>
    <w:p w14:paraId="59D63AA5" w14:textId="77777777" w:rsidR="007A5AF9" w:rsidRPr="00F337F4" w:rsidRDefault="007A5AF9" w:rsidP="007A5AF9">
      <w:pPr>
        <w:tabs>
          <w:tab w:val="clear" w:pos="284"/>
        </w:tabs>
        <w:rPr>
          <w:szCs w:val="22"/>
          <w:lang w:val="sr-Latn-ME"/>
        </w:rPr>
      </w:pPr>
      <w:r w:rsidRPr="00F337F4">
        <w:rPr>
          <w:szCs w:val="22"/>
          <w:vertAlign w:val="superscript"/>
          <w:lang w:val="sr-Latn-ME"/>
        </w:rPr>
        <w:t>b</w:t>
      </w:r>
      <w:r w:rsidRPr="00F337F4">
        <w:rPr>
          <w:szCs w:val="22"/>
          <w:lang w:val="sr-Latn-ME"/>
        </w:rPr>
        <w:t xml:space="preserve"> Vidjeti dio 4.4</w:t>
      </w:r>
    </w:p>
    <w:p w14:paraId="0A94A004" w14:textId="77777777" w:rsidR="007A5AF9" w:rsidRPr="00F337F4" w:rsidRDefault="007A5AF9" w:rsidP="007A5AF9">
      <w:pPr>
        <w:tabs>
          <w:tab w:val="clear" w:pos="284"/>
        </w:tabs>
        <w:rPr>
          <w:szCs w:val="22"/>
          <w:lang w:val="sr-Latn-ME"/>
        </w:rPr>
      </w:pPr>
      <w:r w:rsidRPr="00D63E74">
        <w:rPr>
          <w:sz w:val="14"/>
          <w:szCs w:val="14"/>
          <w:vertAlign w:val="superscript"/>
          <w:lang w:val="sr-Latn-ME"/>
        </w:rPr>
        <w:t>c</w:t>
      </w:r>
      <w:r w:rsidRPr="00F337F4">
        <w:rPr>
          <w:sz w:val="14"/>
          <w:szCs w:val="14"/>
          <w:lang w:val="sr-Latn-ME"/>
        </w:rPr>
        <w:t xml:space="preserve"> </w:t>
      </w:r>
      <w:r w:rsidRPr="00F337F4">
        <w:rPr>
          <w:szCs w:val="22"/>
          <w:lang w:val="sr-Latn-ME"/>
        </w:rPr>
        <w:t>Obično reverzibilan nakon prekida primjene ceftriaksona</w:t>
      </w:r>
    </w:p>
    <w:p w14:paraId="02CB654A" w14:textId="77777777" w:rsidR="007A5AF9" w:rsidRPr="00F337F4" w:rsidRDefault="007A5AF9" w:rsidP="007A5AF9">
      <w:pPr>
        <w:tabs>
          <w:tab w:val="clear" w:pos="284"/>
        </w:tabs>
        <w:rPr>
          <w:sz w:val="20"/>
          <w:szCs w:val="20"/>
          <w:lang w:val="sr-Latn-ME"/>
        </w:rPr>
      </w:pPr>
    </w:p>
    <w:p w14:paraId="4FF98553" w14:textId="77777777" w:rsidR="007A5AF9" w:rsidRPr="00F337F4" w:rsidRDefault="007A5AF9" w:rsidP="007A5AF9">
      <w:pPr>
        <w:tabs>
          <w:tab w:val="clear" w:pos="284"/>
        </w:tabs>
        <w:rPr>
          <w:i/>
          <w:szCs w:val="22"/>
          <w:lang w:val="sr-Latn-ME"/>
        </w:rPr>
      </w:pPr>
      <w:r w:rsidRPr="00F337F4">
        <w:rPr>
          <w:i/>
          <w:szCs w:val="22"/>
          <w:lang w:val="sr-Latn-ME"/>
        </w:rPr>
        <w:t>Opis odabranih neželjenih dejstava</w:t>
      </w:r>
    </w:p>
    <w:p w14:paraId="327C98E6" w14:textId="77777777" w:rsidR="007A5AF9" w:rsidRPr="00F337F4" w:rsidRDefault="007A5AF9" w:rsidP="007A5AF9">
      <w:pPr>
        <w:tabs>
          <w:tab w:val="clear" w:pos="284"/>
        </w:tabs>
        <w:rPr>
          <w:szCs w:val="22"/>
          <w:lang w:val="sr-Latn-ME"/>
        </w:rPr>
      </w:pPr>
    </w:p>
    <w:p w14:paraId="71026E91" w14:textId="77777777" w:rsidR="007A5AF9" w:rsidRPr="00F337F4" w:rsidRDefault="007A5AF9" w:rsidP="007A5AF9">
      <w:pPr>
        <w:tabs>
          <w:tab w:val="clear" w:pos="284"/>
        </w:tabs>
        <w:rPr>
          <w:szCs w:val="22"/>
          <w:u w:val="single"/>
          <w:lang w:val="sr-Latn-ME"/>
        </w:rPr>
      </w:pPr>
      <w:r w:rsidRPr="00F337F4">
        <w:rPr>
          <w:szCs w:val="22"/>
          <w:u w:val="single"/>
          <w:lang w:val="sr-Latn-ME"/>
        </w:rPr>
        <w:t>Infekcije i infestacije</w:t>
      </w:r>
    </w:p>
    <w:p w14:paraId="0558A7AA" w14:textId="77777777" w:rsidR="007A5AF9" w:rsidRPr="00F337F4" w:rsidRDefault="007A5AF9" w:rsidP="007A5AF9">
      <w:pPr>
        <w:tabs>
          <w:tab w:val="clear" w:pos="284"/>
        </w:tabs>
        <w:rPr>
          <w:szCs w:val="22"/>
          <w:lang w:val="sr-Latn-ME"/>
        </w:rPr>
      </w:pPr>
      <w:r w:rsidRPr="00F337F4">
        <w:rPr>
          <w:szCs w:val="22"/>
          <w:lang w:val="sr-Latn-ME"/>
        </w:rPr>
        <w:t xml:space="preserve">Pojava dijareje nakon primjene ceftriaksona može biti povezana sa </w:t>
      </w:r>
      <w:r w:rsidRPr="00F337F4">
        <w:rPr>
          <w:i/>
          <w:szCs w:val="22"/>
          <w:lang w:val="sr-Latn-ME"/>
        </w:rPr>
        <w:t>Clostridium difficile</w:t>
      </w:r>
      <w:r w:rsidRPr="00F337F4">
        <w:rPr>
          <w:szCs w:val="22"/>
          <w:lang w:val="sr-Latn-ME"/>
        </w:rPr>
        <w:t>. Potrebno je sprovesti odgovarajuću nadoknadu tečnosti i elektrolita (vidjeti dio 4.4).</w:t>
      </w:r>
    </w:p>
    <w:p w14:paraId="3524E951" w14:textId="77777777" w:rsidR="007A5AF9" w:rsidRPr="00F337F4" w:rsidRDefault="007A5AF9" w:rsidP="007A5AF9">
      <w:pPr>
        <w:tabs>
          <w:tab w:val="clear" w:pos="284"/>
        </w:tabs>
        <w:rPr>
          <w:szCs w:val="22"/>
          <w:lang w:val="sr-Latn-ME"/>
        </w:rPr>
      </w:pPr>
    </w:p>
    <w:p w14:paraId="6417A9FB" w14:textId="77777777" w:rsidR="007A5AF9" w:rsidRPr="00F337F4" w:rsidRDefault="007A5AF9" w:rsidP="007A5AF9">
      <w:pPr>
        <w:tabs>
          <w:tab w:val="clear" w:pos="284"/>
        </w:tabs>
        <w:rPr>
          <w:szCs w:val="22"/>
          <w:u w:val="single"/>
          <w:lang w:val="sr-Latn-ME"/>
        </w:rPr>
      </w:pPr>
      <w:r w:rsidRPr="00F337F4">
        <w:rPr>
          <w:szCs w:val="22"/>
          <w:u w:val="single"/>
          <w:lang w:val="sr-Latn-ME"/>
        </w:rPr>
        <w:lastRenderedPageBreak/>
        <w:t>Precipitacija ceftriakson-kalcijuma</w:t>
      </w:r>
    </w:p>
    <w:p w14:paraId="7AE0EF0D" w14:textId="77777777" w:rsidR="007A5AF9" w:rsidRPr="00F337F4" w:rsidRDefault="007A5AF9" w:rsidP="007A5AF9">
      <w:pPr>
        <w:tabs>
          <w:tab w:val="clear" w:pos="284"/>
        </w:tabs>
        <w:rPr>
          <w:szCs w:val="22"/>
          <w:lang w:val="sr-Latn-ME"/>
        </w:rPr>
      </w:pPr>
      <w:r w:rsidRPr="00F337F4">
        <w:rPr>
          <w:szCs w:val="22"/>
          <w:lang w:val="sr-Latn-ME"/>
        </w:rPr>
        <w:t>Rijetko su prijavljivane teške i u nekim slučajevima fatalne neželjene reakcije kod preterminske i terminske novorođenčadi (uzrasta ispod 28 dana) koja su bila podvrgnuta intravenskoj terapiji ceftriaksonom i kalcijumom. Precipitati soli ceftriakson-kalcijuma primijećeni su nakon smrti u plućima i bubrezima. Visok rizik od precipitacije kod novorođenčadi je posledica njihovog malog volumena krvi i dužeg poluvremena eliminacije ceftriaksona u poređenju sa odraslim osobama (vidjeti djelove 4.3, 4.4 i 5.2).</w:t>
      </w:r>
    </w:p>
    <w:p w14:paraId="223FC301" w14:textId="77777777" w:rsidR="007A5AF9" w:rsidRPr="00F337F4" w:rsidRDefault="007A5AF9" w:rsidP="007A5AF9">
      <w:pPr>
        <w:tabs>
          <w:tab w:val="clear" w:pos="284"/>
        </w:tabs>
        <w:rPr>
          <w:szCs w:val="22"/>
          <w:lang w:val="sr-Latn-ME"/>
        </w:rPr>
      </w:pPr>
    </w:p>
    <w:p w14:paraId="0328CBD1" w14:textId="77777777" w:rsidR="007A5AF9" w:rsidRPr="00F337F4" w:rsidRDefault="007A5AF9" w:rsidP="007A5AF9">
      <w:pPr>
        <w:tabs>
          <w:tab w:val="clear" w:pos="284"/>
        </w:tabs>
        <w:rPr>
          <w:szCs w:val="22"/>
          <w:lang w:val="sr-Latn-ME"/>
        </w:rPr>
      </w:pPr>
      <w:r w:rsidRPr="00F337F4">
        <w:rPr>
          <w:szCs w:val="22"/>
          <w:lang w:val="sr-Latn-ME"/>
        </w:rPr>
        <w:t>Slučajevi precipitacije ceftriaksona u urinarnom traktu prijavljeni su uglavnom kod djece na terapiji visokim dozama (npr. ≥ 80 mg/kg/dan ili kada ukupna doza prelazi 10 g) i kod koje su postojali drugi faktori rizika (npr. dehidratacija, nepokretnost pacijenta). Ovaj događaj može biti asimptomatski ili praćen simptomima, i može voditi obstrukciji uretera i postrenalnoj akutnoj renalnoj insuficijenciji, ali je obično reverzibilan nakon obustavljanja terapije ceftriaksonom (vidjeti dio 4.4).</w:t>
      </w:r>
    </w:p>
    <w:p w14:paraId="4F1FCB38" w14:textId="77777777" w:rsidR="007A5AF9" w:rsidRPr="00F337F4" w:rsidRDefault="007A5AF9" w:rsidP="007A5AF9">
      <w:pPr>
        <w:tabs>
          <w:tab w:val="clear" w:pos="284"/>
        </w:tabs>
        <w:rPr>
          <w:szCs w:val="22"/>
          <w:lang w:val="sr-Latn-ME"/>
        </w:rPr>
      </w:pPr>
    </w:p>
    <w:p w14:paraId="11C40954" w14:textId="77777777" w:rsidR="007A5AF9" w:rsidRPr="00F337F4" w:rsidRDefault="007A5AF9" w:rsidP="007A5AF9">
      <w:pPr>
        <w:tabs>
          <w:tab w:val="clear" w:pos="284"/>
        </w:tabs>
        <w:rPr>
          <w:szCs w:val="22"/>
          <w:lang w:val="sr-Latn-ME"/>
        </w:rPr>
      </w:pPr>
      <w:r w:rsidRPr="00F337F4">
        <w:rPr>
          <w:szCs w:val="22"/>
          <w:lang w:val="sr-Latn-ME"/>
        </w:rPr>
        <w:t xml:space="preserve">Precipitacija ceftriakson-kalcijuma u žučnoj kesi primijećena je primarno kod pacijenata na terapiji dozama višim od uobičajenih preporučenih doza. Prospektivne studije kod djece pokazale su različitu incidencu precipitacije pri intravenskoj aplikaciji, u nekim studijama i preko 30%. Čini se da je incidenca niža pri primjeni spore infuzije (20-30 minuta). Ova pojava je obično asimptomatska, ali je u rijetkim slučajevima precipitacija praćena pojavom kliničkih simptoma kao što su bol, mučnina i povraćanje. Kod ovakvih slučajeva preporučuje se simptomatska terapija. Precipitacija je obično reverzibilna nakon obustavljanja primjene ceftriaksona (vidjeti dio 4.4). </w:t>
      </w:r>
    </w:p>
    <w:p w14:paraId="28A687CD" w14:textId="77777777" w:rsidR="007A5AF9" w:rsidRPr="00F337F4" w:rsidRDefault="007A5AF9" w:rsidP="007A5AF9">
      <w:pPr>
        <w:tabs>
          <w:tab w:val="clear" w:pos="284"/>
        </w:tabs>
        <w:rPr>
          <w:sz w:val="20"/>
          <w:szCs w:val="20"/>
          <w:lang w:val="sr-Latn-ME"/>
        </w:rPr>
      </w:pPr>
    </w:p>
    <w:p w14:paraId="17B4845D" w14:textId="77777777" w:rsidR="007A5AF9" w:rsidRPr="00F337F4" w:rsidRDefault="007A5AF9" w:rsidP="007A5AF9">
      <w:pPr>
        <w:rPr>
          <w:noProof/>
          <w:szCs w:val="22"/>
          <w:u w:val="single"/>
          <w:lang w:val="sr-Latn-ME"/>
        </w:rPr>
      </w:pPr>
      <w:r w:rsidRPr="00F337F4">
        <w:rPr>
          <w:noProof/>
          <w:szCs w:val="22"/>
          <w:u w:val="single"/>
          <w:lang w:val="sr-Latn-ME"/>
        </w:rPr>
        <w:t>Prijavljivanje sumnni na neželjena dejstva</w:t>
      </w:r>
    </w:p>
    <w:p w14:paraId="0346A2CE" w14:textId="77777777" w:rsidR="007A5AF9" w:rsidRPr="00F337F4" w:rsidRDefault="007A5AF9" w:rsidP="007A5AF9">
      <w:pPr>
        <w:rPr>
          <w:noProof/>
          <w:szCs w:val="22"/>
          <w:u w:val="single"/>
          <w:lang w:val="sr-Latn-ME"/>
        </w:rPr>
      </w:pPr>
    </w:p>
    <w:p w14:paraId="47E06318" w14:textId="77777777" w:rsidR="007A5AF9" w:rsidRPr="00F337F4" w:rsidRDefault="007A5AF9" w:rsidP="007A5AF9">
      <w:pPr>
        <w:rPr>
          <w:rFonts w:eastAsia="Calibri"/>
          <w:szCs w:val="22"/>
          <w:u w:val="single"/>
          <w:lang w:val="sr-Latn-ME"/>
        </w:rPr>
      </w:pPr>
      <w:r w:rsidRPr="00F337F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6467AA6"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 xml:space="preserve">Institut za ljekove i medicinska sredstva </w:t>
      </w:r>
    </w:p>
    <w:p w14:paraId="58DBDE23"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Odjeljenje za farmakovigilancu</w:t>
      </w:r>
    </w:p>
    <w:p w14:paraId="05E5C886"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Bulevar Ivana Crnojevića 64a, 81000 Podgorica</w:t>
      </w:r>
    </w:p>
    <w:p w14:paraId="5B4A6E0E" w14:textId="77777777" w:rsidR="007A5AF9" w:rsidRPr="00F337F4" w:rsidRDefault="007A5AF9" w:rsidP="007A5AF9">
      <w:pPr>
        <w:pStyle w:val="NoSpacing"/>
        <w:rPr>
          <w:rFonts w:eastAsia="Calibri"/>
          <w:sz w:val="22"/>
          <w:szCs w:val="22"/>
          <w:lang w:val="sr-Latn-ME"/>
        </w:rPr>
      </w:pPr>
    </w:p>
    <w:p w14:paraId="516D03D3"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tel: +382 (0) 20 310 280</w:t>
      </w:r>
    </w:p>
    <w:p w14:paraId="5E388F57"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fax: +382 (0) 20 310 581</w:t>
      </w:r>
    </w:p>
    <w:p w14:paraId="3ADFE6B4" w14:textId="77777777" w:rsidR="007A5AF9" w:rsidRPr="00F337F4" w:rsidRDefault="009B4D45" w:rsidP="007A5AF9">
      <w:pPr>
        <w:pStyle w:val="NoSpacing"/>
        <w:jc w:val="both"/>
        <w:rPr>
          <w:rFonts w:eastAsia="Calibri"/>
          <w:sz w:val="22"/>
          <w:szCs w:val="22"/>
          <w:lang w:val="sr-Latn-ME"/>
        </w:rPr>
      </w:pPr>
      <w:hyperlink r:id="rId7" w:history="1">
        <w:r w:rsidR="007A5AF9" w:rsidRPr="00F337F4">
          <w:rPr>
            <w:rStyle w:val="Hyperlink"/>
            <w:rFonts w:eastAsia="Calibri"/>
            <w:sz w:val="22"/>
            <w:szCs w:val="22"/>
            <w:lang w:val="sr-Latn-ME"/>
          </w:rPr>
          <w:t>www.cinmed.me</w:t>
        </w:r>
      </w:hyperlink>
    </w:p>
    <w:p w14:paraId="3AA26906" w14:textId="77777777" w:rsidR="007A5AF9" w:rsidRPr="00F337F4" w:rsidRDefault="009B4D45" w:rsidP="007A5AF9">
      <w:pPr>
        <w:pStyle w:val="NoSpacing"/>
        <w:jc w:val="both"/>
        <w:rPr>
          <w:rFonts w:eastAsia="Calibri"/>
          <w:color w:val="0000FF"/>
          <w:sz w:val="22"/>
          <w:szCs w:val="22"/>
          <w:u w:val="single"/>
          <w:lang w:val="sr-Latn-ME"/>
        </w:rPr>
      </w:pPr>
      <w:hyperlink r:id="rId8" w:history="1">
        <w:r w:rsidR="007A5AF9" w:rsidRPr="00F337F4">
          <w:rPr>
            <w:rStyle w:val="Hyperlink"/>
            <w:rFonts w:eastAsia="Calibri"/>
            <w:sz w:val="22"/>
            <w:szCs w:val="22"/>
            <w:lang w:val="sr-Latn-ME"/>
          </w:rPr>
          <w:t>nezeljenadejstva@cinmed.me</w:t>
        </w:r>
      </w:hyperlink>
    </w:p>
    <w:p w14:paraId="03A3D8A9" w14:textId="77777777" w:rsidR="007A5AF9" w:rsidRPr="00F337F4" w:rsidRDefault="007A5AF9" w:rsidP="007A5AF9">
      <w:pPr>
        <w:pStyle w:val="NoSpacing"/>
        <w:jc w:val="both"/>
        <w:rPr>
          <w:rFonts w:eastAsia="Calibri"/>
          <w:sz w:val="22"/>
          <w:szCs w:val="22"/>
          <w:lang w:val="sr-Latn-ME"/>
        </w:rPr>
      </w:pPr>
      <w:r w:rsidRPr="00F337F4">
        <w:rPr>
          <w:rFonts w:eastAsia="Calibri"/>
          <w:sz w:val="22"/>
          <w:szCs w:val="22"/>
          <w:lang w:val="sr-Latn-ME"/>
        </w:rPr>
        <w:t>putem IS zdravstvene zaštite</w:t>
      </w:r>
    </w:p>
    <w:p w14:paraId="3FBB77D4" w14:textId="77777777" w:rsidR="007A5AF9" w:rsidRPr="00F337F4" w:rsidRDefault="007A5AF9" w:rsidP="007A5AF9">
      <w:pPr>
        <w:rPr>
          <w:szCs w:val="22"/>
          <w:lang w:val="sr-Latn-ME"/>
        </w:rPr>
      </w:pPr>
      <w:r w:rsidRPr="00F337F4">
        <w:rPr>
          <w:szCs w:val="22"/>
          <w:lang w:val="sr-Latn-ME"/>
        </w:rPr>
        <w:t>QR kod za online prijavu sumnje na neželjeno dejstvo lijeka:</w:t>
      </w:r>
    </w:p>
    <w:p w14:paraId="15F0CED8" w14:textId="77777777" w:rsidR="007A5AF9" w:rsidRPr="00F337F4" w:rsidRDefault="007A5AF9" w:rsidP="007A5AF9">
      <w:pPr>
        <w:rPr>
          <w:szCs w:val="22"/>
          <w:lang w:val="sr-Latn-ME"/>
        </w:rPr>
      </w:pPr>
    </w:p>
    <w:p w14:paraId="523BEB3E" w14:textId="77777777" w:rsidR="007A5AF9" w:rsidRPr="00F337F4" w:rsidRDefault="007A5AF9" w:rsidP="007A5AF9">
      <w:pPr>
        <w:rPr>
          <w:szCs w:val="22"/>
          <w:lang w:val="sr-Latn-ME"/>
        </w:rPr>
      </w:pPr>
      <w:r w:rsidRPr="00F337F4">
        <w:rPr>
          <w:noProof/>
          <w:szCs w:val="22"/>
        </w:rPr>
        <w:drawing>
          <wp:inline distT="0" distB="0" distL="0" distR="0" wp14:anchorId="1B264DE7" wp14:editId="27876A2A">
            <wp:extent cx="969645" cy="969645"/>
            <wp:effectExtent l="0" t="0" r="1905" b="1905"/>
            <wp:docPr id="94396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5FBC7AE5" w14:textId="77777777" w:rsidR="007A5AF9" w:rsidRPr="00F337F4" w:rsidRDefault="007A5AF9" w:rsidP="007A5AF9">
      <w:pPr>
        <w:rPr>
          <w:szCs w:val="22"/>
          <w:lang w:val="sr-Latn-ME"/>
        </w:rPr>
      </w:pPr>
    </w:p>
    <w:p w14:paraId="5CC38712" w14:textId="77777777" w:rsidR="007A5AF9" w:rsidRPr="00F337F4" w:rsidRDefault="007A5AF9" w:rsidP="007A5AF9">
      <w:pPr>
        <w:rPr>
          <w:b/>
          <w:bCs/>
          <w:szCs w:val="22"/>
          <w:lang w:val="sr-Latn-ME"/>
        </w:rPr>
      </w:pPr>
      <w:r w:rsidRPr="00F337F4">
        <w:rPr>
          <w:b/>
          <w:bCs/>
          <w:szCs w:val="22"/>
          <w:lang w:val="sr-Latn-ME"/>
        </w:rPr>
        <w:t>4.9. Predoziranje</w:t>
      </w:r>
    </w:p>
    <w:p w14:paraId="54219C3F" w14:textId="77777777" w:rsidR="007A5AF9" w:rsidRPr="00F337F4" w:rsidRDefault="007A5AF9" w:rsidP="007A5AF9">
      <w:pPr>
        <w:rPr>
          <w:szCs w:val="22"/>
          <w:lang w:val="sr-Latn-ME"/>
        </w:rPr>
      </w:pPr>
    </w:p>
    <w:p w14:paraId="28740D81" w14:textId="77777777" w:rsidR="007A5AF9" w:rsidRPr="00F337F4" w:rsidRDefault="007A5AF9" w:rsidP="007A5AF9">
      <w:pPr>
        <w:rPr>
          <w:szCs w:val="22"/>
          <w:lang w:val="sr-Latn-ME"/>
        </w:rPr>
      </w:pPr>
      <w:r w:rsidRPr="00F337F4">
        <w:rPr>
          <w:szCs w:val="22"/>
          <w:lang w:val="sr-Latn-ME"/>
        </w:rPr>
        <w:t xml:space="preserve">Pri predoziranju može doći do pojave simptoma kao što su mučnina, povraćanje i dijareja. Koncentraciju ceftriaksona nije moguće smanjiti primjenom hemodijalize ili peritonealne dijalize. Ne postoji specifičan antidot. Terapija predoziranja treba da bude simptomatska. </w:t>
      </w:r>
    </w:p>
    <w:p w14:paraId="0736E7EE" w14:textId="77777777" w:rsidR="007A5AF9" w:rsidRDefault="007A5AF9" w:rsidP="007A5AF9">
      <w:pPr>
        <w:pStyle w:val="NASLOV123"/>
        <w:spacing w:before="0" w:after="0"/>
        <w:rPr>
          <w:lang w:val="sr-Latn-ME"/>
        </w:rPr>
      </w:pPr>
    </w:p>
    <w:p w14:paraId="606C55AC" w14:textId="77777777" w:rsidR="007A5AF9" w:rsidRDefault="007A5AF9" w:rsidP="007A5AF9">
      <w:pPr>
        <w:pStyle w:val="NASLOV123"/>
        <w:spacing w:before="0" w:after="0"/>
        <w:rPr>
          <w:lang w:val="sr-Latn-ME"/>
        </w:rPr>
      </w:pPr>
    </w:p>
    <w:p w14:paraId="371F9AE0" w14:textId="77777777" w:rsidR="007A5AF9" w:rsidRPr="00F337F4" w:rsidRDefault="007A5AF9" w:rsidP="007A5AF9">
      <w:pPr>
        <w:pStyle w:val="NASLOV123"/>
        <w:spacing w:before="0" w:after="0"/>
        <w:rPr>
          <w:lang w:val="sr-Latn-ME"/>
        </w:rPr>
      </w:pPr>
      <w:r w:rsidRPr="00F337F4">
        <w:rPr>
          <w:lang w:val="sr-Latn-ME"/>
        </w:rPr>
        <w:t>5. FARMAKOLOŠKI PODACI</w:t>
      </w:r>
    </w:p>
    <w:p w14:paraId="528552B9" w14:textId="77777777" w:rsidR="007A5AF9" w:rsidRDefault="007A5AF9" w:rsidP="007A5AF9">
      <w:pPr>
        <w:rPr>
          <w:b/>
          <w:bCs/>
          <w:szCs w:val="22"/>
          <w:lang w:val="sr-Latn-ME"/>
        </w:rPr>
      </w:pPr>
    </w:p>
    <w:p w14:paraId="5FC36AC2" w14:textId="77777777" w:rsidR="007A5AF9" w:rsidRPr="00F337F4" w:rsidRDefault="007A5AF9" w:rsidP="007A5AF9">
      <w:pPr>
        <w:rPr>
          <w:b/>
          <w:bCs/>
          <w:szCs w:val="22"/>
          <w:lang w:val="sr-Latn-ME"/>
        </w:rPr>
      </w:pPr>
      <w:r w:rsidRPr="00F337F4">
        <w:rPr>
          <w:b/>
          <w:bCs/>
          <w:szCs w:val="22"/>
          <w:lang w:val="sr-Latn-ME"/>
        </w:rPr>
        <w:t>5.1. Farmakodinamski podaci</w:t>
      </w:r>
    </w:p>
    <w:p w14:paraId="66E36F5D" w14:textId="77777777" w:rsidR="007A5AF9" w:rsidRPr="00F337F4" w:rsidRDefault="007A5AF9" w:rsidP="007A5AF9">
      <w:pPr>
        <w:rPr>
          <w:b/>
          <w:bCs/>
          <w:szCs w:val="22"/>
          <w:lang w:val="sr-Latn-ME"/>
        </w:rPr>
      </w:pPr>
    </w:p>
    <w:p w14:paraId="3E34294A" w14:textId="77777777" w:rsidR="007A5AF9" w:rsidRPr="00F337F4" w:rsidRDefault="007A5AF9" w:rsidP="007A5AF9">
      <w:pPr>
        <w:rPr>
          <w:b/>
          <w:bCs/>
          <w:szCs w:val="22"/>
          <w:lang w:val="sr-Latn-ME"/>
        </w:rPr>
      </w:pPr>
      <w:r w:rsidRPr="00F337F4">
        <w:rPr>
          <w:b/>
          <w:bCs/>
          <w:szCs w:val="22"/>
          <w:lang w:val="sr-Latn-ME"/>
        </w:rPr>
        <w:t xml:space="preserve">Farmakoterapijska grupa: </w:t>
      </w:r>
      <w:r w:rsidRPr="00F337F4">
        <w:rPr>
          <w:bCs/>
          <w:szCs w:val="22"/>
          <w:lang w:val="sr-Latn-ME"/>
        </w:rPr>
        <w:t>Antibakterijski ljekovi za sistemsku primjenu; cefalosporini, III generacija</w:t>
      </w:r>
    </w:p>
    <w:p w14:paraId="6DBD0E05" w14:textId="77777777" w:rsidR="007A5AF9" w:rsidRPr="00F337F4" w:rsidRDefault="007A5AF9" w:rsidP="007A5AF9">
      <w:pPr>
        <w:rPr>
          <w:b/>
          <w:bCs/>
          <w:szCs w:val="22"/>
          <w:lang w:val="sr-Latn-ME"/>
        </w:rPr>
      </w:pPr>
      <w:r w:rsidRPr="00F337F4">
        <w:rPr>
          <w:szCs w:val="22"/>
          <w:lang w:val="sr-Latn-ME"/>
        </w:rPr>
        <w:t>ATC kod:</w:t>
      </w:r>
      <w:r w:rsidRPr="00F337F4">
        <w:rPr>
          <w:b/>
          <w:bCs/>
          <w:szCs w:val="22"/>
          <w:lang w:val="sr-Latn-ME"/>
        </w:rPr>
        <w:t xml:space="preserve"> </w:t>
      </w:r>
      <w:r w:rsidRPr="00F337F4">
        <w:rPr>
          <w:bCs/>
          <w:szCs w:val="22"/>
          <w:lang w:val="sr-Latn-ME"/>
        </w:rPr>
        <w:t>J01DD04</w:t>
      </w:r>
    </w:p>
    <w:p w14:paraId="7571D3F8" w14:textId="77777777" w:rsidR="007A5AF9" w:rsidRPr="00F337F4" w:rsidRDefault="007A5AF9" w:rsidP="007A5AF9">
      <w:pPr>
        <w:rPr>
          <w:szCs w:val="22"/>
          <w:u w:val="single"/>
          <w:lang w:val="sr-Latn-ME"/>
        </w:rPr>
      </w:pPr>
      <w:r w:rsidRPr="00F337F4">
        <w:rPr>
          <w:szCs w:val="22"/>
          <w:u w:val="single"/>
          <w:lang w:val="sr-Latn-ME"/>
        </w:rPr>
        <w:lastRenderedPageBreak/>
        <w:t>Mehanizam dejstva</w:t>
      </w:r>
    </w:p>
    <w:p w14:paraId="2ADDB846" w14:textId="77777777" w:rsidR="007A5AF9" w:rsidRPr="00F337F4" w:rsidRDefault="007A5AF9" w:rsidP="007A5AF9">
      <w:pPr>
        <w:rPr>
          <w:szCs w:val="22"/>
          <w:lang w:val="sr-Latn-ME"/>
        </w:rPr>
      </w:pPr>
      <w:r w:rsidRPr="00F337F4">
        <w:rPr>
          <w:szCs w:val="22"/>
          <w:lang w:val="sr-Latn-ME"/>
        </w:rPr>
        <w:t>Ceftriakson inhibira sintezu ćelijskog zida bakterije nakon vezivanja za penicilin vezujuće proteine (</w:t>
      </w:r>
      <w:r w:rsidRPr="00F337F4">
        <w:rPr>
          <w:i/>
          <w:szCs w:val="22"/>
          <w:lang w:val="sr-Latn-ME"/>
        </w:rPr>
        <w:t>penicillin binding proteins, PBPs</w:t>
      </w:r>
      <w:r w:rsidRPr="00F337F4">
        <w:rPr>
          <w:szCs w:val="22"/>
          <w:lang w:val="sr-Latn-ME"/>
        </w:rPr>
        <w:t xml:space="preserve">) što dovodi do prekida biosinteze zida ćelije (peptidoglikana), što dovodi do lize bakterijske ćelije i njenoj smrti. </w:t>
      </w:r>
    </w:p>
    <w:p w14:paraId="16F30D8E" w14:textId="77777777" w:rsidR="007A5AF9" w:rsidRPr="00F337F4" w:rsidRDefault="007A5AF9" w:rsidP="007A5AF9">
      <w:pPr>
        <w:rPr>
          <w:szCs w:val="22"/>
          <w:lang w:val="sr-Latn-ME"/>
        </w:rPr>
      </w:pPr>
    </w:p>
    <w:p w14:paraId="055BB5F0" w14:textId="77777777" w:rsidR="007A5AF9" w:rsidRPr="00F337F4" w:rsidRDefault="007A5AF9" w:rsidP="007A5AF9">
      <w:pPr>
        <w:rPr>
          <w:szCs w:val="22"/>
          <w:u w:val="single"/>
          <w:lang w:val="sr-Latn-ME"/>
        </w:rPr>
      </w:pPr>
      <w:r w:rsidRPr="00F337F4">
        <w:rPr>
          <w:szCs w:val="22"/>
          <w:u w:val="single"/>
          <w:lang w:val="sr-Latn-ME"/>
        </w:rPr>
        <w:t>Rezistencija</w:t>
      </w:r>
    </w:p>
    <w:p w14:paraId="2A5F7841" w14:textId="77777777" w:rsidR="007A5AF9" w:rsidRPr="00F337F4" w:rsidRDefault="007A5AF9" w:rsidP="007A5AF9">
      <w:pPr>
        <w:rPr>
          <w:szCs w:val="22"/>
          <w:lang w:val="sr-Latn-ME"/>
        </w:rPr>
      </w:pPr>
      <w:r w:rsidRPr="00F337F4">
        <w:rPr>
          <w:szCs w:val="22"/>
          <w:lang w:val="sr-Latn-ME"/>
        </w:rPr>
        <w:t>Rezistencija bakterija na ceftriakson može biti posledica jednog ili više sledećih mehanizama:</w:t>
      </w:r>
    </w:p>
    <w:p w14:paraId="2B9514B4" w14:textId="77777777" w:rsidR="007A5AF9" w:rsidRPr="00F337F4" w:rsidRDefault="007A5AF9" w:rsidP="007A5AF9">
      <w:pPr>
        <w:pStyle w:val="ListParagraph"/>
        <w:numPr>
          <w:ilvl w:val="0"/>
          <w:numId w:val="9"/>
        </w:numPr>
        <w:rPr>
          <w:szCs w:val="22"/>
          <w:lang w:val="sr-Latn-ME"/>
        </w:rPr>
      </w:pPr>
      <w:r w:rsidRPr="00F337F4">
        <w:rPr>
          <w:szCs w:val="22"/>
          <w:lang w:val="sr-Latn-ME"/>
        </w:rPr>
        <w:t>hidroliza posredovana beta-laktamazama, uključujući beta-laktamaze proširenog spektra (</w:t>
      </w:r>
      <w:r w:rsidRPr="00F337F4">
        <w:rPr>
          <w:i/>
          <w:szCs w:val="22"/>
          <w:lang w:val="sr-Latn-ME"/>
        </w:rPr>
        <w:t>extended spectrum beta-lactamases, ESBLs</w:t>
      </w:r>
      <w:r w:rsidRPr="00F337F4">
        <w:rPr>
          <w:szCs w:val="22"/>
          <w:lang w:val="sr-Latn-ME"/>
        </w:rPr>
        <w:t>), karbapenemaze i Amp C enzime koji mogu biti indukovani ili stabilno derepresovani kod određenih aerobnih Gram-negativnih vrsta bakterija;</w:t>
      </w:r>
    </w:p>
    <w:p w14:paraId="114814FC" w14:textId="77777777" w:rsidR="007A5AF9" w:rsidRPr="00F337F4" w:rsidRDefault="007A5AF9" w:rsidP="007A5AF9">
      <w:pPr>
        <w:pStyle w:val="ListParagraph"/>
        <w:numPr>
          <w:ilvl w:val="0"/>
          <w:numId w:val="9"/>
        </w:numPr>
        <w:rPr>
          <w:szCs w:val="22"/>
          <w:lang w:val="sr-Latn-ME"/>
        </w:rPr>
      </w:pPr>
      <w:r w:rsidRPr="00F337F4">
        <w:rPr>
          <w:szCs w:val="22"/>
          <w:lang w:val="sr-Latn-ME"/>
        </w:rPr>
        <w:t>smanjeni afinitet penicilin vezujućih proteina za ceftriakson;</w:t>
      </w:r>
    </w:p>
    <w:p w14:paraId="1559C7FD" w14:textId="77777777" w:rsidR="007A5AF9" w:rsidRPr="00F337F4" w:rsidRDefault="007A5AF9" w:rsidP="007A5AF9">
      <w:pPr>
        <w:pStyle w:val="ListParagraph"/>
        <w:numPr>
          <w:ilvl w:val="0"/>
          <w:numId w:val="9"/>
        </w:numPr>
        <w:rPr>
          <w:szCs w:val="22"/>
          <w:lang w:val="sr-Latn-ME"/>
        </w:rPr>
      </w:pPr>
      <w:r w:rsidRPr="00F337F4">
        <w:rPr>
          <w:szCs w:val="22"/>
          <w:lang w:val="sr-Latn-ME"/>
        </w:rPr>
        <w:t>nepropustljivost spoljašnje membrane Gram-negativnih bakterija;</w:t>
      </w:r>
    </w:p>
    <w:p w14:paraId="3059F07B" w14:textId="77777777" w:rsidR="007A5AF9" w:rsidRPr="00F337F4" w:rsidRDefault="007A5AF9" w:rsidP="007A5AF9">
      <w:pPr>
        <w:pStyle w:val="ListParagraph"/>
        <w:numPr>
          <w:ilvl w:val="0"/>
          <w:numId w:val="9"/>
        </w:numPr>
        <w:rPr>
          <w:szCs w:val="22"/>
          <w:lang w:val="sr-Latn-ME"/>
        </w:rPr>
      </w:pPr>
      <w:r w:rsidRPr="00F337F4">
        <w:rPr>
          <w:szCs w:val="22"/>
          <w:lang w:val="sr-Latn-ME"/>
        </w:rPr>
        <w:t xml:space="preserve">bakterijske efluks pumpe. </w:t>
      </w:r>
    </w:p>
    <w:p w14:paraId="056B61AC" w14:textId="77777777" w:rsidR="007A5AF9" w:rsidRPr="00F337F4" w:rsidRDefault="007A5AF9" w:rsidP="007A5AF9">
      <w:pPr>
        <w:rPr>
          <w:szCs w:val="22"/>
          <w:lang w:val="sr-Latn-ME"/>
        </w:rPr>
      </w:pPr>
    </w:p>
    <w:p w14:paraId="038EC5CD" w14:textId="77777777" w:rsidR="007A5AF9" w:rsidRPr="00F337F4" w:rsidRDefault="007A5AF9" w:rsidP="007A5AF9">
      <w:pPr>
        <w:rPr>
          <w:szCs w:val="22"/>
          <w:u w:val="single"/>
          <w:lang w:val="sr-Latn-ME"/>
        </w:rPr>
      </w:pPr>
      <w:r w:rsidRPr="00F337F4">
        <w:rPr>
          <w:szCs w:val="22"/>
          <w:u w:val="single"/>
          <w:lang w:val="sr-Latn-ME"/>
        </w:rPr>
        <w:t>Granične vrijednosti testova osjetljivosti</w:t>
      </w:r>
    </w:p>
    <w:p w14:paraId="1746F36F" w14:textId="77777777" w:rsidR="007A5AF9" w:rsidRPr="00F337F4" w:rsidRDefault="007A5AF9" w:rsidP="007A5AF9">
      <w:pPr>
        <w:rPr>
          <w:szCs w:val="22"/>
          <w:lang w:val="sr-Latn-ME"/>
        </w:rPr>
      </w:pPr>
      <w:r w:rsidRPr="00F337F4">
        <w:rPr>
          <w:szCs w:val="22"/>
          <w:lang w:val="sr-Latn-ME"/>
        </w:rPr>
        <w:t xml:space="preserve">Granične vrijednosti minimalne inhibitorne koncentracije (MIK) utvrđene od strane Evropskog komiteta za ispitivanje osjetljivosti na antibiotike (engl. </w:t>
      </w:r>
      <w:r w:rsidRPr="00F337F4">
        <w:rPr>
          <w:i/>
          <w:szCs w:val="22"/>
          <w:lang w:val="sr-Latn-ME"/>
        </w:rPr>
        <w:t>European Committee on Antimicrobial Susceptibility Testing</w:t>
      </w:r>
      <w:r w:rsidRPr="00F337F4">
        <w:rPr>
          <w:szCs w:val="22"/>
          <w:lang w:val="sr-Latn-ME"/>
        </w:rPr>
        <w:t xml:space="preserve"> – EUCAST) su navedene u nastavku:</w:t>
      </w:r>
    </w:p>
    <w:p w14:paraId="17F5B860" w14:textId="77777777" w:rsidR="007A5AF9" w:rsidRPr="00F337F4" w:rsidRDefault="007A5AF9" w:rsidP="007A5AF9">
      <w:pPr>
        <w:rPr>
          <w:szCs w:val="22"/>
          <w:lang w:val="sr-Latn-ME"/>
        </w:rPr>
      </w:pPr>
    </w:p>
    <w:tbl>
      <w:tblPr>
        <w:tblW w:w="5840" w:type="dxa"/>
        <w:tblLook w:val="04A0" w:firstRow="1" w:lastRow="0" w:firstColumn="1" w:lastColumn="0" w:noHBand="0" w:noVBand="1"/>
      </w:tblPr>
      <w:tblGrid>
        <w:gridCol w:w="3820"/>
        <w:gridCol w:w="950"/>
        <w:gridCol w:w="1316"/>
      </w:tblGrid>
      <w:tr w:rsidR="007A5AF9" w:rsidRPr="00F337F4" w14:paraId="4723BE39" w14:textId="77777777" w:rsidTr="003D5905">
        <w:trPr>
          <w:trHeight w:val="600"/>
        </w:trPr>
        <w:tc>
          <w:tcPr>
            <w:tcW w:w="3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068D"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Mikroorganizam</w:t>
            </w:r>
          </w:p>
        </w:tc>
        <w:tc>
          <w:tcPr>
            <w:tcW w:w="2020" w:type="dxa"/>
            <w:gridSpan w:val="2"/>
            <w:tcBorders>
              <w:top w:val="single" w:sz="4" w:space="0" w:color="auto"/>
              <w:left w:val="nil"/>
              <w:bottom w:val="single" w:sz="4" w:space="0" w:color="auto"/>
              <w:right w:val="single" w:sz="4" w:space="0" w:color="auto"/>
            </w:tcBorders>
            <w:shd w:val="clear" w:color="auto" w:fill="auto"/>
            <w:vAlign w:val="bottom"/>
            <w:hideMark/>
          </w:tcPr>
          <w:p w14:paraId="7D9B3A97"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 xml:space="preserve">Test razrjeđivanja </w:t>
            </w:r>
            <w:r w:rsidRPr="00F337F4">
              <w:rPr>
                <w:b/>
                <w:bCs/>
                <w:color w:val="000000"/>
                <w:szCs w:val="22"/>
                <w:lang w:val="sr-Latn-ME"/>
              </w:rPr>
              <w:br/>
              <w:t>(MIK, mg/L)</w:t>
            </w:r>
          </w:p>
        </w:tc>
      </w:tr>
      <w:tr w:rsidR="007A5AF9" w:rsidRPr="00F337F4" w14:paraId="3E81E0ED" w14:textId="77777777" w:rsidTr="003D5905">
        <w:trPr>
          <w:trHeight w:val="300"/>
        </w:trPr>
        <w:tc>
          <w:tcPr>
            <w:tcW w:w="3820" w:type="dxa"/>
            <w:vMerge/>
            <w:tcBorders>
              <w:top w:val="single" w:sz="4" w:space="0" w:color="auto"/>
              <w:left w:val="single" w:sz="4" w:space="0" w:color="auto"/>
              <w:bottom w:val="single" w:sz="4" w:space="0" w:color="auto"/>
              <w:right w:val="single" w:sz="4" w:space="0" w:color="auto"/>
            </w:tcBorders>
            <w:vAlign w:val="center"/>
            <w:hideMark/>
          </w:tcPr>
          <w:p w14:paraId="414564DA" w14:textId="77777777" w:rsidR="007A5AF9" w:rsidRPr="00F337F4" w:rsidRDefault="007A5AF9" w:rsidP="003D5905">
            <w:pPr>
              <w:tabs>
                <w:tab w:val="clear" w:pos="284"/>
              </w:tabs>
              <w:jc w:val="left"/>
              <w:rPr>
                <w:b/>
                <w:bCs/>
                <w:color w:val="000000"/>
                <w:szCs w:val="22"/>
                <w:lang w:val="sr-Latn-ME"/>
              </w:rPr>
            </w:pPr>
          </w:p>
        </w:tc>
        <w:tc>
          <w:tcPr>
            <w:tcW w:w="800" w:type="dxa"/>
            <w:tcBorders>
              <w:top w:val="nil"/>
              <w:left w:val="nil"/>
              <w:bottom w:val="single" w:sz="4" w:space="0" w:color="auto"/>
              <w:right w:val="single" w:sz="4" w:space="0" w:color="auto"/>
            </w:tcBorders>
            <w:shd w:val="clear" w:color="auto" w:fill="auto"/>
            <w:noWrap/>
            <w:vAlign w:val="bottom"/>
            <w:hideMark/>
          </w:tcPr>
          <w:p w14:paraId="1E3AD85D"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Osetljiv</w:t>
            </w:r>
          </w:p>
        </w:tc>
        <w:tc>
          <w:tcPr>
            <w:tcW w:w="1220" w:type="dxa"/>
            <w:tcBorders>
              <w:top w:val="nil"/>
              <w:left w:val="nil"/>
              <w:bottom w:val="single" w:sz="4" w:space="0" w:color="auto"/>
              <w:right w:val="single" w:sz="4" w:space="0" w:color="auto"/>
            </w:tcBorders>
            <w:shd w:val="clear" w:color="auto" w:fill="auto"/>
            <w:noWrap/>
            <w:vAlign w:val="bottom"/>
            <w:hideMark/>
          </w:tcPr>
          <w:p w14:paraId="528B211B"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Rezistentan</w:t>
            </w:r>
          </w:p>
        </w:tc>
      </w:tr>
      <w:tr w:rsidR="007A5AF9" w:rsidRPr="00F337F4" w14:paraId="09DBC8BD"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79EAEF4"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Enterobacteriaceae</w:t>
            </w:r>
          </w:p>
        </w:tc>
        <w:tc>
          <w:tcPr>
            <w:tcW w:w="800" w:type="dxa"/>
            <w:tcBorders>
              <w:top w:val="nil"/>
              <w:left w:val="nil"/>
              <w:bottom w:val="single" w:sz="4" w:space="0" w:color="auto"/>
              <w:right w:val="single" w:sz="4" w:space="0" w:color="auto"/>
            </w:tcBorders>
            <w:shd w:val="clear" w:color="auto" w:fill="auto"/>
            <w:noWrap/>
            <w:vAlign w:val="bottom"/>
            <w:hideMark/>
          </w:tcPr>
          <w:p w14:paraId="3DAA8BB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1</w:t>
            </w:r>
          </w:p>
        </w:tc>
        <w:tc>
          <w:tcPr>
            <w:tcW w:w="1220" w:type="dxa"/>
            <w:tcBorders>
              <w:top w:val="nil"/>
              <w:left w:val="nil"/>
              <w:bottom w:val="single" w:sz="4" w:space="0" w:color="auto"/>
              <w:right w:val="single" w:sz="4" w:space="0" w:color="auto"/>
            </w:tcBorders>
            <w:shd w:val="clear" w:color="auto" w:fill="auto"/>
            <w:noWrap/>
            <w:vAlign w:val="bottom"/>
            <w:hideMark/>
          </w:tcPr>
          <w:p w14:paraId="52BF242E"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2</w:t>
            </w:r>
          </w:p>
        </w:tc>
      </w:tr>
      <w:tr w:rsidR="007A5AF9" w:rsidRPr="00F337F4" w14:paraId="0A53B97A"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FB0ADD6"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Staphylococcus</w:t>
            </w:r>
            <w:r w:rsidRPr="00F337F4">
              <w:rPr>
                <w:color w:val="000000"/>
                <w:szCs w:val="22"/>
                <w:lang w:val="sr-Latn-ME"/>
              </w:rPr>
              <w:t xml:space="preserve"> spp.</w:t>
            </w:r>
          </w:p>
        </w:tc>
        <w:tc>
          <w:tcPr>
            <w:tcW w:w="800" w:type="dxa"/>
            <w:tcBorders>
              <w:top w:val="nil"/>
              <w:left w:val="nil"/>
              <w:bottom w:val="single" w:sz="4" w:space="0" w:color="auto"/>
              <w:right w:val="single" w:sz="4" w:space="0" w:color="auto"/>
            </w:tcBorders>
            <w:shd w:val="clear" w:color="auto" w:fill="auto"/>
            <w:noWrap/>
            <w:vAlign w:val="bottom"/>
            <w:hideMark/>
          </w:tcPr>
          <w:p w14:paraId="4809C6E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a.</w:t>
            </w:r>
          </w:p>
        </w:tc>
        <w:tc>
          <w:tcPr>
            <w:tcW w:w="1220" w:type="dxa"/>
            <w:tcBorders>
              <w:top w:val="nil"/>
              <w:left w:val="nil"/>
              <w:bottom w:val="single" w:sz="4" w:space="0" w:color="auto"/>
              <w:right w:val="single" w:sz="4" w:space="0" w:color="auto"/>
            </w:tcBorders>
            <w:shd w:val="clear" w:color="auto" w:fill="auto"/>
            <w:noWrap/>
            <w:vAlign w:val="bottom"/>
            <w:hideMark/>
          </w:tcPr>
          <w:p w14:paraId="3A2075C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a.</w:t>
            </w:r>
          </w:p>
        </w:tc>
      </w:tr>
      <w:tr w:rsidR="007A5AF9" w:rsidRPr="00F337F4" w14:paraId="696C8F95" w14:textId="77777777" w:rsidTr="003D5905">
        <w:trPr>
          <w:trHeight w:val="600"/>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48FF30CC"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 xml:space="preserve">Streptococcus </w:t>
            </w:r>
            <w:r w:rsidRPr="00F337F4">
              <w:rPr>
                <w:color w:val="000000"/>
                <w:szCs w:val="22"/>
                <w:lang w:val="sr-Latn-ME"/>
              </w:rPr>
              <w:t>spp.</w:t>
            </w:r>
            <w:r w:rsidRPr="00F337F4">
              <w:rPr>
                <w:color w:val="000000"/>
                <w:szCs w:val="22"/>
                <w:lang w:val="sr-Latn-ME"/>
              </w:rPr>
              <w:br/>
              <w:t>(grupe A, B, C i G)</w:t>
            </w:r>
          </w:p>
        </w:tc>
        <w:tc>
          <w:tcPr>
            <w:tcW w:w="800" w:type="dxa"/>
            <w:tcBorders>
              <w:top w:val="nil"/>
              <w:left w:val="nil"/>
              <w:bottom w:val="single" w:sz="4" w:space="0" w:color="auto"/>
              <w:right w:val="single" w:sz="4" w:space="0" w:color="auto"/>
            </w:tcBorders>
            <w:shd w:val="clear" w:color="auto" w:fill="auto"/>
            <w:noWrap/>
            <w:vAlign w:val="bottom"/>
            <w:hideMark/>
          </w:tcPr>
          <w:p w14:paraId="00FFD3C9"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w:t>
            </w:r>
          </w:p>
        </w:tc>
        <w:tc>
          <w:tcPr>
            <w:tcW w:w="1220" w:type="dxa"/>
            <w:tcBorders>
              <w:top w:val="nil"/>
              <w:left w:val="nil"/>
              <w:bottom w:val="single" w:sz="4" w:space="0" w:color="auto"/>
              <w:right w:val="single" w:sz="4" w:space="0" w:color="auto"/>
            </w:tcBorders>
            <w:shd w:val="clear" w:color="auto" w:fill="auto"/>
            <w:noWrap/>
            <w:vAlign w:val="bottom"/>
            <w:hideMark/>
          </w:tcPr>
          <w:p w14:paraId="716C790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b.</w:t>
            </w:r>
          </w:p>
        </w:tc>
      </w:tr>
      <w:tr w:rsidR="007A5AF9" w:rsidRPr="00F337F4" w14:paraId="24D6615E"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4CD44CA"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Streptococcus pneumoniae</w:t>
            </w:r>
          </w:p>
        </w:tc>
        <w:tc>
          <w:tcPr>
            <w:tcW w:w="800" w:type="dxa"/>
            <w:tcBorders>
              <w:top w:val="nil"/>
              <w:left w:val="nil"/>
              <w:bottom w:val="single" w:sz="4" w:space="0" w:color="auto"/>
              <w:right w:val="single" w:sz="4" w:space="0" w:color="auto"/>
            </w:tcBorders>
            <w:shd w:val="clear" w:color="auto" w:fill="auto"/>
            <w:noWrap/>
            <w:vAlign w:val="bottom"/>
            <w:hideMark/>
          </w:tcPr>
          <w:p w14:paraId="51D49DF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0.5</w:t>
            </w:r>
            <w:r w:rsidRPr="00F337F4">
              <w:rPr>
                <w:color w:val="000000"/>
                <w:szCs w:val="22"/>
                <w:vertAlign w:val="superscript"/>
                <w:lang w:val="sr-Latn-ME"/>
              </w:rPr>
              <w:t>c.</w:t>
            </w:r>
          </w:p>
        </w:tc>
        <w:tc>
          <w:tcPr>
            <w:tcW w:w="1220" w:type="dxa"/>
            <w:tcBorders>
              <w:top w:val="nil"/>
              <w:left w:val="nil"/>
              <w:bottom w:val="single" w:sz="4" w:space="0" w:color="auto"/>
              <w:right w:val="single" w:sz="4" w:space="0" w:color="auto"/>
            </w:tcBorders>
            <w:shd w:val="clear" w:color="auto" w:fill="auto"/>
            <w:noWrap/>
            <w:vAlign w:val="bottom"/>
            <w:hideMark/>
          </w:tcPr>
          <w:p w14:paraId="64BC3F54"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2</w:t>
            </w:r>
          </w:p>
        </w:tc>
      </w:tr>
      <w:tr w:rsidR="007A5AF9" w:rsidRPr="00F337F4" w14:paraId="67354AFE"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F62238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xml:space="preserve">Viridans grupa </w:t>
            </w:r>
            <w:r w:rsidRPr="00F337F4">
              <w:rPr>
                <w:i/>
                <w:color w:val="000000"/>
                <w:szCs w:val="22"/>
                <w:lang w:val="sr-Latn-ME"/>
              </w:rPr>
              <w:t>Streptococci</w:t>
            </w:r>
          </w:p>
        </w:tc>
        <w:tc>
          <w:tcPr>
            <w:tcW w:w="800" w:type="dxa"/>
            <w:tcBorders>
              <w:top w:val="nil"/>
              <w:left w:val="nil"/>
              <w:bottom w:val="single" w:sz="4" w:space="0" w:color="auto"/>
              <w:right w:val="single" w:sz="4" w:space="0" w:color="auto"/>
            </w:tcBorders>
            <w:shd w:val="clear" w:color="auto" w:fill="auto"/>
            <w:noWrap/>
            <w:vAlign w:val="bottom"/>
            <w:hideMark/>
          </w:tcPr>
          <w:p w14:paraId="02FA87E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0.5</w:t>
            </w:r>
          </w:p>
        </w:tc>
        <w:tc>
          <w:tcPr>
            <w:tcW w:w="1220" w:type="dxa"/>
            <w:tcBorders>
              <w:top w:val="nil"/>
              <w:left w:val="nil"/>
              <w:bottom w:val="single" w:sz="4" w:space="0" w:color="auto"/>
              <w:right w:val="single" w:sz="4" w:space="0" w:color="auto"/>
            </w:tcBorders>
            <w:shd w:val="clear" w:color="auto" w:fill="auto"/>
            <w:noWrap/>
            <w:vAlign w:val="bottom"/>
            <w:hideMark/>
          </w:tcPr>
          <w:p w14:paraId="603B8A4B"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0.5</w:t>
            </w:r>
          </w:p>
        </w:tc>
      </w:tr>
      <w:tr w:rsidR="007A5AF9" w:rsidRPr="00F337F4" w14:paraId="2F2D1A1A"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28AEAC3"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Haemophilus influenzae</w:t>
            </w:r>
          </w:p>
        </w:tc>
        <w:tc>
          <w:tcPr>
            <w:tcW w:w="800" w:type="dxa"/>
            <w:tcBorders>
              <w:top w:val="nil"/>
              <w:left w:val="nil"/>
              <w:bottom w:val="single" w:sz="4" w:space="0" w:color="auto"/>
              <w:right w:val="single" w:sz="4" w:space="0" w:color="auto"/>
            </w:tcBorders>
            <w:shd w:val="clear" w:color="auto" w:fill="auto"/>
            <w:noWrap/>
            <w:vAlign w:val="bottom"/>
            <w:hideMark/>
          </w:tcPr>
          <w:p w14:paraId="265CF151"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0.12</w:t>
            </w:r>
            <w:r w:rsidRPr="00F337F4">
              <w:rPr>
                <w:color w:val="000000"/>
                <w:szCs w:val="22"/>
                <w:vertAlign w:val="superscript"/>
                <w:lang w:val="sr-Latn-ME"/>
              </w:rPr>
              <w:t xml:space="preserve"> c.</w:t>
            </w:r>
          </w:p>
        </w:tc>
        <w:tc>
          <w:tcPr>
            <w:tcW w:w="1220" w:type="dxa"/>
            <w:tcBorders>
              <w:top w:val="nil"/>
              <w:left w:val="nil"/>
              <w:bottom w:val="single" w:sz="4" w:space="0" w:color="auto"/>
              <w:right w:val="single" w:sz="4" w:space="0" w:color="auto"/>
            </w:tcBorders>
            <w:shd w:val="clear" w:color="auto" w:fill="auto"/>
            <w:noWrap/>
            <w:vAlign w:val="bottom"/>
            <w:hideMark/>
          </w:tcPr>
          <w:p w14:paraId="56A265ED"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0.12</w:t>
            </w:r>
          </w:p>
        </w:tc>
      </w:tr>
      <w:tr w:rsidR="007A5AF9" w:rsidRPr="00F337F4" w14:paraId="76C32A5B"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04F2B96"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Moraxella catarrhalis</w:t>
            </w:r>
          </w:p>
        </w:tc>
        <w:tc>
          <w:tcPr>
            <w:tcW w:w="800" w:type="dxa"/>
            <w:tcBorders>
              <w:top w:val="nil"/>
              <w:left w:val="nil"/>
              <w:bottom w:val="single" w:sz="4" w:space="0" w:color="auto"/>
              <w:right w:val="single" w:sz="4" w:space="0" w:color="auto"/>
            </w:tcBorders>
            <w:shd w:val="clear" w:color="auto" w:fill="auto"/>
            <w:noWrap/>
            <w:vAlign w:val="bottom"/>
            <w:hideMark/>
          </w:tcPr>
          <w:p w14:paraId="2848190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1</w:t>
            </w:r>
          </w:p>
        </w:tc>
        <w:tc>
          <w:tcPr>
            <w:tcW w:w="1220" w:type="dxa"/>
            <w:tcBorders>
              <w:top w:val="nil"/>
              <w:left w:val="nil"/>
              <w:bottom w:val="single" w:sz="4" w:space="0" w:color="auto"/>
              <w:right w:val="single" w:sz="4" w:space="0" w:color="auto"/>
            </w:tcBorders>
            <w:shd w:val="clear" w:color="auto" w:fill="auto"/>
            <w:noWrap/>
            <w:vAlign w:val="bottom"/>
            <w:hideMark/>
          </w:tcPr>
          <w:p w14:paraId="70F4B4A6"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2</w:t>
            </w:r>
          </w:p>
        </w:tc>
      </w:tr>
      <w:tr w:rsidR="007A5AF9" w:rsidRPr="00F337F4" w14:paraId="1328F95A"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83CCE2F"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Neisseria gonorrhoeae</w:t>
            </w:r>
          </w:p>
        </w:tc>
        <w:tc>
          <w:tcPr>
            <w:tcW w:w="800" w:type="dxa"/>
            <w:tcBorders>
              <w:top w:val="nil"/>
              <w:left w:val="nil"/>
              <w:bottom w:val="single" w:sz="4" w:space="0" w:color="auto"/>
              <w:right w:val="single" w:sz="4" w:space="0" w:color="auto"/>
            </w:tcBorders>
            <w:shd w:val="clear" w:color="auto" w:fill="auto"/>
            <w:noWrap/>
            <w:vAlign w:val="bottom"/>
            <w:hideMark/>
          </w:tcPr>
          <w:p w14:paraId="0FBEB4EC"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0.12</w:t>
            </w:r>
          </w:p>
        </w:tc>
        <w:tc>
          <w:tcPr>
            <w:tcW w:w="1220" w:type="dxa"/>
            <w:tcBorders>
              <w:top w:val="nil"/>
              <w:left w:val="nil"/>
              <w:bottom w:val="single" w:sz="4" w:space="0" w:color="auto"/>
              <w:right w:val="single" w:sz="4" w:space="0" w:color="auto"/>
            </w:tcBorders>
            <w:shd w:val="clear" w:color="auto" w:fill="auto"/>
            <w:noWrap/>
            <w:vAlign w:val="bottom"/>
            <w:hideMark/>
          </w:tcPr>
          <w:p w14:paraId="222F7F0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0.12</w:t>
            </w:r>
          </w:p>
        </w:tc>
      </w:tr>
      <w:tr w:rsidR="007A5AF9" w:rsidRPr="00F337F4" w14:paraId="4A675CBE"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5F2A1F3"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Neisseria meningitidis</w:t>
            </w:r>
          </w:p>
        </w:tc>
        <w:tc>
          <w:tcPr>
            <w:tcW w:w="800" w:type="dxa"/>
            <w:tcBorders>
              <w:top w:val="nil"/>
              <w:left w:val="nil"/>
              <w:bottom w:val="single" w:sz="4" w:space="0" w:color="auto"/>
              <w:right w:val="single" w:sz="4" w:space="0" w:color="auto"/>
            </w:tcBorders>
            <w:shd w:val="clear" w:color="auto" w:fill="auto"/>
            <w:noWrap/>
            <w:vAlign w:val="bottom"/>
            <w:hideMark/>
          </w:tcPr>
          <w:p w14:paraId="683BC037"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0.12</w:t>
            </w:r>
            <w:r w:rsidRPr="00F337F4">
              <w:rPr>
                <w:color w:val="000000"/>
                <w:szCs w:val="22"/>
                <w:vertAlign w:val="superscript"/>
                <w:lang w:val="sr-Latn-ME"/>
              </w:rPr>
              <w:t xml:space="preserve"> c.</w:t>
            </w:r>
          </w:p>
        </w:tc>
        <w:tc>
          <w:tcPr>
            <w:tcW w:w="1220" w:type="dxa"/>
            <w:tcBorders>
              <w:top w:val="nil"/>
              <w:left w:val="nil"/>
              <w:bottom w:val="single" w:sz="4" w:space="0" w:color="auto"/>
              <w:right w:val="single" w:sz="4" w:space="0" w:color="auto"/>
            </w:tcBorders>
            <w:shd w:val="clear" w:color="auto" w:fill="auto"/>
            <w:noWrap/>
            <w:vAlign w:val="bottom"/>
            <w:hideMark/>
          </w:tcPr>
          <w:p w14:paraId="5749EF1F"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0.12</w:t>
            </w:r>
          </w:p>
        </w:tc>
      </w:tr>
      <w:tr w:rsidR="007A5AF9" w:rsidRPr="00F337F4" w14:paraId="5E312244" w14:textId="77777777" w:rsidTr="003D5905">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A5DAEC0"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Ostali</w:t>
            </w:r>
          </w:p>
        </w:tc>
        <w:tc>
          <w:tcPr>
            <w:tcW w:w="800" w:type="dxa"/>
            <w:tcBorders>
              <w:top w:val="nil"/>
              <w:left w:val="nil"/>
              <w:bottom w:val="single" w:sz="4" w:space="0" w:color="auto"/>
              <w:right w:val="single" w:sz="4" w:space="0" w:color="auto"/>
            </w:tcBorders>
            <w:shd w:val="clear" w:color="auto" w:fill="auto"/>
            <w:noWrap/>
            <w:vAlign w:val="bottom"/>
            <w:hideMark/>
          </w:tcPr>
          <w:p w14:paraId="7705F1C2"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 1</w:t>
            </w:r>
            <w:r w:rsidRPr="00F337F4">
              <w:rPr>
                <w:color w:val="000000"/>
                <w:szCs w:val="22"/>
                <w:vertAlign w:val="superscript"/>
                <w:lang w:val="sr-Latn-ME"/>
              </w:rPr>
              <w:t>d.</w:t>
            </w:r>
          </w:p>
        </w:tc>
        <w:tc>
          <w:tcPr>
            <w:tcW w:w="1220" w:type="dxa"/>
            <w:tcBorders>
              <w:top w:val="nil"/>
              <w:left w:val="nil"/>
              <w:bottom w:val="single" w:sz="4" w:space="0" w:color="auto"/>
              <w:right w:val="single" w:sz="4" w:space="0" w:color="auto"/>
            </w:tcBorders>
            <w:shd w:val="clear" w:color="auto" w:fill="auto"/>
            <w:noWrap/>
            <w:vAlign w:val="bottom"/>
            <w:hideMark/>
          </w:tcPr>
          <w:p w14:paraId="3A18A2FA" w14:textId="77777777" w:rsidR="007A5AF9" w:rsidRPr="00F337F4" w:rsidRDefault="007A5AF9" w:rsidP="003D5905">
            <w:pPr>
              <w:tabs>
                <w:tab w:val="clear" w:pos="284"/>
              </w:tabs>
              <w:jc w:val="left"/>
              <w:rPr>
                <w:color w:val="000000"/>
                <w:szCs w:val="22"/>
                <w:lang w:val="sr-Latn-ME"/>
              </w:rPr>
            </w:pPr>
            <w:r w:rsidRPr="00F337F4">
              <w:rPr>
                <w:color w:val="000000"/>
                <w:szCs w:val="22"/>
                <w:lang w:val="sr-Latn-ME"/>
              </w:rPr>
              <w:t>&gt; 2</w:t>
            </w:r>
          </w:p>
        </w:tc>
      </w:tr>
    </w:tbl>
    <w:p w14:paraId="1DFC758E" w14:textId="77777777" w:rsidR="007A5AF9" w:rsidRPr="006D4D93" w:rsidRDefault="007A5AF9" w:rsidP="007A5AF9">
      <w:pPr>
        <w:rPr>
          <w:sz w:val="20"/>
          <w:szCs w:val="20"/>
          <w:lang w:val="sr-Latn-ME"/>
        </w:rPr>
      </w:pPr>
      <w:r w:rsidRPr="006D4D93">
        <w:rPr>
          <w:sz w:val="20"/>
          <w:szCs w:val="20"/>
          <w:vertAlign w:val="superscript"/>
          <w:lang w:val="sr-Latn-ME"/>
        </w:rPr>
        <w:t xml:space="preserve">a. </w:t>
      </w:r>
      <w:r w:rsidRPr="006D4D93">
        <w:rPr>
          <w:sz w:val="20"/>
          <w:szCs w:val="20"/>
          <w:lang w:val="sr-Latn-ME"/>
        </w:rPr>
        <w:t>Osjetljivost utvrđena iz podataka o osjetljivosti na cefoksitin.</w:t>
      </w:r>
    </w:p>
    <w:p w14:paraId="79367CCF" w14:textId="77777777" w:rsidR="007A5AF9" w:rsidRPr="006D4D93" w:rsidRDefault="007A5AF9" w:rsidP="007A5AF9">
      <w:pPr>
        <w:rPr>
          <w:sz w:val="20"/>
          <w:szCs w:val="20"/>
          <w:lang w:val="sr-Latn-ME"/>
        </w:rPr>
      </w:pPr>
      <w:r w:rsidRPr="006D4D93">
        <w:rPr>
          <w:sz w:val="20"/>
          <w:szCs w:val="20"/>
          <w:vertAlign w:val="superscript"/>
          <w:lang w:val="sr-Latn-ME"/>
        </w:rPr>
        <w:t xml:space="preserve">b. </w:t>
      </w:r>
      <w:r w:rsidRPr="006D4D93">
        <w:rPr>
          <w:sz w:val="20"/>
          <w:szCs w:val="20"/>
          <w:lang w:val="sr-Latn-ME"/>
        </w:rPr>
        <w:t>Osjetljivost utvrđena iz podataka o osjetljivosti na penicilin.</w:t>
      </w:r>
    </w:p>
    <w:p w14:paraId="3A5F0231" w14:textId="77777777" w:rsidR="007A5AF9" w:rsidRPr="006D4D93" w:rsidRDefault="007A5AF9" w:rsidP="007A5AF9">
      <w:pPr>
        <w:rPr>
          <w:sz w:val="20"/>
          <w:szCs w:val="20"/>
          <w:lang w:val="sr-Latn-ME"/>
        </w:rPr>
      </w:pPr>
      <w:r w:rsidRPr="006D4D93">
        <w:rPr>
          <w:sz w:val="20"/>
          <w:szCs w:val="20"/>
          <w:vertAlign w:val="superscript"/>
          <w:lang w:val="sr-Latn-ME"/>
        </w:rPr>
        <w:t xml:space="preserve">c. </w:t>
      </w:r>
      <w:r w:rsidRPr="006D4D93">
        <w:rPr>
          <w:sz w:val="20"/>
          <w:szCs w:val="20"/>
          <w:lang w:val="sr-Latn-ME"/>
        </w:rPr>
        <w:t>Izolati sa MIK ceftriaksona iznad granične vrijednosti osjetljivosti su rijetki, i ukolko se pronađu potrebno ih je ponovo testirati, a u slučaju potvrde poslati u referentnu laboratoriju.</w:t>
      </w:r>
    </w:p>
    <w:p w14:paraId="69E3E857" w14:textId="77777777" w:rsidR="007A5AF9" w:rsidRPr="006D4D93" w:rsidRDefault="007A5AF9" w:rsidP="007A5AF9">
      <w:pPr>
        <w:rPr>
          <w:sz w:val="20"/>
          <w:szCs w:val="20"/>
          <w:lang w:val="sr-Latn-ME"/>
        </w:rPr>
      </w:pPr>
      <w:r w:rsidRPr="006D4D93">
        <w:rPr>
          <w:sz w:val="20"/>
          <w:szCs w:val="20"/>
          <w:vertAlign w:val="superscript"/>
          <w:lang w:val="sr-Latn-ME"/>
        </w:rPr>
        <w:t xml:space="preserve">d. </w:t>
      </w:r>
      <w:r w:rsidRPr="006D4D93">
        <w:rPr>
          <w:sz w:val="20"/>
          <w:szCs w:val="20"/>
          <w:lang w:val="sr-Latn-ME"/>
        </w:rPr>
        <w:t xml:space="preserve">Granične vrijednosti se odnose na dnevnu intravensku dozu od 1 x 1 g i visoku dozu od najmanje 1 x 2 g. </w:t>
      </w:r>
    </w:p>
    <w:p w14:paraId="675549F0" w14:textId="77777777" w:rsidR="007A5AF9" w:rsidRDefault="007A5AF9" w:rsidP="007A5AF9">
      <w:pPr>
        <w:rPr>
          <w:szCs w:val="22"/>
          <w:u w:val="single"/>
          <w:lang w:val="sr-Latn-ME"/>
        </w:rPr>
      </w:pPr>
    </w:p>
    <w:p w14:paraId="4E027173" w14:textId="77777777" w:rsidR="007A5AF9" w:rsidRPr="00F337F4" w:rsidRDefault="007A5AF9" w:rsidP="007A5AF9">
      <w:pPr>
        <w:rPr>
          <w:szCs w:val="22"/>
          <w:u w:val="single"/>
          <w:lang w:val="sr-Latn-ME"/>
        </w:rPr>
      </w:pPr>
      <w:r w:rsidRPr="00F337F4">
        <w:rPr>
          <w:szCs w:val="22"/>
          <w:u w:val="single"/>
          <w:lang w:val="sr-Latn-ME"/>
        </w:rPr>
        <w:t>Klinička efikasnost protiv specifičnih patogena</w:t>
      </w:r>
    </w:p>
    <w:p w14:paraId="4EC72CE2" w14:textId="4E31D1DB" w:rsidR="007A5AF9" w:rsidRDefault="007A5AF9" w:rsidP="007A5AF9">
      <w:pPr>
        <w:rPr>
          <w:szCs w:val="22"/>
          <w:lang w:val="sr-Latn-ME"/>
        </w:rPr>
      </w:pPr>
      <w:r w:rsidRPr="00F337F4">
        <w:rPr>
          <w:szCs w:val="22"/>
          <w:lang w:val="sr-Latn-ME"/>
        </w:rPr>
        <w:t xml:space="preserve">Prevalenca stečene rezistencije za određene vrste mikroorganizama može varirati i geografski i vremenski , pa je poželjno imati lokalne  informacije o rezistenciji, posebno u liječenju teških infekcija. Po potrebi, treba tražiti mišljenje eksperta kada je lokalna prevalenca rezistencije takva da je korist od primjene ceftriaksona barem u nekim vrstama infekcija upitna.  </w:t>
      </w:r>
    </w:p>
    <w:p w14:paraId="4A11A75A" w14:textId="77777777" w:rsidR="007A5AF9" w:rsidRPr="00F337F4" w:rsidRDefault="007A5AF9" w:rsidP="007A5AF9">
      <w:pPr>
        <w:rPr>
          <w:szCs w:val="22"/>
          <w:lang w:val="sr-Latn-ME"/>
        </w:rPr>
      </w:pPr>
    </w:p>
    <w:tbl>
      <w:tblPr>
        <w:tblW w:w="7650" w:type="dxa"/>
        <w:tblLook w:val="04A0" w:firstRow="1" w:lastRow="0" w:firstColumn="1" w:lastColumn="0" w:noHBand="0" w:noVBand="1"/>
      </w:tblPr>
      <w:tblGrid>
        <w:gridCol w:w="7650"/>
      </w:tblGrid>
      <w:tr w:rsidR="007A5AF9" w:rsidRPr="00F337F4" w14:paraId="272D4478" w14:textId="77777777" w:rsidTr="003D5905">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E0BF4"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UOBIČAJENO OSJETLJIVE VRSTE</w:t>
            </w:r>
          </w:p>
        </w:tc>
      </w:tr>
      <w:tr w:rsidR="007A5AF9" w:rsidRPr="00F337F4" w14:paraId="6D40D77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EA8653F"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Gram-pozitivni aerobi</w:t>
            </w:r>
          </w:p>
        </w:tc>
      </w:tr>
      <w:tr w:rsidR="007A5AF9" w:rsidRPr="00F337F4" w14:paraId="0C5850FC"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B969ED5"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Staphylococcus aureus</w:t>
            </w:r>
            <w:r w:rsidRPr="00F337F4">
              <w:rPr>
                <w:color w:val="000000"/>
                <w:szCs w:val="22"/>
                <w:lang w:val="sr-Latn-ME"/>
              </w:rPr>
              <w:t xml:space="preserve"> (osjetljiv na metilicin)</w:t>
            </w:r>
            <w:r w:rsidRPr="00F337F4">
              <w:rPr>
                <w:color w:val="000000"/>
                <w:szCs w:val="22"/>
                <w:vertAlign w:val="superscript"/>
                <w:lang w:val="sr-Latn-ME"/>
              </w:rPr>
              <w:t>£</w:t>
            </w:r>
          </w:p>
        </w:tc>
      </w:tr>
      <w:tr w:rsidR="007A5AF9" w:rsidRPr="00F337F4" w14:paraId="10622C9C"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2793E9"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 xml:space="preserve">Staphylococci </w:t>
            </w:r>
            <w:r w:rsidRPr="00F337F4">
              <w:rPr>
                <w:color w:val="000000"/>
                <w:szCs w:val="22"/>
                <w:lang w:val="sr-Latn-ME"/>
              </w:rPr>
              <w:t>koagulaza negativni (osjetljiv na metilicin)</w:t>
            </w:r>
            <w:r w:rsidRPr="00F337F4">
              <w:rPr>
                <w:color w:val="000000"/>
                <w:szCs w:val="22"/>
                <w:vertAlign w:val="superscript"/>
                <w:lang w:val="sr-Latn-ME"/>
              </w:rPr>
              <w:t>£</w:t>
            </w:r>
          </w:p>
        </w:tc>
      </w:tr>
      <w:tr w:rsidR="007A5AF9" w:rsidRPr="00F337F4" w14:paraId="00A77199"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15623C8"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 xml:space="preserve">Streptococcus pyogenes </w:t>
            </w:r>
            <w:r w:rsidRPr="00F337F4">
              <w:rPr>
                <w:color w:val="000000"/>
                <w:szCs w:val="22"/>
                <w:lang w:val="sr-Latn-ME"/>
              </w:rPr>
              <w:t>(grupa A)</w:t>
            </w:r>
          </w:p>
        </w:tc>
      </w:tr>
      <w:tr w:rsidR="007A5AF9" w:rsidRPr="00F337F4" w14:paraId="30E55178"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2BDA811"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 xml:space="preserve">Streptococcus agalactiae </w:t>
            </w:r>
            <w:r w:rsidRPr="00F337F4">
              <w:rPr>
                <w:color w:val="000000"/>
                <w:szCs w:val="22"/>
                <w:lang w:val="sr-Latn-ME"/>
              </w:rPr>
              <w:t>(grupa B)</w:t>
            </w:r>
          </w:p>
        </w:tc>
      </w:tr>
      <w:tr w:rsidR="007A5AF9" w:rsidRPr="00F337F4" w14:paraId="281A85D2"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8733DE6"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Streptococcus pneumoniae</w:t>
            </w:r>
          </w:p>
        </w:tc>
      </w:tr>
      <w:tr w:rsidR="007A5AF9" w:rsidRPr="00F337F4" w14:paraId="5A46DB90"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C8CA29B"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lastRenderedPageBreak/>
              <w:t>Viridans</w:t>
            </w:r>
            <w:r w:rsidRPr="00F337F4">
              <w:rPr>
                <w:color w:val="000000"/>
                <w:szCs w:val="22"/>
                <w:lang w:val="sr-Latn-ME"/>
              </w:rPr>
              <w:t xml:space="preserve"> grupa </w:t>
            </w:r>
            <w:r w:rsidRPr="00F337F4">
              <w:rPr>
                <w:i/>
                <w:color w:val="000000"/>
                <w:szCs w:val="22"/>
                <w:lang w:val="sr-Latn-ME"/>
              </w:rPr>
              <w:t>Streptococci</w:t>
            </w:r>
          </w:p>
        </w:tc>
      </w:tr>
      <w:tr w:rsidR="007A5AF9" w:rsidRPr="00F337F4" w14:paraId="2D7B01D4"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B62198C"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Gram-negativni aerobi</w:t>
            </w:r>
          </w:p>
        </w:tc>
      </w:tr>
      <w:tr w:rsidR="007A5AF9" w:rsidRPr="00F337F4" w14:paraId="5A004214"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301E021"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Borrelia burgdorferi</w:t>
            </w:r>
          </w:p>
        </w:tc>
      </w:tr>
      <w:tr w:rsidR="007A5AF9" w:rsidRPr="00F337F4" w14:paraId="672F53DA"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6F3EF47"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Haemophilus influenzae</w:t>
            </w:r>
          </w:p>
        </w:tc>
      </w:tr>
      <w:tr w:rsidR="007A5AF9" w:rsidRPr="00F337F4" w14:paraId="21343F5F"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DB0C2F7"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Haemophilus parainfluenzae</w:t>
            </w:r>
          </w:p>
        </w:tc>
      </w:tr>
      <w:tr w:rsidR="007A5AF9" w:rsidRPr="00F337F4" w14:paraId="19AA7DD3"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C6FD77B"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Moraxella catarrhalis</w:t>
            </w:r>
          </w:p>
        </w:tc>
      </w:tr>
      <w:tr w:rsidR="007A5AF9" w:rsidRPr="00F337F4" w14:paraId="59A18E73"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CA9D01C"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Neisseria gonorrhoea</w:t>
            </w:r>
          </w:p>
        </w:tc>
      </w:tr>
      <w:tr w:rsidR="007A5AF9" w:rsidRPr="00F337F4" w14:paraId="035A6406"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5E2A82C"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Neisseria meningitidis</w:t>
            </w:r>
          </w:p>
        </w:tc>
      </w:tr>
      <w:tr w:rsidR="007A5AF9" w:rsidRPr="00F337F4" w14:paraId="6D319C5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DBBEAF5"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Proteus mirabilis</w:t>
            </w:r>
          </w:p>
        </w:tc>
      </w:tr>
      <w:tr w:rsidR="007A5AF9" w:rsidRPr="00F337F4" w14:paraId="2740D8A9"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34849B8"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Providencia</w:t>
            </w:r>
            <w:r w:rsidRPr="00F337F4">
              <w:rPr>
                <w:color w:val="000000"/>
                <w:szCs w:val="22"/>
                <w:lang w:val="sr-Latn-ME"/>
              </w:rPr>
              <w:t xml:space="preserve"> spp.</w:t>
            </w:r>
          </w:p>
        </w:tc>
      </w:tr>
      <w:tr w:rsidR="007A5AF9" w:rsidRPr="00F337F4" w14:paraId="76F35AC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7DC48370"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Treponema pallidum</w:t>
            </w:r>
          </w:p>
        </w:tc>
      </w:tr>
      <w:tr w:rsidR="007A5AF9" w:rsidRPr="00F337F4" w14:paraId="1D20EA46" w14:textId="77777777" w:rsidTr="003D5905">
        <w:trPr>
          <w:trHeight w:val="300"/>
        </w:trPr>
        <w:tc>
          <w:tcPr>
            <w:tcW w:w="7650" w:type="dxa"/>
            <w:tcBorders>
              <w:top w:val="nil"/>
              <w:left w:val="single" w:sz="4" w:space="0" w:color="auto"/>
              <w:bottom w:val="nil"/>
              <w:right w:val="single" w:sz="4" w:space="0" w:color="auto"/>
            </w:tcBorders>
            <w:shd w:val="clear" w:color="auto" w:fill="auto"/>
            <w:noWrap/>
            <w:vAlign w:val="bottom"/>
            <w:hideMark/>
          </w:tcPr>
          <w:p w14:paraId="70EF085E"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VRSTE KOD KOJIH STEČENA REZISTENCIJA MOŽE BITI PROBLEM</w:t>
            </w:r>
          </w:p>
        </w:tc>
      </w:tr>
      <w:tr w:rsidR="007A5AF9" w:rsidRPr="00F337F4" w14:paraId="25F6B8B6" w14:textId="77777777" w:rsidTr="003D5905">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371B"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Gram-pozitivni aerobi</w:t>
            </w:r>
          </w:p>
        </w:tc>
      </w:tr>
      <w:tr w:rsidR="007A5AF9" w:rsidRPr="00F337F4" w14:paraId="29C5057D"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518F6E9"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Staphylococcus epidermidis</w:t>
            </w:r>
            <w:r w:rsidRPr="00F337F4">
              <w:rPr>
                <w:color w:val="000000"/>
                <w:szCs w:val="22"/>
                <w:vertAlign w:val="superscript"/>
                <w:lang w:val="sr-Latn-ME"/>
              </w:rPr>
              <w:t>+</w:t>
            </w:r>
          </w:p>
        </w:tc>
      </w:tr>
      <w:tr w:rsidR="007A5AF9" w:rsidRPr="00F337F4" w14:paraId="1E24188D"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67052C6"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Staphylococcus haemolyticus</w:t>
            </w:r>
            <w:r w:rsidRPr="00F337F4">
              <w:rPr>
                <w:color w:val="000000"/>
                <w:szCs w:val="22"/>
                <w:vertAlign w:val="superscript"/>
                <w:lang w:val="sr-Latn-ME"/>
              </w:rPr>
              <w:t>+</w:t>
            </w:r>
          </w:p>
        </w:tc>
      </w:tr>
      <w:tr w:rsidR="007A5AF9" w:rsidRPr="00F337F4" w14:paraId="337FC622"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9CE898D"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Staphylococcus hominis</w:t>
            </w:r>
            <w:r w:rsidRPr="00F337F4">
              <w:rPr>
                <w:color w:val="000000"/>
                <w:szCs w:val="22"/>
                <w:vertAlign w:val="superscript"/>
                <w:lang w:val="sr-Latn-ME"/>
              </w:rPr>
              <w:t>+</w:t>
            </w:r>
          </w:p>
        </w:tc>
      </w:tr>
      <w:tr w:rsidR="007A5AF9" w:rsidRPr="00F337F4" w14:paraId="1625AA9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7E0CD02"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Gram-negativni aerobi</w:t>
            </w:r>
          </w:p>
        </w:tc>
      </w:tr>
      <w:tr w:rsidR="007A5AF9" w:rsidRPr="00F337F4" w14:paraId="34CAB0A6"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E0DDC56"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Citrobacter freundii</w:t>
            </w:r>
          </w:p>
        </w:tc>
      </w:tr>
      <w:tr w:rsidR="007A5AF9" w:rsidRPr="00F337F4" w14:paraId="793A9651"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EE7AF3D"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Enterobacter aerogenes</w:t>
            </w:r>
          </w:p>
        </w:tc>
      </w:tr>
      <w:tr w:rsidR="007A5AF9" w:rsidRPr="00F337F4" w14:paraId="0664C431"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7A5957D"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Enterobacter cloacae</w:t>
            </w:r>
          </w:p>
        </w:tc>
      </w:tr>
      <w:tr w:rsidR="007A5AF9" w:rsidRPr="00F337F4" w14:paraId="0E5DD4CA"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2C72EDE"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Escherichia coli</w:t>
            </w:r>
            <w:r w:rsidRPr="00F337F4">
              <w:rPr>
                <w:color w:val="000000"/>
                <w:szCs w:val="22"/>
                <w:vertAlign w:val="superscript"/>
                <w:lang w:val="sr-Latn-ME"/>
              </w:rPr>
              <w:t>%</w:t>
            </w:r>
          </w:p>
        </w:tc>
      </w:tr>
      <w:tr w:rsidR="007A5AF9" w:rsidRPr="00F337F4" w14:paraId="16BD539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0B91091"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Klebsiella pneumoniae</w:t>
            </w:r>
            <w:r w:rsidRPr="00F337F4">
              <w:rPr>
                <w:color w:val="000000"/>
                <w:szCs w:val="22"/>
                <w:vertAlign w:val="superscript"/>
                <w:lang w:val="sr-Latn-ME"/>
              </w:rPr>
              <w:t>%</w:t>
            </w:r>
          </w:p>
        </w:tc>
      </w:tr>
      <w:tr w:rsidR="007A5AF9" w:rsidRPr="00F337F4" w14:paraId="3C10713A"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783C4AD9"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Klebsiella oxytoca</w:t>
            </w:r>
            <w:r w:rsidRPr="00F337F4">
              <w:rPr>
                <w:color w:val="000000"/>
                <w:szCs w:val="22"/>
                <w:vertAlign w:val="superscript"/>
                <w:lang w:val="sr-Latn-ME"/>
              </w:rPr>
              <w:t>%</w:t>
            </w:r>
          </w:p>
        </w:tc>
      </w:tr>
      <w:tr w:rsidR="007A5AF9" w:rsidRPr="00F337F4" w14:paraId="3CE938F1"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DD4846D"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Morganella morganii</w:t>
            </w:r>
          </w:p>
        </w:tc>
      </w:tr>
      <w:tr w:rsidR="007A5AF9" w:rsidRPr="00F337F4" w14:paraId="098BC66F"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A3A4C3E"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Proteus vulgaris</w:t>
            </w:r>
          </w:p>
        </w:tc>
      </w:tr>
      <w:tr w:rsidR="007A5AF9" w:rsidRPr="00F337F4" w14:paraId="3C3DC00A"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24856FB"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Serratia marcescens</w:t>
            </w:r>
          </w:p>
        </w:tc>
      </w:tr>
      <w:tr w:rsidR="007A5AF9" w:rsidRPr="00F337F4" w14:paraId="30D5EA83"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7FD05D8"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Anaerobi</w:t>
            </w:r>
          </w:p>
        </w:tc>
      </w:tr>
      <w:tr w:rsidR="007A5AF9" w:rsidRPr="00F337F4" w14:paraId="24A62DD7"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928287"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Bacteroides</w:t>
            </w:r>
            <w:r w:rsidRPr="00F337F4">
              <w:rPr>
                <w:color w:val="000000"/>
                <w:szCs w:val="22"/>
                <w:lang w:val="sr-Latn-ME"/>
              </w:rPr>
              <w:t xml:space="preserve"> spp.</w:t>
            </w:r>
          </w:p>
        </w:tc>
      </w:tr>
      <w:tr w:rsidR="007A5AF9" w:rsidRPr="00F337F4" w14:paraId="31F6EC8A"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6395ECF"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Fusobacterium</w:t>
            </w:r>
            <w:r w:rsidRPr="00F337F4">
              <w:rPr>
                <w:color w:val="000000"/>
                <w:szCs w:val="22"/>
                <w:lang w:val="sr-Latn-ME"/>
              </w:rPr>
              <w:t> spp.</w:t>
            </w:r>
          </w:p>
        </w:tc>
      </w:tr>
      <w:tr w:rsidR="007A5AF9" w:rsidRPr="00F337F4" w14:paraId="0804A17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8DD2C98"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Peptostreptococcus</w:t>
            </w:r>
            <w:r w:rsidRPr="00F337F4">
              <w:rPr>
                <w:color w:val="000000"/>
                <w:szCs w:val="22"/>
                <w:lang w:val="sr-Latn-ME"/>
              </w:rPr>
              <w:t xml:space="preserve"> spp.</w:t>
            </w:r>
          </w:p>
        </w:tc>
      </w:tr>
      <w:tr w:rsidR="007A5AF9" w:rsidRPr="00F337F4" w14:paraId="6CD35833"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4B3B27E"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Clostridium perfringens</w:t>
            </w:r>
          </w:p>
        </w:tc>
      </w:tr>
      <w:tr w:rsidR="007A5AF9" w:rsidRPr="00F337F4" w14:paraId="1FBB33C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2EB80DC" w14:textId="77777777" w:rsidR="007A5AF9" w:rsidRPr="00F337F4" w:rsidRDefault="007A5AF9" w:rsidP="003D5905">
            <w:pPr>
              <w:tabs>
                <w:tab w:val="clear" w:pos="284"/>
              </w:tabs>
              <w:jc w:val="left"/>
              <w:rPr>
                <w:b/>
                <w:bCs/>
                <w:color w:val="000000"/>
                <w:szCs w:val="22"/>
                <w:lang w:val="sr-Latn-ME"/>
              </w:rPr>
            </w:pPr>
            <w:r w:rsidRPr="00F337F4">
              <w:rPr>
                <w:b/>
                <w:bCs/>
                <w:color w:val="000000"/>
                <w:szCs w:val="22"/>
                <w:lang w:val="sr-Latn-ME"/>
              </w:rPr>
              <w:t>PRIRODNO REZISTENTNI ORGANIZMI</w:t>
            </w:r>
          </w:p>
        </w:tc>
      </w:tr>
      <w:tr w:rsidR="007A5AF9" w:rsidRPr="00F337F4" w14:paraId="0CBC58B8"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BBEAB3E"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Gram-pozitivni aerobi</w:t>
            </w:r>
          </w:p>
        </w:tc>
      </w:tr>
      <w:tr w:rsidR="007A5AF9" w:rsidRPr="00F337F4" w14:paraId="2B27FCBC"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0A4539A"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Enterococcus</w:t>
            </w:r>
            <w:r w:rsidRPr="00F337F4">
              <w:rPr>
                <w:color w:val="000000"/>
                <w:szCs w:val="22"/>
                <w:lang w:val="sr-Latn-ME"/>
              </w:rPr>
              <w:t xml:space="preserve"> spp.</w:t>
            </w:r>
          </w:p>
        </w:tc>
      </w:tr>
      <w:tr w:rsidR="007A5AF9" w:rsidRPr="00F337F4" w14:paraId="78517CC9"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8177E35"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Listeria monocytogenes</w:t>
            </w:r>
          </w:p>
        </w:tc>
      </w:tr>
      <w:tr w:rsidR="007A5AF9" w:rsidRPr="00F337F4" w14:paraId="025C186D"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92D1A70"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Gram-negativni aerobi</w:t>
            </w:r>
          </w:p>
        </w:tc>
      </w:tr>
      <w:tr w:rsidR="007A5AF9" w:rsidRPr="00F337F4" w14:paraId="054ED831"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221C9FE"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Acinetobacter baumannii</w:t>
            </w:r>
          </w:p>
        </w:tc>
      </w:tr>
      <w:tr w:rsidR="007A5AF9" w:rsidRPr="00F337F4" w14:paraId="7241996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CC87BC9"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Pseudomonas aeruginosa</w:t>
            </w:r>
          </w:p>
        </w:tc>
      </w:tr>
      <w:tr w:rsidR="007A5AF9" w:rsidRPr="00F337F4" w14:paraId="6A5CEFC8"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9A6AD8D"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Stenotrophomonas maltophilia</w:t>
            </w:r>
          </w:p>
        </w:tc>
      </w:tr>
      <w:tr w:rsidR="007A5AF9" w:rsidRPr="00F337F4" w14:paraId="4AFBE8F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A67CBA3"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Anaerobi</w:t>
            </w:r>
          </w:p>
        </w:tc>
      </w:tr>
      <w:tr w:rsidR="007A5AF9" w:rsidRPr="00F337F4" w14:paraId="6DE72649"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D25CAF0"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Clostridium difficile</w:t>
            </w:r>
          </w:p>
        </w:tc>
      </w:tr>
      <w:tr w:rsidR="007A5AF9" w:rsidRPr="00F337F4" w14:paraId="4B7E76F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7B4BB33" w14:textId="77777777" w:rsidR="007A5AF9" w:rsidRPr="00F337F4" w:rsidRDefault="007A5AF9" w:rsidP="003D5905">
            <w:pPr>
              <w:tabs>
                <w:tab w:val="clear" w:pos="284"/>
              </w:tabs>
              <w:jc w:val="left"/>
              <w:rPr>
                <w:b/>
                <w:bCs/>
                <w:color w:val="000000"/>
                <w:szCs w:val="22"/>
                <w:u w:val="single"/>
                <w:lang w:val="sr-Latn-ME"/>
              </w:rPr>
            </w:pPr>
            <w:r w:rsidRPr="00F337F4">
              <w:rPr>
                <w:b/>
                <w:bCs/>
                <w:color w:val="000000"/>
                <w:szCs w:val="22"/>
                <w:u w:val="single"/>
                <w:lang w:val="sr-Latn-ME"/>
              </w:rPr>
              <w:t>Ostali</w:t>
            </w:r>
          </w:p>
        </w:tc>
      </w:tr>
      <w:tr w:rsidR="007A5AF9" w:rsidRPr="00F337F4" w14:paraId="052DC3B0"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DA67044"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Chlamydia</w:t>
            </w:r>
            <w:r w:rsidRPr="00F337F4">
              <w:rPr>
                <w:color w:val="000000"/>
                <w:szCs w:val="22"/>
                <w:lang w:val="sr-Latn-ME"/>
              </w:rPr>
              <w:t xml:space="preserve"> spp.</w:t>
            </w:r>
          </w:p>
        </w:tc>
      </w:tr>
      <w:tr w:rsidR="007A5AF9" w:rsidRPr="00F337F4" w14:paraId="1BB819AD"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7B8E864"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Chlamydophila</w:t>
            </w:r>
            <w:r w:rsidRPr="00F337F4">
              <w:rPr>
                <w:color w:val="000000"/>
                <w:szCs w:val="22"/>
                <w:lang w:val="sr-Latn-ME"/>
              </w:rPr>
              <w:t xml:space="preserve"> spp.</w:t>
            </w:r>
          </w:p>
        </w:tc>
      </w:tr>
      <w:tr w:rsidR="007A5AF9" w:rsidRPr="00F337F4" w14:paraId="083E2A33"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0BDB10F"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Mycoplasma</w:t>
            </w:r>
            <w:r w:rsidRPr="00F337F4">
              <w:rPr>
                <w:color w:val="000000"/>
                <w:szCs w:val="22"/>
                <w:lang w:val="sr-Latn-ME"/>
              </w:rPr>
              <w:t xml:space="preserve"> spp.</w:t>
            </w:r>
          </w:p>
        </w:tc>
      </w:tr>
      <w:tr w:rsidR="007A5AF9" w:rsidRPr="00F337F4" w14:paraId="2AF5CE2B"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3E59E46" w14:textId="77777777" w:rsidR="007A5AF9" w:rsidRPr="00F337F4" w:rsidRDefault="007A5AF9" w:rsidP="003D5905">
            <w:pPr>
              <w:tabs>
                <w:tab w:val="clear" w:pos="284"/>
              </w:tabs>
              <w:jc w:val="left"/>
              <w:rPr>
                <w:color w:val="000000"/>
                <w:szCs w:val="22"/>
                <w:lang w:val="sr-Latn-ME"/>
              </w:rPr>
            </w:pPr>
            <w:r w:rsidRPr="00F337F4">
              <w:rPr>
                <w:i/>
                <w:color w:val="000000"/>
                <w:szCs w:val="22"/>
                <w:lang w:val="sr-Latn-ME"/>
              </w:rPr>
              <w:t>Legionella</w:t>
            </w:r>
            <w:r w:rsidRPr="00F337F4">
              <w:rPr>
                <w:color w:val="000000"/>
                <w:szCs w:val="22"/>
                <w:lang w:val="sr-Latn-ME"/>
              </w:rPr>
              <w:t xml:space="preserve"> spp.</w:t>
            </w:r>
          </w:p>
        </w:tc>
      </w:tr>
      <w:tr w:rsidR="007A5AF9" w:rsidRPr="00F337F4" w14:paraId="3004CF55" w14:textId="77777777" w:rsidTr="003D5905">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2F3049D" w14:textId="77777777" w:rsidR="007A5AF9" w:rsidRPr="00F337F4" w:rsidRDefault="007A5AF9" w:rsidP="003D5905">
            <w:pPr>
              <w:tabs>
                <w:tab w:val="clear" w:pos="284"/>
              </w:tabs>
              <w:jc w:val="left"/>
              <w:rPr>
                <w:i/>
                <w:color w:val="000000"/>
                <w:szCs w:val="22"/>
                <w:lang w:val="sr-Latn-ME"/>
              </w:rPr>
            </w:pPr>
            <w:r w:rsidRPr="00F337F4">
              <w:rPr>
                <w:i/>
                <w:color w:val="000000"/>
                <w:szCs w:val="22"/>
                <w:lang w:val="sr-Latn-ME"/>
              </w:rPr>
              <w:t>Ureaplasma urealyticum</w:t>
            </w:r>
          </w:p>
        </w:tc>
      </w:tr>
    </w:tbl>
    <w:p w14:paraId="4392B09E" w14:textId="77777777" w:rsidR="007A5AF9" w:rsidRPr="00F337F4" w:rsidRDefault="007A5AF9" w:rsidP="007A5AF9">
      <w:pPr>
        <w:rPr>
          <w:color w:val="000000"/>
          <w:szCs w:val="22"/>
          <w:lang w:val="sr-Latn-ME"/>
        </w:rPr>
      </w:pPr>
      <w:r w:rsidRPr="00F337F4">
        <w:rPr>
          <w:color w:val="000000"/>
          <w:szCs w:val="22"/>
          <w:vertAlign w:val="superscript"/>
          <w:lang w:val="sr-Latn-ME"/>
        </w:rPr>
        <w:lastRenderedPageBreak/>
        <w:t>£</w:t>
      </w:r>
      <w:r w:rsidRPr="00F337F4">
        <w:rPr>
          <w:color w:val="000000"/>
          <w:szCs w:val="22"/>
          <w:lang w:val="sr-Latn-ME"/>
        </w:rPr>
        <w:t xml:space="preserve"> Sve stafilokoke rezistentne na meticilin su rezistentne na ceftriakson.</w:t>
      </w:r>
    </w:p>
    <w:p w14:paraId="6D8E74D6" w14:textId="77777777" w:rsidR="007A5AF9" w:rsidRPr="00F337F4" w:rsidRDefault="007A5AF9" w:rsidP="007A5AF9">
      <w:pPr>
        <w:rPr>
          <w:color w:val="000000"/>
          <w:szCs w:val="22"/>
          <w:lang w:val="sr-Latn-ME"/>
        </w:rPr>
      </w:pPr>
      <w:r w:rsidRPr="00F337F4">
        <w:rPr>
          <w:color w:val="000000"/>
          <w:szCs w:val="22"/>
          <w:vertAlign w:val="superscript"/>
          <w:lang w:val="sr-Latn-ME"/>
        </w:rPr>
        <w:t>+</w:t>
      </w:r>
      <w:r w:rsidRPr="00F337F4">
        <w:rPr>
          <w:color w:val="000000"/>
          <w:szCs w:val="22"/>
          <w:lang w:val="sr-Latn-ME"/>
        </w:rPr>
        <w:t xml:space="preserve"> Stopa rezistencije veća od 50% u najmanje jednom od regiona.</w:t>
      </w:r>
    </w:p>
    <w:p w14:paraId="0D2534F9" w14:textId="77777777" w:rsidR="007A5AF9" w:rsidRPr="00F337F4" w:rsidRDefault="007A5AF9" w:rsidP="007A5AF9">
      <w:pPr>
        <w:rPr>
          <w:color w:val="000000"/>
          <w:szCs w:val="22"/>
          <w:lang w:val="sr-Latn-ME"/>
        </w:rPr>
      </w:pPr>
      <w:r w:rsidRPr="00F337F4">
        <w:rPr>
          <w:color w:val="000000"/>
          <w:szCs w:val="22"/>
          <w:vertAlign w:val="superscript"/>
          <w:lang w:val="sr-Latn-ME"/>
        </w:rPr>
        <w:t>%</w:t>
      </w:r>
      <w:r w:rsidRPr="00F337F4">
        <w:rPr>
          <w:color w:val="000000"/>
          <w:szCs w:val="22"/>
          <w:lang w:val="sr-Latn-ME"/>
        </w:rPr>
        <w:t xml:space="preserve"> Sojevi koji proizvode ESBL (</w:t>
      </w:r>
      <w:r w:rsidRPr="00F337F4">
        <w:rPr>
          <w:i/>
          <w:color w:val="000000"/>
          <w:szCs w:val="22"/>
          <w:lang w:val="sr-Latn-ME"/>
        </w:rPr>
        <w:t>extended spectrum beta-lactamases</w:t>
      </w:r>
      <w:r w:rsidRPr="00F337F4">
        <w:rPr>
          <w:color w:val="000000"/>
          <w:szCs w:val="22"/>
          <w:lang w:val="sr-Latn-ME"/>
        </w:rPr>
        <w:t>) su uvijek rezistentni.</w:t>
      </w:r>
    </w:p>
    <w:p w14:paraId="676DF86A" w14:textId="77777777" w:rsidR="007A5AF9" w:rsidRDefault="007A5AF9" w:rsidP="007A5AF9">
      <w:pPr>
        <w:rPr>
          <w:szCs w:val="22"/>
          <w:lang w:val="sr-Latn-ME"/>
        </w:rPr>
      </w:pPr>
    </w:p>
    <w:p w14:paraId="00DFF10C" w14:textId="77777777" w:rsidR="007A5AF9" w:rsidRPr="00F337F4" w:rsidRDefault="007A5AF9" w:rsidP="007A5AF9">
      <w:pPr>
        <w:rPr>
          <w:b/>
          <w:bCs/>
          <w:szCs w:val="22"/>
          <w:lang w:val="sr-Latn-ME"/>
        </w:rPr>
      </w:pPr>
      <w:r w:rsidRPr="00F337F4">
        <w:rPr>
          <w:b/>
          <w:bCs/>
          <w:szCs w:val="22"/>
          <w:lang w:val="sr-Latn-ME"/>
        </w:rPr>
        <w:t>5.2. Farmakokinetički podaci</w:t>
      </w:r>
    </w:p>
    <w:p w14:paraId="2A2F1A79" w14:textId="77777777" w:rsidR="007A5AF9" w:rsidRPr="00F337F4" w:rsidRDefault="007A5AF9" w:rsidP="007A5AF9">
      <w:pPr>
        <w:rPr>
          <w:szCs w:val="22"/>
          <w:lang w:val="sr-Latn-ME"/>
        </w:rPr>
      </w:pPr>
    </w:p>
    <w:p w14:paraId="6C1767E0" w14:textId="77777777" w:rsidR="007A5AF9" w:rsidRPr="00D63E74" w:rsidRDefault="007A5AF9" w:rsidP="007A5AF9">
      <w:pPr>
        <w:rPr>
          <w:bCs/>
          <w:szCs w:val="22"/>
          <w:u w:val="single"/>
          <w:lang w:val="sr-Latn-ME"/>
        </w:rPr>
      </w:pPr>
      <w:r w:rsidRPr="00D63E74">
        <w:rPr>
          <w:bCs/>
          <w:szCs w:val="22"/>
          <w:u w:val="single"/>
          <w:lang w:val="sr-Latn-ME"/>
        </w:rPr>
        <w:t>Resorpcija</w:t>
      </w:r>
    </w:p>
    <w:p w14:paraId="58F8F280" w14:textId="77777777" w:rsidR="007A5AF9" w:rsidRPr="00F337F4" w:rsidRDefault="007A5AF9" w:rsidP="007A5AF9">
      <w:pPr>
        <w:rPr>
          <w:szCs w:val="22"/>
          <w:lang w:val="sr-Latn-ME"/>
        </w:rPr>
      </w:pPr>
    </w:p>
    <w:p w14:paraId="617BECF1" w14:textId="77777777" w:rsidR="007A5AF9" w:rsidRPr="00F337F4" w:rsidRDefault="007A5AF9" w:rsidP="007A5AF9">
      <w:pPr>
        <w:rPr>
          <w:i/>
          <w:szCs w:val="22"/>
          <w:u w:val="single"/>
          <w:lang w:val="sr-Latn-ME"/>
        </w:rPr>
      </w:pPr>
      <w:r w:rsidRPr="00F337F4">
        <w:rPr>
          <w:i/>
          <w:szCs w:val="22"/>
          <w:u w:val="single"/>
          <w:lang w:val="sr-Latn-ME"/>
        </w:rPr>
        <w:t>Intramuskularna primjena</w:t>
      </w:r>
    </w:p>
    <w:p w14:paraId="6A3DCE96" w14:textId="77777777" w:rsidR="007A5AF9" w:rsidRPr="00F337F4" w:rsidRDefault="007A5AF9" w:rsidP="007A5AF9">
      <w:pPr>
        <w:rPr>
          <w:szCs w:val="22"/>
          <w:lang w:val="sr-Latn-ME"/>
        </w:rPr>
      </w:pPr>
      <w:r w:rsidRPr="00F337F4">
        <w:rPr>
          <w:szCs w:val="22"/>
          <w:lang w:val="sr-Latn-ME"/>
        </w:rPr>
        <w:t>Srednja vrijednost maksimalnih koncentracija ceftriaksona u plazmi nakon intramuskularne injekcije je približno polovina koncentracije uočene nakon primjene ekvivalentnih doza intravenskim putem. Maksimalna koncentracija u plazmi nakon primjene pojedinačne intramuskularne doze od 1 g je oko 81 mg/L i postiže se 2-3 h nakon primjene. Površina ispod krive (PIK) nakon intramuskularne primjene je ekvivalentna onoj koja nastaje po intravenskoj primjeni ekvivalentne doze.</w:t>
      </w:r>
    </w:p>
    <w:p w14:paraId="602B460E" w14:textId="77777777" w:rsidR="007A5AF9" w:rsidRPr="00F337F4" w:rsidRDefault="007A5AF9" w:rsidP="007A5AF9">
      <w:pPr>
        <w:rPr>
          <w:szCs w:val="22"/>
          <w:lang w:val="sr-Latn-ME"/>
        </w:rPr>
      </w:pPr>
    </w:p>
    <w:p w14:paraId="772B60B2" w14:textId="77777777" w:rsidR="007A5AF9" w:rsidRPr="00F337F4" w:rsidRDefault="007A5AF9" w:rsidP="007A5AF9">
      <w:pPr>
        <w:rPr>
          <w:i/>
          <w:szCs w:val="22"/>
          <w:u w:val="single"/>
          <w:lang w:val="sr-Latn-ME"/>
        </w:rPr>
      </w:pPr>
      <w:r w:rsidRPr="00F337F4">
        <w:rPr>
          <w:i/>
          <w:szCs w:val="22"/>
          <w:u w:val="single"/>
          <w:lang w:val="sr-Latn-ME"/>
        </w:rPr>
        <w:t>Intravenska primjena</w:t>
      </w:r>
    </w:p>
    <w:p w14:paraId="56299628" w14:textId="77777777" w:rsidR="007A5AF9" w:rsidRPr="00F337F4" w:rsidRDefault="007A5AF9" w:rsidP="007A5AF9">
      <w:pPr>
        <w:rPr>
          <w:lang w:val="sr-Latn-ME"/>
        </w:rPr>
      </w:pPr>
      <w:r w:rsidRPr="00F337F4">
        <w:rPr>
          <w:szCs w:val="22"/>
          <w:lang w:val="sr-Latn-ME"/>
        </w:rPr>
        <w:t>Nakon primjene 500 mg i 1 g ceftriaksona putem intravenske bolus injekcije, srednje vrijednosti maksimalnih koncentracija su oko 120 odnosno 200 mg/L. Nakon primjene 500 mg, 1 g i 2 g ceftriaksona putem intravenske infuzije, koncentracije u plazmi su oko 80, 150 odnosno 250 mg/L.</w:t>
      </w:r>
    </w:p>
    <w:p w14:paraId="1472625D" w14:textId="77777777" w:rsidR="007A5AF9" w:rsidRPr="00F337F4" w:rsidRDefault="007A5AF9" w:rsidP="007A5AF9">
      <w:pPr>
        <w:rPr>
          <w:szCs w:val="22"/>
          <w:lang w:val="sr-Latn-ME"/>
        </w:rPr>
      </w:pPr>
    </w:p>
    <w:p w14:paraId="0334377F" w14:textId="77777777" w:rsidR="007A5AF9" w:rsidRPr="00D63E74" w:rsidRDefault="007A5AF9" w:rsidP="007A5AF9">
      <w:pPr>
        <w:rPr>
          <w:bCs/>
          <w:szCs w:val="22"/>
          <w:u w:val="single"/>
          <w:lang w:val="sr-Latn-ME"/>
        </w:rPr>
      </w:pPr>
      <w:r w:rsidRPr="00D63E74">
        <w:rPr>
          <w:bCs/>
          <w:szCs w:val="22"/>
          <w:u w:val="single"/>
          <w:lang w:val="sr-Latn-ME"/>
        </w:rPr>
        <w:t>Distribucija</w:t>
      </w:r>
    </w:p>
    <w:p w14:paraId="0541AEF9" w14:textId="77777777" w:rsidR="007A5AF9" w:rsidRPr="00F337F4" w:rsidRDefault="007A5AF9" w:rsidP="007A5AF9">
      <w:pPr>
        <w:rPr>
          <w:szCs w:val="22"/>
          <w:lang w:val="sr-Latn-ME"/>
        </w:rPr>
      </w:pPr>
      <w:r w:rsidRPr="00F337F4">
        <w:rPr>
          <w:szCs w:val="22"/>
          <w:lang w:val="sr-Latn-ME"/>
        </w:rPr>
        <w:t>Volumen distribucije ceftriaksona je 7-12 L. Koncentracije koje su značajno iznad MIK za najznačajnije patogene su utvrđene u tkivima uključujući pluća, srce, bilijarni trakt/jetru, tonzile, srednje uho i nazalnu mukozu, kosti, kao i cerebrospinalnu, pleuralnu, prostatnu i sinovijalnu tečnost. Pri ponovljenoj primjeni uočeno je uvećanje od 8-15% srednje vrijednosti maksimalne koncentracije (C</w:t>
      </w:r>
      <w:r w:rsidRPr="00F337F4">
        <w:rPr>
          <w:szCs w:val="22"/>
          <w:vertAlign w:val="subscript"/>
          <w:lang w:val="sr-Latn-ME"/>
        </w:rPr>
        <w:t>max</w:t>
      </w:r>
      <w:r w:rsidRPr="00F337F4">
        <w:rPr>
          <w:szCs w:val="22"/>
          <w:lang w:val="sr-Latn-ME"/>
        </w:rPr>
        <w:t>) u plazmi, dok se stanje ravnoteže u većini slučajeva postiže u okviru 48-72 h, u zavisnosti od načina primjene.</w:t>
      </w:r>
    </w:p>
    <w:p w14:paraId="43E243E7" w14:textId="77777777" w:rsidR="007A5AF9" w:rsidRPr="00F337F4" w:rsidRDefault="007A5AF9" w:rsidP="007A5AF9">
      <w:pPr>
        <w:rPr>
          <w:szCs w:val="22"/>
          <w:lang w:val="sr-Latn-ME"/>
        </w:rPr>
      </w:pPr>
    </w:p>
    <w:p w14:paraId="5A53BD4A" w14:textId="77777777" w:rsidR="007A5AF9" w:rsidRPr="00F337F4" w:rsidRDefault="007A5AF9" w:rsidP="007A5AF9">
      <w:pPr>
        <w:rPr>
          <w:bCs/>
          <w:i/>
          <w:iCs/>
          <w:szCs w:val="22"/>
          <w:lang w:val="sr-Latn-ME"/>
        </w:rPr>
      </w:pPr>
      <w:r w:rsidRPr="00F337F4">
        <w:rPr>
          <w:bCs/>
          <w:i/>
          <w:iCs/>
          <w:szCs w:val="22"/>
          <w:lang w:val="sr-Latn-ME"/>
        </w:rPr>
        <w:t>Prodiranje u pojedina tkiva</w:t>
      </w:r>
    </w:p>
    <w:p w14:paraId="59919C45" w14:textId="77777777" w:rsidR="007A5AF9" w:rsidRPr="00F337F4" w:rsidRDefault="007A5AF9" w:rsidP="007A5AF9">
      <w:pPr>
        <w:rPr>
          <w:szCs w:val="22"/>
          <w:lang w:val="sr-Latn-ME"/>
        </w:rPr>
      </w:pPr>
      <w:r w:rsidRPr="00F337F4">
        <w:rPr>
          <w:szCs w:val="22"/>
          <w:lang w:val="sr-Latn-ME"/>
        </w:rPr>
        <w:t xml:space="preserve">Ceftriakson prodire kroz moždane ovojnice, pri čemu je stepen penetracije najveći pri njihovom zapaljenju. Srednja vrijednost koncentracija ceftriaksona u cerebrospinalnoj tečnosti iznosi do 25% od nivoa u plazmi kod pacijenata sa bakterijskim meningitisom, u poređenju sa 2% od nivoa u plazmi kod pacijenata kod kojih ne postoji zapaljenje moždanih ovojnica. Maksimalne koncentracije ceftriaksona u cerebrospinalnoj tečnosti se postižu za oko 4-6 h nakon primjene putem intravenske injekcije. </w:t>
      </w:r>
    </w:p>
    <w:p w14:paraId="4224DB7B" w14:textId="77777777" w:rsidR="007A5AF9" w:rsidRPr="00F337F4" w:rsidRDefault="007A5AF9" w:rsidP="007A5AF9">
      <w:pPr>
        <w:rPr>
          <w:szCs w:val="22"/>
          <w:lang w:val="sr-Latn-ME"/>
        </w:rPr>
      </w:pPr>
      <w:r w:rsidRPr="00F337F4">
        <w:rPr>
          <w:szCs w:val="22"/>
          <w:lang w:val="sr-Latn-ME"/>
        </w:rPr>
        <w:t xml:space="preserve">Ceftriakson prolazi placentalnu barijeru i izlučuje se u majčino mlijeko u niskim koncentracijama (vidjeti dio 4.6). </w:t>
      </w:r>
    </w:p>
    <w:p w14:paraId="1B04E46A" w14:textId="77777777" w:rsidR="007A5AF9" w:rsidRPr="00F337F4" w:rsidRDefault="007A5AF9" w:rsidP="007A5AF9">
      <w:pPr>
        <w:rPr>
          <w:szCs w:val="22"/>
          <w:lang w:val="sr-Latn-ME"/>
        </w:rPr>
      </w:pPr>
    </w:p>
    <w:p w14:paraId="25BB6B1C" w14:textId="77777777" w:rsidR="007A5AF9" w:rsidRPr="00F337F4" w:rsidRDefault="007A5AF9" w:rsidP="007A5AF9">
      <w:pPr>
        <w:rPr>
          <w:bCs/>
          <w:i/>
          <w:iCs/>
          <w:szCs w:val="22"/>
          <w:lang w:val="sr-Latn-ME"/>
        </w:rPr>
      </w:pPr>
      <w:r w:rsidRPr="00F337F4">
        <w:rPr>
          <w:bCs/>
          <w:i/>
          <w:iCs/>
          <w:szCs w:val="22"/>
          <w:lang w:val="sr-Latn-ME"/>
        </w:rPr>
        <w:t>Vezivanje za proteine</w:t>
      </w:r>
    </w:p>
    <w:p w14:paraId="2208D848" w14:textId="77777777" w:rsidR="007A5AF9" w:rsidRPr="00F337F4" w:rsidRDefault="007A5AF9" w:rsidP="007A5AF9">
      <w:pPr>
        <w:rPr>
          <w:szCs w:val="22"/>
          <w:lang w:val="sr-Latn-ME"/>
        </w:rPr>
      </w:pPr>
      <w:r w:rsidRPr="00F337F4">
        <w:rPr>
          <w:szCs w:val="22"/>
          <w:lang w:val="sr-Latn-ME"/>
        </w:rPr>
        <w:t xml:space="preserve">Ceftriakson se reverzibilno vezuje za albumine. Vezivanje za proteine plazme iznosi oko 95% pri koncentracijama u plazmi nižim od 100 mg/L. Vezivanje je podložno zasićenju pa se udeo vezanog ceftriaksona smanjuje pri povećanju koncentracija (do 85% pri koncentraciji u plazmi od 300 mg/L). </w:t>
      </w:r>
    </w:p>
    <w:p w14:paraId="485E0418" w14:textId="77777777" w:rsidR="007A5AF9" w:rsidRPr="00F337F4" w:rsidRDefault="007A5AF9" w:rsidP="007A5AF9">
      <w:pPr>
        <w:rPr>
          <w:szCs w:val="22"/>
          <w:lang w:val="sr-Latn-ME"/>
        </w:rPr>
      </w:pPr>
    </w:p>
    <w:p w14:paraId="59CFE090" w14:textId="77777777" w:rsidR="007A5AF9" w:rsidRPr="00D63E74" w:rsidRDefault="007A5AF9" w:rsidP="007A5AF9">
      <w:pPr>
        <w:rPr>
          <w:bCs/>
          <w:szCs w:val="22"/>
          <w:u w:val="single"/>
          <w:lang w:val="sr-Latn-ME"/>
        </w:rPr>
      </w:pPr>
      <w:r w:rsidRPr="00D63E74">
        <w:rPr>
          <w:bCs/>
          <w:szCs w:val="22"/>
          <w:u w:val="single"/>
          <w:lang w:val="sr-Latn-ME"/>
        </w:rPr>
        <w:t>Biotransformacija</w:t>
      </w:r>
    </w:p>
    <w:p w14:paraId="16E6D7F8" w14:textId="77777777" w:rsidR="007A5AF9" w:rsidRPr="00F337F4" w:rsidRDefault="007A5AF9" w:rsidP="007A5AF9">
      <w:pPr>
        <w:rPr>
          <w:szCs w:val="22"/>
          <w:lang w:val="sr-Latn-ME"/>
        </w:rPr>
      </w:pPr>
      <w:r w:rsidRPr="00F337F4">
        <w:rPr>
          <w:szCs w:val="22"/>
          <w:lang w:val="sr-Latn-ME"/>
        </w:rPr>
        <w:t xml:space="preserve">Ceftriakson se ne metaboliše sistemski, ali se pretvara u neaktivne metabolite pod uticajem crijevne flore. </w:t>
      </w:r>
    </w:p>
    <w:p w14:paraId="30F80EE6" w14:textId="77777777" w:rsidR="007A5AF9" w:rsidRPr="00F337F4" w:rsidRDefault="007A5AF9" w:rsidP="007A5AF9">
      <w:pPr>
        <w:rPr>
          <w:szCs w:val="22"/>
          <w:lang w:val="sr-Latn-ME"/>
        </w:rPr>
      </w:pPr>
    </w:p>
    <w:p w14:paraId="3760642C" w14:textId="77777777" w:rsidR="007A5AF9" w:rsidRPr="00D63E74" w:rsidRDefault="007A5AF9" w:rsidP="007A5AF9">
      <w:pPr>
        <w:rPr>
          <w:bCs/>
          <w:szCs w:val="22"/>
          <w:u w:val="single"/>
          <w:lang w:val="sr-Latn-ME"/>
        </w:rPr>
      </w:pPr>
      <w:r w:rsidRPr="00D63E74">
        <w:rPr>
          <w:bCs/>
          <w:szCs w:val="22"/>
          <w:u w:val="single"/>
          <w:lang w:val="sr-Latn-ME"/>
        </w:rPr>
        <w:t>Eliminacija</w:t>
      </w:r>
    </w:p>
    <w:p w14:paraId="07EFC4EE" w14:textId="77777777" w:rsidR="007A5AF9" w:rsidRPr="00F337F4" w:rsidRDefault="007A5AF9" w:rsidP="007A5AF9">
      <w:pPr>
        <w:rPr>
          <w:szCs w:val="22"/>
          <w:lang w:val="sr-Latn-ME"/>
        </w:rPr>
      </w:pPr>
      <w:r w:rsidRPr="00F337F4">
        <w:rPr>
          <w:szCs w:val="22"/>
          <w:lang w:val="sr-Latn-ME"/>
        </w:rPr>
        <w:t xml:space="preserve">Klirens iz plazme ukupnog ceftriaksona (vezanog i nevezanog) je 10-22 mL/min. Renalni klirens je 5-12 mL/min. 50-60% ceftriaksona se izluči nepromijenjeno urinom, primarno glomerularnom filtracijom, dok 40-50% biva izlučeno nepromijenjeno putem žuči. Poluvrijeme eliminacije ukupnog ceftriaksona kod odraslih je oko 8 sati. </w:t>
      </w:r>
    </w:p>
    <w:p w14:paraId="146282E1" w14:textId="77777777" w:rsidR="007A5AF9" w:rsidRPr="00F337F4" w:rsidRDefault="007A5AF9" w:rsidP="007A5AF9">
      <w:pPr>
        <w:rPr>
          <w:szCs w:val="22"/>
          <w:lang w:val="sr-Latn-ME"/>
        </w:rPr>
      </w:pPr>
    </w:p>
    <w:p w14:paraId="2243AFDB" w14:textId="77777777" w:rsidR="007A5AF9" w:rsidRPr="00F337F4" w:rsidRDefault="007A5AF9" w:rsidP="007A5AF9">
      <w:pPr>
        <w:rPr>
          <w:bCs/>
          <w:i/>
          <w:iCs/>
          <w:szCs w:val="22"/>
          <w:lang w:val="sr-Latn-ME"/>
        </w:rPr>
      </w:pPr>
      <w:r w:rsidRPr="00F337F4">
        <w:rPr>
          <w:bCs/>
          <w:i/>
          <w:iCs/>
          <w:szCs w:val="22"/>
          <w:lang w:val="sr-Latn-ME"/>
        </w:rPr>
        <w:t>Pacijenti sa oštećenjem funkcije bubrega ili jetre</w:t>
      </w:r>
    </w:p>
    <w:p w14:paraId="19BE2E4A" w14:textId="77777777" w:rsidR="007A5AF9" w:rsidRPr="00F337F4" w:rsidRDefault="007A5AF9" w:rsidP="007A5AF9">
      <w:pPr>
        <w:rPr>
          <w:szCs w:val="22"/>
          <w:lang w:val="sr-Latn-ME"/>
        </w:rPr>
      </w:pPr>
      <w:r w:rsidRPr="00F337F4">
        <w:rPr>
          <w:szCs w:val="22"/>
          <w:lang w:val="sr-Latn-ME"/>
        </w:rPr>
        <w:t xml:space="preserve">Kod pacijenata sa poremećajem funkcije bubrega ili jetre farmakokinetika ceftriaksona je samo minimalno izmijenjena sa blagim produženjem poluvremena eliminacije (manje od dva puta), čak i kod pacijenata sa teškim oštećenjem renalne funkcije. </w:t>
      </w:r>
    </w:p>
    <w:p w14:paraId="30029C88" w14:textId="77777777" w:rsidR="007A5AF9" w:rsidRPr="00F337F4" w:rsidRDefault="007A5AF9" w:rsidP="007A5AF9">
      <w:pPr>
        <w:rPr>
          <w:szCs w:val="22"/>
          <w:lang w:val="sr-Latn-ME"/>
        </w:rPr>
      </w:pPr>
    </w:p>
    <w:p w14:paraId="6F3BEA77" w14:textId="77777777" w:rsidR="007A5AF9" w:rsidRPr="00F337F4" w:rsidRDefault="007A5AF9" w:rsidP="007A5AF9">
      <w:pPr>
        <w:rPr>
          <w:szCs w:val="22"/>
          <w:lang w:val="sr-Latn-ME"/>
        </w:rPr>
      </w:pPr>
      <w:r w:rsidRPr="00F337F4">
        <w:rPr>
          <w:szCs w:val="22"/>
          <w:lang w:val="sr-Latn-ME"/>
        </w:rPr>
        <w:lastRenderedPageBreak/>
        <w:t>Relativno blago produženje poluvremena eliminacije kod oštećenja funkcije bubrega se objašnjava kompenzatornim povećanjem nerenalnog klirensa, što je posledica smanjenog vezivanja za proteine plazme i posledičnog povećanja nerenalnog klirensa ukupnog ceftriaksona.</w:t>
      </w:r>
    </w:p>
    <w:p w14:paraId="689EC7FF" w14:textId="77777777" w:rsidR="007A5AF9" w:rsidRPr="00F337F4" w:rsidRDefault="007A5AF9" w:rsidP="007A5AF9">
      <w:pPr>
        <w:rPr>
          <w:szCs w:val="22"/>
          <w:lang w:val="sr-Latn-ME"/>
        </w:rPr>
      </w:pPr>
    </w:p>
    <w:p w14:paraId="2E6B69B7" w14:textId="77777777" w:rsidR="007A5AF9" w:rsidRPr="00F337F4" w:rsidRDefault="007A5AF9" w:rsidP="007A5AF9">
      <w:pPr>
        <w:rPr>
          <w:szCs w:val="22"/>
          <w:lang w:val="sr-Latn-ME"/>
        </w:rPr>
      </w:pPr>
      <w:r w:rsidRPr="00F337F4">
        <w:rPr>
          <w:szCs w:val="22"/>
          <w:lang w:val="sr-Latn-ME"/>
        </w:rPr>
        <w:t xml:space="preserve">Kod pacijenata sa oštećenjem funkcije jetre poluvrijeme eliminacije ceftriaksona nije produženo usled kompenzatornog povećanja renalnog klirensa. Ovo je takođe posledica povećanja udela nevezanog ceftriaksona u plazmi što doprinosi uočenom paradoksalnom povećanju ukupnog klirensa lijeka, sa povećanjem u volumenu distribucije paralelno povećanju ukupnog klirensa. </w:t>
      </w:r>
    </w:p>
    <w:p w14:paraId="69C3506B" w14:textId="77777777" w:rsidR="007A5AF9" w:rsidRDefault="007A5AF9" w:rsidP="007A5AF9">
      <w:pPr>
        <w:rPr>
          <w:bCs/>
          <w:i/>
          <w:iCs/>
          <w:szCs w:val="22"/>
          <w:lang w:val="sr-Latn-ME"/>
        </w:rPr>
      </w:pPr>
    </w:p>
    <w:p w14:paraId="04F108E5" w14:textId="77777777" w:rsidR="007A5AF9" w:rsidRPr="00F337F4" w:rsidRDefault="007A5AF9" w:rsidP="007A5AF9">
      <w:pPr>
        <w:rPr>
          <w:bCs/>
          <w:i/>
          <w:iCs/>
          <w:szCs w:val="22"/>
          <w:lang w:val="sr-Latn-ME"/>
        </w:rPr>
      </w:pPr>
      <w:r w:rsidRPr="00F337F4">
        <w:rPr>
          <w:bCs/>
          <w:i/>
          <w:iCs/>
          <w:szCs w:val="22"/>
          <w:lang w:val="sr-Latn-ME"/>
        </w:rPr>
        <w:t>Stariji pacijenti</w:t>
      </w:r>
    </w:p>
    <w:p w14:paraId="2DEEDB83" w14:textId="77777777" w:rsidR="007A5AF9" w:rsidRPr="00F337F4" w:rsidRDefault="007A5AF9" w:rsidP="007A5AF9">
      <w:pPr>
        <w:rPr>
          <w:lang w:val="sr-Latn-ME"/>
        </w:rPr>
      </w:pPr>
      <w:r w:rsidRPr="00F337F4">
        <w:rPr>
          <w:lang w:val="sr-Latn-ME"/>
        </w:rPr>
        <w:t xml:space="preserve">Kod pacijenata starijih od 75 godina prosečno poluvrijeme eliminacije je obično 2 do 3 puta duže od onog kod mladih odraslih osoba. </w:t>
      </w:r>
    </w:p>
    <w:p w14:paraId="3F67EB69" w14:textId="77777777" w:rsidR="007A5AF9" w:rsidRPr="00F337F4" w:rsidRDefault="007A5AF9" w:rsidP="007A5AF9">
      <w:pPr>
        <w:rPr>
          <w:lang w:val="sr-Latn-ME"/>
        </w:rPr>
      </w:pPr>
    </w:p>
    <w:p w14:paraId="10BEE52D" w14:textId="77777777" w:rsidR="007A5AF9" w:rsidRPr="00F337F4" w:rsidRDefault="007A5AF9" w:rsidP="007A5AF9">
      <w:pPr>
        <w:rPr>
          <w:bCs/>
          <w:i/>
          <w:iCs/>
          <w:lang w:val="sr-Latn-ME"/>
        </w:rPr>
      </w:pPr>
      <w:r w:rsidRPr="00F337F4">
        <w:rPr>
          <w:bCs/>
          <w:i/>
          <w:iCs/>
          <w:lang w:val="sr-Latn-ME"/>
        </w:rPr>
        <w:t>Pedijatrijska populacija</w:t>
      </w:r>
    </w:p>
    <w:p w14:paraId="066AB483" w14:textId="77777777" w:rsidR="007A5AF9" w:rsidRPr="00F337F4" w:rsidRDefault="007A5AF9" w:rsidP="007A5AF9">
      <w:pPr>
        <w:rPr>
          <w:lang w:val="sr-Latn-ME"/>
        </w:rPr>
      </w:pPr>
      <w:r w:rsidRPr="00F337F4">
        <w:rPr>
          <w:lang w:val="sr-Latn-ME"/>
        </w:rPr>
        <w:t xml:space="preserve">Poluvrijeme eliminacije ceftriaksona je produženo kod novorođenčadi. Od rođenja do 14 dana, nivoi slobodnog ceftriaksona mogu biti dodatno uvećani posredstvom faktora kao što su smanjena glomerularna filtracija i izmijenjeno vezivanje za proteine. Tokom djetinjstva, poluvrijeme eliminacije je kraće od onog kod novorođenčadi ili odraslih. </w:t>
      </w:r>
    </w:p>
    <w:p w14:paraId="469BABCE" w14:textId="77777777" w:rsidR="007A5AF9" w:rsidRPr="00F337F4" w:rsidRDefault="007A5AF9" w:rsidP="007A5AF9">
      <w:pPr>
        <w:rPr>
          <w:lang w:val="sr-Latn-ME"/>
        </w:rPr>
      </w:pPr>
      <w:r w:rsidRPr="00F337F4">
        <w:rPr>
          <w:lang w:val="sr-Latn-ME"/>
        </w:rPr>
        <w:t xml:space="preserve">Plazma klirens i volumen distribucije ukupnog ceftriaksona su veći kod novorođenčadi, odojčadi i djece u poređenju sa odraslim osobama. </w:t>
      </w:r>
    </w:p>
    <w:p w14:paraId="5D1AC9BD" w14:textId="77777777" w:rsidR="007A5AF9" w:rsidRPr="00F337F4" w:rsidRDefault="007A5AF9" w:rsidP="007A5AF9">
      <w:pPr>
        <w:rPr>
          <w:u w:val="single"/>
          <w:lang w:val="sr-Latn-ME"/>
        </w:rPr>
      </w:pPr>
    </w:p>
    <w:p w14:paraId="67BA3192" w14:textId="77777777" w:rsidR="007A5AF9" w:rsidRPr="00F337F4" w:rsidRDefault="007A5AF9" w:rsidP="007A5AF9">
      <w:pPr>
        <w:rPr>
          <w:bCs/>
          <w:i/>
          <w:iCs/>
          <w:lang w:val="sr-Latn-ME"/>
        </w:rPr>
      </w:pPr>
      <w:r w:rsidRPr="00F337F4">
        <w:rPr>
          <w:bCs/>
          <w:i/>
          <w:iCs/>
          <w:lang w:val="sr-Latn-ME"/>
        </w:rPr>
        <w:t>Linearnost/nelinearnost</w:t>
      </w:r>
    </w:p>
    <w:p w14:paraId="6D0CAD0A" w14:textId="77777777" w:rsidR="007A5AF9" w:rsidRPr="00F337F4" w:rsidRDefault="007A5AF9" w:rsidP="007A5AF9">
      <w:pPr>
        <w:rPr>
          <w:lang w:val="sr-Latn-ME"/>
        </w:rPr>
      </w:pPr>
      <w:r w:rsidRPr="00F337F4">
        <w:rPr>
          <w:lang w:val="sr-Latn-ME"/>
        </w:rPr>
        <w:t xml:space="preserve">Farmakokinetika ceftriaksona je nelinearna; svi osnovni farmakokinetički parametri izuzev poluvremena eliminacije su dozno zavisni ukoliko su bazirani na ukupnim koncentracijama lijeka, pa je njihovo povećanje manje od proporcionalnog sa povećanjem doze. Nelinearnost je posledica zasićenja u vezivanju za proteine plazme pa se stoga uočava kod ukupnog ceftriaksona u plazmi, ali ne i kod slobodnog (nevezanog) ceftriaksona. </w:t>
      </w:r>
    </w:p>
    <w:p w14:paraId="1A575444" w14:textId="77777777" w:rsidR="007A5AF9" w:rsidRPr="00F337F4" w:rsidRDefault="007A5AF9" w:rsidP="007A5AF9">
      <w:pPr>
        <w:rPr>
          <w:lang w:val="sr-Latn-ME"/>
        </w:rPr>
      </w:pPr>
    </w:p>
    <w:p w14:paraId="23488374" w14:textId="77777777" w:rsidR="007A5AF9" w:rsidRPr="00F337F4" w:rsidRDefault="007A5AF9" w:rsidP="007A5AF9">
      <w:pPr>
        <w:rPr>
          <w:bCs/>
          <w:u w:val="single"/>
          <w:lang w:val="sr-Latn-ME"/>
        </w:rPr>
      </w:pPr>
      <w:r w:rsidRPr="00F337F4">
        <w:rPr>
          <w:bCs/>
          <w:u w:val="single"/>
          <w:lang w:val="sr-Latn-ME"/>
        </w:rPr>
        <w:t>Odnos farmakokinetike i farmakodinamike lijeka</w:t>
      </w:r>
    </w:p>
    <w:p w14:paraId="2FE7CF4F" w14:textId="77777777" w:rsidR="007A5AF9" w:rsidRPr="00F337F4" w:rsidRDefault="007A5AF9" w:rsidP="007A5AF9">
      <w:pPr>
        <w:rPr>
          <w:lang w:val="sr-Latn-ME"/>
        </w:rPr>
      </w:pPr>
      <w:r w:rsidRPr="00F337F4">
        <w:rPr>
          <w:lang w:val="sr-Latn-ME"/>
        </w:rPr>
        <w:t xml:space="preserve">Kao i sa drugim beta-laktamskim antibioticima, farmakokinetički-farmakodinamički indeks koji pokazuje najbolju korelaciju sa efikasnošću </w:t>
      </w:r>
      <w:r w:rsidRPr="00F337F4">
        <w:rPr>
          <w:i/>
          <w:lang w:val="sr-Latn-ME"/>
        </w:rPr>
        <w:t>in vivo</w:t>
      </w:r>
      <w:r w:rsidRPr="00F337F4">
        <w:rPr>
          <w:lang w:val="sr-Latn-ME"/>
        </w:rPr>
        <w:t xml:space="preserve"> je procenat intervala doziranja u kome koncentracija nevezanog ceftriaksona ostaje iznad MIK za određenu ciljnu vrstu (tj. %T &gt; MIK). </w:t>
      </w:r>
    </w:p>
    <w:p w14:paraId="6B08DF31" w14:textId="77777777" w:rsidR="007A5AF9" w:rsidRPr="00F337F4" w:rsidRDefault="007A5AF9" w:rsidP="007A5AF9">
      <w:pPr>
        <w:rPr>
          <w:szCs w:val="22"/>
          <w:lang w:val="sr-Latn-ME"/>
        </w:rPr>
      </w:pPr>
    </w:p>
    <w:p w14:paraId="4E673E4E" w14:textId="77777777" w:rsidR="007A5AF9" w:rsidRPr="00F337F4" w:rsidRDefault="007A5AF9" w:rsidP="007A5AF9">
      <w:pPr>
        <w:rPr>
          <w:b/>
          <w:bCs/>
          <w:szCs w:val="22"/>
          <w:lang w:val="sr-Latn-ME"/>
        </w:rPr>
      </w:pPr>
      <w:r w:rsidRPr="00F337F4">
        <w:rPr>
          <w:b/>
          <w:bCs/>
          <w:szCs w:val="22"/>
          <w:lang w:val="sr-Latn-ME"/>
        </w:rPr>
        <w:t>5.3. Pretklinički podaci o bezbjednosti</w:t>
      </w:r>
    </w:p>
    <w:p w14:paraId="69CE1891" w14:textId="77777777" w:rsidR="007A5AF9" w:rsidRPr="00F337F4" w:rsidRDefault="007A5AF9" w:rsidP="007A5AF9">
      <w:pPr>
        <w:rPr>
          <w:szCs w:val="22"/>
          <w:lang w:val="sr-Latn-ME"/>
        </w:rPr>
      </w:pPr>
    </w:p>
    <w:p w14:paraId="2291518A" w14:textId="77777777" w:rsidR="007A5AF9" w:rsidRPr="00F337F4" w:rsidRDefault="007A5AF9" w:rsidP="007A5AF9">
      <w:pPr>
        <w:rPr>
          <w:szCs w:val="22"/>
          <w:lang w:val="sr-Latn-ME"/>
        </w:rPr>
      </w:pPr>
      <w:r w:rsidRPr="00F337F4">
        <w:rPr>
          <w:szCs w:val="22"/>
          <w:lang w:val="sr-Latn-ME"/>
        </w:rPr>
        <w:t xml:space="preserve">Podaci iz studija na životinjama pokazuju da visoke doze soli ceftriaksona-kalcijuma dovode do stvaranja konkremenata i precipitata u žučnoj kesi pasa i majmuna, što je dokazano reverzibilan proces. Studije na životinjama nisu pokazale reproduktivnu toksičnost, kao ni genotoksičnost. Nisu sprovedene studije karcinogenog potencijala ceftriaksona. </w:t>
      </w:r>
    </w:p>
    <w:p w14:paraId="3BF1CCF6" w14:textId="77777777" w:rsidR="007A5AF9" w:rsidRDefault="007A5AF9" w:rsidP="007A5AF9">
      <w:pPr>
        <w:pStyle w:val="NASLOV123"/>
        <w:spacing w:before="0" w:after="0"/>
        <w:rPr>
          <w:lang w:val="sr-Latn-ME"/>
        </w:rPr>
      </w:pPr>
    </w:p>
    <w:p w14:paraId="4650CB30" w14:textId="77777777" w:rsidR="007A5AF9" w:rsidRDefault="007A5AF9" w:rsidP="007A5AF9">
      <w:pPr>
        <w:pStyle w:val="NASLOV123"/>
        <w:spacing w:before="0" w:after="0"/>
        <w:rPr>
          <w:lang w:val="sr-Latn-ME"/>
        </w:rPr>
      </w:pPr>
    </w:p>
    <w:p w14:paraId="248FD7C4" w14:textId="77777777" w:rsidR="007A5AF9" w:rsidRPr="00F337F4" w:rsidRDefault="007A5AF9" w:rsidP="007A5AF9">
      <w:pPr>
        <w:pStyle w:val="NASLOV123"/>
        <w:spacing w:before="0" w:after="0"/>
        <w:rPr>
          <w:lang w:val="sr-Latn-ME"/>
        </w:rPr>
      </w:pPr>
      <w:r w:rsidRPr="00F337F4">
        <w:rPr>
          <w:lang w:val="sr-Latn-ME"/>
        </w:rPr>
        <w:t>6. FARMACEUTSKI PODACI</w:t>
      </w:r>
    </w:p>
    <w:p w14:paraId="3D554030" w14:textId="77777777" w:rsidR="007A5AF9" w:rsidRDefault="007A5AF9" w:rsidP="007A5AF9">
      <w:pPr>
        <w:rPr>
          <w:b/>
          <w:bCs/>
          <w:szCs w:val="22"/>
          <w:lang w:val="sr-Latn-ME"/>
        </w:rPr>
      </w:pPr>
    </w:p>
    <w:p w14:paraId="0A8C3DF1" w14:textId="77777777" w:rsidR="007A5AF9" w:rsidRPr="00F337F4" w:rsidRDefault="007A5AF9" w:rsidP="007A5AF9">
      <w:pPr>
        <w:rPr>
          <w:b/>
          <w:bCs/>
          <w:szCs w:val="22"/>
          <w:lang w:val="sr-Latn-ME"/>
        </w:rPr>
      </w:pPr>
      <w:r w:rsidRPr="00F337F4">
        <w:rPr>
          <w:b/>
          <w:bCs/>
          <w:szCs w:val="22"/>
          <w:lang w:val="sr-Latn-ME"/>
        </w:rPr>
        <w:t>6.1. Lista pomoćnih supstanci (ekscipijenasa)</w:t>
      </w:r>
    </w:p>
    <w:p w14:paraId="41310B7C" w14:textId="77777777" w:rsidR="007A5AF9" w:rsidRPr="00F337F4" w:rsidRDefault="007A5AF9" w:rsidP="007A5AF9">
      <w:pPr>
        <w:rPr>
          <w:szCs w:val="22"/>
          <w:lang w:val="sr-Latn-ME"/>
        </w:rPr>
      </w:pPr>
    </w:p>
    <w:p w14:paraId="11927216" w14:textId="77777777" w:rsidR="007A5AF9" w:rsidRPr="00F337F4" w:rsidRDefault="007A5AF9" w:rsidP="007A5AF9">
      <w:pPr>
        <w:rPr>
          <w:szCs w:val="22"/>
          <w:lang w:val="sr-Latn-ME"/>
        </w:rPr>
      </w:pPr>
      <w:r w:rsidRPr="00F337F4">
        <w:rPr>
          <w:szCs w:val="22"/>
          <w:lang w:val="sr-Latn-ME"/>
        </w:rPr>
        <w:t>Lijek ne sadrži pomoćne supstance.</w:t>
      </w:r>
    </w:p>
    <w:p w14:paraId="3A2F67E5" w14:textId="77777777" w:rsidR="007A5AF9" w:rsidRPr="00F337F4" w:rsidRDefault="007A5AF9" w:rsidP="007A5AF9">
      <w:pPr>
        <w:rPr>
          <w:szCs w:val="22"/>
          <w:lang w:val="sr-Latn-ME"/>
        </w:rPr>
      </w:pPr>
    </w:p>
    <w:p w14:paraId="47B194FB" w14:textId="77777777" w:rsidR="007A5AF9" w:rsidRPr="00F337F4" w:rsidRDefault="007A5AF9" w:rsidP="007A5AF9">
      <w:pPr>
        <w:rPr>
          <w:b/>
          <w:bCs/>
          <w:szCs w:val="22"/>
          <w:lang w:val="sr-Latn-ME"/>
        </w:rPr>
      </w:pPr>
      <w:r w:rsidRPr="00F337F4">
        <w:rPr>
          <w:b/>
          <w:bCs/>
          <w:szCs w:val="22"/>
          <w:lang w:val="sr-Latn-ME"/>
        </w:rPr>
        <w:t>6.2. Inkompatibilnosti</w:t>
      </w:r>
    </w:p>
    <w:p w14:paraId="02AD4465" w14:textId="77777777" w:rsidR="007A5AF9" w:rsidRPr="00F337F4" w:rsidRDefault="007A5AF9" w:rsidP="007A5AF9">
      <w:pPr>
        <w:rPr>
          <w:szCs w:val="22"/>
          <w:lang w:val="sr-Latn-ME"/>
        </w:rPr>
      </w:pPr>
    </w:p>
    <w:p w14:paraId="4C2576AF" w14:textId="77777777" w:rsidR="007A5AF9" w:rsidRPr="00F337F4" w:rsidRDefault="007A5AF9" w:rsidP="007A5AF9">
      <w:pPr>
        <w:rPr>
          <w:szCs w:val="22"/>
          <w:lang w:val="sr-Latn-ME"/>
        </w:rPr>
      </w:pPr>
      <w:r w:rsidRPr="00F337F4">
        <w:rPr>
          <w:szCs w:val="22"/>
          <w:lang w:val="sr-Latn-ME"/>
        </w:rPr>
        <w:t xml:space="preserve">Na osnovu literaturnih podataka, ceftriakson nije kompatibilan sa amsakrinom, vankomicinom, flukonazolom i aminoglikozidima. </w:t>
      </w:r>
    </w:p>
    <w:p w14:paraId="544706EB" w14:textId="77777777" w:rsidR="007A5AF9" w:rsidRPr="00F337F4" w:rsidRDefault="007A5AF9" w:rsidP="007A5AF9">
      <w:pPr>
        <w:rPr>
          <w:szCs w:val="22"/>
          <w:lang w:val="sr-Latn-ME"/>
        </w:rPr>
      </w:pPr>
      <w:bookmarkStart w:id="0" w:name="_Hlk142316973"/>
      <w:r w:rsidRPr="00F337F4">
        <w:rPr>
          <w:szCs w:val="22"/>
          <w:lang w:val="sr-Latn-ME"/>
        </w:rPr>
        <w:t xml:space="preserve">Ovaj lijek se ne smije miješati sa drugim ljekovima, osim sa onima koji su navedeni u dijelu 6.6. </w:t>
      </w:r>
    </w:p>
    <w:bookmarkEnd w:id="0"/>
    <w:p w14:paraId="43E15311" w14:textId="77777777" w:rsidR="007A5AF9" w:rsidRPr="00F337F4" w:rsidRDefault="007A5AF9" w:rsidP="007A5AF9">
      <w:pPr>
        <w:rPr>
          <w:szCs w:val="22"/>
          <w:lang w:val="sr-Latn-ME"/>
        </w:rPr>
      </w:pPr>
      <w:r w:rsidRPr="00F337F4">
        <w:rPr>
          <w:szCs w:val="22"/>
          <w:lang w:val="sr-Latn-ME"/>
        </w:rPr>
        <w:t>Naročito, rastvarač</w:t>
      </w:r>
      <w:r>
        <w:rPr>
          <w:szCs w:val="22"/>
          <w:lang w:val="sr-Latn-ME"/>
        </w:rPr>
        <w:t>i</w:t>
      </w:r>
      <w:r w:rsidRPr="00F337F4">
        <w:rPr>
          <w:szCs w:val="22"/>
          <w:lang w:val="sr-Latn-ME"/>
        </w:rPr>
        <w:t xml:space="preserve"> koji sadrže kalcijum (npr. Ringerov ili Hartmanov rastvor) ne</w:t>
      </w:r>
      <w:r>
        <w:rPr>
          <w:szCs w:val="22"/>
          <w:lang w:val="sr-Latn-ME"/>
        </w:rPr>
        <w:t xml:space="preserve"> smiju se</w:t>
      </w:r>
      <w:r w:rsidRPr="00F337F4">
        <w:rPr>
          <w:szCs w:val="22"/>
          <w:lang w:val="sr-Latn-ME"/>
        </w:rPr>
        <w:t xml:space="preserve"> koristiti za rekonstituciju ceftriaksona ili za dalje razblaženje rekonstituisanog rastvora za intravensku primjenu, zbog mogućnosti nastajanja precipitata. Ceftriakson se ne smije miješati ili istovremeno primjenjivati sa rastvorima koji sadrže kalcijum, uključujući totalnu parenteralnu ishranu (vidjeti djelove 4.2, 4.3, 4.4 i 4.8).</w:t>
      </w:r>
    </w:p>
    <w:p w14:paraId="363C8A05" w14:textId="77777777" w:rsidR="007A5AF9" w:rsidRPr="00F337F4" w:rsidRDefault="007A5AF9" w:rsidP="007A5AF9">
      <w:pPr>
        <w:rPr>
          <w:szCs w:val="22"/>
          <w:lang w:val="sr-Latn-ME"/>
        </w:rPr>
      </w:pPr>
    </w:p>
    <w:p w14:paraId="4B87A94C" w14:textId="77777777" w:rsidR="007A5AF9" w:rsidRPr="00F337F4" w:rsidRDefault="007A5AF9" w:rsidP="007A5AF9">
      <w:pPr>
        <w:rPr>
          <w:szCs w:val="22"/>
          <w:lang w:val="sr-Latn-ME"/>
        </w:rPr>
      </w:pPr>
      <w:r w:rsidRPr="00F337F4">
        <w:rPr>
          <w:szCs w:val="22"/>
          <w:lang w:val="sr-Latn-ME"/>
        </w:rPr>
        <w:lastRenderedPageBreak/>
        <w:t>Ukoliko je potrebn</w:t>
      </w:r>
      <w:r>
        <w:rPr>
          <w:szCs w:val="22"/>
          <w:lang w:val="sr-Latn-ME"/>
        </w:rPr>
        <w:t>a</w:t>
      </w:r>
      <w:r w:rsidRPr="00F337F4">
        <w:rPr>
          <w:szCs w:val="22"/>
          <w:lang w:val="sr-Latn-ME"/>
        </w:rPr>
        <w:t xml:space="preserve"> istovremen</w:t>
      </w:r>
      <w:r>
        <w:rPr>
          <w:szCs w:val="22"/>
          <w:lang w:val="sr-Latn-ME"/>
        </w:rPr>
        <w:t>a</w:t>
      </w:r>
      <w:r w:rsidRPr="00F337F4">
        <w:rPr>
          <w:szCs w:val="22"/>
          <w:lang w:val="sr-Latn-ME"/>
        </w:rPr>
        <w:t xml:space="preserve"> </w:t>
      </w:r>
      <w:r>
        <w:rPr>
          <w:szCs w:val="22"/>
          <w:lang w:val="sr-Latn-ME"/>
        </w:rPr>
        <w:t xml:space="preserve">primjena </w:t>
      </w:r>
      <w:r w:rsidRPr="00F337F4">
        <w:rPr>
          <w:szCs w:val="22"/>
          <w:lang w:val="sr-Latn-ME"/>
        </w:rPr>
        <w:t>još jednog antibiotika sa lijekom</w:t>
      </w:r>
      <w:r w:rsidRPr="00F337F4">
        <w:rPr>
          <w:lang w:val="sr-Latn-ME"/>
        </w:rPr>
        <w:t xml:space="preserve"> </w:t>
      </w:r>
      <w:r w:rsidRPr="00F337F4">
        <w:rPr>
          <w:szCs w:val="22"/>
          <w:lang w:val="sr-Latn-ME"/>
        </w:rPr>
        <w:t xml:space="preserve">Ceftriaxona Qilu, za primjenu ne treba koristiti isti špric ili isti infuzioni rastvor. </w:t>
      </w:r>
    </w:p>
    <w:p w14:paraId="2E76AD64" w14:textId="77777777" w:rsidR="007A5AF9" w:rsidRPr="00F337F4" w:rsidRDefault="007A5AF9" w:rsidP="007A5AF9">
      <w:pPr>
        <w:rPr>
          <w:szCs w:val="22"/>
          <w:lang w:val="sr-Latn-ME"/>
        </w:rPr>
      </w:pPr>
      <w:r w:rsidRPr="00F337F4">
        <w:rPr>
          <w:szCs w:val="22"/>
          <w:lang w:val="sr-Latn-ME"/>
        </w:rPr>
        <w:t>Ovaj lijek se ne smije miješati sa drugim ljekovima, osim sa onima koji su navedeni u dijelu 6.6.</w:t>
      </w:r>
    </w:p>
    <w:p w14:paraId="19E69492" w14:textId="77777777" w:rsidR="007A5AF9" w:rsidRPr="00F337F4" w:rsidRDefault="007A5AF9" w:rsidP="007A5AF9">
      <w:pPr>
        <w:rPr>
          <w:szCs w:val="22"/>
          <w:lang w:val="sr-Latn-ME"/>
        </w:rPr>
      </w:pPr>
    </w:p>
    <w:p w14:paraId="3DDE6434" w14:textId="77777777" w:rsidR="007A5AF9" w:rsidRPr="00F337F4" w:rsidRDefault="007A5AF9" w:rsidP="007A5AF9">
      <w:pPr>
        <w:rPr>
          <w:b/>
          <w:bCs/>
          <w:szCs w:val="22"/>
          <w:lang w:val="sr-Latn-ME"/>
        </w:rPr>
      </w:pPr>
      <w:r w:rsidRPr="00F337F4">
        <w:rPr>
          <w:b/>
          <w:bCs/>
          <w:szCs w:val="22"/>
          <w:lang w:val="sr-Latn-ME"/>
        </w:rPr>
        <w:t>6.3. Rok upotrebe</w:t>
      </w:r>
    </w:p>
    <w:p w14:paraId="17B6FD74" w14:textId="77777777" w:rsidR="007A5AF9" w:rsidRPr="00F337F4" w:rsidRDefault="007A5AF9" w:rsidP="007A5AF9">
      <w:pPr>
        <w:rPr>
          <w:szCs w:val="22"/>
          <w:lang w:val="sr-Latn-ME"/>
        </w:rPr>
      </w:pPr>
    </w:p>
    <w:p w14:paraId="62260775" w14:textId="195BD6CD" w:rsidR="007A5AF9" w:rsidRPr="00F337F4" w:rsidRDefault="007A5AF9" w:rsidP="007A5AF9">
      <w:pPr>
        <w:rPr>
          <w:szCs w:val="22"/>
          <w:lang w:val="sr-Latn-ME"/>
        </w:rPr>
      </w:pPr>
      <w:r w:rsidRPr="00F337F4">
        <w:rPr>
          <w:szCs w:val="22"/>
          <w:u w:val="single"/>
          <w:lang w:val="sr-Latn-ME"/>
        </w:rPr>
        <w:t>Rok upotrebe neotvorene bočice:</w:t>
      </w:r>
      <w:r w:rsidR="005967A0">
        <w:rPr>
          <w:szCs w:val="22"/>
          <w:lang w:val="sr-Latn-ME"/>
        </w:rPr>
        <w:t xml:space="preserve"> 3</w:t>
      </w:r>
      <w:bookmarkStart w:id="1" w:name="_GoBack"/>
      <w:bookmarkEnd w:id="1"/>
      <w:r w:rsidRPr="00F337F4">
        <w:rPr>
          <w:szCs w:val="22"/>
          <w:lang w:val="sr-Latn-ME"/>
        </w:rPr>
        <w:t xml:space="preserve"> godine.</w:t>
      </w:r>
    </w:p>
    <w:p w14:paraId="67F8F5CF" w14:textId="77777777" w:rsidR="007A5AF9" w:rsidRPr="00F337F4" w:rsidRDefault="007A5AF9" w:rsidP="007A5AF9">
      <w:pPr>
        <w:rPr>
          <w:szCs w:val="22"/>
          <w:lang w:val="sr-Latn-ME"/>
        </w:rPr>
      </w:pPr>
    </w:p>
    <w:p w14:paraId="54FAEC07" w14:textId="77777777" w:rsidR="007A5AF9" w:rsidRPr="00F337F4" w:rsidRDefault="007A5AF9" w:rsidP="007A5AF9">
      <w:pPr>
        <w:rPr>
          <w:szCs w:val="22"/>
          <w:lang w:val="sr-Latn-ME"/>
        </w:rPr>
      </w:pPr>
      <w:r w:rsidRPr="00F337F4">
        <w:rPr>
          <w:szCs w:val="22"/>
          <w:u w:val="single"/>
          <w:lang w:val="sr-Latn-ME"/>
        </w:rPr>
        <w:t>Rok upotrebe pripremljenog rastvora:</w:t>
      </w:r>
      <w:r w:rsidRPr="00F337F4">
        <w:rPr>
          <w:szCs w:val="22"/>
          <w:lang w:val="sr-Latn-ME"/>
        </w:rPr>
        <w:t xml:space="preserve"> Hemijska i fizička stabilnost u toku upotrebe su dokazane u periodu od 6 h na temperaturi do 25°C i u periodu od 24 h na temperaturi do 2-8°C. S mikrobilološke tačke gledišta, rastvor dobijen rekonstitucijom se mora odmah upotrijebiti. Ukoliko se ne upotrijebi odmah, vrijeme i uslovi čuvanja prije korišćenja su odgovornost korisnika.</w:t>
      </w:r>
    </w:p>
    <w:p w14:paraId="393D9C9D" w14:textId="77777777" w:rsidR="007A5AF9" w:rsidRPr="00F337F4" w:rsidRDefault="007A5AF9" w:rsidP="007A5AF9">
      <w:pPr>
        <w:rPr>
          <w:szCs w:val="22"/>
          <w:lang w:val="sr-Latn-ME"/>
        </w:rPr>
      </w:pPr>
    </w:p>
    <w:p w14:paraId="0BAE053C" w14:textId="77777777" w:rsidR="007A5AF9" w:rsidRPr="00F337F4" w:rsidRDefault="007A5AF9" w:rsidP="007A5AF9">
      <w:pPr>
        <w:rPr>
          <w:b/>
          <w:bCs/>
          <w:szCs w:val="22"/>
          <w:lang w:val="sr-Latn-ME"/>
        </w:rPr>
      </w:pPr>
      <w:r w:rsidRPr="00F337F4">
        <w:rPr>
          <w:b/>
          <w:bCs/>
          <w:szCs w:val="22"/>
          <w:lang w:val="sr-Latn-ME"/>
        </w:rPr>
        <w:t>6.4. Posebne mjere opreza pri čuvanju lijeka</w:t>
      </w:r>
    </w:p>
    <w:p w14:paraId="2E0B8C3D" w14:textId="77777777" w:rsidR="007A5AF9" w:rsidRPr="00F337F4" w:rsidRDefault="007A5AF9" w:rsidP="007A5AF9">
      <w:pPr>
        <w:rPr>
          <w:szCs w:val="22"/>
          <w:lang w:val="sr-Latn-ME"/>
        </w:rPr>
      </w:pPr>
    </w:p>
    <w:p w14:paraId="0C0FD7E8" w14:textId="77777777" w:rsidR="007A5AF9" w:rsidRPr="00F337F4" w:rsidRDefault="007A5AF9" w:rsidP="007A5AF9">
      <w:pPr>
        <w:rPr>
          <w:szCs w:val="22"/>
          <w:lang w:val="sr-Latn-ME"/>
        </w:rPr>
      </w:pPr>
      <w:r>
        <w:rPr>
          <w:szCs w:val="22"/>
          <w:lang w:val="sr-Latn-ME"/>
        </w:rPr>
        <w:t>L</w:t>
      </w:r>
      <w:r w:rsidRPr="00F337F4">
        <w:rPr>
          <w:szCs w:val="22"/>
          <w:lang w:val="sr-Latn-ME"/>
        </w:rPr>
        <w:t xml:space="preserve">ijek čuvati na temperaturi </w:t>
      </w:r>
      <w:r>
        <w:rPr>
          <w:szCs w:val="22"/>
          <w:lang w:val="sr-Latn-ME"/>
        </w:rPr>
        <w:t xml:space="preserve">do </w:t>
      </w:r>
      <w:r w:rsidRPr="00F337F4">
        <w:rPr>
          <w:szCs w:val="22"/>
          <w:lang w:val="sr-Latn-ME"/>
        </w:rPr>
        <w:t>25°C</w:t>
      </w:r>
      <w:r>
        <w:rPr>
          <w:szCs w:val="22"/>
          <w:lang w:val="sr-Latn-ME"/>
        </w:rPr>
        <w:t>.</w:t>
      </w:r>
      <w:r w:rsidRPr="00F337F4">
        <w:rPr>
          <w:szCs w:val="22"/>
          <w:lang w:val="sr-Latn-ME"/>
        </w:rPr>
        <w:t xml:space="preserve"> </w:t>
      </w:r>
    </w:p>
    <w:p w14:paraId="56DA874B" w14:textId="77777777" w:rsidR="007A5AF9" w:rsidRPr="00F337F4" w:rsidRDefault="007A5AF9" w:rsidP="007A5AF9">
      <w:pPr>
        <w:rPr>
          <w:szCs w:val="22"/>
          <w:lang w:val="sr-Latn-ME"/>
        </w:rPr>
      </w:pPr>
      <w:r w:rsidRPr="00F337F4">
        <w:rPr>
          <w:szCs w:val="22"/>
          <w:lang w:val="sr-Latn-ME"/>
        </w:rPr>
        <w:t xml:space="preserve">Čuvati bočice u spoljašnjem pakovanju, radi zaštite od svjetlosti. </w:t>
      </w:r>
    </w:p>
    <w:p w14:paraId="188521F0" w14:textId="77777777" w:rsidR="007A5AF9" w:rsidRPr="00F337F4" w:rsidRDefault="007A5AF9" w:rsidP="007A5AF9">
      <w:pPr>
        <w:rPr>
          <w:szCs w:val="22"/>
          <w:lang w:val="sr-Latn-ME"/>
        </w:rPr>
      </w:pPr>
    </w:p>
    <w:p w14:paraId="4673B7EC" w14:textId="77777777" w:rsidR="007A5AF9" w:rsidRPr="00F337F4" w:rsidRDefault="007A5AF9" w:rsidP="007A5AF9">
      <w:pPr>
        <w:rPr>
          <w:szCs w:val="22"/>
          <w:lang w:val="sr-Latn-ME"/>
        </w:rPr>
      </w:pPr>
      <w:r w:rsidRPr="00F337F4">
        <w:rPr>
          <w:szCs w:val="22"/>
          <w:lang w:val="sr-Latn-ME"/>
        </w:rPr>
        <w:t>Za uslove čuvanja nakon rekonstitucije, vidjeti dio 6.3.</w:t>
      </w:r>
    </w:p>
    <w:p w14:paraId="6063BA5D" w14:textId="77777777" w:rsidR="007A5AF9" w:rsidRPr="00F337F4" w:rsidRDefault="007A5AF9" w:rsidP="007A5AF9">
      <w:pPr>
        <w:rPr>
          <w:szCs w:val="22"/>
          <w:lang w:val="sr-Latn-ME"/>
        </w:rPr>
      </w:pPr>
    </w:p>
    <w:p w14:paraId="6CF1759F" w14:textId="77777777" w:rsidR="007A5AF9" w:rsidRPr="00F337F4" w:rsidRDefault="007A5AF9" w:rsidP="007A5AF9">
      <w:pPr>
        <w:rPr>
          <w:b/>
          <w:bCs/>
          <w:szCs w:val="22"/>
          <w:lang w:val="sr-Latn-ME"/>
        </w:rPr>
      </w:pPr>
      <w:r w:rsidRPr="00F337F4">
        <w:rPr>
          <w:b/>
          <w:bCs/>
          <w:szCs w:val="22"/>
          <w:lang w:val="sr-Latn-ME"/>
        </w:rPr>
        <w:t xml:space="preserve">6.5. Vrsta i sadržaj pakovanja </w:t>
      </w:r>
    </w:p>
    <w:p w14:paraId="063A4DED" w14:textId="77777777" w:rsidR="007A5AF9" w:rsidRPr="00F337F4" w:rsidRDefault="007A5AF9" w:rsidP="007A5AF9">
      <w:pPr>
        <w:rPr>
          <w:b/>
          <w:bCs/>
          <w:szCs w:val="22"/>
          <w:lang w:val="sr-Latn-ME"/>
        </w:rPr>
      </w:pPr>
    </w:p>
    <w:p w14:paraId="05CC25A3" w14:textId="77777777" w:rsidR="007A5AF9" w:rsidRPr="00F337F4" w:rsidRDefault="007A5AF9" w:rsidP="007A5AF9">
      <w:pPr>
        <w:rPr>
          <w:bCs/>
          <w:szCs w:val="22"/>
          <w:lang w:val="sr-Latn-ME"/>
        </w:rPr>
      </w:pPr>
      <w:r w:rsidRPr="00F337F4">
        <w:rPr>
          <w:bCs/>
          <w:szCs w:val="22"/>
          <w:lang w:val="sr-Latn-ME"/>
        </w:rPr>
        <w:t>Unutrašnje pakovanje je staklena (tip I</w:t>
      </w:r>
      <w:r>
        <w:rPr>
          <w:bCs/>
          <w:szCs w:val="22"/>
          <w:lang w:val="sr-Latn-ME"/>
        </w:rPr>
        <w:t>II</w:t>
      </w:r>
      <w:r w:rsidRPr="00F337F4">
        <w:rPr>
          <w:bCs/>
          <w:szCs w:val="22"/>
          <w:lang w:val="sr-Latn-ME"/>
        </w:rPr>
        <w:t>) bočica kapaciteta 1</w:t>
      </w:r>
      <w:r>
        <w:rPr>
          <w:bCs/>
          <w:szCs w:val="22"/>
          <w:lang w:val="sr-Latn-ME"/>
        </w:rPr>
        <w:t>5</w:t>
      </w:r>
      <w:r w:rsidRPr="00F337F4">
        <w:rPr>
          <w:bCs/>
          <w:szCs w:val="22"/>
          <w:lang w:val="sr-Latn-ME"/>
        </w:rPr>
        <w:t xml:space="preserve">ml, </w:t>
      </w:r>
      <w:r>
        <w:rPr>
          <w:bCs/>
          <w:szCs w:val="22"/>
          <w:lang w:val="sr-Latn-ME"/>
        </w:rPr>
        <w:t xml:space="preserve">zatvorena </w:t>
      </w:r>
      <w:r w:rsidRPr="00F337F4">
        <w:rPr>
          <w:bCs/>
          <w:szCs w:val="22"/>
          <w:lang w:val="sr-Latn-ME"/>
        </w:rPr>
        <w:t xml:space="preserve">gumenim čepom </w:t>
      </w:r>
      <w:r>
        <w:rPr>
          <w:bCs/>
          <w:szCs w:val="22"/>
          <w:lang w:val="sr-Latn-ME"/>
        </w:rPr>
        <w:t xml:space="preserve">i poklopcem plave boje sa </w:t>
      </w:r>
      <w:r w:rsidRPr="00F337F4">
        <w:rPr>
          <w:bCs/>
          <w:szCs w:val="22"/>
          <w:lang w:val="sr-Latn-ME"/>
        </w:rPr>
        <w:t>aluminijumskom kapicom. Spoljašnje pakovanje je složiva kartonska kutija u kojoj se nalazi 100 bočica i Uputstvo za lijek.</w:t>
      </w:r>
    </w:p>
    <w:p w14:paraId="03CC9BF6" w14:textId="77777777" w:rsidR="007A5AF9" w:rsidRPr="00F337F4" w:rsidRDefault="007A5AF9" w:rsidP="007A5AF9">
      <w:pPr>
        <w:rPr>
          <w:szCs w:val="22"/>
          <w:lang w:val="sr-Latn-ME"/>
        </w:rPr>
      </w:pPr>
    </w:p>
    <w:p w14:paraId="5B87D341" w14:textId="77777777" w:rsidR="007A5AF9" w:rsidRPr="00F337F4" w:rsidRDefault="007A5AF9" w:rsidP="007A5AF9">
      <w:pPr>
        <w:rPr>
          <w:b/>
          <w:bCs/>
          <w:szCs w:val="22"/>
          <w:lang w:val="sr-Latn-ME"/>
        </w:rPr>
      </w:pPr>
      <w:r w:rsidRPr="00F337F4">
        <w:rPr>
          <w:b/>
          <w:bCs/>
          <w:szCs w:val="22"/>
          <w:lang w:val="sr-Latn-ME"/>
        </w:rPr>
        <w:t>6.6. Posebne mjere opreza pri odlaganju materijala koji treba odbaciti nakon primjene lijeka (i druga uputstva za rukovanje lijekom)</w:t>
      </w:r>
    </w:p>
    <w:p w14:paraId="04C048DF" w14:textId="77777777" w:rsidR="007A5AF9" w:rsidRPr="00F337F4" w:rsidRDefault="007A5AF9" w:rsidP="007A5AF9">
      <w:pPr>
        <w:rPr>
          <w:szCs w:val="22"/>
          <w:lang w:val="sr-Latn-ME"/>
        </w:rPr>
      </w:pPr>
    </w:p>
    <w:p w14:paraId="5FB847D6" w14:textId="77777777" w:rsidR="007A5AF9" w:rsidRPr="00D63E74" w:rsidRDefault="007A5AF9" w:rsidP="007A5AF9">
      <w:pPr>
        <w:rPr>
          <w:szCs w:val="22"/>
          <w:u w:val="single"/>
          <w:lang w:val="sr-Latn-ME"/>
        </w:rPr>
      </w:pPr>
      <w:r w:rsidRPr="00D63E74">
        <w:rPr>
          <w:szCs w:val="22"/>
          <w:u w:val="single"/>
          <w:lang w:val="sr-Latn-ME"/>
        </w:rPr>
        <w:t>Priprema rastvora za injekciju i infuziju</w:t>
      </w:r>
    </w:p>
    <w:p w14:paraId="3BA8B8C1" w14:textId="77777777" w:rsidR="007A5AF9" w:rsidRPr="00F337F4" w:rsidRDefault="007A5AF9" w:rsidP="007A5AF9">
      <w:pPr>
        <w:rPr>
          <w:szCs w:val="22"/>
          <w:lang w:val="sr-Latn-ME"/>
        </w:rPr>
      </w:pPr>
    </w:p>
    <w:p w14:paraId="52C4A00D" w14:textId="77777777" w:rsidR="007A5AF9" w:rsidRPr="00F337F4" w:rsidRDefault="007A5AF9" w:rsidP="007A5AF9">
      <w:pPr>
        <w:rPr>
          <w:szCs w:val="22"/>
          <w:lang w:val="sr-Latn-ME"/>
        </w:rPr>
      </w:pPr>
      <w:r w:rsidRPr="00F337F4">
        <w:rPr>
          <w:szCs w:val="22"/>
          <w:lang w:val="sr-Latn-ME"/>
        </w:rPr>
        <w:t>Lijek Ceftriaxona Qilu se ne smije miješati u istom špricu sa nijednim drugim lijekom osim 1,06%</w:t>
      </w:r>
    </w:p>
    <w:p w14:paraId="5C3CE7B1" w14:textId="77777777" w:rsidR="007A5AF9" w:rsidRPr="00F337F4" w:rsidRDefault="007A5AF9" w:rsidP="007A5AF9">
      <w:pPr>
        <w:rPr>
          <w:szCs w:val="22"/>
          <w:lang w:val="sr-Latn-ME"/>
        </w:rPr>
      </w:pPr>
      <w:r w:rsidRPr="00F337F4">
        <w:rPr>
          <w:szCs w:val="22"/>
          <w:lang w:val="sr-Latn-ME"/>
        </w:rPr>
        <w:t>rastvorom lidokain hlorida (samo za intramuskularnu injekciju).</w:t>
      </w:r>
    </w:p>
    <w:p w14:paraId="27914A64" w14:textId="77777777" w:rsidR="007A5AF9" w:rsidRPr="00F337F4" w:rsidRDefault="007A5AF9" w:rsidP="007A5AF9">
      <w:pPr>
        <w:rPr>
          <w:szCs w:val="22"/>
          <w:u w:val="single"/>
          <w:lang w:val="sr-Latn-ME"/>
        </w:rPr>
      </w:pPr>
    </w:p>
    <w:p w14:paraId="0BDFB70C" w14:textId="77777777" w:rsidR="007A5AF9" w:rsidRPr="00F337F4" w:rsidRDefault="007A5AF9" w:rsidP="007A5AF9">
      <w:pPr>
        <w:rPr>
          <w:szCs w:val="22"/>
          <w:u w:val="single"/>
          <w:lang w:val="sr-Latn-ME"/>
        </w:rPr>
      </w:pPr>
      <w:r w:rsidRPr="00F337F4">
        <w:rPr>
          <w:szCs w:val="22"/>
          <w:u w:val="single"/>
          <w:lang w:val="sr-Latn-ME"/>
        </w:rPr>
        <w:t>Intramuskularna injekcija</w:t>
      </w:r>
    </w:p>
    <w:p w14:paraId="207DFD3C" w14:textId="77777777" w:rsidR="007A5AF9" w:rsidRPr="00F337F4" w:rsidRDefault="007A5AF9" w:rsidP="007A5AF9">
      <w:pPr>
        <w:rPr>
          <w:szCs w:val="22"/>
          <w:lang w:val="sr-Latn-ME"/>
        </w:rPr>
      </w:pPr>
      <w:r w:rsidRPr="00F337F4">
        <w:rPr>
          <w:szCs w:val="22"/>
          <w:lang w:val="sr-Latn-ME"/>
        </w:rPr>
        <w:t xml:space="preserve">Za rekonstituciju 1 g ceftriaksona upotrebljava se 3,5 ml 1,06% rastvora lidokain hlorida. Pripremljeni rastvor se primjenjuje dubokom intramuskularnom injekcijom. Ukoliko doza prevazilazi 1 g, treba je podijeliti na jednake djelove i primijeniti na različitim mjestima. </w:t>
      </w:r>
    </w:p>
    <w:p w14:paraId="1C68B147" w14:textId="77777777" w:rsidR="007A5AF9" w:rsidRPr="00F337F4" w:rsidRDefault="007A5AF9" w:rsidP="007A5AF9">
      <w:pPr>
        <w:rPr>
          <w:szCs w:val="22"/>
          <w:lang w:val="sr-Latn-ME"/>
        </w:rPr>
      </w:pPr>
    </w:p>
    <w:p w14:paraId="7765B965" w14:textId="77777777" w:rsidR="007A5AF9" w:rsidRPr="00F337F4" w:rsidRDefault="007A5AF9" w:rsidP="007A5AF9">
      <w:pPr>
        <w:rPr>
          <w:szCs w:val="22"/>
          <w:lang w:val="sr-Latn-ME"/>
        </w:rPr>
      </w:pPr>
      <w:r w:rsidRPr="00F337F4">
        <w:rPr>
          <w:szCs w:val="22"/>
          <w:lang w:val="sr-Latn-ME"/>
        </w:rPr>
        <w:t>Rastvori ceftriaksona sa lidokainom se</w:t>
      </w:r>
      <w:r>
        <w:rPr>
          <w:szCs w:val="22"/>
          <w:lang w:val="sr-Latn-ME"/>
        </w:rPr>
        <w:t xml:space="preserve"> nikada</w:t>
      </w:r>
      <w:r w:rsidRPr="00F337F4">
        <w:rPr>
          <w:szCs w:val="22"/>
          <w:lang w:val="sr-Latn-ME"/>
        </w:rPr>
        <w:t xml:space="preserve"> ne smiju primjenjivati intravenskim putem.   </w:t>
      </w:r>
    </w:p>
    <w:p w14:paraId="14865845" w14:textId="77777777" w:rsidR="007A5AF9" w:rsidRPr="00F337F4" w:rsidRDefault="007A5AF9" w:rsidP="007A5AF9">
      <w:pPr>
        <w:rPr>
          <w:szCs w:val="22"/>
          <w:lang w:val="sr-Latn-ME"/>
        </w:rPr>
      </w:pPr>
    </w:p>
    <w:p w14:paraId="00F51D39" w14:textId="77777777" w:rsidR="007A5AF9" w:rsidRPr="00F337F4" w:rsidRDefault="007A5AF9" w:rsidP="007A5AF9">
      <w:pPr>
        <w:rPr>
          <w:szCs w:val="22"/>
          <w:u w:val="single"/>
          <w:lang w:val="sr-Latn-ME"/>
        </w:rPr>
      </w:pPr>
      <w:r w:rsidRPr="00F337F4">
        <w:rPr>
          <w:szCs w:val="22"/>
          <w:u w:val="single"/>
          <w:lang w:val="sr-Latn-ME"/>
        </w:rPr>
        <w:t>Intravenska injekcija</w:t>
      </w:r>
    </w:p>
    <w:p w14:paraId="566EB220" w14:textId="77777777" w:rsidR="007A5AF9" w:rsidRPr="00F337F4" w:rsidRDefault="007A5AF9" w:rsidP="007A5AF9">
      <w:pPr>
        <w:rPr>
          <w:szCs w:val="22"/>
          <w:lang w:val="sr-Latn-ME"/>
        </w:rPr>
      </w:pPr>
      <w:r w:rsidRPr="00F337F4">
        <w:rPr>
          <w:szCs w:val="22"/>
          <w:lang w:val="sr-Latn-ME"/>
        </w:rPr>
        <w:t>Za rekonstituciju 1 g ceftriaksona upotrebljava se 10 ml vode za injekcije. Injekciju treba primijeniti sporo, u periodu od 5 minuta, direktno u venu ili putem intravenske infuzije.</w:t>
      </w:r>
    </w:p>
    <w:p w14:paraId="6FB46C16" w14:textId="77777777" w:rsidR="007A5AF9" w:rsidRPr="00F337F4" w:rsidRDefault="007A5AF9" w:rsidP="007A5AF9">
      <w:pPr>
        <w:rPr>
          <w:szCs w:val="22"/>
          <w:lang w:val="sr-Latn-ME"/>
        </w:rPr>
      </w:pPr>
    </w:p>
    <w:p w14:paraId="77A373F6" w14:textId="77777777" w:rsidR="007A5AF9" w:rsidRPr="00F337F4" w:rsidRDefault="007A5AF9" w:rsidP="007A5AF9">
      <w:pPr>
        <w:rPr>
          <w:szCs w:val="22"/>
          <w:u w:val="single"/>
          <w:lang w:val="sr-Latn-ME"/>
        </w:rPr>
      </w:pPr>
      <w:r w:rsidRPr="00F337F4">
        <w:rPr>
          <w:szCs w:val="22"/>
          <w:u w:val="single"/>
          <w:lang w:val="sr-Latn-ME"/>
        </w:rPr>
        <w:t>Intravenska infuzija</w:t>
      </w:r>
    </w:p>
    <w:p w14:paraId="54A49AD4" w14:textId="77777777" w:rsidR="007A5AF9" w:rsidRPr="00F337F4" w:rsidRDefault="007A5AF9" w:rsidP="007A5AF9">
      <w:pPr>
        <w:rPr>
          <w:szCs w:val="22"/>
          <w:lang w:val="sr-Latn-ME"/>
        </w:rPr>
      </w:pPr>
      <w:r w:rsidRPr="002C2E01">
        <w:rPr>
          <w:szCs w:val="22"/>
          <w:lang w:val="sr-Latn-ME"/>
        </w:rPr>
        <w:t>2</w:t>
      </w:r>
      <w:r>
        <w:rPr>
          <w:szCs w:val="22"/>
          <w:lang w:val="sr-Latn-ME"/>
        </w:rPr>
        <w:t xml:space="preserve"> </w:t>
      </w:r>
      <w:r w:rsidRPr="002C2E01">
        <w:rPr>
          <w:szCs w:val="22"/>
          <w:lang w:val="sr-Latn-ME"/>
        </w:rPr>
        <w:t>g ceftriaksona se rekostituiše sa 40 ml jednog</w:t>
      </w:r>
      <w:r w:rsidRPr="00F337F4">
        <w:rPr>
          <w:szCs w:val="22"/>
          <w:lang w:val="sr-Latn-ME"/>
        </w:rPr>
        <w:t xml:space="preserve"> od sledećih rastvora koji ne sadrže kalcijum: 5% ili 10% rastvor glukoze; 0,9% rastvor natrijum</w:t>
      </w:r>
      <w:r>
        <w:rPr>
          <w:szCs w:val="22"/>
          <w:lang w:val="sr-Latn-ME"/>
        </w:rPr>
        <w:t xml:space="preserve"> </w:t>
      </w:r>
      <w:r w:rsidRPr="00F337F4">
        <w:rPr>
          <w:szCs w:val="22"/>
          <w:lang w:val="sr-Latn-ME"/>
        </w:rPr>
        <w:t>hlorida; rastvor 0,45% natrijum</w:t>
      </w:r>
      <w:r>
        <w:rPr>
          <w:szCs w:val="22"/>
          <w:lang w:val="sr-Latn-ME"/>
        </w:rPr>
        <w:t xml:space="preserve"> </w:t>
      </w:r>
      <w:r w:rsidRPr="00F337F4">
        <w:rPr>
          <w:szCs w:val="22"/>
          <w:lang w:val="sr-Latn-ME"/>
        </w:rPr>
        <w:t xml:space="preserve">hlorida i 2,5% glukoze; 6% rastvor dekstrana u 5% glukozi; 6-10% rastvor hidroksietil skroba. </w:t>
      </w:r>
    </w:p>
    <w:p w14:paraId="49D49799" w14:textId="77777777" w:rsidR="007A5AF9" w:rsidRPr="00F337F4" w:rsidRDefault="007A5AF9" w:rsidP="007A5AF9">
      <w:pPr>
        <w:rPr>
          <w:szCs w:val="22"/>
          <w:lang w:val="sr-Latn-ME"/>
        </w:rPr>
      </w:pPr>
    </w:p>
    <w:p w14:paraId="7BC8A796" w14:textId="77777777" w:rsidR="007A5AF9" w:rsidRPr="00F337F4" w:rsidRDefault="007A5AF9" w:rsidP="007A5AF9">
      <w:pPr>
        <w:rPr>
          <w:szCs w:val="22"/>
          <w:lang w:val="sr-Latn-ME"/>
        </w:rPr>
      </w:pPr>
      <w:r w:rsidRPr="00F337F4">
        <w:rPr>
          <w:szCs w:val="22"/>
          <w:lang w:val="sr-Latn-ME"/>
        </w:rPr>
        <w:t xml:space="preserve">Infuziju treba primijeniti u periodu od najmanje 30 minuta. </w:t>
      </w:r>
    </w:p>
    <w:p w14:paraId="5BD231FB" w14:textId="77777777" w:rsidR="007A5AF9" w:rsidRPr="00F337F4" w:rsidRDefault="007A5AF9" w:rsidP="007A5AF9">
      <w:pPr>
        <w:rPr>
          <w:szCs w:val="22"/>
          <w:lang w:val="sr-Latn-ME"/>
        </w:rPr>
      </w:pPr>
      <w:r w:rsidRPr="00F337F4">
        <w:rPr>
          <w:szCs w:val="22"/>
          <w:lang w:val="sr-Latn-ME"/>
        </w:rPr>
        <w:t>Liniju za infuziju treba isprati na</w:t>
      </w:r>
      <w:r>
        <w:rPr>
          <w:szCs w:val="22"/>
          <w:lang w:val="sr-Latn-ME"/>
        </w:rPr>
        <w:t>kon</w:t>
      </w:r>
      <w:r w:rsidRPr="00F337F4">
        <w:rPr>
          <w:szCs w:val="22"/>
          <w:lang w:val="sr-Latn-ME"/>
        </w:rPr>
        <w:t xml:space="preserve"> svake primjene.</w:t>
      </w:r>
    </w:p>
    <w:p w14:paraId="29D45A34" w14:textId="77777777" w:rsidR="007A5AF9" w:rsidRPr="00F337F4" w:rsidRDefault="007A5AF9" w:rsidP="007A5AF9">
      <w:pPr>
        <w:rPr>
          <w:szCs w:val="22"/>
          <w:lang w:val="sr-Latn-ME"/>
        </w:rPr>
      </w:pPr>
    </w:p>
    <w:p w14:paraId="52954592" w14:textId="77777777" w:rsidR="007A5AF9" w:rsidRPr="00F337F4" w:rsidRDefault="007A5AF9" w:rsidP="007A5AF9">
      <w:pPr>
        <w:pStyle w:val="Default"/>
        <w:rPr>
          <w:sz w:val="22"/>
          <w:szCs w:val="22"/>
          <w:lang w:val="sr-Latn-ME"/>
        </w:rPr>
      </w:pPr>
      <w:r w:rsidRPr="00F337F4">
        <w:rPr>
          <w:sz w:val="22"/>
          <w:szCs w:val="22"/>
          <w:lang w:val="sr-Latn-ME"/>
        </w:rPr>
        <w:t xml:space="preserve">Koncentracija za intravensku </w:t>
      </w:r>
      <w:r>
        <w:rPr>
          <w:sz w:val="22"/>
          <w:szCs w:val="22"/>
          <w:lang w:val="sr-Latn-ME"/>
        </w:rPr>
        <w:t>injekciju</w:t>
      </w:r>
      <w:r w:rsidRPr="00F337F4">
        <w:rPr>
          <w:sz w:val="22"/>
          <w:szCs w:val="22"/>
          <w:lang w:val="sr-Latn-ME"/>
        </w:rPr>
        <w:t>: 100 mg/ml</w:t>
      </w:r>
      <w:r>
        <w:rPr>
          <w:sz w:val="22"/>
          <w:szCs w:val="22"/>
          <w:lang w:val="sr-Latn-ME"/>
        </w:rPr>
        <w:t>.</w:t>
      </w:r>
      <w:r w:rsidRPr="00F337F4">
        <w:rPr>
          <w:sz w:val="22"/>
          <w:szCs w:val="22"/>
          <w:lang w:val="sr-Latn-ME"/>
        </w:rPr>
        <w:t xml:space="preserve"> </w:t>
      </w:r>
    </w:p>
    <w:p w14:paraId="439AD339" w14:textId="77777777" w:rsidR="007A5AF9" w:rsidRPr="00F337F4" w:rsidRDefault="007A5AF9" w:rsidP="007A5AF9">
      <w:pPr>
        <w:pStyle w:val="Default"/>
        <w:rPr>
          <w:sz w:val="22"/>
          <w:szCs w:val="22"/>
          <w:lang w:val="sr-Latn-ME"/>
        </w:rPr>
      </w:pPr>
      <w:r w:rsidRPr="00F337F4">
        <w:rPr>
          <w:sz w:val="22"/>
          <w:szCs w:val="22"/>
          <w:lang w:val="sr-Latn-ME"/>
        </w:rPr>
        <w:t>Koncentracija za intravensku infuziju: 50 mg/ml</w:t>
      </w:r>
      <w:r>
        <w:rPr>
          <w:sz w:val="22"/>
          <w:szCs w:val="22"/>
          <w:lang w:val="sr-Latn-ME"/>
        </w:rPr>
        <w:t>.</w:t>
      </w:r>
      <w:r w:rsidRPr="00F337F4">
        <w:rPr>
          <w:sz w:val="22"/>
          <w:szCs w:val="22"/>
          <w:lang w:val="sr-Latn-ME"/>
        </w:rPr>
        <w:t xml:space="preserve"> </w:t>
      </w:r>
    </w:p>
    <w:p w14:paraId="25A5FBBD" w14:textId="77777777" w:rsidR="007A5AF9" w:rsidRPr="00F337F4" w:rsidRDefault="007A5AF9" w:rsidP="007A5AF9">
      <w:pPr>
        <w:rPr>
          <w:szCs w:val="22"/>
          <w:lang w:val="sr-Latn-ME"/>
        </w:rPr>
      </w:pPr>
      <w:r w:rsidRPr="00F337F4">
        <w:rPr>
          <w:szCs w:val="22"/>
          <w:lang w:val="sr-Latn-ME"/>
        </w:rPr>
        <w:t>(</w:t>
      </w:r>
      <w:r>
        <w:rPr>
          <w:szCs w:val="22"/>
          <w:lang w:val="sr-Latn-ME"/>
        </w:rPr>
        <w:t>Vidjeti</w:t>
      </w:r>
      <w:r w:rsidRPr="00F337F4">
        <w:rPr>
          <w:szCs w:val="22"/>
          <w:lang w:val="sr-Latn-ME"/>
        </w:rPr>
        <w:t xml:space="preserve"> dio 4.2 za više informacija) </w:t>
      </w:r>
    </w:p>
    <w:p w14:paraId="6BB746D1" w14:textId="77777777" w:rsidR="007A5AF9" w:rsidRPr="00F337F4" w:rsidRDefault="007A5AF9" w:rsidP="007A5AF9">
      <w:pPr>
        <w:rPr>
          <w:szCs w:val="22"/>
          <w:lang w:val="sr-Latn-ME"/>
        </w:rPr>
      </w:pPr>
    </w:p>
    <w:p w14:paraId="7124B2DD" w14:textId="77777777" w:rsidR="007A5AF9" w:rsidRPr="00F337F4" w:rsidRDefault="007A5AF9" w:rsidP="007A5AF9">
      <w:pPr>
        <w:rPr>
          <w:szCs w:val="22"/>
          <w:lang w:val="sr-Latn-ME"/>
        </w:rPr>
      </w:pPr>
      <w:r w:rsidRPr="000B5B46">
        <w:rPr>
          <w:szCs w:val="22"/>
          <w:lang w:val="sr-Latn-ME"/>
        </w:rPr>
        <w:lastRenderedPageBreak/>
        <w:t>Povećanje zapremine</w:t>
      </w:r>
      <w:r w:rsidRPr="000B5B46" w:rsidDel="000B5B46">
        <w:rPr>
          <w:szCs w:val="22"/>
          <w:lang w:val="sr-Latn-ME"/>
        </w:rPr>
        <w:t xml:space="preserve"> </w:t>
      </w:r>
      <w:r w:rsidRPr="00F337F4">
        <w:rPr>
          <w:szCs w:val="22"/>
          <w:lang w:val="sr-Latn-ME"/>
        </w:rPr>
        <w:t>za 1 g Ceftriaxona Qilu je 0,6 ml kad se rastvori sa 10 ml vode za injekcije.</w:t>
      </w:r>
    </w:p>
    <w:p w14:paraId="27EEBAB4" w14:textId="77777777" w:rsidR="007A5AF9" w:rsidRPr="00F337F4" w:rsidRDefault="007A5AF9" w:rsidP="007A5AF9">
      <w:pPr>
        <w:rPr>
          <w:szCs w:val="22"/>
          <w:lang w:val="sr-Latn-ME"/>
        </w:rPr>
      </w:pPr>
      <w:r w:rsidRPr="000B5B46">
        <w:rPr>
          <w:szCs w:val="22"/>
          <w:lang w:val="sr-Latn-ME"/>
        </w:rPr>
        <w:t>Povećanje zapremine</w:t>
      </w:r>
      <w:r w:rsidRPr="000B5B46" w:rsidDel="000B5B46">
        <w:rPr>
          <w:szCs w:val="22"/>
          <w:lang w:val="sr-Latn-ME"/>
        </w:rPr>
        <w:t xml:space="preserve"> </w:t>
      </w:r>
      <w:r w:rsidRPr="00F337F4">
        <w:rPr>
          <w:szCs w:val="22"/>
          <w:lang w:val="sr-Latn-ME"/>
        </w:rPr>
        <w:t>za 1 g Ceftriaxona Qilu je 0,68 ml kad se rastvori sa 3,5 ml 1,06% rastvorom</w:t>
      </w:r>
      <w:r>
        <w:rPr>
          <w:szCs w:val="22"/>
          <w:lang w:val="sr-Latn-ME"/>
        </w:rPr>
        <w:t xml:space="preserve"> </w:t>
      </w:r>
      <w:r w:rsidRPr="00F337F4">
        <w:rPr>
          <w:szCs w:val="22"/>
          <w:lang w:val="sr-Latn-ME"/>
        </w:rPr>
        <w:t>lidokain hlorida.</w:t>
      </w:r>
    </w:p>
    <w:p w14:paraId="0C7D4CF5" w14:textId="77777777" w:rsidR="007A5AF9" w:rsidRPr="00F337F4" w:rsidRDefault="007A5AF9" w:rsidP="007A5AF9">
      <w:pPr>
        <w:rPr>
          <w:szCs w:val="22"/>
          <w:lang w:val="sr-Latn-ME"/>
        </w:rPr>
      </w:pPr>
    </w:p>
    <w:p w14:paraId="3DFE0402" w14:textId="77777777" w:rsidR="007A5AF9" w:rsidRPr="00F337F4" w:rsidRDefault="007A5AF9" w:rsidP="007A5AF9">
      <w:pPr>
        <w:rPr>
          <w:szCs w:val="22"/>
          <w:lang w:val="sr-Latn-ME"/>
        </w:rPr>
      </w:pPr>
      <w:r w:rsidRPr="00F337F4">
        <w:rPr>
          <w:szCs w:val="22"/>
          <w:lang w:val="sr-Latn-ME"/>
        </w:rPr>
        <w:t>Rastvor nakon rekonstitucije je blijedo žut do žuto obojen, zavisno od dužine skladištenja, koncentracije i</w:t>
      </w:r>
    </w:p>
    <w:p w14:paraId="54EC929F" w14:textId="77777777" w:rsidR="007A5AF9" w:rsidRPr="00F337F4" w:rsidRDefault="007A5AF9" w:rsidP="007A5AF9">
      <w:pPr>
        <w:rPr>
          <w:szCs w:val="22"/>
          <w:lang w:val="sr-Latn-ME"/>
        </w:rPr>
      </w:pPr>
      <w:r w:rsidRPr="00F337F4">
        <w:rPr>
          <w:szCs w:val="22"/>
          <w:lang w:val="sr-Latn-ME"/>
        </w:rPr>
        <w:t>upotrijebljenog rastvarača, ali to ne utiče na efikasnost aktivne supstance. Smiju se koristiti samo bistri rastvori bez čestica.</w:t>
      </w:r>
    </w:p>
    <w:p w14:paraId="12C1CC0F" w14:textId="77777777" w:rsidR="007A5AF9" w:rsidRDefault="007A5AF9" w:rsidP="007A5AF9">
      <w:pPr>
        <w:rPr>
          <w:szCs w:val="22"/>
          <w:lang w:val="sr-Latn-ME"/>
        </w:rPr>
      </w:pPr>
    </w:p>
    <w:p w14:paraId="2FBE1D50" w14:textId="77777777" w:rsidR="007A5AF9" w:rsidRPr="00F337F4" w:rsidRDefault="007A5AF9" w:rsidP="007A5AF9">
      <w:pPr>
        <w:rPr>
          <w:szCs w:val="22"/>
          <w:lang w:val="sr-Latn-ME"/>
        </w:rPr>
      </w:pPr>
      <w:r w:rsidRPr="00F337F4">
        <w:rPr>
          <w:szCs w:val="22"/>
          <w:lang w:val="sr-Latn-ME"/>
        </w:rPr>
        <w:t xml:space="preserve">Svu neiskorišćenu količinu lijeka ili otpadnog materijala nakon njegove upotrebe treba ukloniti, u skladu sa važećim propisima. </w:t>
      </w:r>
    </w:p>
    <w:p w14:paraId="2B7752F1" w14:textId="77777777" w:rsidR="007A5AF9" w:rsidRDefault="007A5AF9" w:rsidP="007A5AF9">
      <w:pPr>
        <w:pStyle w:val="NASLOV123"/>
        <w:spacing w:before="0" w:after="0"/>
        <w:rPr>
          <w:lang w:val="sr-Latn-ME"/>
        </w:rPr>
      </w:pPr>
    </w:p>
    <w:p w14:paraId="1BB5A8F7" w14:textId="77777777" w:rsidR="007A5AF9" w:rsidRDefault="007A5AF9" w:rsidP="007A5AF9">
      <w:pPr>
        <w:pStyle w:val="NASLOV123"/>
        <w:spacing w:before="0" w:after="0"/>
        <w:rPr>
          <w:lang w:val="sr-Latn-ME"/>
        </w:rPr>
      </w:pPr>
    </w:p>
    <w:p w14:paraId="231FD52A" w14:textId="77777777" w:rsidR="007A5AF9" w:rsidRPr="00F337F4" w:rsidRDefault="007A5AF9" w:rsidP="007A5AF9">
      <w:pPr>
        <w:pStyle w:val="NASLOV123"/>
        <w:spacing w:before="0" w:after="0"/>
        <w:rPr>
          <w:lang w:val="sr-Latn-ME"/>
        </w:rPr>
      </w:pPr>
      <w:r w:rsidRPr="00F337F4">
        <w:rPr>
          <w:lang w:val="sr-Latn-ME"/>
        </w:rPr>
        <w:t xml:space="preserve">7. NOSILAC DOZVOLE </w:t>
      </w:r>
    </w:p>
    <w:p w14:paraId="17416009" w14:textId="77777777" w:rsidR="007A5AF9" w:rsidRDefault="007A5AF9" w:rsidP="007A5AF9">
      <w:pPr>
        <w:rPr>
          <w:szCs w:val="22"/>
          <w:lang w:val="sr-Latn-ME"/>
        </w:rPr>
      </w:pPr>
    </w:p>
    <w:p w14:paraId="420E0074" w14:textId="77777777" w:rsidR="007A5AF9" w:rsidRPr="00F337F4" w:rsidRDefault="007A5AF9" w:rsidP="007A5AF9">
      <w:pPr>
        <w:rPr>
          <w:szCs w:val="22"/>
          <w:lang w:val="sr-Latn-ME"/>
        </w:rPr>
      </w:pPr>
      <w:r w:rsidRPr="00F337F4">
        <w:rPr>
          <w:szCs w:val="22"/>
          <w:lang w:val="sr-Latn-ME"/>
        </w:rPr>
        <w:t xml:space="preserve">Društvo za trgovinu, promet i usluge “Pontera Pharma Solutions” doo Podgorica, Cijevna bb, Podgorica </w:t>
      </w:r>
    </w:p>
    <w:p w14:paraId="2E342B0C" w14:textId="77777777" w:rsidR="007A5AF9" w:rsidRPr="00F337F4" w:rsidRDefault="007A5AF9" w:rsidP="007A5AF9">
      <w:pPr>
        <w:rPr>
          <w:szCs w:val="22"/>
          <w:lang w:val="sr-Latn-ME"/>
        </w:rPr>
      </w:pPr>
    </w:p>
    <w:p w14:paraId="22643B16" w14:textId="77777777" w:rsidR="007A5AF9" w:rsidRDefault="007A5AF9" w:rsidP="007A5AF9">
      <w:pPr>
        <w:pStyle w:val="NASLOV123"/>
        <w:spacing w:before="0" w:after="0"/>
        <w:rPr>
          <w:lang w:val="sr-Latn-ME"/>
        </w:rPr>
      </w:pPr>
    </w:p>
    <w:p w14:paraId="7A3B78A8" w14:textId="77777777" w:rsidR="007A5AF9" w:rsidRPr="00F337F4" w:rsidRDefault="007A5AF9" w:rsidP="007A5AF9">
      <w:pPr>
        <w:pStyle w:val="NASLOV123"/>
        <w:spacing w:before="0" w:after="0"/>
        <w:rPr>
          <w:lang w:val="sr-Latn-ME"/>
        </w:rPr>
      </w:pPr>
      <w:r w:rsidRPr="00F337F4">
        <w:rPr>
          <w:lang w:val="sr-Latn-ME"/>
        </w:rPr>
        <w:t>8. BROJ DOZVOLE ZA STAVLJANJE LIJEKA U PROMET</w:t>
      </w:r>
    </w:p>
    <w:p w14:paraId="5690B1AD" w14:textId="77777777" w:rsidR="007A5AF9" w:rsidRPr="00F337F4" w:rsidRDefault="007A5AF9" w:rsidP="007A5AF9">
      <w:pPr>
        <w:rPr>
          <w:szCs w:val="22"/>
          <w:lang w:val="sr-Latn-ME"/>
        </w:rPr>
      </w:pPr>
    </w:p>
    <w:p w14:paraId="07FD2260" w14:textId="31D5AE69" w:rsidR="007A5AF9" w:rsidRPr="001F0164" w:rsidRDefault="001F0164" w:rsidP="001F0164">
      <w:pPr>
        <w:tabs>
          <w:tab w:val="left" w:pos="3125"/>
        </w:tabs>
        <w:rPr>
          <w:bCs/>
          <w:lang w:val="sr-Latn-ME"/>
        </w:rPr>
      </w:pPr>
      <w:r w:rsidRPr="001F0164">
        <w:rPr>
          <w:bCs/>
          <w:lang w:val="sr-Latn-ME"/>
        </w:rPr>
        <w:t>2030/23/3084 - 1712</w:t>
      </w:r>
    </w:p>
    <w:p w14:paraId="151C7F44" w14:textId="77777777" w:rsidR="007A5AF9" w:rsidRDefault="007A5AF9" w:rsidP="007A5AF9">
      <w:pPr>
        <w:pStyle w:val="NASLOV123"/>
        <w:spacing w:before="0" w:after="0"/>
        <w:jc w:val="both"/>
        <w:rPr>
          <w:lang w:val="sr-Latn-ME"/>
        </w:rPr>
      </w:pPr>
    </w:p>
    <w:p w14:paraId="014B04A3" w14:textId="77777777" w:rsidR="007A5AF9" w:rsidRDefault="007A5AF9" w:rsidP="007A5AF9">
      <w:pPr>
        <w:pStyle w:val="NASLOV123"/>
        <w:spacing w:before="0" w:after="0"/>
        <w:jc w:val="both"/>
        <w:rPr>
          <w:lang w:val="sr-Latn-ME"/>
        </w:rPr>
      </w:pPr>
    </w:p>
    <w:p w14:paraId="35FD85C8" w14:textId="77777777" w:rsidR="007A5AF9" w:rsidRPr="00F337F4" w:rsidRDefault="007A5AF9" w:rsidP="007A5AF9">
      <w:pPr>
        <w:pStyle w:val="NASLOV123"/>
        <w:spacing w:before="0" w:after="0"/>
        <w:jc w:val="both"/>
        <w:rPr>
          <w:lang w:val="sr-Latn-ME"/>
        </w:rPr>
      </w:pPr>
      <w:r w:rsidRPr="00F337F4">
        <w:rPr>
          <w:lang w:val="sr-Latn-ME"/>
        </w:rPr>
        <w:t>9. DATUM PRVE DOZVOLE/OBNOVE DOZVOLE ZA STAVLJANJE LIJEKA U PROMET</w:t>
      </w:r>
    </w:p>
    <w:p w14:paraId="5A0215B5" w14:textId="77777777" w:rsidR="007A5AF9" w:rsidRPr="00F337F4" w:rsidRDefault="007A5AF9" w:rsidP="007A5AF9">
      <w:pPr>
        <w:rPr>
          <w:szCs w:val="22"/>
          <w:lang w:val="sr-Latn-ME"/>
        </w:rPr>
      </w:pPr>
    </w:p>
    <w:p w14:paraId="1D07B412" w14:textId="169E8DE0" w:rsidR="007A5AF9" w:rsidRPr="001F0164" w:rsidRDefault="001F0164" w:rsidP="001F0164">
      <w:pPr>
        <w:tabs>
          <w:tab w:val="left" w:pos="3125"/>
        </w:tabs>
        <w:rPr>
          <w:bCs/>
          <w:lang w:val="sr-Latn-ME"/>
        </w:rPr>
      </w:pPr>
      <w:r w:rsidRPr="001F0164">
        <w:rPr>
          <w:bCs/>
          <w:lang w:val="sr-Latn-ME"/>
        </w:rPr>
        <w:t>24.08.2023. godine</w:t>
      </w:r>
    </w:p>
    <w:p w14:paraId="4B93DEEB" w14:textId="77777777" w:rsidR="007A5AF9" w:rsidRDefault="007A5AF9" w:rsidP="007A5AF9">
      <w:pPr>
        <w:pStyle w:val="NASLOV123"/>
        <w:spacing w:before="0" w:after="0"/>
        <w:rPr>
          <w:lang w:val="sr-Latn-ME"/>
        </w:rPr>
      </w:pPr>
    </w:p>
    <w:p w14:paraId="02DBC90C" w14:textId="77777777" w:rsidR="007A5AF9" w:rsidRDefault="007A5AF9" w:rsidP="007A5AF9">
      <w:pPr>
        <w:pStyle w:val="NASLOV123"/>
        <w:spacing w:before="0" w:after="0"/>
        <w:rPr>
          <w:lang w:val="sr-Latn-ME"/>
        </w:rPr>
      </w:pPr>
    </w:p>
    <w:p w14:paraId="44BC8582" w14:textId="77777777" w:rsidR="007A5AF9" w:rsidRPr="00F337F4" w:rsidRDefault="007A5AF9" w:rsidP="007A5AF9">
      <w:pPr>
        <w:pStyle w:val="NASLOV123"/>
        <w:spacing w:before="0" w:after="0"/>
        <w:rPr>
          <w:lang w:val="sr-Latn-ME"/>
        </w:rPr>
      </w:pPr>
      <w:r w:rsidRPr="00F337F4">
        <w:rPr>
          <w:lang w:val="sr-Latn-ME"/>
        </w:rPr>
        <w:t>10. DATUM REVIZIJE TEKSTA</w:t>
      </w:r>
    </w:p>
    <w:p w14:paraId="0F5AB641" w14:textId="77777777" w:rsidR="007A5AF9" w:rsidRDefault="007A5AF9" w:rsidP="007A5AF9">
      <w:pPr>
        <w:pStyle w:val="NASLOV123"/>
        <w:spacing w:before="0" w:after="0"/>
        <w:rPr>
          <w:b w:val="0"/>
          <w:bCs/>
          <w:lang w:val="sr-Latn-ME"/>
        </w:rPr>
      </w:pPr>
    </w:p>
    <w:p w14:paraId="260EA6EB" w14:textId="77777777" w:rsidR="007A5AF9" w:rsidRPr="00883EA7" w:rsidRDefault="007A5AF9" w:rsidP="007A5AF9">
      <w:pPr>
        <w:tabs>
          <w:tab w:val="left" w:pos="3125"/>
        </w:tabs>
        <w:rPr>
          <w:szCs w:val="22"/>
          <w:lang w:val="sr-Latn-ME"/>
        </w:rPr>
      </w:pPr>
      <w:r w:rsidRPr="00F337F4">
        <w:rPr>
          <w:bCs/>
          <w:lang w:val="sr-Latn-ME"/>
        </w:rPr>
        <w:t>Avgust, 2023.</w:t>
      </w:r>
      <w:r>
        <w:rPr>
          <w:bCs/>
          <w:lang w:val="sr-Latn-ME"/>
        </w:rPr>
        <w:t xml:space="preserve"> </w:t>
      </w:r>
      <w:r w:rsidRPr="00F337F4">
        <w:rPr>
          <w:bCs/>
          <w:lang w:val="sr-Latn-ME"/>
        </w:rPr>
        <w:t>godine</w:t>
      </w:r>
      <w:r>
        <w:rPr>
          <w:szCs w:val="22"/>
          <w:lang w:val="sr-Latn-ME"/>
        </w:rPr>
        <w:tab/>
      </w:r>
    </w:p>
    <w:p w14:paraId="431FD2FF" w14:textId="77777777" w:rsidR="009230DD" w:rsidRDefault="009230DD"/>
    <w:sectPr w:rsidR="009230DD" w:rsidSect="003D5905">
      <w:footerReference w:type="even" r:id="rId10"/>
      <w:footerReference w:type="default" r:id="rId11"/>
      <w:pgSz w:w="11907" w:h="16840" w:code="9"/>
      <w:pgMar w:top="1135" w:right="1134" w:bottom="993" w:left="1134" w:header="357" w:footer="25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2B32" w14:textId="77777777" w:rsidR="009B4D45" w:rsidRDefault="009B4D45" w:rsidP="007A5AF9">
      <w:r>
        <w:separator/>
      </w:r>
    </w:p>
  </w:endnote>
  <w:endnote w:type="continuationSeparator" w:id="0">
    <w:p w14:paraId="0B87C6C1" w14:textId="77777777" w:rsidR="009B4D45" w:rsidRDefault="009B4D45" w:rsidP="007A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9F88" w14:textId="77777777" w:rsidR="003D5905" w:rsidRDefault="003D5905" w:rsidP="003D5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4E8D0" w14:textId="77777777" w:rsidR="003D5905" w:rsidRDefault="003D59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629C" w14:textId="50E36218" w:rsidR="003D5905" w:rsidRPr="006E0C74" w:rsidRDefault="009B4D45" w:rsidP="003D5905">
    <w:pPr>
      <w:pStyle w:val="Footer"/>
      <w:tabs>
        <w:tab w:val="left" w:pos="5448"/>
      </w:tabs>
      <w:spacing w:before="360"/>
      <w:jc w:val="center"/>
      <w:rPr>
        <w:sz w:val="24"/>
      </w:rPr>
    </w:pPr>
    <w:sdt>
      <w:sdtPr>
        <w:id w:val="25862803"/>
        <w:docPartObj>
          <w:docPartGallery w:val="Page Numbers (Bottom of Page)"/>
          <w:docPartUnique/>
        </w:docPartObj>
      </w:sdtPr>
      <w:sdtEndPr>
        <w:rPr>
          <w:sz w:val="24"/>
        </w:rPr>
      </w:sdtEndPr>
      <w:sdtContent>
        <w:sdt>
          <w:sdtPr>
            <w:id w:val="565050477"/>
            <w:docPartObj>
              <w:docPartGallery w:val="Page Numbers (Top of Page)"/>
              <w:docPartUnique/>
            </w:docPartObj>
          </w:sdtPr>
          <w:sdtEndPr>
            <w:rPr>
              <w:sz w:val="24"/>
            </w:rPr>
          </w:sdtEndPr>
          <w:sdtContent>
            <w:r w:rsidR="003D5905" w:rsidRPr="006E0C74">
              <w:rPr>
                <w:sz w:val="20"/>
                <w:szCs w:val="18"/>
              </w:rPr>
              <w:fldChar w:fldCharType="begin"/>
            </w:r>
            <w:r w:rsidR="003D5905" w:rsidRPr="00D63E74">
              <w:rPr>
                <w:sz w:val="20"/>
                <w:szCs w:val="18"/>
              </w:rPr>
              <w:instrText xml:space="preserve"> PAGE </w:instrText>
            </w:r>
            <w:r w:rsidR="003D5905" w:rsidRPr="006E0C74">
              <w:rPr>
                <w:sz w:val="20"/>
                <w:szCs w:val="18"/>
              </w:rPr>
              <w:fldChar w:fldCharType="separate"/>
            </w:r>
            <w:r w:rsidR="005967A0">
              <w:rPr>
                <w:noProof/>
                <w:sz w:val="20"/>
                <w:szCs w:val="18"/>
              </w:rPr>
              <w:t>16</w:t>
            </w:r>
            <w:r w:rsidR="003D5905" w:rsidRPr="006E0C74">
              <w:rPr>
                <w:sz w:val="20"/>
                <w:szCs w:val="18"/>
              </w:rPr>
              <w:fldChar w:fldCharType="end"/>
            </w:r>
            <w:r w:rsidR="003D5905" w:rsidRPr="006E0C74">
              <w:rPr>
                <w:sz w:val="20"/>
                <w:szCs w:val="18"/>
              </w:rPr>
              <w:t xml:space="preserve"> / </w:t>
            </w:r>
            <w:r w:rsidR="003D5905" w:rsidRPr="00D63E74">
              <w:rPr>
                <w:sz w:val="20"/>
                <w:szCs w:val="18"/>
              </w:rPr>
              <w:fldChar w:fldCharType="begin"/>
            </w:r>
            <w:r w:rsidR="003D5905" w:rsidRPr="006E0C74">
              <w:rPr>
                <w:sz w:val="20"/>
                <w:szCs w:val="18"/>
              </w:rPr>
              <w:instrText xml:space="preserve"> NUMPAGES  </w:instrText>
            </w:r>
            <w:r w:rsidR="003D5905" w:rsidRPr="00D63E74">
              <w:rPr>
                <w:sz w:val="20"/>
                <w:szCs w:val="18"/>
              </w:rPr>
              <w:fldChar w:fldCharType="separate"/>
            </w:r>
            <w:r w:rsidR="005967A0">
              <w:rPr>
                <w:noProof/>
                <w:sz w:val="20"/>
                <w:szCs w:val="18"/>
              </w:rPr>
              <w:t>17</w:t>
            </w:r>
            <w:r w:rsidR="003D5905" w:rsidRPr="00D63E74">
              <w:rPr>
                <w:sz w:val="20"/>
                <w:szCs w:val="18"/>
              </w:rPr>
              <w:fldChar w:fldCharType="end"/>
            </w:r>
          </w:sdtContent>
        </w:sdt>
      </w:sdtContent>
    </w:sdt>
  </w:p>
  <w:p w14:paraId="6F42D0D6" w14:textId="77777777" w:rsidR="003D5905" w:rsidRPr="00C536C2" w:rsidRDefault="003D5905" w:rsidP="003D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855E" w14:textId="77777777" w:rsidR="009B4D45" w:rsidRDefault="009B4D45" w:rsidP="007A5AF9">
      <w:r>
        <w:separator/>
      </w:r>
    </w:p>
  </w:footnote>
  <w:footnote w:type="continuationSeparator" w:id="0">
    <w:p w14:paraId="7CF8A149" w14:textId="77777777" w:rsidR="009B4D45" w:rsidRDefault="009B4D45" w:rsidP="007A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134206"/>
    <w:multiLevelType w:val="hybridMultilevel"/>
    <w:tmpl w:val="B8C29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C54A2"/>
    <w:multiLevelType w:val="hybridMultilevel"/>
    <w:tmpl w:val="3B2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2189"/>
    <w:multiLevelType w:val="hybridMultilevel"/>
    <w:tmpl w:val="57A6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2279A"/>
    <w:multiLevelType w:val="hybridMultilevel"/>
    <w:tmpl w:val="E404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C1039"/>
    <w:multiLevelType w:val="hybridMultilevel"/>
    <w:tmpl w:val="27569544"/>
    <w:lvl w:ilvl="0" w:tplc="E6446EE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B91B2D"/>
    <w:multiLevelType w:val="hybridMultilevel"/>
    <w:tmpl w:val="7F68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22046"/>
    <w:multiLevelType w:val="hybridMultilevel"/>
    <w:tmpl w:val="B37E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14187"/>
    <w:multiLevelType w:val="hybridMultilevel"/>
    <w:tmpl w:val="3D98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0"/>
    <w:lvlOverride w:ilvl="0">
      <w:startOverride w:val="7"/>
    </w:lvlOverride>
  </w:num>
  <w:num w:numId="3">
    <w:abstractNumId w:val="10"/>
  </w:num>
  <w:num w:numId="4">
    <w:abstractNumId w:val="4"/>
  </w:num>
  <w:num w:numId="5">
    <w:abstractNumId w:val="8"/>
  </w:num>
  <w:num w:numId="6">
    <w:abstractNumId w:val="7"/>
  </w:num>
  <w:num w:numId="7">
    <w:abstractNumId w:val="3"/>
  </w:num>
  <w:num w:numId="8">
    <w:abstractNumId w:val="5"/>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F9"/>
    <w:rsid w:val="001F0164"/>
    <w:rsid w:val="003D5905"/>
    <w:rsid w:val="005967A0"/>
    <w:rsid w:val="005F4D2D"/>
    <w:rsid w:val="006D4D93"/>
    <w:rsid w:val="007A5AF9"/>
    <w:rsid w:val="009230DD"/>
    <w:rsid w:val="009B4D45"/>
    <w:rsid w:val="00AC5C06"/>
    <w:rsid w:val="00C056AC"/>
    <w:rsid w:val="00E21613"/>
    <w:rsid w:val="00F7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35B0"/>
  <w15:chartTrackingRefBased/>
  <w15:docId w15:val="{B07D9478-3DAC-4CD5-ADBD-BDE77146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F9"/>
    <w:pPr>
      <w:tabs>
        <w:tab w:val="left" w:pos="284"/>
      </w:tabs>
      <w:spacing w:after="0" w:line="240" w:lineRule="auto"/>
      <w:jc w:val="both"/>
    </w:pPr>
    <w:rPr>
      <w:rFonts w:ascii="Times New Roman" w:eastAsia="Times New Roman" w:hAnsi="Times New Roman" w:cs="Times New Roman"/>
      <w:szCs w:val="24"/>
    </w:rPr>
  </w:style>
  <w:style w:type="paragraph" w:styleId="Heading1">
    <w:name w:val="heading 1"/>
    <w:basedOn w:val="Normal"/>
    <w:next w:val="Normal"/>
    <w:link w:val="Heading1Char"/>
    <w:qFormat/>
    <w:rsid w:val="007A5AF9"/>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7A5AF9"/>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7A5AF9"/>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7A5AF9"/>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AF9"/>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A5AF9"/>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A5AF9"/>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A5AF9"/>
    <w:rPr>
      <w:rFonts w:ascii="Arial" w:eastAsia="Times New Roman" w:hAnsi="Arial" w:cs="Arial"/>
      <w:i/>
      <w:iCs/>
      <w:color w:val="999999"/>
      <w:sz w:val="16"/>
      <w:szCs w:val="24"/>
    </w:rPr>
  </w:style>
  <w:style w:type="paragraph" w:styleId="Header">
    <w:name w:val="header"/>
    <w:basedOn w:val="Normal"/>
    <w:link w:val="HeaderChar"/>
    <w:rsid w:val="007A5AF9"/>
    <w:pPr>
      <w:tabs>
        <w:tab w:val="clear" w:pos="284"/>
        <w:tab w:val="center" w:pos="4536"/>
        <w:tab w:val="right" w:pos="9072"/>
      </w:tabs>
    </w:pPr>
  </w:style>
  <w:style w:type="character" w:customStyle="1" w:styleId="HeaderChar">
    <w:name w:val="Header Char"/>
    <w:basedOn w:val="DefaultParagraphFont"/>
    <w:link w:val="Header"/>
    <w:rsid w:val="007A5AF9"/>
    <w:rPr>
      <w:rFonts w:ascii="Times New Roman" w:eastAsia="Times New Roman" w:hAnsi="Times New Roman" w:cs="Times New Roman"/>
      <w:szCs w:val="24"/>
    </w:rPr>
  </w:style>
  <w:style w:type="paragraph" w:styleId="Footer">
    <w:name w:val="footer"/>
    <w:basedOn w:val="Normal"/>
    <w:link w:val="FooterChar"/>
    <w:uiPriority w:val="99"/>
    <w:rsid w:val="007A5AF9"/>
    <w:pPr>
      <w:tabs>
        <w:tab w:val="clear" w:pos="284"/>
        <w:tab w:val="center" w:pos="4536"/>
        <w:tab w:val="right" w:pos="9072"/>
      </w:tabs>
    </w:pPr>
  </w:style>
  <w:style w:type="character" w:customStyle="1" w:styleId="FooterChar">
    <w:name w:val="Footer Char"/>
    <w:basedOn w:val="DefaultParagraphFont"/>
    <w:link w:val="Footer"/>
    <w:uiPriority w:val="99"/>
    <w:rsid w:val="007A5AF9"/>
    <w:rPr>
      <w:rFonts w:ascii="Times New Roman" w:eastAsia="Times New Roman" w:hAnsi="Times New Roman" w:cs="Times New Roman"/>
      <w:szCs w:val="24"/>
    </w:rPr>
  </w:style>
  <w:style w:type="character" w:styleId="PageNumber">
    <w:name w:val="page number"/>
    <w:basedOn w:val="DefaultParagraphFont"/>
    <w:rsid w:val="007A5AF9"/>
  </w:style>
  <w:style w:type="character" w:styleId="CommentReference">
    <w:name w:val="annotation reference"/>
    <w:rsid w:val="007A5AF9"/>
    <w:rPr>
      <w:sz w:val="16"/>
      <w:szCs w:val="16"/>
    </w:rPr>
  </w:style>
  <w:style w:type="paragraph" w:styleId="CommentText">
    <w:name w:val="annotation text"/>
    <w:basedOn w:val="Normal"/>
    <w:link w:val="CommentTextChar"/>
    <w:semiHidden/>
    <w:rsid w:val="007A5AF9"/>
    <w:rPr>
      <w:sz w:val="20"/>
      <w:szCs w:val="20"/>
    </w:rPr>
  </w:style>
  <w:style w:type="character" w:customStyle="1" w:styleId="CommentTextChar">
    <w:name w:val="Comment Text Char"/>
    <w:basedOn w:val="DefaultParagraphFont"/>
    <w:link w:val="CommentText"/>
    <w:semiHidden/>
    <w:rsid w:val="007A5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A5AF9"/>
    <w:rPr>
      <w:b/>
      <w:bCs/>
    </w:rPr>
  </w:style>
  <w:style w:type="character" w:customStyle="1" w:styleId="CommentSubjectChar">
    <w:name w:val="Comment Subject Char"/>
    <w:basedOn w:val="CommentTextChar"/>
    <w:link w:val="CommentSubject"/>
    <w:semiHidden/>
    <w:rsid w:val="007A5AF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A5AF9"/>
    <w:rPr>
      <w:rFonts w:ascii="Tahoma" w:hAnsi="Tahoma" w:cs="Tahoma"/>
      <w:sz w:val="16"/>
      <w:szCs w:val="16"/>
    </w:rPr>
  </w:style>
  <w:style w:type="character" w:customStyle="1" w:styleId="BalloonTextChar">
    <w:name w:val="Balloon Text Char"/>
    <w:basedOn w:val="DefaultParagraphFont"/>
    <w:link w:val="BalloonText"/>
    <w:semiHidden/>
    <w:rsid w:val="007A5AF9"/>
    <w:rPr>
      <w:rFonts w:ascii="Tahoma" w:eastAsia="Times New Roman" w:hAnsi="Tahoma" w:cs="Tahoma"/>
      <w:sz w:val="16"/>
      <w:szCs w:val="16"/>
    </w:rPr>
  </w:style>
  <w:style w:type="paragraph" w:customStyle="1" w:styleId="NASLOV123">
    <w:name w:val="NASLOV 123"/>
    <w:basedOn w:val="Normal"/>
    <w:qFormat/>
    <w:rsid w:val="007A5AF9"/>
    <w:pPr>
      <w:spacing w:before="200" w:after="200"/>
      <w:jc w:val="left"/>
    </w:pPr>
    <w:rPr>
      <w:b/>
      <w:szCs w:val="22"/>
    </w:rPr>
  </w:style>
  <w:style w:type="paragraph" w:styleId="ListParagraph">
    <w:name w:val="List Paragraph"/>
    <w:basedOn w:val="Normal"/>
    <w:uiPriority w:val="34"/>
    <w:qFormat/>
    <w:rsid w:val="007A5AF9"/>
    <w:pPr>
      <w:ind w:left="720"/>
      <w:contextualSpacing/>
    </w:pPr>
  </w:style>
  <w:style w:type="paragraph" w:styleId="NoSpacing">
    <w:name w:val="No Spacing"/>
    <w:uiPriority w:val="1"/>
    <w:qFormat/>
    <w:rsid w:val="007A5AF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7A5AF9"/>
    <w:rPr>
      <w:color w:val="0563C1" w:themeColor="hyperlink"/>
      <w:u w:val="single"/>
    </w:rPr>
  </w:style>
  <w:style w:type="paragraph" w:customStyle="1" w:styleId="Default">
    <w:name w:val="Default"/>
    <w:rsid w:val="007A5A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7A5AF9"/>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Aleksandra Minić</cp:lastModifiedBy>
  <cp:revision>5</cp:revision>
  <dcterms:created xsi:type="dcterms:W3CDTF">2023-08-23T12:12:00Z</dcterms:created>
  <dcterms:modified xsi:type="dcterms:W3CDTF">2024-08-23T08:49:00Z</dcterms:modified>
</cp:coreProperties>
</file>