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3A1E55F" w14:textId="77777777" w:rsidR="00F91C7B" w:rsidRPr="00C01AE6" w:rsidRDefault="00F91C7B" w:rsidP="00066F87">
      <w:pPr>
        <w:jc w:val="both"/>
        <w:rPr>
          <w:b/>
          <w:bCs/>
          <w:i/>
          <w:iCs/>
          <w:sz w:val="22"/>
          <w:szCs w:val="22"/>
          <w:u w:val="single"/>
          <w:lang w:val="sr-Latn-ME"/>
        </w:rPr>
      </w:pPr>
    </w:p>
    <w:p w14:paraId="44E92A34" w14:textId="77777777" w:rsidR="002510A5" w:rsidRPr="00C01AE6" w:rsidRDefault="002510A5" w:rsidP="00066F87">
      <w:pPr>
        <w:jc w:val="center"/>
        <w:rPr>
          <w:b/>
          <w:bCs/>
          <w:iCs/>
          <w:sz w:val="22"/>
          <w:szCs w:val="22"/>
          <w:u w:val="single"/>
          <w:lang w:val="sr-Latn-ME"/>
        </w:rPr>
      </w:pPr>
      <w:r w:rsidRPr="00C01AE6">
        <w:rPr>
          <w:b/>
          <w:bCs/>
          <w:iCs/>
          <w:sz w:val="22"/>
          <w:szCs w:val="22"/>
          <w:u w:val="single"/>
          <w:lang w:val="sr-Latn-ME"/>
        </w:rPr>
        <w:t>SAŽETAK KARAKTERISTIKA LIJEKA</w:t>
      </w:r>
    </w:p>
    <w:p w14:paraId="4004EBAD" w14:textId="77777777" w:rsidR="002510A5" w:rsidRPr="00C01AE6" w:rsidRDefault="002510A5" w:rsidP="00066F87">
      <w:pPr>
        <w:rPr>
          <w:b/>
          <w:bCs/>
          <w:i/>
          <w:iCs/>
          <w:sz w:val="22"/>
          <w:szCs w:val="22"/>
          <w:u w:val="single"/>
          <w:lang w:val="sr-Latn-ME"/>
        </w:rPr>
      </w:pPr>
    </w:p>
    <w:p w14:paraId="17D21D13" w14:textId="77777777" w:rsidR="003C17AB" w:rsidRPr="00C01AE6" w:rsidRDefault="003C17AB" w:rsidP="00655C9D">
      <w:pPr>
        <w:jc w:val="both"/>
        <w:rPr>
          <w:sz w:val="22"/>
          <w:szCs w:val="22"/>
          <w:lang w:val="sr-Latn-ME"/>
        </w:rPr>
      </w:pPr>
    </w:p>
    <w:p w14:paraId="345582A3" w14:textId="6CF12CC7" w:rsidR="003C17AB" w:rsidRPr="00C01AE6" w:rsidRDefault="003C17AB" w:rsidP="00655C9D">
      <w:pPr>
        <w:pStyle w:val="ListParagraph"/>
        <w:numPr>
          <w:ilvl w:val="0"/>
          <w:numId w:val="14"/>
        </w:numPr>
        <w:tabs>
          <w:tab w:val="left" w:pos="540"/>
          <w:tab w:val="left" w:pos="569"/>
        </w:tabs>
        <w:jc w:val="both"/>
        <w:rPr>
          <w:noProof/>
          <w:sz w:val="22"/>
          <w:szCs w:val="22"/>
          <w:lang w:val="sr-Latn-ME"/>
        </w:rPr>
      </w:pPr>
      <w:r w:rsidRPr="00C01AE6">
        <w:rPr>
          <w:noProof/>
          <w:sz w:val="22"/>
          <w:szCs w:val="22"/>
          <w:lang w:val="sr-Latn-ME"/>
        </w:rPr>
        <w:t>Ovaj lijek je pod dodatnim praćenjem.</w:t>
      </w:r>
      <w:r w:rsidRPr="00C01AE6">
        <w:rPr>
          <w:sz w:val="22"/>
          <w:szCs w:val="22"/>
          <w:lang w:val="sr-Latn-ME"/>
        </w:rPr>
        <w:t xml:space="preserve"> </w:t>
      </w:r>
      <w:r w:rsidRPr="00C01AE6">
        <w:rPr>
          <w:noProof/>
          <w:sz w:val="22"/>
          <w:szCs w:val="22"/>
          <w:lang w:val="sr-Latn-ME"/>
        </w:rPr>
        <w:t>Time se omogućava brzo otkrivanje novih bezbjednosnih informacija. Zdravstveni radnici treba da prijave svaku sumnju na neželjeno dejstvo ovog lijeka.</w:t>
      </w:r>
      <w:r w:rsidRPr="00C01AE6">
        <w:rPr>
          <w:sz w:val="22"/>
          <w:szCs w:val="22"/>
          <w:lang w:val="sr-Latn-ME"/>
        </w:rPr>
        <w:t xml:space="preserve"> Za način prijavljivanja neželjenih dejstava vidjeti </w:t>
      </w:r>
      <w:r w:rsidR="007A3ECB" w:rsidRPr="00C01AE6">
        <w:rPr>
          <w:sz w:val="22"/>
          <w:szCs w:val="22"/>
          <w:lang w:val="sr-Latn-ME"/>
        </w:rPr>
        <w:t xml:space="preserve">dio </w:t>
      </w:r>
      <w:r w:rsidRPr="00C01AE6">
        <w:rPr>
          <w:sz w:val="22"/>
          <w:szCs w:val="22"/>
          <w:lang w:val="sr-Latn-ME"/>
        </w:rPr>
        <w:t>4.8</w:t>
      </w:r>
      <w:r w:rsidRPr="00C01AE6">
        <w:rPr>
          <w:noProof/>
          <w:sz w:val="22"/>
          <w:szCs w:val="22"/>
          <w:lang w:val="sr-Latn-ME"/>
        </w:rPr>
        <w:t>.</w:t>
      </w:r>
      <w:r w:rsidR="00107BF7" w:rsidRPr="00C01AE6">
        <w:rPr>
          <w:noProof/>
          <w:sz w:val="22"/>
          <w:szCs w:val="22"/>
          <w:lang w:val="sr-Latn-ME"/>
        </w:rPr>
        <w:t xml:space="preserve"> </w:t>
      </w:r>
    </w:p>
    <w:p w14:paraId="0F84732F" w14:textId="77777777" w:rsidR="00711F45" w:rsidRPr="00C01AE6" w:rsidRDefault="00711F45" w:rsidP="00655C9D">
      <w:pPr>
        <w:pStyle w:val="ListParagraph"/>
        <w:tabs>
          <w:tab w:val="left" w:pos="540"/>
          <w:tab w:val="left" w:pos="569"/>
        </w:tabs>
        <w:rPr>
          <w:noProof/>
          <w:sz w:val="22"/>
          <w:szCs w:val="22"/>
          <w:lang w:val="sr-Latn-ME"/>
        </w:rPr>
      </w:pPr>
    </w:p>
    <w:p w14:paraId="4F8170DE" w14:textId="77777777" w:rsidR="00C37FD7" w:rsidRPr="00C01AE6" w:rsidRDefault="00C37FD7">
      <w:pPr>
        <w:tabs>
          <w:tab w:val="left" w:pos="540"/>
          <w:tab w:val="left" w:pos="569"/>
        </w:tabs>
        <w:rPr>
          <w:bCs/>
          <w:sz w:val="22"/>
          <w:szCs w:val="22"/>
          <w:lang w:val="sr-Latn-ME"/>
        </w:rPr>
      </w:pPr>
    </w:p>
    <w:p w14:paraId="33D3E3B1" w14:textId="77777777" w:rsidR="00411B4B" w:rsidRPr="00C01AE6" w:rsidRDefault="00411B4B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ME"/>
        </w:rPr>
      </w:pPr>
      <w:r w:rsidRPr="00C01AE6">
        <w:rPr>
          <w:b/>
          <w:bCs/>
          <w:sz w:val="22"/>
          <w:szCs w:val="22"/>
          <w:lang w:val="sr-Latn-ME"/>
        </w:rPr>
        <w:t>1.</w:t>
      </w:r>
      <w:r w:rsidR="00F5167F" w:rsidRPr="00C01AE6">
        <w:rPr>
          <w:b/>
          <w:bCs/>
          <w:sz w:val="22"/>
          <w:szCs w:val="22"/>
          <w:lang w:val="sr-Latn-ME"/>
        </w:rPr>
        <w:tab/>
      </w:r>
      <w:r w:rsidR="002846DB" w:rsidRPr="00C01AE6">
        <w:rPr>
          <w:b/>
          <w:bCs/>
          <w:sz w:val="22"/>
          <w:szCs w:val="22"/>
          <w:lang w:val="sr-Latn-ME"/>
        </w:rPr>
        <w:t xml:space="preserve">NAZIV </w:t>
      </w:r>
      <w:r w:rsidRPr="00C01AE6">
        <w:rPr>
          <w:b/>
          <w:bCs/>
          <w:sz w:val="22"/>
          <w:szCs w:val="22"/>
          <w:lang w:val="sr-Latn-ME"/>
        </w:rPr>
        <w:t>LIJEKA</w:t>
      </w:r>
    </w:p>
    <w:p w14:paraId="62D2DE7B" w14:textId="77777777" w:rsidR="00EC2532" w:rsidRPr="00C01AE6" w:rsidRDefault="00EC2532">
      <w:pPr>
        <w:rPr>
          <w:sz w:val="22"/>
          <w:szCs w:val="22"/>
          <w:lang w:val="sr-Latn-ME"/>
        </w:rPr>
      </w:pPr>
    </w:p>
    <w:p w14:paraId="54DDA090" w14:textId="2311F0BE" w:rsidR="00316A42" w:rsidRPr="00C01AE6" w:rsidRDefault="00D901C1">
      <w:pPr>
        <w:tabs>
          <w:tab w:val="left" w:pos="540"/>
          <w:tab w:val="left" w:pos="569"/>
        </w:tabs>
        <w:rPr>
          <w:noProof/>
          <w:sz w:val="22"/>
          <w:szCs w:val="22"/>
          <w:lang w:val="sr-Latn-ME"/>
        </w:rPr>
      </w:pPr>
      <w:r w:rsidRPr="00C01AE6">
        <w:rPr>
          <w:noProof/>
          <w:sz w:val="22"/>
          <w:szCs w:val="22"/>
          <w:lang w:val="sr-Latn-ME"/>
        </w:rPr>
        <w:t xml:space="preserve">Strensiq 40 mg/ml rastvor za injekciju </w:t>
      </w:r>
    </w:p>
    <w:p w14:paraId="581FC2D8" w14:textId="7124D685" w:rsidR="00D901C1" w:rsidRPr="00C01AE6" w:rsidRDefault="00316A42">
      <w:pPr>
        <w:tabs>
          <w:tab w:val="left" w:pos="540"/>
          <w:tab w:val="left" w:pos="569"/>
        </w:tabs>
        <w:rPr>
          <w:noProof/>
          <w:sz w:val="22"/>
          <w:szCs w:val="22"/>
          <w:lang w:val="sr-Latn-ME"/>
        </w:rPr>
      </w:pPr>
      <w:r w:rsidRPr="00C01AE6">
        <w:rPr>
          <w:noProof/>
          <w:sz w:val="22"/>
          <w:szCs w:val="22"/>
          <w:lang w:val="sr-Latn-ME"/>
        </w:rPr>
        <w:t xml:space="preserve">Strensiq 100 mg/ml rastvor za injekciju </w:t>
      </w:r>
    </w:p>
    <w:p w14:paraId="4A543034" w14:textId="77777777" w:rsidR="006C656A" w:rsidRPr="00C01AE6" w:rsidRDefault="006C656A">
      <w:pPr>
        <w:tabs>
          <w:tab w:val="left" w:pos="540"/>
          <w:tab w:val="left" w:pos="569"/>
        </w:tabs>
        <w:rPr>
          <w:noProof/>
          <w:sz w:val="22"/>
          <w:szCs w:val="22"/>
          <w:lang w:val="sr-Latn-ME"/>
        </w:rPr>
      </w:pPr>
    </w:p>
    <w:p w14:paraId="0317E141" w14:textId="1B75A571" w:rsidR="006D20A5" w:rsidRPr="00C01AE6" w:rsidRDefault="00316A42">
      <w:pPr>
        <w:tabs>
          <w:tab w:val="left" w:pos="540"/>
          <w:tab w:val="left" w:pos="569"/>
        </w:tabs>
        <w:rPr>
          <w:noProof/>
          <w:sz w:val="22"/>
          <w:szCs w:val="22"/>
          <w:lang w:val="sr-Latn-ME"/>
        </w:rPr>
      </w:pPr>
      <w:r w:rsidRPr="00C01AE6">
        <w:rPr>
          <w:noProof/>
          <w:sz w:val="22"/>
          <w:szCs w:val="22"/>
          <w:lang w:val="sr-Latn-ME"/>
        </w:rPr>
        <w:t>I</w:t>
      </w:r>
      <w:r w:rsidR="006D20A5" w:rsidRPr="00C01AE6">
        <w:rPr>
          <w:noProof/>
          <w:sz w:val="22"/>
          <w:szCs w:val="22"/>
          <w:lang w:val="sr-Latn-ME"/>
        </w:rPr>
        <w:t>NN:</w:t>
      </w:r>
      <w:r w:rsidR="00D901C1" w:rsidRPr="00C01AE6">
        <w:rPr>
          <w:noProof/>
          <w:sz w:val="22"/>
          <w:szCs w:val="22"/>
          <w:lang w:val="sr-Latn-ME"/>
        </w:rPr>
        <w:t xml:space="preserve"> asfotaz</w:t>
      </w:r>
      <w:r w:rsidR="00D0260B" w:rsidRPr="00C01AE6">
        <w:rPr>
          <w:noProof/>
          <w:sz w:val="22"/>
          <w:szCs w:val="22"/>
          <w:lang w:val="sr-Latn-ME"/>
        </w:rPr>
        <w:t>a</w:t>
      </w:r>
      <w:r w:rsidR="00D901C1" w:rsidRPr="00C01AE6">
        <w:rPr>
          <w:noProof/>
          <w:sz w:val="22"/>
          <w:szCs w:val="22"/>
          <w:lang w:val="sr-Latn-ME"/>
        </w:rPr>
        <w:t xml:space="preserve"> alfa</w:t>
      </w:r>
    </w:p>
    <w:p w14:paraId="3CDA0383" w14:textId="77777777" w:rsidR="00711F45" w:rsidRPr="00C01AE6" w:rsidRDefault="00711F45">
      <w:pPr>
        <w:tabs>
          <w:tab w:val="left" w:pos="540"/>
          <w:tab w:val="left" w:pos="569"/>
        </w:tabs>
        <w:rPr>
          <w:noProof/>
          <w:sz w:val="22"/>
          <w:szCs w:val="22"/>
          <w:lang w:val="sr-Latn-ME"/>
        </w:rPr>
      </w:pPr>
    </w:p>
    <w:p w14:paraId="46292E2A" w14:textId="77777777" w:rsidR="00530BD7" w:rsidRPr="00C01AE6" w:rsidRDefault="00530BD7">
      <w:pPr>
        <w:tabs>
          <w:tab w:val="left" w:pos="540"/>
          <w:tab w:val="left" w:pos="569"/>
        </w:tabs>
        <w:rPr>
          <w:noProof/>
          <w:sz w:val="22"/>
          <w:szCs w:val="22"/>
          <w:lang w:val="sr-Latn-ME"/>
        </w:rPr>
      </w:pPr>
    </w:p>
    <w:p w14:paraId="34DCD9E7" w14:textId="35FF24C2" w:rsidR="00411B4B" w:rsidRPr="00C01AE6" w:rsidRDefault="00411B4B">
      <w:pPr>
        <w:tabs>
          <w:tab w:val="left" w:pos="540"/>
          <w:tab w:val="left" w:pos="569"/>
        </w:tabs>
        <w:rPr>
          <w:b/>
          <w:bCs/>
          <w:noProof/>
          <w:sz w:val="22"/>
          <w:szCs w:val="22"/>
          <w:lang w:val="sr-Latn-ME"/>
        </w:rPr>
      </w:pPr>
      <w:r w:rsidRPr="00C01AE6">
        <w:rPr>
          <w:b/>
          <w:bCs/>
          <w:noProof/>
          <w:sz w:val="22"/>
          <w:szCs w:val="22"/>
          <w:lang w:val="sr-Latn-ME"/>
        </w:rPr>
        <w:t xml:space="preserve">2. </w:t>
      </w:r>
      <w:r w:rsidR="00F5167F" w:rsidRPr="00C01AE6">
        <w:rPr>
          <w:b/>
          <w:bCs/>
          <w:noProof/>
          <w:sz w:val="22"/>
          <w:szCs w:val="22"/>
          <w:lang w:val="sr-Latn-ME"/>
        </w:rPr>
        <w:tab/>
      </w:r>
      <w:r w:rsidRPr="00C01AE6">
        <w:rPr>
          <w:b/>
          <w:bCs/>
          <w:noProof/>
          <w:sz w:val="22"/>
          <w:szCs w:val="22"/>
          <w:lang w:val="sr-Latn-ME"/>
        </w:rPr>
        <w:t>KVALITATIVNI I KVANTITATIVNI SASTAV</w:t>
      </w:r>
    </w:p>
    <w:p w14:paraId="18320317" w14:textId="51AD5050" w:rsidR="00D901C1" w:rsidRPr="00C01AE6" w:rsidRDefault="00D901C1">
      <w:pPr>
        <w:tabs>
          <w:tab w:val="left" w:pos="540"/>
          <w:tab w:val="left" w:pos="569"/>
        </w:tabs>
        <w:rPr>
          <w:noProof/>
          <w:sz w:val="22"/>
          <w:szCs w:val="22"/>
          <w:lang w:val="sr-Latn-ME"/>
        </w:rPr>
      </w:pPr>
    </w:p>
    <w:p w14:paraId="29CBECBE" w14:textId="77777777" w:rsidR="00D901C1" w:rsidRPr="00C01AE6" w:rsidRDefault="00D901C1">
      <w:pPr>
        <w:tabs>
          <w:tab w:val="left" w:pos="540"/>
          <w:tab w:val="left" w:pos="569"/>
        </w:tabs>
        <w:rPr>
          <w:noProof/>
          <w:sz w:val="22"/>
          <w:szCs w:val="22"/>
          <w:u w:val="single"/>
          <w:lang w:val="sr-Latn-ME"/>
        </w:rPr>
      </w:pPr>
      <w:r w:rsidRPr="00C01AE6">
        <w:rPr>
          <w:noProof/>
          <w:sz w:val="22"/>
          <w:szCs w:val="22"/>
          <w:u w:val="single"/>
          <w:lang w:val="sr-Latn-ME"/>
        </w:rPr>
        <w:t>Strensiq 40 mg/ml rastvor za injekciju</w:t>
      </w:r>
    </w:p>
    <w:p w14:paraId="0F4609C5" w14:textId="77777777" w:rsidR="00D901C1" w:rsidRPr="00C01AE6" w:rsidRDefault="00D901C1">
      <w:pPr>
        <w:tabs>
          <w:tab w:val="left" w:pos="540"/>
          <w:tab w:val="left" w:pos="569"/>
        </w:tabs>
        <w:rPr>
          <w:noProof/>
          <w:sz w:val="22"/>
          <w:szCs w:val="22"/>
          <w:lang w:val="sr-Latn-ME"/>
        </w:rPr>
      </w:pPr>
    </w:p>
    <w:p w14:paraId="0CF18EC1" w14:textId="0B58AE81" w:rsidR="00D901C1" w:rsidRPr="00C01AE6" w:rsidRDefault="00467B3D">
      <w:pPr>
        <w:tabs>
          <w:tab w:val="left" w:pos="540"/>
          <w:tab w:val="left" w:pos="569"/>
        </w:tabs>
        <w:rPr>
          <w:noProof/>
          <w:sz w:val="22"/>
          <w:szCs w:val="22"/>
          <w:lang w:val="sr-Latn-ME"/>
        </w:rPr>
      </w:pPr>
      <w:r w:rsidRPr="00C01AE6">
        <w:rPr>
          <w:noProof/>
          <w:sz w:val="22"/>
          <w:szCs w:val="22"/>
          <w:lang w:val="sr-Latn-ME"/>
        </w:rPr>
        <w:t>Jedan</w:t>
      </w:r>
      <w:r w:rsidR="00D901C1" w:rsidRPr="00C01AE6">
        <w:rPr>
          <w:noProof/>
          <w:sz w:val="22"/>
          <w:szCs w:val="22"/>
          <w:lang w:val="sr-Latn-ME"/>
        </w:rPr>
        <w:t xml:space="preserve"> ml rastvora sadrži 40 mg asfotaze alfa*.</w:t>
      </w:r>
    </w:p>
    <w:p w14:paraId="29FE40D4" w14:textId="77777777" w:rsidR="00D901C1" w:rsidRPr="00C01AE6" w:rsidRDefault="00D901C1">
      <w:pPr>
        <w:tabs>
          <w:tab w:val="left" w:pos="540"/>
          <w:tab w:val="left" w:pos="569"/>
        </w:tabs>
        <w:rPr>
          <w:noProof/>
          <w:sz w:val="22"/>
          <w:szCs w:val="22"/>
          <w:lang w:val="sr-Latn-ME"/>
        </w:rPr>
      </w:pPr>
    </w:p>
    <w:p w14:paraId="07E82709" w14:textId="77777777" w:rsidR="00D901C1" w:rsidRPr="00C01AE6" w:rsidRDefault="00D901C1">
      <w:pPr>
        <w:tabs>
          <w:tab w:val="left" w:pos="540"/>
          <w:tab w:val="left" w:pos="569"/>
        </w:tabs>
        <w:rPr>
          <w:noProof/>
          <w:sz w:val="22"/>
          <w:szCs w:val="22"/>
          <w:lang w:val="sr-Latn-ME"/>
        </w:rPr>
      </w:pPr>
      <w:r w:rsidRPr="00C01AE6">
        <w:rPr>
          <w:noProof/>
          <w:sz w:val="22"/>
          <w:szCs w:val="22"/>
          <w:lang w:val="sr-Latn-ME"/>
        </w:rPr>
        <w:t xml:space="preserve">Jedna bočica sadrži 0,45 ml rastvora i 18 mg asfotaze alfa (40 mg/ml). </w:t>
      </w:r>
    </w:p>
    <w:p w14:paraId="702E3DF6" w14:textId="77777777" w:rsidR="00D901C1" w:rsidRPr="00C01AE6" w:rsidRDefault="00D901C1">
      <w:pPr>
        <w:tabs>
          <w:tab w:val="left" w:pos="540"/>
          <w:tab w:val="left" w:pos="569"/>
        </w:tabs>
        <w:rPr>
          <w:noProof/>
          <w:sz w:val="22"/>
          <w:szCs w:val="22"/>
          <w:lang w:val="sr-Latn-ME"/>
        </w:rPr>
      </w:pPr>
      <w:r w:rsidRPr="00C01AE6">
        <w:rPr>
          <w:noProof/>
          <w:sz w:val="22"/>
          <w:szCs w:val="22"/>
          <w:lang w:val="sr-Latn-ME"/>
        </w:rPr>
        <w:t xml:space="preserve">Jedna bočica sadrži 0,7 ml rastvora i 28 mg asfotaze alfa (40 mg/ml). </w:t>
      </w:r>
    </w:p>
    <w:p w14:paraId="390C0153" w14:textId="6B08F582" w:rsidR="00D901C1" w:rsidRPr="00C01AE6" w:rsidRDefault="00D901C1">
      <w:pPr>
        <w:tabs>
          <w:tab w:val="left" w:pos="540"/>
          <w:tab w:val="left" w:pos="569"/>
        </w:tabs>
        <w:rPr>
          <w:noProof/>
          <w:sz w:val="22"/>
          <w:szCs w:val="22"/>
          <w:lang w:val="sr-Latn-ME"/>
        </w:rPr>
      </w:pPr>
      <w:r w:rsidRPr="00C01AE6">
        <w:rPr>
          <w:noProof/>
          <w:sz w:val="22"/>
          <w:szCs w:val="22"/>
          <w:lang w:val="sr-Latn-ME"/>
        </w:rPr>
        <w:t>Jedna bočica sadrži 1 ml rastvora i 40 mg asfotaze alfa (40 mg/ml).</w:t>
      </w:r>
    </w:p>
    <w:p w14:paraId="1C9BA9D7" w14:textId="77777777" w:rsidR="00D901C1" w:rsidRPr="00C01AE6" w:rsidRDefault="00D901C1">
      <w:pPr>
        <w:tabs>
          <w:tab w:val="left" w:pos="540"/>
          <w:tab w:val="left" w:pos="569"/>
        </w:tabs>
        <w:rPr>
          <w:noProof/>
          <w:sz w:val="22"/>
          <w:szCs w:val="22"/>
          <w:lang w:val="sr-Latn-ME"/>
        </w:rPr>
      </w:pPr>
    </w:p>
    <w:p w14:paraId="1ACF6B09" w14:textId="77777777" w:rsidR="00D901C1" w:rsidRPr="00C01AE6" w:rsidRDefault="00D901C1">
      <w:pPr>
        <w:tabs>
          <w:tab w:val="left" w:pos="540"/>
          <w:tab w:val="left" w:pos="569"/>
        </w:tabs>
        <w:rPr>
          <w:noProof/>
          <w:sz w:val="22"/>
          <w:szCs w:val="22"/>
          <w:u w:val="single"/>
          <w:lang w:val="sr-Latn-ME"/>
        </w:rPr>
      </w:pPr>
      <w:r w:rsidRPr="00C01AE6">
        <w:rPr>
          <w:noProof/>
          <w:sz w:val="22"/>
          <w:szCs w:val="22"/>
          <w:u w:val="single"/>
          <w:lang w:val="sr-Latn-ME"/>
        </w:rPr>
        <w:t>Strensiq 100 mg/ml rastvor za injekciju</w:t>
      </w:r>
    </w:p>
    <w:p w14:paraId="2249E827" w14:textId="77777777" w:rsidR="00D901C1" w:rsidRPr="00C01AE6" w:rsidRDefault="00D901C1">
      <w:pPr>
        <w:tabs>
          <w:tab w:val="left" w:pos="540"/>
          <w:tab w:val="left" w:pos="569"/>
        </w:tabs>
        <w:rPr>
          <w:noProof/>
          <w:sz w:val="22"/>
          <w:szCs w:val="22"/>
          <w:lang w:val="sr-Latn-ME"/>
        </w:rPr>
      </w:pPr>
    </w:p>
    <w:p w14:paraId="085BD645" w14:textId="5BB3231B" w:rsidR="00D901C1" w:rsidRPr="00C01AE6" w:rsidRDefault="000A3AF6">
      <w:pPr>
        <w:tabs>
          <w:tab w:val="left" w:pos="540"/>
          <w:tab w:val="left" w:pos="569"/>
        </w:tabs>
        <w:rPr>
          <w:noProof/>
          <w:sz w:val="22"/>
          <w:szCs w:val="22"/>
          <w:lang w:val="sr-Latn-ME"/>
        </w:rPr>
      </w:pPr>
      <w:r w:rsidRPr="00C01AE6">
        <w:rPr>
          <w:noProof/>
          <w:sz w:val="22"/>
          <w:szCs w:val="22"/>
          <w:lang w:val="sr-Latn-ME"/>
        </w:rPr>
        <w:t xml:space="preserve">Jedan </w:t>
      </w:r>
      <w:r w:rsidR="00D901C1" w:rsidRPr="00C01AE6">
        <w:rPr>
          <w:noProof/>
          <w:sz w:val="22"/>
          <w:szCs w:val="22"/>
          <w:lang w:val="sr-Latn-ME"/>
        </w:rPr>
        <w:t>ml rastvora sadrži 100 mg asfotaze alfa*.</w:t>
      </w:r>
    </w:p>
    <w:p w14:paraId="4637CE16" w14:textId="77777777" w:rsidR="00D901C1" w:rsidRPr="00C01AE6" w:rsidRDefault="00D901C1">
      <w:pPr>
        <w:tabs>
          <w:tab w:val="left" w:pos="540"/>
          <w:tab w:val="left" w:pos="569"/>
        </w:tabs>
        <w:rPr>
          <w:noProof/>
          <w:sz w:val="22"/>
          <w:szCs w:val="22"/>
          <w:lang w:val="sr-Latn-ME"/>
        </w:rPr>
      </w:pPr>
    </w:p>
    <w:p w14:paraId="65EA0499" w14:textId="77777777" w:rsidR="00D901C1" w:rsidRPr="00C01AE6" w:rsidRDefault="00D901C1">
      <w:pPr>
        <w:tabs>
          <w:tab w:val="left" w:pos="540"/>
          <w:tab w:val="left" w:pos="569"/>
        </w:tabs>
        <w:rPr>
          <w:noProof/>
          <w:sz w:val="22"/>
          <w:szCs w:val="22"/>
          <w:lang w:val="sr-Latn-ME"/>
        </w:rPr>
      </w:pPr>
      <w:r w:rsidRPr="00C01AE6">
        <w:rPr>
          <w:noProof/>
          <w:sz w:val="22"/>
          <w:szCs w:val="22"/>
          <w:lang w:val="sr-Latn-ME"/>
        </w:rPr>
        <w:t>Jedna bočica sadrži 0,8 ml rastvora i 80 mg asfotaze alfa (100 mg/ml).</w:t>
      </w:r>
    </w:p>
    <w:p w14:paraId="5DBF3CEB" w14:textId="77777777" w:rsidR="00D901C1" w:rsidRPr="00C01AE6" w:rsidRDefault="00D901C1">
      <w:pPr>
        <w:tabs>
          <w:tab w:val="left" w:pos="540"/>
          <w:tab w:val="left" w:pos="569"/>
        </w:tabs>
        <w:rPr>
          <w:noProof/>
          <w:sz w:val="22"/>
          <w:szCs w:val="22"/>
          <w:lang w:val="sr-Latn-ME"/>
        </w:rPr>
      </w:pPr>
    </w:p>
    <w:p w14:paraId="00EEE76E" w14:textId="6EA778FE" w:rsidR="00D901C1" w:rsidRPr="00C01AE6" w:rsidRDefault="00D901C1">
      <w:pPr>
        <w:tabs>
          <w:tab w:val="left" w:pos="540"/>
          <w:tab w:val="left" w:pos="569"/>
        </w:tabs>
        <w:rPr>
          <w:noProof/>
          <w:sz w:val="22"/>
          <w:szCs w:val="22"/>
          <w:lang w:val="sr-Latn-ME"/>
        </w:rPr>
      </w:pPr>
      <w:r w:rsidRPr="00C01AE6">
        <w:rPr>
          <w:noProof/>
          <w:sz w:val="22"/>
          <w:szCs w:val="22"/>
          <w:lang w:val="sr-Latn-ME"/>
        </w:rPr>
        <w:t xml:space="preserve">* </w:t>
      </w:r>
      <w:r w:rsidR="00FE69AE" w:rsidRPr="00C01AE6">
        <w:rPr>
          <w:noProof/>
          <w:sz w:val="22"/>
          <w:szCs w:val="22"/>
          <w:lang w:val="sr-Latn-ME"/>
        </w:rPr>
        <w:t>P</w:t>
      </w:r>
      <w:r w:rsidRPr="00C01AE6">
        <w:rPr>
          <w:noProof/>
          <w:sz w:val="22"/>
          <w:szCs w:val="22"/>
          <w:lang w:val="sr-Latn-ME"/>
        </w:rPr>
        <w:t xml:space="preserve">roizvedeno tehnologijom rekombinantne DNK iz kulture ćelija </w:t>
      </w:r>
      <w:r w:rsidR="00316A42" w:rsidRPr="00C01AE6">
        <w:rPr>
          <w:noProof/>
          <w:sz w:val="22"/>
          <w:szCs w:val="22"/>
          <w:lang w:val="sr-Latn-ME"/>
        </w:rPr>
        <w:t>j</w:t>
      </w:r>
      <w:r w:rsidRPr="00C01AE6">
        <w:rPr>
          <w:noProof/>
          <w:sz w:val="22"/>
          <w:szCs w:val="22"/>
          <w:lang w:val="sr-Latn-ME"/>
        </w:rPr>
        <w:t>ajnika kineskog hrčka (</w:t>
      </w:r>
      <w:r w:rsidR="006C656A" w:rsidRPr="00C01AE6">
        <w:rPr>
          <w:noProof/>
          <w:sz w:val="22"/>
          <w:szCs w:val="22"/>
          <w:lang w:val="sr-Latn-ME"/>
        </w:rPr>
        <w:t xml:space="preserve">eng. </w:t>
      </w:r>
      <w:r w:rsidR="006C656A" w:rsidRPr="00C01AE6">
        <w:rPr>
          <w:i/>
          <w:noProof/>
          <w:sz w:val="22"/>
          <w:szCs w:val="22"/>
          <w:lang w:val="sr-Latn-ME"/>
        </w:rPr>
        <w:t>Chinese Hamster Ovary</w:t>
      </w:r>
      <w:r w:rsidR="006C656A" w:rsidRPr="00C01AE6">
        <w:rPr>
          <w:noProof/>
          <w:sz w:val="22"/>
          <w:szCs w:val="22"/>
          <w:lang w:val="sr-Latn-ME"/>
        </w:rPr>
        <w:t xml:space="preserve">, </w:t>
      </w:r>
      <w:r w:rsidRPr="00C01AE6">
        <w:rPr>
          <w:noProof/>
          <w:sz w:val="22"/>
          <w:szCs w:val="22"/>
          <w:lang w:val="sr-Latn-ME"/>
        </w:rPr>
        <w:t>CHO).</w:t>
      </w:r>
    </w:p>
    <w:p w14:paraId="17A038D4" w14:textId="77777777" w:rsidR="005A0B2E" w:rsidRPr="00C01AE6" w:rsidRDefault="005A0B2E">
      <w:pPr>
        <w:tabs>
          <w:tab w:val="left" w:pos="540"/>
          <w:tab w:val="left" w:pos="569"/>
        </w:tabs>
        <w:rPr>
          <w:noProof/>
          <w:sz w:val="22"/>
          <w:szCs w:val="22"/>
          <w:lang w:val="sr-Latn-ME"/>
        </w:rPr>
      </w:pPr>
    </w:p>
    <w:p w14:paraId="78B0E28C" w14:textId="77777777" w:rsidR="0003793F" w:rsidRPr="00C01AE6" w:rsidRDefault="0003793F">
      <w:pPr>
        <w:tabs>
          <w:tab w:val="left" w:pos="540"/>
          <w:tab w:val="left" w:pos="569"/>
        </w:tabs>
        <w:rPr>
          <w:noProof/>
          <w:sz w:val="22"/>
          <w:szCs w:val="22"/>
          <w:lang w:val="sr-Latn-ME"/>
        </w:rPr>
      </w:pPr>
      <w:r w:rsidRPr="00C01AE6">
        <w:rPr>
          <w:noProof/>
          <w:sz w:val="22"/>
          <w:szCs w:val="22"/>
          <w:lang w:val="sr-Latn-ME"/>
        </w:rPr>
        <w:t>Za spisak svih ekscipijenasa, pogledati dio 6.1.</w:t>
      </w:r>
    </w:p>
    <w:p w14:paraId="34F00447" w14:textId="77777777" w:rsidR="0003793F" w:rsidRPr="00C01AE6" w:rsidRDefault="0003793F">
      <w:pPr>
        <w:tabs>
          <w:tab w:val="left" w:pos="540"/>
          <w:tab w:val="left" w:pos="569"/>
        </w:tabs>
        <w:rPr>
          <w:noProof/>
          <w:sz w:val="22"/>
          <w:szCs w:val="22"/>
          <w:lang w:val="sr-Latn-ME"/>
        </w:rPr>
      </w:pPr>
    </w:p>
    <w:p w14:paraId="76E0F586" w14:textId="77777777" w:rsidR="00C37FD7" w:rsidRPr="00C01AE6" w:rsidRDefault="00C37FD7">
      <w:pPr>
        <w:tabs>
          <w:tab w:val="left" w:pos="540"/>
          <w:tab w:val="left" w:pos="569"/>
        </w:tabs>
        <w:rPr>
          <w:noProof/>
          <w:sz w:val="22"/>
          <w:szCs w:val="22"/>
          <w:lang w:val="sr-Latn-ME"/>
        </w:rPr>
      </w:pPr>
    </w:p>
    <w:p w14:paraId="2F381ECD" w14:textId="77777777" w:rsidR="00411B4B" w:rsidRPr="00C01AE6" w:rsidRDefault="00411B4B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ME"/>
        </w:rPr>
      </w:pPr>
      <w:r w:rsidRPr="00C01AE6">
        <w:rPr>
          <w:b/>
          <w:bCs/>
          <w:sz w:val="22"/>
          <w:szCs w:val="22"/>
          <w:lang w:val="sr-Latn-ME"/>
        </w:rPr>
        <w:t xml:space="preserve">3. </w:t>
      </w:r>
      <w:r w:rsidR="00F5167F" w:rsidRPr="00C01AE6">
        <w:rPr>
          <w:b/>
          <w:bCs/>
          <w:sz w:val="22"/>
          <w:szCs w:val="22"/>
          <w:lang w:val="sr-Latn-ME"/>
        </w:rPr>
        <w:tab/>
      </w:r>
      <w:r w:rsidRPr="00C01AE6">
        <w:rPr>
          <w:b/>
          <w:bCs/>
          <w:sz w:val="22"/>
          <w:szCs w:val="22"/>
          <w:lang w:val="sr-Latn-ME"/>
        </w:rPr>
        <w:t>FARMACEUTSKI OBLIK</w:t>
      </w:r>
      <w:r w:rsidR="009F2D23" w:rsidRPr="00C01AE6">
        <w:rPr>
          <w:b/>
          <w:bCs/>
          <w:sz w:val="22"/>
          <w:szCs w:val="22"/>
          <w:lang w:val="sr-Latn-ME"/>
        </w:rPr>
        <w:t xml:space="preserve"> </w:t>
      </w:r>
    </w:p>
    <w:p w14:paraId="17026189" w14:textId="77777777" w:rsidR="00411B4B" w:rsidRPr="00C01AE6" w:rsidRDefault="00411B4B">
      <w:pPr>
        <w:tabs>
          <w:tab w:val="left" w:pos="540"/>
          <w:tab w:val="left" w:pos="569"/>
        </w:tabs>
        <w:rPr>
          <w:noProof/>
          <w:sz w:val="22"/>
          <w:szCs w:val="22"/>
          <w:lang w:val="sr-Latn-ME"/>
        </w:rPr>
      </w:pPr>
    </w:p>
    <w:p w14:paraId="529C765E" w14:textId="77777777" w:rsidR="00D901C1" w:rsidRPr="00C01AE6" w:rsidRDefault="00D901C1">
      <w:pPr>
        <w:tabs>
          <w:tab w:val="left" w:pos="540"/>
          <w:tab w:val="left" w:pos="569"/>
        </w:tabs>
        <w:rPr>
          <w:noProof/>
          <w:sz w:val="22"/>
          <w:szCs w:val="22"/>
          <w:lang w:val="sr-Latn-ME"/>
        </w:rPr>
      </w:pPr>
      <w:r w:rsidRPr="00C01AE6">
        <w:rPr>
          <w:noProof/>
          <w:sz w:val="22"/>
          <w:szCs w:val="22"/>
          <w:lang w:val="sr-Latn-ME"/>
        </w:rPr>
        <w:t>Rastvor za injekciju (injekcija).</w:t>
      </w:r>
    </w:p>
    <w:p w14:paraId="5775E8BD" w14:textId="358EEDC1" w:rsidR="00D901C1" w:rsidRPr="00C01AE6" w:rsidRDefault="00D901C1">
      <w:pPr>
        <w:tabs>
          <w:tab w:val="left" w:pos="540"/>
          <w:tab w:val="left" w:pos="569"/>
        </w:tabs>
        <w:rPr>
          <w:noProof/>
          <w:sz w:val="22"/>
          <w:szCs w:val="22"/>
          <w:lang w:val="sr-Latn-ME"/>
        </w:rPr>
      </w:pPr>
      <w:r w:rsidRPr="00C01AE6">
        <w:rPr>
          <w:noProof/>
          <w:sz w:val="22"/>
          <w:szCs w:val="22"/>
          <w:lang w:val="sr-Latn-ME"/>
        </w:rPr>
        <w:t>Bistar, blago opalescentan do opalescentan, bezbojan do blago žut vodeni rastvor</w:t>
      </w:r>
      <w:r w:rsidR="000A3AF6" w:rsidRPr="00C01AE6">
        <w:rPr>
          <w:noProof/>
          <w:sz w:val="22"/>
          <w:szCs w:val="22"/>
          <w:lang w:val="sr-Latn-ME"/>
        </w:rPr>
        <w:t xml:space="preserve">, </w:t>
      </w:r>
      <w:r w:rsidRPr="00C01AE6">
        <w:rPr>
          <w:noProof/>
          <w:sz w:val="22"/>
          <w:szCs w:val="22"/>
          <w:lang w:val="sr-Latn-ME"/>
        </w:rPr>
        <w:t>pH 7,4. Moguće je prisustvo nekoliko malih prozirnih ili b</w:t>
      </w:r>
      <w:r w:rsidR="00BA210B" w:rsidRPr="00C01AE6">
        <w:rPr>
          <w:noProof/>
          <w:sz w:val="22"/>
          <w:szCs w:val="22"/>
          <w:lang w:val="sr-Latn-ME"/>
        </w:rPr>
        <w:t>ij</w:t>
      </w:r>
      <w:r w:rsidRPr="00C01AE6">
        <w:rPr>
          <w:noProof/>
          <w:sz w:val="22"/>
          <w:szCs w:val="22"/>
          <w:lang w:val="sr-Latn-ME"/>
        </w:rPr>
        <w:t>elih čestica.</w:t>
      </w:r>
    </w:p>
    <w:p w14:paraId="616E71E0" w14:textId="77777777" w:rsidR="00D901C1" w:rsidRPr="00C01AE6" w:rsidRDefault="00D901C1">
      <w:pPr>
        <w:tabs>
          <w:tab w:val="left" w:pos="540"/>
          <w:tab w:val="left" w:pos="569"/>
        </w:tabs>
        <w:rPr>
          <w:noProof/>
          <w:sz w:val="22"/>
          <w:szCs w:val="22"/>
          <w:lang w:val="sr-Latn-ME"/>
        </w:rPr>
      </w:pPr>
    </w:p>
    <w:p w14:paraId="51648E0C" w14:textId="77777777" w:rsidR="00EC2532" w:rsidRPr="00C01AE6" w:rsidRDefault="00EC2532">
      <w:pPr>
        <w:tabs>
          <w:tab w:val="left" w:pos="540"/>
          <w:tab w:val="left" w:pos="569"/>
        </w:tabs>
        <w:rPr>
          <w:noProof/>
          <w:sz w:val="22"/>
          <w:szCs w:val="22"/>
          <w:lang w:val="sr-Latn-ME"/>
        </w:rPr>
      </w:pPr>
    </w:p>
    <w:p w14:paraId="19AA54ED" w14:textId="77777777" w:rsidR="00411B4B" w:rsidRPr="00C01AE6" w:rsidRDefault="00411B4B" w:rsidP="00655C9D">
      <w:pPr>
        <w:tabs>
          <w:tab w:val="left" w:pos="540"/>
          <w:tab w:val="left" w:pos="569"/>
        </w:tabs>
        <w:jc w:val="both"/>
        <w:rPr>
          <w:b/>
          <w:bCs/>
          <w:noProof/>
          <w:sz w:val="22"/>
          <w:szCs w:val="22"/>
          <w:lang w:val="sr-Latn-ME"/>
        </w:rPr>
      </w:pPr>
      <w:r w:rsidRPr="00C01AE6">
        <w:rPr>
          <w:b/>
          <w:bCs/>
          <w:noProof/>
          <w:sz w:val="22"/>
          <w:szCs w:val="22"/>
          <w:lang w:val="sr-Latn-ME"/>
        </w:rPr>
        <w:t xml:space="preserve">4. </w:t>
      </w:r>
      <w:r w:rsidR="00480FB1" w:rsidRPr="00C01AE6">
        <w:rPr>
          <w:b/>
          <w:bCs/>
          <w:noProof/>
          <w:sz w:val="22"/>
          <w:szCs w:val="22"/>
          <w:lang w:val="sr-Latn-ME"/>
        </w:rPr>
        <w:tab/>
      </w:r>
      <w:r w:rsidRPr="00C01AE6">
        <w:rPr>
          <w:b/>
          <w:bCs/>
          <w:noProof/>
          <w:sz w:val="22"/>
          <w:szCs w:val="22"/>
          <w:lang w:val="sr-Latn-ME"/>
        </w:rPr>
        <w:t>KLINIČKI PODACI</w:t>
      </w:r>
    </w:p>
    <w:p w14:paraId="3688D786" w14:textId="77777777" w:rsidR="00CD6F02" w:rsidRPr="00C01AE6" w:rsidRDefault="00CD6F02" w:rsidP="00655C9D">
      <w:pPr>
        <w:tabs>
          <w:tab w:val="left" w:pos="540"/>
          <w:tab w:val="left" w:pos="569"/>
        </w:tabs>
        <w:jc w:val="both"/>
        <w:rPr>
          <w:noProof/>
          <w:sz w:val="22"/>
          <w:szCs w:val="22"/>
          <w:lang w:val="sr-Latn-ME"/>
        </w:rPr>
      </w:pPr>
    </w:p>
    <w:p w14:paraId="3AC0F7D6" w14:textId="28E1B991" w:rsidR="00411B4B" w:rsidRPr="00C01AE6" w:rsidRDefault="00411B4B" w:rsidP="00655C9D">
      <w:pPr>
        <w:tabs>
          <w:tab w:val="left" w:pos="540"/>
          <w:tab w:val="left" w:pos="569"/>
        </w:tabs>
        <w:jc w:val="both"/>
        <w:rPr>
          <w:b/>
          <w:bCs/>
          <w:noProof/>
          <w:sz w:val="22"/>
          <w:szCs w:val="22"/>
          <w:lang w:val="sr-Latn-ME"/>
        </w:rPr>
      </w:pPr>
      <w:r w:rsidRPr="00C01AE6">
        <w:rPr>
          <w:b/>
          <w:bCs/>
          <w:noProof/>
          <w:sz w:val="22"/>
          <w:szCs w:val="22"/>
          <w:lang w:val="sr-Latn-ME"/>
        </w:rPr>
        <w:t xml:space="preserve">4.1. </w:t>
      </w:r>
      <w:r w:rsidR="00480FB1" w:rsidRPr="00C01AE6">
        <w:rPr>
          <w:b/>
          <w:bCs/>
          <w:noProof/>
          <w:sz w:val="22"/>
          <w:szCs w:val="22"/>
          <w:lang w:val="sr-Latn-ME"/>
        </w:rPr>
        <w:tab/>
      </w:r>
      <w:r w:rsidRPr="00C01AE6">
        <w:rPr>
          <w:b/>
          <w:bCs/>
          <w:noProof/>
          <w:sz w:val="22"/>
          <w:szCs w:val="22"/>
          <w:lang w:val="sr-Latn-ME"/>
        </w:rPr>
        <w:t>Terapijske indikacije</w:t>
      </w:r>
    </w:p>
    <w:p w14:paraId="7698ACD0" w14:textId="77777777" w:rsidR="00D901C1" w:rsidRPr="00C01AE6" w:rsidRDefault="00D901C1" w:rsidP="00655C9D">
      <w:pPr>
        <w:tabs>
          <w:tab w:val="left" w:pos="540"/>
          <w:tab w:val="left" w:pos="569"/>
        </w:tabs>
        <w:jc w:val="both"/>
        <w:rPr>
          <w:noProof/>
          <w:sz w:val="22"/>
          <w:szCs w:val="22"/>
          <w:lang w:val="sr-Latn-ME"/>
        </w:rPr>
      </w:pPr>
    </w:p>
    <w:p w14:paraId="682958DE" w14:textId="4743C34E" w:rsidR="00D901C1" w:rsidRPr="00C01AE6" w:rsidRDefault="00711F45" w:rsidP="00655C9D">
      <w:pPr>
        <w:tabs>
          <w:tab w:val="left" w:pos="540"/>
          <w:tab w:val="left" w:pos="569"/>
        </w:tabs>
        <w:jc w:val="both"/>
        <w:rPr>
          <w:noProof/>
          <w:sz w:val="22"/>
          <w:szCs w:val="22"/>
          <w:lang w:val="sr-Latn-ME"/>
        </w:rPr>
      </w:pPr>
      <w:r w:rsidRPr="00C01AE6">
        <w:rPr>
          <w:noProof/>
          <w:sz w:val="22"/>
          <w:szCs w:val="22"/>
          <w:lang w:val="sr-Latn-ME"/>
        </w:rPr>
        <w:t xml:space="preserve">Lijek </w:t>
      </w:r>
      <w:r w:rsidR="00D901C1" w:rsidRPr="00C01AE6">
        <w:rPr>
          <w:noProof/>
          <w:sz w:val="22"/>
          <w:szCs w:val="22"/>
          <w:lang w:val="sr-Latn-ME"/>
        </w:rPr>
        <w:t xml:space="preserve">Strensiq je kao </w:t>
      </w:r>
      <w:r w:rsidRPr="00C01AE6">
        <w:rPr>
          <w:noProof/>
          <w:sz w:val="22"/>
          <w:szCs w:val="22"/>
          <w:lang w:val="sr-Latn-ME"/>
        </w:rPr>
        <w:t xml:space="preserve">dugotrajna </w:t>
      </w:r>
      <w:r w:rsidR="00D901C1" w:rsidRPr="00C01AE6">
        <w:rPr>
          <w:noProof/>
          <w:sz w:val="22"/>
          <w:szCs w:val="22"/>
          <w:lang w:val="sr-Latn-ME"/>
        </w:rPr>
        <w:t>enzimska zam</w:t>
      </w:r>
      <w:r w:rsidR="00BA210B" w:rsidRPr="00C01AE6">
        <w:rPr>
          <w:noProof/>
          <w:sz w:val="22"/>
          <w:szCs w:val="22"/>
          <w:lang w:val="sr-Latn-ME"/>
        </w:rPr>
        <w:t>j</w:t>
      </w:r>
      <w:r w:rsidR="00D901C1" w:rsidRPr="00C01AE6">
        <w:rPr>
          <w:noProof/>
          <w:sz w:val="22"/>
          <w:szCs w:val="22"/>
          <w:lang w:val="sr-Latn-ME"/>
        </w:rPr>
        <w:t>enska terapija indikovan kod pacijenata sa hipofosfatazijom nastalom u pedijatrijskom dobu za l</w:t>
      </w:r>
      <w:r w:rsidR="00BA210B" w:rsidRPr="00C01AE6">
        <w:rPr>
          <w:noProof/>
          <w:sz w:val="22"/>
          <w:szCs w:val="22"/>
          <w:lang w:val="sr-Latn-ME"/>
        </w:rPr>
        <w:t>ij</w:t>
      </w:r>
      <w:r w:rsidR="00D901C1" w:rsidRPr="00C01AE6">
        <w:rPr>
          <w:noProof/>
          <w:sz w:val="22"/>
          <w:szCs w:val="22"/>
          <w:lang w:val="sr-Latn-ME"/>
        </w:rPr>
        <w:t>ečenje bolesti koje se manifestuju na kostima (vid</w:t>
      </w:r>
      <w:r w:rsidR="00BA210B" w:rsidRPr="00C01AE6">
        <w:rPr>
          <w:noProof/>
          <w:sz w:val="22"/>
          <w:szCs w:val="22"/>
          <w:lang w:val="sr-Latn-ME"/>
        </w:rPr>
        <w:t>j</w:t>
      </w:r>
      <w:r w:rsidR="00D901C1" w:rsidRPr="00C01AE6">
        <w:rPr>
          <w:noProof/>
          <w:sz w:val="22"/>
          <w:szCs w:val="22"/>
          <w:lang w:val="sr-Latn-ME"/>
        </w:rPr>
        <w:t xml:space="preserve">eti </w:t>
      </w:r>
      <w:r w:rsidR="008B6182" w:rsidRPr="00C01AE6">
        <w:rPr>
          <w:noProof/>
          <w:sz w:val="22"/>
          <w:szCs w:val="22"/>
          <w:lang w:val="sr-Latn-ME"/>
        </w:rPr>
        <w:t>dio</w:t>
      </w:r>
      <w:r w:rsidR="00D901C1" w:rsidRPr="00C01AE6">
        <w:rPr>
          <w:noProof/>
          <w:sz w:val="22"/>
          <w:szCs w:val="22"/>
          <w:lang w:val="sr-Latn-ME"/>
        </w:rPr>
        <w:t xml:space="preserve"> 5.1).</w:t>
      </w:r>
    </w:p>
    <w:p w14:paraId="39D232F9" w14:textId="129AEB78" w:rsidR="00F476CB" w:rsidRPr="00C01AE6" w:rsidRDefault="00F476CB" w:rsidP="00655C9D">
      <w:pPr>
        <w:tabs>
          <w:tab w:val="left" w:pos="540"/>
          <w:tab w:val="left" w:pos="569"/>
        </w:tabs>
        <w:jc w:val="both"/>
        <w:rPr>
          <w:noProof/>
          <w:sz w:val="22"/>
          <w:szCs w:val="22"/>
          <w:lang w:val="sr-Latn-ME"/>
        </w:rPr>
      </w:pPr>
    </w:p>
    <w:p w14:paraId="5C482452" w14:textId="3923C7C0" w:rsidR="00F476CB" w:rsidRPr="00C01AE6" w:rsidRDefault="00F476CB" w:rsidP="00655C9D">
      <w:pPr>
        <w:tabs>
          <w:tab w:val="left" w:pos="540"/>
          <w:tab w:val="left" w:pos="569"/>
        </w:tabs>
        <w:jc w:val="both"/>
        <w:rPr>
          <w:noProof/>
          <w:sz w:val="22"/>
          <w:szCs w:val="22"/>
          <w:lang w:val="sr-Latn-ME"/>
        </w:rPr>
      </w:pPr>
    </w:p>
    <w:p w14:paraId="2CB2D802" w14:textId="77777777" w:rsidR="00F476CB" w:rsidRPr="00C01AE6" w:rsidRDefault="00F476CB" w:rsidP="00655C9D">
      <w:pPr>
        <w:tabs>
          <w:tab w:val="left" w:pos="540"/>
          <w:tab w:val="left" w:pos="569"/>
        </w:tabs>
        <w:jc w:val="both"/>
        <w:rPr>
          <w:noProof/>
          <w:sz w:val="22"/>
          <w:szCs w:val="22"/>
          <w:lang w:val="sr-Latn-ME"/>
        </w:rPr>
      </w:pPr>
    </w:p>
    <w:p w14:paraId="17F0A383" w14:textId="77777777" w:rsidR="00411B4B" w:rsidRPr="00C01AE6" w:rsidRDefault="00411B4B" w:rsidP="00655C9D">
      <w:pPr>
        <w:tabs>
          <w:tab w:val="left" w:pos="540"/>
          <w:tab w:val="left" w:pos="569"/>
        </w:tabs>
        <w:jc w:val="both"/>
        <w:rPr>
          <w:noProof/>
          <w:sz w:val="22"/>
          <w:szCs w:val="22"/>
          <w:lang w:val="sr-Latn-ME"/>
        </w:rPr>
      </w:pPr>
    </w:p>
    <w:p w14:paraId="05BD991B" w14:textId="59EABEF1" w:rsidR="00411B4B" w:rsidRPr="00C01AE6" w:rsidRDefault="00411B4B" w:rsidP="00655C9D">
      <w:pPr>
        <w:tabs>
          <w:tab w:val="left" w:pos="540"/>
          <w:tab w:val="left" w:pos="569"/>
        </w:tabs>
        <w:jc w:val="both"/>
        <w:rPr>
          <w:b/>
          <w:bCs/>
          <w:noProof/>
          <w:sz w:val="22"/>
          <w:szCs w:val="22"/>
          <w:lang w:val="sr-Latn-ME"/>
        </w:rPr>
      </w:pPr>
      <w:r w:rsidRPr="00C01AE6">
        <w:rPr>
          <w:b/>
          <w:bCs/>
          <w:noProof/>
          <w:sz w:val="22"/>
          <w:szCs w:val="22"/>
          <w:lang w:val="sr-Latn-ME"/>
        </w:rPr>
        <w:lastRenderedPageBreak/>
        <w:t xml:space="preserve">4.2. </w:t>
      </w:r>
      <w:r w:rsidR="00480FB1" w:rsidRPr="00C01AE6">
        <w:rPr>
          <w:b/>
          <w:bCs/>
          <w:noProof/>
          <w:sz w:val="22"/>
          <w:szCs w:val="22"/>
          <w:lang w:val="sr-Latn-ME"/>
        </w:rPr>
        <w:tab/>
      </w:r>
      <w:r w:rsidRPr="00C01AE6">
        <w:rPr>
          <w:b/>
          <w:bCs/>
          <w:noProof/>
          <w:sz w:val="22"/>
          <w:szCs w:val="22"/>
          <w:lang w:val="sr-Latn-ME"/>
        </w:rPr>
        <w:t>Doziranje i način primjene</w:t>
      </w:r>
    </w:p>
    <w:p w14:paraId="1DAC10E0" w14:textId="77777777" w:rsidR="00D901C1" w:rsidRPr="00C01AE6" w:rsidRDefault="00D901C1" w:rsidP="00655C9D">
      <w:pPr>
        <w:tabs>
          <w:tab w:val="left" w:pos="540"/>
          <w:tab w:val="left" w:pos="569"/>
        </w:tabs>
        <w:jc w:val="both"/>
        <w:rPr>
          <w:noProof/>
          <w:sz w:val="22"/>
          <w:szCs w:val="22"/>
          <w:lang w:val="sr-Latn-ME"/>
        </w:rPr>
      </w:pPr>
    </w:p>
    <w:p w14:paraId="55A76358" w14:textId="2A3DC82B" w:rsidR="0072020E" w:rsidRPr="00C01AE6" w:rsidRDefault="00BA210B">
      <w:pPr>
        <w:tabs>
          <w:tab w:val="left" w:pos="540"/>
          <w:tab w:val="left" w:pos="569"/>
        </w:tabs>
        <w:rPr>
          <w:bCs/>
          <w:sz w:val="22"/>
          <w:szCs w:val="22"/>
          <w:lang w:val="sr-Latn-ME"/>
        </w:rPr>
      </w:pPr>
      <w:r w:rsidRPr="00C01AE6">
        <w:rPr>
          <w:bCs/>
          <w:sz w:val="22"/>
          <w:szCs w:val="22"/>
          <w:lang w:val="sr-Latn-ME"/>
        </w:rPr>
        <w:t>Liječenje</w:t>
      </w:r>
      <w:r w:rsidR="00D901C1" w:rsidRPr="00C01AE6">
        <w:rPr>
          <w:bCs/>
          <w:sz w:val="22"/>
          <w:szCs w:val="22"/>
          <w:lang w:val="sr-Latn-ME"/>
        </w:rPr>
        <w:t xml:space="preserve"> </w:t>
      </w:r>
      <w:r w:rsidR="000A3AF6" w:rsidRPr="00C01AE6">
        <w:rPr>
          <w:bCs/>
          <w:sz w:val="22"/>
          <w:szCs w:val="22"/>
          <w:lang w:val="sr-Latn-ME"/>
        </w:rPr>
        <w:t xml:space="preserve">treba </w:t>
      </w:r>
      <w:r w:rsidR="00D901C1" w:rsidRPr="00C01AE6">
        <w:rPr>
          <w:bCs/>
          <w:sz w:val="22"/>
          <w:szCs w:val="22"/>
          <w:lang w:val="sr-Latn-ME"/>
        </w:rPr>
        <w:t xml:space="preserve">da započne </w:t>
      </w:r>
      <w:r w:rsidRPr="00C01AE6">
        <w:rPr>
          <w:bCs/>
          <w:sz w:val="22"/>
          <w:szCs w:val="22"/>
          <w:lang w:val="sr-Latn-ME"/>
        </w:rPr>
        <w:t>ljekar</w:t>
      </w:r>
      <w:r w:rsidR="00D901C1" w:rsidRPr="00C01AE6">
        <w:rPr>
          <w:bCs/>
          <w:sz w:val="22"/>
          <w:szCs w:val="22"/>
          <w:lang w:val="sr-Latn-ME"/>
        </w:rPr>
        <w:t xml:space="preserve"> sa iskustvom u </w:t>
      </w:r>
      <w:r w:rsidRPr="00C01AE6">
        <w:rPr>
          <w:bCs/>
          <w:sz w:val="22"/>
          <w:szCs w:val="22"/>
          <w:lang w:val="sr-Latn-ME"/>
        </w:rPr>
        <w:t>liječenj</w:t>
      </w:r>
      <w:r w:rsidR="00D901C1" w:rsidRPr="00C01AE6">
        <w:rPr>
          <w:bCs/>
          <w:sz w:val="22"/>
          <w:szCs w:val="22"/>
          <w:lang w:val="sr-Latn-ME"/>
        </w:rPr>
        <w:t xml:space="preserve">u pacijenata sa </w:t>
      </w:r>
      <w:proofErr w:type="spellStart"/>
      <w:r w:rsidR="00D901C1" w:rsidRPr="00C01AE6">
        <w:rPr>
          <w:bCs/>
          <w:sz w:val="22"/>
          <w:szCs w:val="22"/>
          <w:lang w:val="sr-Latn-ME"/>
        </w:rPr>
        <w:t>metaboličkim</w:t>
      </w:r>
      <w:proofErr w:type="spellEnd"/>
      <w:r w:rsidR="00D901C1" w:rsidRPr="00C01AE6">
        <w:rPr>
          <w:bCs/>
          <w:sz w:val="22"/>
          <w:szCs w:val="22"/>
          <w:lang w:val="sr-Latn-ME"/>
        </w:rPr>
        <w:t xml:space="preserve"> ili koštanim poremećajima.</w:t>
      </w:r>
    </w:p>
    <w:p w14:paraId="71A299A6" w14:textId="77777777" w:rsidR="00FE69AE" w:rsidRPr="00C01AE6" w:rsidRDefault="00FE69AE" w:rsidP="00655C9D">
      <w:pPr>
        <w:tabs>
          <w:tab w:val="left" w:pos="540"/>
          <w:tab w:val="left" w:pos="569"/>
        </w:tabs>
        <w:jc w:val="both"/>
        <w:rPr>
          <w:bCs/>
          <w:sz w:val="22"/>
          <w:szCs w:val="22"/>
          <w:u w:val="single"/>
          <w:lang w:val="sr-Latn-ME"/>
        </w:rPr>
      </w:pPr>
    </w:p>
    <w:p w14:paraId="119B0C33" w14:textId="7F68C6E1" w:rsidR="00452E9D" w:rsidRPr="00C01AE6" w:rsidRDefault="00452E9D" w:rsidP="00655C9D">
      <w:pPr>
        <w:tabs>
          <w:tab w:val="left" w:pos="540"/>
          <w:tab w:val="left" w:pos="569"/>
        </w:tabs>
        <w:jc w:val="both"/>
        <w:rPr>
          <w:bCs/>
          <w:sz w:val="22"/>
          <w:szCs w:val="22"/>
          <w:u w:val="single"/>
          <w:lang w:val="sr-Latn-ME"/>
        </w:rPr>
      </w:pPr>
      <w:r w:rsidRPr="00C01AE6">
        <w:rPr>
          <w:bCs/>
          <w:sz w:val="22"/>
          <w:szCs w:val="22"/>
          <w:u w:val="single"/>
          <w:lang w:val="sr-Latn-ME"/>
        </w:rPr>
        <w:t>Doziranje</w:t>
      </w:r>
    </w:p>
    <w:p w14:paraId="2645228C" w14:textId="32CB9B8C" w:rsidR="00D901C1" w:rsidRPr="00C01AE6" w:rsidRDefault="00D901C1" w:rsidP="00655C9D">
      <w:pPr>
        <w:widowControl w:val="0"/>
        <w:autoSpaceDE w:val="0"/>
        <w:autoSpaceDN w:val="0"/>
        <w:spacing w:line="247" w:lineRule="auto"/>
        <w:ind w:right="212"/>
        <w:jc w:val="both"/>
        <w:rPr>
          <w:sz w:val="22"/>
          <w:szCs w:val="22"/>
          <w:lang w:val="sr-Latn-ME"/>
        </w:rPr>
      </w:pPr>
      <w:r w:rsidRPr="00C01AE6">
        <w:rPr>
          <w:sz w:val="22"/>
          <w:szCs w:val="22"/>
          <w:lang w:val="sr-Latn-ME"/>
        </w:rPr>
        <w:t xml:space="preserve">Preporučeni režim doziranja </w:t>
      </w:r>
      <w:proofErr w:type="spellStart"/>
      <w:r w:rsidRPr="00C01AE6">
        <w:rPr>
          <w:sz w:val="22"/>
          <w:szCs w:val="22"/>
          <w:lang w:val="sr-Latn-ME"/>
        </w:rPr>
        <w:t>asfotaze</w:t>
      </w:r>
      <w:proofErr w:type="spellEnd"/>
      <w:r w:rsidRPr="00C01AE6">
        <w:rPr>
          <w:sz w:val="22"/>
          <w:szCs w:val="22"/>
          <w:lang w:val="sr-Latn-ME"/>
        </w:rPr>
        <w:t xml:space="preserve"> alfa iznosi 2 mg po kg </w:t>
      </w:r>
      <w:r w:rsidR="00BA210B" w:rsidRPr="00C01AE6">
        <w:rPr>
          <w:sz w:val="22"/>
          <w:szCs w:val="22"/>
          <w:lang w:val="sr-Latn-ME"/>
        </w:rPr>
        <w:t>tjelesne</w:t>
      </w:r>
      <w:r w:rsidRPr="00C01AE6">
        <w:rPr>
          <w:sz w:val="22"/>
          <w:szCs w:val="22"/>
          <w:lang w:val="sr-Latn-ME"/>
        </w:rPr>
        <w:t xml:space="preserve"> mase prim</w:t>
      </w:r>
      <w:r w:rsidR="00BA210B" w:rsidRPr="00C01AE6">
        <w:rPr>
          <w:sz w:val="22"/>
          <w:szCs w:val="22"/>
          <w:lang w:val="sr-Latn-ME"/>
        </w:rPr>
        <w:t>ij</w:t>
      </w:r>
      <w:r w:rsidRPr="00C01AE6">
        <w:rPr>
          <w:sz w:val="22"/>
          <w:szCs w:val="22"/>
          <w:lang w:val="sr-Latn-ME"/>
        </w:rPr>
        <w:t xml:space="preserve">enjeno </w:t>
      </w:r>
      <w:proofErr w:type="spellStart"/>
      <w:r w:rsidRPr="00C01AE6">
        <w:rPr>
          <w:sz w:val="22"/>
          <w:szCs w:val="22"/>
          <w:lang w:val="sr-Latn-ME"/>
        </w:rPr>
        <w:t>su</w:t>
      </w:r>
      <w:r w:rsidR="00B3559F" w:rsidRPr="00C01AE6">
        <w:rPr>
          <w:sz w:val="22"/>
          <w:szCs w:val="22"/>
          <w:lang w:val="sr-Latn-ME"/>
        </w:rPr>
        <w:t>b</w:t>
      </w:r>
      <w:r w:rsidRPr="00C01AE6">
        <w:rPr>
          <w:sz w:val="22"/>
          <w:szCs w:val="22"/>
          <w:lang w:val="sr-Latn-ME"/>
        </w:rPr>
        <w:t>kutano</w:t>
      </w:r>
      <w:proofErr w:type="spellEnd"/>
      <w:r w:rsidRPr="00C01AE6">
        <w:rPr>
          <w:sz w:val="22"/>
          <w:szCs w:val="22"/>
          <w:lang w:val="sr-Latn-ME"/>
        </w:rPr>
        <w:t xml:space="preserve"> tri puta ned</w:t>
      </w:r>
      <w:r w:rsidR="00FC65C6" w:rsidRPr="00C01AE6">
        <w:rPr>
          <w:sz w:val="22"/>
          <w:szCs w:val="22"/>
          <w:lang w:val="sr-Latn-ME"/>
        </w:rPr>
        <w:t>j</w:t>
      </w:r>
      <w:r w:rsidRPr="00C01AE6">
        <w:rPr>
          <w:sz w:val="22"/>
          <w:szCs w:val="22"/>
          <w:lang w:val="sr-Latn-ME"/>
        </w:rPr>
        <w:t xml:space="preserve">eljno ili režim doziranja od </w:t>
      </w:r>
      <w:proofErr w:type="spellStart"/>
      <w:r w:rsidRPr="00C01AE6">
        <w:rPr>
          <w:sz w:val="22"/>
          <w:szCs w:val="22"/>
          <w:lang w:val="sr-Latn-ME"/>
        </w:rPr>
        <w:t>1mg</w:t>
      </w:r>
      <w:proofErr w:type="spellEnd"/>
      <w:r w:rsidRPr="00C01AE6">
        <w:rPr>
          <w:sz w:val="22"/>
          <w:szCs w:val="22"/>
          <w:lang w:val="sr-Latn-ME"/>
        </w:rPr>
        <w:t xml:space="preserve"> po kg </w:t>
      </w:r>
      <w:r w:rsidR="00BA210B" w:rsidRPr="00C01AE6">
        <w:rPr>
          <w:sz w:val="22"/>
          <w:szCs w:val="22"/>
          <w:lang w:val="sr-Latn-ME"/>
        </w:rPr>
        <w:t>tjelesne</w:t>
      </w:r>
      <w:r w:rsidRPr="00C01AE6">
        <w:rPr>
          <w:sz w:val="22"/>
          <w:szCs w:val="22"/>
          <w:lang w:val="sr-Latn-ME"/>
        </w:rPr>
        <w:t xml:space="preserve"> mase prim</w:t>
      </w:r>
      <w:r w:rsidR="00BA210B" w:rsidRPr="00C01AE6">
        <w:rPr>
          <w:sz w:val="22"/>
          <w:szCs w:val="22"/>
          <w:lang w:val="sr-Latn-ME"/>
        </w:rPr>
        <w:t>ij</w:t>
      </w:r>
      <w:r w:rsidRPr="00C01AE6">
        <w:rPr>
          <w:sz w:val="22"/>
          <w:szCs w:val="22"/>
          <w:lang w:val="sr-Latn-ME"/>
        </w:rPr>
        <w:t xml:space="preserve">enjeno </w:t>
      </w:r>
      <w:proofErr w:type="spellStart"/>
      <w:r w:rsidR="00432666" w:rsidRPr="00C01AE6">
        <w:rPr>
          <w:sz w:val="22"/>
          <w:szCs w:val="22"/>
          <w:lang w:val="sr-Latn-ME"/>
        </w:rPr>
        <w:t>subkutano</w:t>
      </w:r>
      <w:proofErr w:type="spellEnd"/>
      <w:r w:rsidR="00432666" w:rsidRPr="00C01AE6">
        <w:rPr>
          <w:sz w:val="22"/>
          <w:szCs w:val="22"/>
          <w:lang w:val="sr-Latn-ME"/>
        </w:rPr>
        <w:t xml:space="preserve"> </w:t>
      </w:r>
      <w:r w:rsidRPr="00C01AE6">
        <w:rPr>
          <w:sz w:val="22"/>
          <w:szCs w:val="22"/>
          <w:lang w:val="sr-Latn-ME"/>
        </w:rPr>
        <w:t>šest puta ned</w:t>
      </w:r>
      <w:r w:rsidR="00FC65C6" w:rsidRPr="00C01AE6">
        <w:rPr>
          <w:sz w:val="22"/>
          <w:szCs w:val="22"/>
          <w:lang w:val="sr-Latn-ME"/>
        </w:rPr>
        <w:t>j</w:t>
      </w:r>
      <w:r w:rsidRPr="00C01AE6">
        <w:rPr>
          <w:sz w:val="22"/>
          <w:szCs w:val="22"/>
          <w:lang w:val="sr-Latn-ME"/>
        </w:rPr>
        <w:t>eljno.</w:t>
      </w:r>
    </w:p>
    <w:p w14:paraId="454B0C88" w14:textId="6FFDF57F" w:rsidR="00D901C1" w:rsidRPr="00C01AE6" w:rsidRDefault="00D901C1" w:rsidP="00655C9D">
      <w:pPr>
        <w:widowControl w:val="0"/>
        <w:autoSpaceDE w:val="0"/>
        <w:autoSpaceDN w:val="0"/>
        <w:spacing w:line="494" w:lineRule="auto"/>
        <w:ind w:right="1516"/>
        <w:jc w:val="both"/>
        <w:rPr>
          <w:sz w:val="22"/>
          <w:szCs w:val="22"/>
          <w:lang w:val="sr-Latn-ME"/>
        </w:rPr>
      </w:pPr>
      <w:r w:rsidRPr="00C01AE6">
        <w:rPr>
          <w:sz w:val="22"/>
          <w:szCs w:val="22"/>
          <w:lang w:val="sr-Latn-ME"/>
        </w:rPr>
        <w:t xml:space="preserve">Najviša preporučena doza </w:t>
      </w:r>
      <w:proofErr w:type="spellStart"/>
      <w:r w:rsidRPr="00C01AE6">
        <w:rPr>
          <w:sz w:val="22"/>
          <w:szCs w:val="22"/>
          <w:lang w:val="sr-Latn-ME"/>
        </w:rPr>
        <w:t>asfotaze</w:t>
      </w:r>
      <w:proofErr w:type="spellEnd"/>
      <w:r w:rsidRPr="00C01AE6">
        <w:rPr>
          <w:sz w:val="22"/>
          <w:szCs w:val="22"/>
          <w:lang w:val="sr-Latn-ME"/>
        </w:rPr>
        <w:t xml:space="preserve"> alfa iznosi 6 mg/kg ned</w:t>
      </w:r>
      <w:r w:rsidR="00FC65C6" w:rsidRPr="00C01AE6">
        <w:rPr>
          <w:sz w:val="22"/>
          <w:szCs w:val="22"/>
          <w:lang w:val="sr-Latn-ME"/>
        </w:rPr>
        <w:t>j</w:t>
      </w:r>
      <w:r w:rsidRPr="00C01AE6">
        <w:rPr>
          <w:sz w:val="22"/>
          <w:szCs w:val="22"/>
          <w:lang w:val="sr-Latn-ME"/>
        </w:rPr>
        <w:t>eljno (</w:t>
      </w:r>
      <w:r w:rsidR="00BA210B" w:rsidRPr="00C01AE6">
        <w:rPr>
          <w:sz w:val="22"/>
          <w:szCs w:val="22"/>
          <w:lang w:val="sr-Latn-ME"/>
        </w:rPr>
        <w:t>vidjeti</w:t>
      </w:r>
      <w:r w:rsidRPr="00C01AE6">
        <w:rPr>
          <w:sz w:val="22"/>
          <w:szCs w:val="22"/>
          <w:lang w:val="sr-Latn-ME"/>
        </w:rPr>
        <w:t xml:space="preserve"> </w:t>
      </w:r>
      <w:r w:rsidR="008B6182" w:rsidRPr="00C01AE6">
        <w:rPr>
          <w:sz w:val="22"/>
          <w:szCs w:val="22"/>
          <w:lang w:val="sr-Latn-ME"/>
        </w:rPr>
        <w:t>dio</w:t>
      </w:r>
      <w:r w:rsidRPr="00C01AE6">
        <w:rPr>
          <w:sz w:val="22"/>
          <w:szCs w:val="22"/>
          <w:lang w:val="sr-Latn-ME"/>
        </w:rPr>
        <w:t xml:space="preserve"> 5.1). Detaljnije o doziranju </w:t>
      </w:r>
      <w:r w:rsidR="00BA210B" w:rsidRPr="00C01AE6">
        <w:rPr>
          <w:sz w:val="22"/>
          <w:szCs w:val="22"/>
          <w:lang w:val="sr-Latn-ME"/>
        </w:rPr>
        <w:t>vidjeti</w:t>
      </w:r>
      <w:r w:rsidRPr="00C01AE6">
        <w:rPr>
          <w:sz w:val="22"/>
          <w:szCs w:val="22"/>
          <w:lang w:val="sr-Latn-ME"/>
        </w:rPr>
        <w:t xml:space="preserve"> u tabeli u nastavku.</w:t>
      </w:r>
    </w:p>
    <w:tbl>
      <w:tblPr>
        <w:tblW w:w="0" w:type="auto"/>
        <w:tblInd w:w="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41"/>
        <w:gridCol w:w="1180"/>
        <w:gridCol w:w="1134"/>
        <w:gridCol w:w="1418"/>
        <w:gridCol w:w="1276"/>
        <w:gridCol w:w="1134"/>
        <w:gridCol w:w="1701"/>
      </w:tblGrid>
      <w:tr w:rsidR="00D901C1" w:rsidRPr="00C01AE6" w14:paraId="3371117F" w14:textId="77777777" w:rsidTr="00655C9D">
        <w:trPr>
          <w:trHeight w:val="394"/>
        </w:trPr>
        <w:tc>
          <w:tcPr>
            <w:tcW w:w="941" w:type="dxa"/>
            <w:vMerge w:val="restart"/>
            <w:tcBorders>
              <w:bottom w:val="single" w:sz="6" w:space="0" w:color="000000"/>
              <w:right w:val="double" w:sz="1" w:space="0" w:color="000000"/>
            </w:tcBorders>
          </w:tcPr>
          <w:p w14:paraId="6B2C95AB" w14:textId="77777777" w:rsidR="00D901C1" w:rsidRPr="00C01AE6" w:rsidRDefault="00D901C1">
            <w:pPr>
              <w:widowControl w:val="0"/>
              <w:autoSpaceDE w:val="0"/>
              <w:autoSpaceDN w:val="0"/>
              <w:rPr>
                <w:sz w:val="22"/>
                <w:szCs w:val="22"/>
                <w:lang w:val="sr-Latn-ME"/>
              </w:rPr>
            </w:pPr>
          </w:p>
          <w:p w14:paraId="2876C047" w14:textId="77777777" w:rsidR="00D901C1" w:rsidRPr="00C01AE6" w:rsidRDefault="00D901C1">
            <w:pPr>
              <w:widowControl w:val="0"/>
              <w:autoSpaceDE w:val="0"/>
              <w:autoSpaceDN w:val="0"/>
              <w:rPr>
                <w:sz w:val="22"/>
                <w:szCs w:val="22"/>
                <w:lang w:val="sr-Latn-ME"/>
              </w:rPr>
            </w:pPr>
          </w:p>
          <w:p w14:paraId="6EBB20B5" w14:textId="4B09AE26" w:rsidR="00D901C1" w:rsidRPr="00C01AE6" w:rsidRDefault="00BA210B" w:rsidP="00655C9D">
            <w:pPr>
              <w:widowControl w:val="0"/>
              <w:autoSpaceDE w:val="0"/>
              <w:autoSpaceDN w:val="0"/>
              <w:spacing w:line="249" w:lineRule="auto"/>
              <w:ind w:left="146" w:right="129"/>
              <w:rPr>
                <w:b/>
                <w:sz w:val="22"/>
                <w:szCs w:val="22"/>
                <w:lang w:val="sr-Latn-ME"/>
              </w:rPr>
            </w:pPr>
            <w:r w:rsidRPr="00C01AE6">
              <w:rPr>
                <w:b/>
                <w:bCs/>
                <w:sz w:val="22"/>
                <w:szCs w:val="22"/>
                <w:lang w:val="sr-Latn-ME"/>
              </w:rPr>
              <w:t>Tjelesn</w:t>
            </w:r>
            <w:r w:rsidR="00D901C1" w:rsidRPr="00C01AE6">
              <w:rPr>
                <w:b/>
                <w:bCs/>
                <w:sz w:val="22"/>
                <w:szCs w:val="22"/>
                <w:lang w:val="sr-Latn-ME"/>
              </w:rPr>
              <w:t xml:space="preserve">a </w:t>
            </w:r>
            <w:r w:rsidR="001D7EA0" w:rsidRPr="00C01AE6">
              <w:rPr>
                <w:b/>
                <w:bCs/>
                <w:sz w:val="22"/>
                <w:szCs w:val="22"/>
                <w:lang w:val="sr-Latn-ME"/>
              </w:rPr>
              <w:t xml:space="preserve">težina </w:t>
            </w:r>
            <w:r w:rsidR="00D901C1" w:rsidRPr="00C01AE6">
              <w:rPr>
                <w:b/>
                <w:bCs/>
                <w:sz w:val="22"/>
                <w:szCs w:val="22"/>
                <w:lang w:val="sr-Latn-ME"/>
              </w:rPr>
              <w:t>(kg)</w:t>
            </w:r>
          </w:p>
        </w:tc>
        <w:tc>
          <w:tcPr>
            <w:tcW w:w="3732" w:type="dxa"/>
            <w:gridSpan w:val="3"/>
            <w:tcBorders>
              <w:left w:val="double" w:sz="1" w:space="0" w:color="000000"/>
              <w:bottom w:val="single" w:sz="6" w:space="0" w:color="000000"/>
              <w:right w:val="double" w:sz="1" w:space="0" w:color="000000"/>
            </w:tcBorders>
          </w:tcPr>
          <w:p w14:paraId="1BE2B372" w14:textId="1800F408" w:rsidR="00D901C1" w:rsidRPr="00C01AE6" w:rsidRDefault="00D901C1" w:rsidP="00655C9D">
            <w:pPr>
              <w:widowControl w:val="0"/>
              <w:autoSpaceDE w:val="0"/>
              <w:autoSpaceDN w:val="0"/>
              <w:spacing w:line="214" w:lineRule="exact"/>
              <w:ind w:left="687" w:hanging="431"/>
              <w:rPr>
                <w:b/>
                <w:sz w:val="22"/>
                <w:szCs w:val="22"/>
                <w:lang w:val="sr-Latn-ME"/>
              </w:rPr>
            </w:pPr>
            <w:r w:rsidRPr="00C01AE6">
              <w:rPr>
                <w:b/>
                <w:bCs/>
                <w:sz w:val="22"/>
                <w:szCs w:val="22"/>
                <w:lang w:val="sr-Latn-ME"/>
              </w:rPr>
              <w:t xml:space="preserve">Ako se </w:t>
            </w:r>
            <w:proofErr w:type="spellStart"/>
            <w:r w:rsidR="000A3AF6" w:rsidRPr="00C01AE6">
              <w:rPr>
                <w:b/>
                <w:bCs/>
                <w:sz w:val="22"/>
                <w:szCs w:val="22"/>
                <w:lang w:val="sr-Latn-ME"/>
              </w:rPr>
              <w:t>injicira</w:t>
            </w:r>
            <w:proofErr w:type="spellEnd"/>
            <w:r w:rsidR="000A3AF6" w:rsidRPr="00C01AE6">
              <w:rPr>
                <w:b/>
                <w:bCs/>
                <w:sz w:val="22"/>
                <w:szCs w:val="22"/>
                <w:lang w:val="sr-Latn-ME"/>
              </w:rPr>
              <w:t xml:space="preserve"> </w:t>
            </w:r>
            <w:r w:rsidRPr="00C01AE6">
              <w:rPr>
                <w:b/>
                <w:bCs/>
                <w:sz w:val="22"/>
                <w:szCs w:val="22"/>
                <w:lang w:val="sr-Latn-ME"/>
              </w:rPr>
              <w:t>3 puta ned</w:t>
            </w:r>
            <w:r w:rsidR="00FC65C6" w:rsidRPr="00C01AE6">
              <w:rPr>
                <w:b/>
                <w:bCs/>
                <w:sz w:val="22"/>
                <w:szCs w:val="22"/>
                <w:lang w:val="sr-Latn-ME"/>
              </w:rPr>
              <w:t>j</w:t>
            </w:r>
            <w:r w:rsidRPr="00C01AE6">
              <w:rPr>
                <w:b/>
                <w:bCs/>
                <w:sz w:val="22"/>
                <w:szCs w:val="22"/>
                <w:lang w:val="sr-Latn-ME"/>
              </w:rPr>
              <w:t>eljno</w:t>
            </w:r>
          </w:p>
        </w:tc>
        <w:tc>
          <w:tcPr>
            <w:tcW w:w="4111" w:type="dxa"/>
            <w:gridSpan w:val="3"/>
            <w:tcBorders>
              <w:left w:val="double" w:sz="1" w:space="0" w:color="000000"/>
              <w:bottom w:val="single" w:sz="6" w:space="0" w:color="000000"/>
            </w:tcBorders>
          </w:tcPr>
          <w:p w14:paraId="630AE145" w14:textId="7D2C07EC" w:rsidR="00D901C1" w:rsidRPr="00C01AE6" w:rsidRDefault="00D901C1" w:rsidP="00655C9D">
            <w:pPr>
              <w:widowControl w:val="0"/>
              <w:autoSpaceDE w:val="0"/>
              <w:autoSpaceDN w:val="0"/>
              <w:spacing w:line="214" w:lineRule="exact"/>
              <w:ind w:left="580" w:hanging="385"/>
              <w:rPr>
                <w:b/>
                <w:sz w:val="22"/>
                <w:szCs w:val="22"/>
                <w:lang w:val="sr-Latn-ME"/>
              </w:rPr>
            </w:pPr>
            <w:r w:rsidRPr="00C01AE6">
              <w:rPr>
                <w:b/>
                <w:bCs/>
                <w:sz w:val="22"/>
                <w:szCs w:val="22"/>
                <w:lang w:val="sr-Latn-ME"/>
              </w:rPr>
              <w:t xml:space="preserve">Ako se </w:t>
            </w:r>
            <w:proofErr w:type="spellStart"/>
            <w:r w:rsidR="000A3AF6" w:rsidRPr="00C01AE6">
              <w:rPr>
                <w:b/>
                <w:bCs/>
                <w:sz w:val="22"/>
                <w:szCs w:val="22"/>
                <w:lang w:val="sr-Latn-ME"/>
              </w:rPr>
              <w:t>injicira</w:t>
            </w:r>
            <w:proofErr w:type="spellEnd"/>
            <w:r w:rsidR="000A3AF6" w:rsidRPr="00C01AE6">
              <w:rPr>
                <w:b/>
                <w:bCs/>
                <w:sz w:val="22"/>
                <w:szCs w:val="22"/>
                <w:lang w:val="sr-Latn-ME"/>
              </w:rPr>
              <w:t xml:space="preserve"> </w:t>
            </w:r>
            <w:r w:rsidRPr="00C01AE6">
              <w:rPr>
                <w:b/>
                <w:bCs/>
                <w:sz w:val="22"/>
                <w:szCs w:val="22"/>
                <w:lang w:val="sr-Latn-ME"/>
              </w:rPr>
              <w:t>6 puta ned</w:t>
            </w:r>
            <w:r w:rsidR="00FC65C6" w:rsidRPr="00C01AE6">
              <w:rPr>
                <w:b/>
                <w:bCs/>
                <w:sz w:val="22"/>
                <w:szCs w:val="22"/>
                <w:lang w:val="sr-Latn-ME"/>
              </w:rPr>
              <w:t>j</w:t>
            </w:r>
            <w:r w:rsidRPr="00C01AE6">
              <w:rPr>
                <w:b/>
                <w:bCs/>
                <w:sz w:val="22"/>
                <w:szCs w:val="22"/>
                <w:lang w:val="sr-Latn-ME"/>
              </w:rPr>
              <w:t>eljno</w:t>
            </w:r>
          </w:p>
        </w:tc>
      </w:tr>
      <w:tr w:rsidR="00D901C1" w:rsidRPr="00C01AE6" w14:paraId="4DE7C999" w14:textId="77777777" w:rsidTr="00655C9D">
        <w:trPr>
          <w:trHeight w:val="1590"/>
        </w:trPr>
        <w:tc>
          <w:tcPr>
            <w:tcW w:w="941" w:type="dxa"/>
            <w:vMerge/>
            <w:tcBorders>
              <w:top w:val="nil"/>
              <w:bottom w:val="single" w:sz="6" w:space="0" w:color="000000"/>
              <w:right w:val="double" w:sz="1" w:space="0" w:color="000000"/>
            </w:tcBorders>
          </w:tcPr>
          <w:p w14:paraId="13B91187" w14:textId="77777777" w:rsidR="00D901C1" w:rsidRPr="00C01AE6" w:rsidRDefault="00D901C1">
            <w:pPr>
              <w:widowControl w:val="0"/>
              <w:autoSpaceDE w:val="0"/>
              <w:autoSpaceDN w:val="0"/>
              <w:rPr>
                <w:sz w:val="22"/>
                <w:szCs w:val="22"/>
                <w:lang w:val="sr-Latn-ME"/>
              </w:rPr>
            </w:pPr>
          </w:p>
        </w:tc>
        <w:tc>
          <w:tcPr>
            <w:tcW w:w="1180" w:type="dxa"/>
            <w:tcBorders>
              <w:top w:val="single" w:sz="6" w:space="0" w:color="000000"/>
              <w:left w:val="double" w:sz="1" w:space="0" w:color="000000"/>
              <w:bottom w:val="single" w:sz="6" w:space="0" w:color="000000"/>
              <w:right w:val="single" w:sz="6" w:space="0" w:color="000000"/>
            </w:tcBorders>
          </w:tcPr>
          <w:p w14:paraId="3DE21A18" w14:textId="77777777" w:rsidR="00D901C1" w:rsidRPr="00C01AE6" w:rsidRDefault="00D901C1" w:rsidP="00655C9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  <w:lang w:val="sr-Latn-ME"/>
              </w:rPr>
            </w:pPr>
          </w:p>
          <w:p w14:paraId="260FF173" w14:textId="77777777" w:rsidR="00D901C1" w:rsidRPr="00C01AE6" w:rsidRDefault="00D901C1" w:rsidP="00655C9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  <w:lang w:val="sr-Latn-ME"/>
              </w:rPr>
            </w:pPr>
          </w:p>
          <w:p w14:paraId="4CAE7D60" w14:textId="77777777" w:rsidR="00D901C1" w:rsidRPr="00C01AE6" w:rsidRDefault="00D901C1" w:rsidP="00655C9D">
            <w:pPr>
              <w:widowControl w:val="0"/>
              <w:autoSpaceDE w:val="0"/>
              <w:autoSpaceDN w:val="0"/>
              <w:spacing w:line="244" w:lineRule="auto"/>
              <w:ind w:left="210" w:right="103" w:hanging="106"/>
              <w:jc w:val="center"/>
              <w:rPr>
                <w:b/>
                <w:sz w:val="22"/>
                <w:szCs w:val="22"/>
                <w:lang w:val="sr-Latn-ME"/>
              </w:rPr>
            </w:pPr>
            <w:r w:rsidRPr="00C01AE6">
              <w:rPr>
                <w:b/>
                <w:bCs/>
                <w:sz w:val="22"/>
                <w:szCs w:val="22"/>
                <w:lang w:val="sr-Latn-ME"/>
              </w:rPr>
              <w:t>Doza koju treba ubrizgati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0CB958" w14:textId="77777777" w:rsidR="00D901C1" w:rsidRPr="00C01AE6" w:rsidRDefault="00D901C1" w:rsidP="00655C9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  <w:lang w:val="sr-Latn-ME"/>
              </w:rPr>
            </w:pPr>
          </w:p>
          <w:p w14:paraId="4C2F4D45" w14:textId="77777777" w:rsidR="00D901C1" w:rsidRPr="00C01AE6" w:rsidRDefault="00D901C1" w:rsidP="00655C9D">
            <w:pPr>
              <w:widowControl w:val="0"/>
              <w:autoSpaceDE w:val="0"/>
              <w:autoSpaceDN w:val="0"/>
              <w:spacing w:line="247" w:lineRule="auto"/>
              <w:ind w:left="180" w:right="45" w:hanging="150"/>
              <w:jc w:val="center"/>
              <w:rPr>
                <w:b/>
                <w:sz w:val="22"/>
                <w:szCs w:val="22"/>
                <w:lang w:val="sr-Latn-ME"/>
              </w:rPr>
            </w:pPr>
            <w:r w:rsidRPr="00C01AE6">
              <w:rPr>
                <w:b/>
                <w:bCs/>
                <w:sz w:val="22"/>
                <w:szCs w:val="22"/>
                <w:lang w:val="sr-Latn-ME"/>
              </w:rPr>
              <w:t>Zapremina koju treba ubrizgati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1" w:space="0" w:color="000000"/>
            </w:tcBorders>
          </w:tcPr>
          <w:p w14:paraId="4DB423E9" w14:textId="77777777" w:rsidR="00D901C1" w:rsidRPr="00C01AE6" w:rsidRDefault="00D901C1" w:rsidP="00655C9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  <w:lang w:val="sr-Latn-ME"/>
              </w:rPr>
            </w:pPr>
          </w:p>
          <w:p w14:paraId="12D2854D" w14:textId="77777777" w:rsidR="00D901C1" w:rsidRPr="00C01AE6" w:rsidRDefault="00D901C1" w:rsidP="00655C9D">
            <w:pPr>
              <w:widowControl w:val="0"/>
              <w:autoSpaceDE w:val="0"/>
              <w:autoSpaceDN w:val="0"/>
              <w:spacing w:line="247" w:lineRule="auto"/>
              <w:ind w:left="239" w:right="209" w:hanging="17"/>
              <w:jc w:val="center"/>
              <w:rPr>
                <w:b/>
                <w:sz w:val="22"/>
                <w:szCs w:val="22"/>
                <w:lang w:val="sr-Latn-ME"/>
              </w:rPr>
            </w:pPr>
            <w:r w:rsidRPr="00C01AE6">
              <w:rPr>
                <w:b/>
                <w:bCs/>
                <w:sz w:val="22"/>
                <w:szCs w:val="22"/>
                <w:lang w:val="sr-Latn-ME"/>
              </w:rPr>
              <w:t>Vrsta bočice za injekciju</w:t>
            </w:r>
          </w:p>
        </w:tc>
        <w:tc>
          <w:tcPr>
            <w:tcW w:w="1276" w:type="dxa"/>
            <w:tcBorders>
              <w:top w:val="single" w:sz="6" w:space="0" w:color="000000"/>
              <w:left w:val="double" w:sz="1" w:space="0" w:color="000000"/>
              <w:bottom w:val="single" w:sz="6" w:space="0" w:color="000000"/>
              <w:right w:val="single" w:sz="6" w:space="0" w:color="000000"/>
            </w:tcBorders>
          </w:tcPr>
          <w:p w14:paraId="3150A4C7" w14:textId="77777777" w:rsidR="00D901C1" w:rsidRPr="00C01AE6" w:rsidRDefault="00D901C1" w:rsidP="00655C9D">
            <w:pPr>
              <w:widowControl w:val="0"/>
              <w:autoSpaceDE w:val="0"/>
              <w:autoSpaceDN w:val="0"/>
              <w:ind w:left="-75" w:right="-105" w:hanging="90"/>
              <w:jc w:val="center"/>
              <w:rPr>
                <w:sz w:val="22"/>
                <w:szCs w:val="22"/>
                <w:lang w:val="sr-Latn-ME"/>
              </w:rPr>
            </w:pPr>
          </w:p>
          <w:p w14:paraId="7DCE3CE8" w14:textId="4444B813" w:rsidR="00D901C1" w:rsidRPr="00C01AE6" w:rsidRDefault="00AD0B64" w:rsidP="00655C9D">
            <w:pPr>
              <w:widowControl w:val="0"/>
              <w:autoSpaceDE w:val="0"/>
              <w:autoSpaceDN w:val="0"/>
              <w:spacing w:line="244" w:lineRule="auto"/>
              <w:ind w:left="210" w:right="103" w:hanging="106"/>
              <w:jc w:val="center"/>
              <w:rPr>
                <w:b/>
                <w:sz w:val="22"/>
                <w:szCs w:val="22"/>
                <w:lang w:val="sr-Latn-ME"/>
              </w:rPr>
            </w:pPr>
            <w:r w:rsidRPr="00C01AE6">
              <w:rPr>
                <w:b/>
                <w:bCs/>
                <w:sz w:val="22"/>
                <w:szCs w:val="22"/>
                <w:lang w:val="sr-Latn-ME"/>
              </w:rPr>
              <w:t>Doza koju treba ubrizgati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038F95" w14:textId="77777777" w:rsidR="00D901C1" w:rsidRPr="00C01AE6" w:rsidRDefault="00D901C1" w:rsidP="00655C9D">
            <w:pPr>
              <w:widowControl w:val="0"/>
              <w:autoSpaceDE w:val="0"/>
              <w:autoSpaceDN w:val="0"/>
              <w:ind w:left="-75" w:right="-105" w:hanging="90"/>
              <w:jc w:val="center"/>
              <w:rPr>
                <w:sz w:val="22"/>
                <w:szCs w:val="22"/>
                <w:lang w:val="sr-Latn-ME"/>
              </w:rPr>
            </w:pPr>
          </w:p>
          <w:p w14:paraId="5FA83858" w14:textId="77777777" w:rsidR="00D901C1" w:rsidRPr="00C01AE6" w:rsidRDefault="00D901C1" w:rsidP="00655C9D">
            <w:pPr>
              <w:widowControl w:val="0"/>
              <w:autoSpaceDE w:val="0"/>
              <w:autoSpaceDN w:val="0"/>
              <w:spacing w:line="247" w:lineRule="auto"/>
              <w:ind w:left="180" w:right="45" w:hanging="150"/>
              <w:jc w:val="center"/>
              <w:rPr>
                <w:b/>
                <w:sz w:val="22"/>
                <w:szCs w:val="22"/>
                <w:lang w:val="sr-Latn-ME"/>
              </w:rPr>
            </w:pPr>
            <w:r w:rsidRPr="00C01AE6">
              <w:rPr>
                <w:b/>
                <w:bCs/>
                <w:sz w:val="22"/>
                <w:szCs w:val="22"/>
                <w:lang w:val="sr-Latn-ME"/>
              </w:rPr>
              <w:t>Zapremina koju treba ubrizgati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5386737D" w14:textId="77777777" w:rsidR="00D901C1" w:rsidRPr="00C01AE6" w:rsidRDefault="00D901C1" w:rsidP="00655C9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  <w:lang w:val="sr-Latn-ME"/>
              </w:rPr>
            </w:pPr>
          </w:p>
          <w:p w14:paraId="68097559" w14:textId="77777777" w:rsidR="00D901C1" w:rsidRPr="00C01AE6" w:rsidRDefault="00D901C1" w:rsidP="00655C9D">
            <w:pPr>
              <w:widowControl w:val="0"/>
              <w:autoSpaceDE w:val="0"/>
              <w:autoSpaceDN w:val="0"/>
              <w:spacing w:line="247" w:lineRule="auto"/>
              <w:ind w:left="239" w:right="209" w:hanging="17"/>
              <w:jc w:val="center"/>
              <w:rPr>
                <w:b/>
                <w:sz w:val="22"/>
                <w:szCs w:val="22"/>
                <w:lang w:val="sr-Latn-ME"/>
              </w:rPr>
            </w:pPr>
            <w:r w:rsidRPr="00C01AE6">
              <w:rPr>
                <w:b/>
                <w:bCs/>
                <w:sz w:val="22"/>
                <w:szCs w:val="22"/>
                <w:lang w:val="sr-Latn-ME"/>
              </w:rPr>
              <w:t>Vrsta bočice za injekciju</w:t>
            </w:r>
          </w:p>
        </w:tc>
      </w:tr>
      <w:tr w:rsidR="00D901C1" w:rsidRPr="00C01AE6" w14:paraId="5FAFC7E5" w14:textId="77777777" w:rsidTr="00655C9D">
        <w:trPr>
          <w:trHeight w:val="282"/>
        </w:trPr>
        <w:tc>
          <w:tcPr>
            <w:tcW w:w="941" w:type="dxa"/>
            <w:tcBorders>
              <w:top w:val="single" w:sz="6" w:space="0" w:color="000000"/>
              <w:bottom w:val="single" w:sz="6" w:space="0" w:color="000000"/>
              <w:right w:val="double" w:sz="1" w:space="0" w:color="000000"/>
            </w:tcBorders>
          </w:tcPr>
          <w:p w14:paraId="502DCC7F" w14:textId="77777777" w:rsidR="00D901C1" w:rsidRPr="00C01AE6" w:rsidRDefault="00D901C1" w:rsidP="00655C9D">
            <w:pPr>
              <w:widowControl w:val="0"/>
              <w:autoSpaceDE w:val="0"/>
              <w:autoSpaceDN w:val="0"/>
              <w:spacing w:line="212" w:lineRule="exact"/>
              <w:ind w:left="12"/>
              <w:jc w:val="center"/>
              <w:rPr>
                <w:b/>
                <w:sz w:val="22"/>
                <w:szCs w:val="22"/>
                <w:lang w:val="sr-Latn-ME"/>
              </w:rPr>
            </w:pPr>
            <w:r w:rsidRPr="00C01AE6">
              <w:rPr>
                <w:b/>
                <w:bCs/>
                <w:sz w:val="22"/>
                <w:szCs w:val="22"/>
                <w:lang w:val="sr-Latn-ME"/>
              </w:rPr>
              <w:t>3</w:t>
            </w:r>
          </w:p>
        </w:tc>
        <w:tc>
          <w:tcPr>
            <w:tcW w:w="1180" w:type="dxa"/>
            <w:tcBorders>
              <w:top w:val="single" w:sz="6" w:space="0" w:color="000000"/>
              <w:left w:val="double" w:sz="1" w:space="0" w:color="000000"/>
              <w:bottom w:val="single" w:sz="6" w:space="0" w:color="000000"/>
              <w:right w:val="single" w:sz="6" w:space="0" w:color="000000"/>
            </w:tcBorders>
          </w:tcPr>
          <w:p w14:paraId="080AFCC8" w14:textId="77777777" w:rsidR="00D901C1" w:rsidRPr="00C01AE6" w:rsidRDefault="00D901C1" w:rsidP="00655C9D">
            <w:pPr>
              <w:widowControl w:val="0"/>
              <w:autoSpaceDE w:val="0"/>
              <w:autoSpaceDN w:val="0"/>
              <w:spacing w:line="212" w:lineRule="exact"/>
              <w:ind w:left="90"/>
              <w:rPr>
                <w:sz w:val="22"/>
                <w:szCs w:val="22"/>
                <w:lang w:val="sr-Latn-ME"/>
              </w:rPr>
            </w:pPr>
            <w:r w:rsidRPr="00C01AE6">
              <w:rPr>
                <w:sz w:val="22"/>
                <w:szCs w:val="22"/>
                <w:lang w:val="sr-Latn-ME"/>
              </w:rPr>
              <w:t>6 mg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903390" w14:textId="77777777" w:rsidR="00D901C1" w:rsidRPr="00C01AE6" w:rsidRDefault="00D901C1" w:rsidP="00655C9D">
            <w:pPr>
              <w:widowControl w:val="0"/>
              <w:autoSpaceDE w:val="0"/>
              <w:autoSpaceDN w:val="0"/>
              <w:spacing w:line="212" w:lineRule="exact"/>
              <w:ind w:left="96"/>
              <w:rPr>
                <w:sz w:val="22"/>
                <w:szCs w:val="22"/>
                <w:lang w:val="sr-Latn-ME"/>
              </w:rPr>
            </w:pPr>
            <w:r w:rsidRPr="00C01AE6">
              <w:rPr>
                <w:sz w:val="22"/>
                <w:szCs w:val="22"/>
                <w:lang w:val="sr-Latn-ME"/>
              </w:rPr>
              <w:t>0,15 ml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1" w:space="0" w:color="000000"/>
            </w:tcBorders>
          </w:tcPr>
          <w:p w14:paraId="3F16E9EA" w14:textId="77777777" w:rsidR="00D901C1" w:rsidRPr="00C01AE6" w:rsidRDefault="00D901C1" w:rsidP="00655C9D">
            <w:pPr>
              <w:widowControl w:val="0"/>
              <w:autoSpaceDE w:val="0"/>
              <w:autoSpaceDN w:val="0"/>
              <w:spacing w:line="212" w:lineRule="exact"/>
              <w:ind w:left="97"/>
              <w:rPr>
                <w:sz w:val="22"/>
                <w:szCs w:val="22"/>
                <w:lang w:val="sr-Latn-ME"/>
              </w:rPr>
            </w:pPr>
            <w:r w:rsidRPr="00C01AE6">
              <w:rPr>
                <w:sz w:val="22"/>
                <w:szCs w:val="22"/>
                <w:lang w:val="sr-Latn-ME"/>
              </w:rPr>
              <w:t>0,3 ml</w:t>
            </w:r>
          </w:p>
        </w:tc>
        <w:tc>
          <w:tcPr>
            <w:tcW w:w="4111" w:type="dxa"/>
            <w:gridSpan w:val="3"/>
            <w:vMerge w:val="restart"/>
            <w:tcBorders>
              <w:top w:val="single" w:sz="6" w:space="0" w:color="000000"/>
              <w:left w:val="double" w:sz="1" w:space="0" w:color="000000"/>
              <w:bottom w:val="single" w:sz="6" w:space="0" w:color="000000"/>
            </w:tcBorders>
          </w:tcPr>
          <w:p w14:paraId="6D187E3C" w14:textId="77777777" w:rsidR="00D901C1" w:rsidRPr="00C01AE6" w:rsidRDefault="00D901C1">
            <w:pPr>
              <w:widowControl w:val="0"/>
              <w:autoSpaceDE w:val="0"/>
              <w:autoSpaceDN w:val="0"/>
              <w:rPr>
                <w:sz w:val="22"/>
                <w:szCs w:val="22"/>
                <w:lang w:val="sr-Latn-ME"/>
              </w:rPr>
            </w:pPr>
          </w:p>
        </w:tc>
      </w:tr>
      <w:tr w:rsidR="00D901C1" w:rsidRPr="00C01AE6" w14:paraId="76731796" w14:textId="77777777" w:rsidTr="00655C9D">
        <w:trPr>
          <w:trHeight w:val="280"/>
        </w:trPr>
        <w:tc>
          <w:tcPr>
            <w:tcW w:w="941" w:type="dxa"/>
            <w:tcBorders>
              <w:top w:val="single" w:sz="6" w:space="0" w:color="000000"/>
              <w:bottom w:val="single" w:sz="6" w:space="0" w:color="000000"/>
              <w:right w:val="double" w:sz="1" w:space="0" w:color="000000"/>
            </w:tcBorders>
          </w:tcPr>
          <w:p w14:paraId="75947F05" w14:textId="77777777" w:rsidR="00D901C1" w:rsidRPr="00C01AE6" w:rsidRDefault="00D901C1" w:rsidP="00655C9D">
            <w:pPr>
              <w:widowControl w:val="0"/>
              <w:autoSpaceDE w:val="0"/>
              <w:autoSpaceDN w:val="0"/>
              <w:spacing w:line="212" w:lineRule="exact"/>
              <w:ind w:left="12"/>
              <w:jc w:val="center"/>
              <w:rPr>
                <w:b/>
                <w:sz w:val="22"/>
                <w:szCs w:val="22"/>
                <w:lang w:val="sr-Latn-ME"/>
              </w:rPr>
            </w:pPr>
            <w:r w:rsidRPr="00C01AE6">
              <w:rPr>
                <w:b/>
                <w:bCs/>
                <w:sz w:val="22"/>
                <w:szCs w:val="22"/>
                <w:lang w:val="sr-Latn-ME"/>
              </w:rPr>
              <w:t>4</w:t>
            </w:r>
          </w:p>
        </w:tc>
        <w:tc>
          <w:tcPr>
            <w:tcW w:w="1180" w:type="dxa"/>
            <w:tcBorders>
              <w:top w:val="single" w:sz="6" w:space="0" w:color="000000"/>
              <w:left w:val="double" w:sz="1" w:space="0" w:color="000000"/>
              <w:bottom w:val="single" w:sz="6" w:space="0" w:color="000000"/>
              <w:right w:val="single" w:sz="6" w:space="0" w:color="000000"/>
            </w:tcBorders>
          </w:tcPr>
          <w:p w14:paraId="5CD9D30F" w14:textId="77777777" w:rsidR="00D901C1" w:rsidRPr="00C01AE6" w:rsidRDefault="00D901C1" w:rsidP="00655C9D">
            <w:pPr>
              <w:widowControl w:val="0"/>
              <w:autoSpaceDE w:val="0"/>
              <w:autoSpaceDN w:val="0"/>
              <w:spacing w:line="212" w:lineRule="exact"/>
              <w:ind w:left="90"/>
              <w:rPr>
                <w:sz w:val="22"/>
                <w:szCs w:val="22"/>
                <w:lang w:val="sr-Latn-ME"/>
              </w:rPr>
            </w:pPr>
            <w:r w:rsidRPr="00C01AE6">
              <w:rPr>
                <w:sz w:val="22"/>
                <w:szCs w:val="22"/>
                <w:lang w:val="sr-Latn-ME"/>
              </w:rPr>
              <w:t>8 mg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82C430" w14:textId="77777777" w:rsidR="00D901C1" w:rsidRPr="00C01AE6" w:rsidRDefault="00D901C1" w:rsidP="00655C9D">
            <w:pPr>
              <w:widowControl w:val="0"/>
              <w:autoSpaceDE w:val="0"/>
              <w:autoSpaceDN w:val="0"/>
              <w:spacing w:line="212" w:lineRule="exact"/>
              <w:ind w:left="96"/>
              <w:rPr>
                <w:sz w:val="22"/>
                <w:szCs w:val="22"/>
                <w:lang w:val="sr-Latn-ME"/>
              </w:rPr>
            </w:pPr>
            <w:r w:rsidRPr="00C01AE6">
              <w:rPr>
                <w:sz w:val="22"/>
                <w:szCs w:val="22"/>
                <w:lang w:val="sr-Latn-ME"/>
              </w:rPr>
              <w:t>0,20 ml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1" w:space="0" w:color="000000"/>
            </w:tcBorders>
          </w:tcPr>
          <w:p w14:paraId="52AD21D4" w14:textId="77777777" w:rsidR="00D901C1" w:rsidRPr="00C01AE6" w:rsidRDefault="00D901C1" w:rsidP="00655C9D">
            <w:pPr>
              <w:widowControl w:val="0"/>
              <w:autoSpaceDE w:val="0"/>
              <w:autoSpaceDN w:val="0"/>
              <w:spacing w:line="212" w:lineRule="exact"/>
              <w:ind w:left="97"/>
              <w:rPr>
                <w:sz w:val="22"/>
                <w:szCs w:val="22"/>
                <w:lang w:val="sr-Latn-ME"/>
              </w:rPr>
            </w:pPr>
            <w:r w:rsidRPr="00C01AE6">
              <w:rPr>
                <w:sz w:val="22"/>
                <w:szCs w:val="22"/>
                <w:lang w:val="sr-Latn-ME"/>
              </w:rPr>
              <w:t>0,3 ml</w:t>
            </w:r>
          </w:p>
        </w:tc>
        <w:tc>
          <w:tcPr>
            <w:tcW w:w="4111" w:type="dxa"/>
            <w:gridSpan w:val="3"/>
            <w:vMerge/>
            <w:tcBorders>
              <w:top w:val="nil"/>
              <w:left w:val="double" w:sz="1" w:space="0" w:color="000000"/>
              <w:bottom w:val="single" w:sz="6" w:space="0" w:color="000000"/>
            </w:tcBorders>
          </w:tcPr>
          <w:p w14:paraId="56F7AB4A" w14:textId="77777777" w:rsidR="00D901C1" w:rsidRPr="00C01AE6" w:rsidRDefault="00D901C1">
            <w:pPr>
              <w:widowControl w:val="0"/>
              <w:autoSpaceDE w:val="0"/>
              <w:autoSpaceDN w:val="0"/>
              <w:rPr>
                <w:sz w:val="22"/>
                <w:szCs w:val="22"/>
                <w:lang w:val="sr-Latn-ME"/>
              </w:rPr>
            </w:pPr>
          </w:p>
        </w:tc>
      </w:tr>
      <w:tr w:rsidR="00D901C1" w:rsidRPr="00C01AE6" w14:paraId="531688E6" w14:textId="77777777" w:rsidTr="00655C9D">
        <w:trPr>
          <w:trHeight w:val="281"/>
        </w:trPr>
        <w:tc>
          <w:tcPr>
            <w:tcW w:w="941" w:type="dxa"/>
            <w:tcBorders>
              <w:top w:val="single" w:sz="6" w:space="0" w:color="000000"/>
              <w:bottom w:val="single" w:sz="6" w:space="0" w:color="000000"/>
              <w:right w:val="double" w:sz="1" w:space="0" w:color="000000"/>
            </w:tcBorders>
          </w:tcPr>
          <w:p w14:paraId="385CD04D" w14:textId="77777777" w:rsidR="00D901C1" w:rsidRPr="00C01AE6" w:rsidRDefault="00D901C1" w:rsidP="00655C9D">
            <w:pPr>
              <w:widowControl w:val="0"/>
              <w:autoSpaceDE w:val="0"/>
              <w:autoSpaceDN w:val="0"/>
              <w:spacing w:line="211" w:lineRule="exact"/>
              <w:ind w:left="12"/>
              <w:jc w:val="center"/>
              <w:rPr>
                <w:b/>
                <w:sz w:val="22"/>
                <w:szCs w:val="22"/>
                <w:lang w:val="sr-Latn-ME"/>
              </w:rPr>
            </w:pPr>
            <w:r w:rsidRPr="00C01AE6">
              <w:rPr>
                <w:b/>
                <w:bCs/>
                <w:sz w:val="22"/>
                <w:szCs w:val="22"/>
                <w:lang w:val="sr-Latn-ME"/>
              </w:rPr>
              <w:t>5</w:t>
            </w:r>
          </w:p>
        </w:tc>
        <w:tc>
          <w:tcPr>
            <w:tcW w:w="1180" w:type="dxa"/>
            <w:tcBorders>
              <w:top w:val="single" w:sz="6" w:space="0" w:color="000000"/>
              <w:left w:val="double" w:sz="1" w:space="0" w:color="000000"/>
              <w:bottom w:val="single" w:sz="6" w:space="0" w:color="000000"/>
              <w:right w:val="single" w:sz="6" w:space="0" w:color="000000"/>
            </w:tcBorders>
          </w:tcPr>
          <w:p w14:paraId="5BAFE8B9" w14:textId="77777777" w:rsidR="00D901C1" w:rsidRPr="00C01AE6" w:rsidRDefault="00D901C1" w:rsidP="00655C9D">
            <w:pPr>
              <w:widowControl w:val="0"/>
              <w:autoSpaceDE w:val="0"/>
              <w:autoSpaceDN w:val="0"/>
              <w:spacing w:line="211" w:lineRule="exact"/>
              <w:ind w:left="90"/>
              <w:rPr>
                <w:sz w:val="22"/>
                <w:szCs w:val="22"/>
                <w:lang w:val="sr-Latn-ME"/>
              </w:rPr>
            </w:pPr>
            <w:r w:rsidRPr="00C01AE6">
              <w:rPr>
                <w:sz w:val="22"/>
                <w:szCs w:val="22"/>
                <w:lang w:val="sr-Latn-ME"/>
              </w:rPr>
              <w:t>10 mg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7FD761" w14:textId="77777777" w:rsidR="00D901C1" w:rsidRPr="00C01AE6" w:rsidRDefault="00D901C1" w:rsidP="00655C9D">
            <w:pPr>
              <w:widowControl w:val="0"/>
              <w:autoSpaceDE w:val="0"/>
              <w:autoSpaceDN w:val="0"/>
              <w:spacing w:line="211" w:lineRule="exact"/>
              <w:ind w:left="96"/>
              <w:rPr>
                <w:sz w:val="22"/>
                <w:szCs w:val="22"/>
                <w:lang w:val="sr-Latn-ME"/>
              </w:rPr>
            </w:pPr>
            <w:r w:rsidRPr="00C01AE6">
              <w:rPr>
                <w:sz w:val="22"/>
                <w:szCs w:val="22"/>
                <w:lang w:val="sr-Latn-ME"/>
              </w:rPr>
              <w:t>0,25 ml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1" w:space="0" w:color="000000"/>
            </w:tcBorders>
          </w:tcPr>
          <w:p w14:paraId="7176535E" w14:textId="77777777" w:rsidR="00D901C1" w:rsidRPr="00C01AE6" w:rsidRDefault="00D901C1" w:rsidP="00655C9D">
            <w:pPr>
              <w:widowControl w:val="0"/>
              <w:autoSpaceDE w:val="0"/>
              <w:autoSpaceDN w:val="0"/>
              <w:spacing w:line="211" w:lineRule="exact"/>
              <w:ind w:left="97"/>
              <w:rPr>
                <w:sz w:val="22"/>
                <w:szCs w:val="22"/>
                <w:lang w:val="sr-Latn-ME"/>
              </w:rPr>
            </w:pPr>
            <w:r w:rsidRPr="00C01AE6">
              <w:rPr>
                <w:sz w:val="22"/>
                <w:szCs w:val="22"/>
                <w:lang w:val="sr-Latn-ME"/>
              </w:rPr>
              <w:t>0,3 ml</w:t>
            </w:r>
          </w:p>
        </w:tc>
        <w:tc>
          <w:tcPr>
            <w:tcW w:w="4111" w:type="dxa"/>
            <w:gridSpan w:val="3"/>
            <w:vMerge/>
            <w:tcBorders>
              <w:top w:val="nil"/>
              <w:left w:val="double" w:sz="1" w:space="0" w:color="000000"/>
              <w:bottom w:val="single" w:sz="6" w:space="0" w:color="000000"/>
            </w:tcBorders>
          </w:tcPr>
          <w:p w14:paraId="636920A7" w14:textId="77777777" w:rsidR="00D901C1" w:rsidRPr="00C01AE6" w:rsidRDefault="00D901C1">
            <w:pPr>
              <w:widowControl w:val="0"/>
              <w:autoSpaceDE w:val="0"/>
              <w:autoSpaceDN w:val="0"/>
              <w:rPr>
                <w:sz w:val="22"/>
                <w:szCs w:val="22"/>
                <w:lang w:val="sr-Latn-ME"/>
              </w:rPr>
            </w:pPr>
          </w:p>
        </w:tc>
      </w:tr>
      <w:tr w:rsidR="00D901C1" w:rsidRPr="00C01AE6" w14:paraId="310889A2" w14:textId="77777777" w:rsidTr="00655C9D">
        <w:trPr>
          <w:trHeight w:val="280"/>
        </w:trPr>
        <w:tc>
          <w:tcPr>
            <w:tcW w:w="941" w:type="dxa"/>
            <w:tcBorders>
              <w:top w:val="single" w:sz="6" w:space="0" w:color="000000"/>
              <w:bottom w:val="single" w:sz="6" w:space="0" w:color="000000"/>
              <w:right w:val="double" w:sz="1" w:space="0" w:color="000000"/>
            </w:tcBorders>
          </w:tcPr>
          <w:p w14:paraId="228EBE6B" w14:textId="77777777" w:rsidR="00D901C1" w:rsidRPr="00C01AE6" w:rsidRDefault="00D901C1" w:rsidP="00655C9D">
            <w:pPr>
              <w:widowControl w:val="0"/>
              <w:autoSpaceDE w:val="0"/>
              <w:autoSpaceDN w:val="0"/>
              <w:spacing w:line="211" w:lineRule="exact"/>
              <w:ind w:left="12"/>
              <w:jc w:val="center"/>
              <w:rPr>
                <w:b/>
                <w:sz w:val="22"/>
                <w:szCs w:val="22"/>
                <w:lang w:val="sr-Latn-ME"/>
              </w:rPr>
            </w:pPr>
            <w:r w:rsidRPr="00C01AE6">
              <w:rPr>
                <w:b/>
                <w:bCs/>
                <w:sz w:val="22"/>
                <w:szCs w:val="22"/>
                <w:lang w:val="sr-Latn-ME"/>
              </w:rPr>
              <w:t>6</w:t>
            </w:r>
          </w:p>
        </w:tc>
        <w:tc>
          <w:tcPr>
            <w:tcW w:w="1180" w:type="dxa"/>
            <w:tcBorders>
              <w:top w:val="single" w:sz="6" w:space="0" w:color="000000"/>
              <w:left w:val="double" w:sz="1" w:space="0" w:color="000000"/>
              <w:bottom w:val="single" w:sz="6" w:space="0" w:color="000000"/>
              <w:right w:val="single" w:sz="6" w:space="0" w:color="000000"/>
            </w:tcBorders>
          </w:tcPr>
          <w:p w14:paraId="592BC0B2" w14:textId="77777777" w:rsidR="00D901C1" w:rsidRPr="00C01AE6" w:rsidRDefault="00D901C1" w:rsidP="00655C9D">
            <w:pPr>
              <w:widowControl w:val="0"/>
              <w:autoSpaceDE w:val="0"/>
              <w:autoSpaceDN w:val="0"/>
              <w:spacing w:line="211" w:lineRule="exact"/>
              <w:ind w:left="90"/>
              <w:rPr>
                <w:sz w:val="22"/>
                <w:szCs w:val="22"/>
                <w:lang w:val="sr-Latn-ME"/>
              </w:rPr>
            </w:pPr>
            <w:r w:rsidRPr="00C01AE6">
              <w:rPr>
                <w:sz w:val="22"/>
                <w:szCs w:val="22"/>
                <w:lang w:val="sr-Latn-ME"/>
              </w:rPr>
              <w:t>12 mg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8C64D8" w14:textId="77777777" w:rsidR="00D901C1" w:rsidRPr="00C01AE6" w:rsidRDefault="00D901C1" w:rsidP="00655C9D">
            <w:pPr>
              <w:widowControl w:val="0"/>
              <w:autoSpaceDE w:val="0"/>
              <w:autoSpaceDN w:val="0"/>
              <w:spacing w:line="211" w:lineRule="exact"/>
              <w:ind w:left="96"/>
              <w:rPr>
                <w:sz w:val="22"/>
                <w:szCs w:val="22"/>
                <w:lang w:val="sr-Latn-ME"/>
              </w:rPr>
            </w:pPr>
            <w:r w:rsidRPr="00C01AE6">
              <w:rPr>
                <w:sz w:val="22"/>
                <w:szCs w:val="22"/>
                <w:lang w:val="sr-Latn-ME"/>
              </w:rPr>
              <w:t>0,30 ml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1" w:space="0" w:color="000000"/>
            </w:tcBorders>
          </w:tcPr>
          <w:p w14:paraId="6B05C028" w14:textId="77777777" w:rsidR="00D901C1" w:rsidRPr="00C01AE6" w:rsidRDefault="00D901C1" w:rsidP="00655C9D">
            <w:pPr>
              <w:widowControl w:val="0"/>
              <w:autoSpaceDE w:val="0"/>
              <w:autoSpaceDN w:val="0"/>
              <w:spacing w:line="211" w:lineRule="exact"/>
              <w:ind w:left="97"/>
              <w:rPr>
                <w:sz w:val="22"/>
                <w:szCs w:val="22"/>
                <w:lang w:val="sr-Latn-ME"/>
              </w:rPr>
            </w:pPr>
            <w:r w:rsidRPr="00C01AE6">
              <w:rPr>
                <w:sz w:val="22"/>
                <w:szCs w:val="22"/>
                <w:lang w:val="sr-Latn-ME"/>
              </w:rPr>
              <w:t>0,3 ml</w:t>
            </w:r>
          </w:p>
        </w:tc>
        <w:tc>
          <w:tcPr>
            <w:tcW w:w="1276" w:type="dxa"/>
            <w:tcBorders>
              <w:top w:val="single" w:sz="6" w:space="0" w:color="000000"/>
              <w:left w:val="double" w:sz="1" w:space="0" w:color="000000"/>
              <w:bottom w:val="single" w:sz="6" w:space="0" w:color="000000"/>
              <w:right w:val="single" w:sz="6" w:space="0" w:color="000000"/>
            </w:tcBorders>
          </w:tcPr>
          <w:p w14:paraId="56A9AAF4" w14:textId="77777777" w:rsidR="00D901C1" w:rsidRPr="00C01AE6" w:rsidRDefault="00D901C1" w:rsidP="00655C9D">
            <w:pPr>
              <w:widowControl w:val="0"/>
              <w:autoSpaceDE w:val="0"/>
              <w:autoSpaceDN w:val="0"/>
              <w:spacing w:line="211" w:lineRule="exact"/>
              <w:ind w:left="88"/>
              <w:rPr>
                <w:sz w:val="22"/>
                <w:szCs w:val="22"/>
                <w:lang w:val="sr-Latn-ME"/>
              </w:rPr>
            </w:pPr>
            <w:r w:rsidRPr="00C01AE6">
              <w:rPr>
                <w:sz w:val="22"/>
                <w:szCs w:val="22"/>
                <w:lang w:val="sr-Latn-ME"/>
              </w:rPr>
              <w:t>6 mg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102630" w14:textId="77777777" w:rsidR="00D901C1" w:rsidRPr="00C01AE6" w:rsidRDefault="00D901C1" w:rsidP="00655C9D">
            <w:pPr>
              <w:widowControl w:val="0"/>
              <w:autoSpaceDE w:val="0"/>
              <w:autoSpaceDN w:val="0"/>
              <w:spacing w:line="211" w:lineRule="exact"/>
              <w:ind w:left="95"/>
              <w:rPr>
                <w:sz w:val="22"/>
                <w:szCs w:val="22"/>
                <w:lang w:val="sr-Latn-ME"/>
              </w:rPr>
            </w:pPr>
            <w:r w:rsidRPr="00C01AE6">
              <w:rPr>
                <w:sz w:val="22"/>
                <w:szCs w:val="22"/>
                <w:lang w:val="sr-Latn-ME"/>
              </w:rPr>
              <w:t>0,15 ml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7495C737" w14:textId="77777777" w:rsidR="00D901C1" w:rsidRPr="00C01AE6" w:rsidRDefault="00D901C1" w:rsidP="00655C9D">
            <w:pPr>
              <w:widowControl w:val="0"/>
              <w:autoSpaceDE w:val="0"/>
              <w:autoSpaceDN w:val="0"/>
              <w:spacing w:line="211" w:lineRule="exact"/>
              <w:ind w:left="95"/>
              <w:rPr>
                <w:sz w:val="22"/>
                <w:szCs w:val="22"/>
                <w:lang w:val="sr-Latn-ME"/>
              </w:rPr>
            </w:pPr>
            <w:r w:rsidRPr="00C01AE6">
              <w:rPr>
                <w:sz w:val="22"/>
                <w:szCs w:val="22"/>
                <w:lang w:val="sr-Latn-ME"/>
              </w:rPr>
              <w:t>0,3 ml</w:t>
            </w:r>
          </w:p>
        </w:tc>
      </w:tr>
      <w:tr w:rsidR="00D901C1" w:rsidRPr="00C01AE6" w14:paraId="3E6079EF" w14:textId="77777777" w:rsidTr="00655C9D">
        <w:trPr>
          <w:trHeight w:val="282"/>
        </w:trPr>
        <w:tc>
          <w:tcPr>
            <w:tcW w:w="941" w:type="dxa"/>
            <w:tcBorders>
              <w:top w:val="single" w:sz="6" w:space="0" w:color="000000"/>
              <w:bottom w:val="single" w:sz="6" w:space="0" w:color="000000"/>
              <w:right w:val="double" w:sz="1" w:space="0" w:color="000000"/>
            </w:tcBorders>
          </w:tcPr>
          <w:p w14:paraId="2F94E10C" w14:textId="77777777" w:rsidR="00D901C1" w:rsidRPr="00C01AE6" w:rsidRDefault="00D901C1" w:rsidP="00655C9D">
            <w:pPr>
              <w:widowControl w:val="0"/>
              <w:autoSpaceDE w:val="0"/>
              <w:autoSpaceDN w:val="0"/>
              <w:spacing w:line="213" w:lineRule="exact"/>
              <w:ind w:left="12"/>
              <w:jc w:val="center"/>
              <w:rPr>
                <w:b/>
                <w:sz w:val="22"/>
                <w:szCs w:val="22"/>
                <w:lang w:val="sr-Latn-ME"/>
              </w:rPr>
            </w:pPr>
            <w:r w:rsidRPr="00C01AE6">
              <w:rPr>
                <w:b/>
                <w:bCs/>
                <w:sz w:val="22"/>
                <w:szCs w:val="22"/>
                <w:lang w:val="sr-Latn-ME"/>
              </w:rPr>
              <w:t>7</w:t>
            </w:r>
          </w:p>
        </w:tc>
        <w:tc>
          <w:tcPr>
            <w:tcW w:w="1180" w:type="dxa"/>
            <w:tcBorders>
              <w:top w:val="single" w:sz="6" w:space="0" w:color="000000"/>
              <w:left w:val="double" w:sz="1" w:space="0" w:color="000000"/>
              <w:bottom w:val="single" w:sz="6" w:space="0" w:color="000000"/>
              <w:right w:val="single" w:sz="6" w:space="0" w:color="000000"/>
            </w:tcBorders>
          </w:tcPr>
          <w:p w14:paraId="7D8A50FD" w14:textId="77777777" w:rsidR="00D901C1" w:rsidRPr="00C01AE6" w:rsidRDefault="00D901C1" w:rsidP="00655C9D">
            <w:pPr>
              <w:widowControl w:val="0"/>
              <w:autoSpaceDE w:val="0"/>
              <w:autoSpaceDN w:val="0"/>
              <w:spacing w:line="213" w:lineRule="exact"/>
              <w:ind w:left="90"/>
              <w:rPr>
                <w:sz w:val="22"/>
                <w:szCs w:val="22"/>
                <w:lang w:val="sr-Latn-ME"/>
              </w:rPr>
            </w:pPr>
            <w:r w:rsidRPr="00C01AE6">
              <w:rPr>
                <w:sz w:val="22"/>
                <w:szCs w:val="22"/>
                <w:lang w:val="sr-Latn-ME"/>
              </w:rPr>
              <w:t>14 mg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51ECA0" w14:textId="77777777" w:rsidR="00D901C1" w:rsidRPr="00C01AE6" w:rsidRDefault="00D901C1" w:rsidP="00655C9D">
            <w:pPr>
              <w:widowControl w:val="0"/>
              <w:autoSpaceDE w:val="0"/>
              <w:autoSpaceDN w:val="0"/>
              <w:spacing w:line="213" w:lineRule="exact"/>
              <w:ind w:left="96"/>
              <w:rPr>
                <w:sz w:val="22"/>
                <w:szCs w:val="22"/>
                <w:lang w:val="sr-Latn-ME"/>
              </w:rPr>
            </w:pPr>
            <w:r w:rsidRPr="00C01AE6">
              <w:rPr>
                <w:sz w:val="22"/>
                <w:szCs w:val="22"/>
                <w:lang w:val="sr-Latn-ME"/>
              </w:rPr>
              <w:t>0,35 ml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1" w:space="0" w:color="000000"/>
            </w:tcBorders>
          </w:tcPr>
          <w:p w14:paraId="67EF938F" w14:textId="77777777" w:rsidR="00D901C1" w:rsidRPr="00C01AE6" w:rsidRDefault="00D901C1" w:rsidP="00655C9D">
            <w:pPr>
              <w:widowControl w:val="0"/>
              <w:autoSpaceDE w:val="0"/>
              <w:autoSpaceDN w:val="0"/>
              <w:spacing w:line="213" w:lineRule="exact"/>
              <w:ind w:left="97"/>
              <w:rPr>
                <w:sz w:val="22"/>
                <w:szCs w:val="22"/>
                <w:lang w:val="sr-Latn-ME"/>
              </w:rPr>
            </w:pPr>
            <w:r w:rsidRPr="00C01AE6">
              <w:rPr>
                <w:sz w:val="22"/>
                <w:szCs w:val="22"/>
                <w:lang w:val="sr-Latn-ME"/>
              </w:rPr>
              <w:t>0,45 ml</w:t>
            </w:r>
          </w:p>
        </w:tc>
        <w:tc>
          <w:tcPr>
            <w:tcW w:w="1276" w:type="dxa"/>
            <w:tcBorders>
              <w:top w:val="single" w:sz="6" w:space="0" w:color="000000"/>
              <w:left w:val="double" w:sz="1" w:space="0" w:color="000000"/>
              <w:bottom w:val="single" w:sz="6" w:space="0" w:color="000000"/>
              <w:right w:val="single" w:sz="6" w:space="0" w:color="000000"/>
            </w:tcBorders>
          </w:tcPr>
          <w:p w14:paraId="6CFCC231" w14:textId="77777777" w:rsidR="00D901C1" w:rsidRPr="00C01AE6" w:rsidRDefault="00D901C1" w:rsidP="00655C9D">
            <w:pPr>
              <w:widowControl w:val="0"/>
              <w:autoSpaceDE w:val="0"/>
              <w:autoSpaceDN w:val="0"/>
              <w:spacing w:line="213" w:lineRule="exact"/>
              <w:ind w:left="88"/>
              <w:rPr>
                <w:sz w:val="22"/>
                <w:szCs w:val="22"/>
                <w:lang w:val="sr-Latn-ME"/>
              </w:rPr>
            </w:pPr>
            <w:r w:rsidRPr="00C01AE6">
              <w:rPr>
                <w:sz w:val="22"/>
                <w:szCs w:val="22"/>
                <w:lang w:val="sr-Latn-ME"/>
              </w:rPr>
              <w:t>7 mg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B2CB8F" w14:textId="77777777" w:rsidR="00D901C1" w:rsidRPr="00C01AE6" w:rsidRDefault="00D901C1" w:rsidP="00655C9D">
            <w:pPr>
              <w:widowControl w:val="0"/>
              <w:autoSpaceDE w:val="0"/>
              <w:autoSpaceDN w:val="0"/>
              <w:spacing w:line="213" w:lineRule="exact"/>
              <w:ind w:left="95"/>
              <w:rPr>
                <w:sz w:val="22"/>
                <w:szCs w:val="22"/>
                <w:lang w:val="sr-Latn-ME"/>
              </w:rPr>
            </w:pPr>
            <w:r w:rsidRPr="00C01AE6">
              <w:rPr>
                <w:sz w:val="22"/>
                <w:szCs w:val="22"/>
                <w:lang w:val="sr-Latn-ME"/>
              </w:rPr>
              <w:t>0,18 ml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61380D3B" w14:textId="77777777" w:rsidR="00D901C1" w:rsidRPr="00C01AE6" w:rsidRDefault="00D901C1" w:rsidP="00655C9D">
            <w:pPr>
              <w:widowControl w:val="0"/>
              <w:autoSpaceDE w:val="0"/>
              <w:autoSpaceDN w:val="0"/>
              <w:spacing w:line="213" w:lineRule="exact"/>
              <w:ind w:left="95"/>
              <w:rPr>
                <w:sz w:val="22"/>
                <w:szCs w:val="22"/>
                <w:lang w:val="sr-Latn-ME"/>
              </w:rPr>
            </w:pPr>
            <w:r w:rsidRPr="00C01AE6">
              <w:rPr>
                <w:sz w:val="22"/>
                <w:szCs w:val="22"/>
                <w:lang w:val="sr-Latn-ME"/>
              </w:rPr>
              <w:t>0,3 ml</w:t>
            </w:r>
          </w:p>
        </w:tc>
      </w:tr>
      <w:tr w:rsidR="00D901C1" w:rsidRPr="00C01AE6" w14:paraId="52864631" w14:textId="77777777" w:rsidTr="00655C9D">
        <w:trPr>
          <w:trHeight w:val="281"/>
        </w:trPr>
        <w:tc>
          <w:tcPr>
            <w:tcW w:w="941" w:type="dxa"/>
            <w:tcBorders>
              <w:top w:val="single" w:sz="6" w:space="0" w:color="000000"/>
              <w:bottom w:val="single" w:sz="6" w:space="0" w:color="000000"/>
              <w:right w:val="double" w:sz="1" w:space="0" w:color="000000"/>
            </w:tcBorders>
          </w:tcPr>
          <w:p w14:paraId="16329613" w14:textId="77777777" w:rsidR="00D901C1" w:rsidRPr="00C01AE6" w:rsidRDefault="00D901C1" w:rsidP="00655C9D">
            <w:pPr>
              <w:widowControl w:val="0"/>
              <w:autoSpaceDE w:val="0"/>
              <w:autoSpaceDN w:val="0"/>
              <w:spacing w:line="214" w:lineRule="exact"/>
              <w:ind w:left="12"/>
              <w:jc w:val="center"/>
              <w:rPr>
                <w:b/>
                <w:sz w:val="22"/>
                <w:szCs w:val="22"/>
                <w:lang w:val="sr-Latn-ME"/>
              </w:rPr>
            </w:pPr>
            <w:r w:rsidRPr="00C01AE6">
              <w:rPr>
                <w:b/>
                <w:bCs/>
                <w:sz w:val="22"/>
                <w:szCs w:val="22"/>
                <w:lang w:val="sr-Latn-ME"/>
              </w:rPr>
              <w:t>8</w:t>
            </w:r>
          </w:p>
        </w:tc>
        <w:tc>
          <w:tcPr>
            <w:tcW w:w="1180" w:type="dxa"/>
            <w:tcBorders>
              <w:top w:val="single" w:sz="6" w:space="0" w:color="000000"/>
              <w:left w:val="double" w:sz="1" w:space="0" w:color="000000"/>
              <w:bottom w:val="single" w:sz="6" w:space="0" w:color="000000"/>
              <w:right w:val="single" w:sz="6" w:space="0" w:color="000000"/>
            </w:tcBorders>
          </w:tcPr>
          <w:p w14:paraId="2DB41EFC" w14:textId="77777777" w:rsidR="00D901C1" w:rsidRPr="00C01AE6" w:rsidRDefault="00D901C1" w:rsidP="00655C9D">
            <w:pPr>
              <w:widowControl w:val="0"/>
              <w:autoSpaceDE w:val="0"/>
              <w:autoSpaceDN w:val="0"/>
              <w:spacing w:line="214" w:lineRule="exact"/>
              <w:ind w:left="90"/>
              <w:rPr>
                <w:sz w:val="22"/>
                <w:szCs w:val="22"/>
                <w:lang w:val="sr-Latn-ME"/>
              </w:rPr>
            </w:pPr>
            <w:r w:rsidRPr="00C01AE6">
              <w:rPr>
                <w:sz w:val="22"/>
                <w:szCs w:val="22"/>
                <w:lang w:val="sr-Latn-ME"/>
              </w:rPr>
              <w:t>16 mg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157958" w14:textId="77777777" w:rsidR="00D901C1" w:rsidRPr="00C01AE6" w:rsidRDefault="00D901C1" w:rsidP="00655C9D">
            <w:pPr>
              <w:widowControl w:val="0"/>
              <w:autoSpaceDE w:val="0"/>
              <w:autoSpaceDN w:val="0"/>
              <w:spacing w:line="214" w:lineRule="exact"/>
              <w:ind w:left="96"/>
              <w:rPr>
                <w:sz w:val="22"/>
                <w:szCs w:val="22"/>
                <w:lang w:val="sr-Latn-ME"/>
              </w:rPr>
            </w:pPr>
            <w:r w:rsidRPr="00C01AE6">
              <w:rPr>
                <w:sz w:val="22"/>
                <w:szCs w:val="22"/>
                <w:lang w:val="sr-Latn-ME"/>
              </w:rPr>
              <w:t>0,40 ml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1" w:space="0" w:color="000000"/>
            </w:tcBorders>
          </w:tcPr>
          <w:p w14:paraId="3CDD0FF8" w14:textId="77777777" w:rsidR="00D901C1" w:rsidRPr="00C01AE6" w:rsidRDefault="00D901C1" w:rsidP="00655C9D">
            <w:pPr>
              <w:widowControl w:val="0"/>
              <w:autoSpaceDE w:val="0"/>
              <w:autoSpaceDN w:val="0"/>
              <w:spacing w:line="214" w:lineRule="exact"/>
              <w:ind w:left="97"/>
              <w:rPr>
                <w:sz w:val="22"/>
                <w:szCs w:val="22"/>
                <w:lang w:val="sr-Latn-ME"/>
              </w:rPr>
            </w:pPr>
            <w:r w:rsidRPr="00C01AE6">
              <w:rPr>
                <w:sz w:val="22"/>
                <w:szCs w:val="22"/>
                <w:lang w:val="sr-Latn-ME"/>
              </w:rPr>
              <w:t>0,45 ml</w:t>
            </w:r>
          </w:p>
        </w:tc>
        <w:tc>
          <w:tcPr>
            <w:tcW w:w="1276" w:type="dxa"/>
            <w:tcBorders>
              <w:top w:val="single" w:sz="6" w:space="0" w:color="000000"/>
              <w:left w:val="double" w:sz="1" w:space="0" w:color="000000"/>
              <w:bottom w:val="single" w:sz="6" w:space="0" w:color="000000"/>
              <w:right w:val="single" w:sz="6" w:space="0" w:color="000000"/>
            </w:tcBorders>
          </w:tcPr>
          <w:p w14:paraId="07BA5F42" w14:textId="77777777" w:rsidR="00D901C1" w:rsidRPr="00C01AE6" w:rsidRDefault="00D901C1" w:rsidP="00655C9D">
            <w:pPr>
              <w:widowControl w:val="0"/>
              <w:autoSpaceDE w:val="0"/>
              <w:autoSpaceDN w:val="0"/>
              <w:spacing w:line="214" w:lineRule="exact"/>
              <w:ind w:left="88"/>
              <w:rPr>
                <w:sz w:val="22"/>
                <w:szCs w:val="22"/>
                <w:lang w:val="sr-Latn-ME"/>
              </w:rPr>
            </w:pPr>
            <w:r w:rsidRPr="00C01AE6">
              <w:rPr>
                <w:sz w:val="22"/>
                <w:szCs w:val="22"/>
                <w:lang w:val="sr-Latn-ME"/>
              </w:rPr>
              <w:t>8 mg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E5295E" w14:textId="77777777" w:rsidR="00D901C1" w:rsidRPr="00C01AE6" w:rsidRDefault="00D901C1" w:rsidP="00655C9D">
            <w:pPr>
              <w:widowControl w:val="0"/>
              <w:autoSpaceDE w:val="0"/>
              <w:autoSpaceDN w:val="0"/>
              <w:spacing w:line="214" w:lineRule="exact"/>
              <w:ind w:left="95"/>
              <w:rPr>
                <w:sz w:val="22"/>
                <w:szCs w:val="22"/>
                <w:lang w:val="sr-Latn-ME"/>
              </w:rPr>
            </w:pPr>
            <w:r w:rsidRPr="00C01AE6">
              <w:rPr>
                <w:sz w:val="22"/>
                <w:szCs w:val="22"/>
                <w:lang w:val="sr-Latn-ME"/>
              </w:rPr>
              <w:t>0,20 ml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5970AC13" w14:textId="77777777" w:rsidR="00D901C1" w:rsidRPr="00C01AE6" w:rsidRDefault="00D901C1" w:rsidP="00655C9D">
            <w:pPr>
              <w:widowControl w:val="0"/>
              <w:autoSpaceDE w:val="0"/>
              <w:autoSpaceDN w:val="0"/>
              <w:spacing w:line="214" w:lineRule="exact"/>
              <w:ind w:left="95"/>
              <w:rPr>
                <w:sz w:val="22"/>
                <w:szCs w:val="22"/>
                <w:lang w:val="sr-Latn-ME"/>
              </w:rPr>
            </w:pPr>
            <w:r w:rsidRPr="00C01AE6">
              <w:rPr>
                <w:sz w:val="22"/>
                <w:szCs w:val="22"/>
                <w:lang w:val="sr-Latn-ME"/>
              </w:rPr>
              <w:t>0,3 ml</w:t>
            </w:r>
          </w:p>
        </w:tc>
      </w:tr>
      <w:tr w:rsidR="00D901C1" w:rsidRPr="00C01AE6" w14:paraId="178170B7" w14:textId="77777777" w:rsidTr="00655C9D">
        <w:trPr>
          <w:trHeight w:val="280"/>
        </w:trPr>
        <w:tc>
          <w:tcPr>
            <w:tcW w:w="941" w:type="dxa"/>
            <w:tcBorders>
              <w:top w:val="single" w:sz="6" w:space="0" w:color="000000"/>
              <w:bottom w:val="single" w:sz="6" w:space="0" w:color="000000"/>
              <w:right w:val="double" w:sz="1" w:space="0" w:color="000000"/>
            </w:tcBorders>
          </w:tcPr>
          <w:p w14:paraId="043FB838" w14:textId="77777777" w:rsidR="00D901C1" w:rsidRPr="00C01AE6" w:rsidRDefault="00D901C1" w:rsidP="00655C9D">
            <w:pPr>
              <w:widowControl w:val="0"/>
              <w:autoSpaceDE w:val="0"/>
              <w:autoSpaceDN w:val="0"/>
              <w:spacing w:line="212" w:lineRule="exact"/>
              <w:ind w:left="12"/>
              <w:jc w:val="center"/>
              <w:rPr>
                <w:b/>
                <w:sz w:val="22"/>
                <w:szCs w:val="22"/>
                <w:lang w:val="sr-Latn-ME"/>
              </w:rPr>
            </w:pPr>
            <w:r w:rsidRPr="00C01AE6">
              <w:rPr>
                <w:b/>
                <w:bCs/>
                <w:sz w:val="22"/>
                <w:szCs w:val="22"/>
                <w:lang w:val="sr-Latn-ME"/>
              </w:rPr>
              <w:t>9</w:t>
            </w:r>
          </w:p>
        </w:tc>
        <w:tc>
          <w:tcPr>
            <w:tcW w:w="1180" w:type="dxa"/>
            <w:tcBorders>
              <w:top w:val="single" w:sz="6" w:space="0" w:color="000000"/>
              <w:left w:val="double" w:sz="1" w:space="0" w:color="000000"/>
              <w:bottom w:val="single" w:sz="6" w:space="0" w:color="000000"/>
              <w:right w:val="single" w:sz="6" w:space="0" w:color="000000"/>
            </w:tcBorders>
          </w:tcPr>
          <w:p w14:paraId="1B8AFDD5" w14:textId="77777777" w:rsidR="00D901C1" w:rsidRPr="00C01AE6" w:rsidRDefault="00D901C1" w:rsidP="00655C9D">
            <w:pPr>
              <w:widowControl w:val="0"/>
              <w:autoSpaceDE w:val="0"/>
              <w:autoSpaceDN w:val="0"/>
              <w:spacing w:line="212" w:lineRule="exact"/>
              <w:ind w:left="90"/>
              <w:rPr>
                <w:sz w:val="22"/>
                <w:szCs w:val="22"/>
                <w:lang w:val="sr-Latn-ME"/>
              </w:rPr>
            </w:pPr>
            <w:r w:rsidRPr="00C01AE6">
              <w:rPr>
                <w:sz w:val="22"/>
                <w:szCs w:val="22"/>
                <w:lang w:val="sr-Latn-ME"/>
              </w:rPr>
              <w:t>18 mg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38A4C7" w14:textId="77777777" w:rsidR="00D901C1" w:rsidRPr="00C01AE6" w:rsidRDefault="00D901C1" w:rsidP="00655C9D">
            <w:pPr>
              <w:widowControl w:val="0"/>
              <w:autoSpaceDE w:val="0"/>
              <w:autoSpaceDN w:val="0"/>
              <w:spacing w:line="212" w:lineRule="exact"/>
              <w:ind w:left="96"/>
              <w:rPr>
                <w:sz w:val="22"/>
                <w:szCs w:val="22"/>
                <w:lang w:val="sr-Latn-ME"/>
              </w:rPr>
            </w:pPr>
            <w:r w:rsidRPr="00C01AE6">
              <w:rPr>
                <w:sz w:val="22"/>
                <w:szCs w:val="22"/>
                <w:lang w:val="sr-Latn-ME"/>
              </w:rPr>
              <w:t>0,45 ml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1" w:space="0" w:color="000000"/>
            </w:tcBorders>
          </w:tcPr>
          <w:p w14:paraId="1E163C50" w14:textId="77777777" w:rsidR="00D901C1" w:rsidRPr="00C01AE6" w:rsidRDefault="00D901C1" w:rsidP="00655C9D">
            <w:pPr>
              <w:widowControl w:val="0"/>
              <w:autoSpaceDE w:val="0"/>
              <w:autoSpaceDN w:val="0"/>
              <w:spacing w:line="212" w:lineRule="exact"/>
              <w:ind w:left="97"/>
              <w:rPr>
                <w:sz w:val="22"/>
                <w:szCs w:val="22"/>
                <w:lang w:val="sr-Latn-ME"/>
              </w:rPr>
            </w:pPr>
            <w:r w:rsidRPr="00C01AE6">
              <w:rPr>
                <w:sz w:val="22"/>
                <w:szCs w:val="22"/>
                <w:lang w:val="sr-Latn-ME"/>
              </w:rPr>
              <w:t>0,45 ml</w:t>
            </w:r>
          </w:p>
        </w:tc>
        <w:tc>
          <w:tcPr>
            <w:tcW w:w="1276" w:type="dxa"/>
            <w:tcBorders>
              <w:top w:val="single" w:sz="6" w:space="0" w:color="000000"/>
              <w:left w:val="double" w:sz="1" w:space="0" w:color="000000"/>
              <w:bottom w:val="single" w:sz="6" w:space="0" w:color="000000"/>
              <w:right w:val="single" w:sz="6" w:space="0" w:color="000000"/>
            </w:tcBorders>
          </w:tcPr>
          <w:p w14:paraId="5614909E" w14:textId="77777777" w:rsidR="00D901C1" w:rsidRPr="00C01AE6" w:rsidRDefault="00D901C1" w:rsidP="00655C9D">
            <w:pPr>
              <w:widowControl w:val="0"/>
              <w:autoSpaceDE w:val="0"/>
              <w:autoSpaceDN w:val="0"/>
              <w:spacing w:line="212" w:lineRule="exact"/>
              <w:ind w:left="88"/>
              <w:rPr>
                <w:sz w:val="22"/>
                <w:szCs w:val="22"/>
                <w:lang w:val="sr-Latn-ME"/>
              </w:rPr>
            </w:pPr>
            <w:r w:rsidRPr="00C01AE6">
              <w:rPr>
                <w:sz w:val="22"/>
                <w:szCs w:val="22"/>
                <w:lang w:val="sr-Latn-ME"/>
              </w:rPr>
              <w:t>9 mg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FCE925" w14:textId="77777777" w:rsidR="00D901C1" w:rsidRPr="00C01AE6" w:rsidRDefault="00D901C1" w:rsidP="00655C9D">
            <w:pPr>
              <w:widowControl w:val="0"/>
              <w:autoSpaceDE w:val="0"/>
              <w:autoSpaceDN w:val="0"/>
              <w:spacing w:line="212" w:lineRule="exact"/>
              <w:ind w:left="95"/>
              <w:rPr>
                <w:sz w:val="22"/>
                <w:szCs w:val="22"/>
                <w:lang w:val="sr-Latn-ME"/>
              </w:rPr>
            </w:pPr>
            <w:r w:rsidRPr="00C01AE6">
              <w:rPr>
                <w:sz w:val="22"/>
                <w:szCs w:val="22"/>
                <w:lang w:val="sr-Latn-ME"/>
              </w:rPr>
              <w:t>0,23 ml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1A8911ED" w14:textId="77777777" w:rsidR="00D901C1" w:rsidRPr="00C01AE6" w:rsidRDefault="00D901C1" w:rsidP="00655C9D">
            <w:pPr>
              <w:widowControl w:val="0"/>
              <w:autoSpaceDE w:val="0"/>
              <w:autoSpaceDN w:val="0"/>
              <w:spacing w:line="212" w:lineRule="exact"/>
              <w:ind w:left="95"/>
              <w:rPr>
                <w:sz w:val="22"/>
                <w:szCs w:val="22"/>
                <w:lang w:val="sr-Latn-ME"/>
              </w:rPr>
            </w:pPr>
            <w:r w:rsidRPr="00C01AE6">
              <w:rPr>
                <w:sz w:val="22"/>
                <w:szCs w:val="22"/>
                <w:lang w:val="sr-Latn-ME"/>
              </w:rPr>
              <w:t>0,3 ml</w:t>
            </w:r>
          </w:p>
        </w:tc>
      </w:tr>
      <w:tr w:rsidR="00D901C1" w:rsidRPr="00C01AE6" w14:paraId="06AFA660" w14:textId="77777777" w:rsidTr="00655C9D">
        <w:trPr>
          <w:trHeight w:val="280"/>
        </w:trPr>
        <w:tc>
          <w:tcPr>
            <w:tcW w:w="941" w:type="dxa"/>
            <w:tcBorders>
              <w:top w:val="single" w:sz="6" w:space="0" w:color="000000"/>
              <w:bottom w:val="single" w:sz="6" w:space="0" w:color="000000"/>
              <w:right w:val="double" w:sz="1" w:space="0" w:color="000000"/>
            </w:tcBorders>
          </w:tcPr>
          <w:p w14:paraId="5BCDD81F" w14:textId="77777777" w:rsidR="00D901C1" w:rsidRPr="00C01AE6" w:rsidRDefault="00D901C1" w:rsidP="00655C9D">
            <w:pPr>
              <w:widowControl w:val="0"/>
              <w:autoSpaceDE w:val="0"/>
              <w:autoSpaceDN w:val="0"/>
              <w:spacing w:line="212" w:lineRule="exact"/>
              <w:ind w:left="144" w:right="129"/>
              <w:jc w:val="center"/>
              <w:rPr>
                <w:b/>
                <w:sz w:val="22"/>
                <w:szCs w:val="22"/>
                <w:lang w:val="sr-Latn-ME"/>
              </w:rPr>
            </w:pPr>
            <w:r w:rsidRPr="00C01AE6">
              <w:rPr>
                <w:b/>
                <w:bCs/>
                <w:sz w:val="22"/>
                <w:szCs w:val="22"/>
                <w:lang w:val="sr-Latn-ME"/>
              </w:rPr>
              <w:t>10</w:t>
            </w:r>
          </w:p>
        </w:tc>
        <w:tc>
          <w:tcPr>
            <w:tcW w:w="1180" w:type="dxa"/>
            <w:tcBorders>
              <w:top w:val="single" w:sz="6" w:space="0" w:color="000000"/>
              <w:left w:val="double" w:sz="1" w:space="0" w:color="000000"/>
              <w:bottom w:val="single" w:sz="6" w:space="0" w:color="000000"/>
              <w:right w:val="single" w:sz="6" w:space="0" w:color="000000"/>
            </w:tcBorders>
          </w:tcPr>
          <w:p w14:paraId="02E90D95" w14:textId="77777777" w:rsidR="00D901C1" w:rsidRPr="00C01AE6" w:rsidRDefault="00D901C1" w:rsidP="00655C9D">
            <w:pPr>
              <w:widowControl w:val="0"/>
              <w:autoSpaceDE w:val="0"/>
              <w:autoSpaceDN w:val="0"/>
              <w:spacing w:line="212" w:lineRule="exact"/>
              <w:ind w:left="90"/>
              <w:rPr>
                <w:sz w:val="22"/>
                <w:szCs w:val="22"/>
                <w:lang w:val="sr-Latn-ME"/>
              </w:rPr>
            </w:pPr>
            <w:r w:rsidRPr="00C01AE6">
              <w:rPr>
                <w:sz w:val="22"/>
                <w:szCs w:val="22"/>
                <w:lang w:val="sr-Latn-ME"/>
              </w:rPr>
              <w:t>20 mg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BACB52" w14:textId="77777777" w:rsidR="00D901C1" w:rsidRPr="00C01AE6" w:rsidRDefault="00D901C1" w:rsidP="00655C9D">
            <w:pPr>
              <w:widowControl w:val="0"/>
              <w:autoSpaceDE w:val="0"/>
              <w:autoSpaceDN w:val="0"/>
              <w:spacing w:line="212" w:lineRule="exact"/>
              <w:ind w:left="96"/>
              <w:rPr>
                <w:sz w:val="22"/>
                <w:szCs w:val="22"/>
                <w:lang w:val="sr-Latn-ME"/>
              </w:rPr>
            </w:pPr>
            <w:r w:rsidRPr="00C01AE6">
              <w:rPr>
                <w:sz w:val="22"/>
                <w:szCs w:val="22"/>
                <w:lang w:val="sr-Latn-ME"/>
              </w:rPr>
              <w:t>0,50 ml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1" w:space="0" w:color="000000"/>
            </w:tcBorders>
          </w:tcPr>
          <w:p w14:paraId="3616D97D" w14:textId="77777777" w:rsidR="00D901C1" w:rsidRPr="00C01AE6" w:rsidRDefault="00D901C1" w:rsidP="00655C9D">
            <w:pPr>
              <w:widowControl w:val="0"/>
              <w:autoSpaceDE w:val="0"/>
              <w:autoSpaceDN w:val="0"/>
              <w:spacing w:line="212" w:lineRule="exact"/>
              <w:ind w:left="97"/>
              <w:rPr>
                <w:sz w:val="22"/>
                <w:szCs w:val="22"/>
                <w:lang w:val="sr-Latn-ME"/>
              </w:rPr>
            </w:pPr>
            <w:r w:rsidRPr="00C01AE6">
              <w:rPr>
                <w:sz w:val="22"/>
                <w:szCs w:val="22"/>
                <w:lang w:val="sr-Latn-ME"/>
              </w:rPr>
              <w:t>0,7 ml</w:t>
            </w:r>
          </w:p>
        </w:tc>
        <w:tc>
          <w:tcPr>
            <w:tcW w:w="1276" w:type="dxa"/>
            <w:tcBorders>
              <w:top w:val="single" w:sz="6" w:space="0" w:color="000000"/>
              <w:left w:val="double" w:sz="1" w:space="0" w:color="000000"/>
              <w:bottom w:val="single" w:sz="6" w:space="0" w:color="000000"/>
              <w:right w:val="single" w:sz="6" w:space="0" w:color="000000"/>
            </w:tcBorders>
          </w:tcPr>
          <w:p w14:paraId="25A272F1" w14:textId="77777777" w:rsidR="00D901C1" w:rsidRPr="00C01AE6" w:rsidRDefault="00D901C1" w:rsidP="00655C9D">
            <w:pPr>
              <w:widowControl w:val="0"/>
              <w:autoSpaceDE w:val="0"/>
              <w:autoSpaceDN w:val="0"/>
              <w:spacing w:line="212" w:lineRule="exact"/>
              <w:ind w:left="88"/>
              <w:rPr>
                <w:sz w:val="22"/>
                <w:szCs w:val="22"/>
                <w:lang w:val="sr-Latn-ME"/>
              </w:rPr>
            </w:pPr>
            <w:r w:rsidRPr="00C01AE6">
              <w:rPr>
                <w:sz w:val="22"/>
                <w:szCs w:val="22"/>
                <w:lang w:val="sr-Latn-ME"/>
              </w:rPr>
              <w:t>10 mg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205BEB" w14:textId="77777777" w:rsidR="00D901C1" w:rsidRPr="00C01AE6" w:rsidRDefault="00D901C1" w:rsidP="00655C9D">
            <w:pPr>
              <w:widowControl w:val="0"/>
              <w:autoSpaceDE w:val="0"/>
              <w:autoSpaceDN w:val="0"/>
              <w:spacing w:line="212" w:lineRule="exact"/>
              <w:ind w:left="95"/>
              <w:rPr>
                <w:sz w:val="22"/>
                <w:szCs w:val="22"/>
                <w:lang w:val="sr-Latn-ME"/>
              </w:rPr>
            </w:pPr>
            <w:r w:rsidRPr="00C01AE6">
              <w:rPr>
                <w:sz w:val="22"/>
                <w:szCs w:val="22"/>
                <w:lang w:val="sr-Latn-ME"/>
              </w:rPr>
              <w:t>0,25 ml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48733471" w14:textId="77777777" w:rsidR="00D901C1" w:rsidRPr="00C01AE6" w:rsidRDefault="00D901C1" w:rsidP="00655C9D">
            <w:pPr>
              <w:widowControl w:val="0"/>
              <w:autoSpaceDE w:val="0"/>
              <w:autoSpaceDN w:val="0"/>
              <w:spacing w:line="212" w:lineRule="exact"/>
              <w:ind w:left="95"/>
              <w:rPr>
                <w:sz w:val="22"/>
                <w:szCs w:val="22"/>
                <w:lang w:val="sr-Latn-ME"/>
              </w:rPr>
            </w:pPr>
            <w:r w:rsidRPr="00C01AE6">
              <w:rPr>
                <w:sz w:val="22"/>
                <w:szCs w:val="22"/>
                <w:lang w:val="sr-Latn-ME"/>
              </w:rPr>
              <w:t>0,3 ml</w:t>
            </w:r>
          </w:p>
        </w:tc>
      </w:tr>
      <w:tr w:rsidR="00D901C1" w:rsidRPr="00C01AE6" w14:paraId="3A5F314C" w14:textId="77777777" w:rsidTr="00655C9D">
        <w:trPr>
          <w:trHeight w:val="282"/>
        </w:trPr>
        <w:tc>
          <w:tcPr>
            <w:tcW w:w="941" w:type="dxa"/>
            <w:tcBorders>
              <w:top w:val="single" w:sz="6" w:space="0" w:color="000000"/>
              <w:bottom w:val="single" w:sz="6" w:space="0" w:color="000000"/>
              <w:right w:val="double" w:sz="1" w:space="0" w:color="000000"/>
            </w:tcBorders>
          </w:tcPr>
          <w:p w14:paraId="1B8E63C1" w14:textId="77777777" w:rsidR="00D901C1" w:rsidRPr="00C01AE6" w:rsidRDefault="00D901C1" w:rsidP="00655C9D">
            <w:pPr>
              <w:widowControl w:val="0"/>
              <w:autoSpaceDE w:val="0"/>
              <w:autoSpaceDN w:val="0"/>
              <w:spacing w:line="212" w:lineRule="exact"/>
              <w:ind w:left="144" w:right="129"/>
              <w:jc w:val="center"/>
              <w:rPr>
                <w:b/>
                <w:sz w:val="22"/>
                <w:szCs w:val="22"/>
                <w:lang w:val="sr-Latn-ME"/>
              </w:rPr>
            </w:pPr>
            <w:r w:rsidRPr="00C01AE6">
              <w:rPr>
                <w:b/>
                <w:bCs/>
                <w:sz w:val="22"/>
                <w:szCs w:val="22"/>
                <w:lang w:val="sr-Latn-ME"/>
              </w:rPr>
              <w:t>11</w:t>
            </w:r>
          </w:p>
        </w:tc>
        <w:tc>
          <w:tcPr>
            <w:tcW w:w="1180" w:type="dxa"/>
            <w:tcBorders>
              <w:top w:val="single" w:sz="6" w:space="0" w:color="000000"/>
              <w:left w:val="double" w:sz="1" w:space="0" w:color="000000"/>
              <w:bottom w:val="single" w:sz="6" w:space="0" w:color="000000"/>
              <w:right w:val="single" w:sz="6" w:space="0" w:color="000000"/>
            </w:tcBorders>
          </w:tcPr>
          <w:p w14:paraId="4095A367" w14:textId="77777777" w:rsidR="00D901C1" w:rsidRPr="00C01AE6" w:rsidRDefault="00D901C1" w:rsidP="00655C9D">
            <w:pPr>
              <w:widowControl w:val="0"/>
              <w:autoSpaceDE w:val="0"/>
              <w:autoSpaceDN w:val="0"/>
              <w:spacing w:line="212" w:lineRule="exact"/>
              <w:ind w:left="90"/>
              <w:rPr>
                <w:sz w:val="22"/>
                <w:szCs w:val="22"/>
                <w:lang w:val="sr-Latn-ME"/>
              </w:rPr>
            </w:pPr>
            <w:r w:rsidRPr="00C01AE6">
              <w:rPr>
                <w:sz w:val="22"/>
                <w:szCs w:val="22"/>
                <w:lang w:val="sr-Latn-ME"/>
              </w:rPr>
              <w:t>22 mg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AA7A6A" w14:textId="77777777" w:rsidR="00D901C1" w:rsidRPr="00C01AE6" w:rsidRDefault="00D901C1" w:rsidP="00655C9D">
            <w:pPr>
              <w:widowControl w:val="0"/>
              <w:autoSpaceDE w:val="0"/>
              <w:autoSpaceDN w:val="0"/>
              <w:spacing w:line="212" w:lineRule="exact"/>
              <w:ind w:left="96"/>
              <w:rPr>
                <w:sz w:val="22"/>
                <w:szCs w:val="22"/>
                <w:lang w:val="sr-Latn-ME"/>
              </w:rPr>
            </w:pPr>
            <w:r w:rsidRPr="00C01AE6">
              <w:rPr>
                <w:sz w:val="22"/>
                <w:szCs w:val="22"/>
                <w:lang w:val="sr-Latn-ME"/>
              </w:rPr>
              <w:t>0,55 ml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1" w:space="0" w:color="000000"/>
            </w:tcBorders>
          </w:tcPr>
          <w:p w14:paraId="7226FFBC" w14:textId="77777777" w:rsidR="00D901C1" w:rsidRPr="00C01AE6" w:rsidRDefault="00D901C1" w:rsidP="00655C9D">
            <w:pPr>
              <w:widowControl w:val="0"/>
              <w:autoSpaceDE w:val="0"/>
              <w:autoSpaceDN w:val="0"/>
              <w:spacing w:line="212" w:lineRule="exact"/>
              <w:ind w:left="97"/>
              <w:rPr>
                <w:sz w:val="22"/>
                <w:szCs w:val="22"/>
                <w:lang w:val="sr-Latn-ME"/>
              </w:rPr>
            </w:pPr>
            <w:r w:rsidRPr="00C01AE6">
              <w:rPr>
                <w:sz w:val="22"/>
                <w:szCs w:val="22"/>
                <w:lang w:val="sr-Latn-ME"/>
              </w:rPr>
              <w:t>0,7 ml</w:t>
            </w:r>
          </w:p>
        </w:tc>
        <w:tc>
          <w:tcPr>
            <w:tcW w:w="1276" w:type="dxa"/>
            <w:tcBorders>
              <w:top w:val="single" w:sz="6" w:space="0" w:color="000000"/>
              <w:left w:val="double" w:sz="1" w:space="0" w:color="000000"/>
              <w:bottom w:val="single" w:sz="6" w:space="0" w:color="000000"/>
              <w:right w:val="single" w:sz="6" w:space="0" w:color="000000"/>
            </w:tcBorders>
          </w:tcPr>
          <w:p w14:paraId="5D2DB739" w14:textId="77777777" w:rsidR="00D901C1" w:rsidRPr="00C01AE6" w:rsidRDefault="00D901C1" w:rsidP="00655C9D">
            <w:pPr>
              <w:widowControl w:val="0"/>
              <w:autoSpaceDE w:val="0"/>
              <w:autoSpaceDN w:val="0"/>
              <w:spacing w:line="212" w:lineRule="exact"/>
              <w:ind w:left="88"/>
              <w:rPr>
                <w:sz w:val="22"/>
                <w:szCs w:val="22"/>
                <w:lang w:val="sr-Latn-ME"/>
              </w:rPr>
            </w:pPr>
            <w:r w:rsidRPr="00C01AE6">
              <w:rPr>
                <w:sz w:val="22"/>
                <w:szCs w:val="22"/>
                <w:lang w:val="sr-Latn-ME"/>
              </w:rPr>
              <w:t>11 mg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DADD26" w14:textId="77777777" w:rsidR="00D901C1" w:rsidRPr="00C01AE6" w:rsidRDefault="00D901C1" w:rsidP="00655C9D">
            <w:pPr>
              <w:widowControl w:val="0"/>
              <w:autoSpaceDE w:val="0"/>
              <w:autoSpaceDN w:val="0"/>
              <w:spacing w:line="212" w:lineRule="exact"/>
              <w:ind w:left="95"/>
              <w:rPr>
                <w:sz w:val="22"/>
                <w:szCs w:val="22"/>
                <w:lang w:val="sr-Latn-ME"/>
              </w:rPr>
            </w:pPr>
            <w:r w:rsidRPr="00C01AE6">
              <w:rPr>
                <w:sz w:val="22"/>
                <w:szCs w:val="22"/>
                <w:lang w:val="sr-Latn-ME"/>
              </w:rPr>
              <w:t>0,28 ml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1062D3AC" w14:textId="77777777" w:rsidR="00D901C1" w:rsidRPr="00C01AE6" w:rsidRDefault="00D901C1" w:rsidP="00655C9D">
            <w:pPr>
              <w:widowControl w:val="0"/>
              <w:autoSpaceDE w:val="0"/>
              <w:autoSpaceDN w:val="0"/>
              <w:spacing w:line="212" w:lineRule="exact"/>
              <w:ind w:left="95"/>
              <w:rPr>
                <w:sz w:val="22"/>
                <w:szCs w:val="22"/>
                <w:lang w:val="sr-Latn-ME"/>
              </w:rPr>
            </w:pPr>
            <w:r w:rsidRPr="00C01AE6">
              <w:rPr>
                <w:sz w:val="22"/>
                <w:szCs w:val="22"/>
                <w:lang w:val="sr-Latn-ME"/>
              </w:rPr>
              <w:t>0,3 ml</w:t>
            </w:r>
          </w:p>
        </w:tc>
      </w:tr>
      <w:tr w:rsidR="00D901C1" w:rsidRPr="00C01AE6" w14:paraId="2EB601F8" w14:textId="77777777" w:rsidTr="00655C9D">
        <w:trPr>
          <w:trHeight w:val="280"/>
        </w:trPr>
        <w:tc>
          <w:tcPr>
            <w:tcW w:w="941" w:type="dxa"/>
            <w:tcBorders>
              <w:top w:val="single" w:sz="6" w:space="0" w:color="000000"/>
              <w:bottom w:val="single" w:sz="6" w:space="0" w:color="000000"/>
              <w:right w:val="double" w:sz="1" w:space="0" w:color="000000"/>
            </w:tcBorders>
          </w:tcPr>
          <w:p w14:paraId="70F2F2D8" w14:textId="77777777" w:rsidR="00D901C1" w:rsidRPr="00C01AE6" w:rsidRDefault="00D901C1" w:rsidP="00655C9D">
            <w:pPr>
              <w:widowControl w:val="0"/>
              <w:autoSpaceDE w:val="0"/>
              <w:autoSpaceDN w:val="0"/>
              <w:spacing w:line="212" w:lineRule="exact"/>
              <w:ind w:left="144" w:right="129"/>
              <w:jc w:val="center"/>
              <w:rPr>
                <w:b/>
                <w:sz w:val="22"/>
                <w:szCs w:val="22"/>
                <w:lang w:val="sr-Latn-ME"/>
              </w:rPr>
            </w:pPr>
            <w:r w:rsidRPr="00C01AE6">
              <w:rPr>
                <w:b/>
                <w:bCs/>
                <w:sz w:val="22"/>
                <w:szCs w:val="22"/>
                <w:lang w:val="sr-Latn-ME"/>
              </w:rPr>
              <w:t>12</w:t>
            </w:r>
          </w:p>
        </w:tc>
        <w:tc>
          <w:tcPr>
            <w:tcW w:w="1180" w:type="dxa"/>
            <w:tcBorders>
              <w:top w:val="single" w:sz="6" w:space="0" w:color="000000"/>
              <w:left w:val="double" w:sz="1" w:space="0" w:color="000000"/>
              <w:bottom w:val="single" w:sz="6" w:space="0" w:color="000000"/>
              <w:right w:val="single" w:sz="6" w:space="0" w:color="000000"/>
            </w:tcBorders>
          </w:tcPr>
          <w:p w14:paraId="335B3830" w14:textId="77777777" w:rsidR="00D901C1" w:rsidRPr="00C01AE6" w:rsidRDefault="00D901C1" w:rsidP="00655C9D">
            <w:pPr>
              <w:widowControl w:val="0"/>
              <w:autoSpaceDE w:val="0"/>
              <w:autoSpaceDN w:val="0"/>
              <w:spacing w:line="212" w:lineRule="exact"/>
              <w:ind w:left="90"/>
              <w:rPr>
                <w:sz w:val="22"/>
                <w:szCs w:val="22"/>
                <w:lang w:val="sr-Latn-ME"/>
              </w:rPr>
            </w:pPr>
            <w:r w:rsidRPr="00C01AE6">
              <w:rPr>
                <w:sz w:val="22"/>
                <w:szCs w:val="22"/>
                <w:lang w:val="sr-Latn-ME"/>
              </w:rPr>
              <w:t>24 mg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875CAF" w14:textId="77777777" w:rsidR="00D901C1" w:rsidRPr="00C01AE6" w:rsidRDefault="00D901C1" w:rsidP="00655C9D">
            <w:pPr>
              <w:widowControl w:val="0"/>
              <w:autoSpaceDE w:val="0"/>
              <w:autoSpaceDN w:val="0"/>
              <w:spacing w:line="212" w:lineRule="exact"/>
              <w:ind w:left="96"/>
              <w:rPr>
                <w:sz w:val="22"/>
                <w:szCs w:val="22"/>
                <w:lang w:val="sr-Latn-ME"/>
              </w:rPr>
            </w:pPr>
            <w:r w:rsidRPr="00C01AE6">
              <w:rPr>
                <w:sz w:val="22"/>
                <w:szCs w:val="22"/>
                <w:lang w:val="sr-Latn-ME"/>
              </w:rPr>
              <w:t>0,60 ml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1" w:space="0" w:color="000000"/>
            </w:tcBorders>
          </w:tcPr>
          <w:p w14:paraId="5CFB77D8" w14:textId="77777777" w:rsidR="00D901C1" w:rsidRPr="00C01AE6" w:rsidRDefault="00D901C1" w:rsidP="00655C9D">
            <w:pPr>
              <w:widowControl w:val="0"/>
              <w:autoSpaceDE w:val="0"/>
              <w:autoSpaceDN w:val="0"/>
              <w:spacing w:line="212" w:lineRule="exact"/>
              <w:ind w:left="97"/>
              <w:rPr>
                <w:sz w:val="22"/>
                <w:szCs w:val="22"/>
                <w:lang w:val="sr-Latn-ME"/>
              </w:rPr>
            </w:pPr>
            <w:r w:rsidRPr="00C01AE6">
              <w:rPr>
                <w:sz w:val="22"/>
                <w:szCs w:val="22"/>
                <w:lang w:val="sr-Latn-ME"/>
              </w:rPr>
              <w:t>0,7 ml</w:t>
            </w:r>
          </w:p>
        </w:tc>
        <w:tc>
          <w:tcPr>
            <w:tcW w:w="1276" w:type="dxa"/>
            <w:tcBorders>
              <w:top w:val="single" w:sz="6" w:space="0" w:color="000000"/>
              <w:left w:val="double" w:sz="1" w:space="0" w:color="000000"/>
              <w:bottom w:val="single" w:sz="6" w:space="0" w:color="000000"/>
              <w:right w:val="single" w:sz="6" w:space="0" w:color="000000"/>
            </w:tcBorders>
          </w:tcPr>
          <w:p w14:paraId="3631843E" w14:textId="77777777" w:rsidR="00D901C1" w:rsidRPr="00C01AE6" w:rsidRDefault="00D901C1" w:rsidP="00655C9D">
            <w:pPr>
              <w:widowControl w:val="0"/>
              <w:autoSpaceDE w:val="0"/>
              <w:autoSpaceDN w:val="0"/>
              <w:spacing w:line="212" w:lineRule="exact"/>
              <w:ind w:left="88"/>
              <w:rPr>
                <w:sz w:val="22"/>
                <w:szCs w:val="22"/>
                <w:lang w:val="sr-Latn-ME"/>
              </w:rPr>
            </w:pPr>
            <w:r w:rsidRPr="00C01AE6">
              <w:rPr>
                <w:sz w:val="22"/>
                <w:szCs w:val="22"/>
                <w:lang w:val="sr-Latn-ME"/>
              </w:rPr>
              <w:t>12 mg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AB1225" w14:textId="77777777" w:rsidR="00D901C1" w:rsidRPr="00C01AE6" w:rsidRDefault="00D901C1" w:rsidP="00655C9D">
            <w:pPr>
              <w:widowControl w:val="0"/>
              <w:autoSpaceDE w:val="0"/>
              <w:autoSpaceDN w:val="0"/>
              <w:spacing w:line="212" w:lineRule="exact"/>
              <w:ind w:left="95"/>
              <w:rPr>
                <w:sz w:val="22"/>
                <w:szCs w:val="22"/>
                <w:lang w:val="sr-Latn-ME"/>
              </w:rPr>
            </w:pPr>
            <w:r w:rsidRPr="00C01AE6">
              <w:rPr>
                <w:sz w:val="22"/>
                <w:szCs w:val="22"/>
                <w:lang w:val="sr-Latn-ME"/>
              </w:rPr>
              <w:t>0,30 ml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51E3E431" w14:textId="77777777" w:rsidR="00D901C1" w:rsidRPr="00C01AE6" w:rsidRDefault="00D901C1" w:rsidP="00655C9D">
            <w:pPr>
              <w:widowControl w:val="0"/>
              <w:autoSpaceDE w:val="0"/>
              <w:autoSpaceDN w:val="0"/>
              <w:spacing w:line="212" w:lineRule="exact"/>
              <w:ind w:left="95"/>
              <w:rPr>
                <w:sz w:val="22"/>
                <w:szCs w:val="22"/>
                <w:lang w:val="sr-Latn-ME"/>
              </w:rPr>
            </w:pPr>
            <w:r w:rsidRPr="00C01AE6">
              <w:rPr>
                <w:sz w:val="22"/>
                <w:szCs w:val="22"/>
                <w:lang w:val="sr-Latn-ME"/>
              </w:rPr>
              <w:t>0,3 ml</w:t>
            </w:r>
          </w:p>
        </w:tc>
      </w:tr>
      <w:tr w:rsidR="00D901C1" w:rsidRPr="00C01AE6" w14:paraId="0B82B47A" w14:textId="77777777" w:rsidTr="00655C9D">
        <w:trPr>
          <w:trHeight w:val="281"/>
        </w:trPr>
        <w:tc>
          <w:tcPr>
            <w:tcW w:w="941" w:type="dxa"/>
            <w:tcBorders>
              <w:top w:val="single" w:sz="6" w:space="0" w:color="000000"/>
              <w:bottom w:val="single" w:sz="6" w:space="0" w:color="000000"/>
              <w:right w:val="double" w:sz="1" w:space="0" w:color="000000"/>
            </w:tcBorders>
          </w:tcPr>
          <w:p w14:paraId="17765C97" w14:textId="77777777" w:rsidR="00D901C1" w:rsidRPr="00C01AE6" w:rsidRDefault="00D901C1" w:rsidP="00655C9D">
            <w:pPr>
              <w:widowControl w:val="0"/>
              <w:autoSpaceDE w:val="0"/>
              <w:autoSpaceDN w:val="0"/>
              <w:spacing w:line="211" w:lineRule="exact"/>
              <w:ind w:left="144" w:right="129"/>
              <w:jc w:val="center"/>
              <w:rPr>
                <w:b/>
                <w:sz w:val="22"/>
                <w:szCs w:val="22"/>
                <w:lang w:val="sr-Latn-ME"/>
              </w:rPr>
            </w:pPr>
            <w:r w:rsidRPr="00C01AE6">
              <w:rPr>
                <w:b/>
                <w:bCs/>
                <w:sz w:val="22"/>
                <w:szCs w:val="22"/>
                <w:lang w:val="sr-Latn-ME"/>
              </w:rPr>
              <w:t>13</w:t>
            </w:r>
          </w:p>
        </w:tc>
        <w:tc>
          <w:tcPr>
            <w:tcW w:w="1180" w:type="dxa"/>
            <w:tcBorders>
              <w:top w:val="single" w:sz="6" w:space="0" w:color="000000"/>
              <w:left w:val="double" w:sz="1" w:space="0" w:color="000000"/>
              <w:bottom w:val="single" w:sz="6" w:space="0" w:color="000000"/>
              <w:right w:val="single" w:sz="6" w:space="0" w:color="000000"/>
            </w:tcBorders>
          </w:tcPr>
          <w:p w14:paraId="32CACA00" w14:textId="77777777" w:rsidR="00D901C1" w:rsidRPr="00C01AE6" w:rsidRDefault="00D901C1" w:rsidP="00655C9D">
            <w:pPr>
              <w:widowControl w:val="0"/>
              <w:autoSpaceDE w:val="0"/>
              <w:autoSpaceDN w:val="0"/>
              <w:spacing w:line="211" w:lineRule="exact"/>
              <w:ind w:left="90"/>
              <w:rPr>
                <w:sz w:val="22"/>
                <w:szCs w:val="22"/>
                <w:lang w:val="sr-Latn-ME"/>
              </w:rPr>
            </w:pPr>
            <w:r w:rsidRPr="00C01AE6">
              <w:rPr>
                <w:sz w:val="22"/>
                <w:szCs w:val="22"/>
                <w:lang w:val="sr-Latn-ME"/>
              </w:rPr>
              <w:t>26 mg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B41DDF" w14:textId="77777777" w:rsidR="00D901C1" w:rsidRPr="00C01AE6" w:rsidRDefault="00D901C1" w:rsidP="00655C9D">
            <w:pPr>
              <w:widowControl w:val="0"/>
              <w:autoSpaceDE w:val="0"/>
              <w:autoSpaceDN w:val="0"/>
              <w:spacing w:line="211" w:lineRule="exact"/>
              <w:ind w:left="96"/>
              <w:rPr>
                <w:sz w:val="22"/>
                <w:szCs w:val="22"/>
                <w:lang w:val="sr-Latn-ME"/>
              </w:rPr>
            </w:pPr>
            <w:r w:rsidRPr="00C01AE6">
              <w:rPr>
                <w:sz w:val="22"/>
                <w:szCs w:val="22"/>
                <w:lang w:val="sr-Latn-ME"/>
              </w:rPr>
              <w:t>0,65 ml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1" w:space="0" w:color="000000"/>
            </w:tcBorders>
          </w:tcPr>
          <w:p w14:paraId="20EAAC83" w14:textId="77777777" w:rsidR="00D901C1" w:rsidRPr="00C01AE6" w:rsidRDefault="00D901C1" w:rsidP="00655C9D">
            <w:pPr>
              <w:widowControl w:val="0"/>
              <w:autoSpaceDE w:val="0"/>
              <w:autoSpaceDN w:val="0"/>
              <w:spacing w:line="211" w:lineRule="exact"/>
              <w:ind w:left="97"/>
              <w:rPr>
                <w:sz w:val="22"/>
                <w:szCs w:val="22"/>
                <w:lang w:val="sr-Latn-ME"/>
              </w:rPr>
            </w:pPr>
            <w:r w:rsidRPr="00C01AE6">
              <w:rPr>
                <w:sz w:val="22"/>
                <w:szCs w:val="22"/>
                <w:lang w:val="sr-Latn-ME"/>
              </w:rPr>
              <w:t>0,7 ml</w:t>
            </w:r>
          </w:p>
        </w:tc>
        <w:tc>
          <w:tcPr>
            <w:tcW w:w="1276" w:type="dxa"/>
            <w:tcBorders>
              <w:top w:val="single" w:sz="6" w:space="0" w:color="000000"/>
              <w:left w:val="double" w:sz="1" w:space="0" w:color="000000"/>
              <w:bottom w:val="single" w:sz="6" w:space="0" w:color="000000"/>
              <w:right w:val="single" w:sz="6" w:space="0" w:color="000000"/>
            </w:tcBorders>
          </w:tcPr>
          <w:p w14:paraId="65E8CF6A" w14:textId="77777777" w:rsidR="00D901C1" w:rsidRPr="00C01AE6" w:rsidRDefault="00D901C1" w:rsidP="00655C9D">
            <w:pPr>
              <w:widowControl w:val="0"/>
              <w:autoSpaceDE w:val="0"/>
              <w:autoSpaceDN w:val="0"/>
              <w:spacing w:line="211" w:lineRule="exact"/>
              <w:ind w:left="88"/>
              <w:rPr>
                <w:sz w:val="22"/>
                <w:szCs w:val="22"/>
                <w:lang w:val="sr-Latn-ME"/>
              </w:rPr>
            </w:pPr>
            <w:r w:rsidRPr="00C01AE6">
              <w:rPr>
                <w:sz w:val="22"/>
                <w:szCs w:val="22"/>
                <w:lang w:val="sr-Latn-ME"/>
              </w:rPr>
              <w:t>13 mg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6A0DB2" w14:textId="77777777" w:rsidR="00D901C1" w:rsidRPr="00C01AE6" w:rsidRDefault="00D901C1" w:rsidP="00655C9D">
            <w:pPr>
              <w:widowControl w:val="0"/>
              <w:autoSpaceDE w:val="0"/>
              <w:autoSpaceDN w:val="0"/>
              <w:spacing w:line="211" w:lineRule="exact"/>
              <w:ind w:left="95"/>
              <w:rPr>
                <w:sz w:val="22"/>
                <w:szCs w:val="22"/>
                <w:lang w:val="sr-Latn-ME"/>
              </w:rPr>
            </w:pPr>
            <w:r w:rsidRPr="00C01AE6">
              <w:rPr>
                <w:sz w:val="22"/>
                <w:szCs w:val="22"/>
                <w:lang w:val="sr-Latn-ME"/>
              </w:rPr>
              <w:t>0,33 ml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129C26A1" w14:textId="77777777" w:rsidR="00D901C1" w:rsidRPr="00C01AE6" w:rsidRDefault="00D901C1" w:rsidP="00655C9D">
            <w:pPr>
              <w:widowControl w:val="0"/>
              <w:autoSpaceDE w:val="0"/>
              <w:autoSpaceDN w:val="0"/>
              <w:spacing w:line="211" w:lineRule="exact"/>
              <w:ind w:left="95"/>
              <w:rPr>
                <w:sz w:val="22"/>
                <w:szCs w:val="22"/>
                <w:lang w:val="sr-Latn-ME"/>
              </w:rPr>
            </w:pPr>
            <w:r w:rsidRPr="00C01AE6">
              <w:rPr>
                <w:sz w:val="22"/>
                <w:szCs w:val="22"/>
                <w:lang w:val="sr-Latn-ME"/>
              </w:rPr>
              <w:t>0,45 ml</w:t>
            </w:r>
          </w:p>
        </w:tc>
      </w:tr>
      <w:tr w:rsidR="00D901C1" w:rsidRPr="00C01AE6" w14:paraId="1D5BC0D5" w14:textId="77777777" w:rsidTr="00655C9D">
        <w:trPr>
          <w:trHeight w:val="280"/>
        </w:trPr>
        <w:tc>
          <w:tcPr>
            <w:tcW w:w="941" w:type="dxa"/>
            <w:tcBorders>
              <w:top w:val="single" w:sz="6" w:space="0" w:color="000000"/>
              <w:bottom w:val="single" w:sz="6" w:space="0" w:color="000000"/>
              <w:right w:val="double" w:sz="1" w:space="0" w:color="000000"/>
            </w:tcBorders>
          </w:tcPr>
          <w:p w14:paraId="30525276" w14:textId="77777777" w:rsidR="00D901C1" w:rsidRPr="00C01AE6" w:rsidRDefault="00D901C1" w:rsidP="00655C9D">
            <w:pPr>
              <w:widowControl w:val="0"/>
              <w:autoSpaceDE w:val="0"/>
              <w:autoSpaceDN w:val="0"/>
              <w:spacing w:line="211" w:lineRule="exact"/>
              <w:ind w:left="144" w:right="129"/>
              <w:jc w:val="center"/>
              <w:rPr>
                <w:b/>
                <w:sz w:val="22"/>
                <w:szCs w:val="22"/>
                <w:lang w:val="sr-Latn-ME"/>
              </w:rPr>
            </w:pPr>
            <w:r w:rsidRPr="00C01AE6">
              <w:rPr>
                <w:b/>
                <w:bCs/>
                <w:sz w:val="22"/>
                <w:szCs w:val="22"/>
                <w:lang w:val="sr-Latn-ME"/>
              </w:rPr>
              <w:t>14</w:t>
            </w:r>
          </w:p>
        </w:tc>
        <w:tc>
          <w:tcPr>
            <w:tcW w:w="1180" w:type="dxa"/>
            <w:tcBorders>
              <w:top w:val="single" w:sz="6" w:space="0" w:color="000000"/>
              <w:left w:val="double" w:sz="1" w:space="0" w:color="000000"/>
              <w:bottom w:val="single" w:sz="6" w:space="0" w:color="000000"/>
              <w:right w:val="single" w:sz="6" w:space="0" w:color="000000"/>
            </w:tcBorders>
          </w:tcPr>
          <w:p w14:paraId="61323DCD" w14:textId="77777777" w:rsidR="00D901C1" w:rsidRPr="00C01AE6" w:rsidRDefault="00D901C1" w:rsidP="00655C9D">
            <w:pPr>
              <w:widowControl w:val="0"/>
              <w:autoSpaceDE w:val="0"/>
              <w:autoSpaceDN w:val="0"/>
              <w:spacing w:line="211" w:lineRule="exact"/>
              <w:ind w:left="90"/>
              <w:rPr>
                <w:sz w:val="22"/>
                <w:szCs w:val="22"/>
                <w:lang w:val="sr-Latn-ME"/>
              </w:rPr>
            </w:pPr>
            <w:r w:rsidRPr="00C01AE6">
              <w:rPr>
                <w:sz w:val="22"/>
                <w:szCs w:val="22"/>
                <w:lang w:val="sr-Latn-ME"/>
              </w:rPr>
              <w:t>28 mg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79BF82" w14:textId="77777777" w:rsidR="00D901C1" w:rsidRPr="00C01AE6" w:rsidRDefault="00D901C1" w:rsidP="00655C9D">
            <w:pPr>
              <w:widowControl w:val="0"/>
              <w:autoSpaceDE w:val="0"/>
              <w:autoSpaceDN w:val="0"/>
              <w:spacing w:line="211" w:lineRule="exact"/>
              <w:ind w:left="96"/>
              <w:rPr>
                <w:sz w:val="22"/>
                <w:szCs w:val="22"/>
                <w:lang w:val="sr-Latn-ME"/>
              </w:rPr>
            </w:pPr>
            <w:r w:rsidRPr="00C01AE6">
              <w:rPr>
                <w:sz w:val="22"/>
                <w:szCs w:val="22"/>
                <w:lang w:val="sr-Latn-ME"/>
              </w:rPr>
              <w:t>0,70 ml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1" w:space="0" w:color="000000"/>
            </w:tcBorders>
          </w:tcPr>
          <w:p w14:paraId="5CB4B67E" w14:textId="77777777" w:rsidR="00D901C1" w:rsidRPr="00C01AE6" w:rsidRDefault="00D901C1" w:rsidP="00655C9D">
            <w:pPr>
              <w:widowControl w:val="0"/>
              <w:autoSpaceDE w:val="0"/>
              <w:autoSpaceDN w:val="0"/>
              <w:spacing w:line="211" w:lineRule="exact"/>
              <w:ind w:left="97"/>
              <w:rPr>
                <w:sz w:val="22"/>
                <w:szCs w:val="22"/>
                <w:lang w:val="sr-Latn-ME"/>
              </w:rPr>
            </w:pPr>
            <w:r w:rsidRPr="00C01AE6">
              <w:rPr>
                <w:sz w:val="22"/>
                <w:szCs w:val="22"/>
                <w:lang w:val="sr-Latn-ME"/>
              </w:rPr>
              <w:t>0,7 ml</w:t>
            </w:r>
          </w:p>
        </w:tc>
        <w:tc>
          <w:tcPr>
            <w:tcW w:w="1276" w:type="dxa"/>
            <w:tcBorders>
              <w:top w:val="single" w:sz="6" w:space="0" w:color="000000"/>
              <w:left w:val="double" w:sz="1" w:space="0" w:color="000000"/>
              <w:bottom w:val="single" w:sz="6" w:space="0" w:color="000000"/>
              <w:right w:val="single" w:sz="6" w:space="0" w:color="000000"/>
            </w:tcBorders>
          </w:tcPr>
          <w:p w14:paraId="1BC9D891" w14:textId="77777777" w:rsidR="00D901C1" w:rsidRPr="00C01AE6" w:rsidRDefault="00D901C1" w:rsidP="00655C9D">
            <w:pPr>
              <w:widowControl w:val="0"/>
              <w:autoSpaceDE w:val="0"/>
              <w:autoSpaceDN w:val="0"/>
              <w:spacing w:line="211" w:lineRule="exact"/>
              <w:ind w:left="88"/>
              <w:rPr>
                <w:sz w:val="22"/>
                <w:szCs w:val="22"/>
                <w:lang w:val="sr-Latn-ME"/>
              </w:rPr>
            </w:pPr>
            <w:r w:rsidRPr="00C01AE6">
              <w:rPr>
                <w:sz w:val="22"/>
                <w:szCs w:val="22"/>
                <w:lang w:val="sr-Latn-ME"/>
              </w:rPr>
              <w:t>14 mg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85EF85" w14:textId="77777777" w:rsidR="00D901C1" w:rsidRPr="00C01AE6" w:rsidRDefault="00D901C1" w:rsidP="00655C9D">
            <w:pPr>
              <w:widowControl w:val="0"/>
              <w:autoSpaceDE w:val="0"/>
              <w:autoSpaceDN w:val="0"/>
              <w:spacing w:line="211" w:lineRule="exact"/>
              <w:ind w:left="95"/>
              <w:rPr>
                <w:sz w:val="22"/>
                <w:szCs w:val="22"/>
                <w:lang w:val="sr-Latn-ME"/>
              </w:rPr>
            </w:pPr>
            <w:r w:rsidRPr="00C01AE6">
              <w:rPr>
                <w:sz w:val="22"/>
                <w:szCs w:val="22"/>
                <w:lang w:val="sr-Latn-ME"/>
              </w:rPr>
              <w:t>0,35 ml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124287AD" w14:textId="77777777" w:rsidR="00D901C1" w:rsidRPr="00C01AE6" w:rsidRDefault="00D901C1" w:rsidP="00655C9D">
            <w:pPr>
              <w:widowControl w:val="0"/>
              <w:autoSpaceDE w:val="0"/>
              <w:autoSpaceDN w:val="0"/>
              <w:spacing w:line="211" w:lineRule="exact"/>
              <w:ind w:left="95"/>
              <w:rPr>
                <w:sz w:val="22"/>
                <w:szCs w:val="22"/>
                <w:lang w:val="sr-Latn-ME"/>
              </w:rPr>
            </w:pPr>
            <w:r w:rsidRPr="00C01AE6">
              <w:rPr>
                <w:sz w:val="22"/>
                <w:szCs w:val="22"/>
                <w:lang w:val="sr-Latn-ME"/>
              </w:rPr>
              <w:t>0,45 ml</w:t>
            </w:r>
          </w:p>
        </w:tc>
      </w:tr>
      <w:tr w:rsidR="00D901C1" w:rsidRPr="00C01AE6" w14:paraId="2A402B9A" w14:textId="77777777" w:rsidTr="00655C9D">
        <w:trPr>
          <w:trHeight w:val="282"/>
        </w:trPr>
        <w:tc>
          <w:tcPr>
            <w:tcW w:w="941" w:type="dxa"/>
            <w:tcBorders>
              <w:top w:val="single" w:sz="6" w:space="0" w:color="000000"/>
              <w:bottom w:val="single" w:sz="6" w:space="0" w:color="000000"/>
              <w:right w:val="double" w:sz="1" w:space="0" w:color="000000"/>
            </w:tcBorders>
          </w:tcPr>
          <w:p w14:paraId="64015BB5" w14:textId="77777777" w:rsidR="00D901C1" w:rsidRPr="00C01AE6" w:rsidRDefault="00D901C1" w:rsidP="00655C9D">
            <w:pPr>
              <w:widowControl w:val="0"/>
              <w:autoSpaceDE w:val="0"/>
              <w:autoSpaceDN w:val="0"/>
              <w:spacing w:line="213" w:lineRule="exact"/>
              <w:ind w:left="144" w:right="129"/>
              <w:jc w:val="center"/>
              <w:rPr>
                <w:b/>
                <w:sz w:val="22"/>
                <w:szCs w:val="22"/>
                <w:lang w:val="sr-Latn-ME"/>
              </w:rPr>
            </w:pPr>
            <w:r w:rsidRPr="00C01AE6">
              <w:rPr>
                <w:b/>
                <w:bCs/>
                <w:sz w:val="22"/>
                <w:szCs w:val="22"/>
                <w:lang w:val="sr-Latn-ME"/>
              </w:rPr>
              <w:t>15</w:t>
            </w:r>
          </w:p>
        </w:tc>
        <w:tc>
          <w:tcPr>
            <w:tcW w:w="1180" w:type="dxa"/>
            <w:tcBorders>
              <w:top w:val="single" w:sz="6" w:space="0" w:color="000000"/>
              <w:left w:val="double" w:sz="1" w:space="0" w:color="000000"/>
              <w:bottom w:val="single" w:sz="6" w:space="0" w:color="000000"/>
              <w:right w:val="single" w:sz="6" w:space="0" w:color="000000"/>
            </w:tcBorders>
          </w:tcPr>
          <w:p w14:paraId="23280EAA" w14:textId="77777777" w:rsidR="00D901C1" w:rsidRPr="00C01AE6" w:rsidRDefault="00D901C1" w:rsidP="00655C9D">
            <w:pPr>
              <w:widowControl w:val="0"/>
              <w:autoSpaceDE w:val="0"/>
              <w:autoSpaceDN w:val="0"/>
              <w:spacing w:line="213" w:lineRule="exact"/>
              <w:ind w:left="90"/>
              <w:rPr>
                <w:sz w:val="22"/>
                <w:szCs w:val="22"/>
                <w:lang w:val="sr-Latn-ME"/>
              </w:rPr>
            </w:pPr>
            <w:r w:rsidRPr="00C01AE6">
              <w:rPr>
                <w:sz w:val="22"/>
                <w:szCs w:val="22"/>
                <w:lang w:val="sr-Latn-ME"/>
              </w:rPr>
              <w:t>30 mg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C7566A" w14:textId="77777777" w:rsidR="00D901C1" w:rsidRPr="00C01AE6" w:rsidRDefault="00D901C1" w:rsidP="00655C9D">
            <w:pPr>
              <w:widowControl w:val="0"/>
              <w:autoSpaceDE w:val="0"/>
              <w:autoSpaceDN w:val="0"/>
              <w:spacing w:line="213" w:lineRule="exact"/>
              <w:ind w:left="96"/>
              <w:rPr>
                <w:sz w:val="22"/>
                <w:szCs w:val="22"/>
                <w:lang w:val="sr-Latn-ME"/>
              </w:rPr>
            </w:pPr>
            <w:r w:rsidRPr="00C01AE6">
              <w:rPr>
                <w:sz w:val="22"/>
                <w:szCs w:val="22"/>
                <w:lang w:val="sr-Latn-ME"/>
              </w:rPr>
              <w:t>0,75 ml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1" w:space="0" w:color="000000"/>
            </w:tcBorders>
          </w:tcPr>
          <w:p w14:paraId="444B055D" w14:textId="77777777" w:rsidR="00D901C1" w:rsidRPr="00C01AE6" w:rsidRDefault="00D901C1" w:rsidP="00655C9D">
            <w:pPr>
              <w:widowControl w:val="0"/>
              <w:autoSpaceDE w:val="0"/>
              <w:autoSpaceDN w:val="0"/>
              <w:spacing w:line="213" w:lineRule="exact"/>
              <w:ind w:left="97"/>
              <w:rPr>
                <w:sz w:val="22"/>
                <w:szCs w:val="22"/>
                <w:lang w:val="sr-Latn-ME"/>
              </w:rPr>
            </w:pPr>
            <w:r w:rsidRPr="00C01AE6">
              <w:rPr>
                <w:sz w:val="22"/>
                <w:szCs w:val="22"/>
                <w:lang w:val="sr-Latn-ME"/>
              </w:rPr>
              <w:t>1 ml</w:t>
            </w:r>
          </w:p>
        </w:tc>
        <w:tc>
          <w:tcPr>
            <w:tcW w:w="1276" w:type="dxa"/>
            <w:tcBorders>
              <w:top w:val="single" w:sz="6" w:space="0" w:color="000000"/>
              <w:left w:val="double" w:sz="1" w:space="0" w:color="000000"/>
              <w:bottom w:val="single" w:sz="6" w:space="0" w:color="000000"/>
              <w:right w:val="single" w:sz="6" w:space="0" w:color="000000"/>
            </w:tcBorders>
          </w:tcPr>
          <w:p w14:paraId="0D1986FF" w14:textId="77777777" w:rsidR="00D901C1" w:rsidRPr="00C01AE6" w:rsidRDefault="00D901C1" w:rsidP="00655C9D">
            <w:pPr>
              <w:widowControl w:val="0"/>
              <w:autoSpaceDE w:val="0"/>
              <w:autoSpaceDN w:val="0"/>
              <w:spacing w:line="213" w:lineRule="exact"/>
              <w:ind w:left="88"/>
              <w:rPr>
                <w:sz w:val="22"/>
                <w:szCs w:val="22"/>
                <w:lang w:val="sr-Latn-ME"/>
              </w:rPr>
            </w:pPr>
            <w:r w:rsidRPr="00C01AE6">
              <w:rPr>
                <w:sz w:val="22"/>
                <w:szCs w:val="22"/>
                <w:lang w:val="sr-Latn-ME"/>
              </w:rPr>
              <w:t>15 mg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5C9FAF" w14:textId="77777777" w:rsidR="00D901C1" w:rsidRPr="00C01AE6" w:rsidRDefault="00D901C1" w:rsidP="00655C9D">
            <w:pPr>
              <w:widowControl w:val="0"/>
              <w:autoSpaceDE w:val="0"/>
              <w:autoSpaceDN w:val="0"/>
              <w:spacing w:line="213" w:lineRule="exact"/>
              <w:ind w:left="95"/>
              <w:rPr>
                <w:sz w:val="22"/>
                <w:szCs w:val="22"/>
                <w:lang w:val="sr-Latn-ME"/>
              </w:rPr>
            </w:pPr>
            <w:r w:rsidRPr="00C01AE6">
              <w:rPr>
                <w:sz w:val="22"/>
                <w:szCs w:val="22"/>
                <w:lang w:val="sr-Latn-ME"/>
              </w:rPr>
              <w:t>0,38 ml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2766B526" w14:textId="77777777" w:rsidR="00D901C1" w:rsidRPr="00C01AE6" w:rsidRDefault="00D901C1" w:rsidP="00655C9D">
            <w:pPr>
              <w:widowControl w:val="0"/>
              <w:autoSpaceDE w:val="0"/>
              <w:autoSpaceDN w:val="0"/>
              <w:spacing w:line="213" w:lineRule="exact"/>
              <w:ind w:left="95"/>
              <w:rPr>
                <w:sz w:val="22"/>
                <w:szCs w:val="22"/>
                <w:lang w:val="sr-Latn-ME"/>
              </w:rPr>
            </w:pPr>
            <w:r w:rsidRPr="00C01AE6">
              <w:rPr>
                <w:sz w:val="22"/>
                <w:szCs w:val="22"/>
                <w:lang w:val="sr-Latn-ME"/>
              </w:rPr>
              <w:t>0,45 ml</w:t>
            </w:r>
          </w:p>
        </w:tc>
      </w:tr>
      <w:tr w:rsidR="00D901C1" w:rsidRPr="00C01AE6" w14:paraId="4CABDE5F" w14:textId="77777777" w:rsidTr="00655C9D">
        <w:trPr>
          <w:trHeight w:val="281"/>
        </w:trPr>
        <w:tc>
          <w:tcPr>
            <w:tcW w:w="941" w:type="dxa"/>
            <w:tcBorders>
              <w:top w:val="single" w:sz="6" w:space="0" w:color="000000"/>
              <w:bottom w:val="single" w:sz="6" w:space="0" w:color="000000"/>
              <w:right w:val="double" w:sz="1" w:space="0" w:color="000000"/>
            </w:tcBorders>
          </w:tcPr>
          <w:p w14:paraId="7AD580A5" w14:textId="77777777" w:rsidR="00D901C1" w:rsidRPr="00C01AE6" w:rsidRDefault="00D901C1" w:rsidP="00655C9D">
            <w:pPr>
              <w:widowControl w:val="0"/>
              <w:autoSpaceDE w:val="0"/>
              <w:autoSpaceDN w:val="0"/>
              <w:spacing w:line="214" w:lineRule="exact"/>
              <w:ind w:left="144" w:right="129"/>
              <w:jc w:val="center"/>
              <w:rPr>
                <w:b/>
                <w:sz w:val="22"/>
                <w:szCs w:val="22"/>
                <w:lang w:val="sr-Latn-ME"/>
              </w:rPr>
            </w:pPr>
            <w:r w:rsidRPr="00C01AE6">
              <w:rPr>
                <w:b/>
                <w:bCs/>
                <w:sz w:val="22"/>
                <w:szCs w:val="22"/>
                <w:lang w:val="sr-Latn-ME"/>
              </w:rPr>
              <w:t>16</w:t>
            </w:r>
          </w:p>
        </w:tc>
        <w:tc>
          <w:tcPr>
            <w:tcW w:w="1180" w:type="dxa"/>
            <w:tcBorders>
              <w:top w:val="single" w:sz="6" w:space="0" w:color="000000"/>
              <w:left w:val="double" w:sz="1" w:space="0" w:color="000000"/>
              <w:bottom w:val="single" w:sz="6" w:space="0" w:color="000000"/>
              <w:right w:val="single" w:sz="6" w:space="0" w:color="000000"/>
            </w:tcBorders>
          </w:tcPr>
          <w:p w14:paraId="6BB521A4" w14:textId="77777777" w:rsidR="00D901C1" w:rsidRPr="00C01AE6" w:rsidRDefault="00D901C1" w:rsidP="00655C9D">
            <w:pPr>
              <w:widowControl w:val="0"/>
              <w:autoSpaceDE w:val="0"/>
              <w:autoSpaceDN w:val="0"/>
              <w:spacing w:line="214" w:lineRule="exact"/>
              <w:ind w:left="90"/>
              <w:rPr>
                <w:sz w:val="22"/>
                <w:szCs w:val="22"/>
                <w:lang w:val="sr-Latn-ME"/>
              </w:rPr>
            </w:pPr>
            <w:r w:rsidRPr="00C01AE6">
              <w:rPr>
                <w:sz w:val="22"/>
                <w:szCs w:val="22"/>
                <w:lang w:val="sr-Latn-ME"/>
              </w:rPr>
              <w:t>32 mg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D87968" w14:textId="77777777" w:rsidR="00D901C1" w:rsidRPr="00C01AE6" w:rsidRDefault="00D901C1" w:rsidP="00655C9D">
            <w:pPr>
              <w:widowControl w:val="0"/>
              <w:autoSpaceDE w:val="0"/>
              <w:autoSpaceDN w:val="0"/>
              <w:spacing w:line="214" w:lineRule="exact"/>
              <w:ind w:left="96"/>
              <w:rPr>
                <w:sz w:val="22"/>
                <w:szCs w:val="22"/>
                <w:lang w:val="sr-Latn-ME"/>
              </w:rPr>
            </w:pPr>
            <w:r w:rsidRPr="00C01AE6">
              <w:rPr>
                <w:sz w:val="22"/>
                <w:szCs w:val="22"/>
                <w:lang w:val="sr-Latn-ME"/>
              </w:rPr>
              <w:t>0,80 ml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1" w:space="0" w:color="000000"/>
            </w:tcBorders>
          </w:tcPr>
          <w:p w14:paraId="71B642C0" w14:textId="77777777" w:rsidR="00D901C1" w:rsidRPr="00C01AE6" w:rsidRDefault="00D901C1" w:rsidP="00655C9D">
            <w:pPr>
              <w:widowControl w:val="0"/>
              <w:autoSpaceDE w:val="0"/>
              <w:autoSpaceDN w:val="0"/>
              <w:spacing w:line="214" w:lineRule="exact"/>
              <w:ind w:left="97"/>
              <w:rPr>
                <w:sz w:val="22"/>
                <w:szCs w:val="22"/>
                <w:lang w:val="sr-Latn-ME"/>
              </w:rPr>
            </w:pPr>
            <w:r w:rsidRPr="00C01AE6">
              <w:rPr>
                <w:sz w:val="22"/>
                <w:szCs w:val="22"/>
                <w:lang w:val="sr-Latn-ME"/>
              </w:rPr>
              <w:t>1 ml</w:t>
            </w:r>
          </w:p>
        </w:tc>
        <w:tc>
          <w:tcPr>
            <w:tcW w:w="1276" w:type="dxa"/>
            <w:tcBorders>
              <w:top w:val="single" w:sz="6" w:space="0" w:color="000000"/>
              <w:left w:val="double" w:sz="1" w:space="0" w:color="000000"/>
              <w:bottom w:val="single" w:sz="6" w:space="0" w:color="000000"/>
              <w:right w:val="single" w:sz="6" w:space="0" w:color="000000"/>
            </w:tcBorders>
          </w:tcPr>
          <w:p w14:paraId="782BB3E3" w14:textId="77777777" w:rsidR="00D901C1" w:rsidRPr="00C01AE6" w:rsidRDefault="00D901C1" w:rsidP="00655C9D">
            <w:pPr>
              <w:widowControl w:val="0"/>
              <w:autoSpaceDE w:val="0"/>
              <w:autoSpaceDN w:val="0"/>
              <w:spacing w:line="214" w:lineRule="exact"/>
              <w:ind w:left="88"/>
              <w:rPr>
                <w:sz w:val="22"/>
                <w:szCs w:val="22"/>
                <w:lang w:val="sr-Latn-ME"/>
              </w:rPr>
            </w:pPr>
            <w:r w:rsidRPr="00C01AE6">
              <w:rPr>
                <w:sz w:val="22"/>
                <w:szCs w:val="22"/>
                <w:lang w:val="sr-Latn-ME"/>
              </w:rPr>
              <w:t>16 mg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A0FA49" w14:textId="77777777" w:rsidR="00D901C1" w:rsidRPr="00C01AE6" w:rsidRDefault="00D901C1" w:rsidP="00655C9D">
            <w:pPr>
              <w:widowControl w:val="0"/>
              <w:autoSpaceDE w:val="0"/>
              <w:autoSpaceDN w:val="0"/>
              <w:spacing w:line="214" w:lineRule="exact"/>
              <w:ind w:left="95"/>
              <w:rPr>
                <w:sz w:val="22"/>
                <w:szCs w:val="22"/>
                <w:lang w:val="sr-Latn-ME"/>
              </w:rPr>
            </w:pPr>
            <w:r w:rsidRPr="00C01AE6">
              <w:rPr>
                <w:sz w:val="22"/>
                <w:szCs w:val="22"/>
                <w:lang w:val="sr-Latn-ME"/>
              </w:rPr>
              <w:t>0,40 ml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1DAE8EE0" w14:textId="77777777" w:rsidR="00D901C1" w:rsidRPr="00C01AE6" w:rsidRDefault="00D901C1" w:rsidP="00655C9D">
            <w:pPr>
              <w:widowControl w:val="0"/>
              <w:autoSpaceDE w:val="0"/>
              <w:autoSpaceDN w:val="0"/>
              <w:spacing w:line="214" w:lineRule="exact"/>
              <w:ind w:left="95"/>
              <w:rPr>
                <w:sz w:val="22"/>
                <w:szCs w:val="22"/>
                <w:lang w:val="sr-Latn-ME"/>
              </w:rPr>
            </w:pPr>
            <w:r w:rsidRPr="00C01AE6">
              <w:rPr>
                <w:sz w:val="22"/>
                <w:szCs w:val="22"/>
                <w:lang w:val="sr-Latn-ME"/>
              </w:rPr>
              <w:t>0,45 ml</w:t>
            </w:r>
          </w:p>
        </w:tc>
      </w:tr>
      <w:tr w:rsidR="00D901C1" w:rsidRPr="00C01AE6" w14:paraId="1B9F8807" w14:textId="77777777" w:rsidTr="00655C9D">
        <w:trPr>
          <w:trHeight w:val="280"/>
        </w:trPr>
        <w:tc>
          <w:tcPr>
            <w:tcW w:w="941" w:type="dxa"/>
            <w:tcBorders>
              <w:top w:val="single" w:sz="6" w:space="0" w:color="000000"/>
              <w:bottom w:val="single" w:sz="6" w:space="0" w:color="000000"/>
              <w:right w:val="double" w:sz="1" w:space="0" w:color="000000"/>
            </w:tcBorders>
          </w:tcPr>
          <w:p w14:paraId="787EC8C9" w14:textId="77777777" w:rsidR="00D901C1" w:rsidRPr="00C01AE6" w:rsidRDefault="00D901C1" w:rsidP="00655C9D">
            <w:pPr>
              <w:widowControl w:val="0"/>
              <w:autoSpaceDE w:val="0"/>
              <w:autoSpaceDN w:val="0"/>
              <w:spacing w:line="212" w:lineRule="exact"/>
              <w:ind w:left="144" w:right="129"/>
              <w:jc w:val="center"/>
              <w:rPr>
                <w:b/>
                <w:sz w:val="22"/>
                <w:szCs w:val="22"/>
                <w:lang w:val="sr-Latn-ME"/>
              </w:rPr>
            </w:pPr>
            <w:r w:rsidRPr="00C01AE6">
              <w:rPr>
                <w:b/>
                <w:bCs/>
                <w:sz w:val="22"/>
                <w:szCs w:val="22"/>
                <w:lang w:val="sr-Latn-ME"/>
              </w:rPr>
              <w:t>17</w:t>
            </w:r>
          </w:p>
        </w:tc>
        <w:tc>
          <w:tcPr>
            <w:tcW w:w="1180" w:type="dxa"/>
            <w:tcBorders>
              <w:top w:val="single" w:sz="6" w:space="0" w:color="000000"/>
              <w:left w:val="double" w:sz="1" w:space="0" w:color="000000"/>
              <w:bottom w:val="single" w:sz="6" w:space="0" w:color="000000"/>
              <w:right w:val="single" w:sz="6" w:space="0" w:color="000000"/>
            </w:tcBorders>
          </w:tcPr>
          <w:p w14:paraId="32E9C4E6" w14:textId="77777777" w:rsidR="00D901C1" w:rsidRPr="00C01AE6" w:rsidRDefault="00D901C1" w:rsidP="00655C9D">
            <w:pPr>
              <w:widowControl w:val="0"/>
              <w:autoSpaceDE w:val="0"/>
              <w:autoSpaceDN w:val="0"/>
              <w:spacing w:line="212" w:lineRule="exact"/>
              <w:ind w:left="90"/>
              <w:rPr>
                <w:sz w:val="22"/>
                <w:szCs w:val="22"/>
                <w:lang w:val="sr-Latn-ME"/>
              </w:rPr>
            </w:pPr>
            <w:r w:rsidRPr="00C01AE6">
              <w:rPr>
                <w:sz w:val="22"/>
                <w:szCs w:val="22"/>
                <w:lang w:val="sr-Latn-ME"/>
              </w:rPr>
              <w:t>34 mg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338B63" w14:textId="77777777" w:rsidR="00D901C1" w:rsidRPr="00C01AE6" w:rsidRDefault="00D901C1" w:rsidP="00655C9D">
            <w:pPr>
              <w:widowControl w:val="0"/>
              <w:autoSpaceDE w:val="0"/>
              <w:autoSpaceDN w:val="0"/>
              <w:spacing w:line="212" w:lineRule="exact"/>
              <w:ind w:left="96"/>
              <w:rPr>
                <w:sz w:val="22"/>
                <w:szCs w:val="22"/>
                <w:lang w:val="sr-Latn-ME"/>
              </w:rPr>
            </w:pPr>
            <w:r w:rsidRPr="00C01AE6">
              <w:rPr>
                <w:sz w:val="22"/>
                <w:szCs w:val="22"/>
                <w:lang w:val="sr-Latn-ME"/>
              </w:rPr>
              <w:t>0,85 ml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1" w:space="0" w:color="000000"/>
            </w:tcBorders>
          </w:tcPr>
          <w:p w14:paraId="4D773B04" w14:textId="77777777" w:rsidR="00D901C1" w:rsidRPr="00C01AE6" w:rsidRDefault="00D901C1" w:rsidP="00655C9D">
            <w:pPr>
              <w:widowControl w:val="0"/>
              <w:autoSpaceDE w:val="0"/>
              <w:autoSpaceDN w:val="0"/>
              <w:spacing w:line="212" w:lineRule="exact"/>
              <w:ind w:left="97"/>
              <w:rPr>
                <w:sz w:val="22"/>
                <w:szCs w:val="22"/>
                <w:lang w:val="sr-Latn-ME"/>
              </w:rPr>
            </w:pPr>
            <w:r w:rsidRPr="00C01AE6">
              <w:rPr>
                <w:sz w:val="22"/>
                <w:szCs w:val="22"/>
                <w:lang w:val="sr-Latn-ME"/>
              </w:rPr>
              <w:t>1 ml</w:t>
            </w:r>
          </w:p>
        </w:tc>
        <w:tc>
          <w:tcPr>
            <w:tcW w:w="1276" w:type="dxa"/>
            <w:tcBorders>
              <w:top w:val="single" w:sz="6" w:space="0" w:color="000000"/>
              <w:left w:val="double" w:sz="1" w:space="0" w:color="000000"/>
              <w:bottom w:val="single" w:sz="6" w:space="0" w:color="000000"/>
              <w:right w:val="single" w:sz="6" w:space="0" w:color="000000"/>
            </w:tcBorders>
          </w:tcPr>
          <w:p w14:paraId="721FF16D" w14:textId="77777777" w:rsidR="00D901C1" w:rsidRPr="00C01AE6" w:rsidRDefault="00D901C1" w:rsidP="00655C9D">
            <w:pPr>
              <w:widowControl w:val="0"/>
              <w:autoSpaceDE w:val="0"/>
              <w:autoSpaceDN w:val="0"/>
              <w:spacing w:line="212" w:lineRule="exact"/>
              <w:ind w:left="88"/>
              <w:rPr>
                <w:sz w:val="22"/>
                <w:szCs w:val="22"/>
                <w:lang w:val="sr-Latn-ME"/>
              </w:rPr>
            </w:pPr>
            <w:r w:rsidRPr="00C01AE6">
              <w:rPr>
                <w:sz w:val="22"/>
                <w:szCs w:val="22"/>
                <w:lang w:val="sr-Latn-ME"/>
              </w:rPr>
              <w:t>17 mg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7DCECB" w14:textId="77777777" w:rsidR="00D901C1" w:rsidRPr="00C01AE6" w:rsidRDefault="00D901C1" w:rsidP="00655C9D">
            <w:pPr>
              <w:widowControl w:val="0"/>
              <w:autoSpaceDE w:val="0"/>
              <w:autoSpaceDN w:val="0"/>
              <w:spacing w:line="212" w:lineRule="exact"/>
              <w:ind w:left="95"/>
              <w:rPr>
                <w:sz w:val="22"/>
                <w:szCs w:val="22"/>
                <w:lang w:val="sr-Latn-ME"/>
              </w:rPr>
            </w:pPr>
            <w:r w:rsidRPr="00C01AE6">
              <w:rPr>
                <w:sz w:val="22"/>
                <w:szCs w:val="22"/>
                <w:lang w:val="sr-Latn-ME"/>
              </w:rPr>
              <w:t>0,43 ml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4B7326AD" w14:textId="77777777" w:rsidR="00D901C1" w:rsidRPr="00C01AE6" w:rsidRDefault="00D901C1" w:rsidP="00655C9D">
            <w:pPr>
              <w:widowControl w:val="0"/>
              <w:autoSpaceDE w:val="0"/>
              <w:autoSpaceDN w:val="0"/>
              <w:spacing w:line="212" w:lineRule="exact"/>
              <w:ind w:left="95"/>
              <w:rPr>
                <w:sz w:val="22"/>
                <w:szCs w:val="22"/>
                <w:lang w:val="sr-Latn-ME"/>
              </w:rPr>
            </w:pPr>
            <w:r w:rsidRPr="00C01AE6">
              <w:rPr>
                <w:sz w:val="22"/>
                <w:szCs w:val="22"/>
                <w:lang w:val="sr-Latn-ME"/>
              </w:rPr>
              <w:t>0,45 ml</w:t>
            </w:r>
          </w:p>
        </w:tc>
      </w:tr>
      <w:tr w:rsidR="00D901C1" w:rsidRPr="00C01AE6" w14:paraId="4CFE7D2B" w14:textId="77777777" w:rsidTr="00655C9D">
        <w:trPr>
          <w:trHeight w:val="280"/>
        </w:trPr>
        <w:tc>
          <w:tcPr>
            <w:tcW w:w="941" w:type="dxa"/>
            <w:tcBorders>
              <w:top w:val="single" w:sz="6" w:space="0" w:color="000000"/>
              <w:bottom w:val="single" w:sz="6" w:space="0" w:color="000000"/>
              <w:right w:val="double" w:sz="1" w:space="0" w:color="000000"/>
            </w:tcBorders>
          </w:tcPr>
          <w:p w14:paraId="52322B77" w14:textId="77777777" w:rsidR="00D901C1" w:rsidRPr="00C01AE6" w:rsidRDefault="00D901C1" w:rsidP="00655C9D">
            <w:pPr>
              <w:widowControl w:val="0"/>
              <w:autoSpaceDE w:val="0"/>
              <w:autoSpaceDN w:val="0"/>
              <w:spacing w:line="212" w:lineRule="exact"/>
              <w:ind w:left="144" w:right="129"/>
              <w:jc w:val="center"/>
              <w:rPr>
                <w:b/>
                <w:sz w:val="22"/>
                <w:szCs w:val="22"/>
                <w:lang w:val="sr-Latn-ME"/>
              </w:rPr>
            </w:pPr>
            <w:r w:rsidRPr="00C01AE6">
              <w:rPr>
                <w:b/>
                <w:bCs/>
                <w:sz w:val="22"/>
                <w:szCs w:val="22"/>
                <w:lang w:val="sr-Latn-ME"/>
              </w:rPr>
              <w:t>18</w:t>
            </w:r>
          </w:p>
        </w:tc>
        <w:tc>
          <w:tcPr>
            <w:tcW w:w="1180" w:type="dxa"/>
            <w:tcBorders>
              <w:top w:val="single" w:sz="6" w:space="0" w:color="000000"/>
              <w:left w:val="double" w:sz="1" w:space="0" w:color="000000"/>
              <w:bottom w:val="single" w:sz="6" w:space="0" w:color="000000"/>
              <w:right w:val="single" w:sz="6" w:space="0" w:color="000000"/>
            </w:tcBorders>
          </w:tcPr>
          <w:p w14:paraId="69BA5389" w14:textId="77777777" w:rsidR="00D901C1" w:rsidRPr="00C01AE6" w:rsidRDefault="00D901C1" w:rsidP="00655C9D">
            <w:pPr>
              <w:widowControl w:val="0"/>
              <w:autoSpaceDE w:val="0"/>
              <w:autoSpaceDN w:val="0"/>
              <w:spacing w:line="212" w:lineRule="exact"/>
              <w:ind w:left="90"/>
              <w:rPr>
                <w:sz w:val="22"/>
                <w:szCs w:val="22"/>
                <w:lang w:val="sr-Latn-ME"/>
              </w:rPr>
            </w:pPr>
            <w:r w:rsidRPr="00C01AE6">
              <w:rPr>
                <w:sz w:val="22"/>
                <w:szCs w:val="22"/>
                <w:lang w:val="sr-Latn-ME"/>
              </w:rPr>
              <w:t>36 mg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23B0C6" w14:textId="77777777" w:rsidR="00D901C1" w:rsidRPr="00C01AE6" w:rsidRDefault="00D901C1" w:rsidP="00655C9D">
            <w:pPr>
              <w:widowControl w:val="0"/>
              <w:autoSpaceDE w:val="0"/>
              <w:autoSpaceDN w:val="0"/>
              <w:spacing w:line="212" w:lineRule="exact"/>
              <w:ind w:left="96"/>
              <w:rPr>
                <w:sz w:val="22"/>
                <w:szCs w:val="22"/>
                <w:lang w:val="sr-Latn-ME"/>
              </w:rPr>
            </w:pPr>
            <w:r w:rsidRPr="00C01AE6">
              <w:rPr>
                <w:sz w:val="22"/>
                <w:szCs w:val="22"/>
                <w:lang w:val="sr-Latn-ME"/>
              </w:rPr>
              <w:t>0,90 ml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1" w:space="0" w:color="000000"/>
            </w:tcBorders>
          </w:tcPr>
          <w:p w14:paraId="70415506" w14:textId="77777777" w:rsidR="00D901C1" w:rsidRPr="00C01AE6" w:rsidRDefault="00D901C1" w:rsidP="00655C9D">
            <w:pPr>
              <w:widowControl w:val="0"/>
              <w:autoSpaceDE w:val="0"/>
              <w:autoSpaceDN w:val="0"/>
              <w:spacing w:line="212" w:lineRule="exact"/>
              <w:ind w:left="97"/>
              <w:rPr>
                <w:sz w:val="22"/>
                <w:szCs w:val="22"/>
                <w:lang w:val="sr-Latn-ME"/>
              </w:rPr>
            </w:pPr>
            <w:r w:rsidRPr="00C01AE6">
              <w:rPr>
                <w:sz w:val="22"/>
                <w:szCs w:val="22"/>
                <w:lang w:val="sr-Latn-ME"/>
              </w:rPr>
              <w:t>1 ml</w:t>
            </w:r>
          </w:p>
        </w:tc>
        <w:tc>
          <w:tcPr>
            <w:tcW w:w="1276" w:type="dxa"/>
            <w:tcBorders>
              <w:top w:val="single" w:sz="6" w:space="0" w:color="000000"/>
              <w:left w:val="double" w:sz="1" w:space="0" w:color="000000"/>
              <w:bottom w:val="single" w:sz="6" w:space="0" w:color="000000"/>
              <w:right w:val="single" w:sz="6" w:space="0" w:color="000000"/>
            </w:tcBorders>
          </w:tcPr>
          <w:p w14:paraId="1567B0C2" w14:textId="77777777" w:rsidR="00D901C1" w:rsidRPr="00C01AE6" w:rsidRDefault="00D901C1" w:rsidP="00655C9D">
            <w:pPr>
              <w:widowControl w:val="0"/>
              <w:autoSpaceDE w:val="0"/>
              <w:autoSpaceDN w:val="0"/>
              <w:spacing w:line="212" w:lineRule="exact"/>
              <w:ind w:left="88"/>
              <w:rPr>
                <w:sz w:val="22"/>
                <w:szCs w:val="22"/>
                <w:lang w:val="sr-Latn-ME"/>
              </w:rPr>
            </w:pPr>
            <w:r w:rsidRPr="00C01AE6">
              <w:rPr>
                <w:sz w:val="22"/>
                <w:szCs w:val="22"/>
                <w:lang w:val="sr-Latn-ME"/>
              </w:rPr>
              <w:t>18 mg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F4B368" w14:textId="77777777" w:rsidR="00D901C1" w:rsidRPr="00C01AE6" w:rsidRDefault="00D901C1" w:rsidP="00655C9D">
            <w:pPr>
              <w:widowControl w:val="0"/>
              <w:autoSpaceDE w:val="0"/>
              <w:autoSpaceDN w:val="0"/>
              <w:spacing w:line="212" w:lineRule="exact"/>
              <w:ind w:left="95"/>
              <w:rPr>
                <w:sz w:val="22"/>
                <w:szCs w:val="22"/>
                <w:lang w:val="sr-Latn-ME"/>
              </w:rPr>
            </w:pPr>
            <w:r w:rsidRPr="00C01AE6">
              <w:rPr>
                <w:sz w:val="22"/>
                <w:szCs w:val="22"/>
                <w:lang w:val="sr-Latn-ME"/>
              </w:rPr>
              <w:t>0,45 ml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579367B5" w14:textId="77777777" w:rsidR="00D901C1" w:rsidRPr="00C01AE6" w:rsidRDefault="00D901C1" w:rsidP="00655C9D">
            <w:pPr>
              <w:widowControl w:val="0"/>
              <w:autoSpaceDE w:val="0"/>
              <w:autoSpaceDN w:val="0"/>
              <w:spacing w:line="212" w:lineRule="exact"/>
              <w:ind w:left="95"/>
              <w:rPr>
                <w:sz w:val="22"/>
                <w:szCs w:val="22"/>
                <w:lang w:val="sr-Latn-ME"/>
              </w:rPr>
            </w:pPr>
            <w:r w:rsidRPr="00C01AE6">
              <w:rPr>
                <w:sz w:val="22"/>
                <w:szCs w:val="22"/>
                <w:lang w:val="sr-Latn-ME"/>
              </w:rPr>
              <w:t>0,45 ml</w:t>
            </w:r>
          </w:p>
        </w:tc>
      </w:tr>
      <w:tr w:rsidR="00D901C1" w:rsidRPr="00C01AE6" w14:paraId="735389A2" w14:textId="77777777" w:rsidTr="00655C9D">
        <w:trPr>
          <w:trHeight w:val="282"/>
        </w:trPr>
        <w:tc>
          <w:tcPr>
            <w:tcW w:w="941" w:type="dxa"/>
            <w:tcBorders>
              <w:top w:val="single" w:sz="6" w:space="0" w:color="000000"/>
              <w:bottom w:val="single" w:sz="6" w:space="0" w:color="000000"/>
              <w:right w:val="double" w:sz="1" w:space="0" w:color="000000"/>
            </w:tcBorders>
          </w:tcPr>
          <w:p w14:paraId="5A14C278" w14:textId="77777777" w:rsidR="00D901C1" w:rsidRPr="00C01AE6" w:rsidRDefault="00D901C1" w:rsidP="00655C9D">
            <w:pPr>
              <w:widowControl w:val="0"/>
              <w:autoSpaceDE w:val="0"/>
              <w:autoSpaceDN w:val="0"/>
              <w:spacing w:line="212" w:lineRule="exact"/>
              <w:ind w:left="144" w:right="129"/>
              <w:jc w:val="center"/>
              <w:rPr>
                <w:b/>
                <w:sz w:val="22"/>
                <w:szCs w:val="22"/>
                <w:lang w:val="sr-Latn-ME"/>
              </w:rPr>
            </w:pPr>
            <w:r w:rsidRPr="00C01AE6">
              <w:rPr>
                <w:b/>
                <w:bCs/>
                <w:sz w:val="22"/>
                <w:szCs w:val="22"/>
                <w:lang w:val="sr-Latn-ME"/>
              </w:rPr>
              <w:t>19</w:t>
            </w:r>
          </w:p>
        </w:tc>
        <w:tc>
          <w:tcPr>
            <w:tcW w:w="1180" w:type="dxa"/>
            <w:tcBorders>
              <w:top w:val="single" w:sz="6" w:space="0" w:color="000000"/>
              <w:left w:val="double" w:sz="1" w:space="0" w:color="000000"/>
              <w:bottom w:val="single" w:sz="6" w:space="0" w:color="000000"/>
              <w:right w:val="single" w:sz="6" w:space="0" w:color="000000"/>
            </w:tcBorders>
          </w:tcPr>
          <w:p w14:paraId="69756C5A" w14:textId="77777777" w:rsidR="00D901C1" w:rsidRPr="00C01AE6" w:rsidRDefault="00D901C1" w:rsidP="00655C9D">
            <w:pPr>
              <w:widowControl w:val="0"/>
              <w:autoSpaceDE w:val="0"/>
              <w:autoSpaceDN w:val="0"/>
              <w:spacing w:line="212" w:lineRule="exact"/>
              <w:ind w:left="90"/>
              <w:rPr>
                <w:sz w:val="22"/>
                <w:szCs w:val="22"/>
                <w:lang w:val="sr-Latn-ME"/>
              </w:rPr>
            </w:pPr>
            <w:r w:rsidRPr="00C01AE6">
              <w:rPr>
                <w:sz w:val="22"/>
                <w:szCs w:val="22"/>
                <w:lang w:val="sr-Latn-ME"/>
              </w:rPr>
              <w:t>38 mg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CAB513" w14:textId="77777777" w:rsidR="00D901C1" w:rsidRPr="00C01AE6" w:rsidRDefault="00D901C1" w:rsidP="00655C9D">
            <w:pPr>
              <w:widowControl w:val="0"/>
              <w:autoSpaceDE w:val="0"/>
              <w:autoSpaceDN w:val="0"/>
              <w:spacing w:line="212" w:lineRule="exact"/>
              <w:ind w:left="96"/>
              <w:rPr>
                <w:sz w:val="22"/>
                <w:szCs w:val="22"/>
                <w:lang w:val="sr-Latn-ME"/>
              </w:rPr>
            </w:pPr>
            <w:r w:rsidRPr="00C01AE6">
              <w:rPr>
                <w:sz w:val="22"/>
                <w:szCs w:val="22"/>
                <w:lang w:val="sr-Latn-ME"/>
              </w:rPr>
              <w:t>0,95 ml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1" w:space="0" w:color="000000"/>
            </w:tcBorders>
          </w:tcPr>
          <w:p w14:paraId="739187D2" w14:textId="77777777" w:rsidR="00D901C1" w:rsidRPr="00C01AE6" w:rsidRDefault="00D901C1" w:rsidP="00655C9D">
            <w:pPr>
              <w:widowControl w:val="0"/>
              <w:autoSpaceDE w:val="0"/>
              <w:autoSpaceDN w:val="0"/>
              <w:spacing w:line="212" w:lineRule="exact"/>
              <w:ind w:left="97"/>
              <w:rPr>
                <w:sz w:val="22"/>
                <w:szCs w:val="22"/>
                <w:lang w:val="sr-Latn-ME"/>
              </w:rPr>
            </w:pPr>
            <w:r w:rsidRPr="00C01AE6">
              <w:rPr>
                <w:sz w:val="22"/>
                <w:szCs w:val="22"/>
                <w:lang w:val="sr-Latn-ME"/>
              </w:rPr>
              <w:t>1 ml</w:t>
            </w:r>
          </w:p>
        </w:tc>
        <w:tc>
          <w:tcPr>
            <w:tcW w:w="1276" w:type="dxa"/>
            <w:tcBorders>
              <w:top w:val="single" w:sz="6" w:space="0" w:color="000000"/>
              <w:left w:val="double" w:sz="1" w:space="0" w:color="000000"/>
              <w:bottom w:val="single" w:sz="6" w:space="0" w:color="000000"/>
              <w:right w:val="single" w:sz="6" w:space="0" w:color="000000"/>
            </w:tcBorders>
          </w:tcPr>
          <w:p w14:paraId="31146F0A" w14:textId="77777777" w:rsidR="00D901C1" w:rsidRPr="00C01AE6" w:rsidRDefault="00D901C1" w:rsidP="00655C9D">
            <w:pPr>
              <w:widowControl w:val="0"/>
              <w:autoSpaceDE w:val="0"/>
              <w:autoSpaceDN w:val="0"/>
              <w:spacing w:line="212" w:lineRule="exact"/>
              <w:ind w:left="88"/>
              <w:rPr>
                <w:sz w:val="22"/>
                <w:szCs w:val="22"/>
                <w:lang w:val="sr-Latn-ME"/>
              </w:rPr>
            </w:pPr>
            <w:r w:rsidRPr="00C01AE6">
              <w:rPr>
                <w:sz w:val="22"/>
                <w:szCs w:val="22"/>
                <w:lang w:val="sr-Latn-ME"/>
              </w:rPr>
              <w:t>19 mg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F48DE6" w14:textId="77777777" w:rsidR="00D901C1" w:rsidRPr="00C01AE6" w:rsidRDefault="00D901C1" w:rsidP="00655C9D">
            <w:pPr>
              <w:widowControl w:val="0"/>
              <w:autoSpaceDE w:val="0"/>
              <w:autoSpaceDN w:val="0"/>
              <w:spacing w:line="212" w:lineRule="exact"/>
              <w:ind w:left="95"/>
              <w:rPr>
                <w:sz w:val="22"/>
                <w:szCs w:val="22"/>
                <w:lang w:val="sr-Latn-ME"/>
              </w:rPr>
            </w:pPr>
            <w:r w:rsidRPr="00C01AE6">
              <w:rPr>
                <w:sz w:val="22"/>
                <w:szCs w:val="22"/>
                <w:lang w:val="sr-Latn-ME"/>
              </w:rPr>
              <w:t>0,48 ml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7BF4A464" w14:textId="77777777" w:rsidR="00D901C1" w:rsidRPr="00C01AE6" w:rsidRDefault="00D901C1" w:rsidP="00655C9D">
            <w:pPr>
              <w:widowControl w:val="0"/>
              <w:autoSpaceDE w:val="0"/>
              <w:autoSpaceDN w:val="0"/>
              <w:spacing w:line="212" w:lineRule="exact"/>
              <w:ind w:left="95"/>
              <w:rPr>
                <w:sz w:val="22"/>
                <w:szCs w:val="22"/>
                <w:lang w:val="sr-Latn-ME"/>
              </w:rPr>
            </w:pPr>
            <w:r w:rsidRPr="00C01AE6">
              <w:rPr>
                <w:sz w:val="22"/>
                <w:szCs w:val="22"/>
                <w:lang w:val="sr-Latn-ME"/>
              </w:rPr>
              <w:t>0,7 ml</w:t>
            </w:r>
          </w:p>
        </w:tc>
      </w:tr>
      <w:tr w:rsidR="00D901C1" w:rsidRPr="00C01AE6" w14:paraId="40D6F05F" w14:textId="77777777" w:rsidTr="00655C9D">
        <w:trPr>
          <w:trHeight w:val="280"/>
        </w:trPr>
        <w:tc>
          <w:tcPr>
            <w:tcW w:w="941" w:type="dxa"/>
            <w:tcBorders>
              <w:top w:val="single" w:sz="6" w:space="0" w:color="000000"/>
              <w:bottom w:val="single" w:sz="6" w:space="0" w:color="000000"/>
              <w:right w:val="double" w:sz="1" w:space="0" w:color="000000"/>
            </w:tcBorders>
          </w:tcPr>
          <w:p w14:paraId="66D40F0D" w14:textId="77777777" w:rsidR="00D901C1" w:rsidRPr="00C01AE6" w:rsidRDefault="00D901C1" w:rsidP="00655C9D">
            <w:pPr>
              <w:widowControl w:val="0"/>
              <w:autoSpaceDE w:val="0"/>
              <w:autoSpaceDN w:val="0"/>
              <w:spacing w:line="212" w:lineRule="exact"/>
              <w:ind w:left="144" w:right="129"/>
              <w:jc w:val="center"/>
              <w:rPr>
                <w:b/>
                <w:sz w:val="22"/>
                <w:szCs w:val="22"/>
                <w:lang w:val="sr-Latn-ME"/>
              </w:rPr>
            </w:pPr>
            <w:r w:rsidRPr="00C01AE6">
              <w:rPr>
                <w:b/>
                <w:bCs/>
                <w:sz w:val="22"/>
                <w:szCs w:val="22"/>
                <w:lang w:val="sr-Latn-ME"/>
              </w:rPr>
              <w:t>20</w:t>
            </w:r>
          </w:p>
        </w:tc>
        <w:tc>
          <w:tcPr>
            <w:tcW w:w="1180" w:type="dxa"/>
            <w:tcBorders>
              <w:top w:val="single" w:sz="6" w:space="0" w:color="000000"/>
              <w:left w:val="double" w:sz="1" w:space="0" w:color="000000"/>
              <w:bottom w:val="single" w:sz="6" w:space="0" w:color="000000"/>
              <w:right w:val="single" w:sz="6" w:space="0" w:color="000000"/>
            </w:tcBorders>
          </w:tcPr>
          <w:p w14:paraId="705241A8" w14:textId="77777777" w:rsidR="00D901C1" w:rsidRPr="00C01AE6" w:rsidRDefault="00D901C1" w:rsidP="00655C9D">
            <w:pPr>
              <w:widowControl w:val="0"/>
              <w:autoSpaceDE w:val="0"/>
              <w:autoSpaceDN w:val="0"/>
              <w:spacing w:line="212" w:lineRule="exact"/>
              <w:ind w:left="90"/>
              <w:rPr>
                <w:sz w:val="22"/>
                <w:szCs w:val="22"/>
                <w:lang w:val="sr-Latn-ME"/>
              </w:rPr>
            </w:pPr>
            <w:r w:rsidRPr="00C01AE6">
              <w:rPr>
                <w:sz w:val="22"/>
                <w:szCs w:val="22"/>
                <w:lang w:val="sr-Latn-ME"/>
              </w:rPr>
              <w:t>40 mg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ADC55E" w14:textId="77777777" w:rsidR="00D901C1" w:rsidRPr="00C01AE6" w:rsidRDefault="00D901C1" w:rsidP="00655C9D">
            <w:pPr>
              <w:widowControl w:val="0"/>
              <w:autoSpaceDE w:val="0"/>
              <w:autoSpaceDN w:val="0"/>
              <w:spacing w:line="212" w:lineRule="exact"/>
              <w:ind w:left="96"/>
              <w:rPr>
                <w:sz w:val="22"/>
                <w:szCs w:val="22"/>
                <w:lang w:val="sr-Latn-ME"/>
              </w:rPr>
            </w:pPr>
            <w:r w:rsidRPr="00C01AE6">
              <w:rPr>
                <w:sz w:val="22"/>
                <w:szCs w:val="22"/>
                <w:lang w:val="sr-Latn-ME"/>
              </w:rPr>
              <w:t>1,00 ml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1" w:space="0" w:color="000000"/>
            </w:tcBorders>
          </w:tcPr>
          <w:p w14:paraId="0B795A07" w14:textId="77777777" w:rsidR="00D901C1" w:rsidRPr="00C01AE6" w:rsidRDefault="00D901C1" w:rsidP="00655C9D">
            <w:pPr>
              <w:widowControl w:val="0"/>
              <w:autoSpaceDE w:val="0"/>
              <w:autoSpaceDN w:val="0"/>
              <w:spacing w:line="212" w:lineRule="exact"/>
              <w:ind w:left="97"/>
              <w:rPr>
                <w:sz w:val="22"/>
                <w:szCs w:val="22"/>
                <w:lang w:val="sr-Latn-ME"/>
              </w:rPr>
            </w:pPr>
            <w:r w:rsidRPr="00C01AE6">
              <w:rPr>
                <w:sz w:val="22"/>
                <w:szCs w:val="22"/>
                <w:lang w:val="sr-Latn-ME"/>
              </w:rPr>
              <w:t>1 ml</w:t>
            </w:r>
          </w:p>
        </w:tc>
        <w:tc>
          <w:tcPr>
            <w:tcW w:w="1276" w:type="dxa"/>
            <w:tcBorders>
              <w:top w:val="single" w:sz="6" w:space="0" w:color="000000"/>
              <w:left w:val="double" w:sz="1" w:space="0" w:color="000000"/>
              <w:bottom w:val="single" w:sz="6" w:space="0" w:color="000000"/>
              <w:right w:val="single" w:sz="6" w:space="0" w:color="000000"/>
            </w:tcBorders>
          </w:tcPr>
          <w:p w14:paraId="497F7ED5" w14:textId="77777777" w:rsidR="00D901C1" w:rsidRPr="00C01AE6" w:rsidRDefault="00D901C1" w:rsidP="00655C9D">
            <w:pPr>
              <w:widowControl w:val="0"/>
              <w:autoSpaceDE w:val="0"/>
              <w:autoSpaceDN w:val="0"/>
              <w:spacing w:line="212" w:lineRule="exact"/>
              <w:ind w:left="88"/>
              <w:rPr>
                <w:sz w:val="22"/>
                <w:szCs w:val="22"/>
                <w:lang w:val="sr-Latn-ME"/>
              </w:rPr>
            </w:pPr>
            <w:r w:rsidRPr="00C01AE6">
              <w:rPr>
                <w:sz w:val="22"/>
                <w:szCs w:val="22"/>
                <w:lang w:val="sr-Latn-ME"/>
              </w:rPr>
              <w:t>20 mg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318560" w14:textId="77777777" w:rsidR="00D901C1" w:rsidRPr="00C01AE6" w:rsidRDefault="00D901C1" w:rsidP="00655C9D">
            <w:pPr>
              <w:widowControl w:val="0"/>
              <w:autoSpaceDE w:val="0"/>
              <w:autoSpaceDN w:val="0"/>
              <w:spacing w:line="212" w:lineRule="exact"/>
              <w:ind w:left="95"/>
              <w:rPr>
                <w:sz w:val="22"/>
                <w:szCs w:val="22"/>
                <w:lang w:val="sr-Latn-ME"/>
              </w:rPr>
            </w:pPr>
            <w:r w:rsidRPr="00C01AE6">
              <w:rPr>
                <w:sz w:val="22"/>
                <w:szCs w:val="22"/>
                <w:lang w:val="sr-Latn-ME"/>
              </w:rPr>
              <w:t>0,50 ml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75D67F1A" w14:textId="77777777" w:rsidR="00D901C1" w:rsidRPr="00C01AE6" w:rsidRDefault="00D901C1" w:rsidP="00655C9D">
            <w:pPr>
              <w:widowControl w:val="0"/>
              <w:autoSpaceDE w:val="0"/>
              <w:autoSpaceDN w:val="0"/>
              <w:spacing w:line="212" w:lineRule="exact"/>
              <w:ind w:left="95"/>
              <w:rPr>
                <w:sz w:val="22"/>
                <w:szCs w:val="22"/>
                <w:lang w:val="sr-Latn-ME"/>
              </w:rPr>
            </w:pPr>
            <w:r w:rsidRPr="00C01AE6">
              <w:rPr>
                <w:sz w:val="22"/>
                <w:szCs w:val="22"/>
                <w:lang w:val="sr-Latn-ME"/>
              </w:rPr>
              <w:t>0,7 ml</w:t>
            </w:r>
          </w:p>
        </w:tc>
      </w:tr>
      <w:tr w:rsidR="00D901C1" w:rsidRPr="00C01AE6" w14:paraId="35C61B40" w14:textId="77777777" w:rsidTr="00655C9D">
        <w:trPr>
          <w:trHeight w:val="281"/>
        </w:trPr>
        <w:tc>
          <w:tcPr>
            <w:tcW w:w="941" w:type="dxa"/>
            <w:tcBorders>
              <w:top w:val="single" w:sz="6" w:space="0" w:color="000000"/>
              <w:bottom w:val="single" w:sz="6" w:space="0" w:color="000000"/>
              <w:right w:val="double" w:sz="1" w:space="0" w:color="000000"/>
            </w:tcBorders>
          </w:tcPr>
          <w:p w14:paraId="10D043F5" w14:textId="77777777" w:rsidR="00D901C1" w:rsidRPr="00C01AE6" w:rsidRDefault="00D901C1" w:rsidP="00655C9D">
            <w:pPr>
              <w:widowControl w:val="0"/>
              <w:autoSpaceDE w:val="0"/>
              <w:autoSpaceDN w:val="0"/>
              <w:spacing w:line="211" w:lineRule="exact"/>
              <w:ind w:left="144" w:right="129"/>
              <w:jc w:val="center"/>
              <w:rPr>
                <w:b/>
                <w:sz w:val="22"/>
                <w:szCs w:val="22"/>
                <w:lang w:val="sr-Latn-ME"/>
              </w:rPr>
            </w:pPr>
            <w:r w:rsidRPr="00C01AE6">
              <w:rPr>
                <w:b/>
                <w:bCs/>
                <w:sz w:val="22"/>
                <w:szCs w:val="22"/>
                <w:lang w:val="sr-Latn-ME"/>
              </w:rPr>
              <w:t>25</w:t>
            </w:r>
          </w:p>
        </w:tc>
        <w:tc>
          <w:tcPr>
            <w:tcW w:w="1180" w:type="dxa"/>
            <w:tcBorders>
              <w:top w:val="single" w:sz="6" w:space="0" w:color="000000"/>
              <w:left w:val="double" w:sz="1" w:space="0" w:color="000000"/>
              <w:bottom w:val="single" w:sz="6" w:space="0" w:color="000000"/>
              <w:right w:val="single" w:sz="6" w:space="0" w:color="000000"/>
            </w:tcBorders>
          </w:tcPr>
          <w:p w14:paraId="20CBC082" w14:textId="77777777" w:rsidR="00D901C1" w:rsidRPr="00C01AE6" w:rsidRDefault="00D901C1" w:rsidP="00655C9D">
            <w:pPr>
              <w:widowControl w:val="0"/>
              <w:autoSpaceDE w:val="0"/>
              <w:autoSpaceDN w:val="0"/>
              <w:spacing w:line="211" w:lineRule="exact"/>
              <w:ind w:left="90"/>
              <w:rPr>
                <w:sz w:val="22"/>
                <w:szCs w:val="22"/>
                <w:lang w:val="sr-Latn-ME"/>
              </w:rPr>
            </w:pPr>
            <w:r w:rsidRPr="00C01AE6">
              <w:rPr>
                <w:sz w:val="22"/>
                <w:szCs w:val="22"/>
                <w:lang w:val="sr-Latn-ME"/>
              </w:rPr>
              <w:t>50 mg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A4FF09" w14:textId="77777777" w:rsidR="00D901C1" w:rsidRPr="00C01AE6" w:rsidRDefault="00D901C1" w:rsidP="00655C9D">
            <w:pPr>
              <w:widowControl w:val="0"/>
              <w:autoSpaceDE w:val="0"/>
              <w:autoSpaceDN w:val="0"/>
              <w:spacing w:line="211" w:lineRule="exact"/>
              <w:ind w:left="96"/>
              <w:rPr>
                <w:sz w:val="22"/>
                <w:szCs w:val="22"/>
                <w:lang w:val="sr-Latn-ME"/>
              </w:rPr>
            </w:pPr>
            <w:r w:rsidRPr="00C01AE6">
              <w:rPr>
                <w:sz w:val="22"/>
                <w:szCs w:val="22"/>
                <w:lang w:val="sr-Latn-ME"/>
              </w:rPr>
              <w:t>0,50 ml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1" w:space="0" w:color="000000"/>
            </w:tcBorders>
          </w:tcPr>
          <w:p w14:paraId="2BD8E4DF" w14:textId="77777777" w:rsidR="00D901C1" w:rsidRPr="00C01AE6" w:rsidRDefault="00D901C1" w:rsidP="00655C9D">
            <w:pPr>
              <w:widowControl w:val="0"/>
              <w:autoSpaceDE w:val="0"/>
              <w:autoSpaceDN w:val="0"/>
              <w:spacing w:line="211" w:lineRule="exact"/>
              <w:ind w:left="97"/>
              <w:rPr>
                <w:sz w:val="22"/>
                <w:szCs w:val="22"/>
                <w:lang w:val="sr-Latn-ME"/>
              </w:rPr>
            </w:pPr>
            <w:r w:rsidRPr="00C01AE6">
              <w:rPr>
                <w:sz w:val="22"/>
                <w:szCs w:val="22"/>
                <w:lang w:val="sr-Latn-ME"/>
              </w:rPr>
              <w:t>0,8 ml</w:t>
            </w:r>
          </w:p>
        </w:tc>
        <w:tc>
          <w:tcPr>
            <w:tcW w:w="1276" w:type="dxa"/>
            <w:tcBorders>
              <w:top w:val="single" w:sz="6" w:space="0" w:color="000000"/>
              <w:left w:val="double" w:sz="1" w:space="0" w:color="000000"/>
              <w:bottom w:val="single" w:sz="6" w:space="0" w:color="000000"/>
              <w:right w:val="single" w:sz="6" w:space="0" w:color="000000"/>
            </w:tcBorders>
          </w:tcPr>
          <w:p w14:paraId="3AD1085E" w14:textId="77777777" w:rsidR="00D901C1" w:rsidRPr="00C01AE6" w:rsidRDefault="00D901C1" w:rsidP="00655C9D">
            <w:pPr>
              <w:widowControl w:val="0"/>
              <w:autoSpaceDE w:val="0"/>
              <w:autoSpaceDN w:val="0"/>
              <w:spacing w:line="211" w:lineRule="exact"/>
              <w:ind w:left="88"/>
              <w:rPr>
                <w:sz w:val="22"/>
                <w:szCs w:val="22"/>
                <w:lang w:val="sr-Latn-ME"/>
              </w:rPr>
            </w:pPr>
            <w:r w:rsidRPr="00C01AE6">
              <w:rPr>
                <w:sz w:val="22"/>
                <w:szCs w:val="22"/>
                <w:lang w:val="sr-Latn-ME"/>
              </w:rPr>
              <w:t>25 mg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3AD153" w14:textId="77777777" w:rsidR="00D901C1" w:rsidRPr="00C01AE6" w:rsidRDefault="00D901C1" w:rsidP="00655C9D">
            <w:pPr>
              <w:widowControl w:val="0"/>
              <w:autoSpaceDE w:val="0"/>
              <w:autoSpaceDN w:val="0"/>
              <w:spacing w:line="211" w:lineRule="exact"/>
              <w:ind w:left="95"/>
              <w:rPr>
                <w:sz w:val="22"/>
                <w:szCs w:val="22"/>
                <w:lang w:val="sr-Latn-ME"/>
              </w:rPr>
            </w:pPr>
            <w:r w:rsidRPr="00C01AE6">
              <w:rPr>
                <w:sz w:val="22"/>
                <w:szCs w:val="22"/>
                <w:lang w:val="sr-Latn-ME"/>
              </w:rPr>
              <w:t>0,63 ml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6B7D0217" w14:textId="77777777" w:rsidR="00D901C1" w:rsidRPr="00C01AE6" w:rsidRDefault="00D901C1" w:rsidP="00655C9D">
            <w:pPr>
              <w:widowControl w:val="0"/>
              <w:autoSpaceDE w:val="0"/>
              <w:autoSpaceDN w:val="0"/>
              <w:spacing w:line="211" w:lineRule="exact"/>
              <w:ind w:left="95"/>
              <w:rPr>
                <w:sz w:val="22"/>
                <w:szCs w:val="22"/>
                <w:lang w:val="sr-Latn-ME"/>
              </w:rPr>
            </w:pPr>
            <w:r w:rsidRPr="00C01AE6">
              <w:rPr>
                <w:sz w:val="22"/>
                <w:szCs w:val="22"/>
                <w:lang w:val="sr-Latn-ME"/>
              </w:rPr>
              <w:t>0,7 ml</w:t>
            </w:r>
          </w:p>
        </w:tc>
      </w:tr>
      <w:tr w:rsidR="00D901C1" w:rsidRPr="00C01AE6" w14:paraId="17602077" w14:textId="77777777" w:rsidTr="00655C9D">
        <w:trPr>
          <w:trHeight w:val="280"/>
        </w:trPr>
        <w:tc>
          <w:tcPr>
            <w:tcW w:w="941" w:type="dxa"/>
            <w:tcBorders>
              <w:top w:val="single" w:sz="6" w:space="0" w:color="000000"/>
              <w:bottom w:val="single" w:sz="6" w:space="0" w:color="000000"/>
              <w:right w:val="double" w:sz="1" w:space="0" w:color="000000"/>
            </w:tcBorders>
          </w:tcPr>
          <w:p w14:paraId="0C1047E3" w14:textId="77777777" w:rsidR="00D901C1" w:rsidRPr="00C01AE6" w:rsidRDefault="00D901C1" w:rsidP="00655C9D">
            <w:pPr>
              <w:widowControl w:val="0"/>
              <w:autoSpaceDE w:val="0"/>
              <w:autoSpaceDN w:val="0"/>
              <w:spacing w:line="211" w:lineRule="exact"/>
              <w:ind w:left="144" w:right="129"/>
              <w:jc w:val="center"/>
              <w:rPr>
                <w:b/>
                <w:sz w:val="22"/>
                <w:szCs w:val="22"/>
                <w:lang w:val="sr-Latn-ME"/>
              </w:rPr>
            </w:pPr>
            <w:r w:rsidRPr="00C01AE6">
              <w:rPr>
                <w:b/>
                <w:bCs/>
                <w:sz w:val="22"/>
                <w:szCs w:val="22"/>
                <w:lang w:val="sr-Latn-ME"/>
              </w:rPr>
              <w:t>30</w:t>
            </w:r>
          </w:p>
        </w:tc>
        <w:tc>
          <w:tcPr>
            <w:tcW w:w="1180" w:type="dxa"/>
            <w:tcBorders>
              <w:top w:val="single" w:sz="6" w:space="0" w:color="000000"/>
              <w:left w:val="double" w:sz="1" w:space="0" w:color="000000"/>
              <w:bottom w:val="single" w:sz="6" w:space="0" w:color="000000"/>
              <w:right w:val="single" w:sz="6" w:space="0" w:color="000000"/>
            </w:tcBorders>
          </w:tcPr>
          <w:p w14:paraId="67A27693" w14:textId="77777777" w:rsidR="00D901C1" w:rsidRPr="00C01AE6" w:rsidRDefault="00D901C1" w:rsidP="00655C9D">
            <w:pPr>
              <w:widowControl w:val="0"/>
              <w:autoSpaceDE w:val="0"/>
              <w:autoSpaceDN w:val="0"/>
              <w:spacing w:line="211" w:lineRule="exact"/>
              <w:ind w:left="90"/>
              <w:rPr>
                <w:sz w:val="22"/>
                <w:szCs w:val="22"/>
                <w:lang w:val="sr-Latn-ME"/>
              </w:rPr>
            </w:pPr>
            <w:r w:rsidRPr="00C01AE6">
              <w:rPr>
                <w:sz w:val="22"/>
                <w:szCs w:val="22"/>
                <w:lang w:val="sr-Latn-ME"/>
              </w:rPr>
              <w:t>60 mg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ABDE8F" w14:textId="77777777" w:rsidR="00D901C1" w:rsidRPr="00C01AE6" w:rsidRDefault="00D901C1" w:rsidP="00655C9D">
            <w:pPr>
              <w:widowControl w:val="0"/>
              <w:autoSpaceDE w:val="0"/>
              <w:autoSpaceDN w:val="0"/>
              <w:spacing w:line="211" w:lineRule="exact"/>
              <w:ind w:left="96"/>
              <w:rPr>
                <w:sz w:val="22"/>
                <w:szCs w:val="22"/>
                <w:lang w:val="sr-Latn-ME"/>
              </w:rPr>
            </w:pPr>
            <w:r w:rsidRPr="00C01AE6">
              <w:rPr>
                <w:sz w:val="22"/>
                <w:szCs w:val="22"/>
                <w:lang w:val="sr-Latn-ME"/>
              </w:rPr>
              <w:t>0,60 ml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1" w:space="0" w:color="000000"/>
            </w:tcBorders>
          </w:tcPr>
          <w:p w14:paraId="02860924" w14:textId="77777777" w:rsidR="00D901C1" w:rsidRPr="00C01AE6" w:rsidRDefault="00D901C1" w:rsidP="00655C9D">
            <w:pPr>
              <w:widowControl w:val="0"/>
              <w:autoSpaceDE w:val="0"/>
              <w:autoSpaceDN w:val="0"/>
              <w:spacing w:line="211" w:lineRule="exact"/>
              <w:ind w:left="97"/>
              <w:rPr>
                <w:sz w:val="22"/>
                <w:szCs w:val="22"/>
                <w:lang w:val="sr-Latn-ME"/>
              </w:rPr>
            </w:pPr>
            <w:r w:rsidRPr="00C01AE6">
              <w:rPr>
                <w:sz w:val="22"/>
                <w:szCs w:val="22"/>
                <w:lang w:val="sr-Latn-ME"/>
              </w:rPr>
              <w:t>0,8 ml</w:t>
            </w:r>
          </w:p>
        </w:tc>
        <w:tc>
          <w:tcPr>
            <w:tcW w:w="1276" w:type="dxa"/>
            <w:tcBorders>
              <w:top w:val="single" w:sz="6" w:space="0" w:color="000000"/>
              <w:left w:val="double" w:sz="1" w:space="0" w:color="000000"/>
              <w:bottom w:val="single" w:sz="6" w:space="0" w:color="000000"/>
              <w:right w:val="single" w:sz="6" w:space="0" w:color="000000"/>
            </w:tcBorders>
          </w:tcPr>
          <w:p w14:paraId="6B1960D9" w14:textId="77777777" w:rsidR="00D901C1" w:rsidRPr="00C01AE6" w:rsidRDefault="00D901C1" w:rsidP="00655C9D">
            <w:pPr>
              <w:widowControl w:val="0"/>
              <w:autoSpaceDE w:val="0"/>
              <w:autoSpaceDN w:val="0"/>
              <w:spacing w:line="211" w:lineRule="exact"/>
              <w:ind w:left="88"/>
              <w:rPr>
                <w:sz w:val="22"/>
                <w:szCs w:val="22"/>
                <w:lang w:val="sr-Latn-ME"/>
              </w:rPr>
            </w:pPr>
            <w:r w:rsidRPr="00C01AE6">
              <w:rPr>
                <w:sz w:val="22"/>
                <w:szCs w:val="22"/>
                <w:lang w:val="sr-Latn-ME"/>
              </w:rPr>
              <w:t>30 mg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A55C92" w14:textId="77777777" w:rsidR="00D901C1" w:rsidRPr="00C01AE6" w:rsidRDefault="00D901C1" w:rsidP="00655C9D">
            <w:pPr>
              <w:widowControl w:val="0"/>
              <w:autoSpaceDE w:val="0"/>
              <w:autoSpaceDN w:val="0"/>
              <w:spacing w:line="211" w:lineRule="exact"/>
              <w:ind w:left="95"/>
              <w:rPr>
                <w:sz w:val="22"/>
                <w:szCs w:val="22"/>
                <w:lang w:val="sr-Latn-ME"/>
              </w:rPr>
            </w:pPr>
            <w:r w:rsidRPr="00C01AE6">
              <w:rPr>
                <w:sz w:val="22"/>
                <w:szCs w:val="22"/>
                <w:lang w:val="sr-Latn-ME"/>
              </w:rPr>
              <w:t>0,75 ml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2DDD21A2" w14:textId="77777777" w:rsidR="00D901C1" w:rsidRPr="00C01AE6" w:rsidRDefault="00D901C1" w:rsidP="00655C9D">
            <w:pPr>
              <w:widowControl w:val="0"/>
              <w:autoSpaceDE w:val="0"/>
              <w:autoSpaceDN w:val="0"/>
              <w:spacing w:line="211" w:lineRule="exact"/>
              <w:ind w:left="95"/>
              <w:rPr>
                <w:sz w:val="22"/>
                <w:szCs w:val="22"/>
                <w:lang w:val="sr-Latn-ME"/>
              </w:rPr>
            </w:pPr>
            <w:r w:rsidRPr="00C01AE6">
              <w:rPr>
                <w:sz w:val="22"/>
                <w:szCs w:val="22"/>
                <w:lang w:val="sr-Latn-ME"/>
              </w:rPr>
              <w:t>1 ml</w:t>
            </w:r>
          </w:p>
        </w:tc>
      </w:tr>
      <w:tr w:rsidR="00D901C1" w:rsidRPr="00C01AE6" w14:paraId="6FC76926" w14:textId="77777777" w:rsidTr="00655C9D">
        <w:trPr>
          <w:trHeight w:val="282"/>
        </w:trPr>
        <w:tc>
          <w:tcPr>
            <w:tcW w:w="941" w:type="dxa"/>
            <w:tcBorders>
              <w:top w:val="single" w:sz="6" w:space="0" w:color="000000"/>
              <w:bottom w:val="single" w:sz="6" w:space="0" w:color="000000"/>
              <w:right w:val="double" w:sz="1" w:space="0" w:color="000000"/>
            </w:tcBorders>
          </w:tcPr>
          <w:p w14:paraId="5DCA3C30" w14:textId="77777777" w:rsidR="00D901C1" w:rsidRPr="00C01AE6" w:rsidRDefault="00D901C1" w:rsidP="00655C9D">
            <w:pPr>
              <w:widowControl w:val="0"/>
              <w:autoSpaceDE w:val="0"/>
              <w:autoSpaceDN w:val="0"/>
              <w:spacing w:line="213" w:lineRule="exact"/>
              <w:ind w:left="144" w:right="129"/>
              <w:jc w:val="center"/>
              <w:rPr>
                <w:b/>
                <w:sz w:val="22"/>
                <w:szCs w:val="22"/>
                <w:lang w:val="sr-Latn-ME"/>
              </w:rPr>
            </w:pPr>
            <w:r w:rsidRPr="00C01AE6">
              <w:rPr>
                <w:b/>
                <w:bCs/>
                <w:sz w:val="22"/>
                <w:szCs w:val="22"/>
                <w:lang w:val="sr-Latn-ME"/>
              </w:rPr>
              <w:t>35</w:t>
            </w:r>
          </w:p>
        </w:tc>
        <w:tc>
          <w:tcPr>
            <w:tcW w:w="1180" w:type="dxa"/>
            <w:tcBorders>
              <w:top w:val="single" w:sz="6" w:space="0" w:color="000000"/>
              <w:left w:val="double" w:sz="1" w:space="0" w:color="000000"/>
              <w:bottom w:val="single" w:sz="6" w:space="0" w:color="000000"/>
              <w:right w:val="single" w:sz="6" w:space="0" w:color="000000"/>
            </w:tcBorders>
          </w:tcPr>
          <w:p w14:paraId="3273D7CD" w14:textId="77777777" w:rsidR="00D901C1" w:rsidRPr="00C01AE6" w:rsidRDefault="00D901C1" w:rsidP="00655C9D">
            <w:pPr>
              <w:widowControl w:val="0"/>
              <w:autoSpaceDE w:val="0"/>
              <w:autoSpaceDN w:val="0"/>
              <w:spacing w:line="213" w:lineRule="exact"/>
              <w:ind w:left="90"/>
              <w:rPr>
                <w:sz w:val="22"/>
                <w:szCs w:val="22"/>
                <w:lang w:val="sr-Latn-ME"/>
              </w:rPr>
            </w:pPr>
            <w:r w:rsidRPr="00C01AE6">
              <w:rPr>
                <w:sz w:val="22"/>
                <w:szCs w:val="22"/>
                <w:lang w:val="sr-Latn-ME"/>
              </w:rPr>
              <w:t>70 mg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2AAF90" w14:textId="77777777" w:rsidR="00D901C1" w:rsidRPr="00C01AE6" w:rsidRDefault="00D901C1" w:rsidP="00655C9D">
            <w:pPr>
              <w:widowControl w:val="0"/>
              <w:autoSpaceDE w:val="0"/>
              <w:autoSpaceDN w:val="0"/>
              <w:spacing w:line="213" w:lineRule="exact"/>
              <w:ind w:left="96"/>
              <w:rPr>
                <w:sz w:val="22"/>
                <w:szCs w:val="22"/>
                <w:lang w:val="sr-Latn-ME"/>
              </w:rPr>
            </w:pPr>
            <w:r w:rsidRPr="00C01AE6">
              <w:rPr>
                <w:sz w:val="22"/>
                <w:szCs w:val="22"/>
                <w:lang w:val="sr-Latn-ME"/>
              </w:rPr>
              <w:t>0,70 ml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1" w:space="0" w:color="000000"/>
            </w:tcBorders>
          </w:tcPr>
          <w:p w14:paraId="7D9DE3DA" w14:textId="77777777" w:rsidR="00D901C1" w:rsidRPr="00C01AE6" w:rsidRDefault="00D901C1" w:rsidP="00655C9D">
            <w:pPr>
              <w:widowControl w:val="0"/>
              <w:autoSpaceDE w:val="0"/>
              <w:autoSpaceDN w:val="0"/>
              <w:spacing w:line="213" w:lineRule="exact"/>
              <w:ind w:left="97"/>
              <w:rPr>
                <w:sz w:val="22"/>
                <w:szCs w:val="22"/>
                <w:lang w:val="sr-Latn-ME"/>
              </w:rPr>
            </w:pPr>
            <w:r w:rsidRPr="00C01AE6">
              <w:rPr>
                <w:sz w:val="22"/>
                <w:szCs w:val="22"/>
                <w:lang w:val="sr-Latn-ME"/>
              </w:rPr>
              <w:t>0,8 ml</w:t>
            </w:r>
          </w:p>
        </w:tc>
        <w:tc>
          <w:tcPr>
            <w:tcW w:w="1276" w:type="dxa"/>
            <w:tcBorders>
              <w:top w:val="single" w:sz="6" w:space="0" w:color="000000"/>
              <w:left w:val="double" w:sz="1" w:space="0" w:color="000000"/>
              <w:bottom w:val="single" w:sz="6" w:space="0" w:color="000000"/>
              <w:right w:val="single" w:sz="6" w:space="0" w:color="000000"/>
            </w:tcBorders>
          </w:tcPr>
          <w:p w14:paraId="2D3B1968" w14:textId="77777777" w:rsidR="00D901C1" w:rsidRPr="00C01AE6" w:rsidRDefault="00D901C1" w:rsidP="00655C9D">
            <w:pPr>
              <w:widowControl w:val="0"/>
              <w:autoSpaceDE w:val="0"/>
              <w:autoSpaceDN w:val="0"/>
              <w:spacing w:line="213" w:lineRule="exact"/>
              <w:ind w:left="88"/>
              <w:rPr>
                <w:sz w:val="22"/>
                <w:szCs w:val="22"/>
                <w:lang w:val="sr-Latn-ME"/>
              </w:rPr>
            </w:pPr>
            <w:r w:rsidRPr="00C01AE6">
              <w:rPr>
                <w:sz w:val="22"/>
                <w:szCs w:val="22"/>
                <w:lang w:val="sr-Latn-ME"/>
              </w:rPr>
              <w:t>35 mg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4A8452" w14:textId="77777777" w:rsidR="00D901C1" w:rsidRPr="00C01AE6" w:rsidRDefault="00D901C1" w:rsidP="00655C9D">
            <w:pPr>
              <w:widowControl w:val="0"/>
              <w:autoSpaceDE w:val="0"/>
              <w:autoSpaceDN w:val="0"/>
              <w:spacing w:line="213" w:lineRule="exact"/>
              <w:ind w:left="95"/>
              <w:rPr>
                <w:sz w:val="22"/>
                <w:szCs w:val="22"/>
                <w:lang w:val="sr-Latn-ME"/>
              </w:rPr>
            </w:pPr>
            <w:r w:rsidRPr="00C01AE6">
              <w:rPr>
                <w:sz w:val="22"/>
                <w:szCs w:val="22"/>
                <w:lang w:val="sr-Latn-ME"/>
              </w:rPr>
              <w:t>0,88 ml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78C319F3" w14:textId="77777777" w:rsidR="00D901C1" w:rsidRPr="00C01AE6" w:rsidRDefault="00D901C1" w:rsidP="00655C9D">
            <w:pPr>
              <w:widowControl w:val="0"/>
              <w:autoSpaceDE w:val="0"/>
              <w:autoSpaceDN w:val="0"/>
              <w:spacing w:line="213" w:lineRule="exact"/>
              <w:ind w:left="95"/>
              <w:rPr>
                <w:sz w:val="22"/>
                <w:szCs w:val="22"/>
                <w:lang w:val="sr-Latn-ME"/>
              </w:rPr>
            </w:pPr>
            <w:r w:rsidRPr="00C01AE6">
              <w:rPr>
                <w:sz w:val="22"/>
                <w:szCs w:val="22"/>
                <w:lang w:val="sr-Latn-ME"/>
              </w:rPr>
              <w:t>1 ml</w:t>
            </w:r>
          </w:p>
        </w:tc>
      </w:tr>
      <w:tr w:rsidR="00D901C1" w:rsidRPr="00C01AE6" w14:paraId="2ED8860D" w14:textId="77777777" w:rsidTr="00655C9D">
        <w:trPr>
          <w:trHeight w:val="281"/>
        </w:trPr>
        <w:tc>
          <w:tcPr>
            <w:tcW w:w="941" w:type="dxa"/>
            <w:tcBorders>
              <w:top w:val="single" w:sz="6" w:space="0" w:color="000000"/>
              <w:bottom w:val="single" w:sz="6" w:space="0" w:color="000000"/>
              <w:right w:val="double" w:sz="1" w:space="0" w:color="000000"/>
            </w:tcBorders>
          </w:tcPr>
          <w:p w14:paraId="5019C9F8" w14:textId="77777777" w:rsidR="00D901C1" w:rsidRPr="00C01AE6" w:rsidRDefault="00D901C1" w:rsidP="00655C9D">
            <w:pPr>
              <w:widowControl w:val="0"/>
              <w:autoSpaceDE w:val="0"/>
              <w:autoSpaceDN w:val="0"/>
              <w:spacing w:line="214" w:lineRule="exact"/>
              <w:ind w:left="144" w:right="129"/>
              <w:jc w:val="center"/>
              <w:rPr>
                <w:b/>
                <w:sz w:val="22"/>
                <w:szCs w:val="22"/>
                <w:lang w:val="sr-Latn-ME"/>
              </w:rPr>
            </w:pPr>
            <w:r w:rsidRPr="00C01AE6">
              <w:rPr>
                <w:b/>
                <w:bCs/>
                <w:sz w:val="22"/>
                <w:szCs w:val="22"/>
                <w:lang w:val="sr-Latn-ME"/>
              </w:rPr>
              <w:t>40</w:t>
            </w:r>
          </w:p>
        </w:tc>
        <w:tc>
          <w:tcPr>
            <w:tcW w:w="1180" w:type="dxa"/>
            <w:tcBorders>
              <w:top w:val="single" w:sz="6" w:space="0" w:color="000000"/>
              <w:left w:val="double" w:sz="1" w:space="0" w:color="000000"/>
              <w:bottom w:val="single" w:sz="6" w:space="0" w:color="000000"/>
              <w:right w:val="single" w:sz="6" w:space="0" w:color="000000"/>
            </w:tcBorders>
          </w:tcPr>
          <w:p w14:paraId="08660FFB" w14:textId="77777777" w:rsidR="00D901C1" w:rsidRPr="00C01AE6" w:rsidRDefault="00D901C1" w:rsidP="00655C9D">
            <w:pPr>
              <w:widowControl w:val="0"/>
              <w:autoSpaceDE w:val="0"/>
              <w:autoSpaceDN w:val="0"/>
              <w:spacing w:line="214" w:lineRule="exact"/>
              <w:ind w:left="90"/>
              <w:rPr>
                <w:sz w:val="22"/>
                <w:szCs w:val="22"/>
                <w:lang w:val="sr-Latn-ME"/>
              </w:rPr>
            </w:pPr>
            <w:r w:rsidRPr="00C01AE6">
              <w:rPr>
                <w:sz w:val="22"/>
                <w:szCs w:val="22"/>
                <w:lang w:val="sr-Latn-ME"/>
              </w:rPr>
              <w:t>80 mg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7FBE57" w14:textId="77777777" w:rsidR="00D901C1" w:rsidRPr="00C01AE6" w:rsidRDefault="00D901C1" w:rsidP="00655C9D">
            <w:pPr>
              <w:widowControl w:val="0"/>
              <w:autoSpaceDE w:val="0"/>
              <w:autoSpaceDN w:val="0"/>
              <w:spacing w:line="214" w:lineRule="exact"/>
              <w:ind w:left="96"/>
              <w:rPr>
                <w:sz w:val="22"/>
                <w:szCs w:val="22"/>
                <w:lang w:val="sr-Latn-ME"/>
              </w:rPr>
            </w:pPr>
            <w:r w:rsidRPr="00C01AE6">
              <w:rPr>
                <w:sz w:val="22"/>
                <w:szCs w:val="22"/>
                <w:lang w:val="sr-Latn-ME"/>
              </w:rPr>
              <w:t>0,80 ml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1" w:space="0" w:color="000000"/>
            </w:tcBorders>
          </w:tcPr>
          <w:p w14:paraId="15B5E540" w14:textId="77777777" w:rsidR="00D901C1" w:rsidRPr="00C01AE6" w:rsidRDefault="00D901C1" w:rsidP="00655C9D">
            <w:pPr>
              <w:widowControl w:val="0"/>
              <w:autoSpaceDE w:val="0"/>
              <w:autoSpaceDN w:val="0"/>
              <w:spacing w:line="214" w:lineRule="exact"/>
              <w:ind w:left="97"/>
              <w:rPr>
                <w:sz w:val="22"/>
                <w:szCs w:val="22"/>
                <w:lang w:val="sr-Latn-ME"/>
              </w:rPr>
            </w:pPr>
            <w:r w:rsidRPr="00C01AE6">
              <w:rPr>
                <w:sz w:val="22"/>
                <w:szCs w:val="22"/>
                <w:lang w:val="sr-Latn-ME"/>
              </w:rPr>
              <w:t>0,8 ml</w:t>
            </w:r>
          </w:p>
        </w:tc>
        <w:tc>
          <w:tcPr>
            <w:tcW w:w="1276" w:type="dxa"/>
            <w:tcBorders>
              <w:top w:val="single" w:sz="6" w:space="0" w:color="000000"/>
              <w:left w:val="double" w:sz="1" w:space="0" w:color="000000"/>
              <w:bottom w:val="single" w:sz="6" w:space="0" w:color="000000"/>
              <w:right w:val="single" w:sz="6" w:space="0" w:color="000000"/>
            </w:tcBorders>
          </w:tcPr>
          <w:p w14:paraId="7E289353" w14:textId="77777777" w:rsidR="00D901C1" w:rsidRPr="00C01AE6" w:rsidRDefault="00D901C1" w:rsidP="00655C9D">
            <w:pPr>
              <w:widowControl w:val="0"/>
              <w:autoSpaceDE w:val="0"/>
              <w:autoSpaceDN w:val="0"/>
              <w:spacing w:line="214" w:lineRule="exact"/>
              <w:ind w:left="88"/>
              <w:rPr>
                <w:sz w:val="22"/>
                <w:szCs w:val="22"/>
                <w:lang w:val="sr-Latn-ME"/>
              </w:rPr>
            </w:pPr>
            <w:r w:rsidRPr="00C01AE6">
              <w:rPr>
                <w:sz w:val="22"/>
                <w:szCs w:val="22"/>
                <w:lang w:val="sr-Latn-ME"/>
              </w:rPr>
              <w:t>40 mg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A8D780" w14:textId="77777777" w:rsidR="00D901C1" w:rsidRPr="00C01AE6" w:rsidRDefault="00D901C1" w:rsidP="00655C9D">
            <w:pPr>
              <w:widowControl w:val="0"/>
              <w:autoSpaceDE w:val="0"/>
              <w:autoSpaceDN w:val="0"/>
              <w:spacing w:line="214" w:lineRule="exact"/>
              <w:ind w:left="95"/>
              <w:rPr>
                <w:sz w:val="22"/>
                <w:szCs w:val="22"/>
                <w:lang w:val="sr-Latn-ME"/>
              </w:rPr>
            </w:pPr>
            <w:r w:rsidRPr="00C01AE6">
              <w:rPr>
                <w:sz w:val="22"/>
                <w:szCs w:val="22"/>
                <w:lang w:val="sr-Latn-ME"/>
              </w:rPr>
              <w:t>1,00 ml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69604F8B" w14:textId="77777777" w:rsidR="00D901C1" w:rsidRPr="00C01AE6" w:rsidRDefault="00D901C1" w:rsidP="00655C9D">
            <w:pPr>
              <w:widowControl w:val="0"/>
              <w:autoSpaceDE w:val="0"/>
              <w:autoSpaceDN w:val="0"/>
              <w:spacing w:line="214" w:lineRule="exact"/>
              <w:ind w:left="95"/>
              <w:rPr>
                <w:sz w:val="22"/>
                <w:szCs w:val="22"/>
                <w:lang w:val="sr-Latn-ME"/>
              </w:rPr>
            </w:pPr>
            <w:r w:rsidRPr="00C01AE6">
              <w:rPr>
                <w:sz w:val="22"/>
                <w:szCs w:val="22"/>
                <w:lang w:val="sr-Latn-ME"/>
              </w:rPr>
              <w:t>1 ml</w:t>
            </w:r>
          </w:p>
        </w:tc>
      </w:tr>
      <w:tr w:rsidR="00D901C1" w:rsidRPr="00C01AE6" w14:paraId="3D703554" w14:textId="77777777" w:rsidTr="00655C9D">
        <w:trPr>
          <w:trHeight w:val="280"/>
        </w:trPr>
        <w:tc>
          <w:tcPr>
            <w:tcW w:w="941" w:type="dxa"/>
            <w:tcBorders>
              <w:top w:val="single" w:sz="6" w:space="0" w:color="000000"/>
              <w:bottom w:val="single" w:sz="6" w:space="0" w:color="000000"/>
              <w:right w:val="double" w:sz="1" w:space="0" w:color="000000"/>
            </w:tcBorders>
          </w:tcPr>
          <w:p w14:paraId="439B728B" w14:textId="77777777" w:rsidR="00D901C1" w:rsidRPr="00C01AE6" w:rsidRDefault="00D901C1" w:rsidP="00655C9D">
            <w:pPr>
              <w:widowControl w:val="0"/>
              <w:autoSpaceDE w:val="0"/>
              <w:autoSpaceDN w:val="0"/>
              <w:spacing w:line="212" w:lineRule="exact"/>
              <w:ind w:left="144" w:right="129"/>
              <w:jc w:val="center"/>
              <w:rPr>
                <w:b/>
                <w:sz w:val="22"/>
                <w:szCs w:val="22"/>
                <w:lang w:val="sr-Latn-ME"/>
              </w:rPr>
            </w:pPr>
            <w:r w:rsidRPr="00C01AE6">
              <w:rPr>
                <w:b/>
                <w:bCs/>
                <w:sz w:val="22"/>
                <w:szCs w:val="22"/>
                <w:lang w:val="sr-Latn-ME"/>
              </w:rPr>
              <w:t>50</w:t>
            </w:r>
          </w:p>
        </w:tc>
        <w:tc>
          <w:tcPr>
            <w:tcW w:w="3732" w:type="dxa"/>
            <w:gridSpan w:val="3"/>
            <w:vMerge w:val="restart"/>
            <w:tcBorders>
              <w:top w:val="single" w:sz="6" w:space="0" w:color="000000"/>
              <w:left w:val="double" w:sz="1" w:space="0" w:color="000000"/>
              <w:right w:val="double" w:sz="1" w:space="0" w:color="000000"/>
            </w:tcBorders>
          </w:tcPr>
          <w:p w14:paraId="3D8625D3" w14:textId="77777777" w:rsidR="00D901C1" w:rsidRPr="00C01AE6" w:rsidRDefault="00D901C1">
            <w:pPr>
              <w:widowControl w:val="0"/>
              <w:autoSpaceDE w:val="0"/>
              <w:autoSpaceDN w:val="0"/>
              <w:rPr>
                <w:sz w:val="22"/>
                <w:szCs w:val="22"/>
                <w:lang w:val="sr-Latn-ME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double" w:sz="1" w:space="0" w:color="000000"/>
              <w:bottom w:val="single" w:sz="6" w:space="0" w:color="000000"/>
              <w:right w:val="single" w:sz="6" w:space="0" w:color="000000"/>
            </w:tcBorders>
          </w:tcPr>
          <w:p w14:paraId="5E65D5A2" w14:textId="77777777" w:rsidR="00D901C1" w:rsidRPr="00C01AE6" w:rsidRDefault="00D901C1" w:rsidP="00655C9D">
            <w:pPr>
              <w:widowControl w:val="0"/>
              <w:autoSpaceDE w:val="0"/>
              <w:autoSpaceDN w:val="0"/>
              <w:spacing w:line="212" w:lineRule="exact"/>
              <w:ind w:left="88"/>
              <w:rPr>
                <w:sz w:val="22"/>
                <w:szCs w:val="22"/>
                <w:lang w:val="sr-Latn-ME"/>
              </w:rPr>
            </w:pPr>
            <w:r w:rsidRPr="00C01AE6">
              <w:rPr>
                <w:sz w:val="22"/>
                <w:szCs w:val="22"/>
                <w:lang w:val="sr-Latn-ME"/>
              </w:rPr>
              <w:t>50 mg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C19AB8" w14:textId="77777777" w:rsidR="00D901C1" w:rsidRPr="00C01AE6" w:rsidRDefault="00D901C1" w:rsidP="00655C9D">
            <w:pPr>
              <w:widowControl w:val="0"/>
              <w:autoSpaceDE w:val="0"/>
              <w:autoSpaceDN w:val="0"/>
              <w:spacing w:line="212" w:lineRule="exact"/>
              <w:ind w:left="95"/>
              <w:rPr>
                <w:sz w:val="22"/>
                <w:szCs w:val="22"/>
                <w:lang w:val="sr-Latn-ME"/>
              </w:rPr>
            </w:pPr>
            <w:r w:rsidRPr="00C01AE6">
              <w:rPr>
                <w:sz w:val="22"/>
                <w:szCs w:val="22"/>
                <w:lang w:val="sr-Latn-ME"/>
              </w:rPr>
              <w:t>0,50 ml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355949C7" w14:textId="77777777" w:rsidR="00D901C1" w:rsidRPr="00C01AE6" w:rsidRDefault="00D901C1" w:rsidP="00655C9D">
            <w:pPr>
              <w:widowControl w:val="0"/>
              <w:autoSpaceDE w:val="0"/>
              <w:autoSpaceDN w:val="0"/>
              <w:spacing w:line="212" w:lineRule="exact"/>
              <w:ind w:left="95"/>
              <w:rPr>
                <w:sz w:val="22"/>
                <w:szCs w:val="22"/>
                <w:lang w:val="sr-Latn-ME"/>
              </w:rPr>
            </w:pPr>
            <w:r w:rsidRPr="00C01AE6">
              <w:rPr>
                <w:sz w:val="22"/>
                <w:szCs w:val="22"/>
                <w:lang w:val="sr-Latn-ME"/>
              </w:rPr>
              <w:t>0,8 ml</w:t>
            </w:r>
          </w:p>
        </w:tc>
      </w:tr>
      <w:tr w:rsidR="00D901C1" w:rsidRPr="00C01AE6" w14:paraId="5EEA5D16" w14:textId="77777777" w:rsidTr="00655C9D">
        <w:trPr>
          <w:trHeight w:val="280"/>
        </w:trPr>
        <w:tc>
          <w:tcPr>
            <w:tcW w:w="941" w:type="dxa"/>
            <w:tcBorders>
              <w:top w:val="single" w:sz="6" w:space="0" w:color="000000"/>
              <w:bottom w:val="single" w:sz="6" w:space="0" w:color="000000"/>
              <w:right w:val="double" w:sz="1" w:space="0" w:color="000000"/>
            </w:tcBorders>
          </w:tcPr>
          <w:p w14:paraId="14BAAFC9" w14:textId="77777777" w:rsidR="00D901C1" w:rsidRPr="00C01AE6" w:rsidRDefault="00D901C1" w:rsidP="00655C9D">
            <w:pPr>
              <w:widowControl w:val="0"/>
              <w:autoSpaceDE w:val="0"/>
              <w:autoSpaceDN w:val="0"/>
              <w:spacing w:line="212" w:lineRule="exact"/>
              <w:ind w:left="144" w:right="129"/>
              <w:jc w:val="center"/>
              <w:rPr>
                <w:b/>
                <w:sz w:val="22"/>
                <w:szCs w:val="22"/>
                <w:lang w:val="sr-Latn-ME"/>
              </w:rPr>
            </w:pPr>
            <w:r w:rsidRPr="00C01AE6">
              <w:rPr>
                <w:b/>
                <w:bCs/>
                <w:sz w:val="22"/>
                <w:szCs w:val="22"/>
                <w:lang w:val="sr-Latn-ME"/>
              </w:rPr>
              <w:t>60</w:t>
            </w:r>
          </w:p>
        </w:tc>
        <w:tc>
          <w:tcPr>
            <w:tcW w:w="3732" w:type="dxa"/>
            <w:gridSpan w:val="3"/>
            <w:vMerge/>
            <w:tcBorders>
              <w:top w:val="nil"/>
              <w:left w:val="double" w:sz="1" w:space="0" w:color="000000"/>
              <w:right w:val="double" w:sz="1" w:space="0" w:color="000000"/>
            </w:tcBorders>
          </w:tcPr>
          <w:p w14:paraId="58F66472" w14:textId="77777777" w:rsidR="00D901C1" w:rsidRPr="00C01AE6" w:rsidRDefault="00D901C1">
            <w:pPr>
              <w:widowControl w:val="0"/>
              <w:autoSpaceDE w:val="0"/>
              <w:autoSpaceDN w:val="0"/>
              <w:rPr>
                <w:sz w:val="22"/>
                <w:szCs w:val="22"/>
                <w:lang w:val="sr-Latn-ME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double" w:sz="1" w:space="0" w:color="000000"/>
              <w:bottom w:val="single" w:sz="6" w:space="0" w:color="000000"/>
              <w:right w:val="single" w:sz="6" w:space="0" w:color="000000"/>
            </w:tcBorders>
          </w:tcPr>
          <w:p w14:paraId="7F784C9E" w14:textId="77777777" w:rsidR="00D901C1" w:rsidRPr="00C01AE6" w:rsidRDefault="00D901C1" w:rsidP="00655C9D">
            <w:pPr>
              <w:widowControl w:val="0"/>
              <w:autoSpaceDE w:val="0"/>
              <w:autoSpaceDN w:val="0"/>
              <w:spacing w:line="212" w:lineRule="exact"/>
              <w:ind w:left="88"/>
              <w:rPr>
                <w:sz w:val="22"/>
                <w:szCs w:val="22"/>
                <w:lang w:val="sr-Latn-ME"/>
              </w:rPr>
            </w:pPr>
            <w:r w:rsidRPr="00C01AE6">
              <w:rPr>
                <w:sz w:val="22"/>
                <w:szCs w:val="22"/>
                <w:lang w:val="sr-Latn-ME"/>
              </w:rPr>
              <w:t>60 mg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20361F" w14:textId="77777777" w:rsidR="00D901C1" w:rsidRPr="00C01AE6" w:rsidRDefault="00D901C1" w:rsidP="00655C9D">
            <w:pPr>
              <w:widowControl w:val="0"/>
              <w:autoSpaceDE w:val="0"/>
              <w:autoSpaceDN w:val="0"/>
              <w:spacing w:line="212" w:lineRule="exact"/>
              <w:ind w:left="95"/>
              <w:rPr>
                <w:sz w:val="22"/>
                <w:szCs w:val="22"/>
                <w:lang w:val="sr-Latn-ME"/>
              </w:rPr>
            </w:pPr>
            <w:r w:rsidRPr="00C01AE6">
              <w:rPr>
                <w:sz w:val="22"/>
                <w:szCs w:val="22"/>
                <w:lang w:val="sr-Latn-ME"/>
              </w:rPr>
              <w:t>0,60 ml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7FC90C50" w14:textId="77777777" w:rsidR="00D901C1" w:rsidRPr="00C01AE6" w:rsidRDefault="00D901C1" w:rsidP="00655C9D">
            <w:pPr>
              <w:widowControl w:val="0"/>
              <w:autoSpaceDE w:val="0"/>
              <w:autoSpaceDN w:val="0"/>
              <w:spacing w:line="212" w:lineRule="exact"/>
              <w:ind w:left="95"/>
              <w:rPr>
                <w:sz w:val="22"/>
                <w:szCs w:val="22"/>
                <w:lang w:val="sr-Latn-ME"/>
              </w:rPr>
            </w:pPr>
            <w:r w:rsidRPr="00C01AE6">
              <w:rPr>
                <w:sz w:val="22"/>
                <w:szCs w:val="22"/>
                <w:lang w:val="sr-Latn-ME"/>
              </w:rPr>
              <w:t>0,8 ml</w:t>
            </w:r>
          </w:p>
        </w:tc>
      </w:tr>
      <w:tr w:rsidR="00D901C1" w:rsidRPr="00C01AE6" w14:paraId="7F7FCD93" w14:textId="77777777" w:rsidTr="00655C9D">
        <w:trPr>
          <w:trHeight w:val="282"/>
        </w:trPr>
        <w:tc>
          <w:tcPr>
            <w:tcW w:w="941" w:type="dxa"/>
            <w:tcBorders>
              <w:top w:val="single" w:sz="6" w:space="0" w:color="000000"/>
              <w:bottom w:val="single" w:sz="6" w:space="0" w:color="000000"/>
              <w:right w:val="double" w:sz="1" w:space="0" w:color="000000"/>
            </w:tcBorders>
          </w:tcPr>
          <w:p w14:paraId="6001F0ED" w14:textId="77777777" w:rsidR="00D901C1" w:rsidRPr="00C01AE6" w:rsidRDefault="00D901C1" w:rsidP="00655C9D">
            <w:pPr>
              <w:widowControl w:val="0"/>
              <w:autoSpaceDE w:val="0"/>
              <w:autoSpaceDN w:val="0"/>
              <w:spacing w:line="212" w:lineRule="exact"/>
              <w:ind w:left="144" w:right="129"/>
              <w:jc w:val="center"/>
              <w:rPr>
                <w:b/>
                <w:sz w:val="22"/>
                <w:szCs w:val="22"/>
                <w:lang w:val="sr-Latn-ME"/>
              </w:rPr>
            </w:pPr>
            <w:r w:rsidRPr="00C01AE6">
              <w:rPr>
                <w:b/>
                <w:bCs/>
                <w:sz w:val="22"/>
                <w:szCs w:val="22"/>
                <w:lang w:val="sr-Latn-ME"/>
              </w:rPr>
              <w:t>70</w:t>
            </w:r>
          </w:p>
        </w:tc>
        <w:tc>
          <w:tcPr>
            <w:tcW w:w="3732" w:type="dxa"/>
            <w:gridSpan w:val="3"/>
            <w:vMerge/>
            <w:tcBorders>
              <w:top w:val="nil"/>
              <w:left w:val="double" w:sz="1" w:space="0" w:color="000000"/>
              <w:right w:val="double" w:sz="1" w:space="0" w:color="000000"/>
            </w:tcBorders>
          </w:tcPr>
          <w:p w14:paraId="4584AF6E" w14:textId="77777777" w:rsidR="00D901C1" w:rsidRPr="00C01AE6" w:rsidRDefault="00D901C1">
            <w:pPr>
              <w:widowControl w:val="0"/>
              <w:autoSpaceDE w:val="0"/>
              <w:autoSpaceDN w:val="0"/>
              <w:rPr>
                <w:sz w:val="22"/>
                <w:szCs w:val="22"/>
                <w:lang w:val="sr-Latn-ME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double" w:sz="1" w:space="0" w:color="000000"/>
              <w:bottom w:val="single" w:sz="6" w:space="0" w:color="000000"/>
              <w:right w:val="single" w:sz="6" w:space="0" w:color="000000"/>
            </w:tcBorders>
          </w:tcPr>
          <w:p w14:paraId="0E4AE80E" w14:textId="77777777" w:rsidR="00D901C1" w:rsidRPr="00C01AE6" w:rsidRDefault="00D901C1" w:rsidP="00655C9D">
            <w:pPr>
              <w:widowControl w:val="0"/>
              <w:autoSpaceDE w:val="0"/>
              <w:autoSpaceDN w:val="0"/>
              <w:spacing w:line="212" w:lineRule="exact"/>
              <w:ind w:left="88"/>
              <w:rPr>
                <w:sz w:val="22"/>
                <w:szCs w:val="22"/>
                <w:lang w:val="sr-Latn-ME"/>
              </w:rPr>
            </w:pPr>
            <w:r w:rsidRPr="00C01AE6">
              <w:rPr>
                <w:sz w:val="22"/>
                <w:szCs w:val="22"/>
                <w:lang w:val="sr-Latn-ME"/>
              </w:rPr>
              <w:t>70 mg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B5136F" w14:textId="77777777" w:rsidR="00D901C1" w:rsidRPr="00C01AE6" w:rsidRDefault="00D901C1" w:rsidP="00655C9D">
            <w:pPr>
              <w:widowControl w:val="0"/>
              <w:autoSpaceDE w:val="0"/>
              <w:autoSpaceDN w:val="0"/>
              <w:spacing w:line="212" w:lineRule="exact"/>
              <w:ind w:left="95"/>
              <w:rPr>
                <w:sz w:val="22"/>
                <w:szCs w:val="22"/>
                <w:lang w:val="sr-Latn-ME"/>
              </w:rPr>
            </w:pPr>
            <w:r w:rsidRPr="00C01AE6">
              <w:rPr>
                <w:sz w:val="22"/>
                <w:szCs w:val="22"/>
                <w:lang w:val="sr-Latn-ME"/>
              </w:rPr>
              <w:t>0,70 ml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3FB78BED" w14:textId="77777777" w:rsidR="00D901C1" w:rsidRPr="00C01AE6" w:rsidRDefault="00D901C1" w:rsidP="00655C9D">
            <w:pPr>
              <w:widowControl w:val="0"/>
              <w:autoSpaceDE w:val="0"/>
              <w:autoSpaceDN w:val="0"/>
              <w:spacing w:line="212" w:lineRule="exact"/>
              <w:ind w:left="95"/>
              <w:rPr>
                <w:sz w:val="22"/>
                <w:szCs w:val="22"/>
                <w:lang w:val="sr-Latn-ME"/>
              </w:rPr>
            </w:pPr>
            <w:r w:rsidRPr="00C01AE6">
              <w:rPr>
                <w:sz w:val="22"/>
                <w:szCs w:val="22"/>
                <w:lang w:val="sr-Latn-ME"/>
              </w:rPr>
              <w:t>0,8 ml</w:t>
            </w:r>
          </w:p>
        </w:tc>
      </w:tr>
      <w:tr w:rsidR="00D901C1" w:rsidRPr="00C01AE6" w14:paraId="02887343" w14:textId="77777777" w:rsidTr="00655C9D">
        <w:trPr>
          <w:trHeight w:val="280"/>
        </w:trPr>
        <w:tc>
          <w:tcPr>
            <w:tcW w:w="941" w:type="dxa"/>
            <w:tcBorders>
              <w:top w:val="single" w:sz="6" w:space="0" w:color="000000"/>
              <w:bottom w:val="single" w:sz="6" w:space="0" w:color="000000"/>
              <w:right w:val="double" w:sz="1" w:space="0" w:color="000000"/>
            </w:tcBorders>
          </w:tcPr>
          <w:p w14:paraId="64FE6F5F" w14:textId="77777777" w:rsidR="00D901C1" w:rsidRPr="00C01AE6" w:rsidRDefault="00D901C1" w:rsidP="00655C9D">
            <w:pPr>
              <w:widowControl w:val="0"/>
              <w:autoSpaceDE w:val="0"/>
              <w:autoSpaceDN w:val="0"/>
              <w:spacing w:line="212" w:lineRule="exact"/>
              <w:ind w:left="144" w:right="129"/>
              <w:jc w:val="center"/>
              <w:rPr>
                <w:b/>
                <w:sz w:val="22"/>
                <w:szCs w:val="22"/>
                <w:lang w:val="sr-Latn-ME"/>
              </w:rPr>
            </w:pPr>
            <w:r w:rsidRPr="00C01AE6">
              <w:rPr>
                <w:b/>
                <w:bCs/>
                <w:sz w:val="22"/>
                <w:szCs w:val="22"/>
                <w:lang w:val="sr-Latn-ME"/>
              </w:rPr>
              <w:t>80</w:t>
            </w:r>
          </w:p>
        </w:tc>
        <w:tc>
          <w:tcPr>
            <w:tcW w:w="3732" w:type="dxa"/>
            <w:gridSpan w:val="3"/>
            <w:vMerge/>
            <w:tcBorders>
              <w:top w:val="nil"/>
              <w:left w:val="double" w:sz="1" w:space="0" w:color="000000"/>
              <w:right w:val="double" w:sz="1" w:space="0" w:color="000000"/>
            </w:tcBorders>
          </w:tcPr>
          <w:p w14:paraId="100369CE" w14:textId="77777777" w:rsidR="00D901C1" w:rsidRPr="00C01AE6" w:rsidRDefault="00D901C1">
            <w:pPr>
              <w:widowControl w:val="0"/>
              <w:autoSpaceDE w:val="0"/>
              <w:autoSpaceDN w:val="0"/>
              <w:rPr>
                <w:sz w:val="22"/>
                <w:szCs w:val="22"/>
                <w:lang w:val="sr-Latn-ME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double" w:sz="1" w:space="0" w:color="000000"/>
              <w:bottom w:val="single" w:sz="6" w:space="0" w:color="000000"/>
              <w:right w:val="single" w:sz="6" w:space="0" w:color="000000"/>
            </w:tcBorders>
          </w:tcPr>
          <w:p w14:paraId="6DFEB297" w14:textId="77777777" w:rsidR="00D901C1" w:rsidRPr="00C01AE6" w:rsidRDefault="00D901C1" w:rsidP="00655C9D">
            <w:pPr>
              <w:widowControl w:val="0"/>
              <w:autoSpaceDE w:val="0"/>
              <w:autoSpaceDN w:val="0"/>
              <w:spacing w:line="212" w:lineRule="exact"/>
              <w:ind w:left="88"/>
              <w:rPr>
                <w:sz w:val="22"/>
                <w:szCs w:val="22"/>
                <w:lang w:val="sr-Latn-ME"/>
              </w:rPr>
            </w:pPr>
            <w:r w:rsidRPr="00C01AE6">
              <w:rPr>
                <w:sz w:val="22"/>
                <w:szCs w:val="22"/>
                <w:lang w:val="sr-Latn-ME"/>
              </w:rPr>
              <w:t>80 mg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1631E1" w14:textId="77777777" w:rsidR="00D901C1" w:rsidRPr="00C01AE6" w:rsidRDefault="00D901C1" w:rsidP="00655C9D">
            <w:pPr>
              <w:widowControl w:val="0"/>
              <w:autoSpaceDE w:val="0"/>
              <w:autoSpaceDN w:val="0"/>
              <w:spacing w:line="212" w:lineRule="exact"/>
              <w:ind w:left="95"/>
              <w:rPr>
                <w:sz w:val="22"/>
                <w:szCs w:val="22"/>
                <w:lang w:val="sr-Latn-ME"/>
              </w:rPr>
            </w:pPr>
            <w:r w:rsidRPr="00C01AE6">
              <w:rPr>
                <w:sz w:val="22"/>
                <w:szCs w:val="22"/>
                <w:lang w:val="sr-Latn-ME"/>
              </w:rPr>
              <w:t>0,80 ml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71847BA6" w14:textId="77777777" w:rsidR="00D901C1" w:rsidRPr="00C01AE6" w:rsidRDefault="00D901C1" w:rsidP="00655C9D">
            <w:pPr>
              <w:widowControl w:val="0"/>
              <w:autoSpaceDE w:val="0"/>
              <w:autoSpaceDN w:val="0"/>
              <w:spacing w:line="212" w:lineRule="exact"/>
              <w:ind w:left="95"/>
              <w:rPr>
                <w:sz w:val="22"/>
                <w:szCs w:val="22"/>
                <w:lang w:val="sr-Latn-ME"/>
              </w:rPr>
            </w:pPr>
            <w:r w:rsidRPr="00C01AE6">
              <w:rPr>
                <w:sz w:val="22"/>
                <w:szCs w:val="22"/>
                <w:lang w:val="sr-Latn-ME"/>
              </w:rPr>
              <w:t>0,8 ml</w:t>
            </w:r>
          </w:p>
        </w:tc>
      </w:tr>
      <w:tr w:rsidR="00D901C1" w:rsidRPr="00C01AE6" w14:paraId="4A1145A5" w14:textId="77777777" w:rsidTr="00655C9D">
        <w:trPr>
          <w:trHeight w:val="281"/>
        </w:trPr>
        <w:tc>
          <w:tcPr>
            <w:tcW w:w="941" w:type="dxa"/>
            <w:tcBorders>
              <w:top w:val="single" w:sz="6" w:space="0" w:color="000000"/>
              <w:bottom w:val="single" w:sz="6" w:space="0" w:color="000000"/>
              <w:right w:val="double" w:sz="1" w:space="0" w:color="000000"/>
            </w:tcBorders>
          </w:tcPr>
          <w:p w14:paraId="47BA90CE" w14:textId="77777777" w:rsidR="00D901C1" w:rsidRPr="00C01AE6" w:rsidRDefault="00D901C1" w:rsidP="00655C9D">
            <w:pPr>
              <w:widowControl w:val="0"/>
              <w:autoSpaceDE w:val="0"/>
              <w:autoSpaceDN w:val="0"/>
              <w:spacing w:line="211" w:lineRule="exact"/>
              <w:ind w:left="144" w:right="129"/>
              <w:jc w:val="center"/>
              <w:rPr>
                <w:b/>
                <w:sz w:val="22"/>
                <w:szCs w:val="22"/>
                <w:lang w:val="sr-Latn-ME"/>
              </w:rPr>
            </w:pPr>
            <w:r w:rsidRPr="00C01AE6">
              <w:rPr>
                <w:b/>
                <w:bCs/>
                <w:sz w:val="22"/>
                <w:szCs w:val="22"/>
                <w:lang w:val="sr-Latn-ME"/>
              </w:rPr>
              <w:t>90</w:t>
            </w:r>
          </w:p>
        </w:tc>
        <w:tc>
          <w:tcPr>
            <w:tcW w:w="3732" w:type="dxa"/>
            <w:gridSpan w:val="3"/>
            <w:vMerge/>
            <w:tcBorders>
              <w:top w:val="nil"/>
              <w:left w:val="double" w:sz="1" w:space="0" w:color="000000"/>
              <w:right w:val="double" w:sz="1" w:space="0" w:color="000000"/>
            </w:tcBorders>
          </w:tcPr>
          <w:p w14:paraId="5B5202E8" w14:textId="77777777" w:rsidR="00D901C1" w:rsidRPr="00C01AE6" w:rsidRDefault="00D901C1">
            <w:pPr>
              <w:widowControl w:val="0"/>
              <w:autoSpaceDE w:val="0"/>
              <w:autoSpaceDN w:val="0"/>
              <w:rPr>
                <w:sz w:val="22"/>
                <w:szCs w:val="22"/>
                <w:lang w:val="sr-Latn-ME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double" w:sz="1" w:space="0" w:color="000000"/>
              <w:bottom w:val="single" w:sz="6" w:space="0" w:color="000000"/>
              <w:right w:val="single" w:sz="6" w:space="0" w:color="000000"/>
            </w:tcBorders>
          </w:tcPr>
          <w:p w14:paraId="7446677A" w14:textId="77777777" w:rsidR="00D901C1" w:rsidRPr="00C01AE6" w:rsidRDefault="00D901C1" w:rsidP="00655C9D">
            <w:pPr>
              <w:widowControl w:val="0"/>
              <w:autoSpaceDE w:val="0"/>
              <w:autoSpaceDN w:val="0"/>
              <w:spacing w:line="211" w:lineRule="exact"/>
              <w:ind w:left="88"/>
              <w:rPr>
                <w:sz w:val="22"/>
                <w:szCs w:val="22"/>
                <w:lang w:val="sr-Latn-ME"/>
              </w:rPr>
            </w:pPr>
            <w:r w:rsidRPr="00C01AE6">
              <w:rPr>
                <w:sz w:val="22"/>
                <w:szCs w:val="22"/>
                <w:lang w:val="sr-Latn-ME"/>
              </w:rPr>
              <w:t>90 mg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FCB46C" w14:textId="77777777" w:rsidR="00D901C1" w:rsidRPr="00C01AE6" w:rsidRDefault="00D901C1" w:rsidP="00655C9D">
            <w:pPr>
              <w:widowControl w:val="0"/>
              <w:autoSpaceDE w:val="0"/>
              <w:autoSpaceDN w:val="0"/>
              <w:spacing w:line="211" w:lineRule="exact"/>
              <w:ind w:left="95"/>
              <w:rPr>
                <w:sz w:val="22"/>
                <w:szCs w:val="22"/>
                <w:lang w:val="sr-Latn-ME"/>
              </w:rPr>
            </w:pPr>
            <w:r w:rsidRPr="00C01AE6">
              <w:rPr>
                <w:sz w:val="22"/>
                <w:szCs w:val="22"/>
                <w:lang w:val="sr-Latn-ME"/>
              </w:rPr>
              <w:t>0,90 ml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38A26BE0" w14:textId="77777777" w:rsidR="00D901C1" w:rsidRPr="00C01AE6" w:rsidRDefault="00D901C1" w:rsidP="00655C9D">
            <w:pPr>
              <w:widowControl w:val="0"/>
              <w:autoSpaceDE w:val="0"/>
              <w:autoSpaceDN w:val="0"/>
              <w:spacing w:line="211" w:lineRule="exact"/>
              <w:ind w:left="95"/>
              <w:rPr>
                <w:sz w:val="22"/>
                <w:szCs w:val="22"/>
                <w:lang w:val="sr-Latn-ME"/>
              </w:rPr>
            </w:pPr>
            <w:r w:rsidRPr="00C01AE6">
              <w:rPr>
                <w:sz w:val="22"/>
                <w:szCs w:val="22"/>
                <w:lang w:val="sr-Latn-ME"/>
              </w:rPr>
              <w:t>0,8 ml (x 2)</w:t>
            </w:r>
          </w:p>
        </w:tc>
      </w:tr>
      <w:tr w:rsidR="00D901C1" w:rsidRPr="00C01AE6" w14:paraId="70B79815" w14:textId="77777777" w:rsidTr="00655C9D">
        <w:trPr>
          <w:trHeight w:val="295"/>
        </w:trPr>
        <w:tc>
          <w:tcPr>
            <w:tcW w:w="941" w:type="dxa"/>
            <w:tcBorders>
              <w:top w:val="single" w:sz="6" w:space="0" w:color="000000"/>
              <w:right w:val="double" w:sz="1" w:space="0" w:color="000000"/>
            </w:tcBorders>
          </w:tcPr>
          <w:p w14:paraId="13A9998B" w14:textId="77777777" w:rsidR="00D901C1" w:rsidRPr="00C01AE6" w:rsidRDefault="00D901C1" w:rsidP="00655C9D">
            <w:pPr>
              <w:widowControl w:val="0"/>
              <w:autoSpaceDE w:val="0"/>
              <w:autoSpaceDN w:val="0"/>
              <w:spacing w:line="212" w:lineRule="exact"/>
              <w:ind w:left="144" w:right="129"/>
              <w:jc w:val="center"/>
              <w:rPr>
                <w:b/>
                <w:sz w:val="22"/>
                <w:szCs w:val="22"/>
                <w:lang w:val="sr-Latn-ME"/>
              </w:rPr>
            </w:pPr>
            <w:r w:rsidRPr="00C01AE6">
              <w:rPr>
                <w:b/>
                <w:bCs/>
                <w:sz w:val="22"/>
                <w:szCs w:val="22"/>
                <w:lang w:val="sr-Latn-ME"/>
              </w:rPr>
              <w:t>100</w:t>
            </w:r>
          </w:p>
        </w:tc>
        <w:tc>
          <w:tcPr>
            <w:tcW w:w="3732" w:type="dxa"/>
            <w:gridSpan w:val="3"/>
            <w:vMerge/>
            <w:tcBorders>
              <w:top w:val="nil"/>
              <w:left w:val="double" w:sz="1" w:space="0" w:color="000000"/>
              <w:right w:val="double" w:sz="1" w:space="0" w:color="000000"/>
            </w:tcBorders>
          </w:tcPr>
          <w:p w14:paraId="6C7431B9" w14:textId="77777777" w:rsidR="00D901C1" w:rsidRPr="00C01AE6" w:rsidRDefault="00D901C1">
            <w:pPr>
              <w:widowControl w:val="0"/>
              <w:autoSpaceDE w:val="0"/>
              <w:autoSpaceDN w:val="0"/>
              <w:rPr>
                <w:sz w:val="22"/>
                <w:szCs w:val="22"/>
                <w:lang w:val="sr-Latn-ME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double" w:sz="1" w:space="0" w:color="000000"/>
              <w:right w:val="single" w:sz="6" w:space="0" w:color="000000"/>
            </w:tcBorders>
          </w:tcPr>
          <w:p w14:paraId="40A48A4E" w14:textId="77777777" w:rsidR="00D901C1" w:rsidRPr="00C01AE6" w:rsidRDefault="00D901C1" w:rsidP="00655C9D">
            <w:pPr>
              <w:widowControl w:val="0"/>
              <w:autoSpaceDE w:val="0"/>
              <w:autoSpaceDN w:val="0"/>
              <w:spacing w:line="212" w:lineRule="exact"/>
              <w:ind w:left="88"/>
              <w:rPr>
                <w:sz w:val="22"/>
                <w:szCs w:val="22"/>
                <w:lang w:val="sr-Latn-ME"/>
              </w:rPr>
            </w:pPr>
            <w:r w:rsidRPr="00C01AE6">
              <w:rPr>
                <w:sz w:val="22"/>
                <w:szCs w:val="22"/>
                <w:lang w:val="sr-Latn-ME"/>
              </w:rPr>
              <w:t>100 mg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035AB52C" w14:textId="77777777" w:rsidR="00D901C1" w:rsidRPr="00C01AE6" w:rsidRDefault="00D901C1" w:rsidP="00655C9D">
            <w:pPr>
              <w:widowControl w:val="0"/>
              <w:autoSpaceDE w:val="0"/>
              <w:autoSpaceDN w:val="0"/>
              <w:spacing w:line="212" w:lineRule="exact"/>
              <w:ind w:left="95"/>
              <w:rPr>
                <w:sz w:val="22"/>
                <w:szCs w:val="22"/>
                <w:lang w:val="sr-Latn-ME"/>
              </w:rPr>
            </w:pPr>
            <w:r w:rsidRPr="00C01AE6">
              <w:rPr>
                <w:sz w:val="22"/>
                <w:szCs w:val="22"/>
                <w:lang w:val="sr-Latn-ME"/>
              </w:rPr>
              <w:t>1,00 ml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</w:tcBorders>
          </w:tcPr>
          <w:p w14:paraId="49E4FC80" w14:textId="77777777" w:rsidR="00D901C1" w:rsidRPr="00C01AE6" w:rsidRDefault="00D901C1" w:rsidP="00655C9D">
            <w:pPr>
              <w:widowControl w:val="0"/>
              <w:autoSpaceDE w:val="0"/>
              <w:autoSpaceDN w:val="0"/>
              <w:spacing w:line="212" w:lineRule="exact"/>
              <w:ind w:left="95"/>
              <w:rPr>
                <w:sz w:val="22"/>
                <w:szCs w:val="22"/>
                <w:lang w:val="sr-Latn-ME"/>
              </w:rPr>
            </w:pPr>
            <w:r w:rsidRPr="00C01AE6">
              <w:rPr>
                <w:sz w:val="22"/>
                <w:szCs w:val="22"/>
                <w:lang w:val="sr-Latn-ME"/>
              </w:rPr>
              <w:t>0,8 ml (x 2)</w:t>
            </w:r>
          </w:p>
        </w:tc>
      </w:tr>
    </w:tbl>
    <w:p w14:paraId="764C63FF" w14:textId="54922E0D" w:rsidR="00D901C1" w:rsidRPr="00C01AE6" w:rsidRDefault="00D901C1">
      <w:pPr>
        <w:tabs>
          <w:tab w:val="left" w:pos="540"/>
          <w:tab w:val="left" w:pos="569"/>
        </w:tabs>
        <w:rPr>
          <w:bCs/>
          <w:sz w:val="22"/>
          <w:szCs w:val="22"/>
          <w:u w:val="single"/>
          <w:lang w:val="sr-Latn-ME"/>
        </w:rPr>
      </w:pPr>
    </w:p>
    <w:p w14:paraId="166A0FC9" w14:textId="30ABB547" w:rsidR="00FE69AE" w:rsidRPr="00C01AE6" w:rsidRDefault="00FE69AE">
      <w:pPr>
        <w:widowControl w:val="0"/>
        <w:autoSpaceDE w:val="0"/>
        <w:autoSpaceDN w:val="0"/>
        <w:rPr>
          <w:i/>
          <w:iCs/>
          <w:sz w:val="22"/>
          <w:szCs w:val="22"/>
          <w:lang w:val="sr-Latn-ME"/>
        </w:rPr>
      </w:pPr>
    </w:p>
    <w:p w14:paraId="46562575" w14:textId="77777777" w:rsidR="00EE61A1" w:rsidRPr="00C01AE6" w:rsidRDefault="00EE61A1">
      <w:pPr>
        <w:widowControl w:val="0"/>
        <w:autoSpaceDE w:val="0"/>
        <w:autoSpaceDN w:val="0"/>
        <w:rPr>
          <w:i/>
          <w:iCs/>
          <w:sz w:val="22"/>
          <w:szCs w:val="22"/>
          <w:lang w:val="sr-Latn-ME"/>
        </w:rPr>
      </w:pPr>
    </w:p>
    <w:p w14:paraId="53457389" w14:textId="29BB6DA5" w:rsidR="00D901C1" w:rsidRPr="00C01AE6" w:rsidRDefault="00D901C1" w:rsidP="00655C9D">
      <w:pPr>
        <w:widowControl w:val="0"/>
        <w:autoSpaceDE w:val="0"/>
        <w:autoSpaceDN w:val="0"/>
        <w:jc w:val="both"/>
        <w:rPr>
          <w:i/>
          <w:sz w:val="22"/>
          <w:szCs w:val="22"/>
          <w:lang w:val="sr-Latn-ME"/>
        </w:rPr>
      </w:pPr>
      <w:r w:rsidRPr="00C01AE6">
        <w:rPr>
          <w:i/>
          <w:iCs/>
          <w:sz w:val="22"/>
          <w:szCs w:val="22"/>
          <w:lang w:val="sr-Latn-ME"/>
        </w:rPr>
        <w:lastRenderedPageBreak/>
        <w:t>Propuštena doza</w:t>
      </w:r>
    </w:p>
    <w:p w14:paraId="2A6E240A" w14:textId="6B09307F" w:rsidR="00D901C1" w:rsidRPr="00C01AE6" w:rsidRDefault="00D901C1" w:rsidP="00655C9D">
      <w:pPr>
        <w:widowControl w:val="0"/>
        <w:autoSpaceDE w:val="0"/>
        <w:autoSpaceDN w:val="0"/>
        <w:spacing w:line="247" w:lineRule="auto"/>
        <w:ind w:right="212"/>
        <w:jc w:val="both"/>
        <w:rPr>
          <w:sz w:val="22"/>
          <w:szCs w:val="22"/>
          <w:lang w:val="sr-Latn-ME"/>
        </w:rPr>
      </w:pPr>
      <w:r w:rsidRPr="00C01AE6">
        <w:rPr>
          <w:sz w:val="22"/>
          <w:szCs w:val="22"/>
          <w:lang w:val="sr-Latn-ME"/>
        </w:rPr>
        <w:t xml:space="preserve">Ako se propusti doza </w:t>
      </w:r>
      <w:proofErr w:type="spellStart"/>
      <w:r w:rsidRPr="00C01AE6">
        <w:rPr>
          <w:sz w:val="22"/>
          <w:szCs w:val="22"/>
          <w:lang w:val="sr-Latn-ME"/>
        </w:rPr>
        <w:t>asfotaze</w:t>
      </w:r>
      <w:proofErr w:type="spellEnd"/>
      <w:r w:rsidRPr="00C01AE6">
        <w:rPr>
          <w:sz w:val="22"/>
          <w:szCs w:val="22"/>
          <w:lang w:val="sr-Latn-ME"/>
        </w:rPr>
        <w:t xml:space="preserve"> alfa, ne sm</w:t>
      </w:r>
      <w:r w:rsidR="00BA210B" w:rsidRPr="00C01AE6">
        <w:rPr>
          <w:sz w:val="22"/>
          <w:szCs w:val="22"/>
          <w:lang w:val="sr-Latn-ME"/>
        </w:rPr>
        <w:t>ij</w:t>
      </w:r>
      <w:r w:rsidRPr="00C01AE6">
        <w:rPr>
          <w:sz w:val="22"/>
          <w:szCs w:val="22"/>
          <w:lang w:val="sr-Latn-ME"/>
        </w:rPr>
        <w:t xml:space="preserve">e se </w:t>
      </w:r>
      <w:proofErr w:type="spellStart"/>
      <w:r w:rsidR="001D7EA0" w:rsidRPr="00C01AE6">
        <w:rPr>
          <w:sz w:val="22"/>
          <w:szCs w:val="22"/>
          <w:lang w:val="sr-Latn-ME"/>
        </w:rPr>
        <w:t>injicirati</w:t>
      </w:r>
      <w:proofErr w:type="spellEnd"/>
      <w:r w:rsidR="001D7EA0" w:rsidRPr="00C01AE6">
        <w:rPr>
          <w:sz w:val="22"/>
          <w:szCs w:val="22"/>
          <w:lang w:val="sr-Latn-ME"/>
        </w:rPr>
        <w:t xml:space="preserve"> </w:t>
      </w:r>
      <w:r w:rsidRPr="00C01AE6">
        <w:rPr>
          <w:sz w:val="22"/>
          <w:szCs w:val="22"/>
          <w:lang w:val="sr-Latn-ME"/>
        </w:rPr>
        <w:t>dvostruka doza kako bi se nadoknadila propuštena doza.</w:t>
      </w:r>
    </w:p>
    <w:p w14:paraId="674FB3EB" w14:textId="77777777" w:rsidR="00FE69AE" w:rsidRPr="00C01AE6" w:rsidRDefault="00FE69AE" w:rsidP="00655C9D">
      <w:pPr>
        <w:widowControl w:val="0"/>
        <w:autoSpaceDE w:val="0"/>
        <w:autoSpaceDN w:val="0"/>
        <w:ind w:left="132"/>
        <w:jc w:val="both"/>
        <w:rPr>
          <w:sz w:val="22"/>
          <w:szCs w:val="22"/>
          <w:lang w:val="sr-Latn-ME"/>
        </w:rPr>
      </w:pPr>
    </w:p>
    <w:p w14:paraId="6E08125D" w14:textId="481B10BE" w:rsidR="0010346F" w:rsidRPr="00C01AE6" w:rsidRDefault="00D901C1" w:rsidP="00655C9D">
      <w:pPr>
        <w:widowControl w:val="0"/>
        <w:autoSpaceDE w:val="0"/>
        <w:autoSpaceDN w:val="0"/>
        <w:jc w:val="both"/>
        <w:rPr>
          <w:sz w:val="22"/>
          <w:szCs w:val="22"/>
          <w:lang w:val="sr-Latn-ME"/>
        </w:rPr>
      </w:pPr>
      <w:r w:rsidRPr="00C01AE6">
        <w:rPr>
          <w:sz w:val="22"/>
          <w:szCs w:val="22"/>
          <w:u w:val="single"/>
          <w:lang w:val="sr-Latn-ME"/>
        </w:rPr>
        <w:t>Posebn</w:t>
      </w:r>
      <w:r w:rsidR="001200B7" w:rsidRPr="00C01AE6">
        <w:rPr>
          <w:sz w:val="22"/>
          <w:szCs w:val="22"/>
          <w:u w:val="single"/>
          <w:lang w:val="sr-Latn-ME"/>
        </w:rPr>
        <w:t>e</w:t>
      </w:r>
      <w:r w:rsidRPr="00C01AE6">
        <w:rPr>
          <w:sz w:val="22"/>
          <w:szCs w:val="22"/>
          <w:u w:val="single"/>
          <w:lang w:val="sr-Latn-ME"/>
        </w:rPr>
        <w:t xml:space="preserve"> populacij</w:t>
      </w:r>
      <w:r w:rsidR="001200B7" w:rsidRPr="00C01AE6">
        <w:rPr>
          <w:sz w:val="22"/>
          <w:szCs w:val="22"/>
          <w:u w:val="single"/>
          <w:lang w:val="sr-Latn-ME"/>
        </w:rPr>
        <w:t>e</w:t>
      </w:r>
    </w:p>
    <w:p w14:paraId="7F8B92F9" w14:textId="77777777" w:rsidR="00FE69AE" w:rsidRPr="00C01AE6" w:rsidRDefault="00FE69AE" w:rsidP="00655C9D">
      <w:pPr>
        <w:widowControl w:val="0"/>
        <w:autoSpaceDE w:val="0"/>
        <w:autoSpaceDN w:val="0"/>
        <w:jc w:val="both"/>
        <w:rPr>
          <w:i/>
          <w:iCs/>
          <w:sz w:val="22"/>
          <w:szCs w:val="22"/>
          <w:lang w:val="sr-Latn-ME"/>
        </w:rPr>
      </w:pPr>
    </w:p>
    <w:p w14:paraId="03C6E88D" w14:textId="5A8D7342" w:rsidR="00D901C1" w:rsidRPr="00C01AE6" w:rsidRDefault="00D901C1" w:rsidP="00655C9D">
      <w:pPr>
        <w:widowControl w:val="0"/>
        <w:autoSpaceDE w:val="0"/>
        <w:autoSpaceDN w:val="0"/>
        <w:jc w:val="both"/>
        <w:rPr>
          <w:i/>
          <w:sz w:val="22"/>
          <w:szCs w:val="22"/>
          <w:lang w:val="sr-Latn-ME"/>
        </w:rPr>
      </w:pPr>
      <w:r w:rsidRPr="00C01AE6">
        <w:rPr>
          <w:i/>
          <w:iCs/>
          <w:sz w:val="22"/>
          <w:szCs w:val="22"/>
          <w:lang w:val="sr-Latn-ME"/>
        </w:rPr>
        <w:t>Odrasli pacijenti</w:t>
      </w:r>
    </w:p>
    <w:p w14:paraId="00D42C23" w14:textId="22751515" w:rsidR="00D901C1" w:rsidRPr="00C01AE6" w:rsidRDefault="00D901C1" w:rsidP="00655C9D">
      <w:pPr>
        <w:widowControl w:val="0"/>
        <w:autoSpaceDE w:val="0"/>
        <w:autoSpaceDN w:val="0"/>
        <w:spacing w:line="249" w:lineRule="auto"/>
        <w:jc w:val="both"/>
        <w:rPr>
          <w:sz w:val="22"/>
          <w:szCs w:val="22"/>
          <w:lang w:val="sr-Latn-ME"/>
        </w:rPr>
      </w:pPr>
      <w:proofErr w:type="spellStart"/>
      <w:r w:rsidRPr="00C01AE6">
        <w:rPr>
          <w:sz w:val="22"/>
          <w:szCs w:val="22"/>
          <w:lang w:val="sr-Latn-ME"/>
        </w:rPr>
        <w:t>Farmakokinetika</w:t>
      </w:r>
      <w:proofErr w:type="spellEnd"/>
      <w:r w:rsidRPr="00C01AE6">
        <w:rPr>
          <w:sz w:val="22"/>
          <w:szCs w:val="22"/>
          <w:lang w:val="sr-Latn-ME"/>
        </w:rPr>
        <w:t xml:space="preserve">, </w:t>
      </w:r>
      <w:proofErr w:type="spellStart"/>
      <w:r w:rsidRPr="00C01AE6">
        <w:rPr>
          <w:sz w:val="22"/>
          <w:szCs w:val="22"/>
          <w:lang w:val="sr-Latn-ME"/>
        </w:rPr>
        <w:t>farmakodinamika</w:t>
      </w:r>
      <w:proofErr w:type="spellEnd"/>
      <w:r w:rsidRPr="00C01AE6">
        <w:rPr>
          <w:sz w:val="22"/>
          <w:szCs w:val="22"/>
          <w:lang w:val="sr-Latn-ME"/>
        </w:rPr>
        <w:t xml:space="preserve"> i </w:t>
      </w:r>
      <w:r w:rsidR="002A2FD9" w:rsidRPr="00C01AE6">
        <w:rPr>
          <w:sz w:val="22"/>
          <w:szCs w:val="22"/>
          <w:lang w:val="sr-Latn-ME"/>
        </w:rPr>
        <w:t xml:space="preserve">bezbjednost </w:t>
      </w:r>
      <w:proofErr w:type="spellStart"/>
      <w:r w:rsidRPr="00C01AE6">
        <w:rPr>
          <w:sz w:val="22"/>
          <w:szCs w:val="22"/>
          <w:lang w:val="sr-Latn-ME"/>
        </w:rPr>
        <w:t>asfotaze</w:t>
      </w:r>
      <w:proofErr w:type="spellEnd"/>
      <w:r w:rsidRPr="00C01AE6">
        <w:rPr>
          <w:sz w:val="22"/>
          <w:szCs w:val="22"/>
          <w:lang w:val="sr-Latn-ME"/>
        </w:rPr>
        <w:t xml:space="preserve"> alfa ispitivan</w:t>
      </w:r>
      <w:r w:rsidR="00B20849" w:rsidRPr="00C01AE6">
        <w:rPr>
          <w:sz w:val="22"/>
          <w:szCs w:val="22"/>
          <w:lang w:val="sr-Latn-ME"/>
        </w:rPr>
        <w:t>e</w:t>
      </w:r>
      <w:r w:rsidRPr="00C01AE6">
        <w:rPr>
          <w:sz w:val="22"/>
          <w:szCs w:val="22"/>
          <w:lang w:val="sr-Latn-ME"/>
        </w:rPr>
        <w:t xml:space="preserve"> su kod pacijenata sa </w:t>
      </w:r>
      <w:proofErr w:type="spellStart"/>
      <w:r w:rsidRPr="00C01AE6">
        <w:rPr>
          <w:sz w:val="22"/>
          <w:szCs w:val="22"/>
          <w:lang w:val="sr-Latn-ME"/>
        </w:rPr>
        <w:t>hipofosfatazijom</w:t>
      </w:r>
      <w:proofErr w:type="spellEnd"/>
      <w:r w:rsidRPr="00C01AE6">
        <w:rPr>
          <w:sz w:val="22"/>
          <w:szCs w:val="22"/>
          <w:lang w:val="sr-Latn-ME"/>
        </w:rPr>
        <w:t xml:space="preserve"> u uzrastu starijem od 18 godina. Podešavanje doze nije potrebno kod odraslih pacijenata s početkom </w:t>
      </w:r>
      <w:proofErr w:type="spellStart"/>
      <w:r w:rsidRPr="00C01AE6">
        <w:rPr>
          <w:sz w:val="22"/>
          <w:szCs w:val="22"/>
          <w:lang w:val="sr-Latn-ME"/>
        </w:rPr>
        <w:t>hipofosfatazije</w:t>
      </w:r>
      <w:proofErr w:type="spellEnd"/>
      <w:r w:rsidRPr="00C01AE6">
        <w:rPr>
          <w:sz w:val="22"/>
          <w:szCs w:val="22"/>
          <w:lang w:val="sr-Latn-ME"/>
        </w:rPr>
        <w:t xml:space="preserve"> (</w:t>
      </w:r>
      <w:proofErr w:type="spellStart"/>
      <w:r w:rsidRPr="00C01AE6">
        <w:rPr>
          <w:sz w:val="22"/>
          <w:szCs w:val="22"/>
          <w:lang w:val="sr-Latn-ME"/>
        </w:rPr>
        <w:t>HPP</w:t>
      </w:r>
      <w:proofErr w:type="spellEnd"/>
      <w:r w:rsidRPr="00C01AE6">
        <w:rPr>
          <w:sz w:val="22"/>
          <w:szCs w:val="22"/>
          <w:lang w:val="sr-Latn-ME"/>
        </w:rPr>
        <w:t>) u d</w:t>
      </w:r>
      <w:r w:rsidR="002A2FD9" w:rsidRPr="00C01AE6">
        <w:rPr>
          <w:sz w:val="22"/>
          <w:szCs w:val="22"/>
          <w:lang w:val="sr-Latn-ME"/>
        </w:rPr>
        <w:t>j</w:t>
      </w:r>
      <w:r w:rsidRPr="00C01AE6">
        <w:rPr>
          <w:sz w:val="22"/>
          <w:szCs w:val="22"/>
          <w:lang w:val="sr-Latn-ME"/>
        </w:rPr>
        <w:t>eč</w:t>
      </w:r>
      <w:r w:rsidR="002A2FD9" w:rsidRPr="00C01AE6">
        <w:rPr>
          <w:sz w:val="22"/>
          <w:szCs w:val="22"/>
          <w:lang w:val="sr-Latn-ME"/>
        </w:rPr>
        <w:t>i</w:t>
      </w:r>
      <w:r w:rsidRPr="00C01AE6">
        <w:rPr>
          <w:sz w:val="22"/>
          <w:szCs w:val="22"/>
          <w:lang w:val="sr-Latn-ME"/>
        </w:rPr>
        <w:t>jem uzrastu (</w:t>
      </w:r>
      <w:r w:rsidR="00BA210B" w:rsidRPr="00C01AE6">
        <w:rPr>
          <w:sz w:val="22"/>
          <w:szCs w:val="22"/>
          <w:lang w:val="sr-Latn-ME"/>
        </w:rPr>
        <w:t>vidjeti</w:t>
      </w:r>
      <w:r w:rsidRPr="00C01AE6">
        <w:rPr>
          <w:sz w:val="22"/>
          <w:szCs w:val="22"/>
          <w:lang w:val="sr-Latn-ME"/>
        </w:rPr>
        <w:t xml:space="preserve"> </w:t>
      </w:r>
      <w:r w:rsidR="002A2FD9" w:rsidRPr="00C01AE6">
        <w:rPr>
          <w:sz w:val="22"/>
          <w:szCs w:val="22"/>
          <w:lang w:val="sr-Latn-ME"/>
        </w:rPr>
        <w:t xml:space="preserve">djelove </w:t>
      </w:r>
      <w:r w:rsidRPr="00C01AE6">
        <w:rPr>
          <w:sz w:val="22"/>
          <w:szCs w:val="22"/>
          <w:lang w:val="sr-Latn-ME"/>
        </w:rPr>
        <w:t>5.1 i 5.2).</w:t>
      </w:r>
    </w:p>
    <w:p w14:paraId="66ADF60E" w14:textId="77777777" w:rsidR="00D901C1" w:rsidRPr="00C01AE6" w:rsidRDefault="00D901C1" w:rsidP="00655C9D">
      <w:pPr>
        <w:widowControl w:val="0"/>
        <w:autoSpaceDE w:val="0"/>
        <w:autoSpaceDN w:val="0"/>
        <w:jc w:val="both"/>
        <w:rPr>
          <w:sz w:val="22"/>
          <w:szCs w:val="22"/>
          <w:lang w:val="sr-Latn-ME"/>
        </w:rPr>
      </w:pPr>
    </w:p>
    <w:p w14:paraId="3AC571E5" w14:textId="77777777" w:rsidR="00D901C1" w:rsidRPr="00C01AE6" w:rsidRDefault="00D901C1" w:rsidP="00655C9D">
      <w:pPr>
        <w:widowControl w:val="0"/>
        <w:autoSpaceDE w:val="0"/>
        <w:autoSpaceDN w:val="0"/>
        <w:jc w:val="both"/>
        <w:rPr>
          <w:i/>
          <w:sz w:val="22"/>
          <w:szCs w:val="22"/>
          <w:lang w:val="sr-Latn-ME"/>
        </w:rPr>
      </w:pPr>
      <w:r w:rsidRPr="00C01AE6">
        <w:rPr>
          <w:i/>
          <w:iCs/>
          <w:sz w:val="22"/>
          <w:szCs w:val="22"/>
          <w:lang w:val="sr-Latn-ME"/>
        </w:rPr>
        <w:t>Stariji pacijenti</w:t>
      </w:r>
    </w:p>
    <w:p w14:paraId="43AF3855" w14:textId="34997A2A" w:rsidR="00D901C1" w:rsidRPr="00C01AE6" w:rsidRDefault="00D901C1" w:rsidP="00655C9D">
      <w:pPr>
        <w:widowControl w:val="0"/>
        <w:autoSpaceDE w:val="0"/>
        <w:autoSpaceDN w:val="0"/>
        <w:spacing w:line="247" w:lineRule="auto"/>
        <w:ind w:right="212"/>
        <w:jc w:val="both"/>
        <w:rPr>
          <w:sz w:val="22"/>
          <w:szCs w:val="22"/>
          <w:lang w:val="sr-Latn-ME"/>
        </w:rPr>
      </w:pPr>
      <w:r w:rsidRPr="00C01AE6">
        <w:rPr>
          <w:sz w:val="22"/>
          <w:szCs w:val="22"/>
          <w:lang w:val="sr-Latn-ME"/>
        </w:rPr>
        <w:t>Bezb</w:t>
      </w:r>
      <w:r w:rsidR="00BA210B" w:rsidRPr="00C01AE6">
        <w:rPr>
          <w:sz w:val="22"/>
          <w:szCs w:val="22"/>
          <w:lang w:val="sr-Latn-ME"/>
        </w:rPr>
        <w:t>j</w:t>
      </w:r>
      <w:r w:rsidRPr="00C01AE6">
        <w:rPr>
          <w:sz w:val="22"/>
          <w:szCs w:val="22"/>
          <w:lang w:val="sr-Latn-ME"/>
        </w:rPr>
        <w:t xml:space="preserve">ednost i efikasnost </w:t>
      </w:r>
      <w:proofErr w:type="spellStart"/>
      <w:r w:rsidRPr="00C01AE6">
        <w:rPr>
          <w:sz w:val="22"/>
          <w:szCs w:val="22"/>
          <w:lang w:val="sr-Latn-ME"/>
        </w:rPr>
        <w:t>asfotaze</w:t>
      </w:r>
      <w:proofErr w:type="spellEnd"/>
      <w:r w:rsidRPr="00C01AE6">
        <w:rPr>
          <w:sz w:val="22"/>
          <w:szCs w:val="22"/>
          <w:lang w:val="sr-Latn-ME"/>
        </w:rPr>
        <w:t xml:space="preserve"> alfa kod starijih pacijenata ni</w:t>
      </w:r>
      <w:r w:rsidR="002A2FD9" w:rsidRPr="00C01AE6">
        <w:rPr>
          <w:sz w:val="22"/>
          <w:szCs w:val="22"/>
          <w:lang w:val="sr-Latn-ME"/>
        </w:rPr>
        <w:t>je</w:t>
      </w:r>
      <w:r w:rsidRPr="00C01AE6">
        <w:rPr>
          <w:sz w:val="22"/>
          <w:szCs w:val="22"/>
          <w:lang w:val="sr-Latn-ME"/>
        </w:rPr>
        <w:t>su ustanovljene i tim pacijentima se ne može preporučiti poseban režim doziranja.</w:t>
      </w:r>
    </w:p>
    <w:p w14:paraId="3410DC10" w14:textId="77777777" w:rsidR="00D901C1" w:rsidRPr="00C01AE6" w:rsidRDefault="00D901C1" w:rsidP="00655C9D">
      <w:pPr>
        <w:widowControl w:val="0"/>
        <w:autoSpaceDE w:val="0"/>
        <w:autoSpaceDN w:val="0"/>
        <w:jc w:val="both"/>
        <w:rPr>
          <w:sz w:val="22"/>
          <w:szCs w:val="22"/>
          <w:lang w:val="sr-Latn-ME"/>
        </w:rPr>
      </w:pPr>
    </w:p>
    <w:p w14:paraId="05D71AB9" w14:textId="77777777" w:rsidR="00D901C1" w:rsidRPr="00C01AE6" w:rsidRDefault="00D901C1" w:rsidP="00655C9D">
      <w:pPr>
        <w:widowControl w:val="0"/>
        <w:autoSpaceDE w:val="0"/>
        <w:autoSpaceDN w:val="0"/>
        <w:jc w:val="both"/>
        <w:rPr>
          <w:i/>
          <w:sz w:val="22"/>
          <w:szCs w:val="22"/>
          <w:lang w:val="sr-Latn-ME"/>
        </w:rPr>
      </w:pPr>
      <w:r w:rsidRPr="00C01AE6">
        <w:rPr>
          <w:i/>
          <w:iCs/>
          <w:sz w:val="22"/>
          <w:szCs w:val="22"/>
          <w:lang w:val="sr-Latn-ME"/>
        </w:rPr>
        <w:t>Oštećenje funkcije bubrega</w:t>
      </w:r>
    </w:p>
    <w:p w14:paraId="2828D492" w14:textId="33E55B37" w:rsidR="00D901C1" w:rsidRPr="00C01AE6" w:rsidRDefault="00BA210B" w:rsidP="00655C9D">
      <w:pPr>
        <w:widowControl w:val="0"/>
        <w:autoSpaceDE w:val="0"/>
        <w:autoSpaceDN w:val="0"/>
        <w:spacing w:line="247" w:lineRule="auto"/>
        <w:ind w:right="212"/>
        <w:jc w:val="both"/>
        <w:rPr>
          <w:sz w:val="22"/>
          <w:szCs w:val="22"/>
          <w:lang w:val="sr-Latn-ME"/>
        </w:rPr>
      </w:pPr>
      <w:r w:rsidRPr="00C01AE6">
        <w:rPr>
          <w:sz w:val="22"/>
          <w:szCs w:val="22"/>
          <w:lang w:val="sr-Latn-ME"/>
        </w:rPr>
        <w:t>Bezbjednost</w:t>
      </w:r>
      <w:r w:rsidR="00D901C1" w:rsidRPr="00C01AE6">
        <w:rPr>
          <w:sz w:val="22"/>
          <w:szCs w:val="22"/>
          <w:lang w:val="sr-Latn-ME"/>
        </w:rPr>
        <w:t xml:space="preserve"> i efikasnost </w:t>
      </w:r>
      <w:proofErr w:type="spellStart"/>
      <w:r w:rsidR="00D901C1" w:rsidRPr="00C01AE6">
        <w:rPr>
          <w:sz w:val="22"/>
          <w:szCs w:val="22"/>
          <w:lang w:val="sr-Latn-ME"/>
        </w:rPr>
        <w:t>asfotaze</w:t>
      </w:r>
      <w:proofErr w:type="spellEnd"/>
      <w:r w:rsidR="00D901C1" w:rsidRPr="00C01AE6">
        <w:rPr>
          <w:sz w:val="22"/>
          <w:szCs w:val="22"/>
          <w:lang w:val="sr-Latn-ME"/>
        </w:rPr>
        <w:t xml:space="preserve"> alfa kod pacijenata sa oštećenom funkcijom bubrega ni</w:t>
      </w:r>
      <w:r w:rsidR="002A2FD9" w:rsidRPr="00C01AE6">
        <w:rPr>
          <w:sz w:val="22"/>
          <w:szCs w:val="22"/>
          <w:lang w:val="sr-Latn-ME"/>
        </w:rPr>
        <w:t>je</w:t>
      </w:r>
      <w:r w:rsidR="00D901C1" w:rsidRPr="00C01AE6">
        <w:rPr>
          <w:sz w:val="22"/>
          <w:szCs w:val="22"/>
          <w:lang w:val="sr-Latn-ME"/>
        </w:rPr>
        <w:t xml:space="preserve">su </w:t>
      </w:r>
      <w:r w:rsidRPr="00C01AE6">
        <w:rPr>
          <w:sz w:val="22"/>
          <w:szCs w:val="22"/>
          <w:lang w:val="sr-Latn-ME"/>
        </w:rPr>
        <w:t>procijenjene</w:t>
      </w:r>
      <w:r w:rsidR="00D901C1" w:rsidRPr="00C01AE6">
        <w:rPr>
          <w:sz w:val="22"/>
          <w:szCs w:val="22"/>
          <w:lang w:val="sr-Latn-ME"/>
        </w:rPr>
        <w:t xml:space="preserve"> i tim pacijentima se ne može preporučiti poseban režim doziranja.</w:t>
      </w:r>
    </w:p>
    <w:p w14:paraId="416FA2B5" w14:textId="77777777" w:rsidR="00D901C1" w:rsidRPr="00C01AE6" w:rsidRDefault="00D901C1" w:rsidP="00655C9D">
      <w:pPr>
        <w:widowControl w:val="0"/>
        <w:autoSpaceDE w:val="0"/>
        <w:autoSpaceDN w:val="0"/>
        <w:jc w:val="both"/>
        <w:rPr>
          <w:sz w:val="22"/>
          <w:szCs w:val="22"/>
          <w:lang w:val="sr-Latn-ME"/>
        </w:rPr>
      </w:pPr>
    </w:p>
    <w:p w14:paraId="72C1C009" w14:textId="77777777" w:rsidR="00D901C1" w:rsidRPr="00C01AE6" w:rsidRDefault="00D901C1" w:rsidP="00655C9D">
      <w:pPr>
        <w:widowControl w:val="0"/>
        <w:autoSpaceDE w:val="0"/>
        <w:autoSpaceDN w:val="0"/>
        <w:jc w:val="both"/>
        <w:rPr>
          <w:i/>
          <w:sz w:val="22"/>
          <w:szCs w:val="22"/>
          <w:lang w:val="sr-Latn-ME"/>
        </w:rPr>
      </w:pPr>
      <w:r w:rsidRPr="00C01AE6">
        <w:rPr>
          <w:i/>
          <w:iCs/>
          <w:sz w:val="22"/>
          <w:szCs w:val="22"/>
          <w:lang w:val="sr-Latn-ME"/>
        </w:rPr>
        <w:t>Oštećenje funkcije jetre</w:t>
      </w:r>
    </w:p>
    <w:p w14:paraId="0DF101A6" w14:textId="7C8A11FD" w:rsidR="00D901C1" w:rsidRPr="00C01AE6" w:rsidRDefault="00BA210B" w:rsidP="00655C9D">
      <w:pPr>
        <w:widowControl w:val="0"/>
        <w:autoSpaceDE w:val="0"/>
        <w:autoSpaceDN w:val="0"/>
        <w:spacing w:line="249" w:lineRule="auto"/>
        <w:ind w:right="212"/>
        <w:jc w:val="both"/>
        <w:rPr>
          <w:sz w:val="22"/>
          <w:szCs w:val="22"/>
          <w:lang w:val="sr-Latn-ME"/>
        </w:rPr>
      </w:pPr>
      <w:r w:rsidRPr="00C01AE6">
        <w:rPr>
          <w:sz w:val="22"/>
          <w:szCs w:val="22"/>
          <w:lang w:val="sr-Latn-ME"/>
        </w:rPr>
        <w:t>Bezbjednost</w:t>
      </w:r>
      <w:r w:rsidR="00D901C1" w:rsidRPr="00C01AE6">
        <w:rPr>
          <w:sz w:val="22"/>
          <w:szCs w:val="22"/>
          <w:lang w:val="sr-Latn-ME"/>
        </w:rPr>
        <w:t xml:space="preserve"> i efikasnost </w:t>
      </w:r>
      <w:proofErr w:type="spellStart"/>
      <w:r w:rsidR="00D901C1" w:rsidRPr="00C01AE6">
        <w:rPr>
          <w:sz w:val="22"/>
          <w:szCs w:val="22"/>
          <w:lang w:val="sr-Latn-ME"/>
        </w:rPr>
        <w:t>asfotaze</w:t>
      </w:r>
      <w:proofErr w:type="spellEnd"/>
      <w:r w:rsidR="00D901C1" w:rsidRPr="00C01AE6">
        <w:rPr>
          <w:sz w:val="22"/>
          <w:szCs w:val="22"/>
          <w:lang w:val="sr-Latn-ME"/>
        </w:rPr>
        <w:t xml:space="preserve"> alfa kod pacijenata sa oštećenom funkcijom jetre ni</w:t>
      </w:r>
      <w:r w:rsidR="002A2FD9" w:rsidRPr="00C01AE6">
        <w:rPr>
          <w:sz w:val="22"/>
          <w:szCs w:val="22"/>
          <w:lang w:val="sr-Latn-ME"/>
        </w:rPr>
        <w:t>je</w:t>
      </w:r>
      <w:r w:rsidR="00D901C1" w:rsidRPr="00C01AE6">
        <w:rPr>
          <w:sz w:val="22"/>
          <w:szCs w:val="22"/>
          <w:lang w:val="sr-Latn-ME"/>
        </w:rPr>
        <w:t xml:space="preserve">su </w:t>
      </w:r>
      <w:r w:rsidRPr="00C01AE6">
        <w:rPr>
          <w:sz w:val="22"/>
          <w:szCs w:val="22"/>
          <w:lang w:val="sr-Latn-ME"/>
        </w:rPr>
        <w:t>procijenjene</w:t>
      </w:r>
      <w:r w:rsidR="00D901C1" w:rsidRPr="00C01AE6">
        <w:rPr>
          <w:sz w:val="22"/>
          <w:szCs w:val="22"/>
          <w:lang w:val="sr-Latn-ME"/>
        </w:rPr>
        <w:t xml:space="preserve"> i tim pacijentima se ne može preporučiti poseban režim doziranja.</w:t>
      </w:r>
    </w:p>
    <w:p w14:paraId="06FD9B71" w14:textId="77777777" w:rsidR="00D901C1" w:rsidRPr="00C01AE6" w:rsidRDefault="00D901C1" w:rsidP="00655C9D">
      <w:pPr>
        <w:tabs>
          <w:tab w:val="left" w:pos="540"/>
          <w:tab w:val="left" w:pos="569"/>
        </w:tabs>
        <w:jc w:val="both"/>
        <w:rPr>
          <w:bCs/>
          <w:sz w:val="22"/>
          <w:szCs w:val="22"/>
          <w:u w:val="single"/>
          <w:lang w:val="sr-Latn-ME"/>
        </w:rPr>
      </w:pPr>
    </w:p>
    <w:p w14:paraId="3760E1C8" w14:textId="77777777" w:rsidR="00452E9D" w:rsidRPr="00C01AE6" w:rsidRDefault="00452E9D" w:rsidP="00655C9D">
      <w:pPr>
        <w:tabs>
          <w:tab w:val="left" w:pos="540"/>
          <w:tab w:val="left" w:pos="569"/>
        </w:tabs>
        <w:jc w:val="both"/>
        <w:rPr>
          <w:bCs/>
          <w:sz w:val="22"/>
          <w:szCs w:val="22"/>
          <w:u w:val="single"/>
          <w:lang w:val="sr-Latn-ME"/>
        </w:rPr>
      </w:pPr>
      <w:r w:rsidRPr="00C01AE6">
        <w:rPr>
          <w:bCs/>
          <w:sz w:val="22"/>
          <w:szCs w:val="22"/>
          <w:u w:val="single"/>
          <w:lang w:val="sr-Latn-ME"/>
        </w:rPr>
        <w:t>Način primjene</w:t>
      </w:r>
    </w:p>
    <w:p w14:paraId="1AC29677" w14:textId="2960DAD2" w:rsidR="00452E9D" w:rsidRPr="00C01AE6" w:rsidRDefault="00452E9D" w:rsidP="00655C9D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787C5789" w14:textId="00B682CD" w:rsidR="00D36EE8" w:rsidRPr="00C01AE6" w:rsidRDefault="002A2FD9" w:rsidP="00655C9D">
      <w:pPr>
        <w:widowControl w:val="0"/>
        <w:autoSpaceDE w:val="0"/>
        <w:autoSpaceDN w:val="0"/>
        <w:spacing w:line="249" w:lineRule="auto"/>
        <w:jc w:val="both"/>
        <w:rPr>
          <w:sz w:val="22"/>
          <w:szCs w:val="22"/>
          <w:lang w:val="sr-Latn-ME"/>
        </w:rPr>
      </w:pPr>
      <w:r w:rsidRPr="00C01AE6">
        <w:rPr>
          <w:sz w:val="22"/>
          <w:szCs w:val="22"/>
          <w:lang w:val="sr-Latn-ME"/>
        </w:rPr>
        <w:t xml:space="preserve">Lijek </w:t>
      </w:r>
      <w:proofErr w:type="spellStart"/>
      <w:r w:rsidR="00D901C1" w:rsidRPr="00C01AE6">
        <w:rPr>
          <w:sz w:val="22"/>
          <w:szCs w:val="22"/>
          <w:lang w:val="sr-Latn-ME"/>
        </w:rPr>
        <w:t>Strensiq</w:t>
      </w:r>
      <w:proofErr w:type="spellEnd"/>
      <w:r w:rsidR="00D901C1" w:rsidRPr="00C01AE6">
        <w:rPr>
          <w:sz w:val="22"/>
          <w:szCs w:val="22"/>
          <w:lang w:val="sr-Latn-ME"/>
        </w:rPr>
        <w:t xml:space="preserve"> je nam</w:t>
      </w:r>
      <w:r w:rsidR="00BA210B" w:rsidRPr="00C01AE6">
        <w:rPr>
          <w:sz w:val="22"/>
          <w:szCs w:val="22"/>
          <w:lang w:val="sr-Latn-ME"/>
        </w:rPr>
        <w:t>ij</w:t>
      </w:r>
      <w:r w:rsidR="00D901C1" w:rsidRPr="00C01AE6">
        <w:rPr>
          <w:sz w:val="22"/>
          <w:szCs w:val="22"/>
          <w:lang w:val="sr-Latn-ME"/>
        </w:rPr>
        <w:t xml:space="preserve">enjen samo za </w:t>
      </w:r>
      <w:proofErr w:type="spellStart"/>
      <w:r w:rsidR="00D901C1" w:rsidRPr="00C01AE6">
        <w:rPr>
          <w:sz w:val="22"/>
          <w:szCs w:val="22"/>
          <w:lang w:val="sr-Latn-ME"/>
        </w:rPr>
        <w:t>su</w:t>
      </w:r>
      <w:r w:rsidR="00432666" w:rsidRPr="00C01AE6">
        <w:rPr>
          <w:sz w:val="22"/>
          <w:szCs w:val="22"/>
          <w:lang w:val="sr-Latn-ME"/>
        </w:rPr>
        <w:t>b</w:t>
      </w:r>
      <w:r w:rsidR="00D901C1" w:rsidRPr="00C01AE6">
        <w:rPr>
          <w:sz w:val="22"/>
          <w:szCs w:val="22"/>
          <w:lang w:val="sr-Latn-ME"/>
        </w:rPr>
        <w:t>kutanu</w:t>
      </w:r>
      <w:proofErr w:type="spellEnd"/>
      <w:r w:rsidR="00D901C1" w:rsidRPr="00C01AE6">
        <w:rPr>
          <w:sz w:val="22"/>
          <w:szCs w:val="22"/>
          <w:lang w:val="sr-Latn-ME"/>
        </w:rPr>
        <w:t xml:space="preserve"> prim</w:t>
      </w:r>
      <w:r w:rsidR="00BA210B" w:rsidRPr="00C01AE6">
        <w:rPr>
          <w:sz w:val="22"/>
          <w:szCs w:val="22"/>
          <w:lang w:val="sr-Latn-ME"/>
        </w:rPr>
        <w:t>j</w:t>
      </w:r>
      <w:r w:rsidR="00D901C1" w:rsidRPr="00C01AE6">
        <w:rPr>
          <w:sz w:val="22"/>
          <w:szCs w:val="22"/>
          <w:lang w:val="sr-Latn-ME"/>
        </w:rPr>
        <w:t>enu. Nije nam</w:t>
      </w:r>
      <w:r w:rsidR="00BA210B" w:rsidRPr="00C01AE6">
        <w:rPr>
          <w:sz w:val="22"/>
          <w:szCs w:val="22"/>
          <w:lang w:val="sr-Latn-ME"/>
        </w:rPr>
        <w:t>ij</w:t>
      </w:r>
      <w:r w:rsidR="00D901C1" w:rsidRPr="00C01AE6">
        <w:rPr>
          <w:sz w:val="22"/>
          <w:szCs w:val="22"/>
          <w:lang w:val="sr-Latn-ME"/>
        </w:rPr>
        <w:t xml:space="preserve">enjen za </w:t>
      </w:r>
      <w:proofErr w:type="spellStart"/>
      <w:r w:rsidR="00D901C1" w:rsidRPr="00C01AE6">
        <w:rPr>
          <w:sz w:val="22"/>
          <w:szCs w:val="22"/>
          <w:lang w:val="sr-Latn-ME"/>
        </w:rPr>
        <w:t>intravensku</w:t>
      </w:r>
      <w:proofErr w:type="spellEnd"/>
      <w:r w:rsidR="00D901C1" w:rsidRPr="00C01AE6">
        <w:rPr>
          <w:sz w:val="22"/>
          <w:szCs w:val="22"/>
          <w:lang w:val="sr-Latn-ME"/>
        </w:rPr>
        <w:t xml:space="preserve"> ili intramuskularnu injekciju. </w:t>
      </w:r>
    </w:p>
    <w:p w14:paraId="7C406350" w14:textId="364D5664" w:rsidR="00D901C1" w:rsidRPr="00C01AE6" w:rsidRDefault="00D901C1" w:rsidP="00655C9D">
      <w:pPr>
        <w:widowControl w:val="0"/>
        <w:autoSpaceDE w:val="0"/>
        <w:autoSpaceDN w:val="0"/>
        <w:spacing w:line="249" w:lineRule="auto"/>
        <w:ind w:right="212"/>
        <w:jc w:val="both"/>
        <w:rPr>
          <w:sz w:val="22"/>
          <w:szCs w:val="22"/>
          <w:lang w:val="sr-Latn-ME"/>
        </w:rPr>
      </w:pPr>
      <w:r w:rsidRPr="00C01AE6">
        <w:rPr>
          <w:sz w:val="22"/>
          <w:szCs w:val="22"/>
          <w:lang w:val="sr-Latn-ME"/>
        </w:rPr>
        <w:t>Maksimalni volumen l</w:t>
      </w:r>
      <w:r w:rsidR="00BA210B" w:rsidRPr="00C01AE6">
        <w:rPr>
          <w:sz w:val="22"/>
          <w:szCs w:val="22"/>
          <w:lang w:val="sr-Latn-ME"/>
        </w:rPr>
        <w:t>ij</w:t>
      </w:r>
      <w:r w:rsidRPr="00C01AE6">
        <w:rPr>
          <w:sz w:val="22"/>
          <w:szCs w:val="22"/>
          <w:lang w:val="sr-Latn-ME"/>
        </w:rPr>
        <w:t xml:space="preserve">eka po injekciji </w:t>
      </w:r>
      <w:r w:rsidR="00B20849" w:rsidRPr="00C01AE6">
        <w:rPr>
          <w:sz w:val="22"/>
          <w:szCs w:val="22"/>
          <w:lang w:val="sr-Latn-ME"/>
        </w:rPr>
        <w:t>ne smije prelaziti</w:t>
      </w:r>
      <w:r w:rsidRPr="00C01AE6">
        <w:rPr>
          <w:sz w:val="22"/>
          <w:szCs w:val="22"/>
          <w:lang w:val="sr-Latn-ME"/>
        </w:rPr>
        <w:t xml:space="preserve"> 1 ml. Ako je potrebno više od 1 ml, može</w:t>
      </w:r>
      <w:r w:rsidR="002A2FD9" w:rsidRPr="00C01AE6">
        <w:rPr>
          <w:sz w:val="22"/>
          <w:szCs w:val="22"/>
          <w:lang w:val="sr-Latn-ME"/>
        </w:rPr>
        <w:t xml:space="preserve"> </w:t>
      </w:r>
      <w:r w:rsidRPr="00C01AE6">
        <w:rPr>
          <w:sz w:val="22"/>
          <w:szCs w:val="22"/>
          <w:lang w:val="sr-Latn-ME"/>
        </w:rPr>
        <w:t>se isto</w:t>
      </w:r>
      <w:r w:rsidR="005B26E6" w:rsidRPr="00C01AE6">
        <w:rPr>
          <w:sz w:val="22"/>
          <w:szCs w:val="22"/>
          <w:lang w:val="sr-Latn-ME"/>
        </w:rPr>
        <w:t>vreme</w:t>
      </w:r>
      <w:r w:rsidRPr="00C01AE6">
        <w:rPr>
          <w:sz w:val="22"/>
          <w:szCs w:val="22"/>
          <w:lang w:val="sr-Latn-ME"/>
        </w:rPr>
        <w:t xml:space="preserve">no </w:t>
      </w:r>
      <w:r w:rsidR="00BA210B" w:rsidRPr="00C01AE6">
        <w:rPr>
          <w:sz w:val="22"/>
          <w:szCs w:val="22"/>
          <w:lang w:val="sr-Latn-ME"/>
        </w:rPr>
        <w:t>primijeniti</w:t>
      </w:r>
      <w:r w:rsidRPr="00C01AE6">
        <w:rPr>
          <w:sz w:val="22"/>
          <w:szCs w:val="22"/>
          <w:lang w:val="sr-Latn-ME"/>
        </w:rPr>
        <w:t xml:space="preserve"> više injekcija.</w:t>
      </w:r>
    </w:p>
    <w:p w14:paraId="4D2EFFCE" w14:textId="18B973DE" w:rsidR="00D901C1" w:rsidRPr="00C01AE6" w:rsidRDefault="002A2FD9" w:rsidP="00655C9D">
      <w:pPr>
        <w:widowControl w:val="0"/>
        <w:autoSpaceDE w:val="0"/>
        <w:autoSpaceDN w:val="0"/>
        <w:spacing w:line="249" w:lineRule="auto"/>
        <w:jc w:val="both"/>
        <w:rPr>
          <w:sz w:val="22"/>
          <w:szCs w:val="22"/>
          <w:lang w:val="sr-Latn-ME"/>
        </w:rPr>
      </w:pPr>
      <w:r w:rsidRPr="00C01AE6">
        <w:rPr>
          <w:sz w:val="22"/>
          <w:szCs w:val="22"/>
          <w:lang w:val="sr-Latn-ME"/>
        </w:rPr>
        <w:t xml:space="preserve">Lijek </w:t>
      </w:r>
      <w:proofErr w:type="spellStart"/>
      <w:r w:rsidR="00D901C1" w:rsidRPr="00C01AE6">
        <w:rPr>
          <w:sz w:val="22"/>
          <w:szCs w:val="22"/>
          <w:lang w:val="sr-Latn-ME"/>
        </w:rPr>
        <w:t>Strensiq</w:t>
      </w:r>
      <w:proofErr w:type="spellEnd"/>
      <w:r w:rsidR="00D901C1" w:rsidRPr="00C01AE6">
        <w:rPr>
          <w:sz w:val="22"/>
          <w:szCs w:val="22"/>
          <w:lang w:val="sr-Latn-ME"/>
        </w:rPr>
        <w:t xml:space="preserve"> treba </w:t>
      </w:r>
      <w:r w:rsidR="00BA210B" w:rsidRPr="00C01AE6">
        <w:rPr>
          <w:sz w:val="22"/>
          <w:szCs w:val="22"/>
          <w:lang w:val="sr-Latn-ME"/>
        </w:rPr>
        <w:t>primijeniti</w:t>
      </w:r>
      <w:r w:rsidR="00D901C1" w:rsidRPr="00C01AE6">
        <w:rPr>
          <w:sz w:val="22"/>
          <w:szCs w:val="22"/>
          <w:lang w:val="sr-Latn-ME"/>
        </w:rPr>
        <w:t xml:space="preserve"> upotrebom sterilnih špriceva i injekcionih igala za jednokratnu upotrebu. Špricevi moraju biti dovoljno malog volumena da se propisana doza može izvući iz bočice s pouzdanom tačnošću.</w:t>
      </w:r>
    </w:p>
    <w:p w14:paraId="1F185289" w14:textId="77777777" w:rsidR="00D901C1" w:rsidRPr="00C01AE6" w:rsidRDefault="00D901C1" w:rsidP="00655C9D">
      <w:pPr>
        <w:widowControl w:val="0"/>
        <w:autoSpaceDE w:val="0"/>
        <w:autoSpaceDN w:val="0"/>
        <w:jc w:val="both"/>
        <w:rPr>
          <w:sz w:val="22"/>
          <w:szCs w:val="22"/>
          <w:lang w:val="sr-Latn-ME"/>
        </w:rPr>
      </w:pPr>
    </w:p>
    <w:p w14:paraId="03231D4D" w14:textId="4FF81943" w:rsidR="00D901C1" w:rsidRPr="00C01AE6" w:rsidRDefault="00D901C1" w:rsidP="00655C9D">
      <w:pPr>
        <w:widowControl w:val="0"/>
        <w:autoSpaceDE w:val="0"/>
        <w:autoSpaceDN w:val="0"/>
        <w:spacing w:line="249" w:lineRule="auto"/>
        <w:jc w:val="both"/>
        <w:rPr>
          <w:sz w:val="22"/>
          <w:szCs w:val="22"/>
          <w:lang w:val="sr-Latn-ME"/>
        </w:rPr>
      </w:pPr>
      <w:r w:rsidRPr="00C01AE6">
        <w:rPr>
          <w:sz w:val="22"/>
          <w:szCs w:val="22"/>
          <w:lang w:val="sr-Latn-ME"/>
        </w:rPr>
        <w:t>M</w:t>
      </w:r>
      <w:r w:rsidR="00BA210B" w:rsidRPr="00C01AE6">
        <w:rPr>
          <w:sz w:val="22"/>
          <w:szCs w:val="22"/>
          <w:lang w:val="sr-Latn-ME"/>
        </w:rPr>
        <w:t>j</w:t>
      </w:r>
      <w:r w:rsidRPr="00C01AE6">
        <w:rPr>
          <w:sz w:val="22"/>
          <w:szCs w:val="22"/>
          <w:lang w:val="sr-Latn-ME"/>
        </w:rPr>
        <w:t>esta prim</w:t>
      </w:r>
      <w:r w:rsidR="00BA210B" w:rsidRPr="00C01AE6">
        <w:rPr>
          <w:sz w:val="22"/>
          <w:szCs w:val="22"/>
          <w:lang w:val="sr-Latn-ME"/>
        </w:rPr>
        <w:t>j</w:t>
      </w:r>
      <w:r w:rsidRPr="00C01AE6">
        <w:rPr>
          <w:sz w:val="22"/>
          <w:szCs w:val="22"/>
          <w:lang w:val="sr-Latn-ME"/>
        </w:rPr>
        <w:t>ene injekcije treba m</w:t>
      </w:r>
      <w:r w:rsidR="00B20849" w:rsidRPr="00C01AE6">
        <w:rPr>
          <w:sz w:val="22"/>
          <w:szCs w:val="22"/>
          <w:lang w:val="sr-Latn-ME"/>
        </w:rPr>
        <w:t>ij</w:t>
      </w:r>
      <w:r w:rsidRPr="00C01AE6">
        <w:rPr>
          <w:sz w:val="22"/>
          <w:szCs w:val="22"/>
          <w:lang w:val="sr-Latn-ME"/>
        </w:rPr>
        <w:t xml:space="preserve">enjati i pažljivo </w:t>
      </w:r>
      <w:r w:rsidR="002A2FD9" w:rsidRPr="00C01AE6">
        <w:rPr>
          <w:sz w:val="22"/>
          <w:szCs w:val="22"/>
          <w:lang w:val="sr-Latn-ME"/>
        </w:rPr>
        <w:t xml:space="preserve">pratiti </w:t>
      </w:r>
      <w:r w:rsidRPr="00C01AE6">
        <w:rPr>
          <w:sz w:val="22"/>
          <w:szCs w:val="22"/>
          <w:lang w:val="sr-Latn-ME"/>
        </w:rPr>
        <w:t>zbog znakova mogućih reakcija (</w:t>
      </w:r>
      <w:r w:rsidR="00BA210B" w:rsidRPr="00C01AE6">
        <w:rPr>
          <w:sz w:val="22"/>
          <w:szCs w:val="22"/>
          <w:lang w:val="sr-Latn-ME"/>
        </w:rPr>
        <w:t>vidjeti</w:t>
      </w:r>
      <w:r w:rsidRPr="00C01AE6">
        <w:rPr>
          <w:sz w:val="22"/>
          <w:szCs w:val="22"/>
          <w:lang w:val="sr-Latn-ME"/>
        </w:rPr>
        <w:t xml:space="preserve"> </w:t>
      </w:r>
      <w:r w:rsidR="008B6182" w:rsidRPr="00C01AE6">
        <w:rPr>
          <w:sz w:val="22"/>
          <w:szCs w:val="22"/>
          <w:lang w:val="sr-Latn-ME"/>
        </w:rPr>
        <w:t>dio</w:t>
      </w:r>
      <w:r w:rsidRPr="00C01AE6">
        <w:rPr>
          <w:sz w:val="22"/>
          <w:szCs w:val="22"/>
          <w:lang w:val="sr-Latn-ME"/>
        </w:rPr>
        <w:t xml:space="preserve"> 4.4).</w:t>
      </w:r>
    </w:p>
    <w:p w14:paraId="7527CA0B" w14:textId="77777777" w:rsidR="00D901C1" w:rsidRPr="00C01AE6" w:rsidRDefault="00D901C1" w:rsidP="00655C9D">
      <w:pPr>
        <w:widowControl w:val="0"/>
        <w:autoSpaceDE w:val="0"/>
        <w:autoSpaceDN w:val="0"/>
        <w:jc w:val="both"/>
        <w:rPr>
          <w:sz w:val="22"/>
          <w:szCs w:val="22"/>
          <w:lang w:val="sr-Latn-ME"/>
        </w:rPr>
      </w:pPr>
    </w:p>
    <w:p w14:paraId="127EF53F" w14:textId="7BEDFE7F" w:rsidR="00D901C1" w:rsidRPr="00C01AE6" w:rsidRDefault="00D901C1" w:rsidP="00655C9D">
      <w:pPr>
        <w:widowControl w:val="0"/>
        <w:autoSpaceDE w:val="0"/>
        <w:autoSpaceDN w:val="0"/>
        <w:spacing w:line="247" w:lineRule="auto"/>
        <w:jc w:val="both"/>
        <w:rPr>
          <w:sz w:val="22"/>
          <w:szCs w:val="22"/>
          <w:lang w:val="sr-Latn-ME"/>
        </w:rPr>
      </w:pPr>
      <w:r w:rsidRPr="00C01AE6">
        <w:rPr>
          <w:sz w:val="22"/>
          <w:szCs w:val="22"/>
          <w:lang w:val="sr-Latn-ME"/>
        </w:rPr>
        <w:t xml:space="preserve">Pacijenti mogu sami sebi davati injekcije samo ako su bili pravilno obučeni za postupke </w:t>
      </w:r>
      <w:r w:rsidR="00BA210B" w:rsidRPr="00C01AE6">
        <w:rPr>
          <w:sz w:val="22"/>
          <w:szCs w:val="22"/>
          <w:lang w:val="sr-Latn-ME"/>
        </w:rPr>
        <w:t>primjen</w:t>
      </w:r>
      <w:r w:rsidRPr="00C01AE6">
        <w:rPr>
          <w:sz w:val="22"/>
          <w:szCs w:val="22"/>
          <w:lang w:val="sr-Latn-ME"/>
        </w:rPr>
        <w:t xml:space="preserve">e. Za uputstvo o rukovanju </w:t>
      </w:r>
      <w:r w:rsidR="00BA210B" w:rsidRPr="00C01AE6">
        <w:rPr>
          <w:sz w:val="22"/>
          <w:szCs w:val="22"/>
          <w:lang w:val="sr-Latn-ME"/>
        </w:rPr>
        <w:t>lijekom</w:t>
      </w:r>
      <w:r w:rsidRPr="00C01AE6">
        <w:rPr>
          <w:sz w:val="22"/>
          <w:szCs w:val="22"/>
          <w:lang w:val="sr-Latn-ME"/>
        </w:rPr>
        <w:t xml:space="preserve"> pr</w:t>
      </w:r>
      <w:r w:rsidR="00BA210B" w:rsidRPr="00C01AE6">
        <w:rPr>
          <w:sz w:val="22"/>
          <w:szCs w:val="22"/>
          <w:lang w:val="sr-Latn-ME"/>
        </w:rPr>
        <w:t>ij</w:t>
      </w:r>
      <w:r w:rsidRPr="00C01AE6">
        <w:rPr>
          <w:sz w:val="22"/>
          <w:szCs w:val="22"/>
          <w:lang w:val="sr-Latn-ME"/>
        </w:rPr>
        <w:t xml:space="preserve">e </w:t>
      </w:r>
      <w:r w:rsidR="00BA210B" w:rsidRPr="00C01AE6">
        <w:rPr>
          <w:sz w:val="22"/>
          <w:szCs w:val="22"/>
          <w:lang w:val="sr-Latn-ME"/>
        </w:rPr>
        <w:t>primjen</w:t>
      </w:r>
      <w:r w:rsidRPr="00C01AE6">
        <w:rPr>
          <w:sz w:val="22"/>
          <w:szCs w:val="22"/>
          <w:lang w:val="sr-Latn-ME"/>
        </w:rPr>
        <w:t>e</w:t>
      </w:r>
      <w:r w:rsidR="002A2FD9" w:rsidRPr="00C01AE6">
        <w:rPr>
          <w:sz w:val="22"/>
          <w:szCs w:val="22"/>
          <w:lang w:val="sr-Latn-ME"/>
        </w:rPr>
        <w:t xml:space="preserve"> vidjeti</w:t>
      </w:r>
      <w:r w:rsidRPr="00C01AE6">
        <w:rPr>
          <w:sz w:val="22"/>
          <w:szCs w:val="22"/>
          <w:lang w:val="sr-Latn-ME"/>
        </w:rPr>
        <w:t xml:space="preserve"> </w:t>
      </w:r>
      <w:r w:rsidR="008B6182" w:rsidRPr="00C01AE6">
        <w:rPr>
          <w:sz w:val="22"/>
          <w:szCs w:val="22"/>
          <w:lang w:val="sr-Latn-ME"/>
        </w:rPr>
        <w:t>dio</w:t>
      </w:r>
      <w:r w:rsidRPr="00C01AE6">
        <w:rPr>
          <w:sz w:val="22"/>
          <w:szCs w:val="22"/>
          <w:lang w:val="sr-Latn-ME"/>
        </w:rPr>
        <w:t xml:space="preserve"> 6.6.</w:t>
      </w:r>
    </w:p>
    <w:p w14:paraId="03B78076" w14:textId="77777777" w:rsidR="00D901C1" w:rsidRPr="00C01AE6" w:rsidRDefault="00D901C1" w:rsidP="00655C9D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361320C8" w14:textId="60C7C304" w:rsidR="00411B4B" w:rsidRPr="00C01AE6" w:rsidRDefault="00411B4B" w:rsidP="00655C9D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  <w:r w:rsidRPr="00C01AE6">
        <w:rPr>
          <w:b/>
          <w:bCs/>
          <w:sz w:val="22"/>
          <w:szCs w:val="22"/>
          <w:lang w:val="sr-Latn-ME"/>
        </w:rPr>
        <w:t xml:space="preserve">4.3. </w:t>
      </w:r>
      <w:r w:rsidR="00480FB1" w:rsidRPr="00C01AE6">
        <w:rPr>
          <w:b/>
          <w:bCs/>
          <w:sz w:val="22"/>
          <w:szCs w:val="22"/>
          <w:lang w:val="sr-Latn-ME"/>
        </w:rPr>
        <w:tab/>
      </w:r>
      <w:proofErr w:type="spellStart"/>
      <w:r w:rsidRPr="00C01AE6">
        <w:rPr>
          <w:b/>
          <w:bCs/>
          <w:sz w:val="22"/>
          <w:szCs w:val="22"/>
          <w:lang w:val="sr-Latn-ME"/>
        </w:rPr>
        <w:t>Kontraindikacije</w:t>
      </w:r>
      <w:proofErr w:type="spellEnd"/>
    </w:p>
    <w:p w14:paraId="37509D7D" w14:textId="77777777" w:rsidR="00D36EE8" w:rsidRPr="00C01AE6" w:rsidRDefault="00D36EE8" w:rsidP="00655C9D">
      <w:pPr>
        <w:widowControl w:val="0"/>
        <w:autoSpaceDE w:val="0"/>
        <w:autoSpaceDN w:val="0"/>
        <w:spacing w:line="244" w:lineRule="auto"/>
        <w:jc w:val="both"/>
        <w:rPr>
          <w:b/>
          <w:bCs/>
          <w:sz w:val="22"/>
          <w:szCs w:val="22"/>
          <w:lang w:val="sr-Latn-ME"/>
        </w:rPr>
      </w:pPr>
    </w:p>
    <w:p w14:paraId="71566AC0" w14:textId="48E4E229" w:rsidR="00D901C1" w:rsidRPr="00C01AE6" w:rsidRDefault="00D901C1" w:rsidP="00655C9D">
      <w:pPr>
        <w:widowControl w:val="0"/>
        <w:autoSpaceDE w:val="0"/>
        <w:autoSpaceDN w:val="0"/>
        <w:spacing w:line="244" w:lineRule="auto"/>
        <w:jc w:val="both"/>
        <w:rPr>
          <w:sz w:val="22"/>
          <w:szCs w:val="22"/>
          <w:lang w:val="sr-Latn-ME"/>
        </w:rPr>
      </w:pPr>
      <w:r w:rsidRPr="00C01AE6">
        <w:rPr>
          <w:sz w:val="22"/>
          <w:szCs w:val="22"/>
          <w:lang w:val="sr-Latn-ME"/>
        </w:rPr>
        <w:t xml:space="preserve">Teška ili </w:t>
      </w:r>
      <w:r w:rsidR="0048447D" w:rsidRPr="00C01AE6">
        <w:rPr>
          <w:sz w:val="22"/>
          <w:szCs w:val="22"/>
          <w:lang w:val="sr-Latn-ME"/>
        </w:rPr>
        <w:t xml:space="preserve">životno </w:t>
      </w:r>
      <w:proofErr w:type="spellStart"/>
      <w:r w:rsidR="0048447D" w:rsidRPr="00C01AE6">
        <w:rPr>
          <w:sz w:val="22"/>
          <w:szCs w:val="22"/>
          <w:lang w:val="sr-Latn-ME"/>
        </w:rPr>
        <w:t>ugrožavajuća</w:t>
      </w:r>
      <w:proofErr w:type="spellEnd"/>
      <w:r w:rsidRPr="00C01AE6">
        <w:rPr>
          <w:sz w:val="22"/>
          <w:szCs w:val="22"/>
          <w:lang w:val="sr-Latn-ME"/>
        </w:rPr>
        <w:t xml:space="preserve"> preos</w:t>
      </w:r>
      <w:r w:rsidR="00BA210B" w:rsidRPr="00C01AE6">
        <w:rPr>
          <w:sz w:val="22"/>
          <w:szCs w:val="22"/>
          <w:lang w:val="sr-Latn-ME"/>
        </w:rPr>
        <w:t>j</w:t>
      </w:r>
      <w:r w:rsidRPr="00C01AE6">
        <w:rPr>
          <w:sz w:val="22"/>
          <w:szCs w:val="22"/>
          <w:lang w:val="sr-Latn-ME"/>
        </w:rPr>
        <w:t xml:space="preserve">etljivost na aktivnu supstancu ili </w:t>
      </w:r>
      <w:r w:rsidR="0048447D" w:rsidRPr="00C01AE6">
        <w:rPr>
          <w:sz w:val="22"/>
          <w:szCs w:val="22"/>
          <w:lang w:val="sr-Latn-ME"/>
        </w:rPr>
        <w:t>neku</w:t>
      </w:r>
      <w:r w:rsidRPr="00C01AE6">
        <w:rPr>
          <w:sz w:val="22"/>
          <w:szCs w:val="22"/>
          <w:lang w:val="sr-Latn-ME"/>
        </w:rPr>
        <w:t xml:space="preserve"> od pomoćnih supstanci ukoliko je preos</w:t>
      </w:r>
      <w:r w:rsidR="00BA210B" w:rsidRPr="00C01AE6">
        <w:rPr>
          <w:sz w:val="22"/>
          <w:szCs w:val="22"/>
          <w:lang w:val="sr-Latn-ME"/>
        </w:rPr>
        <w:t>j</w:t>
      </w:r>
      <w:r w:rsidRPr="00C01AE6">
        <w:rPr>
          <w:sz w:val="22"/>
          <w:szCs w:val="22"/>
          <w:lang w:val="sr-Latn-ME"/>
        </w:rPr>
        <w:t>etljivost nemoguće kontrolisati (</w:t>
      </w:r>
      <w:r w:rsidR="00BA210B" w:rsidRPr="00C01AE6">
        <w:rPr>
          <w:sz w:val="22"/>
          <w:szCs w:val="22"/>
          <w:lang w:val="sr-Latn-ME"/>
        </w:rPr>
        <w:t>vidjeti</w:t>
      </w:r>
      <w:r w:rsidRPr="00C01AE6">
        <w:rPr>
          <w:sz w:val="22"/>
          <w:szCs w:val="22"/>
          <w:lang w:val="sr-Latn-ME"/>
        </w:rPr>
        <w:t xml:space="preserve"> </w:t>
      </w:r>
      <w:r w:rsidR="008B6182" w:rsidRPr="00C01AE6">
        <w:rPr>
          <w:sz w:val="22"/>
          <w:szCs w:val="22"/>
          <w:lang w:val="sr-Latn-ME"/>
        </w:rPr>
        <w:t>dio</w:t>
      </w:r>
      <w:r w:rsidRPr="00C01AE6">
        <w:rPr>
          <w:sz w:val="22"/>
          <w:szCs w:val="22"/>
          <w:lang w:val="sr-Latn-ME"/>
        </w:rPr>
        <w:t xml:space="preserve"> 4.4).</w:t>
      </w:r>
    </w:p>
    <w:p w14:paraId="16DD726C" w14:textId="77777777" w:rsidR="0072020E" w:rsidRPr="00C01AE6" w:rsidRDefault="0072020E" w:rsidP="00655C9D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487B63F0" w14:textId="77777777" w:rsidR="00411B4B" w:rsidRPr="00C01AE6" w:rsidRDefault="00411B4B" w:rsidP="00655C9D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  <w:r w:rsidRPr="00C01AE6">
        <w:rPr>
          <w:b/>
          <w:bCs/>
          <w:sz w:val="22"/>
          <w:szCs w:val="22"/>
          <w:lang w:val="sr-Latn-ME"/>
        </w:rPr>
        <w:t xml:space="preserve">4.4. </w:t>
      </w:r>
      <w:r w:rsidR="00480FB1" w:rsidRPr="00C01AE6">
        <w:rPr>
          <w:b/>
          <w:bCs/>
          <w:sz w:val="22"/>
          <w:szCs w:val="22"/>
          <w:lang w:val="sr-Latn-ME"/>
        </w:rPr>
        <w:tab/>
      </w:r>
      <w:r w:rsidRPr="00C01AE6">
        <w:rPr>
          <w:b/>
          <w:bCs/>
          <w:sz w:val="22"/>
          <w:szCs w:val="22"/>
          <w:lang w:val="sr-Latn-ME"/>
        </w:rPr>
        <w:t>Posebna upozorenja i mjere opreza pri upotrebi lijeka</w:t>
      </w:r>
    </w:p>
    <w:p w14:paraId="68E7036C" w14:textId="77777777" w:rsidR="00D36EE8" w:rsidRPr="00C01AE6" w:rsidRDefault="00D36EE8" w:rsidP="00655C9D">
      <w:pPr>
        <w:widowControl w:val="0"/>
        <w:autoSpaceDE w:val="0"/>
        <w:autoSpaceDN w:val="0"/>
        <w:jc w:val="both"/>
        <w:rPr>
          <w:bCs/>
          <w:sz w:val="22"/>
          <w:szCs w:val="22"/>
          <w:lang w:val="sr-Latn-ME"/>
        </w:rPr>
      </w:pPr>
    </w:p>
    <w:p w14:paraId="3814BE46" w14:textId="5FF261B3" w:rsidR="00D36EE8" w:rsidRPr="00C01AE6" w:rsidRDefault="00D901C1" w:rsidP="00655C9D">
      <w:pPr>
        <w:widowControl w:val="0"/>
        <w:autoSpaceDE w:val="0"/>
        <w:autoSpaceDN w:val="0"/>
        <w:jc w:val="both"/>
        <w:rPr>
          <w:sz w:val="22"/>
          <w:szCs w:val="22"/>
          <w:lang w:val="sr-Latn-ME"/>
        </w:rPr>
      </w:pPr>
      <w:proofErr w:type="spellStart"/>
      <w:r w:rsidRPr="00C01AE6">
        <w:rPr>
          <w:sz w:val="22"/>
          <w:szCs w:val="22"/>
          <w:u w:val="single"/>
          <w:lang w:val="sr-Latn-ME"/>
        </w:rPr>
        <w:t>Sledljivost</w:t>
      </w:r>
      <w:proofErr w:type="spellEnd"/>
    </w:p>
    <w:p w14:paraId="6B9DA0E7" w14:textId="4313F823" w:rsidR="00D901C1" w:rsidRPr="00C01AE6" w:rsidRDefault="00D901C1" w:rsidP="00655C9D">
      <w:pPr>
        <w:widowControl w:val="0"/>
        <w:autoSpaceDE w:val="0"/>
        <w:autoSpaceDN w:val="0"/>
        <w:spacing w:line="249" w:lineRule="auto"/>
        <w:ind w:right="212"/>
        <w:jc w:val="both"/>
        <w:rPr>
          <w:sz w:val="22"/>
          <w:szCs w:val="22"/>
          <w:lang w:val="sr-Latn-ME"/>
        </w:rPr>
      </w:pPr>
      <w:r w:rsidRPr="00C01AE6">
        <w:rPr>
          <w:sz w:val="22"/>
          <w:szCs w:val="22"/>
          <w:lang w:val="sr-Latn-ME"/>
        </w:rPr>
        <w:t xml:space="preserve">Kako bi se poboljšala </w:t>
      </w:r>
      <w:proofErr w:type="spellStart"/>
      <w:r w:rsidRPr="00C01AE6">
        <w:rPr>
          <w:sz w:val="22"/>
          <w:szCs w:val="22"/>
          <w:lang w:val="sr-Latn-ME"/>
        </w:rPr>
        <w:t>sledljivost</w:t>
      </w:r>
      <w:proofErr w:type="spellEnd"/>
      <w:r w:rsidRPr="00C01AE6">
        <w:rPr>
          <w:sz w:val="22"/>
          <w:szCs w:val="22"/>
          <w:lang w:val="sr-Latn-ME"/>
        </w:rPr>
        <w:t xml:space="preserve"> bioloških l</w:t>
      </w:r>
      <w:r w:rsidR="00613845" w:rsidRPr="00C01AE6">
        <w:rPr>
          <w:sz w:val="22"/>
          <w:szCs w:val="22"/>
          <w:lang w:val="sr-Latn-ME"/>
        </w:rPr>
        <w:t>j</w:t>
      </w:r>
      <w:r w:rsidRPr="00C01AE6">
        <w:rPr>
          <w:sz w:val="22"/>
          <w:szCs w:val="22"/>
          <w:lang w:val="sr-Latn-ME"/>
        </w:rPr>
        <w:t xml:space="preserve">ekova, naziv i broj serije </w:t>
      </w:r>
      <w:r w:rsidR="00BA210B" w:rsidRPr="00C01AE6">
        <w:rPr>
          <w:sz w:val="22"/>
          <w:szCs w:val="22"/>
          <w:lang w:val="sr-Latn-ME"/>
        </w:rPr>
        <w:t>prim</w:t>
      </w:r>
      <w:r w:rsidR="0048447D" w:rsidRPr="00C01AE6">
        <w:rPr>
          <w:sz w:val="22"/>
          <w:szCs w:val="22"/>
          <w:lang w:val="sr-Latn-ME"/>
        </w:rPr>
        <w:t>i</w:t>
      </w:r>
      <w:r w:rsidR="00BA210B" w:rsidRPr="00C01AE6">
        <w:rPr>
          <w:sz w:val="22"/>
          <w:szCs w:val="22"/>
          <w:lang w:val="sr-Latn-ME"/>
        </w:rPr>
        <w:t>jen</w:t>
      </w:r>
      <w:r w:rsidRPr="00C01AE6">
        <w:rPr>
          <w:sz w:val="22"/>
          <w:szCs w:val="22"/>
          <w:lang w:val="sr-Latn-ME"/>
        </w:rPr>
        <w:t xml:space="preserve">jenog </w:t>
      </w:r>
      <w:r w:rsidR="0048447D" w:rsidRPr="00C01AE6">
        <w:rPr>
          <w:sz w:val="22"/>
          <w:szCs w:val="22"/>
          <w:lang w:val="sr-Latn-ME"/>
        </w:rPr>
        <w:t xml:space="preserve">lijeka potrebno je </w:t>
      </w:r>
      <w:r w:rsidRPr="00C01AE6">
        <w:rPr>
          <w:sz w:val="22"/>
          <w:szCs w:val="22"/>
          <w:lang w:val="sr-Latn-ME"/>
        </w:rPr>
        <w:t xml:space="preserve">jasno </w:t>
      </w:r>
      <w:r w:rsidR="0048447D" w:rsidRPr="00C01AE6">
        <w:rPr>
          <w:sz w:val="22"/>
          <w:szCs w:val="22"/>
          <w:lang w:val="sr-Latn-ME"/>
        </w:rPr>
        <w:t>evidentirati</w:t>
      </w:r>
      <w:r w:rsidRPr="00C01AE6">
        <w:rPr>
          <w:sz w:val="22"/>
          <w:szCs w:val="22"/>
          <w:lang w:val="sr-Latn-ME"/>
        </w:rPr>
        <w:t>.</w:t>
      </w:r>
    </w:p>
    <w:p w14:paraId="4625DA6E" w14:textId="2FF49DD9" w:rsidR="00D36EE8" w:rsidRPr="00C01AE6" w:rsidRDefault="00D36EE8" w:rsidP="00655C9D">
      <w:pPr>
        <w:widowControl w:val="0"/>
        <w:autoSpaceDE w:val="0"/>
        <w:autoSpaceDN w:val="0"/>
        <w:jc w:val="both"/>
        <w:rPr>
          <w:sz w:val="22"/>
          <w:szCs w:val="22"/>
          <w:lang w:val="sr-Latn-ME"/>
        </w:rPr>
      </w:pPr>
    </w:p>
    <w:p w14:paraId="49196F6D" w14:textId="1B2A7060" w:rsidR="00D901C1" w:rsidRPr="00C01AE6" w:rsidRDefault="00D901C1" w:rsidP="00655C9D">
      <w:pPr>
        <w:widowControl w:val="0"/>
        <w:autoSpaceDE w:val="0"/>
        <w:autoSpaceDN w:val="0"/>
        <w:jc w:val="both"/>
        <w:rPr>
          <w:sz w:val="22"/>
          <w:szCs w:val="22"/>
          <w:lang w:val="sr-Latn-ME"/>
        </w:rPr>
      </w:pPr>
      <w:r w:rsidRPr="00C01AE6">
        <w:rPr>
          <w:sz w:val="22"/>
          <w:szCs w:val="22"/>
          <w:u w:val="single"/>
          <w:lang w:val="sr-Latn-ME"/>
        </w:rPr>
        <w:t>Preos</w:t>
      </w:r>
      <w:r w:rsidR="00613845" w:rsidRPr="00C01AE6">
        <w:rPr>
          <w:sz w:val="22"/>
          <w:szCs w:val="22"/>
          <w:u w:val="single"/>
          <w:lang w:val="sr-Latn-ME"/>
        </w:rPr>
        <w:t>j</w:t>
      </w:r>
      <w:r w:rsidRPr="00C01AE6">
        <w:rPr>
          <w:sz w:val="22"/>
          <w:szCs w:val="22"/>
          <w:u w:val="single"/>
          <w:lang w:val="sr-Latn-ME"/>
        </w:rPr>
        <w:t>etljivost</w:t>
      </w:r>
    </w:p>
    <w:p w14:paraId="7DCA963B" w14:textId="77777777" w:rsidR="00D36EE8" w:rsidRPr="00C01AE6" w:rsidRDefault="00D36EE8" w:rsidP="00655C9D">
      <w:pPr>
        <w:widowControl w:val="0"/>
        <w:autoSpaceDE w:val="0"/>
        <w:autoSpaceDN w:val="0"/>
        <w:spacing w:line="247" w:lineRule="auto"/>
        <w:jc w:val="both"/>
        <w:rPr>
          <w:sz w:val="22"/>
          <w:szCs w:val="22"/>
          <w:lang w:val="sr-Latn-ME"/>
        </w:rPr>
      </w:pPr>
    </w:p>
    <w:p w14:paraId="489F5D36" w14:textId="74494233" w:rsidR="00D901C1" w:rsidRPr="00C01AE6" w:rsidRDefault="00D901C1" w:rsidP="00655C9D">
      <w:pPr>
        <w:widowControl w:val="0"/>
        <w:autoSpaceDE w:val="0"/>
        <w:autoSpaceDN w:val="0"/>
        <w:spacing w:line="247" w:lineRule="auto"/>
        <w:jc w:val="both"/>
        <w:rPr>
          <w:sz w:val="22"/>
          <w:szCs w:val="22"/>
          <w:lang w:val="sr-Latn-ME"/>
        </w:rPr>
      </w:pPr>
      <w:r w:rsidRPr="00C01AE6">
        <w:rPr>
          <w:sz w:val="22"/>
          <w:szCs w:val="22"/>
          <w:lang w:val="sr-Latn-ME"/>
        </w:rPr>
        <w:t xml:space="preserve">Reakcije </w:t>
      </w:r>
      <w:r w:rsidR="00613845" w:rsidRPr="00C01AE6">
        <w:rPr>
          <w:sz w:val="22"/>
          <w:szCs w:val="22"/>
          <w:lang w:val="sr-Latn-ME"/>
        </w:rPr>
        <w:t>preosjetljivost</w:t>
      </w:r>
      <w:r w:rsidRPr="00C01AE6">
        <w:rPr>
          <w:sz w:val="22"/>
          <w:szCs w:val="22"/>
          <w:lang w:val="sr-Latn-ME"/>
        </w:rPr>
        <w:t>i, uključujući znak</w:t>
      </w:r>
      <w:r w:rsidR="0048447D" w:rsidRPr="00C01AE6">
        <w:rPr>
          <w:sz w:val="22"/>
          <w:szCs w:val="22"/>
          <w:lang w:val="sr-Latn-ME"/>
        </w:rPr>
        <w:t>ov</w:t>
      </w:r>
      <w:r w:rsidRPr="00C01AE6">
        <w:rPr>
          <w:sz w:val="22"/>
          <w:szCs w:val="22"/>
          <w:lang w:val="sr-Latn-ME"/>
        </w:rPr>
        <w:t xml:space="preserve">e i simptome koji prate </w:t>
      </w:r>
      <w:proofErr w:type="spellStart"/>
      <w:r w:rsidRPr="00C01AE6">
        <w:rPr>
          <w:sz w:val="22"/>
          <w:szCs w:val="22"/>
          <w:lang w:val="sr-Latn-ME"/>
        </w:rPr>
        <w:t>anafilaksu</w:t>
      </w:r>
      <w:proofErr w:type="spellEnd"/>
      <w:r w:rsidRPr="00C01AE6">
        <w:rPr>
          <w:sz w:val="22"/>
          <w:szCs w:val="22"/>
          <w:lang w:val="sr-Latn-ME"/>
        </w:rPr>
        <w:t xml:space="preserve">, </w:t>
      </w:r>
      <w:r w:rsidR="0048447D" w:rsidRPr="00C01AE6">
        <w:rPr>
          <w:sz w:val="22"/>
          <w:szCs w:val="22"/>
          <w:lang w:val="sr-Latn-ME"/>
        </w:rPr>
        <w:t xml:space="preserve">zabilježene </w:t>
      </w:r>
      <w:r w:rsidRPr="00C01AE6">
        <w:rPr>
          <w:sz w:val="22"/>
          <w:szCs w:val="22"/>
          <w:lang w:val="sr-Latn-ME"/>
        </w:rPr>
        <w:t xml:space="preserve">su kod pacijenata </w:t>
      </w:r>
      <w:r w:rsidR="00613845" w:rsidRPr="00C01AE6">
        <w:rPr>
          <w:sz w:val="22"/>
          <w:szCs w:val="22"/>
          <w:lang w:val="sr-Latn-ME"/>
        </w:rPr>
        <w:t>liječenih</w:t>
      </w:r>
      <w:r w:rsidRPr="00C01AE6">
        <w:rPr>
          <w:sz w:val="22"/>
          <w:szCs w:val="22"/>
          <w:lang w:val="sr-Latn-ME"/>
        </w:rPr>
        <w:t xml:space="preserve"> </w:t>
      </w:r>
      <w:proofErr w:type="spellStart"/>
      <w:r w:rsidRPr="00C01AE6">
        <w:rPr>
          <w:sz w:val="22"/>
          <w:szCs w:val="22"/>
          <w:lang w:val="sr-Latn-ME"/>
        </w:rPr>
        <w:t>asfotazom</w:t>
      </w:r>
      <w:proofErr w:type="spellEnd"/>
      <w:r w:rsidRPr="00C01AE6">
        <w:rPr>
          <w:sz w:val="22"/>
          <w:szCs w:val="22"/>
          <w:lang w:val="sr-Latn-ME"/>
        </w:rPr>
        <w:t xml:space="preserve"> alfa (</w:t>
      </w:r>
      <w:r w:rsidR="00BA210B" w:rsidRPr="00C01AE6">
        <w:rPr>
          <w:sz w:val="22"/>
          <w:szCs w:val="22"/>
          <w:lang w:val="sr-Latn-ME"/>
        </w:rPr>
        <w:t>vidjeti</w:t>
      </w:r>
      <w:r w:rsidRPr="00C01AE6">
        <w:rPr>
          <w:sz w:val="22"/>
          <w:szCs w:val="22"/>
          <w:lang w:val="sr-Latn-ME"/>
        </w:rPr>
        <w:t xml:space="preserve"> </w:t>
      </w:r>
      <w:r w:rsidR="008B6182" w:rsidRPr="00C01AE6">
        <w:rPr>
          <w:sz w:val="22"/>
          <w:szCs w:val="22"/>
          <w:lang w:val="sr-Latn-ME"/>
        </w:rPr>
        <w:t>dio</w:t>
      </w:r>
      <w:r w:rsidRPr="00C01AE6">
        <w:rPr>
          <w:sz w:val="22"/>
          <w:szCs w:val="22"/>
          <w:lang w:val="sr-Latn-ME"/>
        </w:rPr>
        <w:t xml:space="preserve"> 4.8). Ti simptomi su uključivali otežano disanje, os</w:t>
      </w:r>
      <w:r w:rsidR="002A2FD9" w:rsidRPr="00C01AE6">
        <w:rPr>
          <w:sz w:val="22"/>
          <w:szCs w:val="22"/>
          <w:lang w:val="sr-Latn-ME"/>
        </w:rPr>
        <w:t>j</w:t>
      </w:r>
      <w:r w:rsidRPr="00C01AE6">
        <w:rPr>
          <w:sz w:val="22"/>
          <w:szCs w:val="22"/>
          <w:lang w:val="sr-Latn-ME"/>
        </w:rPr>
        <w:t xml:space="preserve">ećaj gušenja, </w:t>
      </w:r>
      <w:proofErr w:type="spellStart"/>
      <w:r w:rsidRPr="00C01AE6">
        <w:rPr>
          <w:sz w:val="22"/>
          <w:szCs w:val="22"/>
          <w:lang w:val="sr-Latn-ME"/>
        </w:rPr>
        <w:t>periorbitalni</w:t>
      </w:r>
      <w:proofErr w:type="spellEnd"/>
      <w:r w:rsidRPr="00C01AE6">
        <w:rPr>
          <w:sz w:val="22"/>
          <w:szCs w:val="22"/>
          <w:lang w:val="sr-Latn-ME"/>
        </w:rPr>
        <w:t xml:space="preserve"> </w:t>
      </w:r>
      <w:proofErr w:type="spellStart"/>
      <w:r w:rsidRPr="00C01AE6">
        <w:rPr>
          <w:sz w:val="22"/>
          <w:szCs w:val="22"/>
          <w:lang w:val="sr-Latn-ME"/>
        </w:rPr>
        <w:t>edem</w:t>
      </w:r>
      <w:proofErr w:type="spellEnd"/>
      <w:r w:rsidRPr="00C01AE6">
        <w:rPr>
          <w:sz w:val="22"/>
          <w:szCs w:val="22"/>
          <w:lang w:val="sr-Latn-ME"/>
        </w:rPr>
        <w:t xml:space="preserve"> i vrtoglavicu. Reakcije su se javljale nekoliko minuta nakon </w:t>
      </w:r>
      <w:proofErr w:type="spellStart"/>
      <w:r w:rsidRPr="00C01AE6">
        <w:rPr>
          <w:sz w:val="22"/>
          <w:szCs w:val="22"/>
          <w:lang w:val="sr-Latn-ME"/>
        </w:rPr>
        <w:t>su</w:t>
      </w:r>
      <w:r w:rsidR="00432666" w:rsidRPr="00C01AE6">
        <w:rPr>
          <w:sz w:val="22"/>
          <w:szCs w:val="22"/>
          <w:lang w:val="sr-Latn-ME"/>
        </w:rPr>
        <w:t>b</w:t>
      </w:r>
      <w:r w:rsidRPr="00C01AE6">
        <w:rPr>
          <w:sz w:val="22"/>
          <w:szCs w:val="22"/>
          <w:lang w:val="sr-Latn-ME"/>
        </w:rPr>
        <w:t>kutane</w:t>
      </w:r>
      <w:proofErr w:type="spellEnd"/>
      <w:r w:rsidRPr="00C01AE6">
        <w:rPr>
          <w:sz w:val="22"/>
          <w:szCs w:val="22"/>
          <w:lang w:val="sr-Latn-ME"/>
        </w:rPr>
        <w:t xml:space="preserve"> </w:t>
      </w:r>
      <w:r w:rsidR="00BA210B" w:rsidRPr="00C01AE6">
        <w:rPr>
          <w:sz w:val="22"/>
          <w:szCs w:val="22"/>
          <w:lang w:val="sr-Latn-ME"/>
        </w:rPr>
        <w:t>primjen</w:t>
      </w:r>
      <w:r w:rsidRPr="00C01AE6">
        <w:rPr>
          <w:sz w:val="22"/>
          <w:szCs w:val="22"/>
          <w:lang w:val="sr-Latn-ME"/>
        </w:rPr>
        <w:t xml:space="preserve">e </w:t>
      </w:r>
      <w:proofErr w:type="spellStart"/>
      <w:r w:rsidRPr="00C01AE6">
        <w:rPr>
          <w:sz w:val="22"/>
          <w:szCs w:val="22"/>
          <w:lang w:val="sr-Latn-ME"/>
        </w:rPr>
        <w:t>asfotaze</w:t>
      </w:r>
      <w:proofErr w:type="spellEnd"/>
      <w:r w:rsidRPr="00C01AE6">
        <w:rPr>
          <w:sz w:val="22"/>
          <w:szCs w:val="22"/>
          <w:lang w:val="sr-Latn-ME"/>
        </w:rPr>
        <w:t xml:space="preserve"> alfa, a mogu se pojaviti kod pacijenata koji se </w:t>
      </w:r>
      <w:r w:rsidR="00613845" w:rsidRPr="00C01AE6">
        <w:rPr>
          <w:sz w:val="22"/>
          <w:szCs w:val="22"/>
          <w:lang w:val="sr-Latn-ME"/>
        </w:rPr>
        <w:t>liječe</w:t>
      </w:r>
      <w:r w:rsidRPr="00C01AE6">
        <w:rPr>
          <w:sz w:val="22"/>
          <w:szCs w:val="22"/>
          <w:lang w:val="sr-Latn-ME"/>
        </w:rPr>
        <w:t xml:space="preserve"> duže od 1 godine. Ostale reakcije </w:t>
      </w:r>
      <w:r w:rsidR="00613845" w:rsidRPr="00C01AE6">
        <w:rPr>
          <w:sz w:val="22"/>
          <w:szCs w:val="22"/>
          <w:lang w:val="sr-Latn-ME"/>
        </w:rPr>
        <w:lastRenderedPageBreak/>
        <w:t>preosjetljivost</w:t>
      </w:r>
      <w:r w:rsidRPr="00C01AE6">
        <w:rPr>
          <w:sz w:val="22"/>
          <w:szCs w:val="22"/>
          <w:lang w:val="sr-Latn-ME"/>
        </w:rPr>
        <w:t xml:space="preserve">i uključivale su povraćanje, mučninu, povišenu temperaturu, glavobolju, navale crvenila, </w:t>
      </w:r>
      <w:proofErr w:type="spellStart"/>
      <w:r w:rsidRPr="00C01AE6">
        <w:rPr>
          <w:sz w:val="22"/>
          <w:szCs w:val="22"/>
          <w:lang w:val="sr-Latn-ME"/>
        </w:rPr>
        <w:t>iritabilnost</w:t>
      </w:r>
      <w:proofErr w:type="spellEnd"/>
      <w:r w:rsidRPr="00C01AE6">
        <w:rPr>
          <w:sz w:val="22"/>
          <w:szCs w:val="22"/>
          <w:lang w:val="sr-Latn-ME"/>
        </w:rPr>
        <w:t xml:space="preserve">, drhtavicu, </w:t>
      </w:r>
      <w:proofErr w:type="spellStart"/>
      <w:r w:rsidRPr="00C01AE6">
        <w:rPr>
          <w:sz w:val="22"/>
          <w:szCs w:val="22"/>
          <w:lang w:val="sr-Latn-ME"/>
        </w:rPr>
        <w:t>eritem</w:t>
      </w:r>
      <w:proofErr w:type="spellEnd"/>
      <w:r w:rsidRPr="00C01AE6">
        <w:rPr>
          <w:sz w:val="22"/>
          <w:szCs w:val="22"/>
          <w:lang w:val="sr-Latn-ME"/>
        </w:rPr>
        <w:t xml:space="preserve"> kože, osip, </w:t>
      </w:r>
      <w:proofErr w:type="spellStart"/>
      <w:r w:rsidRPr="00C01AE6">
        <w:rPr>
          <w:sz w:val="22"/>
          <w:szCs w:val="22"/>
          <w:lang w:val="sr-Latn-ME"/>
        </w:rPr>
        <w:t>pruritus</w:t>
      </w:r>
      <w:proofErr w:type="spellEnd"/>
      <w:r w:rsidRPr="00C01AE6">
        <w:rPr>
          <w:sz w:val="22"/>
          <w:szCs w:val="22"/>
          <w:lang w:val="sr-Latn-ME"/>
        </w:rPr>
        <w:t xml:space="preserve"> i oralnu </w:t>
      </w:r>
      <w:proofErr w:type="spellStart"/>
      <w:r w:rsidRPr="00C01AE6">
        <w:rPr>
          <w:sz w:val="22"/>
          <w:szCs w:val="22"/>
          <w:lang w:val="sr-Latn-ME"/>
        </w:rPr>
        <w:t>hipoesteziju</w:t>
      </w:r>
      <w:proofErr w:type="spellEnd"/>
      <w:r w:rsidRPr="00C01AE6">
        <w:rPr>
          <w:sz w:val="22"/>
          <w:szCs w:val="22"/>
          <w:lang w:val="sr-Latn-ME"/>
        </w:rPr>
        <w:t xml:space="preserve">. Ako se te reakcije jave, preporučuje se da se odmah prekine </w:t>
      </w:r>
      <w:r w:rsidR="00677030" w:rsidRPr="00C01AE6">
        <w:rPr>
          <w:sz w:val="22"/>
          <w:szCs w:val="22"/>
          <w:lang w:val="sr-Latn-ME"/>
        </w:rPr>
        <w:t xml:space="preserve">liječenje </w:t>
      </w:r>
      <w:r w:rsidRPr="00C01AE6">
        <w:rPr>
          <w:sz w:val="22"/>
          <w:szCs w:val="22"/>
          <w:lang w:val="sr-Latn-ME"/>
        </w:rPr>
        <w:t xml:space="preserve">i započne odgovarajuće </w:t>
      </w:r>
      <w:r w:rsidR="00BA210B" w:rsidRPr="00C01AE6">
        <w:rPr>
          <w:sz w:val="22"/>
          <w:szCs w:val="22"/>
          <w:lang w:val="sr-Latn-ME"/>
        </w:rPr>
        <w:t>liječenje</w:t>
      </w:r>
      <w:r w:rsidRPr="00C01AE6">
        <w:rPr>
          <w:sz w:val="22"/>
          <w:szCs w:val="22"/>
          <w:lang w:val="sr-Latn-ME"/>
        </w:rPr>
        <w:t xml:space="preserve">. Treba se pridržavati postojećih medicinskih standarda za hitno </w:t>
      </w:r>
      <w:r w:rsidR="00BA210B" w:rsidRPr="00C01AE6">
        <w:rPr>
          <w:sz w:val="22"/>
          <w:szCs w:val="22"/>
          <w:lang w:val="sr-Latn-ME"/>
        </w:rPr>
        <w:t>liječenje</w:t>
      </w:r>
      <w:r w:rsidRPr="00C01AE6">
        <w:rPr>
          <w:sz w:val="22"/>
          <w:szCs w:val="22"/>
          <w:lang w:val="sr-Latn-ME"/>
        </w:rPr>
        <w:t>.</w:t>
      </w:r>
    </w:p>
    <w:p w14:paraId="1A059D98" w14:textId="77777777" w:rsidR="00766CDC" w:rsidRPr="00C01AE6" w:rsidRDefault="00766CDC" w:rsidP="00655C9D">
      <w:pPr>
        <w:widowControl w:val="0"/>
        <w:autoSpaceDE w:val="0"/>
        <w:autoSpaceDN w:val="0"/>
        <w:spacing w:line="254" w:lineRule="auto"/>
        <w:jc w:val="both"/>
        <w:rPr>
          <w:sz w:val="22"/>
          <w:szCs w:val="22"/>
          <w:lang w:val="sr-Latn-ME"/>
        </w:rPr>
      </w:pPr>
    </w:p>
    <w:p w14:paraId="1BEA3BF5" w14:textId="397D864E" w:rsidR="00D901C1" w:rsidRPr="00C01AE6" w:rsidRDefault="00D901C1" w:rsidP="00655C9D">
      <w:pPr>
        <w:widowControl w:val="0"/>
        <w:autoSpaceDE w:val="0"/>
        <w:autoSpaceDN w:val="0"/>
        <w:spacing w:line="254" w:lineRule="auto"/>
        <w:jc w:val="both"/>
        <w:rPr>
          <w:sz w:val="22"/>
          <w:szCs w:val="22"/>
          <w:lang w:val="sr-Latn-ME"/>
        </w:rPr>
      </w:pPr>
      <w:r w:rsidRPr="00C01AE6">
        <w:rPr>
          <w:sz w:val="22"/>
          <w:szCs w:val="22"/>
          <w:lang w:val="sr-Latn-ME"/>
        </w:rPr>
        <w:t xml:space="preserve">Nakon teške reakcije vodite računa o rizicima i koristima od ponovne </w:t>
      </w:r>
      <w:r w:rsidR="00BA210B" w:rsidRPr="00C01AE6">
        <w:rPr>
          <w:sz w:val="22"/>
          <w:szCs w:val="22"/>
          <w:lang w:val="sr-Latn-ME"/>
        </w:rPr>
        <w:t>primjen</w:t>
      </w:r>
      <w:r w:rsidRPr="00C01AE6">
        <w:rPr>
          <w:sz w:val="22"/>
          <w:szCs w:val="22"/>
          <w:lang w:val="sr-Latn-ME"/>
        </w:rPr>
        <w:t xml:space="preserve">e </w:t>
      </w:r>
      <w:proofErr w:type="spellStart"/>
      <w:r w:rsidRPr="00C01AE6">
        <w:rPr>
          <w:sz w:val="22"/>
          <w:szCs w:val="22"/>
          <w:lang w:val="sr-Latn-ME"/>
        </w:rPr>
        <w:t>asfotaze</w:t>
      </w:r>
      <w:proofErr w:type="spellEnd"/>
      <w:r w:rsidRPr="00C01AE6">
        <w:rPr>
          <w:sz w:val="22"/>
          <w:szCs w:val="22"/>
          <w:lang w:val="sr-Latn-ME"/>
        </w:rPr>
        <w:t xml:space="preserve"> alfa kod svakog pacijenta posebno, uzimajući u obzir i druge faktore koji mogu doprin</w:t>
      </w:r>
      <w:r w:rsidR="004D20AB" w:rsidRPr="00C01AE6">
        <w:rPr>
          <w:sz w:val="22"/>
          <w:szCs w:val="22"/>
          <w:lang w:val="sr-Latn-ME"/>
        </w:rPr>
        <w:t>ij</w:t>
      </w:r>
      <w:r w:rsidRPr="00C01AE6">
        <w:rPr>
          <w:sz w:val="22"/>
          <w:szCs w:val="22"/>
          <w:lang w:val="sr-Latn-ME"/>
        </w:rPr>
        <w:t xml:space="preserve">eti riziku od reakcije </w:t>
      </w:r>
      <w:r w:rsidR="00613845" w:rsidRPr="00C01AE6">
        <w:rPr>
          <w:sz w:val="22"/>
          <w:szCs w:val="22"/>
          <w:lang w:val="sr-Latn-ME"/>
        </w:rPr>
        <w:t>preosjetljivost</w:t>
      </w:r>
      <w:r w:rsidRPr="00C01AE6">
        <w:rPr>
          <w:sz w:val="22"/>
          <w:szCs w:val="22"/>
          <w:lang w:val="sr-Latn-ME"/>
        </w:rPr>
        <w:t>i, kao što je isto</w:t>
      </w:r>
      <w:r w:rsidR="005B26E6" w:rsidRPr="00C01AE6">
        <w:rPr>
          <w:sz w:val="22"/>
          <w:szCs w:val="22"/>
          <w:lang w:val="sr-Latn-ME"/>
        </w:rPr>
        <w:t>vremena</w:t>
      </w:r>
      <w:r w:rsidRPr="00C01AE6">
        <w:rPr>
          <w:sz w:val="22"/>
          <w:szCs w:val="22"/>
          <w:lang w:val="sr-Latn-ME"/>
        </w:rPr>
        <w:t xml:space="preserve"> infekcija </w:t>
      </w:r>
      <w:r w:rsidR="004D20AB" w:rsidRPr="00C01AE6">
        <w:rPr>
          <w:sz w:val="22"/>
          <w:szCs w:val="22"/>
          <w:lang w:val="sr-Latn-ME"/>
        </w:rPr>
        <w:t xml:space="preserve">i/ili </w:t>
      </w:r>
      <w:r w:rsidRPr="00C01AE6">
        <w:rPr>
          <w:sz w:val="22"/>
          <w:szCs w:val="22"/>
          <w:lang w:val="sr-Latn-ME"/>
        </w:rPr>
        <w:t xml:space="preserve">upotreba antibiotika. Ako se donese odluka o ponovnoj </w:t>
      </w:r>
      <w:r w:rsidR="00BA210B" w:rsidRPr="00C01AE6">
        <w:rPr>
          <w:sz w:val="22"/>
          <w:szCs w:val="22"/>
          <w:lang w:val="sr-Latn-ME"/>
        </w:rPr>
        <w:t>primjen</w:t>
      </w:r>
      <w:r w:rsidRPr="00C01AE6">
        <w:rPr>
          <w:sz w:val="22"/>
          <w:szCs w:val="22"/>
          <w:lang w:val="sr-Latn-ME"/>
        </w:rPr>
        <w:t>i l</w:t>
      </w:r>
      <w:r w:rsidR="00613845" w:rsidRPr="00C01AE6">
        <w:rPr>
          <w:sz w:val="22"/>
          <w:szCs w:val="22"/>
          <w:lang w:val="sr-Latn-ME"/>
        </w:rPr>
        <w:t>ij</w:t>
      </w:r>
      <w:r w:rsidRPr="00C01AE6">
        <w:rPr>
          <w:sz w:val="22"/>
          <w:szCs w:val="22"/>
          <w:lang w:val="sr-Latn-ME"/>
        </w:rPr>
        <w:t xml:space="preserve">eka, ponovno uvođenje treba izvršiti pod medicinskim nadzorom, a može se razmotriti i </w:t>
      </w:r>
      <w:r w:rsidR="00BA210B" w:rsidRPr="00C01AE6">
        <w:rPr>
          <w:sz w:val="22"/>
          <w:szCs w:val="22"/>
          <w:lang w:val="sr-Latn-ME"/>
        </w:rPr>
        <w:t>primjen</w:t>
      </w:r>
      <w:r w:rsidRPr="00C01AE6">
        <w:rPr>
          <w:sz w:val="22"/>
          <w:szCs w:val="22"/>
          <w:lang w:val="sr-Latn-ME"/>
        </w:rPr>
        <w:t xml:space="preserve">a odgovarajuće </w:t>
      </w:r>
      <w:proofErr w:type="spellStart"/>
      <w:r w:rsidRPr="00C01AE6">
        <w:rPr>
          <w:sz w:val="22"/>
          <w:szCs w:val="22"/>
          <w:lang w:val="sr-Latn-ME"/>
        </w:rPr>
        <w:t>premedikacije</w:t>
      </w:r>
      <w:proofErr w:type="spellEnd"/>
      <w:r w:rsidRPr="00C01AE6">
        <w:rPr>
          <w:sz w:val="22"/>
          <w:szCs w:val="22"/>
          <w:lang w:val="sr-Latn-ME"/>
        </w:rPr>
        <w:t xml:space="preserve">. Pacijente treba </w:t>
      </w:r>
      <w:r w:rsidR="002A2FD9" w:rsidRPr="00C01AE6">
        <w:rPr>
          <w:sz w:val="22"/>
          <w:szCs w:val="22"/>
          <w:lang w:val="sr-Latn-ME"/>
        </w:rPr>
        <w:t xml:space="preserve">pratiti </w:t>
      </w:r>
      <w:r w:rsidRPr="00C01AE6">
        <w:rPr>
          <w:sz w:val="22"/>
          <w:szCs w:val="22"/>
          <w:lang w:val="sr-Latn-ME"/>
        </w:rPr>
        <w:t>zbog moguće ponovne pojave znak</w:t>
      </w:r>
      <w:r w:rsidR="004D20AB" w:rsidRPr="00C01AE6">
        <w:rPr>
          <w:sz w:val="22"/>
          <w:szCs w:val="22"/>
          <w:lang w:val="sr-Latn-ME"/>
        </w:rPr>
        <w:t>ov</w:t>
      </w:r>
      <w:r w:rsidRPr="00C01AE6">
        <w:rPr>
          <w:sz w:val="22"/>
          <w:szCs w:val="22"/>
          <w:lang w:val="sr-Latn-ME"/>
        </w:rPr>
        <w:t xml:space="preserve">a i simptoma teške reakcije </w:t>
      </w:r>
      <w:r w:rsidR="00613845" w:rsidRPr="00C01AE6">
        <w:rPr>
          <w:sz w:val="22"/>
          <w:szCs w:val="22"/>
          <w:lang w:val="sr-Latn-ME"/>
        </w:rPr>
        <w:t>preosjetljivost</w:t>
      </w:r>
      <w:r w:rsidRPr="00C01AE6">
        <w:rPr>
          <w:sz w:val="22"/>
          <w:szCs w:val="22"/>
          <w:lang w:val="sr-Latn-ME"/>
        </w:rPr>
        <w:t>i.</w:t>
      </w:r>
    </w:p>
    <w:p w14:paraId="040ADD15" w14:textId="77777777" w:rsidR="00D901C1" w:rsidRPr="00C01AE6" w:rsidRDefault="00D901C1" w:rsidP="00655C9D">
      <w:pPr>
        <w:widowControl w:val="0"/>
        <w:autoSpaceDE w:val="0"/>
        <w:autoSpaceDN w:val="0"/>
        <w:jc w:val="both"/>
        <w:rPr>
          <w:sz w:val="22"/>
          <w:szCs w:val="22"/>
          <w:lang w:val="sr-Latn-ME"/>
        </w:rPr>
      </w:pPr>
    </w:p>
    <w:p w14:paraId="2FD00F26" w14:textId="1F9627D8" w:rsidR="00D901C1" w:rsidRPr="00C01AE6" w:rsidRDefault="00D901C1" w:rsidP="00655C9D">
      <w:pPr>
        <w:widowControl w:val="0"/>
        <w:autoSpaceDE w:val="0"/>
        <w:autoSpaceDN w:val="0"/>
        <w:spacing w:line="247" w:lineRule="auto"/>
        <w:ind w:right="212"/>
        <w:jc w:val="both"/>
        <w:rPr>
          <w:sz w:val="22"/>
          <w:szCs w:val="22"/>
          <w:lang w:val="sr-Latn-ME"/>
        </w:rPr>
      </w:pPr>
      <w:r w:rsidRPr="00C01AE6">
        <w:rPr>
          <w:sz w:val="22"/>
          <w:szCs w:val="22"/>
          <w:lang w:val="sr-Latn-ME"/>
        </w:rPr>
        <w:t xml:space="preserve">O potrebi </w:t>
      </w:r>
      <w:r w:rsidR="002A2FD9" w:rsidRPr="00C01AE6">
        <w:rPr>
          <w:sz w:val="22"/>
          <w:szCs w:val="22"/>
          <w:lang w:val="sr-Latn-ME"/>
        </w:rPr>
        <w:t xml:space="preserve">praćenja </w:t>
      </w:r>
      <w:r w:rsidRPr="00C01AE6">
        <w:rPr>
          <w:sz w:val="22"/>
          <w:szCs w:val="22"/>
          <w:lang w:val="sr-Latn-ME"/>
        </w:rPr>
        <w:t>pri sl</w:t>
      </w:r>
      <w:r w:rsidR="004D20AB" w:rsidRPr="00C01AE6">
        <w:rPr>
          <w:sz w:val="22"/>
          <w:szCs w:val="22"/>
          <w:lang w:val="sr-Latn-ME"/>
        </w:rPr>
        <w:t>j</w:t>
      </w:r>
      <w:r w:rsidRPr="00C01AE6">
        <w:rPr>
          <w:sz w:val="22"/>
          <w:szCs w:val="22"/>
          <w:lang w:val="sr-Latn-ME"/>
        </w:rPr>
        <w:t xml:space="preserve">edećim </w:t>
      </w:r>
      <w:r w:rsidR="00BA210B" w:rsidRPr="00C01AE6">
        <w:rPr>
          <w:sz w:val="22"/>
          <w:szCs w:val="22"/>
          <w:lang w:val="sr-Latn-ME"/>
        </w:rPr>
        <w:t>primjen</w:t>
      </w:r>
      <w:r w:rsidRPr="00C01AE6">
        <w:rPr>
          <w:sz w:val="22"/>
          <w:szCs w:val="22"/>
          <w:lang w:val="sr-Latn-ME"/>
        </w:rPr>
        <w:t>ama l</w:t>
      </w:r>
      <w:r w:rsidR="00613845" w:rsidRPr="00C01AE6">
        <w:rPr>
          <w:sz w:val="22"/>
          <w:szCs w:val="22"/>
          <w:lang w:val="sr-Latn-ME"/>
        </w:rPr>
        <w:t>ij</w:t>
      </w:r>
      <w:r w:rsidRPr="00C01AE6">
        <w:rPr>
          <w:sz w:val="22"/>
          <w:szCs w:val="22"/>
          <w:lang w:val="sr-Latn-ME"/>
        </w:rPr>
        <w:t xml:space="preserve">eka i potrebi hitnog </w:t>
      </w:r>
      <w:r w:rsidR="00BA210B" w:rsidRPr="00C01AE6">
        <w:rPr>
          <w:sz w:val="22"/>
          <w:szCs w:val="22"/>
          <w:lang w:val="sr-Latn-ME"/>
        </w:rPr>
        <w:t>liječenj</w:t>
      </w:r>
      <w:r w:rsidRPr="00C01AE6">
        <w:rPr>
          <w:sz w:val="22"/>
          <w:szCs w:val="22"/>
          <w:lang w:val="sr-Latn-ME"/>
        </w:rPr>
        <w:t xml:space="preserve">a pacijenata na kućnoj </w:t>
      </w:r>
      <w:proofErr w:type="spellStart"/>
      <w:r w:rsidRPr="00C01AE6">
        <w:rPr>
          <w:sz w:val="22"/>
          <w:szCs w:val="22"/>
          <w:lang w:val="sr-Latn-ME"/>
        </w:rPr>
        <w:t>n</w:t>
      </w:r>
      <w:r w:rsidR="00613845" w:rsidRPr="00C01AE6">
        <w:rPr>
          <w:sz w:val="22"/>
          <w:szCs w:val="22"/>
          <w:lang w:val="sr-Latn-ME"/>
        </w:rPr>
        <w:t>j</w:t>
      </w:r>
      <w:r w:rsidRPr="00C01AE6">
        <w:rPr>
          <w:sz w:val="22"/>
          <w:szCs w:val="22"/>
          <w:lang w:val="sr-Latn-ME"/>
        </w:rPr>
        <w:t>ezi</w:t>
      </w:r>
      <w:proofErr w:type="spellEnd"/>
      <w:r w:rsidRPr="00C01AE6">
        <w:rPr>
          <w:sz w:val="22"/>
          <w:szCs w:val="22"/>
          <w:lang w:val="sr-Latn-ME"/>
        </w:rPr>
        <w:t xml:space="preserve"> odlučuje nadležni </w:t>
      </w:r>
      <w:r w:rsidR="00BA210B" w:rsidRPr="00C01AE6">
        <w:rPr>
          <w:sz w:val="22"/>
          <w:szCs w:val="22"/>
          <w:lang w:val="sr-Latn-ME"/>
        </w:rPr>
        <w:t>ljekar</w:t>
      </w:r>
      <w:r w:rsidRPr="00C01AE6">
        <w:rPr>
          <w:sz w:val="22"/>
          <w:szCs w:val="22"/>
          <w:lang w:val="sr-Latn-ME"/>
        </w:rPr>
        <w:t>.</w:t>
      </w:r>
    </w:p>
    <w:p w14:paraId="5BE1F833" w14:textId="77777777" w:rsidR="00D901C1" w:rsidRPr="00C01AE6" w:rsidRDefault="00D901C1" w:rsidP="00655C9D">
      <w:pPr>
        <w:widowControl w:val="0"/>
        <w:autoSpaceDE w:val="0"/>
        <w:autoSpaceDN w:val="0"/>
        <w:jc w:val="both"/>
        <w:rPr>
          <w:sz w:val="22"/>
          <w:szCs w:val="22"/>
          <w:lang w:val="sr-Latn-ME"/>
        </w:rPr>
      </w:pPr>
    </w:p>
    <w:p w14:paraId="06FB9CBD" w14:textId="1BE5F8E8" w:rsidR="00D901C1" w:rsidRPr="00C01AE6" w:rsidRDefault="00D901C1" w:rsidP="00655C9D">
      <w:pPr>
        <w:widowControl w:val="0"/>
        <w:autoSpaceDE w:val="0"/>
        <w:autoSpaceDN w:val="0"/>
        <w:spacing w:line="247" w:lineRule="auto"/>
        <w:jc w:val="both"/>
        <w:rPr>
          <w:sz w:val="22"/>
          <w:szCs w:val="22"/>
          <w:lang w:val="sr-Latn-ME"/>
        </w:rPr>
      </w:pPr>
      <w:r w:rsidRPr="00C01AE6">
        <w:rPr>
          <w:sz w:val="22"/>
          <w:szCs w:val="22"/>
          <w:lang w:val="sr-Latn-ME"/>
        </w:rPr>
        <w:t xml:space="preserve">Teška ili </w:t>
      </w:r>
      <w:r w:rsidR="004D20AB" w:rsidRPr="00C01AE6">
        <w:rPr>
          <w:sz w:val="22"/>
          <w:szCs w:val="22"/>
          <w:lang w:val="sr-Latn-ME"/>
        </w:rPr>
        <w:t xml:space="preserve">potencijalno životno </w:t>
      </w:r>
      <w:proofErr w:type="spellStart"/>
      <w:r w:rsidR="004D20AB" w:rsidRPr="00C01AE6">
        <w:rPr>
          <w:sz w:val="22"/>
          <w:szCs w:val="22"/>
          <w:lang w:val="sr-Latn-ME"/>
        </w:rPr>
        <w:t>ugrožavajuća</w:t>
      </w:r>
      <w:proofErr w:type="spellEnd"/>
      <w:r w:rsidRPr="00C01AE6">
        <w:rPr>
          <w:sz w:val="22"/>
          <w:szCs w:val="22"/>
          <w:lang w:val="sr-Latn-ME"/>
        </w:rPr>
        <w:t xml:space="preserve"> </w:t>
      </w:r>
      <w:r w:rsidR="00613845" w:rsidRPr="00C01AE6">
        <w:rPr>
          <w:sz w:val="22"/>
          <w:szCs w:val="22"/>
          <w:lang w:val="sr-Latn-ME"/>
        </w:rPr>
        <w:t>preosjetljivost</w:t>
      </w:r>
      <w:r w:rsidRPr="00C01AE6">
        <w:rPr>
          <w:sz w:val="22"/>
          <w:szCs w:val="22"/>
          <w:lang w:val="sr-Latn-ME"/>
        </w:rPr>
        <w:t xml:space="preserve"> predstavlja </w:t>
      </w:r>
      <w:proofErr w:type="spellStart"/>
      <w:r w:rsidRPr="00C01AE6">
        <w:rPr>
          <w:sz w:val="22"/>
          <w:szCs w:val="22"/>
          <w:lang w:val="sr-Latn-ME"/>
        </w:rPr>
        <w:t>kontraindikaciju</w:t>
      </w:r>
      <w:proofErr w:type="spellEnd"/>
      <w:r w:rsidRPr="00C01AE6">
        <w:rPr>
          <w:sz w:val="22"/>
          <w:szCs w:val="22"/>
          <w:lang w:val="sr-Latn-ME"/>
        </w:rPr>
        <w:t xml:space="preserve"> za ponovno uvođenje l</w:t>
      </w:r>
      <w:r w:rsidR="00613845" w:rsidRPr="00C01AE6">
        <w:rPr>
          <w:sz w:val="22"/>
          <w:szCs w:val="22"/>
          <w:lang w:val="sr-Latn-ME"/>
        </w:rPr>
        <w:t>ij</w:t>
      </w:r>
      <w:r w:rsidRPr="00C01AE6">
        <w:rPr>
          <w:sz w:val="22"/>
          <w:szCs w:val="22"/>
          <w:lang w:val="sr-Latn-ME"/>
        </w:rPr>
        <w:t xml:space="preserve">eka, ukoliko je </w:t>
      </w:r>
      <w:r w:rsidR="00613845" w:rsidRPr="00C01AE6">
        <w:rPr>
          <w:sz w:val="22"/>
          <w:szCs w:val="22"/>
          <w:lang w:val="sr-Latn-ME"/>
        </w:rPr>
        <w:t>preosjetljivost</w:t>
      </w:r>
      <w:r w:rsidRPr="00C01AE6">
        <w:rPr>
          <w:sz w:val="22"/>
          <w:szCs w:val="22"/>
          <w:lang w:val="sr-Latn-ME"/>
        </w:rPr>
        <w:t xml:space="preserve"> nemoguće kontrolisati (</w:t>
      </w:r>
      <w:r w:rsidR="00BA210B" w:rsidRPr="00C01AE6">
        <w:rPr>
          <w:sz w:val="22"/>
          <w:szCs w:val="22"/>
          <w:lang w:val="sr-Latn-ME"/>
        </w:rPr>
        <w:t>vidjeti</w:t>
      </w:r>
      <w:r w:rsidRPr="00C01AE6">
        <w:rPr>
          <w:sz w:val="22"/>
          <w:szCs w:val="22"/>
          <w:lang w:val="sr-Latn-ME"/>
        </w:rPr>
        <w:t xml:space="preserve"> </w:t>
      </w:r>
      <w:r w:rsidR="008B6182" w:rsidRPr="00C01AE6">
        <w:rPr>
          <w:sz w:val="22"/>
          <w:szCs w:val="22"/>
          <w:lang w:val="sr-Latn-ME"/>
        </w:rPr>
        <w:t>dio</w:t>
      </w:r>
      <w:r w:rsidRPr="00C01AE6">
        <w:rPr>
          <w:sz w:val="22"/>
          <w:szCs w:val="22"/>
          <w:lang w:val="sr-Latn-ME"/>
        </w:rPr>
        <w:t xml:space="preserve"> 4.3).</w:t>
      </w:r>
    </w:p>
    <w:p w14:paraId="7DB8BAD3" w14:textId="77777777" w:rsidR="00D901C1" w:rsidRPr="00C01AE6" w:rsidRDefault="00D901C1" w:rsidP="00655C9D">
      <w:pPr>
        <w:widowControl w:val="0"/>
        <w:autoSpaceDE w:val="0"/>
        <w:autoSpaceDN w:val="0"/>
        <w:jc w:val="both"/>
        <w:rPr>
          <w:sz w:val="22"/>
          <w:szCs w:val="22"/>
          <w:lang w:val="sr-Latn-ME"/>
        </w:rPr>
      </w:pPr>
    </w:p>
    <w:p w14:paraId="32E42B63" w14:textId="77777777" w:rsidR="00D901C1" w:rsidRPr="00C01AE6" w:rsidRDefault="00D901C1" w:rsidP="00655C9D">
      <w:pPr>
        <w:widowControl w:val="0"/>
        <w:autoSpaceDE w:val="0"/>
        <w:autoSpaceDN w:val="0"/>
        <w:jc w:val="both"/>
        <w:rPr>
          <w:sz w:val="22"/>
          <w:szCs w:val="22"/>
          <w:lang w:val="sr-Latn-ME"/>
        </w:rPr>
      </w:pPr>
      <w:r w:rsidRPr="00C01AE6">
        <w:rPr>
          <w:sz w:val="22"/>
          <w:szCs w:val="22"/>
          <w:u w:val="single"/>
          <w:lang w:val="sr-Latn-ME"/>
        </w:rPr>
        <w:t>Reakcija na injekciju</w:t>
      </w:r>
    </w:p>
    <w:p w14:paraId="76613CD1" w14:textId="77777777" w:rsidR="00D901C1" w:rsidRPr="00C01AE6" w:rsidRDefault="00D901C1" w:rsidP="00655C9D">
      <w:pPr>
        <w:widowControl w:val="0"/>
        <w:autoSpaceDE w:val="0"/>
        <w:autoSpaceDN w:val="0"/>
        <w:jc w:val="both"/>
        <w:rPr>
          <w:sz w:val="22"/>
          <w:szCs w:val="22"/>
          <w:lang w:val="sr-Latn-ME"/>
        </w:rPr>
      </w:pPr>
    </w:p>
    <w:p w14:paraId="0B67258D" w14:textId="4215507B" w:rsidR="00D901C1" w:rsidRPr="00C01AE6" w:rsidRDefault="00BA210B" w:rsidP="00655C9D">
      <w:pPr>
        <w:widowControl w:val="0"/>
        <w:autoSpaceDE w:val="0"/>
        <w:autoSpaceDN w:val="0"/>
        <w:spacing w:line="247" w:lineRule="auto"/>
        <w:jc w:val="both"/>
        <w:rPr>
          <w:sz w:val="22"/>
          <w:szCs w:val="22"/>
          <w:lang w:val="sr-Latn-ME"/>
        </w:rPr>
      </w:pPr>
      <w:r w:rsidRPr="00C01AE6">
        <w:rPr>
          <w:sz w:val="22"/>
          <w:szCs w:val="22"/>
          <w:lang w:val="sr-Latn-ME"/>
        </w:rPr>
        <w:t>Primjen</w:t>
      </w:r>
      <w:r w:rsidR="00D901C1" w:rsidRPr="00C01AE6">
        <w:rPr>
          <w:sz w:val="22"/>
          <w:szCs w:val="22"/>
          <w:lang w:val="sr-Latn-ME"/>
        </w:rPr>
        <w:t xml:space="preserve">a </w:t>
      </w:r>
      <w:proofErr w:type="spellStart"/>
      <w:r w:rsidR="00D901C1" w:rsidRPr="00C01AE6">
        <w:rPr>
          <w:sz w:val="22"/>
          <w:szCs w:val="22"/>
          <w:lang w:val="sr-Latn-ME"/>
        </w:rPr>
        <w:t>asfotaze</w:t>
      </w:r>
      <w:proofErr w:type="spellEnd"/>
      <w:r w:rsidR="00D901C1" w:rsidRPr="00C01AE6">
        <w:rPr>
          <w:sz w:val="22"/>
          <w:szCs w:val="22"/>
          <w:lang w:val="sr-Latn-ME"/>
        </w:rPr>
        <w:t xml:space="preserve"> alfa može dovesti do lokalnih reakcija na m</w:t>
      </w:r>
      <w:r w:rsidR="00613845" w:rsidRPr="00C01AE6">
        <w:rPr>
          <w:sz w:val="22"/>
          <w:szCs w:val="22"/>
          <w:lang w:val="sr-Latn-ME"/>
        </w:rPr>
        <w:t>j</w:t>
      </w:r>
      <w:r w:rsidR="00D901C1" w:rsidRPr="00C01AE6">
        <w:rPr>
          <w:sz w:val="22"/>
          <w:szCs w:val="22"/>
          <w:lang w:val="sr-Latn-ME"/>
        </w:rPr>
        <w:t xml:space="preserve">estu </w:t>
      </w:r>
      <w:r w:rsidRPr="00C01AE6">
        <w:rPr>
          <w:sz w:val="22"/>
          <w:szCs w:val="22"/>
          <w:lang w:val="sr-Latn-ME"/>
        </w:rPr>
        <w:t>primjen</w:t>
      </w:r>
      <w:r w:rsidR="00D901C1" w:rsidRPr="00C01AE6">
        <w:rPr>
          <w:sz w:val="22"/>
          <w:szCs w:val="22"/>
          <w:lang w:val="sr-Latn-ME"/>
        </w:rPr>
        <w:t xml:space="preserve">e injekcije (uključujući, između ostalog, </w:t>
      </w:r>
      <w:proofErr w:type="spellStart"/>
      <w:r w:rsidR="00D901C1" w:rsidRPr="00C01AE6">
        <w:rPr>
          <w:sz w:val="22"/>
          <w:szCs w:val="22"/>
          <w:lang w:val="sr-Latn-ME"/>
        </w:rPr>
        <w:t>eritem</w:t>
      </w:r>
      <w:proofErr w:type="spellEnd"/>
      <w:r w:rsidR="00D901C1" w:rsidRPr="00C01AE6">
        <w:rPr>
          <w:sz w:val="22"/>
          <w:szCs w:val="22"/>
          <w:lang w:val="sr-Latn-ME"/>
        </w:rPr>
        <w:t>, osip, prom</w:t>
      </w:r>
      <w:r w:rsidR="006B3EE0" w:rsidRPr="00C01AE6">
        <w:rPr>
          <w:sz w:val="22"/>
          <w:szCs w:val="22"/>
          <w:lang w:val="sr-Latn-ME"/>
        </w:rPr>
        <w:t>j</w:t>
      </w:r>
      <w:r w:rsidR="00D901C1" w:rsidRPr="00C01AE6">
        <w:rPr>
          <w:sz w:val="22"/>
          <w:szCs w:val="22"/>
          <w:lang w:val="sr-Latn-ME"/>
        </w:rPr>
        <w:t xml:space="preserve">enu boje kože, </w:t>
      </w:r>
      <w:proofErr w:type="spellStart"/>
      <w:r w:rsidR="00D901C1" w:rsidRPr="00C01AE6">
        <w:rPr>
          <w:sz w:val="22"/>
          <w:szCs w:val="22"/>
          <w:lang w:val="sr-Latn-ME"/>
        </w:rPr>
        <w:t>pruritus</w:t>
      </w:r>
      <w:proofErr w:type="spellEnd"/>
      <w:r w:rsidR="00D901C1" w:rsidRPr="00C01AE6">
        <w:rPr>
          <w:sz w:val="22"/>
          <w:szCs w:val="22"/>
          <w:lang w:val="sr-Latn-ME"/>
        </w:rPr>
        <w:t xml:space="preserve">, bol, </w:t>
      </w:r>
      <w:proofErr w:type="spellStart"/>
      <w:r w:rsidR="00D901C1" w:rsidRPr="00C01AE6">
        <w:rPr>
          <w:sz w:val="22"/>
          <w:szCs w:val="22"/>
          <w:lang w:val="sr-Latn-ME"/>
        </w:rPr>
        <w:t>papulu</w:t>
      </w:r>
      <w:proofErr w:type="spellEnd"/>
      <w:r w:rsidR="00D901C1" w:rsidRPr="00C01AE6">
        <w:rPr>
          <w:sz w:val="22"/>
          <w:szCs w:val="22"/>
          <w:lang w:val="sr-Latn-ME"/>
        </w:rPr>
        <w:t xml:space="preserve">, </w:t>
      </w:r>
      <w:proofErr w:type="spellStart"/>
      <w:r w:rsidR="00D901C1" w:rsidRPr="00C01AE6">
        <w:rPr>
          <w:sz w:val="22"/>
          <w:szCs w:val="22"/>
          <w:lang w:val="sr-Latn-ME"/>
        </w:rPr>
        <w:t>nodu</w:t>
      </w:r>
      <w:r w:rsidR="00A3221F" w:rsidRPr="00C01AE6">
        <w:rPr>
          <w:sz w:val="22"/>
          <w:szCs w:val="22"/>
          <w:lang w:val="sr-Latn-ME"/>
        </w:rPr>
        <w:t>l</w:t>
      </w:r>
      <w:proofErr w:type="spellEnd"/>
      <w:r w:rsidR="00D901C1" w:rsidRPr="00C01AE6">
        <w:rPr>
          <w:sz w:val="22"/>
          <w:szCs w:val="22"/>
          <w:lang w:val="sr-Latn-ME"/>
        </w:rPr>
        <w:t xml:space="preserve">, atrofiju) definisanih kao bilo koji povezani neželjeni događaj koji se pojavi tokom </w:t>
      </w:r>
      <w:proofErr w:type="spellStart"/>
      <w:r w:rsidR="00A3221F" w:rsidRPr="00C01AE6">
        <w:rPr>
          <w:sz w:val="22"/>
          <w:szCs w:val="22"/>
          <w:lang w:val="sr-Latn-ME"/>
        </w:rPr>
        <w:t>injiciranja</w:t>
      </w:r>
      <w:proofErr w:type="spellEnd"/>
      <w:r w:rsidR="00A3221F" w:rsidRPr="00C01AE6">
        <w:rPr>
          <w:sz w:val="22"/>
          <w:szCs w:val="22"/>
          <w:lang w:val="sr-Latn-ME"/>
        </w:rPr>
        <w:t xml:space="preserve"> </w:t>
      </w:r>
      <w:r w:rsidR="00D901C1" w:rsidRPr="00C01AE6">
        <w:rPr>
          <w:sz w:val="22"/>
          <w:szCs w:val="22"/>
          <w:lang w:val="sr-Latn-ME"/>
        </w:rPr>
        <w:t>ili do kraja dana kada je injekcija primljena (</w:t>
      </w:r>
      <w:r w:rsidRPr="00C01AE6">
        <w:rPr>
          <w:sz w:val="22"/>
          <w:szCs w:val="22"/>
          <w:lang w:val="sr-Latn-ME"/>
        </w:rPr>
        <w:t>vidjeti</w:t>
      </w:r>
      <w:r w:rsidR="00D901C1" w:rsidRPr="00C01AE6">
        <w:rPr>
          <w:sz w:val="22"/>
          <w:szCs w:val="22"/>
          <w:lang w:val="sr-Latn-ME"/>
        </w:rPr>
        <w:t xml:space="preserve"> </w:t>
      </w:r>
      <w:r w:rsidR="008B6182" w:rsidRPr="00C01AE6">
        <w:rPr>
          <w:sz w:val="22"/>
          <w:szCs w:val="22"/>
          <w:lang w:val="sr-Latn-ME"/>
        </w:rPr>
        <w:t>dio</w:t>
      </w:r>
      <w:r w:rsidR="00D901C1" w:rsidRPr="00C01AE6">
        <w:rPr>
          <w:sz w:val="22"/>
          <w:szCs w:val="22"/>
          <w:lang w:val="sr-Latn-ME"/>
        </w:rPr>
        <w:t xml:space="preserve"> 4.8).</w:t>
      </w:r>
    </w:p>
    <w:p w14:paraId="0F183D03" w14:textId="3B86E290" w:rsidR="00D901C1" w:rsidRPr="00C01AE6" w:rsidRDefault="00613845" w:rsidP="00655C9D">
      <w:pPr>
        <w:widowControl w:val="0"/>
        <w:autoSpaceDE w:val="0"/>
        <w:autoSpaceDN w:val="0"/>
        <w:jc w:val="both"/>
        <w:rPr>
          <w:sz w:val="22"/>
          <w:szCs w:val="22"/>
          <w:lang w:val="sr-Latn-ME"/>
        </w:rPr>
      </w:pPr>
      <w:r w:rsidRPr="00C01AE6">
        <w:rPr>
          <w:sz w:val="22"/>
          <w:szCs w:val="22"/>
          <w:lang w:val="sr-Latn-ME"/>
        </w:rPr>
        <w:t>Izmjena</w:t>
      </w:r>
      <w:r w:rsidR="00D901C1" w:rsidRPr="00C01AE6">
        <w:rPr>
          <w:sz w:val="22"/>
          <w:szCs w:val="22"/>
          <w:lang w:val="sr-Latn-ME"/>
        </w:rPr>
        <w:t xml:space="preserve"> </w:t>
      </w:r>
      <w:r w:rsidRPr="00C01AE6">
        <w:rPr>
          <w:sz w:val="22"/>
          <w:szCs w:val="22"/>
          <w:lang w:val="sr-Latn-ME"/>
        </w:rPr>
        <w:t>mjesta</w:t>
      </w:r>
      <w:r w:rsidR="00D901C1" w:rsidRPr="00C01AE6">
        <w:rPr>
          <w:sz w:val="22"/>
          <w:szCs w:val="22"/>
          <w:lang w:val="sr-Latn-ME"/>
        </w:rPr>
        <w:t xml:space="preserve"> </w:t>
      </w:r>
      <w:r w:rsidR="00BA210B" w:rsidRPr="00C01AE6">
        <w:rPr>
          <w:sz w:val="22"/>
          <w:szCs w:val="22"/>
          <w:lang w:val="sr-Latn-ME"/>
        </w:rPr>
        <w:t>primjen</w:t>
      </w:r>
      <w:r w:rsidR="00D901C1" w:rsidRPr="00C01AE6">
        <w:rPr>
          <w:sz w:val="22"/>
          <w:szCs w:val="22"/>
          <w:lang w:val="sr-Latn-ME"/>
        </w:rPr>
        <w:t>e injekcije može pomoći u svođenju tih reakcija na najmanju moguću m</w:t>
      </w:r>
      <w:r w:rsidRPr="00C01AE6">
        <w:rPr>
          <w:sz w:val="22"/>
          <w:szCs w:val="22"/>
          <w:lang w:val="sr-Latn-ME"/>
        </w:rPr>
        <w:t>j</w:t>
      </w:r>
      <w:r w:rsidR="00D901C1" w:rsidRPr="00C01AE6">
        <w:rPr>
          <w:sz w:val="22"/>
          <w:szCs w:val="22"/>
          <w:lang w:val="sr-Latn-ME"/>
        </w:rPr>
        <w:t>eru.</w:t>
      </w:r>
    </w:p>
    <w:p w14:paraId="2FE944B4" w14:textId="111E1FB5" w:rsidR="00D901C1" w:rsidRPr="00C01AE6" w:rsidRDefault="00BA210B" w:rsidP="00655C9D">
      <w:pPr>
        <w:widowControl w:val="0"/>
        <w:autoSpaceDE w:val="0"/>
        <w:autoSpaceDN w:val="0"/>
        <w:spacing w:line="244" w:lineRule="auto"/>
        <w:jc w:val="both"/>
        <w:rPr>
          <w:sz w:val="22"/>
          <w:szCs w:val="22"/>
          <w:lang w:val="sr-Latn-ME"/>
        </w:rPr>
      </w:pPr>
      <w:r w:rsidRPr="00C01AE6">
        <w:rPr>
          <w:sz w:val="22"/>
          <w:szCs w:val="22"/>
          <w:lang w:val="sr-Latn-ME"/>
        </w:rPr>
        <w:t>Primjen</w:t>
      </w:r>
      <w:r w:rsidR="00D901C1" w:rsidRPr="00C01AE6">
        <w:rPr>
          <w:sz w:val="22"/>
          <w:szCs w:val="22"/>
          <w:lang w:val="sr-Latn-ME"/>
        </w:rPr>
        <w:t>u l</w:t>
      </w:r>
      <w:r w:rsidR="00613845" w:rsidRPr="00C01AE6">
        <w:rPr>
          <w:sz w:val="22"/>
          <w:szCs w:val="22"/>
          <w:lang w:val="sr-Latn-ME"/>
        </w:rPr>
        <w:t>ij</w:t>
      </w:r>
      <w:r w:rsidR="00D901C1" w:rsidRPr="00C01AE6">
        <w:rPr>
          <w:sz w:val="22"/>
          <w:szCs w:val="22"/>
          <w:lang w:val="sr-Latn-ME"/>
        </w:rPr>
        <w:t xml:space="preserve">eka </w:t>
      </w:r>
      <w:proofErr w:type="spellStart"/>
      <w:r w:rsidR="00D901C1" w:rsidRPr="00C01AE6">
        <w:rPr>
          <w:sz w:val="22"/>
          <w:szCs w:val="22"/>
          <w:lang w:val="sr-Latn-ME"/>
        </w:rPr>
        <w:t>Strensiq</w:t>
      </w:r>
      <w:proofErr w:type="spellEnd"/>
      <w:r w:rsidR="00D901C1" w:rsidRPr="00C01AE6">
        <w:rPr>
          <w:sz w:val="22"/>
          <w:szCs w:val="22"/>
          <w:lang w:val="sr-Latn-ME"/>
        </w:rPr>
        <w:t xml:space="preserve"> treba prekinuti i započeti odgovarajuću medicinsku terapiju kod svakog pacijenta s</w:t>
      </w:r>
      <w:r w:rsidR="00B3559F" w:rsidRPr="00C01AE6">
        <w:rPr>
          <w:sz w:val="22"/>
          <w:szCs w:val="22"/>
          <w:lang w:val="sr-Latn-ME"/>
        </w:rPr>
        <w:t>a</w:t>
      </w:r>
      <w:r w:rsidR="00D901C1" w:rsidRPr="00C01AE6">
        <w:rPr>
          <w:sz w:val="22"/>
          <w:szCs w:val="22"/>
          <w:lang w:val="sr-Latn-ME"/>
        </w:rPr>
        <w:t xml:space="preserve"> teškim reakcijama na injekciju.</w:t>
      </w:r>
    </w:p>
    <w:p w14:paraId="22FD721A" w14:textId="77777777" w:rsidR="00D901C1" w:rsidRPr="00C01AE6" w:rsidRDefault="00D901C1" w:rsidP="00655C9D">
      <w:pPr>
        <w:widowControl w:val="0"/>
        <w:autoSpaceDE w:val="0"/>
        <w:autoSpaceDN w:val="0"/>
        <w:jc w:val="both"/>
        <w:rPr>
          <w:sz w:val="22"/>
          <w:szCs w:val="22"/>
          <w:lang w:val="sr-Latn-ME"/>
        </w:rPr>
      </w:pPr>
    </w:p>
    <w:p w14:paraId="700F1893" w14:textId="77777777" w:rsidR="00D901C1" w:rsidRPr="00C01AE6" w:rsidRDefault="00D901C1" w:rsidP="00655C9D">
      <w:pPr>
        <w:widowControl w:val="0"/>
        <w:autoSpaceDE w:val="0"/>
        <w:autoSpaceDN w:val="0"/>
        <w:jc w:val="both"/>
        <w:rPr>
          <w:sz w:val="22"/>
          <w:szCs w:val="22"/>
          <w:lang w:val="sr-Latn-ME"/>
        </w:rPr>
      </w:pPr>
      <w:proofErr w:type="spellStart"/>
      <w:r w:rsidRPr="00C01AE6">
        <w:rPr>
          <w:sz w:val="22"/>
          <w:szCs w:val="22"/>
          <w:u w:val="single"/>
          <w:lang w:val="sr-Latn-ME"/>
        </w:rPr>
        <w:t>Lipodistrofija</w:t>
      </w:r>
      <w:proofErr w:type="spellEnd"/>
    </w:p>
    <w:p w14:paraId="0E2EA409" w14:textId="77777777" w:rsidR="00D901C1" w:rsidRPr="00C01AE6" w:rsidRDefault="00D901C1" w:rsidP="00655C9D">
      <w:pPr>
        <w:widowControl w:val="0"/>
        <w:autoSpaceDE w:val="0"/>
        <w:autoSpaceDN w:val="0"/>
        <w:jc w:val="both"/>
        <w:rPr>
          <w:sz w:val="22"/>
          <w:szCs w:val="22"/>
          <w:lang w:val="sr-Latn-ME"/>
        </w:rPr>
      </w:pPr>
    </w:p>
    <w:p w14:paraId="2E579EA6" w14:textId="46BD5381" w:rsidR="00D901C1" w:rsidRPr="00C01AE6" w:rsidRDefault="00D901C1" w:rsidP="00655C9D">
      <w:pPr>
        <w:widowControl w:val="0"/>
        <w:autoSpaceDE w:val="0"/>
        <w:autoSpaceDN w:val="0"/>
        <w:spacing w:line="247" w:lineRule="auto"/>
        <w:jc w:val="both"/>
        <w:rPr>
          <w:sz w:val="22"/>
          <w:szCs w:val="22"/>
          <w:lang w:val="sr-Latn-ME"/>
        </w:rPr>
      </w:pPr>
      <w:r w:rsidRPr="00C01AE6">
        <w:rPr>
          <w:sz w:val="22"/>
          <w:szCs w:val="22"/>
          <w:lang w:val="sr-Latn-ME"/>
        </w:rPr>
        <w:t xml:space="preserve">Kod pacijenata </w:t>
      </w:r>
      <w:r w:rsidR="00613845" w:rsidRPr="00C01AE6">
        <w:rPr>
          <w:sz w:val="22"/>
          <w:szCs w:val="22"/>
          <w:lang w:val="sr-Latn-ME"/>
        </w:rPr>
        <w:t>liječenih</w:t>
      </w:r>
      <w:r w:rsidRPr="00C01AE6">
        <w:rPr>
          <w:sz w:val="22"/>
          <w:szCs w:val="22"/>
          <w:lang w:val="sr-Latn-ME"/>
        </w:rPr>
        <w:t xml:space="preserve"> </w:t>
      </w:r>
      <w:proofErr w:type="spellStart"/>
      <w:r w:rsidRPr="00C01AE6">
        <w:rPr>
          <w:sz w:val="22"/>
          <w:szCs w:val="22"/>
          <w:lang w:val="sr-Latn-ME"/>
        </w:rPr>
        <w:t>asfotazom</w:t>
      </w:r>
      <w:proofErr w:type="spellEnd"/>
      <w:r w:rsidRPr="00C01AE6">
        <w:rPr>
          <w:sz w:val="22"/>
          <w:szCs w:val="22"/>
          <w:lang w:val="sr-Latn-ME"/>
        </w:rPr>
        <w:t xml:space="preserve"> alfa u kliničkim ispitivanjima, na m</w:t>
      </w:r>
      <w:r w:rsidR="00A3221F" w:rsidRPr="00C01AE6">
        <w:rPr>
          <w:sz w:val="22"/>
          <w:szCs w:val="22"/>
          <w:lang w:val="sr-Latn-ME"/>
        </w:rPr>
        <w:t>j</w:t>
      </w:r>
      <w:r w:rsidRPr="00C01AE6">
        <w:rPr>
          <w:sz w:val="22"/>
          <w:szCs w:val="22"/>
          <w:lang w:val="sr-Latn-ME"/>
        </w:rPr>
        <w:t xml:space="preserve">estima </w:t>
      </w:r>
      <w:r w:rsidR="00BA210B" w:rsidRPr="00C01AE6">
        <w:rPr>
          <w:sz w:val="22"/>
          <w:szCs w:val="22"/>
          <w:lang w:val="sr-Latn-ME"/>
        </w:rPr>
        <w:t>primjen</w:t>
      </w:r>
      <w:r w:rsidRPr="00C01AE6">
        <w:rPr>
          <w:sz w:val="22"/>
          <w:szCs w:val="22"/>
          <w:lang w:val="sr-Latn-ME"/>
        </w:rPr>
        <w:t xml:space="preserve">e injekcije </w:t>
      </w:r>
      <w:r w:rsidR="00A3221F" w:rsidRPr="00C01AE6">
        <w:rPr>
          <w:sz w:val="22"/>
          <w:szCs w:val="22"/>
          <w:lang w:val="sr-Latn-ME"/>
        </w:rPr>
        <w:t xml:space="preserve">zabilježena </w:t>
      </w:r>
      <w:r w:rsidRPr="00C01AE6">
        <w:rPr>
          <w:sz w:val="22"/>
          <w:szCs w:val="22"/>
          <w:lang w:val="sr-Latn-ME"/>
        </w:rPr>
        <w:t xml:space="preserve">je nakon nekoliko </w:t>
      </w:r>
      <w:r w:rsidR="00613845" w:rsidRPr="00C01AE6">
        <w:rPr>
          <w:sz w:val="22"/>
          <w:szCs w:val="22"/>
          <w:lang w:val="sr-Latn-ME"/>
        </w:rPr>
        <w:t>mjeseci</w:t>
      </w:r>
      <w:r w:rsidRPr="00C01AE6">
        <w:rPr>
          <w:sz w:val="22"/>
          <w:szCs w:val="22"/>
          <w:lang w:val="sr-Latn-ME"/>
        </w:rPr>
        <w:t xml:space="preserve"> lokalizovana </w:t>
      </w:r>
      <w:proofErr w:type="spellStart"/>
      <w:r w:rsidRPr="00C01AE6">
        <w:rPr>
          <w:sz w:val="22"/>
          <w:szCs w:val="22"/>
          <w:lang w:val="sr-Latn-ME"/>
        </w:rPr>
        <w:t>lipodistrofija</w:t>
      </w:r>
      <w:proofErr w:type="spellEnd"/>
      <w:r w:rsidRPr="00C01AE6">
        <w:rPr>
          <w:sz w:val="22"/>
          <w:szCs w:val="22"/>
          <w:lang w:val="sr-Latn-ME"/>
        </w:rPr>
        <w:t xml:space="preserve">, uključujući </w:t>
      </w:r>
      <w:proofErr w:type="spellStart"/>
      <w:r w:rsidRPr="00C01AE6">
        <w:rPr>
          <w:sz w:val="22"/>
          <w:szCs w:val="22"/>
          <w:lang w:val="sr-Latn-ME"/>
        </w:rPr>
        <w:t>lipoatrofiju</w:t>
      </w:r>
      <w:proofErr w:type="spellEnd"/>
      <w:r w:rsidRPr="00C01AE6">
        <w:rPr>
          <w:sz w:val="22"/>
          <w:szCs w:val="22"/>
          <w:lang w:val="sr-Latn-ME"/>
        </w:rPr>
        <w:t xml:space="preserve"> i </w:t>
      </w:r>
      <w:proofErr w:type="spellStart"/>
      <w:r w:rsidRPr="00C01AE6">
        <w:rPr>
          <w:sz w:val="22"/>
          <w:szCs w:val="22"/>
          <w:lang w:val="sr-Latn-ME"/>
        </w:rPr>
        <w:t>lipohipertrofiju</w:t>
      </w:r>
      <w:proofErr w:type="spellEnd"/>
      <w:r w:rsidRPr="00C01AE6">
        <w:rPr>
          <w:sz w:val="22"/>
          <w:szCs w:val="22"/>
          <w:lang w:val="sr-Latn-ME"/>
        </w:rPr>
        <w:t xml:space="preserve"> (</w:t>
      </w:r>
      <w:r w:rsidR="00BA210B" w:rsidRPr="00C01AE6">
        <w:rPr>
          <w:sz w:val="22"/>
          <w:szCs w:val="22"/>
          <w:lang w:val="sr-Latn-ME"/>
        </w:rPr>
        <w:t>vidjeti</w:t>
      </w:r>
      <w:r w:rsidRPr="00C01AE6">
        <w:rPr>
          <w:sz w:val="22"/>
          <w:szCs w:val="22"/>
          <w:lang w:val="sr-Latn-ME"/>
        </w:rPr>
        <w:t xml:space="preserve"> </w:t>
      </w:r>
      <w:r w:rsidR="008B6182" w:rsidRPr="00C01AE6">
        <w:rPr>
          <w:sz w:val="22"/>
          <w:szCs w:val="22"/>
          <w:lang w:val="sr-Latn-ME"/>
        </w:rPr>
        <w:t>dio</w:t>
      </w:r>
      <w:r w:rsidRPr="00C01AE6">
        <w:rPr>
          <w:sz w:val="22"/>
          <w:szCs w:val="22"/>
          <w:lang w:val="sr-Latn-ME"/>
        </w:rPr>
        <w:t xml:space="preserve"> 4.8).</w:t>
      </w:r>
    </w:p>
    <w:p w14:paraId="726E14AD" w14:textId="2B2C8FDA" w:rsidR="00D901C1" w:rsidRPr="00C01AE6" w:rsidRDefault="00D901C1" w:rsidP="00655C9D">
      <w:pPr>
        <w:widowControl w:val="0"/>
        <w:autoSpaceDE w:val="0"/>
        <w:autoSpaceDN w:val="0"/>
        <w:ind w:right="120"/>
        <w:jc w:val="both"/>
        <w:rPr>
          <w:sz w:val="22"/>
          <w:szCs w:val="22"/>
          <w:lang w:val="sr-Latn-ME"/>
        </w:rPr>
      </w:pPr>
      <w:r w:rsidRPr="00C01AE6">
        <w:rPr>
          <w:sz w:val="22"/>
          <w:szCs w:val="22"/>
          <w:lang w:val="sr-Latn-ME"/>
        </w:rPr>
        <w:t>Pacijentima se sav</w:t>
      </w:r>
      <w:r w:rsidR="00613845" w:rsidRPr="00C01AE6">
        <w:rPr>
          <w:sz w:val="22"/>
          <w:szCs w:val="22"/>
          <w:lang w:val="sr-Latn-ME"/>
        </w:rPr>
        <w:t>j</w:t>
      </w:r>
      <w:r w:rsidRPr="00C01AE6">
        <w:rPr>
          <w:sz w:val="22"/>
          <w:szCs w:val="22"/>
          <w:lang w:val="sr-Latn-ME"/>
        </w:rPr>
        <w:t xml:space="preserve">etuje da se pridržavaju pravilne tehnike </w:t>
      </w:r>
      <w:r w:rsidR="00BA210B" w:rsidRPr="00C01AE6">
        <w:rPr>
          <w:sz w:val="22"/>
          <w:szCs w:val="22"/>
          <w:lang w:val="sr-Latn-ME"/>
        </w:rPr>
        <w:t>primjen</w:t>
      </w:r>
      <w:r w:rsidRPr="00C01AE6">
        <w:rPr>
          <w:sz w:val="22"/>
          <w:szCs w:val="22"/>
          <w:lang w:val="sr-Latn-ME"/>
        </w:rPr>
        <w:t>e injekcija i da m</w:t>
      </w:r>
      <w:r w:rsidR="00A3221F" w:rsidRPr="00C01AE6">
        <w:rPr>
          <w:sz w:val="22"/>
          <w:szCs w:val="22"/>
          <w:lang w:val="sr-Latn-ME"/>
        </w:rPr>
        <w:t>ij</w:t>
      </w:r>
      <w:r w:rsidRPr="00C01AE6">
        <w:rPr>
          <w:sz w:val="22"/>
          <w:szCs w:val="22"/>
          <w:lang w:val="sr-Latn-ME"/>
        </w:rPr>
        <w:t xml:space="preserve">enjaju </w:t>
      </w:r>
      <w:r w:rsidR="00613845" w:rsidRPr="00C01AE6">
        <w:rPr>
          <w:sz w:val="22"/>
          <w:szCs w:val="22"/>
          <w:lang w:val="sr-Latn-ME"/>
        </w:rPr>
        <w:t>mjesta</w:t>
      </w:r>
      <w:r w:rsidRPr="00C01AE6">
        <w:rPr>
          <w:sz w:val="22"/>
          <w:szCs w:val="22"/>
          <w:lang w:val="sr-Latn-ME"/>
        </w:rPr>
        <w:t xml:space="preserve"> </w:t>
      </w:r>
      <w:r w:rsidR="00BA210B" w:rsidRPr="00C01AE6">
        <w:rPr>
          <w:sz w:val="22"/>
          <w:szCs w:val="22"/>
          <w:lang w:val="sr-Latn-ME"/>
        </w:rPr>
        <w:t>primjen</w:t>
      </w:r>
      <w:r w:rsidRPr="00C01AE6">
        <w:rPr>
          <w:sz w:val="22"/>
          <w:szCs w:val="22"/>
          <w:lang w:val="sr-Latn-ME"/>
        </w:rPr>
        <w:t>e injekcije (</w:t>
      </w:r>
      <w:r w:rsidR="00BA210B" w:rsidRPr="00C01AE6">
        <w:rPr>
          <w:sz w:val="22"/>
          <w:szCs w:val="22"/>
          <w:lang w:val="sr-Latn-ME"/>
        </w:rPr>
        <w:t>vidjeti</w:t>
      </w:r>
      <w:r w:rsidRPr="00C01AE6">
        <w:rPr>
          <w:sz w:val="22"/>
          <w:szCs w:val="22"/>
          <w:lang w:val="sr-Latn-ME"/>
        </w:rPr>
        <w:t xml:space="preserve"> </w:t>
      </w:r>
      <w:r w:rsidR="008B6182" w:rsidRPr="00C01AE6">
        <w:rPr>
          <w:sz w:val="22"/>
          <w:szCs w:val="22"/>
          <w:lang w:val="sr-Latn-ME"/>
        </w:rPr>
        <w:t>dio</w:t>
      </w:r>
      <w:r w:rsidRPr="00C01AE6">
        <w:rPr>
          <w:sz w:val="22"/>
          <w:szCs w:val="22"/>
          <w:lang w:val="sr-Latn-ME"/>
        </w:rPr>
        <w:t xml:space="preserve"> 4.2). </w:t>
      </w:r>
    </w:p>
    <w:p w14:paraId="041C30E7" w14:textId="77777777" w:rsidR="00D901C1" w:rsidRPr="00C01AE6" w:rsidRDefault="00D901C1" w:rsidP="00655C9D">
      <w:pPr>
        <w:widowControl w:val="0"/>
        <w:autoSpaceDE w:val="0"/>
        <w:autoSpaceDN w:val="0"/>
        <w:ind w:left="132" w:right="120"/>
        <w:jc w:val="both"/>
        <w:rPr>
          <w:sz w:val="22"/>
          <w:szCs w:val="22"/>
          <w:lang w:val="sr-Latn-ME"/>
        </w:rPr>
      </w:pPr>
    </w:p>
    <w:p w14:paraId="488CD1BA" w14:textId="77777777" w:rsidR="00D901C1" w:rsidRPr="00C01AE6" w:rsidRDefault="00D901C1" w:rsidP="00655C9D">
      <w:pPr>
        <w:widowControl w:val="0"/>
        <w:autoSpaceDE w:val="0"/>
        <w:autoSpaceDN w:val="0"/>
        <w:ind w:right="120"/>
        <w:jc w:val="both"/>
        <w:rPr>
          <w:sz w:val="22"/>
          <w:szCs w:val="22"/>
          <w:u w:val="single"/>
          <w:lang w:val="sr-Latn-ME"/>
        </w:rPr>
      </w:pPr>
      <w:proofErr w:type="spellStart"/>
      <w:r w:rsidRPr="00C01AE6">
        <w:rPr>
          <w:sz w:val="22"/>
          <w:szCs w:val="22"/>
          <w:u w:val="single"/>
          <w:lang w:val="sr-Latn-ME"/>
        </w:rPr>
        <w:t>Kraniosinostoza</w:t>
      </w:r>
      <w:proofErr w:type="spellEnd"/>
    </w:p>
    <w:p w14:paraId="36336F53" w14:textId="77777777" w:rsidR="00D36EE8" w:rsidRPr="00C01AE6" w:rsidRDefault="00D36EE8" w:rsidP="00655C9D">
      <w:pPr>
        <w:widowControl w:val="0"/>
        <w:autoSpaceDE w:val="0"/>
        <w:autoSpaceDN w:val="0"/>
        <w:ind w:right="120"/>
        <w:jc w:val="both"/>
        <w:rPr>
          <w:sz w:val="22"/>
          <w:szCs w:val="22"/>
          <w:lang w:val="sr-Latn-ME"/>
        </w:rPr>
      </w:pPr>
    </w:p>
    <w:p w14:paraId="5D56B52B" w14:textId="5E834436" w:rsidR="00D901C1" w:rsidRPr="00C01AE6" w:rsidRDefault="00D901C1" w:rsidP="00655C9D">
      <w:pPr>
        <w:widowControl w:val="0"/>
        <w:autoSpaceDE w:val="0"/>
        <w:autoSpaceDN w:val="0"/>
        <w:spacing w:line="247" w:lineRule="auto"/>
        <w:jc w:val="both"/>
        <w:rPr>
          <w:sz w:val="22"/>
          <w:szCs w:val="22"/>
          <w:lang w:val="sr-Latn-ME"/>
        </w:rPr>
      </w:pPr>
      <w:r w:rsidRPr="00C01AE6">
        <w:rPr>
          <w:sz w:val="22"/>
          <w:szCs w:val="22"/>
          <w:lang w:val="sr-Latn-ME"/>
        </w:rPr>
        <w:t xml:space="preserve">U kliničkim ispitivanjima </w:t>
      </w:r>
      <w:proofErr w:type="spellStart"/>
      <w:r w:rsidRPr="00C01AE6">
        <w:rPr>
          <w:sz w:val="22"/>
          <w:szCs w:val="22"/>
          <w:lang w:val="sr-Latn-ME"/>
        </w:rPr>
        <w:t>asfotaze</w:t>
      </w:r>
      <w:proofErr w:type="spellEnd"/>
      <w:r w:rsidRPr="00C01AE6">
        <w:rPr>
          <w:sz w:val="22"/>
          <w:szCs w:val="22"/>
          <w:lang w:val="sr-Latn-ME"/>
        </w:rPr>
        <w:t xml:space="preserve"> alfa, neželjeni događaji </w:t>
      </w:r>
      <w:proofErr w:type="spellStart"/>
      <w:r w:rsidRPr="00C01AE6">
        <w:rPr>
          <w:sz w:val="22"/>
          <w:szCs w:val="22"/>
          <w:lang w:val="sr-Latn-ME"/>
        </w:rPr>
        <w:t>kraniosinostoze</w:t>
      </w:r>
      <w:proofErr w:type="spellEnd"/>
      <w:r w:rsidRPr="00C01AE6">
        <w:rPr>
          <w:sz w:val="22"/>
          <w:szCs w:val="22"/>
          <w:lang w:val="sr-Latn-ME"/>
        </w:rPr>
        <w:t xml:space="preserve"> (povezane sa povećanim </w:t>
      </w:r>
      <w:proofErr w:type="spellStart"/>
      <w:r w:rsidRPr="00C01AE6">
        <w:rPr>
          <w:sz w:val="22"/>
          <w:szCs w:val="22"/>
          <w:lang w:val="sr-Latn-ME"/>
        </w:rPr>
        <w:t>intrakranijalnim</w:t>
      </w:r>
      <w:proofErr w:type="spellEnd"/>
      <w:r w:rsidRPr="00C01AE6">
        <w:rPr>
          <w:sz w:val="22"/>
          <w:szCs w:val="22"/>
          <w:lang w:val="sr-Latn-ME"/>
        </w:rPr>
        <w:t xml:space="preserve"> pritiskom), uključujući pogoršanje postojeće </w:t>
      </w:r>
      <w:proofErr w:type="spellStart"/>
      <w:r w:rsidRPr="00C01AE6">
        <w:rPr>
          <w:sz w:val="22"/>
          <w:szCs w:val="22"/>
          <w:lang w:val="sr-Latn-ME"/>
        </w:rPr>
        <w:t>kraniosinostoze</w:t>
      </w:r>
      <w:proofErr w:type="spellEnd"/>
      <w:r w:rsidRPr="00C01AE6">
        <w:rPr>
          <w:sz w:val="22"/>
          <w:szCs w:val="22"/>
          <w:lang w:val="sr-Latn-ME"/>
        </w:rPr>
        <w:t xml:space="preserve"> i pojavu Arnold-</w:t>
      </w:r>
      <w:proofErr w:type="spellStart"/>
      <w:r w:rsidR="002C1FF4" w:rsidRPr="00C01AE6">
        <w:rPr>
          <w:sz w:val="22"/>
          <w:szCs w:val="22"/>
          <w:lang w:val="sr-Latn-ME"/>
        </w:rPr>
        <w:t>Chi</w:t>
      </w:r>
      <w:r w:rsidRPr="00C01AE6">
        <w:rPr>
          <w:sz w:val="22"/>
          <w:szCs w:val="22"/>
          <w:lang w:val="sr-Latn-ME"/>
        </w:rPr>
        <w:t>arijeve</w:t>
      </w:r>
      <w:proofErr w:type="spellEnd"/>
      <w:r w:rsidRPr="00C01AE6">
        <w:rPr>
          <w:sz w:val="22"/>
          <w:szCs w:val="22"/>
          <w:lang w:val="sr-Latn-ME"/>
        </w:rPr>
        <w:t xml:space="preserve"> </w:t>
      </w:r>
      <w:proofErr w:type="spellStart"/>
      <w:r w:rsidRPr="00C01AE6">
        <w:rPr>
          <w:sz w:val="22"/>
          <w:szCs w:val="22"/>
          <w:lang w:val="sr-Latn-ME"/>
        </w:rPr>
        <w:t>malformacije</w:t>
      </w:r>
      <w:proofErr w:type="spellEnd"/>
      <w:r w:rsidRPr="00C01AE6">
        <w:rPr>
          <w:sz w:val="22"/>
          <w:szCs w:val="22"/>
          <w:lang w:val="sr-Latn-ME"/>
        </w:rPr>
        <w:t xml:space="preserve">, </w:t>
      </w:r>
      <w:r w:rsidR="00A3221F" w:rsidRPr="00C01AE6">
        <w:rPr>
          <w:sz w:val="22"/>
          <w:szCs w:val="22"/>
          <w:lang w:val="sr-Latn-ME"/>
        </w:rPr>
        <w:t xml:space="preserve">zabilježene </w:t>
      </w:r>
      <w:r w:rsidRPr="00C01AE6">
        <w:rPr>
          <w:sz w:val="22"/>
          <w:szCs w:val="22"/>
          <w:lang w:val="sr-Latn-ME"/>
        </w:rPr>
        <w:t xml:space="preserve">su kod pacijenata sa </w:t>
      </w:r>
      <w:proofErr w:type="spellStart"/>
      <w:r w:rsidRPr="00C01AE6">
        <w:rPr>
          <w:sz w:val="22"/>
          <w:szCs w:val="22"/>
          <w:lang w:val="sr-Latn-ME"/>
        </w:rPr>
        <w:t>hipofosfatazijom</w:t>
      </w:r>
      <w:proofErr w:type="spellEnd"/>
      <w:r w:rsidRPr="00C01AE6">
        <w:rPr>
          <w:sz w:val="22"/>
          <w:szCs w:val="22"/>
          <w:lang w:val="sr-Latn-ME"/>
        </w:rPr>
        <w:t xml:space="preserve"> u uzrastu mlađem od 5 godina. Nema dovoljno podataka da bi se ustanovio uzročno-posl</w:t>
      </w:r>
      <w:r w:rsidR="00613845" w:rsidRPr="00C01AE6">
        <w:rPr>
          <w:sz w:val="22"/>
          <w:szCs w:val="22"/>
          <w:lang w:val="sr-Latn-ME"/>
        </w:rPr>
        <w:t>j</w:t>
      </w:r>
      <w:r w:rsidRPr="00C01AE6">
        <w:rPr>
          <w:sz w:val="22"/>
          <w:szCs w:val="22"/>
          <w:lang w:val="sr-Latn-ME"/>
        </w:rPr>
        <w:t>edični odnos između izloženosti l</w:t>
      </w:r>
      <w:r w:rsidR="00613845" w:rsidRPr="00C01AE6">
        <w:rPr>
          <w:sz w:val="22"/>
          <w:szCs w:val="22"/>
          <w:lang w:val="sr-Latn-ME"/>
        </w:rPr>
        <w:t>ij</w:t>
      </w:r>
      <w:r w:rsidRPr="00C01AE6">
        <w:rPr>
          <w:sz w:val="22"/>
          <w:szCs w:val="22"/>
          <w:lang w:val="sr-Latn-ME"/>
        </w:rPr>
        <w:t xml:space="preserve">eku </w:t>
      </w:r>
      <w:proofErr w:type="spellStart"/>
      <w:r w:rsidRPr="00C01AE6">
        <w:rPr>
          <w:sz w:val="22"/>
          <w:szCs w:val="22"/>
          <w:lang w:val="sr-Latn-ME"/>
        </w:rPr>
        <w:t>Strensiq</w:t>
      </w:r>
      <w:proofErr w:type="spellEnd"/>
      <w:r w:rsidRPr="00C01AE6">
        <w:rPr>
          <w:sz w:val="22"/>
          <w:szCs w:val="22"/>
          <w:lang w:val="sr-Latn-ME"/>
        </w:rPr>
        <w:t xml:space="preserve"> i napredovanja </w:t>
      </w:r>
      <w:proofErr w:type="spellStart"/>
      <w:r w:rsidRPr="00C01AE6">
        <w:rPr>
          <w:sz w:val="22"/>
          <w:szCs w:val="22"/>
          <w:lang w:val="sr-Latn-ME"/>
        </w:rPr>
        <w:t>kraniosinostoze</w:t>
      </w:r>
      <w:proofErr w:type="spellEnd"/>
      <w:r w:rsidRPr="00C01AE6">
        <w:rPr>
          <w:sz w:val="22"/>
          <w:szCs w:val="22"/>
          <w:lang w:val="sr-Latn-ME"/>
        </w:rPr>
        <w:t xml:space="preserve">. </w:t>
      </w:r>
      <w:proofErr w:type="spellStart"/>
      <w:r w:rsidRPr="00C01AE6">
        <w:rPr>
          <w:sz w:val="22"/>
          <w:szCs w:val="22"/>
          <w:lang w:val="sr-Latn-ME"/>
        </w:rPr>
        <w:t>Kraniosinostoza</w:t>
      </w:r>
      <w:proofErr w:type="spellEnd"/>
      <w:r w:rsidRPr="00C01AE6">
        <w:rPr>
          <w:sz w:val="22"/>
          <w:szCs w:val="22"/>
          <w:lang w:val="sr-Latn-ME"/>
        </w:rPr>
        <w:t xml:space="preserve"> kao manifestacija </w:t>
      </w:r>
      <w:proofErr w:type="spellStart"/>
      <w:r w:rsidRPr="00C01AE6">
        <w:rPr>
          <w:sz w:val="22"/>
          <w:szCs w:val="22"/>
          <w:lang w:val="sr-Latn-ME"/>
        </w:rPr>
        <w:t>hipofosfatazije</w:t>
      </w:r>
      <w:proofErr w:type="spellEnd"/>
      <w:r w:rsidRPr="00C01AE6">
        <w:rPr>
          <w:sz w:val="22"/>
          <w:szCs w:val="22"/>
          <w:lang w:val="sr-Latn-ME"/>
        </w:rPr>
        <w:t xml:space="preserve"> potkr</w:t>
      </w:r>
      <w:r w:rsidR="00613845" w:rsidRPr="00C01AE6">
        <w:rPr>
          <w:sz w:val="22"/>
          <w:szCs w:val="22"/>
          <w:lang w:val="sr-Latn-ME"/>
        </w:rPr>
        <w:t>ij</w:t>
      </w:r>
      <w:r w:rsidRPr="00C01AE6">
        <w:rPr>
          <w:sz w:val="22"/>
          <w:szCs w:val="22"/>
          <w:lang w:val="sr-Latn-ME"/>
        </w:rPr>
        <w:t xml:space="preserve">epljena je dokazima u objavljenoj literaturi, i pojavila se kod 61,3% pacijenata između rođenja i 5. godine života u ispitivanju prirodnog toka bolesti </w:t>
      </w:r>
      <w:proofErr w:type="spellStart"/>
      <w:r w:rsidRPr="00C01AE6">
        <w:rPr>
          <w:sz w:val="22"/>
          <w:szCs w:val="22"/>
          <w:lang w:val="sr-Latn-ME"/>
        </w:rPr>
        <w:t>ne</w:t>
      </w:r>
      <w:r w:rsidR="00613845" w:rsidRPr="00C01AE6">
        <w:rPr>
          <w:sz w:val="22"/>
          <w:szCs w:val="22"/>
          <w:lang w:val="sr-Latn-ME"/>
        </w:rPr>
        <w:t>liječenih</w:t>
      </w:r>
      <w:proofErr w:type="spellEnd"/>
      <w:r w:rsidRPr="00C01AE6">
        <w:rPr>
          <w:sz w:val="22"/>
          <w:szCs w:val="22"/>
          <w:lang w:val="sr-Latn-ME"/>
        </w:rPr>
        <w:t xml:space="preserve"> pacijenata sa infantilnim oblikom </w:t>
      </w:r>
      <w:proofErr w:type="spellStart"/>
      <w:r w:rsidRPr="00C01AE6">
        <w:rPr>
          <w:sz w:val="22"/>
          <w:szCs w:val="22"/>
          <w:lang w:val="sr-Latn-ME"/>
        </w:rPr>
        <w:t>hipofosfatazije</w:t>
      </w:r>
      <w:proofErr w:type="spellEnd"/>
      <w:r w:rsidRPr="00C01AE6">
        <w:rPr>
          <w:sz w:val="22"/>
          <w:szCs w:val="22"/>
          <w:lang w:val="sr-Latn-ME"/>
        </w:rPr>
        <w:t xml:space="preserve">. </w:t>
      </w:r>
      <w:proofErr w:type="spellStart"/>
      <w:r w:rsidRPr="00C01AE6">
        <w:rPr>
          <w:sz w:val="22"/>
          <w:szCs w:val="22"/>
          <w:lang w:val="sr-Latn-ME"/>
        </w:rPr>
        <w:t>Kraniosinostoza</w:t>
      </w:r>
      <w:proofErr w:type="spellEnd"/>
      <w:r w:rsidRPr="00C01AE6">
        <w:rPr>
          <w:sz w:val="22"/>
          <w:szCs w:val="22"/>
          <w:lang w:val="sr-Latn-ME"/>
        </w:rPr>
        <w:t xml:space="preserve"> može dovesti do povišenog </w:t>
      </w:r>
      <w:proofErr w:type="spellStart"/>
      <w:r w:rsidRPr="00C01AE6">
        <w:rPr>
          <w:sz w:val="22"/>
          <w:szCs w:val="22"/>
          <w:lang w:val="sr-Latn-ME"/>
        </w:rPr>
        <w:t>intrakranijalnog</w:t>
      </w:r>
      <w:proofErr w:type="spellEnd"/>
      <w:r w:rsidRPr="00C01AE6">
        <w:rPr>
          <w:sz w:val="22"/>
          <w:szCs w:val="22"/>
          <w:lang w:val="sr-Latn-ME"/>
        </w:rPr>
        <w:t xml:space="preserve"> pritiska. Kod pacijenata sa </w:t>
      </w:r>
      <w:proofErr w:type="spellStart"/>
      <w:r w:rsidRPr="00C01AE6">
        <w:rPr>
          <w:sz w:val="22"/>
          <w:szCs w:val="22"/>
          <w:lang w:val="sr-Latn-ME"/>
        </w:rPr>
        <w:t>hipofosfatazijom</w:t>
      </w:r>
      <w:proofErr w:type="spellEnd"/>
      <w:r w:rsidRPr="00C01AE6">
        <w:rPr>
          <w:sz w:val="22"/>
          <w:szCs w:val="22"/>
          <w:lang w:val="sr-Latn-ME"/>
        </w:rPr>
        <w:t xml:space="preserve"> mlađih od 5 godina preporučuje se redovno praćenje (uključujući </w:t>
      </w:r>
      <w:proofErr w:type="spellStart"/>
      <w:r w:rsidRPr="00C01AE6">
        <w:rPr>
          <w:sz w:val="22"/>
          <w:szCs w:val="22"/>
          <w:lang w:val="sr-Latn-ME"/>
        </w:rPr>
        <w:t>fundoskopiju</w:t>
      </w:r>
      <w:proofErr w:type="spellEnd"/>
      <w:r w:rsidRPr="00C01AE6">
        <w:rPr>
          <w:sz w:val="22"/>
          <w:szCs w:val="22"/>
          <w:lang w:val="sr-Latn-ME"/>
        </w:rPr>
        <w:t xml:space="preserve"> radi otkrivanja znakova </w:t>
      </w:r>
      <w:proofErr w:type="spellStart"/>
      <w:r w:rsidRPr="00C01AE6">
        <w:rPr>
          <w:sz w:val="22"/>
          <w:szCs w:val="22"/>
          <w:lang w:val="sr-Latn-ME"/>
        </w:rPr>
        <w:t>edema</w:t>
      </w:r>
      <w:proofErr w:type="spellEnd"/>
      <w:r w:rsidRPr="00C01AE6">
        <w:rPr>
          <w:sz w:val="22"/>
          <w:szCs w:val="22"/>
          <w:lang w:val="sr-Latn-ME"/>
        </w:rPr>
        <w:t xml:space="preserve"> papile) i brza intervencija zbog povišenog </w:t>
      </w:r>
      <w:proofErr w:type="spellStart"/>
      <w:r w:rsidRPr="00C01AE6">
        <w:rPr>
          <w:sz w:val="22"/>
          <w:szCs w:val="22"/>
          <w:lang w:val="sr-Latn-ME"/>
        </w:rPr>
        <w:t>intrakranijalnog</w:t>
      </w:r>
      <w:proofErr w:type="spellEnd"/>
      <w:r w:rsidRPr="00C01AE6">
        <w:rPr>
          <w:sz w:val="22"/>
          <w:szCs w:val="22"/>
          <w:lang w:val="sr-Latn-ME"/>
        </w:rPr>
        <w:t xml:space="preserve"> pritiska.</w:t>
      </w:r>
    </w:p>
    <w:p w14:paraId="62712256" w14:textId="40454723" w:rsidR="00D901C1" w:rsidRPr="00C01AE6" w:rsidRDefault="00D901C1" w:rsidP="00655C9D">
      <w:pPr>
        <w:widowControl w:val="0"/>
        <w:autoSpaceDE w:val="0"/>
        <w:autoSpaceDN w:val="0"/>
        <w:jc w:val="both"/>
        <w:rPr>
          <w:sz w:val="22"/>
          <w:szCs w:val="22"/>
          <w:lang w:val="sr-Latn-ME"/>
        </w:rPr>
      </w:pPr>
    </w:p>
    <w:p w14:paraId="293F36C7" w14:textId="77777777" w:rsidR="00D901C1" w:rsidRPr="00C01AE6" w:rsidRDefault="00D901C1" w:rsidP="00655C9D">
      <w:pPr>
        <w:widowControl w:val="0"/>
        <w:autoSpaceDE w:val="0"/>
        <w:autoSpaceDN w:val="0"/>
        <w:jc w:val="both"/>
        <w:rPr>
          <w:sz w:val="22"/>
          <w:szCs w:val="22"/>
          <w:lang w:val="sr-Latn-ME"/>
        </w:rPr>
      </w:pPr>
      <w:proofErr w:type="spellStart"/>
      <w:r w:rsidRPr="00C01AE6">
        <w:rPr>
          <w:sz w:val="22"/>
          <w:szCs w:val="22"/>
          <w:u w:val="single"/>
          <w:lang w:val="sr-Latn-ME"/>
        </w:rPr>
        <w:t>Ektopična</w:t>
      </w:r>
      <w:proofErr w:type="spellEnd"/>
      <w:r w:rsidRPr="00C01AE6">
        <w:rPr>
          <w:sz w:val="22"/>
          <w:szCs w:val="22"/>
          <w:u w:val="single"/>
          <w:lang w:val="sr-Latn-ME"/>
        </w:rPr>
        <w:t xml:space="preserve"> </w:t>
      </w:r>
      <w:proofErr w:type="spellStart"/>
      <w:r w:rsidRPr="00C01AE6">
        <w:rPr>
          <w:sz w:val="22"/>
          <w:szCs w:val="22"/>
          <w:u w:val="single"/>
          <w:lang w:val="sr-Latn-ME"/>
        </w:rPr>
        <w:t>kalcifikacija</w:t>
      </w:r>
      <w:proofErr w:type="spellEnd"/>
    </w:p>
    <w:p w14:paraId="79253B98" w14:textId="77777777" w:rsidR="00D901C1" w:rsidRPr="00C01AE6" w:rsidRDefault="00D901C1" w:rsidP="00655C9D">
      <w:pPr>
        <w:widowControl w:val="0"/>
        <w:autoSpaceDE w:val="0"/>
        <w:autoSpaceDN w:val="0"/>
        <w:jc w:val="both"/>
        <w:rPr>
          <w:sz w:val="22"/>
          <w:szCs w:val="22"/>
          <w:lang w:val="sr-Latn-ME"/>
        </w:rPr>
      </w:pPr>
    </w:p>
    <w:p w14:paraId="246C251D" w14:textId="75E493B2" w:rsidR="00D901C1" w:rsidRPr="00C01AE6" w:rsidRDefault="00D901C1" w:rsidP="00655C9D">
      <w:pPr>
        <w:widowControl w:val="0"/>
        <w:autoSpaceDE w:val="0"/>
        <w:autoSpaceDN w:val="0"/>
        <w:spacing w:line="249" w:lineRule="auto"/>
        <w:jc w:val="both"/>
        <w:rPr>
          <w:sz w:val="22"/>
          <w:szCs w:val="22"/>
          <w:lang w:val="sr-Latn-ME"/>
        </w:rPr>
      </w:pPr>
      <w:r w:rsidRPr="00C01AE6">
        <w:rPr>
          <w:sz w:val="22"/>
          <w:szCs w:val="22"/>
          <w:lang w:val="sr-Latn-ME"/>
        </w:rPr>
        <w:t xml:space="preserve">U kliničkim ispitivanjima </w:t>
      </w:r>
      <w:proofErr w:type="spellStart"/>
      <w:r w:rsidRPr="00C01AE6">
        <w:rPr>
          <w:sz w:val="22"/>
          <w:szCs w:val="22"/>
          <w:lang w:val="sr-Latn-ME"/>
        </w:rPr>
        <w:t>asfotaze</w:t>
      </w:r>
      <w:proofErr w:type="spellEnd"/>
      <w:r w:rsidRPr="00C01AE6">
        <w:rPr>
          <w:sz w:val="22"/>
          <w:szCs w:val="22"/>
          <w:lang w:val="sr-Latn-ME"/>
        </w:rPr>
        <w:t xml:space="preserve"> alfa, kod pacijenata sa </w:t>
      </w:r>
      <w:proofErr w:type="spellStart"/>
      <w:r w:rsidRPr="00C01AE6">
        <w:rPr>
          <w:sz w:val="22"/>
          <w:szCs w:val="22"/>
          <w:lang w:val="sr-Latn-ME"/>
        </w:rPr>
        <w:t>hipofosfatazijom</w:t>
      </w:r>
      <w:proofErr w:type="spellEnd"/>
      <w:r w:rsidRPr="00C01AE6">
        <w:rPr>
          <w:sz w:val="22"/>
          <w:szCs w:val="22"/>
          <w:lang w:val="sr-Latn-ME"/>
        </w:rPr>
        <w:t xml:space="preserve"> </w:t>
      </w:r>
      <w:r w:rsidR="006B6C04" w:rsidRPr="00C01AE6">
        <w:rPr>
          <w:sz w:val="22"/>
          <w:szCs w:val="22"/>
          <w:lang w:val="sr-Latn-ME"/>
        </w:rPr>
        <w:t xml:space="preserve">zabilježene </w:t>
      </w:r>
      <w:r w:rsidRPr="00C01AE6">
        <w:rPr>
          <w:sz w:val="22"/>
          <w:szCs w:val="22"/>
          <w:lang w:val="sr-Latn-ME"/>
        </w:rPr>
        <w:t xml:space="preserve">su </w:t>
      </w:r>
      <w:proofErr w:type="spellStart"/>
      <w:r w:rsidRPr="00C01AE6">
        <w:rPr>
          <w:sz w:val="22"/>
          <w:szCs w:val="22"/>
          <w:lang w:val="sr-Latn-ME"/>
        </w:rPr>
        <w:t>oftalmička</w:t>
      </w:r>
      <w:proofErr w:type="spellEnd"/>
      <w:r w:rsidRPr="00C01AE6">
        <w:rPr>
          <w:sz w:val="22"/>
          <w:szCs w:val="22"/>
          <w:lang w:val="sr-Latn-ME"/>
        </w:rPr>
        <w:t xml:space="preserve"> </w:t>
      </w:r>
      <w:proofErr w:type="spellStart"/>
      <w:r w:rsidRPr="00C01AE6">
        <w:rPr>
          <w:sz w:val="22"/>
          <w:szCs w:val="22"/>
          <w:lang w:val="sr-Latn-ME"/>
        </w:rPr>
        <w:t>kalcifikacija</w:t>
      </w:r>
      <w:proofErr w:type="spellEnd"/>
      <w:r w:rsidRPr="00C01AE6">
        <w:rPr>
          <w:sz w:val="22"/>
          <w:szCs w:val="22"/>
          <w:lang w:val="sr-Latn-ME"/>
        </w:rPr>
        <w:t xml:space="preserve"> (konjunktive i </w:t>
      </w:r>
      <w:proofErr w:type="spellStart"/>
      <w:r w:rsidRPr="00C01AE6">
        <w:rPr>
          <w:sz w:val="22"/>
          <w:szCs w:val="22"/>
          <w:lang w:val="sr-Latn-ME"/>
        </w:rPr>
        <w:t>korneje</w:t>
      </w:r>
      <w:proofErr w:type="spellEnd"/>
      <w:r w:rsidRPr="00C01AE6">
        <w:rPr>
          <w:sz w:val="22"/>
          <w:szCs w:val="22"/>
          <w:lang w:val="sr-Latn-ME"/>
        </w:rPr>
        <w:t xml:space="preserve">) i </w:t>
      </w:r>
      <w:proofErr w:type="spellStart"/>
      <w:r w:rsidRPr="00C01AE6">
        <w:rPr>
          <w:sz w:val="22"/>
          <w:szCs w:val="22"/>
          <w:lang w:val="sr-Latn-ME"/>
        </w:rPr>
        <w:t>nefrokalcinoza</w:t>
      </w:r>
      <w:proofErr w:type="spellEnd"/>
      <w:r w:rsidRPr="00C01AE6">
        <w:rPr>
          <w:sz w:val="22"/>
          <w:szCs w:val="22"/>
          <w:lang w:val="sr-Latn-ME"/>
        </w:rPr>
        <w:t>. Nema dovoljno podataka da bi se ustanovio uzročno-posl</w:t>
      </w:r>
      <w:r w:rsidR="002C1FF4" w:rsidRPr="00C01AE6">
        <w:rPr>
          <w:sz w:val="22"/>
          <w:szCs w:val="22"/>
          <w:lang w:val="sr-Latn-ME"/>
        </w:rPr>
        <w:t>j</w:t>
      </w:r>
      <w:r w:rsidRPr="00C01AE6">
        <w:rPr>
          <w:sz w:val="22"/>
          <w:szCs w:val="22"/>
          <w:lang w:val="sr-Latn-ME"/>
        </w:rPr>
        <w:t xml:space="preserve">edični odnos između izloženosti </w:t>
      </w:r>
      <w:proofErr w:type="spellStart"/>
      <w:r w:rsidRPr="00C01AE6">
        <w:rPr>
          <w:sz w:val="22"/>
          <w:szCs w:val="22"/>
          <w:lang w:val="sr-Latn-ME"/>
        </w:rPr>
        <w:t>asfotazi</w:t>
      </w:r>
      <w:proofErr w:type="spellEnd"/>
      <w:r w:rsidRPr="00C01AE6">
        <w:rPr>
          <w:sz w:val="22"/>
          <w:szCs w:val="22"/>
          <w:lang w:val="sr-Latn-ME"/>
        </w:rPr>
        <w:t xml:space="preserve"> alfa i </w:t>
      </w:r>
      <w:proofErr w:type="spellStart"/>
      <w:r w:rsidRPr="00C01AE6">
        <w:rPr>
          <w:sz w:val="22"/>
          <w:szCs w:val="22"/>
          <w:lang w:val="sr-Latn-ME"/>
        </w:rPr>
        <w:t>ektopične</w:t>
      </w:r>
      <w:proofErr w:type="spellEnd"/>
      <w:r w:rsidRPr="00C01AE6">
        <w:rPr>
          <w:sz w:val="22"/>
          <w:szCs w:val="22"/>
          <w:lang w:val="sr-Latn-ME"/>
        </w:rPr>
        <w:t xml:space="preserve"> </w:t>
      </w:r>
      <w:proofErr w:type="spellStart"/>
      <w:r w:rsidRPr="00C01AE6">
        <w:rPr>
          <w:sz w:val="22"/>
          <w:szCs w:val="22"/>
          <w:lang w:val="sr-Latn-ME"/>
        </w:rPr>
        <w:t>kalcifikacije</w:t>
      </w:r>
      <w:proofErr w:type="spellEnd"/>
      <w:r w:rsidRPr="00C01AE6">
        <w:rPr>
          <w:sz w:val="22"/>
          <w:szCs w:val="22"/>
          <w:lang w:val="sr-Latn-ME"/>
        </w:rPr>
        <w:t xml:space="preserve">. </w:t>
      </w:r>
      <w:proofErr w:type="spellStart"/>
      <w:r w:rsidRPr="00C01AE6">
        <w:rPr>
          <w:sz w:val="22"/>
          <w:szCs w:val="22"/>
          <w:lang w:val="sr-Latn-ME"/>
        </w:rPr>
        <w:t>Oftalmička</w:t>
      </w:r>
      <w:proofErr w:type="spellEnd"/>
      <w:r w:rsidRPr="00C01AE6">
        <w:rPr>
          <w:sz w:val="22"/>
          <w:szCs w:val="22"/>
          <w:lang w:val="sr-Latn-ME"/>
        </w:rPr>
        <w:t xml:space="preserve"> </w:t>
      </w:r>
      <w:proofErr w:type="spellStart"/>
      <w:r w:rsidRPr="00C01AE6">
        <w:rPr>
          <w:sz w:val="22"/>
          <w:szCs w:val="22"/>
          <w:lang w:val="sr-Latn-ME"/>
        </w:rPr>
        <w:t>kalcifikacija</w:t>
      </w:r>
      <w:proofErr w:type="spellEnd"/>
      <w:r w:rsidRPr="00C01AE6">
        <w:rPr>
          <w:sz w:val="22"/>
          <w:szCs w:val="22"/>
          <w:lang w:val="sr-Latn-ME"/>
        </w:rPr>
        <w:t xml:space="preserve"> (konjunktive i </w:t>
      </w:r>
      <w:proofErr w:type="spellStart"/>
      <w:r w:rsidRPr="00C01AE6">
        <w:rPr>
          <w:sz w:val="22"/>
          <w:szCs w:val="22"/>
          <w:lang w:val="sr-Latn-ME"/>
        </w:rPr>
        <w:t>korneje</w:t>
      </w:r>
      <w:proofErr w:type="spellEnd"/>
      <w:r w:rsidRPr="00C01AE6">
        <w:rPr>
          <w:sz w:val="22"/>
          <w:szCs w:val="22"/>
          <w:lang w:val="sr-Latn-ME"/>
        </w:rPr>
        <w:t xml:space="preserve">) i </w:t>
      </w:r>
      <w:proofErr w:type="spellStart"/>
      <w:r w:rsidRPr="00C01AE6">
        <w:rPr>
          <w:sz w:val="22"/>
          <w:szCs w:val="22"/>
          <w:lang w:val="sr-Latn-ME"/>
        </w:rPr>
        <w:t>nefrokalcinoza</w:t>
      </w:r>
      <w:proofErr w:type="spellEnd"/>
      <w:r w:rsidRPr="00C01AE6">
        <w:rPr>
          <w:sz w:val="22"/>
          <w:szCs w:val="22"/>
          <w:lang w:val="sr-Latn-ME"/>
        </w:rPr>
        <w:t xml:space="preserve"> kao manifestacije </w:t>
      </w:r>
      <w:proofErr w:type="spellStart"/>
      <w:r w:rsidRPr="00C01AE6">
        <w:rPr>
          <w:sz w:val="22"/>
          <w:szCs w:val="22"/>
          <w:lang w:val="sr-Latn-ME"/>
        </w:rPr>
        <w:t>hipofosfatazije</w:t>
      </w:r>
      <w:proofErr w:type="spellEnd"/>
      <w:r w:rsidRPr="00C01AE6">
        <w:rPr>
          <w:sz w:val="22"/>
          <w:szCs w:val="22"/>
          <w:lang w:val="sr-Latn-ME"/>
        </w:rPr>
        <w:t xml:space="preserve"> </w:t>
      </w:r>
      <w:r w:rsidR="006B6C04" w:rsidRPr="00C01AE6">
        <w:rPr>
          <w:sz w:val="22"/>
          <w:szCs w:val="22"/>
          <w:lang w:val="sr-Latn-ME"/>
        </w:rPr>
        <w:t xml:space="preserve">potkrijepljene </w:t>
      </w:r>
      <w:r w:rsidRPr="00C01AE6">
        <w:rPr>
          <w:sz w:val="22"/>
          <w:szCs w:val="22"/>
          <w:lang w:val="sr-Latn-ME"/>
        </w:rPr>
        <w:t xml:space="preserve">su dokazima u objavljenoj literaturi. U ispitivanju prirodnog toka bolesti kod </w:t>
      </w:r>
      <w:proofErr w:type="spellStart"/>
      <w:r w:rsidRPr="00C01AE6">
        <w:rPr>
          <w:sz w:val="22"/>
          <w:szCs w:val="22"/>
          <w:lang w:val="sr-Latn-ME"/>
        </w:rPr>
        <w:t>ne</w:t>
      </w:r>
      <w:r w:rsidR="00613845" w:rsidRPr="00C01AE6">
        <w:rPr>
          <w:sz w:val="22"/>
          <w:szCs w:val="22"/>
          <w:lang w:val="sr-Latn-ME"/>
        </w:rPr>
        <w:t>liječenih</w:t>
      </w:r>
      <w:proofErr w:type="spellEnd"/>
      <w:r w:rsidRPr="00C01AE6">
        <w:rPr>
          <w:sz w:val="22"/>
          <w:szCs w:val="22"/>
          <w:lang w:val="sr-Latn-ME"/>
        </w:rPr>
        <w:t xml:space="preserve"> pacijenata sa </w:t>
      </w:r>
      <w:r w:rsidRPr="00C01AE6">
        <w:rPr>
          <w:sz w:val="22"/>
          <w:szCs w:val="22"/>
          <w:lang w:val="sr-Latn-ME"/>
        </w:rPr>
        <w:lastRenderedPageBreak/>
        <w:t xml:space="preserve">infantilnim oblikom </w:t>
      </w:r>
      <w:proofErr w:type="spellStart"/>
      <w:r w:rsidRPr="00C01AE6">
        <w:rPr>
          <w:sz w:val="22"/>
          <w:szCs w:val="22"/>
          <w:lang w:val="sr-Latn-ME"/>
        </w:rPr>
        <w:t>hipofosfatazije</w:t>
      </w:r>
      <w:proofErr w:type="spellEnd"/>
      <w:r w:rsidRPr="00C01AE6">
        <w:rPr>
          <w:sz w:val="22"/>
          <w:szCs w:val="22"/>
          <w:lang w:val="sr-Latn-ME"/>
        </w:rPr>
        <w:t xml:space="preserve">, </w:t>
      </w:r>
      <w:proofErr w:type="spellStart"/>
      <w:r w:rsidRPr="00C01AE6">
        <w:rPr>
          <w:sz w:val="22"/>
          <w:szCs w:val="22"/>
          <w:lang w:val="sr-Latn-ME"/>
        </w:rPr>
        <w:t>nefrokalcinoza</w:t>
      </w:r>
      <w:proofErr w:type="spellEnd"/>
      <w:r w:rsidRPr="00C01AE6">
        <w:rPr>
          <w:sz w:val="22"/>
          <w:szCs w:val="22"/>
          <w:lang w:val="sr-Latn-ME"/>
        </w:rPr>
        <w:t xml:space="preserve"> se pojavila kod 51,6% pacijenata </w:t>
      </w:r>
      <w:r w:rsidR="006B6C04" w:rsidRPr="00C01AE6">
        <w:rPr>
          <w:sz w:val="22"/>
          <w:szCs w:val="22"/>
          <w:lang w:val="sr-Latn-ME"/>
        </w:rPr>
        <w:t xml:space="preserve">u periodu </w:t>
      </w:r>
      <w:r w:rsidRPr="00C01AE6">
        <w:rPr>
          <w:sz w:val="22"/>
          <w:szCs w:val="22"/>
          <w:lang w:val="sr-Latn-ME"/>
        </w:rPr>
        <w:t>između rođenja i 5. godine.</w:t>
      </w:r>
    </w:p>
    <w:p w14:paraId="63D89CC7" w14:textId="69B3ACDF" w:rsidR="00D901C1" w:rsidRPr="00C01AE6" w:rsidRDefault="00D901C1" w:rsidP="00655C9D">
      <w:pPr>
        <w:widowControl w:val="0"/>
        <w:autoSpaceDE w:val="0"/>
        <w:autoSpaceDN w:val="0"/>
        <w:spacing w:line="247" w:lineRule="auto"/>
        <w:jc w:val="both"/>
        <w:rPr>
          <w:sz w:val="22"/>
          <w:szCs w:val="22"/>
          <w:lang w:val="sr-Latn-ME"/>
        </w:rPr>
      </w:pPr>
      <w:proofErr w:type="spellStart"/>
      <w:r w:rsidRPr="00C01AE6">
        <w:rPr>
          <w:sz w:val="22"/>
          <w:szCs w:val="22"/>
          <w:lang w:val="sr-Latn-ME"/>
        </w:rPr>
        <w:t>Oftalmološki</w:t>
      </w:r>
      <w:proofErr w:type="spellEnd"/>
      <w:r w:rsidRPr="00C01AE6">
        <w:rPr>
          <w:sz w:val="22"/>
          <w:szCs w:val="22"/>
          <w:lang w:val="sr-Latn-ME"/>
        </w:rPr>
        <w:t xml:space="preserve"> </w:t>
      </w:r>
      <w:proofErr w:type="spellStart"/>
      <w:r w:rsidRPr="00C01AE6">
        <w:rPr>
          <w:sz w:val="22"/>
          <w:szCs w:val="22"/>
          <w:lang w:val="sr-Latn-ME"/>
        </w:rPr>
        <w:t>pregled</w:t>
      </w:r>
      <w:proofErr w:type="spellEnd"/>
      <w:r w:rsidRPr="00C01AE6">
        <w:rPr>
          <w:sz w:val="22"/>
          <w:szCs w:val="22"/>
          <w:lang w:val="sr-Latn-ME"/>
        </w:rPr>
        <w:t xml:space="preserve"> i ultrazvučni </w:t>
      </w:r>
      <w:proofErr w:type="spellStart"/>
      <w:r w:rsidRPr="00C01AE6">
        <w:rPr>
          <w:sz w:val="22"/>
          <w:szCs w:val="22"/>
          <w:lang w:val="sr-Latn-ME"/>
        </w:rPr>
        <w:t>pregledi</w:t>
      </w:r>
      <w:proofErr w:type="spellEnd"/>
      <w:r w:rsidRPr="00C01AE6">
        <w:rPr>
          <w:sz w:val="22"/>
          <w:szCs w:val="22"/>
          <w:lang w:val="sr-Latn-ME"/>
        </w:rPr>
        <w:t xml:space="preserve"> bubrega preporučuju se na početku, a zatim </w:t>
      </w:r>
      <w:r w:rsidR="00533DDC" w:rsidRPr="00C01AE6">
        <w:rPr>
          <w:sz w:val="22"/>
          <w:szCs w:val="22"/>
          <w:lang w:val="sr-Latn-ME"/>
        </w:rPr>
        <w:t xml:space="preserve">redovno </w:t>
      </w:r>
      <w:r w:rsidRPr="00C01AE6">
        <w:rPr>
          <w:sz w:val="22"/>
          <w:szCs w:val="22"/>
          <w:lang w:val="sr-Latn-ME"/>
        </w:rPr>
        <w:t xml:space="preserve">kod pacijenata sa </w:t>
      </w:r>
      <w:proofErr w:type="spellStart"/>
      <w:r w:rsidRPr="00C01AE6">
        <w:rPr>
          <w:sz w:val="22"/>
          <w:szCs w:val="22"/>
          <w:lang w:val="sr-Latn-ME"/>
        </w:rPr>
        <w:t>hipofosfatazijom</w:t>
      </w:r>
      <w:proofErr w:type="spellEnd"/>
      <w:r w:rsidRPr="00C01AE6">
        <w:rPr>
          <w:sz w:val="22"/>
          <w:szCs w:val="22"/>
          <w:lang w:val="sr-Latn-ME"/>
        </w:rPr>
        <w:t>.</w:t>
      </w:r>
    </w:p>
    <w:p w14:paraId="080376EE" w14:textId="77777777" w:rsidR="00D901C1" w:rsidRPr="00C01AE6" w:rsidRDefault="00D901C1" w:rsidP="00655C9D">
      <w:pPr>
        <w:widowControl w:val="0"/>
        <w:autoSpaceDE w:val="0"/>
        <w:autoSpaceDN w:val="0"/>
        <w:jc w:val="both"/>
        <w:rPr>
          <w:sz w:val="22"/>
          <w:szCs w:val="22"/>
          <w:lang w:val="sr-Latn-ME"/>
        </w:rPr>
      </w:pPr>
    </w:p>
    <w:p w14:paraId="0EEFDAA3" w14:textId="04218C52" w:rsidR="00D901C1" w:rsidRPr="00C01AE6" w:rsidRDefault="00D901C1" w:rsidP="00655C9D">
      <w:pPr>
        <w:widowControl w:val="0"/>
        <w:autoSpaceDE w:val="0"/>
        <w:autoSpaceDN w:val="0"/>
        <w:jc w:val="both"/>
        <w:rPr>
          <w:sz w:val="22"/>
          <w:szCs w:val="22"/>
          <w:lang w:val="sr-Latn-ME"/>
        </w:rPr>
      </w:pPr>
      <w:proofErr w:type="spellStart"/>
      <w:r w:rsidRPr="00C01AE6">
        <w:rPr>
          <w:sz w:val="22"/>
          <w:szCs w:val="22"/>
          <w:u w:val="single"/>
          <w:lang w:val="sr-Latn-ME"/>
        </w:rPr>
        <w:t>Paratireoidni</w:t>
      </w:r>
      <w:proofErr w:type="spellEnd"/>
      <w:r w:rsidRPr="00C01AE6">
        <w:rPr>
          <w:sz w:val="22"/>
          <w:szCs w:val="22"/>
          <w:u w:val="single"/>
          <w:lang w:val="sr-Latn-ME"/>
        </w:rPr>
        <w:t xml:space="preserve"> hormon i kalcijum u serumu</w:t>
      </w:r>
    </w:p>
    <w:p w14:paraId="22A3479A" w14:textId="0CEE28DA" w:rsidR="00D901C1" w:rsidRPr="00C01AE6" w:rsidRDefault="00D901C1" w:rsidP="00655C9D">
      <w:pPr>
        <w:widowControl w:val="0"/>
        <w:autoSpaceDE w:val="0"/>
        <w:autoSpaceDN w:val="0"/>
        <w:spacing w:line="247" w:lineRule="auto"/>
        <w:jc w:val="both"/>
        <w:rPr>
          <w:sz w:val="22"/>
          <w:szCs w:val="22"/>
          <w:lang w:val="sr-Latn-ME"/>
        </w:rPr>
      </w:pPr>
      <w:r w:rsidRPr="00C01AE6">
        <w:rPr>
          <w:sz w:val="22"/>
          <w:szCs w:val="22"/>
          <w:lang w:val="sr-Latn-ME"/>
        </w:rPr>
        <w:t xml:space="preserve">Kod pacijenata sa </w:t>
      </w:r>
      <w:proofErr w:type="spellStart"/>
      <w:r w:rsidRPr="00C01AE6">
        <w:rPr>
          <w:sz w:val="22"/>
          <w:szCs w:val="22"/>
          <w:lang w:val="sr-Latn-ME"/>
        </w:rPr>
        <w:t>hipofosfatazijom</w:t>
      </w:r>
      <w:proofErr w:type="spellEnd"/>
      <w:r w:rsidRPr="00C01AE6">
        <w:rPr>
          <w:sz w:val="22"/>
          <w:szCs w:val="22"/>
          <w:lang w:val="sr-Latn-ME"/>
        </w:rPr>
        <w:t xml:space="preserve"> </w:t>
      </w:r>
      <w:r w:rsidR="00613845" w:rsidRPr="00C01AE6">
        <w:rPr>
          <w:sz w:val="22"/>
          <w:szCs w:val="22"/>
          <w:lang w:val="sr-Latn-ME"/>
        </w:rPr>
        <w:t>liječenih</w:t>
      </w:r>
      <w:r w:rsidRPr="00C01AE6">
        <w:rPr>
          <w:sz w:val="22"/>
          <w:szCs w:val="22"/>
          <w:lang w:val="sr-Latn-ME"/>
        </w:rPr>
        <w:t xml:space="preserve"> </w:t>
      </w:r>
      <w:proofErr w:type="spellStart"/>
      <w:r w:rsidRPr="00C01AE6">
        <w:rPr>
          <w:sz w:val="22"/>
          <w:szCs w:val="22"/>
          <w:lang w:val="sr-Latn-ME"/>
        </w:rPr>
        <w:t>asfotazom</w:t>
      </w:r>
      <w:proofErr w:type="spellEnd"/>
      <w:r w:rsidRPr="00C01AE6">
        <w:rPr>
          <w:sz w:val="22"/>
          <w:szCs w:val="22"/>
          <w:lang w:val="sr-Latn-ME"/>
        </w:rPr>
        <w:t xml:space="preserve"> alfa, nivoi </w:t>
      </w:r>
      <w:proofErr w:type="spellStart"/>
      <w:r w:rsidRPr="00C01AE6">
        <w:rPr>
          <w:sz w:val="22"/>
          <w:szCs w:val="22"/>
          <w:lang w:val="sr-Latn-ME"/>
        </w:rPr>
        <w:t>paratiroidnog</w:t>
      </w:r>
      <w:proofErr w:type="spellEnd"/>
      <w:r w:rsidRPr="00C01AE6">
        <w:rPr>
          <w:sz w:val="22"/>
          <w:szCs w:val="22"/>
          <w:lang w:val="sr-Latn-ME"/>
        </w:rPr>
        <w:t xml:space="preserve"> hormona u serumu mogu se povećati posebno tokom prvih 12 ned</w:t>
      </w:r>
      <w:r w:rsidR="002C1FF4" w:rsidRPr="00C01AE6">
        <w:rPr>
          <w:sz w:val="22"/>
          <w:szCs w:val="22"/>
          <w:lang w:val="sr-Latn-ME"/>
        </w:rPr>
        <w:t>j</w:t>
      </w:r>
      <w:r w:rsidRPr="00C01AE6">
        <w:rPr>
          <w:sz w:val="22"/>
          <w:szCs w:val="22"/>
          <w:lang w:val="sr-Latn-ME"/>
        </w:rPr>
        <w:t xml:space="preserve">elja </w:t>
      </w:r>
      <w:r w:rsidR="00BA210B" w:rsidRPr="00C01AE6">
        <w:rPr>
          <w:sz w:val="22"/>
          <w:szCs w:val="22"/>
          <w:lang w:val="sr-Latn-ME"/>
        </w:rPr>
        <w:t>liječenj</w:t>
      </w:r>
      <w:r w:rsidRPr="00C01AE6">
        <w:rPr>
          <w:sz w:val="22"/>
          <w:szCs w:val="22"/>
          <w:lang w:val="sr-Latn-ME"/>
        </w:rPr>
        <w:t xml:space="preserve">a. Preporučuje se praćenje nivoa </w:t>
      </w:r>
      <w:proofErr w:type="spellStart"/>
      <w:r w:rsidRPr="00C01AE6">
        <w:rPr>
          <w:sz w:val="22"/>
          <w:szCs w:val="22"/>
          <w:lang w:val="sr-Latn-ME"/>
        </w:rPr>
        <w:t>paratiroidnog</w:t>
      </w:r>
      <w:proofErr w:type="spellEnd"/>
      <w:r w:rsidRPr="00C01AE6">
        <w:rPr>
          <w:sz w:val="22"/>
          <w:szCs w:val="22"/>
          <w:lang w:val="sr-Latn-ME"/>
        </w:rPr>
        <w:t xml:space="preserve"> hormona i kalcijuma u serumu kod pacijenata </w:t>
      </w:r>
      <w:r w:rsidR="00613845" w:rsidRPr="00C01AE6">
        <w:rPr>
          <w:sz w:val="22"/>
          <w:szCs w:val="22"/>
          <w:lang w:val="sr-Latn-ME"/>
        </w:rPr>
        <w:t>liječenih</w:t>
      </w:r>
      <w:r w:rsidRPr="00C01AE6">
        <w:rPr>
          <w:sz w:val="22"/>
          <w:szCs w:val="22"/>
          <w:lang w:val="sr-Latn-ME"/>
        </w:rPr>
        <w:t xml:space="preserve"> </w:t>
      </w:r>
      <w:proofErr w:type="spellStart"/>
      <w:r w:rsidRPr="00C01AE6">
        <w:rPr>
          <w:sz w:val="22"/>
          <w:szCs w:val="22"/>
          <w:lang w:val="sr-Latn-ME"/>
        </w:rPr>
        <w:t>asfotazom</w:t>
      </w:r>
      <w:proofErr w:type="spellEnd"/>
      <w:r w:rsidRPr="00C01AE6">
        <w:rPr>
          <w:sz w:val="22"/>
          <w:szCs w:val="22"/>
          <w:lang w:val="sr-Latn-ME"/>
        </w:rPr>
        <w:t xml:space="preserve"> alfa. Mogu biti potrebni suplementi kalcijuma i </w:t>
      </w:r>
      <w:proofErr w:type="spellStart"/>
      <w:r w:rsidRPr="00C01AE6">
        <w:rPr>
          <w:sz w:val="22"/>
          <w:szCs w:val="22"/>
          <w:lang w:val="sr-Latn-ME"/>
        </w:rPr>
        <w:t>peroralni</w:t>
      </w:r>
      <w:proofErr w:type="spellEnd"/>
      <w:r w:rsidRPr="00C01AE6">
        <w:rPr>
          <w:sz w:val="22"/>
          <w:szCs w:val="22"/>
          <w:lang w:val="sr-Latn-ME"/>
        </w:rPr>
        <w:t xml:space="preserve"> suplementi vitamina D. </w:t>
      </w:r>
      <w:r w:rsidR="00BA210B" w:rsidRPr="00C01AE6">
        <w:rPr>
          <w:sz w:val="22"/>
          <w:szCs w:val="22"/>
          <w:lang w:val="sr-Latn-ME"/>
        </w:rPr>
        <w:t>Vidjeti</w:t>
      </w:r>
      <w:r w:rsidRPr="00C01AE6">
        <w:rPr>
          <w:sz w:val="22"/>
          <w:szCs w:val="22"/>
          <w:lang w:val="sr-Latn-ME"/>
        </w:rPr>
        <w:t xml:space="preserve"> </w:t>
      </w:r>
      <w:r w:rsidR="008B6182" w:rsidRPr="00C01AE6">
        <w:rPr>
          <w:sz w:val="22"/>
          <w:szCs w:val="22"/>
          <w:lang w:val="sr-Latn-ME"/>
        </w:rPr>
        <w:t>dio</w:t>
      </w:r>
      <w:r w:rsidRPr="00C01AE6">
        <w:rPr>
          <w:sz w:val="22"/>
          <w:szCs w:val="22"/>
          <w:lang w:val="sr-Latn-ME"/>
        </w:rPr>
        <w:t xml:space="preserve"> 5.1.</w:t>
      </w:r>
    </w:p>
    <w:p w14:paraId="6CFEB51C" w14:textId="77777777" w:rsidR="00D901C1" w:rsidRPr="00C01AE6" w:rsidRDefault="00D901C1" w:rsidP="00655C9D">
      <w:pPr>
        <w:widowControl w:val="0"/>
        <w:autoSpaceDE w:val="0"/>
        <w:autoSpaceDN w:val="0"/>
        <w:jc w:val="both"/>
        <w:rPr>
          <w:sz w:val="22"/>
          <w:szCs w:val="22"/>
          <w:lang w:val="sr-Latn-ME"/>
        </w:rPr>
      </w:pPr>
    </w:p>
    <w:p w14:paraId="7E70471B" w14:textId="77777777" w:rsidR="00D36EE8" w:rsidRPr="00C01AE6" w:rsidRDefault="00D901C1" w:rsidP="00655C9D">
      <w:pPr>
        <w:widowControl w:val="0"/>
        <w:autoSpaceDE w:val="0"/>
        <w:autoSpaceDN w:val="0"/>
        <w:jc w:val="both"/>
        <w:rPr>
          <w:sz w:val="22"/>
          <w:szCs w:val="22"/>
          <w:lang w:val="sr-Latn-ME"/>
        </w:rPr>
      </w:pPr>
      <w:r w:rsidRPr="00C01AE6">
        <w:rPr>
          <w:sz w:val="22"/>
          <w:szCs w:val="22"/>
          <w:u w:val="single"/>
          <w:lang w:val="sr-Latn-ME"/>
        </w:rPr>
        <w:t>Nesrazm</w:t>
      </w:r>
      <w:r w:rsidR="00613845" w:rsidRPr="00C01AE6">
        <w:rPr>
          <w:sz w:val="22"/>
          <w:szCs w:val="22"/>
          <w:u w:val="single"/>
          <w:lang w:val="sr-Latn-ME"/>
        </w:rPr>
        <w:t>j</w:t>
      </w:r>
      <w:r w:rsidRPr="00C01AE6">
        <w:rPr>
          <w:sz w:val="22"/>
          <w:szCs w:val="22"/>
          <w:u w:val="single"/>
          <w:lang w:val="sr-Latn-ME"/>
        </w:rPr>
        <w:t>erno povećanje težine</w:t>
      </w:r>
    </w:p>
    <w:p w14:paraId="182127E0" w14:textId="77777777" w:rsidR="00D36EE8" w:rsidRPr="00C01AE6" w:rsidRDefault="00D36EE8" w:rsidP="00655C9D">
      <w:pPr>
        <w:widowControl w:val="0"/>
        <w:autoSpaceDE w:val="0"/>
        <w:autoSpaceDN w:val="0"/>
        <w:jc w:val="both"/>
        <w:rPr>
          <w:sz w:val="22"/>
          <w:szCs w:val="22"/>
          <w:lang w:val="sr-Latn-ME"/>
        </w:rPr>
      </w:pPr>
    </w:p>
    <w:p w14:paraId="3346D546" w14:textId="09BAE026" w:rsidR="00533DDC" w:rsidRPr="00C01AE6" w:rsidRDefault="00D901C1" w:rsidP="00655C9D">
      <w:pPr>
        <w:widowControl w:val="0"/>
        <w:autoSpaceDE w:val="0"/>
        <w:autoSpaceDN w:val="0"/>
        <w:jc w:val="both"/>
        <w:rPr>
          <w:sz w:val="22"/>
          <w:szCs w:val="22"/>
          <w:lang w:val="sr-Latn-ME"/>
        </w:rPr>
      </w:pPr>
      <w:r w:rsidRPr="00C01AE6">
        <w:rPr>
          <w:sz w:val="22"/>
          <w:szCs w:val="22"/>
          <w:lang w:val="sr-Latn-ME"/>
        </w:rPr>
        <w:t>Kod pacijenata se može pojaviti nesrazm</w:t>
      </w:r>
      <w:r w:rsidR="00613845" w:rsidRPr="00C01AE6">
        <w:rPr>
          <w:sz w:val="22"/>
          <w:szCs w:val="22"/>
          <w:lang w:val="sr-Latn-ME"/>
        </w:rPr>
        <w:t>j</w:t>
      </w:r>
      <w:r w:rsidRPr="00C01AE6">
        <w:rPr>
          <w:sz w:val="22"/>
          <w:szCs w:val="22"/>
          <w:lang w:val="sr-Latn-ME"/>
        </w:rPr>
        <w:t xml:space="preserve">erno povećanje težine. Preporučuje se </w:t>
      </w:r>
      <w:r w:rsidR="002C1FF4" w:rsidRPr="00C01AE6">
        <w:rPr>
          <w:sz w:val="22"/>
          <w:szCs w:val="22"/>
          <w:lang w:val="sr-Latn-ME"/>
        </w:rPr>
        <w:t>praćenje</w:t>
      </w:r>
      <w:r w:rsidR="00533DDC" w:rsidRPr="00C01AE6">
        <w:rPr>
          <w:sz w:val="22"/>
          <w:szCs w:val="22"/>
          <w:lang w:val="sr-Latn-ME"/>
        </w:rPr>
        <w:t xml:space="preserve"> </w:t>
      </w:r>
      <w:r w:rsidRPr="00C01AE6">
        <w:rPr>
          <w:sz w:val="22"/>
          <w:szCs w:val="22"/>
          <w:lang w:val="sr-Latn-ME"/>
        </w:rPr>
        <w:t>ishran</w:t>
      </w:r>
      <w:r w:rsidR="002C1FF4" w:rsidRPr="00C01AE6">
        <w:rPr>
          <w:sz w:val="22"/>
          <w:szCs w:val="22"/>
          <w:lang w:val="sr-Latn-ME"/>
        </w:rPr>
        <w:t>e</w:t>
      </w:r>
      <w:r w:rsidRPr="00C01AE6">
        <w:rPr>
          <w:sz w:val="22"/>
          <w:szCs w:val="22"/>
          <w:lang w:val="sr-Latn-ME"/>
        </w:rPr>
        <w:t xml:space="preserve">. </w:t>
      </w:r>
    </w:p>
    <w:p w14:paraId="0EB19427" w14:textId="77777777" w:rsidR="002C1FF4" w:rsidRPr="00C01AE6" w:rsidRDefault="002C1FF4" w:rsidP="00655C9D">
      <w:pPr>
        <w:widowControl w:val="0"/>
        <w:autoSpaceDE w:val="0"/>
        <w:autoSpaceDN w:val="0"/>
        <w:jc w:val="both"/>
        <w:rPr>
          <w:sz w:val="22"/>
          <w:szCs w:val="22"/>
          <w:lang w:val="sr-Latn-ME"/>
        </w:rPr>
      </w:pPr>
    </w:p>
    <w:p w14:paraId="185CD05F" w14:textId="77777777" w:rsidR="00D36EE8" w:rsidRPr="00C01AE6" w:rsidRDefault="00D36EE8" w:rsidP="00655C9D">
      <w:pPr>
        <w:widowControl w:val="0"/>
        <w:autoSpaceDE w:val="0"/>
        <w:autoSpaceDN w:val="0"/>
        <w:spacing w:line="494" w:lineRule="auto"/>
        <w:jc w:val="both"/>
        <w:rPr>
          <w:sz w:val="22"/>
          <w:szCs w:val="22"/>
          <w:u w:val="single"/>
          <w:lang w:val="sr-Latn-ME"/>
        </w:rPr>
      </w:pPr>
      <w:r w:rsidRPr="00C01AE6">
        <w:rPr>
          <w:sz w:val="22"/>
          <w:szCs w:val="22"/>
          <w:u w:val="single"/>
          <w:lang w:val="sr-Latn-ME"/>
        </w:rPr>
        <w:t>P</w:t>
      </w:r>
      <w:r w:rsidR="00D901C1" w:rsidRPr="00C01AE6">
        <w:rPr>
          <w:sz w:val="22"/>
          <w:szCs w:val="22"/>
          <w:u w:val="single"/>
          <w:lang w:val="sr-Latn-ME"/>
        </w:rPr>
        <w:t>omoćne supstance</w:t>
      </w:r>
    </w:p>
    <w:p w14:paraId="54EF0A03" w14:textId="6135C8CD" w:rsidR="00057E35" w:rsidRPr="00C01AE6" w:rsidRDefault="00D901C1" w:rsidP="00655C9D">
      <w:pPr>
        <w:widowControl w:val="0"/>
        <w:autoSpaceDE w:val="0"/>
        <w:autoSpaceDN w:val="0"/>
        <w:spacing w:line="247" w:lineRule="auto"/>
        <w:jc w:val="both"/>
        <w:rPr>
          <w:sz w:val="22"/>
          <w:szCs w:val="22"/>
          <w:lang w:val="sr-Latn-ME"/>
        </w:rPr>
      </w:pPr>
      <w:r w:rsidRPr="00C01AE6">
        <w:rPr>
          <w:sz w:val="22"/>
          <w:szCs w:val="22"/>
          <w:lang w:val="sr-Latn-ME"/>
        </w:rPr>
        <w:t>Ovaj l</w:t>
      </w:r>
      <w:r w:rsidR="00613845" w:rsidRPr="00C01AE6">
        <w:rPr>
          <w:sz w:val="22"/>
          <w:szCs w:val="22"/>
          <w:lang w:val="sr-Latn-ME"/>
        </w:rPr>
        <w:t>ij</w:t>
      </w:r>
      <w:r w:rsidRPr="00C01AE6">
        <w:rPr>
          <w:sz w:val="22"/>
          <w:szCs w:val="22"/>
          <w:lang w:val="sr-Latn-ME"/>
        </w:rPr>
        <w:t xml:space="preserve">ek sadrži manje od 1 </w:t>
      </w:r>
      <w:proofErr w:type="spellStart"/>
      <w:r w:rsidRPr="00C01AE6">
        <w:rPr>
          <w:sz w:val="22"/>
          <w:szCs w:val="22"/>
          <w:lang w:val="sr-Latn-ME"/>
        </w:rPr>
        <w:t>mmol</w:t>
      </w:r>
      <w:proofErr w:type="spellEnd"/>
      <w:r w:rsidR="00533DDC" w:rsidRPr="00C01AE6">
        <w:rPr>
          <w:sz w:val="22"/>
          <w:szCs w:val="22"/>
          <w:lang w:val="sr-Latn-ME"/>
        </w:rPr>
        <w:t xml:space="preserve"> (23 mg)</w:t>
      </w:r>
      <w:r w:rsidRPr="00C01AE6">
        <w:rPr>
          <w:sz w:val="22"/>
          <w:szCs w:val="22"/>
          <w:lang w:val="sr-Latn-ME"/>
        </w:rPr>
        <w:t xml:space="preserve"> natrijuma po bočici, tj. može se reći</w:t>
      </w:r>
      <w:r w:rsidR="00D36EE8" w:rsidRPr="00C01AE6">
        <w:rPr>
          <w:sz w:val="22"/>
          <w:szCs w:val="22"/>
          <w:lang w:val="sr-Latn-ME"/>
        </w:rPr>
        <w:t xml:space="preserve"> </w:t>
      </w:r>
      <w:r w:rsidRPr="00C01AE6">
        <w:rPr>
          <w:sz w:val="22"/>
          <w:szCs w:val="22"/>
          <w:lang w:val="sr-Latn-ME"/>
        </w:rPr>
        <w:t>da je u suštini „bez natrijuma”.</w:t>
      </w:r>
    </w:p>
    <w:p w14:paraId="641ABB7D" w14:textId="77777777" w:rsidR="008B6182" w:rsidRPr="00C01AE6" w:rsidRDefault="008B6182" w:rsidP="00655C9D">
      <w:pPr>
        <w:widowControl w:val="0"/>
        <w:autoSpaceDE w:val="0"/>
        <w:autoSpaceDN w:val="0"/>
        <w:spacing w:line="247" w:lineRule="auto"/>
        <w:jc w:val="both"/>
        <w:rPr>
          <w:sz w:val="22"/>
          <w:szCs w:val="22"/>
          <w:lang w:val="sr-Latn-ME"/>
        </w:rPr>
      </w:pPr>
    </w:p>
    <w:p w14:paraId="715FF5AB" w14:textId="77777777" w:rsidR="00411B4B" w:rsidRPr="00C01AE6" w:rsidRDefault="00411B4B" w:rsidP="00655C9D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  <w:r w:rsidRPr="00C01AE6">
        <w:rPr>
          <w:b/>
          <w:bCs/>
          <w:sz w:val="22"/>
          <w:szCs w:val="22"/>
          <w:lang w:val="sr-Latn-ME"/>
        </w:rPr>
        <w:t>4.5.</w:t>
      </w:r>
      <w:r w:rsidR="000D60CC" w:rsidRPr="00C01AE6">
        <w:rPr>
          <w:b/>
          <w:bCs/>
          <w:sz w:val="22"/>
          <w:szCs w:val="22"/>
          <w:lang w:val="sr-Latn-ME"/>
        </w:rPr>
        <w:tab/>
      </w:r>
      <w:r w:rsidRPr="00C01AE6">
        <w:rPr>
          <w:b/>
          <w:bCs/>
          <w:sz w:val="22"/>
          <w:szCs w:val="22"/>
          <w:lang w:val="sr-Latn-ME"/>
        </w:rPr>
        <w:t>Interakcije sa drugim ljekovima i druge vrste interakcija</w:t>
      </w:r>
    </w:p>
    <w:p w14:paraId="0960A67F" w14:textId="1C981185" w:rsidR="0072020E" w:rsidRPr="00C01AE6" w:rsidRDefault="0072020E" w:rsidP="00655C9D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52DC7C61" w14:textId="681CA7B9" w:rsidR="00D901C1" w:rsidRPr="00C01AE6" w:rsidRDefault="00D901C1" w:rsidP="00655C9D">
      <w:pPr>
        <w:widowControl w:val="0"/>
        <w:autoSpaceDE w:val="0"/>
        <w:autoSpaceDN w:val="0"/>
        <w:spacing w:line="249" w:lineRule="auto"/>
        <w:jc w:val="both"/>
        <w:rPr>
          <w:sz w:val="22"/>
          <w:szCs w:val="22"/>
          <w:lang w:val="sr-Latn-ME"/>
        </w:rPr>
      </w:pPr>
      <w:r w:rsidRPr="00C01AE6">
        <w:rPr>
          <w:sz w:val="22"/>
          <w:szCs w:val="22"/>
          <w:lang w:val="sr-Latn-ME"/>
        </w:rPr>
        <w:t xml:space="preserve">Studije interakcije </w:t>
      </w:r>
      <w:proofErr w:type="spellStart"/>
      <w:r w:rsidRPr="00C01AE6">
        <w:rPr>
          <w:sz w:val="22"/>
          <w:szCs w:val="22"/>
          <w:lang w:val="sr-Latn-ME"/>
        </w:rPr>
        <w:t>asfotaze</w:t>
      </w:r>
      <w:proofErr w:type="spellEnd"/>
      <w:r w:rsidRPr="00C01AE6">
        <w:rPr>
          <w:sz w:val="22"/>
          <w:szCs w:val="22"/>
          <w:lang w:val="sr-Latn-ME"/>
        </w:rPr>
        <w:t xml:space="preserve"> alfa sa drugim l</w:t>
      </w:r>
      <w:r w:rsidR="00613845" w:rsidRPr="00C01AE6">
        <w:rPr>
          <w:sz w:val="22"/>
          <w:szCs w:val="22"/>
          <w:lang w:val="sr-Latn-ME"/>
        </w:rPr>
        <w:t>j</w:t>
      </w:r>
      <w:r w:rsidRPr="00C01AE6">
        <w:rPr>
          <w:sz w:val="22"/>
          <w:szCs w:val="22"/>
          <w:lang w:val="sr-Latn-ME"/>
        </w:rPr>
        <w:t>ekovima ni</w:t>
      </w:r>
      <w:r w:rsidR="00613845" w:rsidRPr="00C01AE6">
        <w:rPr>
          <w:sz w:val="22"/>
          <w:szCs w:val="22"/>
          <w:lang w:val="sr-Latn-ME"/>
        </w:rPr>
        <w:t>je</w:t>
      </w:r>
      <w:r w:rsidRPr="00C01AE6">
        <w:rPr>
          <w:sz w:val="22"/>
          <w:szCs w:val="22"/>
          <w:lang w:val="sr-Latn-ME"/>
        </w:rPr>
        <w:t xml:space="preserve">su sprovedene. S obzirom na svoju strukturu i </w:t>
      </w:r>
      <w:proofErr w:type="spellStart"/>
      <w:r w:rsidRPr="00C01AE6">
        <w:rPr>
          <w:sz w:val="22"/>
          <w:szCs w:val="22"/>
          <w:lang w:val="sr-Latn-ME"/>
        </w:rPr>
        <w:t>farmakokinetiku</w:t>
      </w:r>
      <w:proofErr w:type="spellEnd"/>
      <w:r w:rsidRPr="00C01AE6">
        <w:rPr>
          <w:sz w:val="22"/>
          <w:szCs w:val="22"/>
          <w:lang w:val="sr-Latn-ME"/>
        </w:rPr>
        <w:t>, nije v</w:t>
      </w:r>
      <w:r w:rsidR="00613845" w:rsidRPr="00C01AE6">
        <w:rPr>
          <w:sz w:val="22"/>
          <w:szCs w:val="22"/>
          <w:lang w:val="sr-Latn-ME"/>
        </w:rPr>
        <w:t>j</w:t>
      </w:r>
      <w:r w:rsidRPr="00C01AE6">
        <w:rPr>
          <w:sz w:val="22"/>
          <w:szCs w:val="22"/>
          <w:lang w:val="sr-Latn-ME"/>
        </w:rPr>
        <w:t xml:space="preserve">erovatno da bi </w:t>
      </w:r>
      <w:proofErr w:type="spellStart"/>
      <w:r w:rsidRPr="00C01AE6">
        <w:rPr>
          <w:sz w:val="22"/>
          <w:szCs w:val="22"/>
          <w:lang w:val="sr-Latn-ME"/>
        </w:rPr>
        <w:t>asfotaza</w:t>
      </w:r>
      <w:proofErr w:type="spellEnd"/>
      <w:r w:rsidRPr="00C01AE6">
        <w:rPr>
          <w:sz w:val="22"/>
          <w:szCs w:val="22"/>
          <w:lang w:val="sr-Latn-ME"/>
        </w:rPr>
        <w:t xml:space="preserve"> alfa uticala na metabolizam povezan sa </w:t>
      </w:r>
      <w:proofErr w:type="spellStart"/>
      <w:r w:rsidRPr="00C01AE6">
        <w:rPr>
          <w:sz w:val="22"/>
          <w:szCs w:val="22"/>
          <w:lang w:val="sr-Latn-ME"/>
        </w:rPr>
        <w:t>citohromom</w:t>
      </w:r>
      <w:proofErr w:type="spellEnd"/>
      <w:r w:rsidRPr="00C01AE6">
        <w:rPr>
          <w:sz w:val="22"/>
          <w:szCs w:val="22"/>
          <w:lang w:val="sr-Latn-ME"/>
        </w:rPr>
        <w:t xml:space="preserve"> P-450.</w:t>
      </w:r>
    </w:p>
    <w:p w14:paraId="6F9C693B" w14:textId="77777777" w:rsidR="00D901C1" w:rsidRPr="00C01AE6" w:rsidRDefault="00D901C1" w:rsidP="00655C9D">
      <w:pPr>
        <w:widowControl w:val="0"/>
        <w:autoSpaceDE w:val="0"/>
        <w:autoSpaceDN w:val="0"/>
        <w:jc w:val="both"/>
        <w:rPr>
          <w:sz w:val="22"/>
          <w:szCs w:val="22"/>
          <w:lang w:val="sr-Latn-ME"/>
        </w:rPr>
      </w:pPr>
    </w:p>
    <w:p w14:paraId="5E7DEE06" w14:textId="558662ED" w:rsidR="00D901C1" w:rsidRPr="00C01AE6" w:rsidRDefault="00D901C1" w:rsidP="00655C9D">
      <w:pPr>
        <w:widowControl w:val="0"/>
        <w:autoSpaceDE w:val="0"/>
        <w:autoSpaceDN w:val="0"/>
        <w:spacing w:line="249" w:lineRule="auto"/>
        <w:ind w:right="212"/>
        <w:jc w:val="both"/>
        <w:rPr>
          <w:sz w:val="22"/>
          <w:szCs w:val="22"/>
          <w:lang w:val="sr-Latn-ME"/>
        </w:rPr>
      </w:pPr>
      <w:proofErr w:type="spellStart"/>
      <w:r w:rsidRPr="00C01AE6">
        <w:rPr>
          <w:sz w:val="22"/>
          <w:szCs w:val="22"/>
          <w:lang w:val="sr-Latn-ME"/>
        </w:rPr>
        <w:t>Asfotaza</w:t>
      </w:r>
      <w:proofErr w:type="spellEnd"/>
      <w:r w:rsidRPr="00C01AE6">
        <w:rPr>
          <w:sz w:val="22"/>
          <w:szCs w:val="22"/>
          <w:lang w:val="sr-Latn-ME"/>
        </w:rPr>
        <w:t xml:space="preserve"> alfa sadrži katalitički domen </w:t>
      </w:r>
      <w:proofErr w:type="spellStart"/>
      <w:r w:rsidRPr="00C01AE6">
        <w:rPr>
          <w:sz w:val="22"/>
          <w:szCs w:val="22"/>
          <w:lang w:val="sr-Latn-ME"/>
        </w:rPr>
        <w:t>tkivno</w:t>
      </w:r>
      <w:proofErr w:type="spellEnd"/>
      <w:r w:rsidRPr="00C01AE6">
        <w:rPr>
          <w:sz w:val="22"/>
          <w:szCs w:val="22"/>
          <w:lang w:val="sr-Latn-ME"/>
        </w:rPr>
        <w:t xml:space="preserve"> </w:t>
      </w:r>
      <w:proofErr w:type="spellStart"/>
      <w:r w:rsidRPr="00C01AE6">
        <w:rPr>
          <w:sz w:val="22"/>
          <w:szCs w:val="22"/>
          <w:lang w:val="sr-Latn-ME"/>
        </w:rPr>
        <w:t>nespecifične</w:t>
      </w:r>
      <w:proofErr w:type="spellEnd"/>
      <w:r w:rsidRPr="00C01AE6">
        <w:rPr>
          <w:sz w:val="22"/>
          <w:szCs w:val="22"/>
          <w:lang w:val="sr-Latn-ME"/>
        </w:rPr>
        <w:t xml:space="preserve"> alkalne </w:t>
      </w:r>
      <w:proofErr w:type="spellStart"/>
      <w:r w:rsidRPr="00C01AE6">
        <w:rPr>
          <w:sz w:val="22"/>
          <w:szCs w:val="22"/>
          <w:lang w:val="sr-Latn-ME"/>
        </w:rPr>
        <w:t>fosfataze</w:t>
      </w:r>
      <w:proofErr w:type="spellEnd"/>
      <w:r w:rsidRPr="00C01AE6">
        <w:rPr>
          <w:sz w:val="22"/>
          <w:szCs w:val="22"/>
          <w:lang w:val="sr-Latn-ME"/>
        </w:rPr>
        <w:t xml:space="preserve">. </w:t>
      </w:r>
      <w:r w:rsidR="00BA210B" w:rsidRPr="00C01AE6">
        <w:rPr>
          <w:sz w:val="22"/>
          <w:szCs w:val="22"/>
          <w:lang w:val="sr-Latn-ME"/>
        </w:rPr>
        <w:t>Primjen</w:t>
      </w:r>
      <w:r w:rsidRPr="00C01AE6">
        <w:rPr>
          <w:sz w:val="22"/>
          <w:szCs w:val="22"/>
          <w:lang w:val="sr-Latn-ME"/>
        </w:rPr>
        <w:t xml:space="preserve">a </w:t>
      </w:r>
      <w:proofErr w:type="spellStart"/>
      <w:r w:rsidRPr="00C01AE6">
        <w:rPr>
          <w:sz w:val="22"/>
          <w:szCs w:val="22"/>
          <w:lang w:val="sr-Latn-ME"/>
        </w:rPr>
        <w:t>asfotaze</w:t>
      </w:r>
      <w:proofErr w:type="spellEnd"/>
      <w:r w:rsidRPr="00C01AE6">
        <w:rPr>
          <w:sz w:val="22"/>
          <w:szCs w:val="22"/>
          <w:lang w:val="sr-Latn-ME"/>
        </w:rPr>
        <w:t xml:space="preserve"> alfa ometaće rutinska m</w:t>
      </w:r>
      <w:r w:rsidR="00613845" w:rsidRPr="00C01AE6">
        <w:rPr>
          <w:sz w:val="22"/>
          <w:szCs w:val="22"/>
          <w:lang w:val="sr-Latn-ME"/>
        </w:rPr>
        <w:t>j</w:t>
      </w:r>
      <w:r w:rsidRPr="00C01AE6">
        <w:rPr>
          <w:sz w:val="22"/>
          <w:szCs w:val="22"/>
          <w:lang w:val="sr-Latn-ME"/>
        </w:rPr>
        <w:t xml:space="preserve">erenja nivoa alkalne </w:t>
      </w:r>
      <w:proofErr w:type="spellStart"/>
      <w:r w:rsidRPr="00C01AE6">
        <w:rPr>
          <w:sz w:val="22"/>
          <w:szCs w:val="22"/>
          <w:lang w:val="sr-Latn-ME"/>
        </w:rPr>
        <w:t>fosfataze</w:t>
      </w:r>
      <w:proofErr w:type="spellEnd"/>
      <w:r w:rsidRPr="00C01AE6">
        <w:rPr>
          <w:sz w:val="22"/>
          <w:szCs w:val="22"/>
          <w:lang w:val="sr-Latn-ME"/>
        </w:rPr>
        <w:t xml:space="preserve"> u serumu kakva se sprovode u bolničkim laboratorijima, što će dovesti do izm</w:t>
      </w:r>
      <w:r w:rsidR="00613845" w:rsidRPr="00C01AE6">
        <w:rPr>
          <w:sz w:val="22"/>
          <w:szCs w:val="22"/>
          <w:lang w:val="sr-Latn-ME"/>
        </w:rPr>
        <w:t>j</w:t>
      </w:r>
      <w:r w:rsidRPr="00C01AE6">
        <w:rPr>
          <w:sz w:val="22"/>
          <w:szCs w:val="22"/>
          <w:lang w:val="sr-Latn-ME"/>
        </w:rPr>
        <w:t xml:space="preserve">erenog nivoa aktivnosti alkalne </w:t>
      </w:r>
      <w:proofErr w:type="spellStart"/>
      <w:r w:rsidRPr="00C01AE6">
        <w:rPr>
          <w:sz w:val="22"/>
          <w:szCs w:val="22"/>
          <w:lang w:val="sr-Latn-ME"/>
        </w:rPr>
        <w:t>fosfataze</w:t>
      </w:r>
      <w:proofErr w:type="spellEnd"/>
      <w:r w:rsidRPr="00C01AE6">
        <w:rPr>
          <w:sz w:val="22"/>
          <w:szCs w:val="22"/>
          <w:lang w:val="sr-Latn-ME"/>
        </w:rPr>
        <w:t xml:space="preserve"> u serumu od nekoliko hiljada po litru. Zbog razlika u karakteristikama enzima, rezultati aktivnosti </w:t>
      </w:r>
      <w:proofErr w:type="spellStart"/>
      <w:r w:rsidRPr="00C01AE6">
        <w:rPr>
          <w:sz w:val="22"/>
          <w:szCs w:val="22"/>
          <w:lang w:val="sr-Latn-ME"/>
        </w:rPr>
        <w:t>asfotaze</w:t>
      </w:r>
      <w:proofErr w:type="spellEnd"/>
      <w:r w:rsidRPr="00C01AE6">
        <w:rPr>
          <w:sz w:val="22"/>
          <w:szCs w:val="22"/>
          <w:lang w:val="sr-Latn-ME"/>
        </w:rPr>
        <w:t xml:space="preserve"> alfa ne sm</w:t>
      </w:r>
      <w:r w:rsidR="00613845" w:rsidRPr="00C01AE6">
        <w:rPr>
          <w:sz w:val="22"/>
          <w:szCs w:val="22"/>
          <w:lang w:val="sr-Latn-ME"/>
        </w:rPr>
        <w:t>ij</w:t>
      </w:r>
      <w:r w:rsidR="00705D60" w:rsidRPr="00C01AE6">
        <w:rPr>
          <w:sz w:val="22"/>
          <w:szCs w:val="22"/>
          <w:lang w:val="sr-Latn-ME"/>
        </w:rPr>
        <w:t>u</w:t>
      </w:r>
      <w:r w:rsidRPr="00C01AE6">
        <w:rPr>
          <w:sz w:val="22"/>
          <w:szCs w:val="22"/>
          <w:lang w:val="sr-Latn-ME"/>
        </w:rPr>
        <w:t xml:space="preserve"> se tumačiti istom m</w:t>
      </w:r>
      <w:r w:rsidR="00705D60" w:rsidRPr="00C01AE6">
        <w:rPr>
          <w:sz w:val="22"/>
          <w:szCs w:val="22"/>
          <w:lang w:val="sr-Latn-ME"/>
        </w:rPr>
        <w:t>j</w:t>
      </w:r>
      <w:r w:rsidRPr="00C01AE6">
        <w:rPr>
          <w:sz w:val="22"/>
          <w:szCs w:val="22"/>
          <w:lang w:val="sr-Latn-ME"/>
        </w:rPr>
        <w:t xml:space="preserve">erom kao nivoi aktivnosti alkalne </w:t>
      </w:r>
      <w:proofErr w:type="spellStart"/>
      <w:r w:rsidRPr="00C01AE6">
        <w:rPr>
          <w:sz w:val="22"/>
          <w:szCs w:val="22"/>
          <w:lang w:val="sr-Latn-ME"/>
        </w:rPr>
        <w:t>fosfataze</w:t>
      </w:r>
      <w:proofErr w:type="spellEnd"/>
      <w:r w:rsidRPr="00C01AE6">
        <w:rPr>
          <w:sz w:val="22"/>
          <w:szCs w:val="22"/>
          <w:lang w:val="sr-Latn-ME"/>
        </w:rPr>
        <w:t xml:space="preserve"> u serumu.</w:t>
      </w:r>
    </w:p>
    <w:p w14:paraId="2021441C" w14:textId="77777777" w:rsidR="00D901C1" w:rsidRPr="00C01AE6" w:rsidRDefault="00D901C1" w:rsidP="00655C9D">
      <w:pPr>
        <w:widowControl w:val="0"/>
        <w:autoSpaceDE w:val="0"/>
        <w:autoSpaceDN w:val="0"/>
        <w:jc w:val="both"/>
        <w:rPr>
          <w:sz w:val="22"/>
          <w:szCs w:val="22"/>
          <w:lang w:val="sr-Latn-ME"/>
        </w:rPr>
      </w:pPr>
    </w:p>
    <w:p w14:paraId="373E972D" w14:textId="54B7339C" w:rsidR="00D901C1" w:rsidRPr="00C01AE6" w:rsidRDefault="00D901C1" w:rsidP="00655C9D">
      <w:pPr>
        <w:widowControl w:val="0"/>
        <w:autoSpaceDE w:val="0"/>
        <w:autoSpaceDN w:val="0"/>
        <w:spacing w:line="247" w:lineRule="auto"/>
        <w:jc w:val="both"/>
        <w:rPr>
          <w:sz w:val="22"/>
          <w:szCs w:val="22"/>
          <w:lang w:val="sr-Latn-ME"/>
        </w:rPr>
      </w:pPr>
      <w:r w:rsidRPr="00C01AE6">
        <w:rPr>
          <w:sz w:val="22"/>
          <w:szCs w:val="22"/>
          <w:lang w:val="sr-Latn-ME"/>
        </w:rPr>
        <w:t xml:space="preserve">Alkalna </w:t>
      </w:r>
      <w:proofErr w:type="spellStart"/>
      <w:r w:rsidRPr="00C01AE6">
        <w:rPr>
          <w:sz w:val="22"/>
          <w:szCs w:val="22"/>
          <w:lang w:val="sr-Latn-ME"/>
        </w:rPr>
        <w:t>fosfataza</w:t>
      </w:r>
      <w:proofErr w:type="spellEnd"/>
      <w:r w:rsidRPr="00C01AE6">
        <w:rPr>
          <w:sz w:val="22"/>
          <w:szCs w:val="22"/>
          <w:lang w:val="sr-Latn-ME"/>
        </w:rPr>
        <w:t xml:space="preserve"> (</w:t>
      </w:r>
      <w:proofErr w:type="spellStart"/>
      <w:r w:rsidRPr="00C01AE6">
        <w:rPr>
          <w:sz w:val="22"/>
          <w:szCs w:val="22"/>
          <w:lang w:val="sr-Latn-ME"/>
        </w:rPr>
        <w:t>ALP</w:t>
      </w:r>
      <w:proofErr w:type="spellEnd"/>
      <w:r w:rsidRPr="00C01AE6">
        <w:rPr>
          <w:sz w:val="22"/>
          <w:szCs w:val="22"/>
          <w:lang w:val="sr-Latn-ME"/>
        </w:rPr>
        <w:t xml:space="preserve">) koristi se kao detekcioni reagens u mnogim rutinskim laboratorijskim </w:t>
      </w:r>
      <w:r w:rsidR="00FA2392" w:rsidRPr="00C01AE6">
        <w:rPr>
          <w:sz w:val="22"/>
          <w:szCs w:val="22"/>
          <w:lang w:val="sr-Latn-ME"/>
        </w:rPr>
        <w:t>testovima</w:t>
      </w:r>
      <w:r w:rsidRPr="00C01AE6">
        <w:rPr>
          <w:sz w:val="22"/>
          <w:szCs w:val="22"/>
          <w:lang w:val="sr-Latn-ME"/>
        </w:rPr>
        <w:t xml:space="preserve">. Ako je u kliničkim laboratorijskim uzorcima prisutna </w:t>
      </w:r>
      <w:proofErr w:type="spellStart"/>
      <w:r w:rsidRPr="00C01AE6">
        <w:rPr>
          <w:sz w:val="22"/>
          <w:szCs w:val="22"/>
          <w:lang w:val="sr-Latn-ME"/>
        </w:rPr>
        <w:t>asfotaza</w:t>
      </w:r>
      <w:proofErr w:type="spellEnd"/>
      <w:r w:rsidRPr="00C01AE6">
        <w:rPr>
          <w:sz w:val="22"/>
          <w:szCs w:val="22"/>
          <w:lang w:val="sr-Latn-ME"/>
        </w:rPr>
        <w:t xml:space="preserve"> alfa, u dobijenim vr</w:t>
      </w:r>
      <w:r w:rsidR="00705D60" w:rsidRPr="00C01AE6">
        <w:rPr>
          <w:sz w:val="22"/>
          <w:szCs w:val="22"/>
          <w:lang w:val="sr-Latn-ME"/>
        </w:rPr>
        <w:t>ij</w:t>
      </w:r>
      <w:r w:rsidRPr="00C01AE6">
        <w:rPr>
          <w:sz w:val="22"/>
          <w:szCs w:val="22"/>
          <w:lang w:val="sr-Latn-ME"/>
        </w:rPr>
        <w:t>ednostima se mogu pojaviti odstupanja.</w:t>
      </w:r>
    </w:p>
    <w:p w14:paraId="773A6B3E" w14:textId="77777777" w:rsidR="00D901C1" w:rsidRPr="00C01AE6" w:rsidRDefault="00D901C1" w:rsidP="00655C9D">
      <w:pPr>
        <w:widowControl w:val="0"/>
        <w:autoSpaceDE w:val="0"/>
        <w:autoSpaceDN w:val="0"/>
        <w:jc w:val="both"/>
        <w:rPr>
          <w:sz w:val="22"/>
          <w:szCs w:val="22"/>
          <w:lang w:val="sr-Latn-ME"/>
        </w:rPr>
      </w:pPr>
    </w:p>
    <w:p w14:paraId="173117D2" w14:textId="78D86BA2" w:rsidR="00D901C1" w:rsidRPr="00C01AE6" w:rsidRDefault="00D901C1" w:rsidP="00655C9D">
      <w:pPr>
        <w:widowControl w:val="0"/>
        <w:autoSpaceDE w:val="0"/>
        <w:autoSpaceDN w:val="0"/>
        <w:spacing w:line="247" w:lineRule="auto"/>
        <w:ind w:right="285"/>
        <w:jc w:val="both"/>
        <w:rPr>
          <w:sz w:val="22"/>
          <w:szCs w:val="22"/>
          <w:lang w:val="sr-Latn-ME"/>
        </w:rPr>
      </w:pPr>
      <w:r w:rsidRPr="00C01AE6">
        <w:rPr>
          <w:sz w:val="22"/>
          <w:szCs w:val="22"/>
          <w:lang w:val="sr-Latn-ME"/>
        </w:rPr>
        <w:t xml:space="preserve">Ordinirajući </w:t>
      </w:r>
      <w:r w:rsidR="00BA210B" w:rsidRPr="00C01AE6">
        <w:rPr>
          <w:sz w:val="22"/>
          <w:szCs w:val="22"/>
          <w:lang w:val="sr-Latn-ME"/>
        </w:rPr>
        <w:t>ljekar</w:t>
      </w:r>
      <w:r w:rsidRPr="00C01AE6">
        <w:rPr>
          <w:sz w:val="22"/>
          <w:szCs w:val="22"/>
          <w:lang w:val="sr-Latn-ME"/>
        </w:rPr>
        <w:t xml:space="preserve"> treba da obav</w:t>
      </w:r>
      <w:r w:rsidR="002C1FF4" w:rsidRPr="00C01AE6">
        <w:rPr>
          <w:sz w:val="22"/>
          <w:szCs w:val="22"/>
          <w:lang w:val="sr-Latn-ME"/>
        </w:rPr>
        <w:t>ij</w:t>
      </w:r>
      <w:r w:rsidRPr="00C01AE6">
        <w:rPr>
          <w:sz w:val="22"/>
          <w:szCs w:val="22"/>
          <w:lang w:val="sr-Latn-ME"/>
        </w:rPr>
        <w:t>esti laboratoriju koja vrši testove o tome da se pacijent l</w:t>
      </w:r>
      <w:r w:rsidR="00705D60" w:rsidRPr="00C01AE6">
        <w:rPr>
          <w:sz w:val="22"/>
          <w:szCs w:val="22"/>
          <w:lang w:val="sr-Latn-ME"/>
        </w:rPr>
        <w:t>ij</w:t>
      </w:r>
      <w:r w:rsidRPr="00C01AE6">
        <w:rPr>
          <w:sz w:val="22"/>
          <w:szCs w:val="22"/>
          <w:lang w:val="sr-Latn-ME"/>
        </w:rPr>
        <w:t xml:space="preserve">eči </w:t>
      </w:r>
      <w:r w:rsidR="00BA210B" w:rsidRPr="00C01AE6">
        <w:rPr>
          <w:sz w:val="22"/>
          <w:szCs w:val="22"/>
          <w:lang w:val="sr-Latn-ME"/>
        </w:rPr>
        <w:t>lijekom</w:t>
      </w:r>
      <w:r w:rsidRPr="00C01AE6">
        <w:rPr>
          <w:sz w:val="22"/>
          <w:szCs w:val="22"/>
          <w:lang w:val="sr-Latn-ME"/>
        </w:rPr>
        <w:t xml:space="preserve"> koji utiče na nivoe alkalne </w:t>
      </w:r>
      <w:proofErr w:type="spellStart"/>
      <w:r w:rsidRPr="00C01AE6">
        <w:rPr>
          <w:sz w:val="22"/>
          <w:szCs w:val="22"/>
          <w:lang w:val="sr-Latn-ME"/>
        </w:rPr>
        <w:t>fosfataze</w:t>
      </w:r>
      <w:proofErr w:type="spellEnd"/>
      <w:r w:rsidRPr="00C01AE6">
        <w:rPr>
          <w:sz w:val="22"/>
          <w:szCs w:val="22"/>
          <w:lang w:val="sr-Latn-ME"/>
        </w:rPr>
        <w:t xml:space="preserve">. Kod pacijenata </w:t>
      </w:r>
      <w:r w:rsidR="00613845" w:rsidRPr="00C01AE6">
        <w:rPr>
          <w:sz w:val="22"/>
          <w:szCs w:val="22"/>
          <w:lang w:val="sr-Latn-ME"/>
        </w:rPr>
        <w:t>liječenih</w:t>
      </w:r>
      <w:r w:rsidRPr="00C01AE6">
        <w:rPr>
          <w:sz w:val="22"/>
          <w:szCs w:val="22"/>
          <w:lang w:val="sr-Latn-ME"/>
        </w:rPr>
        <w:t xml:space="preserve"> </w:t>
      </w:r>
      <w:r w:rsidR="00BA210B" w:rsidRPr="00C01AE6">
        <w:rPr>
          <w:sz w:val="22"/>
          <w:szCs w:val="22"/>
          <w:lang w:val="sr-Latn-ME"/>
        </w:rPr>
        <w:t>lijekom</w:t>
      </w:r>
      <w:r w:rsidRPr="00C01AE6">
        <w:rPr>
          <w:sz w:val="22"/>
          <w:szCs w:val="22"/>
          <w:lang w:val="sr-Latn-ME"/>
        </w:rPr>
        <w:t xml:space="preserve"> </w:t>
      </w:r>
      <w:proofErr w:type="spellStart"/>
      <w:r w:rsidRPr="00C01AE6">
        <w:rPr>
          <w:sz w:val="22"/>
          <w:szCs w:val="22"/>
          <w:lang w:val="sr-Latn-ME"/>
        </w:rPr>
        <w:t>Strensiq</w:t>
      </w:r>
      <w:proofErr w:type="spellEnd"/>
      <w:r w:rsidRPr="00C01AE6">
        <w:rPr>
          <w:sz w:val="22"/>
          <w:szCs w:val="22"/>
          <w:lang w:val="sr-Latn-ME"/>
        </w:rPr>
        <w:t xml:space="preserve"> može se razmotriti </w:t>
      </w:r>
      <w:r w:rsidR="00BA210B" w:rsidRPr="00C01AE6">
        <w:rPr>
          <w:sz w:val="22"/>
          <w:szCs w:val="22"/>
          <w:lang w:val="sr-Latn-ME"/>
        </w:rPr>
        <w:t>primjen</w:t>
      </w:r>
      <w:r w:rsidRPr="00C01AE6">
        <w:rPr>
          <w:sz w:val="22"/>
          <w:szCs w:val="22"/>
          <w:lang w:val="sr-Latn-ME"/>
        </w:rPr>
        <w:t xml:space="preserve">a drugih testova (tj. onih u kojima se ne koristi </w:t>
      </w:r>
      <w:proofErr w:type="spellStart"/>
      <w:r w:rsidRPr="00C01AE6">
        <w:rPr>
          <w:sz w:val="22"/>
          <w:szCs w:val="22"/>
          <w:lang w:val="sr-Latn-ME"/>
        </w:rPr>
        <w:t>konjugat</w:t>
      </w:r>
      <w:proofErr w:type="spellEnd"/>
      <w:r w:rsidRPr="00C01AE6">
        <w:rPr>
          <w:sz w:val="22"/>
          <w:szCs w:val="22"/>
          <w:lang w:val="sr-Latn-ME"/>
        </w:rPr>
        <w:t xml:space="preserve"> alkalne </w:t>
      </w:r>
      <w:proofErr w:type="spellStart"/>
      <w:r w:rsidRPr="00C01AE6">
        <w:rPr>
          <w:sz w:val="22"/>
          <w:szCs w:val="22"/>
          <w:lang w:val="sr-Latn-ME"/>
        </w:rPr>
        <w:t>fosfataze</w:t>
      </w:r>
      <w:proofErr w:type="spellEnd"/>
      <w:r w:rsidRPr="00C01AE6">
        <w:rPr>
          <w:sz w:val="22"/>
          <w:szCs w:val="22"/>
          <w:lang w:val="sr-Latn-ME"/>
        </w:rPr>
        <w:t xml:space="preserve"> za dobijanje rezultata).</w:t>
      </w:r>
    </w:p>
    <w:p w14:paraId="10E4EECA" w14:textId="77777777" w:rsidR="00D901C1" w:rsidRPr="00C01AE6" w:rsidRDefault="00D901C1" w:rsidP="00655C9D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5BE015E6" w14:textId="77777777" w:rsidR="0072020E" w:rsidRPr="00C01AE6" w:rsidRDefault="0072020E" w:rsidP="00655C9D">
      <w:pPr>
        <w:tabs>
          <w:tab w:val="left" w:pos="540"/>
          <w:tab w:val="left" w:pos="569"/>
        </w:tabs>
        <w:jc w:val="both"/>
        <w:rPr>
          <w:b/>
          <w:sz w:val="22"/>
          <w:szCs w:val="22"/>
          <w:lang w:val="sr-Latn-ME"/>
        </w:rPr>
      </w:pPr>
      <w:r w:rsidRPr="00C01AE6">
        <w:rPr>
          <w:b/>
          <w:bCs/>
          <w:sz w:val="22"/>
          <w:szCs w:val="22"/>
          <w:lang w:val="sr-Latn-ME"/>
        </w:rPr>
        <w:t xml:space="preserve">4.6. </w:t>
      </w:r>
      <w:r w:rsidR="00480FB1" w:rsidRPr="00C01AE6">
        <w:rPr>
          <w:b/>
          <w:bCs/>
          <w:sz w:val="22"/>
          <w:szCs w:val="22"/>
          <w:lang w:val="sr-Latn-ME"/>
        </w:rPr>
        <w:tab/>
      </w:r>
      <w:r w:rsidR="006D20A5" w:rsidRPr="00C01AE6">
        <w:rPr>
          <w:b/>
          <w:sz w:val="22"/>
          <w:szCs w:val="22"/>
          <w:lang w:val="sr-Latn-ME"/>
        </w:rPr>
        <w:t>Plodnost, trudnoća i dojenje</w:t>
      </w:r>
    </w:p>
    <w:p w14:paraId="3EB5087F" w14:textId="77777777" w:rsidR="002031B3" w:rsidRPr="00C01AE6" w:rsidRDefault="002031B3" w:rsidP="00655C9D">
      <w:pPr>
        <w:tabs>
          <w:tab w:val="left" w:pos="540"/>
          <w:tab w:val="left" w:pos="569"/>
        </w:tabs>
        <w:jc w:val="both"/>
        <w:rPr>
          <w:sz w:val="22"/>
          <w:szCs w:val="22"/>
          <w:u w:val="single"/>
          <w:lang w:val="sr-Latn-ME"/>
        </w:rPr>
      </w:pPr>
    </w:p>
    <w:p w14:paraId="4213D836" w14:textId="77777777" w:rsidR="002031B3" w:rsidRPr="00C01AE6" w:rsidRDefault="002031B3" w:rsidP="00655C9D">
      <w:pPr>
        <w:tabs>
          <w:tab w:val="left" w:pos="540"/>
          <w:tab w:val="left" w:pos="569"/>
        </w:tabs>
        <w:jc w:val="both"/>
        <w:rPr>
          <w:sz w:val="22"/>
          <w:szCs w:val="22"/>
          <w:u w:val="single"/>
          <w:lang w:val="sr-Latn-ME"/>
        </w:rPr>
      </w:pPr>
      <w:r w:rsidRPr="00C01AE6">
        <w:rPr>
          <w:sz w:val="22"/>
          <w:szCs w:val="22"/>
          <w:u w:val="single"/>
          <w:lang w:val="sr-Latn-ME"/>
        </w:rPr>
        <w:t>Plodnost</w:t>
      </w:r>
    </w:p>
    <w:p w14:paraId="0E5A74EC" w14:textId="1CF23E93" w:rsidR="002031B3" w:rsidRPr="00C01AE6" w:rsidRDefault="002031B3" w:rsidP="00655C9D">
      <w:pPr>
        <w:tabs>
          <w:tab w:val="left" w:pos="540"/>
          <w:tab w:val="left" w:pos="569"/>
        </w:tabs>
        <w:jc w:val="both"/>
        <w:rPr>
          <w:sz w:val="22"/>
          <w:szCs w:val="22"/>
          <w:u w:val="single"/>
          <w:lang w:val="sr-Latn-ME"/>
        </w:rPr>
      </w:pPr>
    </w:p>
    <w:p w14:paraId="763ABD0C" w14:textId="7A562B21" w:rsidR="00D901C1" w:rsidRPr="00C01AE6" w:rsidRDefault="00D901C1" w:rsidP="00655C9D">
      <w:pPr>
        <w:widowControl w:val="0"/>
        <w:autoSpaceDE w:val="0"/>
        <w:autoSpaceDN w:val="0"/>
        <w:spacing w:line="249" w:lineRule="auto"/>
        <w:jc w:val="both"/>
        <w:rPr>
          <w:sz w:val="22"/>
          <w:szCs w:val="22"/>
          <w:lang w:val="sr-Latn-ME"/>
        </w:rPr>
      </w:pPr>
      <w:r w:rsidRPr="00C01AE6">
        <w:rPr>
          <w:sz w:val="22"/>
          <w:szCs w:val="22"/>
          <w:lang w:val="sr-Latn-ME"/>
        </w:rPr>
        <w:t xml:space="preserve">Sprovedena su </w:t>
      </w:r>
      <w:proofErr w:type="spellStart"/>
      <w:r w:rsidRPr="00C01AE6">
        <w:rPr>
          <w:sz w:val="22"/>
          <w:szCs w:val="22"/>
          <w:lang w:val="sr-Latn-ME"/>
        </w:rPr>
        <w:t>neklinička</w:t>
      </w:r>
      <w:proofErr w:type="spellEnd"/>
      <w:r w:rsidRPr="00C01AE6">
        <w:rPr>
          <w:sz w:val="22"/>
          <w:szCs w:val="22"/>
          <w:lang w:val="sr-Latn-ME"/>
        </w:rPr>
        <w:t xml:space="preserve"> ispitivanja plodnosti i nisu dala nikakav dokaz o učinku na plodnost i </w:t>
      </w:r>
      <w:proofErr w:type="spellStart"/>
      <w:r w:rsidRPr="00C01AE6">
        <w:rPr>
          <w:sz w:val="22"/>
          <w:szCs w:val="22"/>
          <w:lang w:val="sr-Latn-ME"/>
        </w:rPr>
        <w:t>embriofetalni</w:t>
      </w:r>
      <w:proofErr w:type="spellEnd"/>
      <w:r w:rsidRPr="00C01AE6">
        <w:rPr>
          <w:sz w:val="22"/>
          <w:szCs w:val="22"/>
          <w:lang w:val="sr-Latn-ME"/>
        </w:rPr>
        <w:t xml:space="preserve"> razvoj (</w:t>
      </w:r>
      <w:r w:rsidR="00BA210B" w:rsidRPr="00C01AE6">
        <w:rPr>
          <w:sz w:val="22"/>
          <w:szCs w:val="22"/>
          <w:lang w:val="sr-Latn-ME"/>
        </w:rPr>
        <w:t>vidjeti</w:t>
      </w:r>
      <w:r w:rsidRPr="00C01AE6">
        <w:rPr>
          <w:sz w:val="22"/>
          <w:szCs w:val="22"/>
          <w:lang w:val="sr-Latn-ME"/>
        </w:rPr>
        <w:t xml:space="preserve"> </w:t>
      </w:r>
      <w:r w:rsidR="008B6182" w:rsidRPr="00C01AE6">
        <w:rPr>
          <w:sz w:val="22"/>
          <w:szCs w:val="22"/>
          <w:lang w:val="sr-Latn-ME"/>
        </w:rPr>
        <w:t>dio</w:t>
      </w:r>
      <w:r w:rsidRPr="00C01AE6">
        <w:rPr>
          <w:sz w:val="22"/>
          <w:szCs w:val="22"/>
          <w:lang w:val="sr-Latn-ME"/>
        </w:rPr>
        <w:t xml:space="preserve"> 5.3).</w:t>
      </w:r>
    </w:p>
    <w:p w14:paraId="14575A95" w14:textId="77777777" w:rsidR="00D901C1" w:rsidRPr="00C01AE6" w:rsidRDefault="00D901C1" w:rsidP="00655C9D">
      <w:pPr>
        <w:tabs>
          <w:tab w:val="left" w:pos="540"/>
          <w:tab w:val="left" w:pos="569"/>
        </w:tabs>
        <w:jc w:val="both"/>
        <w:rPr>
          <w:sz w:val="22"/>
          <w:szCs w:val="22"/>
          <w:u w:val="single"/>
          <w:lang w:val="sr-Latn-ME"/>
        </w:rPr>
      </w:pPr>
    </w:p>
    <w:p w14:paraId="3F444B64" w14:textId="77777777" w:rsidR="007A3ECB" w:rsidRPr="00C01AE6" w:rsidRDefault="007A3ECB" w:rsidP="00655C9D">
      <w:pPr>
        <w:tabs>
          <w:tab w:val="left" w:pos="540"/>
          <w:tab w:val="left" w:pos="569"/>
        </w:tabs>
        <w:jc w:val="both"/>
        <w:rPr>
          <w:sz w:val="22"/>
          <w:szCs w:val="22"/>
          <w:u w:val="single"/>
          <w:lang w:val="sr-Latn-ME"/>
        </w:rPr>
      </w:pPr>
      <w:r w:rsidRPr="00C01AE6">
        <w:rPr>
          <w:sz w:val="22"/>
          <w:szCs w:val="22"/>
          <w:u w:val="single"/>
          <w:lang w:val="sr-Latn-ME"/>
        </w:rPr>
        <w:t>Trudnoća</w:t>
      </w:r>
    </w:p>
    <w:p w14:paraId="05BC961D" w14:textId="564123BC" w:rsidR="00D901C1" w:rsidRPr="00C01AE6" w:rsidRDefault="00D901C1" w:rsidP="00655C9D">
      <w:pPr>
        <w:widowControl w:val="0"/>
        <w:autoSpaceDE w:val="0"/>
        <w:autoSpaceDN w:val="0"/>
        <w:jc w:val="both"/>
        <w:rPr>
          <w:sz w:val="22"/>
          <w:szCs w:val="22"/>
          <w:lang w:val="sr-Latn-ME"/>
        </w:rPr>
      </w:pPr>
      <w:r w:rsidRPr="00C01AE6">
        <w:rPr>
          <w:sz w:val="22"/>
          <w:szCs w:val="22"/>
          <w:lang w:val="sr-Latn-ME"/>
        </w:rPr>
        <w:t xml:space="preserve">Nema dovoljno podataka o </w:t>
      </w:r>
      <w:r w:rsidR="00BA210B" w:rsidRPr="00C01AE6">
        <w:rPr>
          <w:sz w:val="22"/>
          <w:szCs w:val="22"/>
          <w:lang w:val="sr-Latn-ME"/>
        </w:rPr>
        <w:t>primjen</w:t>
      </w:r>
      <w:r w:rsidRPr="00C01AE6">
        <w:rPr>
          <w:sz w:val="22"/>
          <w:szCs w:val="22"/>
          <w:lang w:val="sr-Latn-ME"/>
        </w:rPr>
        <w:t xml:space="preserve">i </w:t>
      </w:r>
      <w:proofErr w:type="spellStart"/>
      <w:r w:rsidRPr="00C01AE6">
        <w:rPr>
          <w:sz w:val="22"/>
          <w:szCs w:val="22"/>
          <w:lang w:val="sr-Latn-ME"/>
        </w:rPr>
        <w:t>asfotaze</w:t>
      </w:r>
      <w:proofErr w:type="spellEnd"/>
      <w:r w:rsidRPr="00C01AE6">
        <w:rPr>
          <w:sz w:val="22"/>
          <w:szCs w:val="22"/>
          <w:lang w:val="sr-Latn-ME"/>
        </w:rPr>
        <w:t xml:space="preserve"> alfa kod trudnica.</w:t>
      </w:r>
    </w:p>
    <w:p w14:paraId="2ED77BB3" w14:textId="676546BF" w:rsidR="00D901C1" w:rsidRPr="00C01AE6" w:rsidRDefault="00D901C1" w:rsidP="00655C9D">
      <w:pPr>
        <w:widowControl w:val="0"/>
        <w:autoSpaceDE w:val="0"/>
        <w:autoSpaceDN w:val="0"/>
        <w:spacing w:line="247" w:lineRule="auto"/>
        <w:jc w:val="both"/>
        <w:rPr>
          <w:sz w:val="22"/>
          <w:szCs w:val="22"/>
          <w:lang w:val="sr-Latn-ME"/>
        </w:rPr>
      </w:pPr>
      <w:r w:rsidRPr="00C01AE6">
        <w:rPr>
          <w:sz w:val="22"/>
          <w:szCs w:val="22"/>
          <w:lang w:val="sr-Latn-ME"/>
        </w:rPr>
        <w:t xml:space="preserve">Nakon ponovljene </w:t>
      </w:r>
      <w:proofErr w:type="spellStart"/>
      <w:r w:rsidRPr="00C01AE6">
        <w:rPr>
          <w:sz w:val="22"/>
          <w:szCs w:val="22"/>
          <w:lang w:val="sr-Latn-ME"/>
        </w:rPr>
        <w:t>su</w:t>
      </w:r>
      <w:r w:rsidR="00432666" w:rsidRPr="00C01AE6">
        <w:rPr>
          <w:sz w:val="22"/>
          <w:szCs w:val="22"/>
          <w:lang w:val="sr-Latn-ME"/>
        </w:rPr>
        <w:t>b</w:t>
      </w:r>
      <w:r w:rsidRPr="00C01AE6">
        <w:rPr>
          <w:sz w:val="22"/>
          <w:szCs w:val="22"/>
          <w:lang w:val="sr-Latn-ME"/>
        </w:rPr>
        <w:t>kutane</w:t>
      </w:r>
      <w:proofErr w:type="spellEnd"/>
      <w:r w:rsidRPr="00C01AE6">
        <w:rPr>
          <w:sz w:val="22"/>
          <w:szCs w:val="22"/>
          <w:lang w:val="sr-Latn-ME"/>
        </w:rPr>
        <w:t xml:space="preserve"> </w:t>
      </w:r>
      <w:r w:rsidR="00BA210B" w:rsidRPr="00C01AE6">
        <w:rPr>
          <w:sz w:val="22"/>
          <w:szCs w:val="22"/>
          <w:lang w:val="sr-Latn-ME"/>
        </w:rPr>
        <w:t>primjen</w:t>
      </w:r>
      <w:r w:rsidRPr="00C01AE6">
        <w:rPr>
          <w:sz w:val="22"/>
          <w:szCs w:val="22"/>
          <w:lang w:val="sr-Latn-ME"/>
        </w:rPr>
        <w:t xml:space="preserve">e skotnim ženkama miša u terapijskom rasponu doza (&gt; 0,5 mg/kg), nivoe </w:t>
      </w:r>
      <w:proofErr w:type="spellStart"/>
      <w:r w:rsidRPr="00C01AE6">
        <w:rPr>
          <w:sz w:val="22"/>
          <w:szCs w:val="22"/>
          <w:lang w:val="sr-Latn-ME"/>
        </w:rPr>
        <w:t>asfotaze</w:t>
      </w:r>
      <w:proofErr w:type="spellEnd"/>
      <w:r w:rsidRPr="00C01AE6">
        <w:rPr>
          <w:sz w:val="22"/>
          <w:szCs w:val="22"/>
          <w:lang w:val="sr-Latn-ME"/>
        </w:rPr>
        <w:t xml:space="preserve"> alfa bilo je moguće kvantifikovati u fetusima za sve testirane doze, što ukazuje na </w:t>
      </w:r>
      <w:proofErr w:type="spellStart"/>
      <w:r w:rsidRPr="00C01AE6">
        <w:rPr>
          <w:sz w:val="22"/>
          <w:szCs w:val="22"/>
          <w:lang w:val="sr-Latn-ME"/>
        </w:rPr>
        <w:t>prenos</w:t>
      </w:r>
      <w:proofErr w:type="spellEnd"/>
      <w:r w:rsidRPr="00C01AE6">
        <w:rPr>
          <w:sz w:val="22"/>
          <w:szCs w:val="22"/>
          <w:lang w:val="sr-Latn-ME"/>
        </w:rPr>
        <w:t xml:space="preserve"> </w:t>
      </w:r>
      <w:proofErr w:type="spellStart"/>
      <w:r w:rsidRPr="00C01AE6">
        <w:rPr>
          <w:sz w:val="22"/>
          <w:szCs w:val="22"/>
          <w:lang w:val="sr-Latn-ME"/>
        </w:rPr>
        <w:t>asfotaze</w:t>
      </w:r>
      <w:proofErr w:type="spellEnd"/>
      <w:r w:rsidRPr="00C01AE6">
        <w:rPr>
          <w:sz w:val="22"/>
          <w:szCs w:val="22"/>
          <w:lang w:val="sr-Latn-ME"/>
        </w:rPr>
        <w:t xml:space="preserve"> alfa kroz posteljicu. Ispitivanja na životinjama ni</w:t>
      </w:r>
      <w:r w:rsidR="002C1FF4" w:rsidRPr="00C01AE6">
        <w:rPr>
          <w:sz w:val="22"/>
          <w:szCs w:val="22"/>
          <w:lang w:val="sr-Latn-ME"/>
        </w:rPr>
        <w:t>je</w:t>
      </w:r>
      <w:r w:rsidRPr="00C01AE6">
        <w:rPr>
          <w:sz w:val="22"/>
          <w:szCs w:val="22"/>
          <w:lang w:val="sr-Latn-ME"/>
        </w:rPr>
        <w:t>su dovoljna za konačan zaključak o reproduktivnoj toksičnosti (</w:t>
      </w:r>
      <w:r w:rsidR="00BA210B" w:rsidRPr="00C01AE6">
        <w:rPr>
          <w:sz w:val="22"/>
          <w:szCs w:val="22"/>
          <w:lang w:val="sr-Latn-ME"/>
        </w:rPr>
        <w:t>vidjeti</w:t>
      </w:r>
      <w:r w:rsidRPr="00C01AE6">
        <w:rPr>
          <w:sz w:val="22"/>
          <w:szCs w:val="22"/>
          <w:lang w:val="sr-Latn-ME"/>
        </w:rPr>
        <w:t xml:space="preserve"> </w:t>
      </w:r>
      <w:r w:rsidR="008B6182" w:rsidRPr="00C01AE6">
        <w:rPr>
          <w:sz w:val="22"/>
          <w:szCs w:val="22"/>
          <w:lang w:val="sr-Latn-ME"/>
        </w:rPr>
        <w:t>dio</w:t>
      </w:r>
      <w:r w:rsidRPr="00C01AE6">
        <w:rPr>
          <w:sz w:val="22"/>
          <w:szCs w:val="22"/>
          <w:lang w:val="sr-Latn-ME"/>
        </w:rPr>
        <w:t xml:space="preserve"> 5.3). Ne preporučuje se </w:t>
      </w:r>
      <w:r w:rsidR="00BA210B" w:rsidRPr="00C01AE6">
        <w:rPr>
          <w:sz w:val="22"/>
          <w:szCs w:val="22"/>
          <w:lang w:val="sr-Latn-ME"/>
        </w:rPr>
        <w:t>primjen</w:t>
      </w:r>
      <w:r w:rsidRPr="00C01AE6">
        <w:rPr>
          <w:sz w:val="22"/>
          <w:szCs w:val="22"/>
          <w:lang w:val="sr-Latn-ME"/>
        </w:rPr>
        <w:t xml:space="preserve">a </w:t>
      </w:r>
      <w:proofErr w:type="spellStart"/>
      <w:r w:rsidRPr="00C01AE6">
        <w:rPr>
          <w:sz w:val="22"/>
          <w:szCs w:val="22"/>
          <w:lang w:val="sr-Latn-ME"/>
        </w:rPr>
        <w:t>asfotaze</w:t>
      </w:r>
      <w:proofErr w:type="spellEnd"/>
      <w:r w:rsidRPr="00C01AE6">
        <w:rPr>
          <w:sz w:val="22"/>
          <w:szCs w:val="22"/>
          <w:lang w:val="sr-Latn-ME"/>
        </w:rPr>
        <w:t xml:space="preserve"> alfa tokom trudnoće niti kod žena u reproduktivnom periodu koje ne koriste kontracepciju.</w:t>
      </w:r>
    </w:p>
    <w:p w14:paraId="3A0D0402" w14:textId="77777777" w:rsidR="002031B3" w:rsidRPr="00C01AE6" w:rsidRDefault="002031B3" w:rsidP="00655C9D">
      <w:pPr>
        <w:tabs>
          <w:tab w:val="left" w:pos="540"/>
          <w:tab w:val="left" w:pos="569"/>
        </w:tabs>
        <w:jc w:val="both"/>
        <w:rPr>
          <w:sz w:val="22"/>
          <w:szCs w:val="22"/>
          <w:u w:val="single"/>
          <w:lang w:val="sr-Latn-ME"/>
        </w:rPr>
      </w:pPr>
    </w:p>
    <w:p w14:paraId="205FA1E9" w14:textId="77777777" w:rsidR="0072020E" w:rsidRPr="00C01AE6" w:rsidRDefault="007A3ECB" w:rsidP="00655C9D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  <w:r w:rsidRPr="00C01AE6">
        <w:rPr>
          <w:sz w:val="22"/>
          <w:szCs w:val="22"/>
          <w:u w:val="single"/>
          <w:lang w:val="sr-Latn-ME"/>
        </w:rPr>
        <w:lastRenderedPageBreak/>
        <w:t xml:space="preserve">Dojenje </w:t>
      </w:r>
    </w:p>
    <w:p w14:paraId="6BC473CA" w14:textId="366FA063" w:rsidR="00D901C1" w:rsidRPr="00C01AE6" w:rsidRDefault="00D901C1" w:rsidP="00655C9D">
      <w:pPr>
        <w:widowControl w:val="0"/>
        <w:autoSpaceDE w:val="0"/>
        <w:autoSpaceDN w:val="0"/>
        <w:spacing w:line="247" w:lineRule="auto"/>
        <w:jc w:val="both"/>
        <w:rPr>
          <w:sz w:val="22"/>
          <w:szCs w:val="22"/>
          <w:lang w:val="sr-Latn-ME"/>
        </w:rPr>
      </w:pPr>
      <w:r w:rsidRPr="00C01AE6">
        <w:rPr>
          <w:sz w:val="22"/>
          <w:szCs w:val="22"/>
          <w:lang w:val="sr-Latn-ME"/>
        </w:rPr>
        <w:t xml:space="preserve">Nema dovoljno podataka o izlučivanju </w:t>
      </w:r>
      <w:proofErr w:type="spellStart"/>
      <w:r w:rsidRPr="00C01AE6">
        <w:rPr>
          <w:sz w:val="22"/>
          <w:szCs w:val="22"/>
          <w:lang w:val="sr-Latn-ME"/>
        </w:rPr>
        <w:t>asfotaze</w:t>
      </w:r>
      <w:proofErr w:type="spellEnd"/>
      <w:r w:rsidRPr="00C01AE6">
        <w:rPr>
          <w:sz w:val="22"/>
          <w:szCs w:val="22"/>
          <w:lang w:val="sr-Latn-ME"/>
        </w:rPr>
        <w:t xml:space="preserve"> alfa u majčino ml</w:t>
      </w:r>
      <w:r w:rsidR="00705D60" w:rsidRPr="00C01AE6">
        <w:rPr>
          <w:sz w:val="22"/>
          <w:szCs w:val="22"/>
          <w:lang w:val="sr-Latn-ME"/>
        </w:rPr>
        <w:t>ij</w:t>
      </w:r>
      <w:r w:rsidRPr="00C01AE6">
        <w:rPr>
          <w:sz w:val="22"/>
          <w:szCs w:val="22"/>
          <w:lang w:val="sr-Latn-ME"/>
        </w:rPr>
        <w:t>eko. Ne može se isključiti rizik za novorođenče/odojče.</w:t>
      </w:r>
    </w:p>
    <w:p w14:paraId="6A9AF5F4" w14:textId="5F20D562" w:rsidR="00D901C1" w:rsidRPr="00C01AE6" w:rsidRDefault="00D901C1" w:rsidP="00655C9D">
      <w:pPr>
        <w:widowControl w:val="0"/>
        <w:autoSpaceDE w:val="0"/>
        <w:autoSpaceDN w:val="0"/>
        <w:spacing w:line="247" w:lineRule="auto"/>
        <w:ind w:right="120"/>
        <w:jc w:val="both"/>
        <w:rPr>
          <w:sz w:val="22"/>
          <w:szCs w:val="22"/>
          <w:lang w:val="sr-Latn-ME"/>
        </w:rPr>
      </w:pPr>
      <w:r w:rsidRPr="00C01AE6">
        <w:rPr>
          <w:sz w:val="22"/>
          <w:szCs w:val="22"/>
          <w:lang w:val="sr-Latn-ME"/>
        </w:rPr>
        <w:t>Neophodno je don</w:t>
      </w:r>
      <w:r w:rsidR="00FA2392" w:rsidRPr="00C01AE6">
        <w:rPr>
          <w:sz w:val="22"/>
          <w:szCs w:val="22"/>
          <w:lang w:val="sr-Latn-ME"/>
        </w:rPr>
        <w:t>ij</w:t>
      </w:r>
      <w:r w:rsidRPr="00C01AE6">
        <w:rPr>
          <w:sz w:val="22"/>
          <w:szCs w:val="22"/>
          <w:lang w:val="sr-Latn-ME"/>
        </w:rPr>
        <w:t xml:space="preserve">eti odluku da li trajno prekinuti dojenje ili trajno </w:t>
      </w:r>
      <w:r w:rsidR="00042305" w:rsidRPr="00C01AE6">
        <w:rPr>
          <w:sz w:val="22"/>
          <w:szCs w:val="22"/>
          <w:lang w:val="sr-Latn-ME"/>
        </w:rPr>
        <w:t>prekinuti/izbjeći</w:t>
      </w:r>
      <w:r w:rsidRPr="00C01AE6">
        <w:rPr>
          <w:sz w:val="22"/>
          <w:szCs w:val="22"/>
          <w:lang w:val="sr-Latn-ME"/>
        </w:rPr>
        <w:t xml:space="preserve"> terapiju </w:t>
      </w:r>
      <w:proofErr w:type="spellStart"/>
      <w:r w:rsidRPr="00C01AE6">
        <w:rPr>
          <w:sz w:val="22"/>
          <w:szCs w:val="22"/>
          <w:lang w:val="sr-Latn-ME"/>
        </w:rPr>
        <w:t>asfotazom</w:t>
      </w:r>
      <w:proofErr w:type="spellEnd"/>
      <w:r w:rsidRPr="00C01AE6">
        <w:rPr>
          <w:sz w:val="22"/>
          <w:szCs w:val="22"/>
          <w:lang w:val="sr-Latn-ME"/>
        </w:rPr>
        <w:t xml:space="preserve"> alfa, uzimajući u obzir dobrobit dojenja za d</w:t>
      </w:r>
      <w:r w:rsidR="00705D60" w:rsidRPr="00C01AE6">
        <w:rPr>
          <w:sz w:val="22"/>
          <w:szCs w:val="22"/>
          <w:lang w:val="sr-Latn-ME"/>
        </w:rPr>
        <w:t>ij</w:t>
      </w:r>
      <w:r w:rsidRPr="00C01AE6">
        <w:rPr>
          <w:sz w:val="22"/>
          <w:szCs w:val="22"/>
          <w:lang w:val="sr-Latn-ME"/>
        </w:rPr>
        <w:t>ete i dobrobit terapije za ženu.</w:t>
      </w:r>
    </w:p>
    <w:p w14:paraId="0FD331AD" w14:textId="77777777" w:rsidR="00227BDB" w:rsidRPr="00C01AE6" w:rsidRDefault="00227BDB" w:rsidP="00655C9D">
      <w:pPr>
        <w:tabs>
          <w:tab w:val="left" w:pos="540"/>
          <w:tab w:val="left" w:pos="569"/>
        </w:tabs>
        <w:ind w:left="540" w:hanging="540"/>
        <w:jc w:val="both"/>
        <w:rPr>
          <w:b/>
          <w:bCs/>
          <w:sz w:val="22"/>
          <w:szCs w:val="22"/>
          <w:lang w:val="sr-Latn-ME"/>
        </w:rPr>
      </w:pPr>
    </w:p>
    <w:p w14:paraId="34257F02" w14:textId="23D1CDA4" w:rsidR="0072020E" w:rsidRPr="00C01AE6" w:rsidRDefault="0072020E" w:rsidP="00655C9D">
      <w:pPr>
        <w:tabs>
          <w:tab w:val="left" w:pos="540"/>
          <w:tab w:val="left" w:pos="569"/>
        </w:tabs>
        <w:ind w:left="540" w:hanging="540"/>
        <w:jc w:val="both"/>
        <w:rPr>
          <w:b/>
          <w:bCs/>
          <w:sz w:val="22"/>
          <w:szCs w:val="22"/>
          <w:lang w:val="sr-Latn-ME"/>
        </w:rPr>
      </w:pPr>
      <w:r w:rsidRPr="00C01AE6">
        <w:rPr>
          <w:b/>
          <w:bCs/>
          <w:sz w:val="22"/>
          <w:szCs w:val="22"/>
          <w:lang w:val="sr-Latn-ME"/>
        </w:rPr>
        <w:t xml:space="preserve">4.7. </w:t>
      </w:r>
      <w:r w:rsidR="00480FB1" w:rsidRPr="00C01AE6">
        <w:rPr>
          <w:b/>
          <w:bCs/>
          <w:sz w:val="22"/>
          <w:szCs w:val="22"/>
          <w:lang w:val="sr-Latn-ME"/>
        </w:rPr>
        <w:tab/>
      </w:r>
      <w:r w:rsidRPr="00C01AE6">
        <w:rPr>
          <w:b/>
          <w:bCs/>
          <w:sz w:val="22"/>
          <w:szCs w:val="22"/>
          <w:lang w:val="sr-Latn-ME"/>
        </w:rPr>
        <w:t xml:space="preserve">Uticaj na </w:t>
      </w:r>
      <w:r w:rsidR="002031B3" w:rsidRPr="00C01AE6">
        <w:rPr>
          <w:b/>
          <w:bCs/>
          <w:sz w:val="22"/>
          <w:szCs w:val="22"/>
          <w:lang w:val="sr-Latn-ME"/>
        </w:rPr>
        <w:t xml:space="preserve">sposobnost </w:t>
      </w:r>
      <w:r w:rsidR="00F34554" w:rsidRPr="00C01AE6">
        <w:rPr>
          <w:b/>
          <w:bCs/>
          <w:sz w:val="22"/>
          <w:szCs w:val="22"/>
          <w:lang w:val="sr-Latn-ME"/>
        </w:rPr>
        <w:t>upravljanja vozili</w:t>
      </w:r>
      <w:r w:rsidRPr="00C01AE6">
        <w:rPr>
          <w:b/>
          <w:bCs/>
          <w:sz w:val="22"/>
          <w:szCs w:val="22"/>
          <w:lang w:val="sr-Latn-ME"/>
        </w:rPr>
        <w:t>m</w:t>
      </w:r>
      <w:r w:rsidR="00F34554" w:rsidRPr="00C01AE6">
        <w:rPr>
          <w:b/>
          <w:bCs/>
          <w:sz w:val="22"/>
          <w:szCs w:val="22"/>
          <w:lang w:val="sr-Latn-ME"/>
        </w:rPr>
        <w:t>a</w:t>
      </w:r>
      <w:r w:rsidRPr="00C01AE6">
        <w:rPr>
          <w:b/>
          <w:bCs/>
          <w:sz w:val="22"/>
          <w:szCs w:val="22"/>
          <w:lang w:val="sr-Latn-ME"/>
        </w:rPr>
        <w:t xml:space="preserve"> i </w:t>
      </w:r>
      <w:r w:rsidR="000D3449" w:rsidRPr="00C01AE6">
        <w:rPr>
          <w:b/>
          <w:bCs/>
          <w:sz w:val="22"/>
          <w:szCs w:val="22"/>
          <w:lang w:val="sr-Latn-ME"/>
        </w:rPr>
        <w:t xml:space="preserve">rukovanje </w:t>
      </w:r>
      <w:r w:rsidRPr="00C01AE6">
        <w:rPr>
          <w:b/>
          <w:bCs/>
          <w:sz w:val="22"/>
          <w:szCs w:val="22"/>
          <w:lang w:val="sr-Latn-ME"/>
        </w:rPr>
        <w:t>mašinama</w:t>
      </w:r>
    </w:p>
    <w:p w14:paraId="42CAD4CF" w14:textId="77777777" w:rsidR="00D901C1" w:rsidRPr="00C01AE6" w:rsidRDefault="00D901C1" w:rsidP="00655C9D">
      <w:pPr>
        <w:tabs>
          <w:tab w:val="left" w:pos="540"/>
          <w:tab w:val="left" w:pos="569"/>
        </w:tabs>
        <w:ind w:left="540" w:hanging="540"/>
        <w:jc w:val="both"/>
        <w:rPr>
          <w:b/>
          <w:bCs/>
          <w:sz w:val="22"/>
          <w:szCs w:val="22"/>
          <w:lang w:val="sr-Latn-ME"/>
        </w:rPr>
      </w:pPr>
    </w:p>
    <w:p w14:paraId="20140AA7" w14:textId="3AFE283A" w:rsidR="00D901C1" w:rsidRPr="00C01AE6" w:rsidRDefault="00D901C1" w:rsidP="00655C9D">
      <w:pPr>
        <w:widowControl w:val="0"/>
        <w:autoSpaceDE w:val="0"/>
        <w:autoSpaceDN w:val="0"/>
        <w:jc w:val="both"/>
        <w:rPr>
          <w:sz w:val="22"/>
          <w:szCs w:val="22"/>
          <w:lang w:val="sr-Latn-ME"/>
        </w:rPr>
      </w:pPr>
      <w:r w:rsidRPr="00C01AE6">
        <w:rPr>
          <w:sz w:val="22"/>
          <w:szCs w:val="22"/>
          <w:lang w:val="sr-Latn-ME"/>
        </w:rPr>
        <w:t>L</w:t>
      </w:r>
      <w:r w:rsidR="00705D60" w:rsidRPr="00C01AE6">
        <w:rPr>
          <w:sz w:val="22"/>
          <w:szCs w:val="22"/>
          <w:lang w:val="sr-Latn-ME"/>
        </w:rPr>
        <w:t>ij</w:t>
      </w:r>
      <w:r w:rsidRPr="00C01AE6">
        <w:rPr>
          <w:sz w:val="22"/>
          <w:szCs w:val="22"/>
          <w:lang w:val="sr-Latn-ME"/>
        </w:rPr>
        <w:t xml:space="preserve">ek </w:t>
      </w:r>
      <w:proofErr w:type="spellStart"/>
      <w:r w:rsidRPr="00C01AE6">
        <w:rPr>
          <w:sz w:val="22"/>
          <w:szCs w:val="22"/>
          <w:lang w:val="sr-Latn-ME"/>
        </w:rPr>
        <w:t>Strensiq</w:t>
      </w:r>
      <w:proofErr w:type="spellEnd"/>
      <w:r w:rsidRPr="00C01AE6">
        <w:rPr>
          <w:sz w:val="22"/>
          <w:szCs w:val="22"/>
          <w:lang w:val="sr-Latn-ME"/>
        </w:rPr>
        <w:t xml:space="preserve"> nema nikakav ili ima zanemarljiv uticaj na sposobnost upravljanja vozilima i rukovanja mašinama.</w:t>
      </w:r>
    </w:p>
    <w:p w14:paraId="1D863C4E" w14:textId="77777777" w:rsidR="0072020E" w:rsidRPr="00C01AE6" w:rsidRDefault="0072020E" w:rsidP="00655C9D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</w:p>
    <w:p w14:paraId="41C4483D" w14:textId="315287A0" w:rsidR="0072020E" w:rsidRPr="00C01AE6" w:rsidRDefault="0072020E" w:rsidP="00655C9D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  <w:r w:rsidRPr="00C01AE6">
        <w:rPr>
          <w:b/>
          <w:bCs/>
          <w:sz w:val="22"/>
          <w:szCs w:val="22"/>
          <w:lang w:val="sr-Latn-ME"/>
        </w:rPr>
        <w:t xml:space="preserve">4.8. </w:t>
      </w:r>
      <w:r w:rsidR="00480FB1" w:rsidRPr="00C01AE6">
        <w:rPr>
          <w:b/>
          <w:bCs/>
          <w:sz w:val="22"/>
          <w:szCs w:val="22"/>
          <w:lang w:val="sr-Latn-ME"/>
        </w:rPr>
        <w:tab/>
      </w:r>
      <w:r w:rsidRPr="00C01AE6">
        <w:rPr>
          <w:b/>
          <w:bCs/>
          <w:sz w:val="22"/>
          <w:szCs w:val="22"/>
          <w:lang w:val="sr-Latn-ME"/>
        </w:rPr>
        <w:t>Neželjena dejstva</w:t>
      </w:r>
    </w:p>
    <w:p w14:paraId="4629DFF0" w14:textId="77777777" w:rsidR="00D901C1" w:rsidRPr="00C01AE6" w:rsidRDefault="00D901C1" w:rsidP="00655C9D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</w:p>
    <w:p w14:paraId="47DCC0CC" w14:textId="435A1468" w:rsidR="00D901C1" w:rsidRPr="00C01AE6" w:rsidRDefault="00D901C1" w:rsidP="00655C9D">
      <w:pPr>
        <w:widowControl w:val="0"/>
        <w:autoSpaceDE w:val="0"/>
        <w:autoSpaceDN w:val="0"/>
        <w:jc w:val="both"/>
        <w:rPr>
          <w:sz w:val="22"/>
          <w:szCs w:val="22"/>
          <w:lang w:val="sr-Latn-ME"/>
        </w:rPr>
      </w:pPr>
      <w:r w:rsidRPr="00C01AE6">
        <w:rPr>
          <w:sz w:val="22"/>
          <w:szCs w:val="22"/>
          <w:u w:val="single"/>
          <w:lang w:val="sr-Latn-ME"/>
        </w:rPr>
        <w:t xml:space="preserve">Sažetak </w:t>
      </w:r>
      <w:proofErr w:type="spellStart"/>
      <w:r w:rsidRPr="00C01AE6">
        <w:rPr>
          <w:sz w:val="22"/>
          <w:szCs w:val="22"/>
          <w:u w:val="single"/>
          <w:lang w:val="sr-Latn-ME"/>
        </w:rPr>
        <w:t>bezb</w:t>
      </w:r>
      <w:r w:rsidR="00705D60" w:rsidRPr="00C01AE6">
        <w:rPr>
          <w:sz w:val="22"/>
          <w:szCs w:val="22"/>
          <w:u w:val="single"/>
          <w:lang w:val="sr-Latn-ME"/>
        </w:rPr>
        <w:t>j</w:t>
      </w:r>
      <w:r w:rsidRPr="00C01AE6">
        <w:rPr>
          <w:sz w:val="22"/>
          <w:szCs w:val="22"/>
          <w:u w:val="single"/>
          <w:lang w:val="sr-Latn-ME"/>
        </w:rPr>
        <w:t>ednosnog</w:t>
      </w:r>
      <w:proofErr w:type="spellEnd"/>
      <w:r w:rsidRPr="00C01AE6">
        <w:rPr>
          <w:sz w:val="22"/>
          <w:szCs w:val="22"/>
          <w:u w:val="single"/>
          <w:lang w:val="sr-Latn-ME"/>
        </w:rPr>
        <w:t xml:space="preserve"> profila</w:t>
      </w:r>
    </w:p>
    <w:p w14:paraId="7ADD396F" w14:textId="77777777" w:rsidR="00D901C1" w:rsidRPr="00C01AE6" w:rsidRDefault="00D901C1" w:rsidP="00655C9D">
      <w:pPr>
        <w:widowControl w:val="0"/>
        <w:autoSpaceDE w:val="0"/>
        <w:autoSpaceDN w:val="0"/>
        <w:jc w:val="both"/>
        <w:rPr>
          <w:sz w:val="22"/>
          <w:szCs w:val="22"/>
          <w:lang w:val="sr-Latn-ME"/>
        </w:rPr>
      </w:pPr>
    </w:p>
    <w:p w14:paraId="13F143AC" w14:textId="2305C3B4" w:rsidR="00D901C1" w:rsidRPr="00C01AE6" w:rsidRDefault="00D901C1" w:rsidP="00655C9D">
      <w:pPr>
        <w:widowControl w:val="0"/>
        <w:autoSpaceDE w:val="0"/>
        <w:autoSpaceDN w:val="0"/>
        <w:spacing w:line="247" w:lineRule="auto"/>
        <w:jc w:val="both"/>
        <w:rPr>
          <w:sz w:val="22"/>
          <w:szCs w:val="22"/>
          <w:lang w:val="sr-Latn-ME"/>
        </w:rPr>
      </w:pPr>
      <w:proofErr w:type="spellStart"/>
      <w:r w:rsidRPr="00C01AE6">
        <w:rPr>
          <w:sz w:val="22"/>
          <w:szCs w:val="22"/>
          <w:lang w:val="sr-Latn-ME"/>
        </w:rPr>
        <w:t>Suportivni</w:t>
      </w:r>
      <w:proofErr w:type="spellEnd"/>
      <w:r w:rsidRPr="00C01AE6">
        <w:rPr>
          <w:sz w:val="22"/>
          <w:szCs w:val="22"/>
          <w:lang w:val="sr-Latn-ME"/>
        </w:rPr>
        <w:t xml:space="preserve"> podaci o </w:t>
      </w:r>
      <w:r w:rsidR="00BA210B" w:rsidRPr="00C01AE6">
        <w:rPr>
          <w:sz w:val="22"/>
          <w:szCs w:val="22"/>
          <w:lang w:val="sr-Latn-ME"/>
        </w:rPr>
        <w:t>bezbjednost</w:t>
      </w:r>
      <w:r w:rsidRPr="00C01AE6">
        <w:rPr>
          <w:sz w:val="22"/>
          <w:szCs w:val="22"/>
          <w:lang w:val="sr-Latn-ME"/>
        </w:rPr>
        <w:t xml:space="preserve">i odražavaju izloženost kod 112 pacijenata sa </w:t>
      </w:r>
      <w:proofErr w:type="spellStart"/>
      <w:r w:rsidRPr="00C01AE6">
        <w:rPr>
          <w:sz w:val="22"/>
          <w:szCs w:val="22"/>
          <w:lang w:val="sr-Latn-ME"/>
        </w:rPr>
        <w:t>hipofosfatazijom</w:t>
      </w:r>
      <w:proofErr w:type="spellEnd"/>
      <w:r w:rsidRPr="00C01AE6">
        <w:rPr>
          <w:sz w:val="22"/>
          <w:szCs w:val="22"/>
          <w:lang w:val="sr-Latn-ME"/>
        </w:rPr>
        <w:t xml:space="preserve"> </w:t>
      </w:r>
      <w:proofErr w:type="spellStart"/>
      <w:r w:rsidRPr="00C01AE6">
        <w:rPr>
          <w:sz w:val="22"/>
          <w:szCs w:val="22"/>
          <w:lang w:val="sr-Latn-ME"/>
        </w:rPr>
        <w:t>perinatalnog</w:t>
      </w:r>
      <w:proofErr w:type="spellEnd"/>
      <w:r w:rsidRPr="00C01AE6">
        <w:rPr>
          <w:sz w:val="22"/>
          <w:szCs w:val="22"/>
          <w:lang w:val="sr-Latn-ME"/>
        </w:rPr>
        <w:t xml:space="preserve">/infantilnog (n = 89), </w:t>
      </w:r>
      <w:proofErr w:type="spellStart"/>
      <w:r w:rsidRPr="00C01AE6">
        <w:rPr>
          <w:sz w:val="22"/>
          <w:szCs w:val="22"/>
          <w:lang w:val="sr-Latn-ME"/>
        </w:rPr>
        <w:t>juvenilnog</w:t>
      </w:r>
      <w:proofErr w:type="spellEnd"/>
      <w:r w:rsidRPr="00C01AE6">
        <w:rPr>
          <w:sz w:val="22"/>
          <w:szCs w:val="22"/>
          <w:lang w:val="sr-Latn-ME"/>
        </w:rPr>
        <w:t xml:space="preserve"> početka (n = 22) i početka u odraslom dobu (n = 1) (uzrast pri uključivanju bio je od 1 dana do 66,5 godina) </w:t>
      </w:r>
      <w:r w:rsidR="00613845" w:rsidRPr="00C01AE6">
        <w:rPr>
          <w:sz w:val="22"/>
          <w:szCs w:val="22"/>
          <w:lang w:val="sr-Latn-ME"/>
        </w:rPr>
        <w:t>liječenih</w:t>
      </w:r>
      <w:r w:rsidRPr="00C01AE6">
        <w:rPr>
          <w:sz w:val="22"/>
          <w:szCs w:val="22"/>
          <w:lang w:val="sr-Latn-ME"/>
        </w:rPr>
        <w:t xml:space="preserve"> </w:t>
      </w:r>
      <w:proofErr w:type="spellStart"/>
      <w:r w:rsidRPr="00C01AE6">
        <w:rPr>
          <w:sz w:val="22"/>
          <w:szCs w:val="22"/>
          <w:lang w:val="sr-Latn-ME"/>
        </w:rPr>
        <w:t>asfotazom</w:t>
      </w:r>
      <w:proofErr w:type="spellEnd"/>
      <w:r w:rsidRPr="00C01AE6">
        <w:rPr>
          <w:sz w:val="22"/>
          <w:szCs w:val="22"/>
          <w:lang w:val="sr-Latn-ME"/>
        </w:rPr>
        <w:t xml:space="preserve"> alfa, uz trajanje </w:t>
      </w:r>
      <w:r w:rsidR="00BA210B" w:rsidRPr="00C01AE6">
        <w:rPr>
          <w:sz w:val="22"/>
          <w:szCs w:val="22"/>
          <w:lang w:val="sr-Latn-ME"/>
        </w:rPr>
        <w:t>liječenj</w:t>
      </w:r>
      <w:r w:rsidRPr="00C01AE6">
        <w:rPr>
          <w:sz w:val="22"/>
          <w:szCs w:val="22"/>
          <w:lang w:val="sr-Latn-ME"/>
        </w:rPr>
        <w:t>a u rasponu od 1 dana do 391,9 ned</w:t>
      </w:r>
      <w:r w:rsidR="00AB58A3" w:rsidRPr="00C01AE6">
        <w:rPr>
          <w:sz w:val="22"/>
          <w:szCs w:val="22"/>
          <w:lang w:val="sr-Latn-ME"/>
        </w:rPr>
        <w:t>j</w:t>
      </w:r>
      <w:r w:rsidRPr="00C01AE6">
        <w:rPr>
          <w:sz w:val="22"/>
          <w:szCs w:val="22"/>
          <w:lang w:val="sr-Latn-ME"/>
        </w:rPr>
        <w:t xml:space="preserve">elja [7,5 godina]). Najčešće </w:t>
      </w:r>
      <w:r w:rsidR="00042305" w:rsidRPr="00C01AE6">
        <w:rPr>
          <w:sz w:val="22"/>
          <w:szCs w:val="22"/>
          <w:lang w:val="sr-Latn-ME"/>
        </w:rPr>
        <w:t xml:space="preserve">zabilježene </w:t>
      </w:r>
      <w:r w:rsidRPr="00C01AE6">
        <w:rPr>
          <w:sz w:val="22"/>
          <w:szCs w:val="22"/>
          <w:lang w:val="sr-Latn-ME"/>
        </w:rPr>
        <w:t xml:space="preserve">neželjene reakcije bile su reakcije na </w:t>
      </w:r>
      <w:r w:rsidR="00613845" w:rsidRPr="00C01AE6">
        <w:rPr>
          <w:sz w:val="22"/>
          <w:szCs w:val="22"/>
          <w:lang w:val="sr-Latn-ME"/>
        </w:rPr>
        <w:t>mjestu</w:t>
      </w:r>
      <w:r w:rsidRPr="00C01AE6">
        <w:rPr>
          <w:sz w:val="22"/>
          <w:szCs w:val="22"/>
          <w:lang w:val="sr-Latn-ME"/>
        </w:rPr>
        <w:t xml:space="preserve"> </w:t>
      </w:r>
      <w:r w:rsidR="00BA210B" w:rsidRPr="00C01AE6">
        <w:rPr>
          <w:sz w:val="22"/>
          <w:szCs w:val="22"/>
          <w:lang w:val="sr-Latn-ME"/>
        </w:rPr>
        <w:t>primjen</w:t>
      </w:r>
      <w:r w:rsidRPr="00C01AE6">
        <w:rPr>
          <w:sz w:val="22"/>
          <w:szCs w:val="22"/>
          <w:lang w:val="sr-Latn-ME"/>
        </w:rPr>
        <w:t xml:space="preserve">e injekcije (74%). Prijavljeno je nekoliko slučajeva </w:t>
      </w:r>
      <w:proofErr w:type="spellStart"/>
      <w:r w:rsidRPr="00C01AE6">
        <w:rPr>
          <w:sz w:val="22"/>
          <w:szCs w:val="22"/>
          <w:lang w:val="sr-Latn-ME"/>
        </w:rPr>
        <w:t>anafilaktoidne</w:t>
      </w:r>
      <w:proofErr w:type="spellEnd"/>
      <w:r w:rsidRPr="00C01AE6">
        <w:rPr>
          <w:sz w:val="22"/>
          <w:szCs w:val="22"/>
          <w:lang w:val="sr-Latn-ME"/>
        </w:rPr>
        <w:t xml:space="preserve"> reakcije/reakcije </w:t>
      </w:r>
      <w:r w:rsidR="00613845" w:rsidRPr="00C01AE6">
        <w:rPr>
          <w:sz w:val="22"/>
          <w:szCs w:val="22"/>
          <w:lang w:val="sr-Latn-ME"/>
        </w:rPr>
        <w:t>preosjetljivost</w:t>
      </w:r>
      <w:r w:rsidRPr="00C01AE6">
        <w:rPr>
          <w:sz w:val="22"/>
          <w:szCs w:val="22"/>
          <w:lang w:val="sr-Latn-ME"/>
        </w:rPr>
        <w:t>i</w:t>
      </w:r>
      <w:r w:rsidR="00AB58A3" w:rsidRPr="00C01AE6">
        <w:rPr>
          <w:sz w:val="22"/>
          <w:szCs w:val="22"/>
          <w:lang w:val="sr-Latn-ME"/>
        </w:rPr>
        <w:t>.</w:t>
      </w:r>
    </w:p>
    <w:p w14:paraId="29BDEA23" w14:textId="77777777" w:rsidR="00D901C1" w:rsidRPr="00C01AE6" w:rsidRDefault="00D901C1" w:rsidP="00655C9D">
      <w:pPr>
        <w:widowControl w:val="0"/>
        <w:autoSpaceDE w:val="0"/>
        <w:autoSpaceDN w:val="0"/>
        <w:jc w:val="both"/>
        <w:rPr>
          <w:sz w:val="22"/>
          <w:szCs w:val="22"/>
          <w:lang w:val="sr-Latn-ME"/>
        </w:rPr>
      </w:pPr>
    </w:p>
    <w:p w14:paraId="75CC1395" w14:textId="77777777" w:rsidR="00D901C1" w:rsidRPr="00C01AE6" w:rsidRDefault="00D901C1" w:rsidP="00655C9D">
      <w:pPr>
        <w:widowControl w:val="0"/>
        <w:autoSpaceDE w:val="0"/>
        <w:autoSpaceDN w:val="0"/>
        <w:jc w:val="both"/>
        <w:rPr>
          <w:sz w:val="22"/>
          <w:szCs w:val="22"/>
          <w:lang w:val="sr-Latn-ME"/>
        </w:rPr>
      </w:pPr>
      <w:r w:rsidRPr="00C01AE6">
        <w:rPr>
          <w:sz w:val="22"/>
          <w:szCs w:val="22"/>
          <w:u w:val="single"/>
          <w:lang w:val="sr-Latn-ME"/>
        </w:rPr>
        <w:t>Tabelarni prikaz neželjenih reakcija</w:t>
      </w:r>
    </w:p>
    <w:p w14:paraId="31183749" w14:textId="77777777" w:rsidR="00D901C1" w:rsidRPr="00C01AE6" w:rsidRDefault="00D901C1" w:rsidP="00655C9D">
      <w:pPr>
        <w:widowControl w:val="0"/>
        <w:autoSpaceDE w:val="0"/>
        <w:autoSpaceDN w:val="0"/>
        <w:jc w:val="both"/>
        <w:rPr>
          <w:sz w:val="22"/>
          <w:szCs w:val="22"/>
          <w:lang w:val="sr-Latn-ME"/>
        </w:rPr>
      </w:pPr>
    </w:p>
    <w:p w14:paraId="090DC49D" w14:textId="3666DE35" w:rsidR="00D901C1" w:rsidRPr="00C01AE6" w:rsidRDefault="00D901C1" w:rsidP="00655C9D">
      <w:pPr>
        <w:widowControl w:val="0"/>
        <w:autoSpaceDE w:val="0"/>
        <w:autoSpaceDN w:val="0"/>
        <w:spacing w:line="247" w:lineRule="auto"/>
        <w:jc w:val="both"/>
        <w:rPr>
          <w:sz w:val="22"/>
          <w:szCs w:val="22"/>
          <w:lang w:val="sr-Latn-ME"/>
        </w:rPr>
      </w:pPr>
      <w:r w:rsidRPr="00C01AE6">
        <w:rPr>
          <w:sz w:val="22"/>
          <w:szCs w:val="22"/>
          <w:lang w:val="sr-Latn-ME"/>
        </w:rPr>
        <w:t xml:space="preserve">Neželjene reakcije sa </w:t>
      </w:r>
      <w:proofErr w:type="spellStart"/>
      <w:r w:rsidRPr="00C01AE6">
        <w:rPr>
          <w:sz w:val="22"/>
          <w:szCs w:val="22"/>
          <w:lang w:val="sr-Latn-ME"/>
        </w:rPr>
        <w:t>asfotazom</w:t>
      </w:r>
      <w:proofErr w:type="spellEnd"/>
      <w:r w:rsidRPr="00C01AE6">
        <w:rPr>
          <w:sz w:val="22"/>
          <w:szCs w:val="22"/>
          <w:lang w:val="sr-Latn-ME"/>
        </w:rPr>
        <w:t xml:space="preserve"> alfa navedene su po klasi sistema organa i poželjnom terminu uz </w:t>
      </w:r>
      <w:r w:rsidR="00BA210B" w:rsidRPr="00C01AE6">
        <w:rPr>
          <w:sz w:val="22"/>
          <w:szCs w:val="22"/>
          <w:lang w:val="sr-Latn-ME"/>
        </w:rPr>
        <w:t>primjen</w:t>
      </w:r>
      <w:r w:rsidRPr="00C01AE6">
        <w:rPr>
          <w:sz w:val="22"/>
          <w:szCs w:val="22"/>
          <w:lang w:val="sr-Latn-ME"/>
        </w:rPr>
        <w:t xml:space="preserve">u konvencije učestalosti </w:t>
      </w:r>
      <w:proofErr w:type="spellStart"/>
      <w:r w:rsidRPr="00C01AE6">
        <w:rPr>
          <w:sz w:val="22"/>
          <w:szCs w:val="22"/>
          <w:lang w:val="sr-Latn-ME"/>
        </w:rPr>
        <w:t>MedDRA</w:t>
      </w:r>
      <w:proofErr w:type="spellEnd"/>
      <w:r w:rsidRPr="00C01AE6">
        <w:rPr>
          <w:sz w:val="22"/>
          <w:szCs w:val="22"/>
          <w:lang w:val="sr-Latn-ME"/>
        </w:rPr>
        <w:t xml:space="preserve"> veoma često (</w:t>
      </w:r>
      <w:r w:rsidR="00AB58A3" w:rsidRPr="00C01AE6">
        <w:rPr>
          <w:sz w:val="22"/>
          <w:szCs w:val="22"/>
          <w:lang w:val="sr-Latn-ME"/>
        </w:rPr>
        <w:t>≥</w:t>
      </w:r>
      <w:r w:rsidRPr="00C01AE6">
        <w:rPr>
          <w:sz w:val="22"/>
          <w:szCs w:val="22"/>
          <w:lang w:val="sr-Latn-ME"/>
        </w:rPr>
        <w:t>1/10), često (</w:t>
      </w:r>
      <w:r w:rsidR="00AB58A3" w:rsidRPr="00C01AE6">
        <w:rPr>
          <w:sz w:val="22"/>
          <w:szCs w:val="22"/>
          <w:lang w:val="sr-Latn-ME"/>
        </w:rPr>
        <w:t>≥</w:t>
      </w:r>
      <w:r w:rsidRPr="00C01AE6">
        <w:rPr>
          <w:sz w:val="22"/>
          <w:szCs w:val="22"/>
          <w:lang w:val="sr-Latn-ME"/>
        </w:rPr>
        <w:t xml:space="preserve">1/100 </w:t>
      </w:r>
      <w:r w:rsidR="00AB58A3" w:rsidRPr="00C01AE6">
        <w:rPr>
          <w:sz w:val="22"/>
          <w:szCs w:val="22"/>
          <w:lang w:val="sr-Latn-ME"/>
        </w:rPr>
        <w:t>i</w:t>
      </w:r>
      <w:r w:rsidRPr="00C01AE6">
        <w:rPr>
          <w:sz w:val="22"/>
          <w:szCs w:val="22"/>
          <w:lang w:val="sr-Latn-ME"/>
        </w:rPr>
        <w:t xml:space="preserve"> &lt; 1/10), po</w:t>
      </w:r>
      <w:r w:rsidR="005B26E6" w:rsidRPr="00C01AE6">
        <w:rPr>
          <w:sz w:val="22"/>
          <w:szCs w:val="22"/>
          <w:lang w:val="sr-Latn-ME"/>
        </w:rPr>
        <w:t>vreme</w:t>
      </w:r>
      <w:r w:rsidRPr="00C01AE6">
        <w:rPr>
          <w:sz w:val="22"/>
          <w:szCs w:val="22"/>
          <w:lang w:val="sr-Latn-ME"/>
        </w:rPr>
        <w:t>no (</w:t>
      </w:r>
      <w:r w:rsidR="00AB58A3" w:rsidRPr="00C01AE6">
        <w:rPr>
          <w:sz w:val="22"/>
          <w:szCs w:val="22"/>
          <w:lang w:val="sr-Latn-ME"/>
        </w:rPr>
        <w:t>≥</w:t>
      </w:r>
      <w:r w:rsidRPr="00C01AE6">
        <w:rPr>
          <w:sz w:val="22"/>
          <w:szCs w:val="22"/>
          <w:lang w:val="sr-Latn-ME"/>
        </w:rPr>
        <w:t xml:space="preserve">1/1000 do &lt; 1/100), </w:t>
      </w:r>
      <w:r w:rsidR="00705D60" w:rsidRPr="00C01AE6">
        <w:rPr>
          <w:sz w:val="22"/>
          <w:szCs w:val="22"/>
          <w:lang w:val="sr-Latn-ME"/>
        </w:rPr>
        <w:t>rijetko</w:t>
      </w:r>
      <w:r w:rsidRPr="00C01AE6">
        <w:rPr>
          <w:sz w:val="22"/>
          <w:szCs w:val="22"/>
          <w:lang w:val="sr-Latn-ME"/>
        </w:rPr>
        <w:t xml:space="preserve"> (≥ 1/10</w:t>
      </w:r>
      <w:r w:rsidR="00AB58A3" w:rsidRPr="00C01AE6">
        <w:rPr>
          <w:sz w:val="22"/>
          <w:szCs w:val="22"/>
          <w:lang w:val="sr-Latn-ME"/>
        </w:rPr>
        <w:t xml:space="preserve"> </w:t>
      </w:r>
      <w:r w:rsidRPr="00C01AE6">
        <w:rPr>
          <w:sz w:val="22"/>
          <w:szCs w:val="22"/>
          <w:lang w:val="sr-Latn-ME"/>
        </w:rPr>
        <w:t>000 do &lt; 1/1</w:t>
      </w:r>
      <w:r w:rsidR="00AB58A3" w:rsidRPr="00C01AE6">
        <w:rPr>
          <w:sz w:val="22"/>
          <w:szCs w:val="22"/>
          <w:lang w:val="sr-Latn-ME"/>
        </w:rPr>
        <w:t xml:space="preserve"> </w:t>
      </w:r>
      <w:r w:rsidRPr="00C01AE6">
        <w:rPr>
          <w:sz w:val="22"/>
          <w:szCs w:val="22"/>
          <w:lang w:val="sr-Latn-ME"/>
        </w:rPr>
        <w:t xml:space="preserve">000), veoma </w:t>
      </w:r>
      <w:r w:rsidR="00705D60" w:rsidRPr="00C01AE6">
        <w:rPr>
          <w:sz w:val="22"/>
          <w:szCs w:val="22"/>
          <w:lang w:val="sr-Latn-ME"/>
        </w:rPr>
        <w:t>rijetko</w:t>
      </w:r>
      <w:r w:rsidRPr="00C01AE6">
        <w:rPr>
          <w:sz w:val="22"/>
          <w:szCs w:val="22"/>
          <w:lang w:val="sr-Latn-ME"/>
        </w:rPr>
        <w:t xml:space="preserve"> (&lt; 1/10</w:t>
      </w:r>
      <w:r w:rsidR="00AB58A3" w:rsidRPr="00C01AE6">
        <w:rPr>
          <w:sz w:val="22"/>
          <w:szCs w:val="22"/>
          <w:lang w:val="sr-Latn-ME"/>
        </w:rPr>
        <w:t xml:space="preserve"> </w:t>
      </w:r>
      <w:r w:rsidRPr="00C01AE6">
        <w:rPr>
          <w:sz w:val="22"/>
          <w:szCs w:val="22"/>
          <w:lang w:val="sr-Latn-ME"/>
        </w:rPr>
        <w:t>000) i nije poznato (ne može se proc</w:t>
      </w:r>
      <w:r w:rsidR="003869D3" w:rsidRPr="00C01AE6">
        <w:rPr>
          <w:sz w:val="22"/>
          <w:szCs w:val="22"/>
          <w:lang w:val="sr-Latn-ME"/>
        </w:rPr>
        <w:t>ij</w:t>
      </w:r>
      <w:r w:rsidRPr="00C01AE6">
        <w:rPr>
          <w:sz w:val="22"/>
          <w:szCs w:val="22"/>
          <w:lang w:val="sr-Latn-ME"/>
        </w:rPr>
        <w:t xml:space="preserve">eniti na osnovu postojećih podataka). U svakoj grupi učestalosti, neželjene reakcije predstavljene su po </w:t>
      </w:r>
      <w:proofErr w:type="spellStart"/>
      <w:r w:rsidRPr="00C01AE6">
        <w:rPr>
          <w:sz w:val="22"/>
          <w:szCs w:val="22"/>
          <w:lang w:val="sr-Latn-ME"/>
        </w:rPr>
        <w:t>opadajućoj</w:t>
      </w:r>
      <w:proofErr w:type="spellEnd"/>
      <w:r w:rsidRPr="00C01AE6">
        <w:rPr>
          <w:sz w:val="22"/>
          <w:szCs w:val="22"/>
          <w:lang w:val="sr-Latn-ME"/>
        </w:rPr>
        <w:t xml:space="preserve"> ozbiljnosti.</w:t>
      </w:r>
    </w:p>
    <w:p w14:paraId="703C6D62" w14:textId="77777777" w:rsidR="00D901C1" w:rsidRPr="00C01AE6" w:rsidRDefault="00D901C1" w:rsidP="00655C9D">
      <w:pPr>
        <w:widowControl w:val="0"/>
        <w:autoSpaceDE w:val="0"/>
        <w:autoSpaceDN w:val="0"/>
        <w:jc w:val="both"/>
        <w:rPr>
          <w:sz w:val="22"/>
          <w:szCs w:val="22"/>
          <w:lang w:val="sr-Latn-ME"/>
        </w:rPr>
      </w:pPr>
    </w:p>
    <w:p w14:paraId="593D4B33" w14:textId="454EBAC7" w:rsidR="00D901C1" w:rsidRPr="00C01AE6" w:rsidRDefault="00D901C1" w:rsidP="00655C9D">
      <w:pPr>
        <w:widowControl w:val="0"/>
        <w:autoSpaceDE w:val="0"/>
        <w:autoSpaceDN w:val="0"/>
        <w:ind w:left="132"/>
        <w:jc w:val="center"/>
        <w:outlineLvl w:val="0"/>
        <w:rPr>
          <w:b/>
          <w:bCs/>
          <w:sz w:val="22"/>
          <w:szCs w:val="22"/>
          <w:lang w:val="sr-Latn-ME"/>
        </w:rPr>
      </w:pPr>
      <w:r w:rsidRPr="00C01AE6">
        <w:rPr>
          <w:b/>
          <w:bCs/>
          <w:sz w:val="22"/>
          <w:szCs w:val="22"/>
          <w:lang w:val="sr-Latn-ME"/>
        </w:rPr>
        <w:t xml:space="preserve">Tabela 1: Neželjene reakcije </w:t>
      </w:r>
      <w:r w:rsidR="003869D3" w:rsidRPr="00C01AE6">
        <w:rPr>
          <w:b/>
          <w:bCs/>
          <w:sz w:val="22"/>
          <w:szCs w:val="22"/>
          <w:lang w:val="sr-Latn-ME"/>
        </w:rPr>
        <w:t xml:space="preserve">zabilježene </w:t>
      </w:r>
      <w:r w:rsidRPr="00C01AE6">
        <w:rPr>
          <w:b/>
          <w:bCs/>
          <w:sz w:val="22"/>
          <w:szCs w:val="22"/>
          <w:lang w:val="sr-Latn-ME"/>
        </w:rPr>
        <w:t xml:space="preserve">u kliničkim ispitivanjima kod pacijenata sa </w:t>
      </w:r>
      <w:proofErr w:type="spellStart"/>
      <w:r w:rsidRPr="00C01AE6">
        <w:rPr>
          <w:b/>
          <w:bCs/>
          <w:sz w:val="22"/>
          <w:szCs w:val="22"/>
          <w:lang w:val="sr-Latn-ME"/>
        </w:rPr>
        <w:t>hipofosfatazijom</w:t>
      </w:r>
      <w:proofErr w:type="spellEnd"/>
    </w:p>
    <w:tbl>
      <w:tblPr>
        <w:tblW w:w="0" w:type="auto"/>
        <w:tblInd w:w="29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20"/>
        <w:gridCol w:w="1926"/>
        <w:gridCol w:w="3840"/>
      </w:tblGrid>
      <w:tr w:rsidR="00D901C1" w:rsidRPr="00C01AE6" w14:paraId="4BCEDCE3" w14:textId="77777777" w:rsidTr="002A2FD9">
        <w:trPr>
          <w:trHeight w:val="474"/>
        </w:trPr>
        <w:tc>
          <w:tcPr>
            <w:tcW w:w="2620" w:type="dxa"/>
          </w:tcPr>
          <w:p w14:paraId="1F7AD472" w14:textId="77777777" w:rsidR="00D901C1" w:rsidRPr="00C01AE6" w:rsidRDefault="00D901C1" w:rsidP="00655C9D">
            <w:pPr>
              <w:widowControl w:val="0"/>
              <w:autoSpaceDE w:val="0"/>
              <w:autoSpaceDN w:val="0"/>
              <w:ind w:left="100"/>
              <w:rPr>
                <w:b/>
                <w:sz w:val="22"/>
                <w:szCs w:val="22"/>
                <w:lang w:val="sr-Latn-ME"/>
              </w:rPr>
            </w:pPr>
            <w:r w:rsidRPr="00C01AE6">
              <w:rPr>
                <w:b/>
                <w:bCs/>
                <w:sz w:val="22"/>
                <w:szCs w:val="22"/>
                <w:lang w:val="sr-Latn-ME"/>
              </w:rPr>
              <w:t>Klasa sistema organa</w:t>
            </w:r>
          </w:p>
        </w:tc>
        <w:tc>
          <w:tcPr>
            <w:tcW w:w="1926" w:type="dxa"/>
          </w:tcPr>
          <w:p w14:paraId="4634E8FD" w14:textId="77777777" w:rsidR="00D901C1" w:rsidRPr="00C01AE6" w:rsidRDefault="00D901C1">
            <w:pPr>
              <w:widowControl w:val="0"/>
              <w:autoSpaceDE w:val="0"/>
              <w:autoSpaceDN w:val="0"/>
              <w:spacing w:line="230" w:lineRule="atLeast"/>
              <w:ind w:left="99" w:right="156"/>
              <w:rPr>
                <w:b/>
                <w:sz w:val="22"/>
                <w:szCs w:val="22"/>
                <w:lang w:val="sr-Latn-ME"/>
              </w:rPr>
            </w:pPr>
            <w:r w:rsidRPr="00C01AE6">
              <w:rPr>
                <w:b/>
                <w:bCs/>
                <w:sz w:val="22"/>
                <w:szCs w:val="22"/>
                <w:lang w:val="sr-Latn-ME"/>
              </w:rPr>
              <w:t>Kategorija učestalosti</w:t>
            </w:r>
          </w:p>
        </w:tc>
        <w:tc>
          <w:tcPr>
            <w:tcW w:w="3840" w:type="dxa"/>
          </w:tcPr>
          <w:p w14:paraId="76DB0800" w14:textId="77777777" w:rsidR="00D901C1" w:rsidRPr="00C01AE6" w:rsidRDefault="00D901C1" w:rsidP="00655C9D">
            <w:pPr>
              <w:widowControl w:val="0"/>
              <w:autoSpaceDE w:val="0"/>
              <w:autoSpaceDN w:val="0"/>
              <w:ind w:left="1168"/>
              <w:rPr>
                <w:b/>
                <w:sz w:val="22"/>
                <w:szCs w:val="22"/>
                <w:lang w:val="sr-Latn-ME"/>
              </w:rPr>
            </w:pPr>
            <w:r w:rsidRPr="00C01AE6">
              <w:rPr>
                <w:b/>
                <w:bCs/>
                <w:sz w:val="22"/>
                <w:szCs w:val="22"/>
                <w:lang w:val="sr-Latn-ME"/>
              </w:rPr>
              <w:t>Neželjena reakcija</w:t>
            </w:r>
          </w:p>
        </w:tc>
      </w:tr>
      <w:tr w:rsidR="00D901C1" w:rsidRPr="00C01AE6" w14:paraId="5B4DC46E" w14:textId="77777777" w:rsidTr="002A2FD9">
        <w:trPr>
          <w:trHeight w:val="318"/>
        </w:trPr>
        <w:tc>
          <w:tcPr>
            <w:tcW w:w="2620" w:type="dxa"/>
          </w:tcPr>
          <w:p w14:paraId="59FCD817" w14:textId="77777777" w:rsidR="00D901C1" w:rsidRPr="00C01AE6" w:rsidRDefault="00D901C1" w:rsidP="00655C9D">
            <w:pPr>
              <w:widowControl w:val="0"/>
              <w:autoSpaceDE w:val="0"/>
              <w:autoSpaceDN w:val="0"/>
              <w:ind w:left="100"/>
              <w:rPr>
                <w:sz w:val="22"/>
                <w:szCs w:val="22"/>
                <w:lang w:val="sr-Latn-ME"/>
              </w:rPr>
            </w:pPr>
            <w:r w:rsidRPr="00C01AE6">
              <w:rPr>
                <w:sz w:val="22"/>
                <w:szCs w:val="22"/>
                <w:lang w:val="sr-Latn-ME"/>
              </w:rPr>
              <w:t xml:space="preserve">Infekcije i </w:t>
            </w:r>
            <w:proofErr w:type="spellStart"/>
            <w:r w:rsidRPr="00C01AE6">
              <w:rPr>
                <w:sz w:val="22"/>
                <w:szCs w:val="22"/>
                <w:lang w:val="sr-Latn-ME"/>
              </w:rPr>
              <w:t>infestacije</w:t>
            </w:r>
            <w:proofErr w:type="spellEnd"/>
          </w:p>
        </w:tc>
        <w:tc>
          <w:tcPr>
            <w:tcW w:w="1926" w:type="dxa"/>
          </w:tcPr>
          <w:p w14:paraId="53FACC36" w14:textId="77777777" w:rsidR="00D901C1" w:rsidRPr="00C01AE6" w:rsidRDefault="00D901C1" w:rsidP="00655C9D">
            <w:pPr>
              <w:widowControl w:val="0"/>
              <w:autoSpaceDE w:val="0"/>
              <w:autoSpaceDN w:val="0"/>
              <w:ind w:left="97"/>
              <w:rPr>
                <w:sz w:val="22"/>
                <w:szCs w:val="22"/>
                <w:lang w:val="sr-Latn-ME"/>
              </w:rPr>
            </w:pPr>
            <w:r w:rsidRPr="00C01AE6">
              <w:rPr>
                <w:sz w:val="22"/>
                <w:szCs w:val="22"/>
                <w:lang w:val="sr-Latn-ME"/>
              </w:rPr>
              <w:t>Često</w:t>
            </w:r>
          </w:p>
        </w:tc>
        <w:tc>
          <w:tcPr>
            <w:tcW w:w="3840" w:type="dxa"/>
          </w:tcPr>
          <w:p w14:paraId="577915FF" w14:textId="7A9BE2C7" w:rsidR="00D901C1" w:rsidRPr="00C01AE6" w:rsidRDefault="00D901C1" w:rsidP="00655C9D">
            <w:pPr>
              <w:widowControl w:val="0"/>
              <w:autoSpaceDE w:val="0"/>
              <w:autoSpaceDN w:val="0"/>
              <w:ind w:left="98"/>
              <w:rPr>
                <w:sz w:val="22"/>
                <w:szCs w:val="22"/>
                <w:lang w:val="sr-Latn-ME"/>
              </w:rPr>
            </w:pPr>
            <w:proofErr w:type="spellStart"/>
            <w:r w:rsidRPr="00C01AE6">
              <w:rPr>
                <w:sz w:val="22"/>
                <w:szCs w:val="22"/>
                <w:lang w:val="sr-Latn-ME"/>
              </w:rPr>
              <w:t>Celulitis</w:t>
            </w:r>
            <w:proofErr w:type="spellEnd"/>
            <w:r w:rsidRPr="00C01AE6">
              <w:rPr>
                <w:sz w:val="22"/>
                <w:szCs w:val="22"/>
                <w:lang w:val="sr-Latn-ME"/>
              </w:rPr>
              <w:t xml:space="preserve"> na </w:t>
            </w:r>
            <w:r w:rsidR="00613845" w:rsidRPr="00C01AE6">
              <w:rPr>
                <w:sz w:val="22"/>
                <w:szCs w:val="22"/>
                <w:lang w:val="sr-Latn-ME"/>
              </w:rPr>
              <w:t>mjestu</w:t>
            </w:r>
            <w:r w:rsidRPr="00C01AE6">
              <w:rPr>
                <w:sz w:val="22"/>
                <w:szCs w:val="22"/>
                <w:lang w:val="sr-Latn-ME"/>
              </w:rPr>
              <w:t xml:space="preserve"> </w:t>
            </w:r>
            <w:r w:rsidR="00BA210B" w:rsidRPr="00C01AE6">
              <w:rPr>
                <w:sz w:val="22"/>
                <w:szCs w:val="22"/>
                <w:lang w:val="sr-Latn-ME"/>
              </w:rPr>
              <w:t>primjen</w:t>
            </w:r>
            <w:r w:rsidRPr="00C01AE6">
              <w:rPr>
                <w:sz w:val="22"/>
                <w:szCs w:val="22"/>
                <w:lang w:val="sr-Latn-ME"/>
              </w:rPr>
              <w:t>e injekcije</w:t>
            </w:r>
          </w:p>
        </w:tc>
      </w:tr>
      <w:tr w:rsidR="00D901C1" w:rsidRPr="00C01AE6" w14:paraId="1A9AFA48" w14:textId="77777777" w:rsidTr="002A2FD9">
        <w:trPr>
          <w:trHeight w:val="474"/>
        </w:trPr>
        <w:tc>
          <w:tcPr>
            <w:tcW w:w="2620" w:type="dxa"/>
          </w:tcPr>
          <w:p w14:paraId="5175A646" w14:textId="77777777" w:rsidR="00D901C1" w:rsidRPr="00C01AE6" w:rsidRDefault="00D901C1" w:rsidP="00655C9D">
            <w:pPr>
              <w:widowControl w:val="0"/>
              <w:autoSpaceDE w:val="0"/>
              <w:autoSpaceDN w:val="0"/>
              <w:ind w:left="100"/>
              <w:rPr>
                <w:sz w:val="22"/>
                <w:szCs w:val="22"/>
                <w:lang w:val="sr-Latn-ME"/>
              </w:rPr>
            </w:pPr>
            <w:r w:rsidRPr="00C01AE6">
              <w:rPr>
                <w:sz w:val="22"/>
                <w:szCs w:val="22"/>
                <w:lang w:val="sr-Latn-ME"/>
              </w:rPr>
              <w:t>Poremećaji krvi i limfnog</w:t>
            </w:r>
          </w:p>
          <w:p w14:paraId="29789E01" w14:textId="77777777" w:rsidR="00D901C1" w:rsidRPr="00C01AE6" w:rsidRDefault="00D901C1" w:rsidP="00655C9D">
            <w:pPr>
              <w:widowControl w:val="0"/>
              <w:autoSpaceDE w:val="0"/>
              <w:autoSpaceDN w:val="0"/>
              <w:spacing w:line="215" w:lineRule="exact"/>
              <w:ind w:left="100"/>
              <w:rPr>
                <w:sz w:val="22"/>
                <w:szCs w:val="22"/>
                <w:lang w:val="sr-Latn-ME"/>
              </w:rPr>
            </w:pPr>
            <w:r w:rsidRPr="00C01AE6">
              <w:rPr>
                <w:sz w:val="22"/>
                <w:szCs w:val="22"/>
                <w:lang w:val="sr-Latn-ME"/>
              </w:rPr>
              <w:t>sistema</w:t>
            </w:r>
          </w:p>
        </w:tc>
        <w:tc>
          <w:tcPr>
            <w:tcW w:w="1926" w:type="dxa"/>
          </w:tcPr>
          <w:p w14:paraId="13524649" w14:textId="77777777" w:rsidR="00D901C1" w:rsidRPr="00C01AE6" w:rsidRDefault="00D901C1" w:rsidP="00655C9D">
            <w:pPr>
              <w:widowControl w:val="0"/>
              <w:autoSpaceDE w:val="0"/>
              <w:autoSpaceDN w:val="0"/>
              <w:ind w:left="99"/>
              <w:rPr>
                <w:sz w:val="22"/>
                <w:szCs w:val="22"/>
                <w:lang w:val="sr-Latn-ME"/>
              </w:rPr>
            </w:pPr>
            <w:r w:rsidRPr="00C01AE6">
              <w:rPr>
                <w:sz w:val="22"/>
                <w:szCs w:val="22"/>
                <w:lang w:val="sr-Latn-ME"/>
              </w:rPr>
              <w:t>Često</w:t>
            </w:r>
          </w:p>
        </w:tc>
        <w:tc>
          <w:tcPr>
            <w:tcW w:w="3840" w:type="dxa"/>
          </w:tcPr>
          <w:p w14:paraId="565F21A7" w14:textId="77777777" w:rsidR="00D901C1" w:rsidRPr="00C01AE6" w:rsidRDefault="00D901C1" w:rsidP="00655C9D">
            <w:pPr>
              <w:widowControl w:val="0"/>
              <w:autoSpaceDE w:val="0"/>
              <w:autoSpaceDN w:val="0"/>
              <w:ind w:left="99"/>
              <w:rPr>
                <w:sz w:val="22"/>
                <w:szCs w:val="22"/>
                <w:lang w:val="sr-Latn-ME"/>
              </w:rPr>
            </w:pPr>
            <w:r w:rsidRPr="00C01AE6">
              <w:rPr>
                <w:sz w:val="22"/>
                <w:szCs w:val="22"/>
                <w:lang w:val="sr-Latn-ME"/>
              </w:rPr>
              <w:t>Povećana sklonost ka stvaranju modrica</w:t>
            </w:r>
          </w:p>
        </w:tc>
      </w:tr>
      <w:tr w:rsidR="00D901C1" w:rsidRPr="00C01AE6" w14:paraId="3A658187" w14:textId="77777777" w:rsidTr="002A2FD9">
        <w:trPr>
          <w:trHeight w:val="474"/>
        </w:trPr>
        <w:tc>
          <w:tcPr>
            <w:tcW w:w="2620" w:type="dxa"/>
          </w:tcPr>
          <w:p w14:paraId="4680643D" w14:textId="77777777" w:rsidR="00D901C1" w:rsidRPr="00C01AE6" w:rsidRDefault="00D901C1" w:rsidP="00655C9D">
            <w:pPr>
              <w:widowControl w:val="0"/>
              <w:autoSpaceDE w:val="0"/>
              <w:autoSpaceDN w:val="0"/>
              <w:ind w:left="100"/>
              <w:rPr>
                <w:sz w:val="22"/>
                <w:szCs w:val="22"/>
                <w:lang w:val="sr-Latn-ME"/>
              </w:rPr>
            </w:pPr>
            <w:r w:rsidRPr="00C01AE6">
              <w:rPr>
                <w:sz w:val="22"/>
                <w:szCs w:val="22"/>
                <w:lang w:val="sr-Latn-ME"/>
              </w:rPr>
              <w:t xml:space="preserve">Poremećaji </w:t>
            </w:r>
            <w:proofErr w:type="spellStart"/>
            <w:r w:rsidRPr="00C01AE6">
              <w:rPr>
                <w:sz w:val="22"/>
                <w:szCs w:val="22"/>
                <w:lang w:val="sr-Latn-ME"/>
              </w:rPr>
              <w:t>imunskog</w:t>
            </w:r>
            <w:proofErr w:type="spellEnd"/>
            <w:r w:rsidRPr="00C01AE6">
              <w:rPr>
                <w:sz w:val="22"/>
                <w:szCs w:val="22"/>
                <w:lang w:val="sr-Latn-ME"/>
              </w:rPr>
              <w:t xml:space="preserve"> sistema</w:t>
            </w:r>
          </w:p>
        </w:tc>
        <w:tc>
          <w:tcPr>
            <w:tcW w:w="1926" w:type="dxa"/>
          </w:tcPr>
          <w:p w14:paraId="469247F5" w14:textId="77777777" w:rsidR="00D901C1" w:rsidRPr="00C01AE6" w:rsidRDefault="00D901C1" w:rsidP="00655C9D">
            <w:pPr>
              <w:widowControl w:val="0"/>
              <w:autoSpaceDE w:val="0"/>
              <w:autoSpaceDN w:val="0"/>
              <w:ind w:left="97"/>
              <w:rPr>
                <w:sz w:val="22"/>
                <w:szCs w:val="22"/>
                <w:lang w:val="sr-Latn-ME"/>
              </w:rPr>
            </w:pPr>
            <w:r w:rsidRPr="00C01AE6">
              <w:rPr>
                <w:sz w:val="22"/>
                <w:szCs w:val="22"/>
                <w:lang w:val="sr-Latn-ME"/>
              </w:rPr>
              <w:t>Često</w:t>
            </w:r>
          </w:p>
        </w:tc>
        <w:tc>
          <w:tcPr>
            <w:tcW w:w="3840" w:type="dxa"/>
          </w:tcPr>
          <w:p w14:paraId="1AC95202" w14:textId="77777777" w:rsidR="003869D3" w:rsidRPr="00C01AE6" w:rsidRDefault="00D901C1">
            <w:pPr>
              <w:widowControl w:val="0"/>
              <w:autoSpaceDE w:val="0"/>
              <w:autoSpaceDN w:val="0"/>
              <w:spacing w:line="230" w:lineRule="atLeast"/>
              <w:ind w:left="100" w:right="348"/>
              <w:rPr>
                <w:sz w:val="22"/>
                <w:szCs w:val="22"/>
                <w:lang w:val="sr-Latn-ME"/>
              </w:rPr>
            </w:pPr>
            <w:proofErr w:type="spellStart"/>
            <w:r w:rsidRPr="00C01AE6">
              <w:rPr>
                <w:sz w:val="22"/>
                <w:szCs w:val="22"/>
                <w:lang w:val="sr-Latn-ME"/>
              </w:rPr>
              <w:t>Anafilaktičke</w:t>
            </w:r>
            <w:proofErr w:type="spellEnd"/>
            <w:r w:rsidRPr="00C01AE6">
              <w:rPr>
                <w:sz w:val="22"/>
                <w:szCs w:val="22"/>
                <w:lang w:val="sr-Latn-ME"/>
              </w:rPr>
              <w:t xml:space="preserve"> reakcije </w:t>
            </w:r>
          </w:p>
          <w:p w14:paraId="74DF6D00" w14:textId="78603B48" w:rsidR="00D901C1" w:rsidRPr="00C01AE6" w:rsidRDefault="00613845">
            <w:pPr>
              <w:widowControl w:val="0"/>
              <w:autoSpaceDE w:val="0"/>
              <w:autoSpaceDN w:val="0"/>
              <w:spacing w:line="230" w:lineRule="atLeast"/>
              <w:ind w:left="100" w:right="348"/>
              <w:rPr>
                <w:sz w:val="22"/>
                <w:szCs w:val="22"/>
                <w:lang w:val="sr-Latn-ME"/>
              </w:rPr>
            </w:pPr>
            <w:proofErr w:type="spellStart"/>
            <w:r w:rsidRPr="00C01AE6">
              <w:rPr>
                <w:sz w:val="22"/>
                <w:szCs w:val="22"/>
                <w:lang w:val="sr-Latn-ME"/>
              </w:rPr>
              <w:t>Preosjetljivost</w:t>
            </w:r>
            <w:hyperlink r:id="rId8" w:tgtFrame="_blank" w:history="1">
              <w:r w:rsidR="003869D3" w:rsidRPr="00C01AE6">
                <w:rPr>
                  <w:rStyle w:val="Hyperlink"/>
                  <w:b/>
                  <w:bCs/>
                  <w:sz w:val="22"/>
                  <w:szCs w:val="22"/>
                  <w:vertAlign w:val="superscript"/>
                  <w:lang w:val="sr-Latn-ME"/>
                </w:rPr>
                <w:t>2</w:t>
              </w:r>
              <w:proofErr w:type="spellEnd"/>
            </w:hyperlink>
          </w:p>
        </w:tc>
      </w:tr>
      <w:tr w:rsidR="00D901C1" w:rsidRPr="00C01AE6" w14:paraId="232CC5C1" w14:textId="77777777" w:rsidTr="002A2FD9">
        <w:trPr>
          <w:trHeight w:val="474"/>
        </w:trPr>
        <w:tc>
          <w:tcPr>
            <w:tcW w:w="2620" w:type="dxa"/>
          </w:tcPr>
          <w:p w14:paraId="6326DA81" w14:textId="77777777" w:rsidR="00D901C1" w:rsidRPr="00C01AE6" w:rsidRDefault="00D901C1">
            <w:pPr>
              <w:widowControl w:val="0"/>
              <w:autoSpaceDE w:val="0"/>
              <w:autoSpaceDN w:val="0"/>
              <w:spacing w:line="230" w:lineRule="atLeast"/>
              <w:ind w:left="100" w:right="400"/>
              <w:rPr>
                <w:sz w:val="22"/>
                <w:szCs w:val="22"/>
                <w:lang w:val="sr-Latn-ME"/>
              </w:rPr>
            </w:pPr>
            <w:r w:rsidRPr="00C01AE6">
              <w:rPr>
                <w:sz w:val="22"/>
                <w:szCs w:val="22"/>
                <w:lang w:val="sr-Latn-ME"/>
              </w:rPr>
              <w:t>Poremećaji metabolizma i ishrane</w:t>
            </w:r>
          </w:p>
        </w:tc>
        <w:tc>
          <w:tcPr>
            <w:tcW w:w="1926" w:type="dxa"/>
          </w:tcPr>
          <w:p w14:paraId="6499651F" w14:textId="77777777" w:rsidR="00D901C1" w:rsidRPr="00C01AE6" w:rsidRDefault="00D901C1" w:rsidP="00655C9D">
            <w:pPr>
              <w:widowControl w:val="0"/>
              <w:autoSpaceDE w:val="0"/>
              <w:autoSpaceDN w:val="0"/>
              <w:ind w:left="99"/>
              <w:rPr>
                <w:sz w:val="22"/>
                <w:szCs w:val="22"/>
                <w:lang w:val="sr-Latn-ME"/>
              </w:rPr>
            </w:pPr>
            <w:r w:rsidRPr="00C01AE6">
              <w:rPr>
                <w:sz w:val="22"/>
                <w:szCs w:val="22"/>
                <w:lang w:val="sr-Latn-ME"/>
              </w:rPr>
              <w:t>Često</w:t>
            </w:r>
          </w:p>
        </w:tc>
        <w:tc>
          <w:tcPr>
            <w:tcW w:w="3840" w:type="dxa"/>
          </w:tcPr>
          <w:p w14:paraId="6BC9436E" w14:textId="0CF58794" w:rsidR="00D901C1" w:rsidRPr="00C01AE6" w:rsidRDefault="00D901C1" w:rsidP="00655C9D">
            <w:pPr>
              <w:widowControl w:val="0"/>
              <w:autoSpaceDE w:val="0"/>
              <w:autoSpaceDN w:val="0"/>
              <w:ind w:left="99"/>
              <w:rPr>
                <w:sz w:val="22"/>
                <w:szCs w:val="22"/>
                <w:lang w:val="sr-Latn-ME"/>
              </w:rPr>
            </w:pPr>
            <w:proofErr w:type="spellStart"/>
            <w:r w:rsidRPr="00C01AE6">
              <w:rPr>
                <w:sz w:val="22"/>
                <w:szCs w:val="22"/>
                <w:lang w:val="sr-Latn-ME"/>
              </w:rPr>
              <w:t>Hipokalc</w:t>
            </w:r>
            <w:r w:rsidR="008D0318" w:rsidRPr="00C01AE6">
              <w:rPr>
                <w:sz w:val="22"/>
                <w:szCs w:val="22"/>
                <w:lang w:val="sr-Latn-ME"/>
              </w:rPr>
              <w:t>ij</w:t>
            </w:r>
            <w:r w:rsidRPr="00C01AE6">
              <w:rPr>
                <w:sz w:val="22"/>
                <w:szCs w:val="22"/>
                <w:lang w:val="sr-Latn-ME"/>
              </w:rPr>
              <w:t>emija</w:t>
            </w:r>
            <w:proofErr w:type="spellEnd"/>
          </w:p>
        </w:tc>
      </w:tr>
      <w:tr w:rsidR="00D901C1" w:rsidRPr="00C01AE6" w14:paraId="28AC02F0" w14:textId="77777777" w:rsidTr="002A2FD9">
        <w:trPr>
          <w:trHeight w:val="314"/>
        </w:trPr>
        <w:tc>
          <w:tcPr>
            <w:tcW w:w="2620" w:type="dxa"/>
          </w:tcPr>
          <w:p w14:paraId="07AB3B15" w14:textId="77777777" w:rsidR="00D901C1" w:rsidRPr="00C01AE6" w:rsidRDefault="00D901C1" w:rsidP="00655C9D">
            <w:pPr>
              <w:widowControl w:val="0"/>
              <w:autoSpaceDE w:val="0"/>
              <w:autoSpaceDN w:val="0"/>
              <w:ind w:left="100"/>
              <w:rPr>
                <w:sz w:val="22"/>
                <w:szCs w:val="22"/>
                <w:lang w:val="sr-Latn-ME"/>
              </w:rPr>
            </w:pPr>
            <w:r w:rsidRPr="00C01AE6">
              <w:rPr>
                <w:sz w:val="22"/>
                <w:szCs w:val="22"/>
                <w:lang w:val="sr-Latn-ME"/>
              </w:rPr>
              <w:t>Poremećaji nervnog sistema</w:t>
            </w:r>
          </w:p>
        </w:tc>
        <w:tc>
          <w:tcPr>
            <w:tcW w:w="1926" w:type="dxa"/>
          </w:tcPr>
          <w:p w14:paraId="4F06506C" w14:textId="77777777" w:rsidR="00D901C1" w:rsidRPr="00C01AE6" w:rsidRDefault="00D901C1" w:rsidP="00655C9D">
            <w:pPr>
              <w:widowControl w:val="0"/>
              <w:autoSpaceDE w:val="0"/>
              <w:autoSpaceDN w:val="0"/>
              <w:ind w:left="95"/>
              <w:rPr>
                <w:sz w:val="22"/>
                <w:szCs w:val="22"/>
                <w:lang w:val="sr-Latn-ME"/>
              </w:rPr>
            </w:pPr>
            <w:r w:rsidRPr="00C01AE6">
              <w:rPr>
                <w:sz w:val="22"/>
                <w:szCs w:val="22"/>
                <w:lang w:val="sr-Latn-ME"/>
              </w:rPr>
              <w:t>Veoma često</w:t>
            </w:r>
          </w:p>
        </w:tc>
        <w:tc>
          <w:tcPr>
            <w:tcW w:w="3840" w:type="dxa"/>
          </w:tcPr>
          <w:p w14:paraId="40481720" w14:textId="77777777" w:rsidR="00D901C1" w:rsidRPr="00C01AE6" w:rsidRDefault="00D901C1" w:rsidP="00655C9D">
            <w:pPr>
              <w:widowControl w:val="0"/>
              <w:autoSpaceDE w:val="0"/>
              <w:autoSpaceDN w:val="0"/>
              <w:ind w:left="97"/>
              <w:rPr>
                <w:sz w:val="22"/>
                <w:szCs w:val="22"/>
                <w:lang w:val="sr-Latn-ME"/>
              </w:rPr>
            </w:pPr>
            <w:r w:rsidRPr="00C01AE6">
              <w:rPr>
                <w:sz w:val="22"/>
                <w:szCs w:val="22"/>
                <w:lang w:val="sr-Latn-ME"/>
              </w:rPr>
              <w:t>Glavobolja</w:t>
            </w:r>
          </w:p>
        </w:tc>
      </w:tr>
      <w:tr w:rsidR="00D901C1" w:rsidRPr="00C01AE6" w14:paraId="560C5407" w14:textId="77777777" w:rsidTr="002A2FD9">
        <w:trPr>
          <w:trHeight w:val="316"/>
        </w:trPr>
        <w:tc>
          <w:tcPr>
            <w:tcW w:w="2620" w:type="dxa"/>
          </w:tcPr>
          <w:p w14:paraId="69F982A2" w14:textId="77777777" w:rsidR="00D901C1" w:rsidRPr="00C01AE6" w:rsidRDefault="00D901C1" w:rsidP="00655C9D">
            <w:pPr>
              <w:widowControl w:val="0"/>
              <w:autoSpaceDE w:val="0"/>
              <w:autoSpaceDN w:val="0"/>
              <w:ind w:left="100"/>
              <w:rPr>
                <w:sz w:val="22"/>
                <w:szCs w:val="22"/>
                <w:lang w:val="sr-Latn-ME"/>
              </w:rPr>
            </w:pPr>
            <w:r w:rsidRPr="00C01AE6">
              <w:rPr>
                <w:sz w:val="22"/>
                <w:szCs w:val="22"/>
                <w:lang w:val="sr-Latn-ME"/>
              </w:rPr>
              <w:t>Vaskularni poremećaji</w:t>
            </w:r>
          </w:p>
        </w:tc>
        <w:tc>
          <w:tcPr>
            <w:tcW w:w="1926" w:type="dxa"/>
          </w:tcPr>
          <w:p w14:paraId="24156BB4" w14:textId="77777777" w:rsidR="00D901C1" w:rsidRPr="00C01AE6" w:rsidRDefault="00D901C1" w:rsidP="00655C9D">
            <w:pPr>
              <w:widowControl w:val="0"/>
              <w:autoSpaceDE w:val="0"/>
              <w:autoSpaceDN w:val="0"/>
              <w:ind w:left="98"/>
              <w:rPr>
                <w:sz w:val="22"/>
                <w:szCs w:val="22"/>
                <w:lang w:val="sr-Latn-ME"/>
              </w:rPr>
            </w:pPr>
            <w:r w:rsidRPr="00C01AE6">
              <w:rPr>
                <w:sz w:val="22"/>
                <w:szCs w:val="22"/>
                <w:lang w:val="sr-Latn-ME"/>
              </w:rPr>
              <w:t>Često</w:t>
            </w:r>
          </w:p>
        </w:tc>
        <w:tc>
          <w:tcPr>
            <w:tcW w:w="3840" w:type="dxa"/>
          </w:tcPr>
          <w:p w14:paraId="64D18C9D" w14:textId="77777777" w:rsidR="00D901C1" w:rsidRPr="00C01AE6" w:rsidRDefault="00D901C1" w:rsidP="00655C9D">
            <w:pPr>
              <w:widowControl w:val="0"/>
              <w:autoSpaceDE w:val="0"/>
              <w:autoSpaceDN w:val="0"/>
              <w:ind w:left="98"/>
              <w:rPr>
                <w:sz w:val="22"/>
                <w:szCs w:val="22"/>
                <w:lang w:val="sr-Latn-ME"/>
              </w:rPr>
            </w:pPr>
            <w:r w:rsidRPr="00C01AE6">
              <w:rPr>
                <w:sz w:val="22"/>
                <w:szCs w:val="22"/>
                <w:lang w:val="sr-Latn-ME"/>
              </w:rPr>
              <w:t>Navale vrućine</w:t>
            </w:r>
          </w:p>
        </w:tc>
      </w:tr>
      <w:tr w:rsidR="00D901C1" w:rsidRPr="00C01AE6" w14:paraId="27139279" w14:textId="77777777" w:rsidTr="002A2FD9">
        <w:trPr>
          <w:trHeight w:val="474"/>
        </w:trPr>
        <w:tc>
          <w:tcPr>
            <w:tcW w:w="2620" w:type="dxa"/>
          </w:tcPr>
          <w:p w14:paraId="32006716" w14:textId="77777777" w:rsidR="00D901C1" w:rsidRPr="00C01AE6" w:rsidRDefault="00D901C1" w:rsidP="00655C9D">
            <w:pPr>
              <w:widowControl w:val="0"/>
              <w:autoSpaceDE w:val="0"/>
              <w:autoSpaceDN w:val="0"/>
              <w:ind w:left="100"/>
              <w:rPr>
                <w:sz w:val="22"/>
                <w:szCs w:val="22"/>
                <w:lang w:val="sr-Latn-ME"/>
              </w:rPr>
            </w:pPr>
            <w:r w:rsidRPr="00C01AE6">
              <w:rPr>
                <w:sz w:val="22"/>
                <w:szCs w:val="22"/>
                <w:lang w:val="sr-Latn-ME"/>
              </w:rPr>
              <w:t>Gastrointestinalni poremećaji</w:t>
            </w:r>
          </w:p>
        </w:tc>
        <w:tc>
          <w:tcPr>
            <w:tcW w:w="1926" w:type="dxa"/>
          </w:tcPr>
          <w:p w14:paraId="547F88F6" w14:textId="77777777" w:rsidR="00D901C1" w:rsidRPr="00C01AE6" w:rsidRDefault="00D901C1" w:rsidP="00655C9D">
            <w:pPr>
              <w:widowControl w:val="0"/>
              <w:autoSpaceDE w:val="0"/>
              <w:autoSpaceDN w:val="0"/>
              <w:ind w:left="98"/>
              <w:rPr>
                <w:sz w:val="22"/>
                <w:szCs w:val="22"/>
                <w:lang w:val="sr-Latn-ME"/>
              </w:rPr>
            </w:pPr>
            <w:r w:rsidRPr="00C01AE6">
              <w:rPr>
                <w:sz w:val="22"/>
                <w:szCs w:val="22"/>
                <w:lang w:val="sr-Latn-ME"/>
              </w:rPr>
              <w:t>Često</w:t>
            </w:r>
          </w:p>
        </w:tc>
        <w:tc>
          <w:tcPr>
            <w:tcW w:w="3840" w:type="dxa"/>
          </w:tcPr>
          <w:p w14:paraId="3BB63AA1" w14:textId="77777777" w:rsidR="00D901C1" w:rsidRPr="00C01AE6" w:rsidRDefault="00D901C1" w:rsidP="00655C9D">
            <w:pPr>
              <w:widowControl w:val="0"/>
              <w:autoSpaceDE w:val="0"/>
              <w:autoSpaceDN w:val="0"/>
              <w:ind w:left="98"/>
              <w:rPr>
                <w:sz w:val="22"/>
                <w:szCs w:val="22"/>
                <w:lang w:val="sr-Latn-ME"/>
              </w:rPr>
            </w:pPr>
            <w:r w:rsidRPr="00C01AE6">
              <w:rPr>
                <w:sz w:val="22"/>
                <w:szCs w:val="22"/>
                <w:lang w:val="sr-Latn-ME"/>
              </w:rPr>
              <w:t xml:space="preserve">Oralna </w:t>
            </w:r>
            <w:proofErr w:type="spellStart"/>
            <w:r w:rsidRPr="00C01AE6">
              <w:rPr>
                <w:sz w:val="22"/>
                <w:szCs w:val="22"/>
                <w:lang w:val="sr-Latn-ME"/>
              </w:rPr>
              <w:t>hipoestezija</w:t>
            </w:r>
            <w:proofErr w:type="spellEnd"/>
          </w:p>
          <w:p w14:paraId="58F41697" w14:textId="77777777" w:rsidR="00D901C1" w:rsidRPr="00C01AE6" w:rsidRDefault="00D901C1" w:rsidP="00655C9D">
            <w:pPr>
              <w:widowControl w:val="0"/>
              <w:autoSpaceDE w:val="0"/>
              <w:autoSpaceDN w:val="0"/>
              <w:spacing w:line="215" w:lineRule="exact"/>
              <w:ind w:left="100"/>
              <w:rPr>
                <w:sz w:val="22"/>
                <w:szCs w:val="22"/>
                <w:lang w:val="sr-Latn-ME"/>
              </w:rPr>
            </w:pPr>
            <w:r w:rsidRPr="00C01AE6">
              <w:rPr>
                <w:sz w:val="22"/>
                <w:szCs w:val="22"/>
                <w:lang w:val="sr-Latn-ME"/>
              </w:rPr>
              <w:t>Mučnina</w:t>
            </w:r>
          </w:p>
        </w:tc>
      </w:tr>
      <w:tr w:rsidR="00D901C1" w:rsidRPr="00C01AE6" w14:paraId="642ADCF3" w14:textId="77777777" w:rsidTr="002A2FD9">
        <w:trPr>
          <w:trHeight w:val="234"/>
        </w:trPr>
        <w:tc>
          <w:tcPr>
            <w:tcW w:w="2620" w:type="dxa"/>
            <w:vMerge w:val="restart"/>
          </w:tcPr>
          <w:p w14:paraId="34E6E9D9" w14:textId="77777777" w:rsidR="00D901C1" w:rsidRPr="00C01AE6" w:rsidRDefault="00D901C1" w:rsidP="00655C9D">
            <w:pPr>
              <w:widowControl w:val="0"/>
              <w:autoSpaceDE w:val="0"/>
              <w:autoSpaceDN w:val="0"/>
              <w:spacing w:line="244" w:lineRule="auto"/>
              <w:ind w:left="100" w:right="610"/>
              <w:rPr>
                <w:sz w:val="22"/>
                <w:szCs w:val="22"/>
                <w:lang w:val="sr-Latn-ME"/>
              </w:rPr>
            </w:pPr>
            <w:r w:rsidRPr="00C01AE6">
              <w:rPr>
                <w:sz w:val="22"/>
                <w:szCs w:val="22"/>
                <w:lang w:val="sr-Latn-ME"/>
              </w:rPr>
              <w:t>Poremećaji kože i potkožnog tkiva</w:t>
            </w:r>
          </w:p>
        </w:tc>
        <w:tc>
          <w:tcPr>
            <w:tcW w:w="1926" w:type="dxa"/>
          </w:tcPr>
          <w:p w14:paraId="19A60506" w14:textId="77777777" w:rsidR="00D901C1" w:rsidRPr="00C01AE6" w:rsidRDefault="00D901C1" w:rsidP="00655C9D">
            <w:pPr>
              <w:widowControl w:val="0"/>
              <w:autoSpaceDE w:val="0"/>
              <w:autoSpaceDN w:val="0"/>
              <w:spacing w:line="210" w:lineRule="exact"/>
              <w:ind w:left="99"/>
              <w:rPr>
                <w:sz w:val="22"/>
                <w:szCs w:val="22"/>
                <w:lang w:val="sr-Latn-ME"/>
              </w:rPr>
            </w:pPr>
            <w:r w:rsidRPr="00C01AE6">
              <w:rPr>
                <w:sz w:val="22"/>
                <w:szCs w:val="22"/>
                <w:lang w:val="sr-Latn-ME"/>
              </w:rPr>
              <w:t>Veoma često</w:t>
            </w:r>
          </w:p>
        </w:tc>
        <w:tc>
          <w:tcPr>
            <w:tcW w:w="3840" w:type="dxa"/>
          </w:tcPr>
          <w:p w14:paraId="111B6CD5" w14:textId="77777777" w:rsidR="00D901C1" w:rsidRPr="00C01AE6" w:rsidRDefault="00D901C1" w:rsidP="00655C9D">
            <w:pPr>
              <w:widowControl w:val="0"/>
              <w:autoSpaceDE w:val="0"/>
              <w:autoSpaceDN w:val="0"/>
              <w:spacing w:line="210" w:lineRule="exact"/>
              <w:ind w:left="100"/>
              <w:rPr>
                <w:sz w:val="22"/>
                <w:szCs w:val="22"/>
                <w:lang w:val="sr-Latn-ME"/>
              </w:rPr>
            </w:pPr>
            <w:proofErr w:type="spellStart"/>
            <w:r w:rsidRPr="00C01AE6">
              <w:rPr>
                <w:sz w:val="22"/>
                <w:szCs w:val="22"/>
                <w:lang w:val="sr-Latn-ME"/>
              </w:rPr>
              <w:t>Eritem</w:t>
            </w:r>
            <w:proofErr w:type="spellEnd"/>
          </w:p>
        </w:tc>
      </w:tr>
      <w:tr w:rsidR="00D901C1" w:rsidRPr="00C01AE6" w14:paraId="58CAB721" w14:textId="77777777" w:rsidTr="002A2FD9">
        <w:trPr>
          <w:trHeight w:val="983"/>
        </w:trPr>
        <w:tc>
          <w:tcPr>
            <w:tcW w:w="2620" w:type="dxa"/>
            <w:vMerge/>
            <w:tcBorders>
              <w:top w:val="nil"/>
            </w:tcBorders>
          </w:tcPr>
          <w:p w14:paraId="5B6B519C" w14:textId="77777777" w:rsidR="00D901C1" w:rsidRPr="00C01AE6" w:rsidRDefault="00D901C1">
            <w:pPr>
              <w:widowControl w:val="0"/>
              <w:autoSpaceDE w:val="0"/>
              <w:autoSpaceDN w:val="0"/>
              <w:rPr>
                <w:sz w:val="22"/>
                <w:szCs w:val="22"/>
                <w:lang w:val="sr-Latn-ME"/>
              </w:rPr>
            </w:pPr>
          </w:p>
        </w:tc>
        <w:tc>
          <w:tcPr>
            <w:tcW w:w="1926" w:type="dxa"/>
          </w:tcPr>
          <w:p w14:paraId="3F26A6C3" w14:textId="77777777" w:rsidR="00D901C1" w:rsidRPr="00C01AE6" w:rsidRDefault="00D901C1" w:rsidP="00655C9D">
            <w:pPr>
              <w:widowControl w:val="0"/>
              <w:autoSpaceDE w:val="0"/>
              <w:autoSpaceDN w:val="0"/>
              <w:ind w:left="99"/>
              <w:rPr>
                <w:sz w:val="22"/>
                <w:szCs w:val="22"/>
                <w:lang w:val="sr-Latn-ME"/>
              </w:rPr>
            </w:pPr>
            <w:r w:rsidRPr="00C01AE6">
              <w:rPr>
                <w:sz w:val="22"/>
                <w:szCs w:val="22"/>
                <w:lang w:val="sr-Latn-ME"/>
              </w:rPr>
              <w:t>Često</w:t>
            </w:r>
          </w:p>
        </w:tc>
        <w:tc>
          <w:tcPr>
            <w:tcW w:w="3840" w:type="dxa"/>
          </w:tcPr>
          <w:p w14:paraId="48D85F8E" w14:textId="56581BE3" w:rsidR="00D901C1" w:rsidRPr="00C01AE6" w:rsidRDefault="00D901C1" w:rsidP="00655C9D">
            <w:pPr>
              <w:widowControl w:val="0"/>
              <w:autoSpaceDE w:val="0"/>
              <w:autoSpaceDN w:val="0"/>
              <w:ind w:left="99"/>
              <w:rPr>
                <w:sz w:val="22"/>
                <w:szCs w:val="22"/>
                <w:lang w:val="sr-Latn-ME"/>
              </w:rPr>
            </w:pPr>
            <w:r w:rsidRPr="00C01AE6">
              <w:rPr>
                <w:sz w:val="22"/>
                <w:szCs w:val="22"/>
                <w:lang w:val="sr-Latn-ME"/>
              </w:rPr>
              <w:t>Prom</w:t>
            </w:r>
            <w:r w:rsidR="003869D3" w:rsidRPr="00C01AE6">
              <w:rPr>
                <w:sz w:val="22"/>
                <w:szCs w:val="22"/>
                <w:lang w:val="sr-Latn-ME"/>
              </w:rPr>
              <w:t>j</w:t>
            </w:r>
            <w:r w:rsidRPr="00C01AE6">
              <w:rPr>
                <w:sz w:val="22"/>
                <w:szCs w:val="22"/>
                <w:lang w:val="sr-Latn-ME"/>
              </w:rPr>
              <w:t>ena boje kože</w:t>
            </w:r>
          </w:p>
          <w:p w14:paraId="2FD6A6D3" w14:textId="77777777" w:rsidR="00D901C1" w:rsidRPr="00C01AE6" w:rsidRDefault="00D901C1" w:rsidP="00655C9D">
            <w:pPr>
              <w:widowControl w:val="0"/>
              <w:autoSpaceDE w:val="0"/>
              <w:autoSpaceDN w:val="0"/>
              <w:ind w:left="100"/>
              <w:rPr>
                <w:sz w:val="22"/>
                <w:szCs w:val="22"/>
                <w:lang w:val="sr-Latn-ME"/>
              </w:rPr>
            </w:pPr>
            <w:r w:rsidRPr="00C01AE6">
              <w:rPr>
                <w:sz w:val="22"/>
                <w:szCs w:val="22"/>
                <w:lang w:val="sr-Latn-ME"/>
              </w:rPr>
              <w:t>Poremećaj kože (rastegnuta koža)</w:t>
            </w:r>
          </w:p>
        </w:tc>
      </w:tr>
      <w:tr w:rsidR="00D901C1" w:rsidRPr="00C01AE6" w14:paraId="43B096EC" w14:textId="77777777" w:rsidTr="002A2FD9">
        <w:trPr>
          <w:trHeight w:val="397"/>
        </w:trPr>
        <w:tc>
          <w:tcPr>
            <w:tcW w:w="2620" w:type="dxa"/>
            <w:vMerge w:val="restart"/>
          </w:tcPr>
          <w:p w14:paraId="73E05BF4" w14:textId="77777777" w:rsidR="00D901C1" w:rsidRPr="00C01AE6" w:rsidRDefault="00D901C1" w:rsidP="00655C9D">
            <w:pPr>
              <w:widowControl w:val="0"/>
              <w:autoSpaceDE w:val="0"/>
              <w:autoSpaceDN w:val="0"/>
              <w:spacing w:line="244" w:lineRule="auto"/>
              <w:ind w:left="100" w:right="265"/>
              <w:rPr>
                <w:sz w:val="22"/>
                <w:szCs w:val="22"/>
                <w:lang w:val="sr-Latn-ME"/>
              </w:rPr>
            </w:pPr>
            <w:r w:rsidRPr="00C01AE6">
              <w:rPr>
                <w:sz w:val="22"/>
                <w:szCs w:val="22"/>
                <w:lang w:val="sr-Latn-ME"/>
              </w:rPr>
              <w:t>Poremećaji mišićno-koštanog sistema i vezivnog tkiva</w:t>
            </w:r>
          </w:p>
        </w:tc>
        <w:tc>
          <w:tcPr>
            <w:tcW w:w="1926" w:type="dxa"/>
          </w:tcPr>
          <w:p w14:paraId="0134A039" w14:textId="77777777" w:rsidR="00D901C1" w:rsidRPr="00C01AE6" w:rsidRDefault="00D901C1" w:rsidP="00655C9D">
            <w:pPr>
              <w:widowControl w:val="0"/>
              <w:autoSpaceDE w:val="0"/>
              <w:autoSpaceDN w:val="0"/>
              <w:ind w:left="99"/>
              <w:rPr>
                <w:sz w:val="22"/>
                <w:szCs w:val="22"/>
                <w:lang w:val="sr-Latn-ME"/>
              </w:rPr>
            </w:pPr>
            <w:r w:rsidRPr="00C01AE6">
              <w:rPr>
                <w:sz w:val="22"/>
                <w:szCs w:val="22"/>
                <w:lang w:val="sr-Latn-ME"/>
              </w:rPr>
              <w:t>Veoma često</w:t>
            </w:r>
          </w:p>
        </w:tc>
        <w:tc>
          <w:tcPr>
            <w:tcW w:w="3840" w:type="dxa"/>
          </w:tcPr>
          <w:p w14:paraId="5AF3527E" w14:textId="77777777" w:rsidR="00D901C1" w:rsidRPr="00C01AE6" w:rsidRDefault="00D901C1" w:rsidP="00655C9D">
            <w:pPr>
              <w:widowControl w:val="0"/>
              <w:autoSpaceDE w:val="0"/>
              <w:autoSpaceDN w:val="0"/>
              <w:ind w:left="99"/>
              <w:rPr>
                <w:sz w:val="22"/>
                <w:szCs w:val="22"/>
                <w:lang w:val="sr-Latn-ME"/>
              </w:rPr>
            </w:pPr>
            <w:r w:rsidRPr="00C01AE6">
              <w:rPr>
                <w:sz w:val="22"/>
                <w:szCs w:val="22"/>
                <w:lang w:val="sr-Latn-ME"/>
              </w:rPr>
              <w:t>Bolovi u ekstremitetima</w:t>
            </w:r>
          </w:p>
        </w:tc>
      </w:tr>
      <w:tr w:rsidR="00D901C1" w:rsidRPr="00C01AE6" w14:paraId="1711D423" w14:textId="77777777" w:rsidTr="002A2FD9">
        <w:trPr>
          <w:trHeight w:val="398"/>
        </w:trPr>
        <w:tc>
          <w:tcPr>
            <w:tcW w:w="2620" w:type="dxa"/>
            <w:vMerge/>
            <w:tcBorders>
              <w:top w:val="nil"/>
            </w:tcBorders>
          </w:tcPr>
          <w:p w14:paraId="689AB74B" w14:textId="77777777" w:rsidR="00D901C1" w:rsidRPr="00C01AE6" w:rsidRDefault="00D901C1">
            <w:pPr>
              <w:widowControl w:val="0"/>
              <w:autoSpaceDE w:val="0"/>
              <w:autoSpaceDN w:val="0"/>
              <w:rPr>
                <w:sz w:val="22"/>
                <w:szCs w:val="22"/>
                <w:lang w:val="sr-Latn-ME"/>
              </w:rPr>
            </w:pPr>
          </w:p>
        </w:tc>
        <w:tc>
          <w:tcPr>
            <w:tcW w:w="1926" w:type="dxa"/>
          </w:tcPr>
          <w:p w14:paraId="1276B71A" w14:textId="77777777" w:rsidR="00D901C1" w:rsidRPr="00C01AE6" w:rsidRDefault="00D901C1" w:rsidP="00655C9D">
            <w:pPr>
              <w:widowControl w:val="0"/>
              <w:autoSpaceDE w:val="0"/>
              <w:autoSpaceDN w:val="0"/>
              <w:ind w:left="99"/>
              <w:rPr>
                <w:sz w:val="22"/>
                <w:szCs w:val="22"/>
                <w:lang w:val="sr-Latn-ME"/>
              </w:rPr>
            </w:pPr>
            <w:r w:rsidRPr="00C01AE6">
              <w:rPr>
                <w:sz w:val="22"/>
                <w:szCs w:val="22"/>
                <w:lang w:val="sr-Latn-ME"/>
              </w:rPr>
              <w:t>Često</w:t>
            </w:r>
          </w:p>
        </w:tc>
        <w:tc>
          <w:tcPr>
            <w:tcW w:w="3840" w:type="dxa"/>
          </w:tcPr>
          <w:p w14:paraId="6F5B27C6" w14:textId="33BCB996" w:rsidR="00D901C1" w:rsidRPr="00C01AE6" w:rsidRDefault="00D901C1" w:rsidP="00655C9D">
            <w:pPr>
              <w:widowControl w:val="0"/>
              <w:autoSpaceDE w:val="0"/>
              <w:autoSpaceDN w:val="0"/>
              <w:ind w:left="99"/>
              <w:rPr>
                <w:sz w:val="22"/>
                <w:szCs w:val="22"/>
                <w:lang w:val="sr-Latn-ME"/>
              </w:rPr>
            </w:pPr>
            <w:proofErr w:type="spellStart"/>
            <w:r w:rsidRPr="00C01AE6">
              <w:rPr>
                <w:sz w:val="22"/>
                <w:szCs w:val="22"/>
                <w:lang w:val="sr-Latn-ME"/>
              </w:rPr>
              <w:t>Mi</w:t>
            </w:r>
            <w:r w:rsidR="003869D3" w:rsidRPr="00C01AE6">
              <w:rPr>
                <w:sz w:val="22"/>
                <w:szCs w:val="22"/>
                <w:lang w:val="sr-Latn-ME"/>
              </w:rPr>
              <w:t>j</w:t>
            </w:r>
            <w:r w:rsidRPr="00C01AE6">
              <w:rPr>
                <w:sz w:val="22"/>
                <w:szCs w:val="22"/>
                <w:lang w:val="sr-Latn-ME"/>
              </w:rPr>
              <w:t>algija</w:t>
            </w:r>
            <w:proofErr w:type="spellEnd"/>
          </w:p>
        </w:tc>
      </w:tr>
      <w:tr w:rsidR="00D901C1" w:rsidRPr="00C01AE6" w14:paraId="42DE48E6" w14:textId="77777777" w:rsidTr="002A2FD9">
        <w:trPr>
          <w:trHeight w:val="398"/>
        </w:trPr>
        <w:tc>
          <w:tcPr>
            <w:tcW w:w="2620" w:type="dxa"/>
          </w:tcPr>
          <w:p w14:paraId="22040A46" w14:textId="77777777" w:rsidR="00D901C1" w:rsidRPr="00C01AE6" w:rsidRDefault="00D901C1" w:rsidP="00655C9D">
            <w:pPr>
              <w:widowControl w:val="0"/>
              <w:autoSpaceDE w:val="0"/>
              <w:autoSpaceDN w:val="0"/>
              <w:ind w:left="100"/>
              <w:rPr>
                <w:sz w:val="22"/>
                <w:szCs w:val="22"/>
                <w:lang w:val="sr-Latn-ME"/>
              </w:rPr>
            </w:pPr>
            <w:r w:rsidRPr="00C01AE6">
              <w:rPr>
                <w:sz w:val="22"/>
                <w:szCs w:val="22"/>
                <w:lang w:val="sr-Latn-ME"/>
              </w:rPr>
              <w:t xml:space="preserve">Poremećaji bubrega i </w:t>
            </w:r>
            <w:proofErr w:type="spellStart"/>
            <w:r w:rsidRPr="00C01AE6">
              <w:rPr>
                <w:sz w:val="22"/>
                <w:szCs w:val="22"/>
                <w:lang w:val="sr-Latn-ME"/>
              </w:rPr>
              <w:t>urinarnog</w:t>
            </w:r>
            <w:proofErr w:type="spellEnd"/>
            <w:r w:rsidRPr="00C01AE6">
              <w:rPr>
                <w:sz w:val="22"/>
                <w:szCs w:val="22"/>
                <w:lang w:val="sr-Latn-ME"/>
              </w:rPr>
              <w:t xml:space="preserve"> sistema</w:t>
            </w:r>
          </w:p>
        </w:tc>
        <w:tc>
          <w:tcPr>
            <w:tcW w:w="1926" w:type="dxa"/>
          </w:tcPr>
          <w:p w14:paraId="100AE4D1" w14:textId="77777777" w:rsidR="00D901C1" w:rsidRPr="00C01AE6" w:rsidRDefault="00D901C1" w:rsidP="00655C9D">
            <w:pPr>
              <w:widowControl w:val="0"/>
              <w:autoSpaceDE w:val="0"/>
              <w:autoSpaceDN w:val="0"/>
              <w:ind w:left="96"/>
              <w:rPr>
                <w:sz w:val="22"/>
                <w:szCs w:val="22"/>
                <w:lang w:val="sr-Latn-ME"/>
              </w:rPr>
            </w:pPr>
            <w:r w:rsidRPr="00C01AE6">
              <w:rPr>
                <w:sz w:val="22"/>
                <w:szCs w:val="22"/>
                <w:lang w:val="sr-Latn-ME"/>
              </w:rPr>
              <w:t>Često</w:t>
            </w:r>
          </w:p>
        </w:tc>
        <w:tc>
          <w:tcPr>
            <w:tcW w:w="3840" w:type="dxa"/>
          </w:tcPr>
          <w:p w14:paraId="0CF8E10C" w14:textId="77777777" w:rsidR="00D901C1" w:rsidRPr="00C01AE6" w:rsidRDefault="00D901C1" w:rsidP="00655C9D">
            <w:pPr>
              <w:widowControl w:val="0"/>
              <w:autoSpaceDE w:val="0"/>
              <w:autoSpaceDN w:val="0"/>
              <w:ind w:left="97"/>
              <w:rPr>
                <w:sz w:val="22"/>
                <w:szCs w:val="22"/>
                <w:lang w:val="sr-Latn-ME"/>
              </w:rPr>
            </w:pPr>
            <w:proofErr w:type="spellStart"/>
            <w:r w:rsidRPr="00C01AE6">
              <w:rPr>
                <w:sz w:val="22"/>
                <w:szCs w:val="22"/>
                <w:lang w:val="sr-Latn-ME"/>
              </w:rPr>
              <w:t>Nefrolitijaza</w:t>
            </w:r>
            <w:proofErr w:type="spellEnd"/>
          </w:p>
        </w:tc>
      </w:tr>
      <w:tr w:rsidR="00D901C1" w:rsidRPr="00C01AE6" w14:paraId="318B830F" w14:textId="77777777" w:rsidTr="002A2FD9">
        <w:trPr>
          <w:trHeight w:val="712"/>
        </w:trPr>
        <w:tc>
          <w:tcPr>
            <w:tcW w:w="2620" w:type="dxa"/>
            <w:vMerge w:val="restart"/>
          </w:tcPr>
          <w:p w14:paraId="649F7A97" w14:textId="4C1021C8" w:rsidR="00D901C1" w:rsidRPr="00C01AE6" w:rsidRDefault="00D901C1" w:rsidP="00655C9D">
            <w:pPr>
              <w:widowControl w:val="0"/>
              <w:autoSpaceDE w:val="0"/>
              <w:autoSpaceDN w:val="0"/>
              <w:spacing w:line="247" w:lineRule="auto"/>
              <w:ind w:left="100" w:right="689"/>
              <w:rPr>
                <w:sz w:val="22"/>
                <w:szCs w:val="22"/>
                <w:lang w:val="sr-Latn-ME"/>
              </w:rPr>
            </w:pPr>
            <w:r w:rsidRPr="00C01AE6">
              <w:rPr>
                <w:sz w:val="22"/>
                <w:szCs w:val="22"/>
                <w:lang w:val="sr-Latn-ME"/>
              </w:rPr>
              <w:lastRenderedPageBreak/>
              <w:t xml:space="preserve">Opšti poremećaji i stanja na </w:t>
            </w:r>
            <w:r w:rsidR="00613845" w:rsidRPr="00C01AE6">
              <w:rPr>
                <w:sz w:val="22"/>
                <w:szCs w:val="22"/>
                <w:lang w:val="sr-Latn-ME"/>
              </w:rPr>
              <w:t>mjestu</w:t>
            </w:r>
            <w:r w:rsidRPr="00C01AE6">
              <w:rPr>
                <w:sz w:val="22"/>
                <w:szCs w:val="22"/>
                <w:lang w:val="sr-Latn-ME"/>
              </w:rPr>
              <w:t xml:space="preserve"> </w:t>
            </w:r>
            <w:r w:rsidR="00BA210B" w:rsidRPr="00C01AE6">
              <w:rPr>
                <w:sz w:val="22"/>
                <w:szCs w:val="22"/>
                <w:lang w:val="sr-Latn-ME"/>
              </w:rPr>
              <w:t>primjen</w:t>
            </w:r>
            <w:r w:rsidRPr="00C01AE6">
              <w:rPr>
                <w:sz w:val="22"/>
                <w:szCs w:val="22"/>
                <w:lang w:val="sr-Latn-ME"/>
              </w:rPr>
              <w:t>e</w:t>
            </w:r>
          </w:p>
        </w:tc>
        <w:tc>
          <w:tcPr>
            <w:tcW w:w="1926" w:type="dxa"/>
          </w:tcPr>
          <w:p w14:paraId="552EE74B" w14:textId="77777777" w:rsidR="00D901C1" w:rsidRPr="00C01AE6" w:rsidRDefault="00D901C1" w:rsidP="00655C9D">
            <w:pPr>
              <w:widowControl w:val="0"/>
              <w:autoSpaceDE w:val="0"/>
              <w:autoSpaceDN w:val="0"/>
              <w:ind w:left="99"/>
              <w:rPr>
                <w:sz w:val="22"/>
                <w:szCs w:val="22"/>
                <w:lang w:val="sr-Latn-ME"/>
              </w:rPr>
            </w:pPr>
            <w:r w:rsidRPr="00C01AE6">
              <w:rPr>
                <w:sz w:val="22"/>
                <w:szCs w:val="22"/>
                <w:lang w:val="sr-Latn-ME"/>
              </w:rPr>
              <w:t>Veoma često</w:t>
            </w:r>
          </w:p>
        </w:tc>
        <w:tc>
          <w:tcPr>
            <w:tcW w:w="3840" w:type="dxa"/>
          </w:tcPr>
          <w:p w14:paraId="036C0C6E" w14:textId="152EA952" w:rsidR="00D901C1" w:rsidRPr="00C01AE6" w:rsidRDefault="00D901C1" w:rsidP="00655C9D">
            <w:pPr>
              <w:widowControl w:val="0"/>
              <w:autoSpaceDE w:val="0"/>
              <w:autoSpaceDN w:val="0"/>
              <w:spacing w:line="247" w:lineRule="auto"/>
              <w:ind w:left="100" w:right="1785" w:hanging="1"/>
              <w:rPr>
                <w:sz w:val="22"/>
                <w:szCs w:val="22"/>
                <w:lang w:val="sr-Latn-ME"/>
              </w:rPr>
            </w:pPr>
            <w:r w:rsidRPr="00C01AE6">
              <w:rPr>
                <w:sz w:val="22"/>
                <w:szCs w:val="22"/>
                <w:lang w:val="sr-Latn-ME"/>
              </w:rPr>
              <w:t xml:space="preserve">Reakcije na </w:t>
            </w:r>
            <w:r w:rsidR="00613845" w:rsidRPr="00C01AE6">
              <w:rPr>
                <w:sz w:val="22"/>
                <w:szCs w:val="22"/>
                <w:lang w:val="sr-Latn-ME"/>
              </w:rPr>
              <w:t>mjestu</w:t>
            </w:r>
            <w:r w:rsidRPr="00C01AE6">
              <w:rPr>
                <w:sz w:val="22"/>
                <w:szCs w:val="22"/>
                <w:lang w:val="sr-Latn-ME"/>
              </w:rPr>
              <w:t xml:space="preserve"> </w:t>
            </w:r>
            <w:r w:rsidR="00BA210B" w:rsidRPr="00C01AE6">
              <w:rPr>
                <w:sz w:val="22"/>
                <w:szCs w:val="22"/>
                <w:lang w:val="sr-Latn-ME"/>
              </w:rPr>
              <w:t>primjen</w:t>
            </w:r>
            <w:r w:rsidRPr="00C01AE6">
              <w:rPr>
                <w:sz w:val="22"/>
                <w:szCs w:val="22"/>
                <w:lang w:val="sr-Latn-ME"/>
              </w:rPr>
              <w:t xml:space="preserve">e </w:t>
            </w:r>
            <w:proofErr w:type="spellStart"/>
            <w:r w:rsidRPr="00C01AE6">
              <w:rPr>
                <w:sz w:val="22"/>
                <w:szCs w:val="22"/>
                <w:lang w:val="sr-Latn-ME"/>
              </w:rPr>
              <w:t>injekcije</w:t>
            </w:r>
            <w:r w:rsidRPr="00C01AE6">
              <w:rPr>
                <w:sz w:val="22"/>
                <w:szCs w:val="22"/>
                <w:vertAlign w:val="superscript"/>
                <w:lang w:val="sr-Latn-ME"/>
              </w:rPr>
              <w:t>1</w:t>
            </w:r>
            <w:proofErr w:type="spellEnd"/>
            <w:r w:rsidRPr="00C01AE6">
              <w:rPr>
                <w:sz w:val="22"/>
                <w:szCs w:val="22"/>
                <w:lang w:val="sr-Latn-ME"/>
              </w:rPr>
              <w:t xml:space="preserve"> </w:t>
            </w:r>
            <w:proofErr w:type="spellStart"/>
            <w:r w:rsidRPr="00C01AE6">
              <w:rPr>
                <w:sz w:val="22"/>
                <w:szCs w:val="22"/>
                <w:lang w:val="sr-Latn-ME"/>
              </w:rPr>
              <w:t>Pireksija</w:t>
            </w:r>
            <w:proofErr w:type="spellEnd"/>
          </w:p>
          <w:p w14:paraId="632585D1" w14:textId="77777777" w:rsidR="00D901C1" w:rsidRPr="00C01AE6" w:rsidRDefault="00D901C1" w:rsidP="00655C9D">
            <w:pPr>
              <w:widowControl w:val="0"/>
              <w:autoSpaceDE w:val="0"/>
              <w:autoSpaceDN w:val="0"/>
              <w:spacing w:line="212" w:lineRule="exact"/>
              <w:ind w:left="100"/>
              <w:rPr>
                <w:sz w:val="22"/>
                <w:szCs w:val="22"/>
                <w:lang w:val="sr-Latn-ME"/>
              </w:rPr>
            </w:pPr>
            <w:r w:rsidRPr="00C01AE6">
              <w:rPr>
                <w:sz w:val="22"/>
                <w:szCs w:val="22"/>
                <w:lang w:val="sr-Latn-ME"/>
              </w:rPr>
              <w:t>Razdražljivost</w:t>
            </w:r>
          </w:p>
        </w:tc>
      </w:tr>
      <w:tr w:rsidR="00D901C1" w:rsidRPr="00C01AE6" w14:paraId="39AEB1B6" w14:textId="77777777" w:rsidTr="002A2FD9">
        <w:trPr>
          <w:trHeight w:val="238"/>
        </w:trPr>
        <w:tc>
          <w:tcPr>
            <w:tcW w:w="2620" w:type="dxa"/>
            <w:vMerge/>
            <w:tcBorders>
              <w:top w:val="nil"/>
            </w:tcBorders>
          </w:tcPr>
          <w:p w14:paraId="502FB203" w14:textId="77777777" w:rsidR="00D901C1" w:rsidRPr="00C01AE6" w:rsidRDefault="00D901C1">
            <w:pPr>
              <w:widowControl w:val="0"/>
              <w:autoSpaceDE w:val="0"/>
              <w:autoSpaceDN w:val="0"/>
              <w:rPr>
                <w:sz w:val="22"/>
                <w:szCs w:val="22"/>
                <w:lang w:val="sr-Latn-ME"/>
              </w:rPr>
            </w:pPr>
          </w:p>
        </w:tc>
        <w:tc>
          <w:tcPr>
            <w:tcW w:w="1926" w:type="dxa"/>
          </w:tcPr>
          <w:p w14:paraId="50CCF594" w14:textId="77777777" w:rsidR="00D901C1" w:rsidRPr="00C01AE6" w:rsidRDefault="00D901C1" w:rsidP="00655C9D">
            <w:pPr>
              <w:widowControl w:val="0"/>
              <w:autoSpaceDE w:val="0"/>
              <w:autoSpaceDN w:val="0"/>
              <w:spacing w:line="213" w:lineRule="exact"/>
              <w:ind w:left="99"/>
              <w:rPr>
                <w:sz w:val="22"/>
                <w:szCs w:val="22"/>
                <w:lang w:val="sr-Latn-ME"/>
              </w:rPr>
            </w:pPr>
            <w:r w:rsidRPr="00C01AE6">
              <w:rPr>
                <w:sz w:val="22"/>
                <w:szCs w:val="22"/>
                <w:lang w:val="sr-Latn-ME"/>
              </w:rPr>
              <w:t>Često</w:t>
            </w:r>
          </w:p>
        </w:tc>
        <w:tc>
          <w:tcPr>
            <w:tcW w:w="3840" w:type="dxa"/>
          </w:tcPr>
          <w:p w14:paraId="61F61C75" w14:textId="77777777" w:rsidR="00D901C1" w:rsidRPr="00C01AE6" w:rsidRDefault="00D901C1" w:rsidP="00655C9D">
            <w:pPr>
              <w:widowControl w:val="0"/>
              <w:autoSpaceDE w:val="0"/>
              <w:autoSpaceDN w:val="0"/>
              <w:spacing w:line="213" w:lineRule="exact"/>
              <w:ind w:left="100"/>
              <w:rPr>
                <w:sz w:val="22"/>
                <w:szCs w:val="22"/>
                <w:lang w:val="sr-Latn-ME"/>
              </w:rPr>
            </w:pPr>
            <w:r w:rsidRPr="00C01AE6">
              <w:rPr>
                <w:sz w:val="22"/>
                <w:szCs w:val="22"/>
                <w:lang w:val="sr-Latn-ME"/>
              </w:rPr>
              <w:t>Drhtavica</w:t>
            </w:r>
          </w:p>
        </w:tc>
      </w:tr>
      <w:tr w:rsidR="00D901C1" w:rsidRPr="00C01AE6" w14:paraId="62ABE294" w14:textId="77777777" w:rsidTr="002A2FD9">
        <w:trPr>
          <w:trHeight w:val="351"/>
        </w:trPr>
        <w:tc>
          <w:tcPr>
            <w:tcW w:w="2620" w:type="dxa"/>
            <w:vMerge w:val="restart"/>
          </w:tcPr>
          <w:p w14:paraId="7DE45A98" w14:textId="77777777" w:rsidR="00D901C1" w:rsidRPr="00C01AE6" w:rsidRDefault="00D901C1" w:rsidP="00655C9D">
            <w:pPr>
              <w:widowControl w:val="0"/>
              <w:autoSpaceDE w:val="0"/>
              <w:autoSpaceDN w:val="0"/>
              <w:spacing w:line="247" w:lineRule="auto"/>
              <w:ind w:left="100" w:right="410"/>
              <w:rPr>
                <w:sz w:val="22"/>
                <w:szCs w:val="22"/>
                <w:lang w:val="sr-Latn-ME"/>
              </w:rPr>
            </w:pPr>
            <w:proofErr w:type="spellStart"/>
            <w:r w:rsidRPr="00C01AE6">
              <w:rPr>
                <w:sz w:val="22"/>
                <w:szCs w:val="22"/>
                <w:lang w:val="sr-Latn-ME"/>
              </w:rPr>
              <w:t>Povreda</w:t>
            </w:r>
            <w:proofErr w:type="spellEnd"/>
            <w:r w:rsidRPr="00C01AE6">
              <w:rPr>
                <w:sz w:val="22"/>
                <w:szCs w:val="22"/>
                <w:lang w:val="sr-Latn-ME"/>
              </w:rPr>
              <w:t>, trovanje i proceduralne komplikacije</w:t>
            </w:r>
          </w:p>
        </w:tc>
        <w:tc>
          <w:tcPr>
            <w:tcW w:w="1926" w:type="dxa"/>
          </w:tcPr>
          <w:p w14:paraId="3C74845C" w14:textId="77777777" w:rsidR="00D901C1" w:rsidRPr="00C01AE6" w:rsidRDefault="00D901C1" w:rsidP="00655C9D">
            <w:pPr>
              <w:widowControl w:val="0"/>
              <w:autoSpaceDE w:val="0"/>
              <w:autoSpaceDN w:val="0"/>
              <w:ind w:left="99"/>
              <w:rPr>
                <w:sz w:val="22"/>
                <w:szCs w:val="22"/>
                <w:lang w:val="sr-Latn-ME"/>
              </w:rPr>
            </w:pPr>
            <w:r w:rsidRPr="00C01AE6">
              <w:rPr>
                <w:sz w:val="22"/>
                <w:szCs w:val="22"/>
                <w:lang w:val="sr-Latn-ME"/>
              </w:rPr>
              <w:t>Veoma često</w:t>
            </w:r>
          </w:p>
        </w:tc>
        <w:tc>
          <w:tcPr>
            <w:tcW w:w="3840" w:type="dxa"/>
          </w:tcPr>
          <w:p w14:paraId="5D06A319" w14:textId="77777777" w:rsidR="00D901C1" w:rsidRPr="00C01AE6" w:rsidRDefault="00D901C1" w:rsidP="00655C9D">
            <w:pPr>
              <w:widowControl w:val="0"/>
              <w:autoSpaceDE w:val="0"/>
              <w:autoSpaceDN w:val="0"/>
              <w:ind w:left="99"/>
              <w:rPr>
                <w:sz w:val="22"/>
                <w:szCs w:val="22"/>
                <w:lang w:val="sr-Latn-ME"/>
              </w:rPr>
            </w:pPr>
            <w:r w:rsidRPr="00C01AE6">
              <w:rPr>
                <w:sz w:val="22"/>
                <w:szCs w:val="22"/>
                <w:lang w:val="sr-Latn-ME"/>
              </w:rPr>
              <w:t>Kontuzija</w:t>
            </w:r>
          </w:p>
        </w:tc>
      </w:tr>
      <w:tr w:rsidR="00D901C1" w:rsidRPr="00C01AE6" w14:paraId="55383CFD" w14:textId="77777777" w:rsidTr="002A2FD9">
        <w:trPr>
          <w:trHeight w:val="350"/>
        </w:trPr>
        <w:tc>
          <w:tcPr>
            <w:tcW w:w="2620" w:type="dxa"/>
            <w:vMerge/>
            <w:tcBorders>
              <w:top w:val="nil"/>
            </w:tcBorders>
          </w:tcPr>
          <w:p w14:paraId="77202233" w14:textId="77777777" w:rsidR="00D901C1" w:rsidRPr="00C01AE6" w:rsidRDefault="00D901C1">
            <w:pPr>
              <w:widowControl w:val="0"/>
              <w:autoSpaceDE w:val="0"/>
              <w:autoSpaceDN w:val="0"/>
              <w:rPr>
                <w:sz w:val="22"/>
                <w:szCs w:val="22"/>
                <w:lang w:val="sr-Latn-ME"/>
              </w:rPr>
            </w:pPr>
          </w:p>
        </w:tc>
        <w:tc>
          <w:tcPr>
            <w:tcW w:w="1926" w:type="dxa"/>
          </w:tcPr>
          <w:p w14:paraId="26CD07F3" w14:textId="77777777" w:rsidR="00D901C1" w:rsidRPr="00C01AE6" w:rsidRDefault="00D901C1" w:rsidP="00655C9D">
            <w:pPr>
              <w:widowControl w:val="0"/>
              <w:autoSpaceDE w:val="0"/>
              <w:autoSpaceDN w:val="0"/>
              <w:ind w:left="99"/>
              <w:rPr>
                <w:sz w:val="22"/>
                <w:szCs w:val="22"/>
                <w:lang w:val="sr-Latn-ME"/>
              </w:rPr>
            </w:pPr>
            <w:r w:rsidRPr="00C01AE6">
              <w:rPr>
                <w:sz w:val="22"/>
                <w:szCs w:val="22"/>
                <w:lang w:val="sr-Latn-ME"/>
              </w:rPr>
              <w:t>Često</w:t>
            </w:r>
          </w:p>
        </w:tc>
        <w:tc>
          <w:tcPr>
            <w:tcW w:w="3840" w:type="dxa"/>
          </w:tcPr>
          <w:p w14:paraId="22B6ADDA" w14:textId="77777777" w:rsidR="00D901C1" w:rsidRPr="00C01AE6" w:rsidRDefault="00D901C1" w:rsidP="00655C9D">
            <w:pPr>
              <w:widowControl w:val="0"/>
              <w:autoSpaceDE w:val="0"/>
              <w:autoSpaceDN w:val="0"/>
              <w:ind w:left="99"/>
              <w:rPr>
                <w:sz w:val="22"/>
                <w:szCs w:val="22"/>
                <w:lang w:val="sr-Latn-ME"/>
              </w:rPr>
            </w:pPr>
            <w:r w:rsidRPr="00C01AE6">
              <w:rPr>
                <w:sz w:val="22"/>
                <w:szCs w:val="22"/>
                <w:lang w:val="sr-Latn-ME"/>
              </w:rPr>
              <w:t>Ožiljak</w:t>
            </w:r>
          </w:p>
        </w:tc>
      </w:tr>
    </w:tbl>
    <w:p w14:paraId="6988A9F9" w14:textId="23676B7A" w:rsidR="00D901C1" w:rsidRPr="00C01AE6" w:rsidRDefault="00D901C1" w:rsidP="00655C9D">
      <w:pPr>
        <w:widowControl w:val="0"/>
        <w:autoSpaceDE w:val="0"/>
        <w:autoSpaceDN w:val="0"/>
        <w:ind w:left="471"/>
        <w:jc w:val="both"/>
        <w:rPr>
          <w:i/>
          <w:sz w:val="22"/>
          <w:szCs w:val="22"/>
          <w:lang w:val="sr-Latn-ME"/>
        </w:rPr>
      </w:pPr>
      <w:r w:rsidRPr="00C01AE6">
        <w:rPr>
          <w:sz w:val="22"/>
          <w:szCs w:val="22"/>
          <w:vertAlign w:val="superscript"/>
          <w:lang w:val="sr-Latn-ME"/>
        </w:rPr>
        <w:t>1-</w:t>
      </w:r>
      <w:r w:rsidRPr="00C01AE6">
        <w:rPr>
          <w:sz w:val="22"/>
          <w:szCs w:val="22"/>
          <w:lang w:val="sr-Latn-ME"/>
        </w:rPr>
        <w:t xml:space="preserve"> </w:t>
      </w:r>
      <w:r w:rsidRPr="00C01AE6">
        <w:rPr>
          <w:i/>
          <w:iCs/>
          <w:sz w:val="22"/>
          <w:szCs w:val="22"/>
          <w:lang w:val="sr-Latn-ME"/>
        </w:rPr>
        <w:t xml:space="preserve">Poželjni termini koji se smatraju reakcijama na </w:t>
      </w:r>
      <w:r w:rsidR="00613845" w:rsidRPr="00C01AE6">
        <w:rPr>
          <w:i/>
          <w:iCs/>
          <w:sz w:val="22"/>
          <w:szCs w:val="22"/>
          <w:lang w:val="sr-Latn-ME"/>
        </w:rPr>
        <w:t>mjestu</w:t>
      </w:r>
      <w:r w:rsidRPr="00C01AE6">
        <w:rPr>
          <w:i/>
          <w:iCs/>
          <w:sz w:val="22"/>
          <w:szCs w:val="22"/>
          <w:lang w:val="sr-Latn-ME"/>
        </w:rPr>
        <w:t xml:space="preserve"> </w:t>
      </w:r>
      <w:r w:rsidR="00BA210B" w:rsidRPr="00C01AE6">
        <w:rPr>
          <w:i/>
          <w:iCs/>
          <w:sz w:val="22"/>
          <w:szCs w:val="22"/>
          <w:lang w:val="sr-Latn-ME"/>
        </w:rPr>
        <w:t>primjen</w:t>
      </w:r>
      <w:r w:rsidRPr="00C01AE6">
        <w:rPr>
          <w:i/>
          <w:iCs/>
          <w:sz w:val="22"/>
          <w:szCs w:val="22"/>
          <w:lang w:val="sr-Latn-ME"/>
        </w:rPr>
        <w:t xml:space="preserve">e injekcije prikazani su u </w:t>
      </w:r>
      <w:r w:rsidR="008D0318" w:rsidRPr="00C01AE6">
        <w:rPr>
          <w:i/>
          <w:iCs/>
          <w:sz w:val="22"/>
          <w:szCs w:val="22"/>
          <w:lang w:val="sr-Latn-ME"/>
        </w:rPr>
        <w:t xml:space="preserve">dijelu </w:t>
      </w:r>
      <w:r w:rsidRPr="00C01AE6">
        <w:rPr>
          <w:i/>
          <w:iCs/>
          <w:sz w:val="22"/>
          <w:szCs w:val="22"/>
          <w:lang w:val="sr-Latn-ME"/>
        </w:rPr>
        <w:t>u nastavku</w:t>
      </w:r>
    </w:p>
    <w:p w14:paraId="0DDC516B" w14:textId="0AD20AEC" w:rsidR="008D0318" w:rsidRPr="00C01AE6" w:rsidRDefault="00D901C1" w:rsidP="00655C9D">
      <w:pPr>
        <w:widowControl w:val="0"/>
        <w:autoSpaceDE w:val="0"/>
        <w:autoSpaceDN w:val="0"/>
        <w:ind w:left="471"/>
        <w:jc w:val="both"/>
        <w:rPr>
          <w:i/>
          <w:iCs/>
          <w:sz w:val="22"/>
          <w:szCs w:val="22"/>
          <w:lang w:val="sr-Latn-ME"/>
        </w:rPr>
      </w:pPr>
      <w:r w:rsidRPr="00C01AE6">
        <w:rPr>
          <w:sz w:val="22"/>
          <w:szCs w:val="22"/>
          <w:vertAlign w:val="superscript"/>
          <w:lang w:val="sr-Latn-ME"/>
        </w:rPr>
        <w:t>2-</w:t>
      </w:r>
      <w:r w:rsidRPr="00C01AE6">
        <w:rPr>
          <w:sz w:val="22"/>
          <w:szCs w:val="22"/>
          <w:lang w:val="sr-Latn-ME"/>
        </w:rPr>
        <w:t xml:space="preserve"> </w:t>
      </w:r>
      <w:r w:rsidRPr="00C01AE6">
        <w:rPr>
          <w:i/>
          <w:iCs/>
          <w:sz w:val="22"/>
          <w:szCs w:val="22"/>
          <w:lang w:val="sr-Latn-ME"/>
        </w:rPr>
        <w:t>Poželjni termini koji se smatraju preos</w:t>
      </w:r>
      <w:r w:rsidR="00705D60" w:rsidRPr="00C01AE6">
        <w:rPr>
          <w:i/>
          <w:iCs/>
          <w:sz w:val="22"/>
          <w:szCs w:val="22"/>
          <w:lang w:val="sr-Latn-ME"/>
        </w:rPr>
        <w:t>j</w:t>
      </w:r>
      <w:r w:rsidRPr="00C01AE6">
        <w:rPr>
          <w:i/>
          <w:iCs/>
          <w:sz w:val="22"/>
          <w:szCs w:val="22"/>
          <w:lang w:val="sr-Latn-ME"/>
        </w:rPr>
        <w:t xml:space="preserve">etljivošću prikazani su u </w:t>
      </w:r>
      <w:r w:rsidR="008D0318" w:rsidRPr="00C01AE6">
        <w:rPr>
          <w:i/>
          <w:iCs/>
          <w:sz w:val="22"/>
          <w:szCs w:val="22"/>
          <w:lang w:val="sr-Latn-ME"/>
        </w:rPr>
        <w:t xml:space="preserve">dijelu </w:t>
      </w:r>
      <w:r w:rsidRPr="00C01AE6">
        <w:rPr>
          <w:i/>
          <w:iCs/>
          <w:sz w:val="22"/>
          <w:szCs w:val="22"/>
          <w:lang w:val="sr-Latn-ME"/>
        </w:rPr>
        <w:t>u nastavku</w:t>
      </w:r>
    </w:p>
    <w:p w14:paraId="48B2F05B" w14:textId="77777777" w:rsidR="00D901C1" w:rsidRPr="00C01AE6" w:rsidRDefault="00D901C1" w:rsidP="00655C9D">
      <w:pPr>
        <w:widowControl w:val="0"/>
        <w:autoSpaceDE w:val="0"/>
        <w:autoSpaceDN w:val="0"/>
        <w:ind w:left="471"/>
        <w:jc w:val="both"/>
        <w:rPr>
          <w:i/>
          <w:sz w:val="22"/>
          <w:szCs w:val="22"/>
          <w:lang w:val="sr-Latn-ME"/>
        </w:rPr>
      </w:pPr>
    </w:p>
    <w:p w14:paraId="754E2F28" w14:textId="36F9B1DD" w:rsidR="008D0318" w:rsidRPr="00C01AE6" w:rsidRDefault="00D901C1" w:rsidP="00655C9D">
      <w:pPr>
        <w:widowControl w:val="0"/>
        <w:autoSpaceDE w:val="0"/>
        <w:autoSpaceDN w:val="0"/>
        <w:jc w:val="both"/>
        <w:rPr>
          <w:sz w:val="22"/>
          <w:szCs w:val="22"/>
          <w:lang w:val="sr-Latn-ME"/>
        </w:rPr>
      </w:pPr>
      <w:r w:rsidRPr="00C01AE6">
        <w:rPr>
          <w:sz w:val="22"/>
          <w:szCs w:val="22"/>
          <w:u w:val="single"/>
          <w:lang w:val="sr-Latn-ME"/>
        </w:rPr>
        <w:t>Opis odabranih neželjenih reakcija</w:t>
      </w:r>
    </w:p>
    <w:p w14:paraId="228E5D99" w14:textId="77777777" w:rsidR="00D901C1" w:rsidRPr="00C01AE6" w:rsidRDefault="00D901C1" w:rsidP="00655C9D">
      <w:pPr>
        <w:widowControl w:val="0"/>
        <w:autoSpaceDE w:val="0"/>
        <w:autoSpaceDN w:val="0"/>
        <w:jc w:val="both"/>
        <w:rPr>
          <w:sz w:val="22"/>
          <w:szCs w:val="22"/>
          <w:lang w:val="sr-Latn-ME"/>
        </w:rPr>
      </w:pPr>
    </w:p>
    <w:p w14:paraId="13B1A350" w14:textId="2429329E" w:rsidR="008D0318" w:rsidRPr="00C01AE6" w:rsidRDefault="00D901C1" w:rsidP="00655C9D">
      <w:pPr>
        <w:widowControl w:val="0"/>
        <w:autoSpaceDE w:val="0"/>
        <w:autoSpaceDN w:val="0"/>
        <w:jc w:val="both"/>
        <w:rPr>
          <w:i/>
          <w:sz w:val="22"/>
          <w:szCs w:val="22"/>
          <w:lang w:val="sr-Latn-ME"/>
        </w:rPr>
      </w:pPr>
      <w:r w:rsidRPr="00C01AE6">
        <w:rPr>
          <w:i/>
          <w:iCs/>
          <w:sz w:val="22"/>
          <w:szCs w:val="22"/>
          <w:u w:val="single"/>
          <w:lang w:val="sr-Latn-ME"/>
        </w:rPr>
        <w:t xml:space="preserve">Reakcije na </w:t>
      </w:r>
      <w:r w:rsidR="00613845" w:rsidRPr="00C01AE6">
        <w:rPr>
          <w:i/>
          <w:iCs/>
          <w:sz w:val="22"/>
          <w:szCs w:val="22"/>
          <w:u w:val="single"/>
          <w:lang w:val="sr-Latn-ME"/>
        </w:rPr>
        <w:t>mjestu</w:t>
      </w:r>
      <w:r w:rsidRPr="00C01AE6">
        <w:rPr>
          <w:i/>
          <w:iCs/>
          <w:sz w:val="22"/>
          <w:szCs w:val="22"/>
          <w:u w:val="single"/>
          <w:lang w:val="sr-Latn-ME"/>
        </w:rPr>
        <w:t xml:space="preserve"> </w:t>
      </w:r>
      <w:r w:rsidR="00BA210B" w:rsidRPr="00C01AE6">
        <w:rPr>
          <w:i/>
          <w:iCs/>
          <w:sz w:val="22"/>
          <w:szCs w:val="22"/>
          <w:u w:val="single"/>
          <w:lang w:val="sr-Latn-ME"/>
        </w:rPr>
        <w:t>primjen</w:t>
      </w:r>
      <w:r w:rsidRPr="00C01AE6">
        <w:rPr>
          <w:i/>
          <w:iCs/>
          <w:sz w:val="22"/>
          <w:szCs w:val="22"/>
          <w:u w:val="single"/>
          <w:lang w:val="sr-Latn-ME"/>
        </w:rPr>
        <w:t>e injekcije</w:t>
      </w:r>
    </w:p>
    <w:p w14:paraId="6413C80E" w14:textId="77777777" w:rsidR="00D901C1" w:rsidRPr="00C01AE6" w:rsidRDefault="00D901C1" w:rsidP="00655C9D">
      <w:pPr>
        <w:widowControl w:val="0"/>
        <w:autoSpaceDE w:val="0"/>
        <w:autoSpaceDN w:val="0"/>
        <w:jc w:val="both"/>
        <w:rPr>
          <w:i/>
          <w:sz w:val="22"/>
          <w:szCs w:val="22"/>
          <w:lang w:val="sr-Latn-ME"/>
        </w:rPr>
      </w:pPr>
    </w:p>
    <w:p w14:paraId="65EEA33D" w14:textId="65774A67" w:rsidR="00D901C1" w:rsidRPr="00C01AE6" w:rsidRDefault="00D901C1" w:rsidP="00655C9D">
      <w:pPr>
        <w:widowControl w:val="0"/>
        <w:autoSpaceDE w:val="0"/>
        <w:autoSpaceDN w:val="0"/>
        <w:spacing w:line="247" w:lineRule="auto"/>
        <w:jc w:val="both"/>
        <w:rPr>
          <w:sz w:val="22"/>
          <w:szCs w:val="22"/>
          <w:lang w:val="sr-Latn-ME"/>
        </w:rPr>
      </w:pPr>
      <w:r w:rsidRPr="00C01AE6">
        <w:rPr>
          <w:sz w:val="22"/>
          <w:szCs w:val="22"/>
          <w:lang w:val="sr-Latn-ME"/>
        </w:rPr>
        <w:t xml:space="preserve">Reakcije na </w:t>
      </w:r>
      <w:r w:rsidR="00613845" w:rsidRPr="00C01AE6">
        <w:rPr>
          <w:sz w:val="22"/>
          <w:szCs w:val="22"/>
          <w:lang w:val="sr-Latn-ME"/>
        </w:rPr>
        <w:t>mjestu</w:t>
      </w:r>
      <w:r w:rsidRPr="00C01AE6">
        <w:rPr>
          <w:sz w:val="22"/>
          <w:szCs w:val="22"/>
          <w:lang w:val="sr-Latn-ME"/>
        </w:rPr>
        <w:t xml:space="preserve"> </w:t>
      </w:r>
      <w:r w:rsidR="00BA210B" w:rsidRPr="00C01AE6">
        <w:rPr>
          <w:sz w:val="22"/>
          <w:szCs w:val="22"/>
          <w:lang w:val="sr-Latn-ME"/>
        </w:rPr>
        <w:t>primjen</w:t>
      </w:r>
      <w:r w:rsidRPr="00C01AE6">
        <w:rPr>
          <w:sz w:val="22"/>
          <w:szCs w:val="22"/>
          <w:lang w:val="sr-Latn-ME"/>
        </w:rPr>
        <w:t xml:space="preserve">e injekcije (uključujući atrofiju, apsces, </w:t>
      </w:r>
      <w:proofErr w:type="spellStart"/>
      <w:r w:rsidRPr="00C01AE6">
        <w:rPr>
          <w:sz w:val="22"/>
          <w:szCs w:val="22"/>
          <w:lang w:val="sr-Latn-ME"/>
        </w:rPr>
        <w:t>eritem</w:t>
      </w:r>
      <w:proofErr w:type="spellEnd"/>
      <w:r w:rsidRPr="00C01AE6">
        <w:rPr>
          <w:sz w:val="22"/>
          <w:szCs w:val="22"/>
          <w:lang w:val="sr-Latn-ME"/>
        </w:rPr>
        <w:t>, prom</w:t>
      </w:r>
      <w:r w:rsidR="00CB006C" w:rsidRPr="00C01AE6">
        <w:rPr>
          <w:sz w:val="22"/>
          <w:szCs w:val="22"/>
          <w:lang w:val="sr-Latn-ME"/>
        </w:rPr>
        <w:t>j</w:t>
      </w:r>
      <w:r w:rsidRPr="00C01AE6">
        <w:rPr>
          <w:sz w:val="22"/>
          <w:szCs w:val="22"/>
          <w:lang w:val="sr-Latn-ME"/>
        </w:rPr>
        <w:t xml:space="preserve">enu boje kože, bol, </w:t>
      </w:r>
      <w:proofErr w:type="spellStart"/>
      <w:r w:rsidRPr="00C01AE6">
        <w:rPr>
          <w:sz w:val="22"/>
          <w:szCs w:val="22"/>
          <w:lang w:val="sr-Latn-ME"/>
        </w:rPr>
        <w:t>pruritus</w:t>
      </w:r>
      <w:proofErr w:type="spellEnd"/>
      <w:r w:rsidRPr="00C01AE6">
        <w:rPr>
          <w:sz w:val="22"/>
          <w:szCs w:val="22"/>
          <w:lang w:val="sr-Latn-ME"/>
        </w:rPr>
        <w:t xml:space="preserve">, </w:t>
      </w:r>
      <w:proofErr w:type="spellStart"/>
      <w:r w:rsidRPr="00C01AE6">
        <w:rPr>
          <w:sz w:val="22"/>
          <w:szCs w:val="22"/>
          <w:lang w:val="sr-Latn-ME"/>
        </w:rPr>
        <w:t>makulu</w:t>
      </w:r>
      <w:proofErr w:type="spellEnd"/>
      <w:r w:rsidRPr="00C01AE6">
        <w:rPr>
          <w:sz w:val="22"/>
          <w:szCs w:val="22"/>
          <w:lang w:val="sr-Latn-ME"/>
        </w:rPr>
        <w:t xml:space="preserve">, oticanje, kontuziju, nastanak modrice, </w:t>
      </w:r>
      <w:proofErr w:type="spellStart"/>
      <w:r w:rsidRPr="00C01AE6">
        <w:rPr>
          <w:sz w:val="22"/>
          <w:szCs w:val="22"/>
          <w:lang w:val="sr-Latn-ME"/>
        </w:rPr>
        <w:t>lipodistrofiju</w:t>
      </w:r>
      <w:proofErr w:type="spellEnd"/>
      <w:r w:rsidRPr="00C01AE6">
        <w:rPr>
          <w:sz w:val="22"/>
          <w:szCs w:val="22"/>
          <w:lang w:val="sr-Latn-ME"/>
        </w:rPr>
        <w:t xml:space="preserve"> (</w:t>
      </w:r>
      <w:proofErr w:type="spellStart"/>
      <w:r w:rsidRPr="00C01AE6">
        <w:rPr>
          <w:sz w:val="22"/>
          <w:szCs w:val="22"/>
          <w:lang w:val="sr-Latn-ME"/>
        </w:rPr>
        <w:t>lipoatrofiju</w:t>
      </w:r>
      <w:proofErr w:type="spellEnd"/>
      <w:r w:rsidRPr="00C01AE6">
        <w:rPr>
          <w:sz w:val="22"/>
          <w:szCs w:val="22"/>
          <w:lang w:val="sr-Latn-ME"/>
        </w:rPr>
        <w:t xml:space="preserve"> ili </w:t>
      </w:r>
      <w:proofErr w:type="spellStart"/>
      <w:r w:rsidRPr="00C01AE6">
        <w:rPr>
          <w:sz w:val="22"/>
          <w:szCs w:val="22"/>
          <w:lang w:val="sr-Latn-ME"/>
        </w:rPr>
        <w:t>lipohipertrofiju</w:t>
      </w:r>
      <w:proofErr w:type="spellEnd"/>
      <w:r w:rsidRPr="00C01AE6">
        <w:rPr>
          <w:sz w:val="22"/>
          <w:szCs w:val="22"/>
          <w:lang w:val="sr-Latn-ME"/>
        </w:rPr>
        <w:t xml:space="preserve">), </w:t>
      </w:r>
      <w:proofErr w:type="spellStart"/>
      <w:r w:rsidRPr="00C01AE6">
        <w:rPr>
          <w:sz w:val="22"/>
          <w:szCs w:val="22"/>
          <w:lang w:val="sr-Latn-ME"/>
        </w:rPr>
        <w:t>induraciju</w:t>
      </w:r>
      <w:proofErr w:type="spellEnd"/>
      <w:r w:rsidRPr="00C01AE6">
        <w:rPr>
          <w:sz w:val="22"/>
          <w:szCs w:val="22"/>
          <w:lang w:val="sr-Latn-ME"/>
        </w:rPr>
        <w:t xml:space="preserve">, reakciju, </w:t>
      </w:r>
      <w:proofErr w:type="spellStart"/>
      <w:r w:rsidRPr="00C01AE6">
        <w:rPr>
          <w:sz w:val="22"/>
          <w:szCs w:val="22"/>
          <w:lang w:val="sr-Latn-ME"/>
        </w:rPr>
        <w:t>nodus</w:t>
      </w:r>
      <w:proofErr w:type="spellEnd"/>
      <w:r w:rsidRPr="00C01AE6">
        <w:rPr>
          <w:sz w:val="22"/>
          <w:szCs w:val="22"/>
          <w:lang w:val="sr-Latn-ME"/>
        </w:rPr>
        <w:t xml:space="preserve">, osip, </w:t>
      </w:r>
      <w:proofErr w:type="spellStart"/>
      <w:r w:rsidRPr="00C01AE6">
        <w:rPr>
          <w:sz w:val="22"/>
          <w:szCs w:val="22"/>
          <w:lang w:val="sr-Latn-ME"/>
        </w:rPr>
        <w:t>papulu</w:t>
      </w:r>
      <w:proofErr w:type="spellEnd"/>
      <w:r w:rsidRPr="00C01AE6">
        <w:rPr>
          <w:sz w:val="22"/>
          <w:szCs w:val="22"/>
          <w:lang w:val="sr-Latn-ME"/>
        </w:rPr>
        <w:t xml:space="preserve">, </w:t>
      </w:r>
      <w:proofErr w:type="spellStart"/>
      <w:r w:rsidRPr="00C01AE6">
        <w:rPr>
          <w:sz w:val="22"/>
          <w:szCs w:val="22"/>
          <w:lang w:val="sr-Latn-ME"/>
        </w:rPr>
        <w:t>hematom</w:t>
      </w:r>
      <w:proofErr w:type="spellEnd"/>
      <w:r w:rsidRPr="00C01AE6">
        <w:rPr>
          <w:sz w:val="22"/>
          <w:szCs w:val="22"/>
          <w:lang w:val="sr-Latn-ME"/>
        </w:rPr>
        <w:t xml:space="preserve">, upalu, urtikariju, </w:t>
      </w:r>
      <w:proofErr w:type="spellStart"/>
      <w:r w:rsidRPr="00C01AE6">
        <w:rPr>
          <w:sz w:val="22"/>
          <w:szCs w:val="22"/>
          <w:lang w:val="sr-Latn-ME"/>
        </w:rPr>
        <w:t>kalcifikaciju</w:t>
      </w:r>
      <w:proofErr w:type="spellEnd"/>
      <w:r w:rsidRPr="00C01AE6">
        <w:rPr>
          <w:sz w:val="22"/>
          <w:szCs w:val="22"/>
          <w:lang w:val="sr-Latn-ME"/>
        </w:rPr>
        <w:t xml:space="preserve">, toplinu, krvarenje, </w:t>
      </w:r>
      <w:proofErr w:type="spellStart"/>
      <w:r w:rsidRPr="00C01AE6">
        <w:rPr>
          <w:sz w:val="22"/>
          <w:szCs w:val="22"/>
          <w:lang w:val="sr-Latn-ME"/>
        </w:rPr>
        <w:t>celulitis</w:t>
      </w:r>
      <w:proofErr w:type="spellEnd"/>
      <w:r w:rsidRPr="00C01AE6">
        <w:rPr>
          <w:sz w:val="22"/>
          <w:szCs w:val="22"/>
          <w:lang w:val="sr-Latn-ME"/>
        </w:rPr>
        <w:t xml:space="preserve">, ožiljak, masu, </w:t>
      </w:r>
      <w:proofErr w:type="spellStart"/>
      <w:r w:rsidRPr="00C01AE6">
        <w:rPr>
          <w:sz w:val="22"/>
          <w:szCs w:val="22"/>
          <w:lang w:val="sr-Latn-ME"/>
        </w:rPr>
        <w:t>ekstravazaciju</w:t>
      </w:r>
      <w:proofErr w:type="spellEnd"/>
      <w:r w:rsidRPr="00C01AE6">
        <w:rPr>
          <w:sz w:val="22"/>
          <w:szCs w:val="22"/>
          <w:lang w:val="sr-Latn-ME"/>
        </w:rPr>
        <w:t xml:space="preserve">, </w:t>
      </w:r>
      <w:proofErr w:type="spellStart"/>
      <w:r w:rsidRPr="00C01AE6">
        <w:rPr>
          <w:sz w:val="22"/>
          <w:szCs w:val="22"/>
          <w:lang w:val="sr-Latn-ME"/>
        </w:rPr>
        <w:t>eksfolijaciju</w:t>
      </w:r>
      <w:proofErr w:type="spellEnd"/>
      <w:r w:rsidRPr="00C01AE6">
        <w:rPr>
          <w:sz w:val="22"/>
          <w:szCs w:val="22"/>
          <w:lang w:val="sr-Latn-ME"/>
        </w:rPr>
        <w:t xml:space="preserve"> i </w:t>
      </w:r>
      <w:proofErr w:type="spellStart"/>
      <w:r w:rsidRPr="00C01AE6">
        <w:rPr>
          <w:sz w:val="22"/>
          <w:szCs w:val="22"/>
          <w:lang w:val="sr-Latn-ME"/>
        </w:rPr>
        <w:t>vezikule</w:t>
      </w:r>
      <w:proofErr w:type="spellEnd"/>
      <w:r w:rsidRPr="00C01AE6">
        <w:rPr>
          <w:sz w:val="22"/>
          <w:szCs w:val="22"/>
          <w:lang w:val="sr-Latn-ME"/>
        </w:rPr>
        <w:t xml:space="preserve"> na </w:t>
      </w:r>
      <w:r w:rsidR="00613845" w:rsidRPr="00C01AE6">
        <w:rPr>
          <w:sz w:val="22"/>
          <w:szCs w:val="22"/>
          <w:lang w:val="sr-Latn-ME"/>
        </w:rPr>
        <w:t>mjestu</w:t>
      </w:r>
      <w:r w:rsidRPr="00C01AE6">
        <w:rPr>
          <w:sz w:val="22"/>
          <w:szCs w:val="22"/>
          <w:lang w:val="sr-Latn-ME"/>
        </w:rPr>
        <w:t xml:space="preserve"> </w:t>
      </w:r>
      <w:r w:rsidR="00BA210B" w:rsidRPr="00C01AE6">
        <w:rPr>
          <w:sz w:val="22"/>
          <w:szCs w:val="22"/>
          <w:lang w:val="sr-Latn-ME"/>
        </w:rPr>
        <w:t>primjen</w:t>
      </w:r>
      <w:r w:rsidRPr="00C01AE6">
        <w:rPr>
          <w:sz w:val="22"/>
          <w:szCs w:val="22"/>
          <w:lang w:val="sr-Latn-ME"/>
        </w:rPr>
        <w:t xml:space="preserve">e injekcije) najčešće su neželjene reakcije </w:t>
      </w:r>
      <w:r w:rsidR="00CB006C" w:rsidRPr="00C01AE6">
        <w:rPr>
          <w:sz w:val="22"/>
          <w:szCs w:val="22"/>
          <w:lang w:val="sr-Latn-ME"/>
        </w:rPr>
        <w:t xml:space="preserve">zabilježene </w:t>
      </w:r>
      <w:r w:rsidRPr="00C01AE6">
        <w:rPr>
          <w:sz w:val="22"/>
          <w:szCs w:val="22"/>
          <w:lang w:val="sr-Latn-ME"/>
        </w:rPr>
        <w:t xml:space="preserve">u kliničkim ispitivanjima kod otprilike 74% pacijenata. Većina tih reakcija bile su blage i </w:t>
      </w:r>
      <w:proofErr w:type="spellStart"/>
      <w:r w:rsidRPr="00C01AE6">
        <w:rPr>
          <w:sz w:val="22"/>
          <w:szCs w:val="22"/>
          <w:lang w:val="sr-Latn-ME"/>
        </w:rPr>
        <w:t>samoograničavajuće</w:t>
      </w:r>
      <w:proofErr w:type="spellEnd"/>
      <w:r w:rsidRPr="00C01AE6">
        <w:rPr>
          <w:sz w:val="22"/>
          <w:szCs w:val="22"/>
          <w:lang w:val="sr-Latn-ME"/>
        </w:rPr>
        <w:t xml:space="preserve"> i većinom su (&gt; 99%) bile </w:t>
      </w:r>
      <w:r w:rsidR="00CB006C" w:rsidRPr="00C01AE6">
        <w:rPr>
          <w:sz w:val="22"/>
          <w:szCs w:val="22"/>
          <w:lang w:val="sr-Latn-ME"/>
        </w:rPr>
        <w:t xml:space="preserve">zabilježene </w:t>
      </w:r>
      <w:r w:rsidRPr="00C01AE6">
        <w:rPr>
          <w:sz w:val="22"/>
          <w:szCs w:val="22"/>
          <w:lang w:val="sr-Latn-ME"/>
        </w:rPr>
        <w:t xml:space="preserve">kao neželjene reakcije koje </w:t>
      </w:r>
      <w:r w:rsidR="00CB006C" w:rsidRPr="00C01AE6">
        <w:rPr>
          <w:sz w:val="22"/>
          <w:szCs w:val="22"/>
          <w:lang w:val="sr-Latn-ME"/>
        </w:rPr>
        <w:t xml:space="preserve">nijesu </w:t>
      </w:r>
      <w:r w:rsidRPr="00C01AE6">
        <w:rPr>
          <w:sz w:val="22"/>
          <w:szCs w:val="22"/>
          <w:lang w:val="sr-Latn-ME"/>
        </w:rPr>
        <w:t xml:space="preserve">ozbiljne. Kod većine pacijenata u kliničkim ispitivanjima kod kojih su </w:t>
      </w:r>
      <w:r w:rsidR="00CB006C" w:rsidRPr="00C01AE6">
        <w:rPr>
          <w:sz w:val="22"/>
          <w:szCs w:val="22"/>
          <w:lang w:val="sr-Latn-ME"/>
        </w:rPr>
        <w:t xml:space="preserve">zabilježene </w:t>
      </w:r>
      <w:r w:rsidRPr="00C01AE6">
        <w:rPr>
          <w:sz w:val="22"/>
          <w:szCs w:val="22"/>
          <w:lang w:val="sr-Latn-ME"/>
        </w:rPr>
        <w:t xml:space="preserve">reakcije na </w:t>
      </w:r>
      <w:r w:rsidR="00613845" w:rsidRPr="00C01AE6">
        <w:rPr>
          <w:sz w:val="22"/>
          <w:szCs w:val="22"/>
          <w:lang w:val="sr-Latn-ME"/>
        </w:rPr>
        <w:t>mjestu</w:t>
      </w:r>
      <w:r w:rsidRPr="00C01AE6">
        <w:rPr>
          <w:sz w:val="22"/>
          <w:szCs w:val="22"/>
          <w:lang w:val="sr-Latn-ME"/>
        </w:rPr>
        <w:t xml:space="preserve"> </w:t>
      </w:r>
      <w:r w:rsidR="00BA210B" w:rsidRPr="00C01AE6">
        <w:rPr>
          <w:sz w:val="22"/>
          <w:szCs w:val="22"/>
          <w:lang w:val="sr-Latn-ME"/>
        </w:rPr>
        <w:t>primjen</w:t>
      </w:r>
      <w:r w:rsidRPr="00C01AE6">
        <w:rPr>
          <w:sz w:val="22"/>
          <w:szCs w:val="22"/>
          <w:lang w:val="sr-Latn-ME"/>
        </w:rPr>
        <w:t>e injekcije te su se reakcije prvi put pojavile tokom prvih 12 ned</w:t>
      </w:r>
      <w:r w:rsidR="008D0318" w:rsidRPr="00C01AE6">
        <w:rPr>
          <w:sz w:val="22"/>
          <w:szCs w:val="22"/>
          <w:lang w:val="sr-Latn-ME"/>
        </w:rPr>
        <w:t>j</w:t>
      </w:r>
      <w:r w:rsidRPr="00C01AE6">
        <w:rPr>
          <w:sz w:val="22"/>
          <w:szCs w:val="22"/>
          <w:lang w:val="sr-Latn-ME"/>
        </w:rPr>
        <w:t xml:space="preserve">elja </w:t>
      </w:r>
      <w:r w:rsidR="00BA210B" w:rsidRPr="00C01AE6">
        <w:rPr>
          <w:sz w:val="22"/>
          <w:szCs w:val="22"/>
          <w:lang w:val="sr-Latn-ME"/>
        </w:rPr>
        <w:t>liječenj</w:t>
      </w:r>
      <w:r w:rsidRPr="00C01AE6">
        <w:rPr>
          <w:sz w:val="22"/>
          <w:szCs w:val="22"/>
          <w:lang w:val="sr-Latn-ME"/>
        </w:rPr>
        <w:t xml:space="preserve">a </w:t>
      </w:r>
      <w:proofErr w:type="spellStart"/>
      <w:r w:rsidRPr="00C01AE6">
        <w:rPr>
          <w:sz w:val="22"/>
          <w:szCs w:val="22"/>
          <w:lang w:val="sr-Latn-ME"/>
        </w:rPr>
        <w:t>asfotazom</w:t>
      </w:r>
      <w:proofErr w:type="spellEnd"/>
      <w:r w:rsidRPr="00C01AE6">
        <w:rPr>
          <w:sz w:val="22"/>
          <w:szCs w:val="22"/>
          <w:lang w:val="sr-Latn-ME"/>
        </w:rPr>
        <w:t xml:space="preserve"> alfa, a kod nekih pacijenata su nastavile da se pojavljuju do 1 godine ili više godina od početka </w:t>
      </w:r>
      <w:r w:rsidR="00BA210B" w:rsidRPr="00C01AE6">
        <w:rPr>
          <w:sz w:val="22"/>
          <w:szCs w:val="22"/>
          <w:lang w:val="sr-Latn-ME"/>
        </w:rPr>
        <w:t>primjen</w:t>
      </w:r>
      <w:r w:rsidRPr="00C01AE6">
        <w:rPr>
          <w:sz w:val="22"/>
          <w:szCs w:val="22"/>
          <w:lang w:val="sr-Latn-ME"/>
        </w:rPr>
        <w:t xml:space="preserve">e </w:t>
      </w:r>
      <w:proofErr w:type="spellStart"/>
      <w:r w:rsidRPr="00C01AE6">
        <w:rPr>
          <w:sz w:val="22"/>
          <w:szCs w:val="22"/>
          <w:lang w:val="sr-Latn-ME"/>
        </w:rPr>
        <w:t>asfotaze</w:t>
      </w:r>
      <w:proofErr w:type="spellEnd"/>
      <w:r w:rsidRPr="00C01AE6">
        <w:rPr>
          <w:sz w:val="22"/>
          <w:szCs w:val="22"/>
          <w:lang w:val="sr-Latn-ME"/>
        </w:rPr>
        <w:t xml:space="preserve"> alfa.</w:t>
      </w:r>
    </w:p>
    <w:p w14:paraId="0EF9596B" w14:textId="0BD45E76" w:rsidR="00D901C1" w:rsidRPr="00C01AE6" w:rsidRDefault="00D901C1" w:rsidP="00655C9D">
      <w:pPr>
        <w:widowControl w:val="0"/>
        <w:autoSpaceDE w:val="0"/>
        <w:autoSpaceDN w:val="0"/>
        <w:jc w:val="both"/>
        <w:rPr>
          <w:sz w:val="22"/>
          <w:szCs w:val="22"/>
          <w:lang w:val="sr-Latn-ME"/>
        </w:rPr>
      </w:pPr>
      <w:r w:rsidRPr="00C01AE6">
        <w:rPr>
          <w:sz w:val="22"/>
          <w:szCs w:val="22"/>
          <w:lang w:val="sr-Latn-ME"/>
        </w:rPr>
        <w:t xml:space="preserve">Jedan pacijent je prekinuo učešće u kliničkom ispitivanju zbog reakcije </w:t>
      </w:r>
      <w:r w:rsidR="00613845" w:rsidRPr="00C01AE6">
        <w:rPr>
          <w:sz w:val="22"/>
          <w:szCs w:val="22"/>
          <w:lang w:val="sr-Latn-ME"/>
        </w:rPr>
        <w:t>preosjetljivost</w:t>
      </w:r>
      <w:r w:rsidRPr="00C01AE6">
        <w:rPr>
          <w:sz w:val="22"/>
          <w:szCs w:val="22"/>
          <w:lang w:val="sr-Latn-ME"/>
        </w:rPr>
        <w:t xml:space="preserve">i na </w:t>
      </w:r>
      <w:r w:rsidR="00613845" w:rsidRPr="00C01AE6">
        <w:rPr>
          <w:sz w:val="22"/>
          <w:szCs w:val="22"/>
          <w:lang w:val="sr-Latn-ME"/>
        </w:rPr>
        <w:t>mjestu</w:t>
      </w:r>
      <w:r w:rsidRPr="00C01AE6">
        <w:rPr>
          <w:sz w:val="22"/>
          <w:szCs w:val="22"/>
          <w:lang w:val="sr-Latn-ME"/>
        </w:rPr>
        <w:t xml:space="preserve"> </w:t>
      </w:r>
      <w:r w:rsidR="00BA210B" w:rsidRPr="00C01AE6">
        <w:rPr>
          <w:sz w:val="22"/>
          <w:szCs w:val="22"/>
          <w:lang w:val="sr-Latn-ME"/>
        </w:rPr>
        <w:t>primjen</w:t>
      </w:r>
      <w:r w:rsidRPr="00C01AE6">
        <w:rPr>
          <w:sz w:val="22"/>
          <w:szCs w:val="22"/>
          <w:lang w:val="sr-Latn-ME"/>
        </w:rPr>
        <w:t>e injekcije.</w:t>
      </w:r>
    </w:p>
    <w:p w14:paraId="0EE813D3" w14:textId="77777777" w:rsidR="00D901C1" w:rsidRPr="00C01AE6" w:rsidRDefault="00D901C1" w:rsidP="00655C9D">
      <w:pPr>
        <w:widowControl w:val="0"/>
        <w:autoSpaceDE w:val="0"/>
        <w:autoSpaceDN w:val="0"/>
        <w:jc w:val="both"/>
        <w:rPr>
          <w:sz w:val="22"/>
          <w:szCs w:val="22"/>
          <w:lang w:val="sr-Latn-ME"/>
        </w:rPr>
      </w:pPr>
    </w:p>
    <w:p w14:paraId="784D30BC" w14:textId="06E3F53C" w:rsidR="00D901C1" w:rsidRPr="00C01AE6" w:rsidRDefault="00613845" w:rsidP="00655C9D">
      <w:pPr>
        <w:widowControl w:val="0"/>
        <w:autoSpaceDE w:val="0"/>
        <w:autoSpaceDN w:val="0"/>
        <w:jc w:val="both"/>
        <w:rPr>
          <w:i/>
          <w:sz w:val="22"/>
          <w:szCs w:val="22"/>
          <w:lang w:val="sr-Latn-ME"/>
        </w:rPr>
      </w:pPr>
      <w:r w:rsidRPr="00C01AE6">
        <w:rPr>
          <w:i/>
          <w:iCs/>
          <w:sz w:val="22"/>
          <w:szCs w:val="22"/>
          <w:u w:val="single"/>
          <w:lang w:val="sr-Latn-ME"/>
        </w:rPr>
        <w:t>Preosjetljivost</w:t>
      </w:r>
    </w:p>
    <w:p w14:paraId="44538725" w14:textId="77777777" w:rsidR="00D901C1" w:rsidRPr="00C01AE6" w:rsidRDefault="00D901C1" w:rsidP="00655C9D">
      <w:pPr>
        <w:widowControl w:val="0"/>
        <w:autoSpaceDE w:val="0"/>
        <w:autoSpaceDN w:val="0"/>
        <w:jc w:val="both"/>
        <w:rPr>
          <w:i/>
          <w:sz w:val="22"/>
          <w:szCs w:val="22"/>
          <w:lang w:val="sr-Latn-ME"/>
        </w:rPr>
      </w:pPr>
    </w:p>
    <w:p w14:paraId="5374712E" w14:textId="6C15D1A3" w:rsidR="00D901C1" w:rsidRPr="00C01AE6" w:rsidRDefault="00D901C1" w:rsidP="00655C9D">
      <w:pPr>
        <w:widowControl w:val="0"/>
        <w:autoSpaceDE w:val="0"/>
        <w:autoSpaceDN w:val="0"/>
        <w:spacing w:line="249" w:lineRule="auto"/>
        <w:jc w:val="both"/>
        <w:rPr>
          <w:sz w:val="22"/>
          <w:szCs w:val="22"/>
          <w:lang w:val="sr-Latn-ME"/>
        </w:rPr>
      </w:pPr>
      <w:r w:rsidRPr="00C01AE6">
        <w:rPr>
          <w:sz w:val="22"/>
          <w:szCs w:val="22"/>
          <w:lang w:val="sr-Latn-ME"/>
        </w:rPr>
        <w:t xml:space="preserve">Reakcije </w:t>
      </w:r>
      <w:r w:rsidR="00613845" w:rsidRPr="00C01AE6">
        <w:rPr>
          <w:sz w:val="22"/>
          <w:szCs w:val="22"/>
          <w:lang w:val="sr-Latn-ME"/>
        </w:rPr>
        <w:t>preosjetljivost</w:t>
      </w:r>
      <w:r w:rsidRPr="00C01AE6">
        <w:rPr>
          <w:sz w:val="22"/>
          <w:szCs w:val="22"/>
          <w:lang w:val="sr-Latn-ME"/>
        </w:rPr>
        <w:t xml:space="preserve">i uključuju </w:t>
      </w:r>
      <w:proofErr w:type="spellStart"/>
      <w:r w:rsidRPr="00C01AE6">
        <w:rPr>
          <w:sz w:val="22"/>
          <w:szCs w:val="22"/>
          <w:lang w:val="sr-Latn-ME"/>
        </w:rPr>
        <w:t>eritem</w:t>
      </w:r>
      <w:proofErr w:type="spellEnd"/>
      <w:r w:rsidRPr="00C01AE6">
        <w:rPr>
          <w:sz w:val="22"/>
          <w:szCs w:val="22"/>
          <w:lang w:val="sr-Latn-ME"/>
        </w:rPr>
        <w:t xml:space="preserve">/crvenilo, </w:t>
      </w:r>
      <w:proofErr w:type="spellStart"/>
      <w:r w:rsidRPr="00C01AE6">
        <w:rPr>
          <w:sz w:val="22"/>
          <w:szCs w:val="22"/>
          <w:lang w:val="sr-Latn-ME"/>
        </w:rPr>
        <w:t>pireksiju</w:t>
      </w:r>
      <w:proofErr w:type="spellEnd"/>
      <w:r w:rsidRPr="00C01AE6">
        <w:rPr>
          <w:sz w:val="22"/>
          <w:szCs w:val="22"/>
          <w:lang w:val="sr-Latn-ME"/>
        </w:rPr>
        <w:t xml:space="preserve">/povišenu temperaturu, osip, </w:t>
      </w:r>
      <w:proofErr w:type="spellStart"/>
      <w:r w:rsidRPr="00C01AE6">
        <w:rPr>
          <w:sz w:val="22"/>
          <w:szCs w:val="22"/>
          <w:lang w:val="sr-Latn-ME"/>
        </w:rPr>
        <w:t>pruritus</w:t>
      </w:r>
      <w:proofErr w:type="spellEnd"/>
      <w:r w:rsidRPr="00C01AE6">
        <w:rPr>
          <w:sz w:val="22"/>
          <w:szCs w:val="22"/>
          <w:lang w:val="sr-Latn-ME"/>
        </w:rPr>
        <w:t xml:space="preserve">, razdražljivost, mučninu, povraćanje, bol, </w:t>
      </w:r>
      <w:proofErr w:type="spellStart"/>
      <w:r w:rsidRPr="00C01AE6">
        <w:rPr>
          <w:sz w:val="22"/>
          <w:szCs w:val="22"/>
          <w:lang w:val="sr-Latn-ME"/>
        </w:rPr>
        <w:t>rigor</w:t>
      </w:r>
      <w:proofErr w:type="spellEnd"/>
      <w:r w:rsidRPr="00C01AE6">
        <w:rPr>
          <w:sz w:val="22"/>
          <w:szCs w:val="22"/>
          <w:lang w:val="sr-Latn-ME"/>
        </w:rPr>
        <w:t xml:space="preserve">/drhtavicu, oralnu </w:t>
      </w:r>
      <w:proofErr w:type="spellStart"/>
      <w:r w:rsidRPr="00C01AE6">
        <w:rPr>
          <w:sz w:val="22"/>
          <w:szCs w:val="22"/>
          <w:lang w:val="sr-Latn-ME"/>
        </w:rPr>
        <w:t>hipoesteziju</w:t>
      </w:r>
      <w:proofErr w:type="spellEnd"/>
      <w:r w:rsidRPr="00C01AE6">
        <w:rPr>
          <w:sz w:val="22"/>
          <w:szCs w:val="22"/>
          <w:lang w:val="sr-Latn-ME"/>
        </w:rPr>
        <w:t xml:space="preserve">, glavobolju, crvenilo, tahikardiju, kašalj i znake i simptome koji prate </w:t>
      </w:r>
      <w:proofErr w:type="spellStart"/>
      <w:r w:rsidRPr="00C01AE6">
        <w:rPr>
          <w:sz w:val="22"/>
          <w:szCs w:val="22"/>
          <w:lang w:val="sr-Latn-ME"/>
        </w:rPr>
        <w:t>anafilaksu</w:t>
      </w:r>
      <w:proofErr w:type="spellEnd"/>
      <w:r w:rsidRPr="00C01AE6">
        <w:rPr>
          <w:sz w:val="22"/>
          <w:szCs w:val="22"/>
          <w:lang w:val="sr-Latn-ME"/>
        </w:rPr>
        <w:t xml:space="preserve"> (</w:t>
      </w:r>
      <w:r w:rsidR="00BA210B" w:rsidRPr="00C01AE6">
        <w:rPr>
          <w:sz w:val="22"/>
          <w:szCs w:val="22"/>
          <w:lang w:val="sr-Latn-ME"/>
        </w:rPr>
        <w:t>vidjeti</w:t>
      </w:r>
      <w:r w:rsidRPr="00C01AE6">
        <w:rPr>
          <w:sz w:val="22"/>
          <w:szCs w:val="22"/>
          <w:lang w:val="sr-Latn-ME"/>
        </w:rPr>
        <w:t xml:space="preserve"> </w:t>
      </w:r>
      <w:r w:rsidR="008B6182" w:rsidRPr="00C01AE6">
        <w:rPr>
          <w:sz w:val="22"/>
          <w:szCs w:val="22"/>
          <w:lang w:val="sr-Latn-ME"/>
        </w:rPr>
        <w:t>dio</w:t>
      </w:r>
      <w:r w:rsidRPr="00C01AE6">
        <w:rPr>
          <w:sz w:val="22"/>
          <w:szCs w:val="22"/>
          <w:lang w:val="sr-Latn-ME"/>
        </w:rPr>
        <w:t xml:space="preserve"> 4.4). </w:t>
      </w:r>
      <w:r w:rsidR="00CB006C" w:rsidRPr="00C01AE6">
        <w:rPr>
          <w:sz w:val="22"/>
          <w:szCs w:val="22"/>
          <w:lang w:val="sr-Latn-ME"/>
        </w:rPr>
        <w:t xml:space="preserve">Prijavljeno </w:t>
      </w:r>
      <w:r w:rsidRPr="00C01AE6">
        <w:rPr>
          <w:sz w:val="22"/>
          <w:szCs w:val="22"/>
          <w:lang w:val="sr-Latn-ME"/>
        </w:rPr>
        <w:t xml:space="preserve">je i nekoliko slučajeva </w:t>
      </w:r>
      <w:proofErr w:type="spellStart"/>
      <w:r w:rsidRPr="00C01AE6">
        <w:rPr>
          <w:sz w:val="22"/>
          <w:szCs w:val="22"/>
          <w:lang w:val="sr-Latn-ME"/>
        </w:rPr>
        <w:t>anafilaktoidne</w:t>
      </w:r>
      <w:proofErr w:type="spellEnd"/>
      <w:r w:rsidRPr="00C01AE6">
        <w:rPr>
          <w:sz w:val="22"/>
          <w:szCs w:val="22"/>
          <w:lang w:val="sr-Latn-ME"/>
        </w:rPr>
        <w:t xml:space="preserve"> reakcije/reakcije </w:t>
      </w:r>
      <w:r w:rsidR="00613845" w:rsidRPr="00C01AE6">
        <w:rPr>
          <w:sz w:val="22"/>
          <w:szCs w:val="22"/>
          <w:lang w:val="sr-Latn-ME"/>
        </w:rPr>
        <w:t>preosjetljivost</w:t>
      </w:r>
      <w:r w:rsidRPr="00C01AE6">
        <w:rPr>
          <w:sz w:val="22"/>
          <w:szCs w:val="22"/>
          <w:lang w:val="sr-Latn-ME"/>
        </w:rPr>
        <w:t>i, koje su bile povezane sa znakovima i simptomima otežanog disanja, os</w:t>
      </w:r>
      <w:r w:rsidR="008D0318" w:rsidRPr="00C01AE6">
        <w:rPr>
          <w:sz w:val="22"/>
          <w:szCs w:val="22"/>
          <w:lang w:val="sr-Latn-ME"/>
        </w:rPr>
        <w:t>j</w:t>
      </w:r>
      <w:r w:rsidRPr="00C01AE6">
        <w:rPr>
          <w:sz w:val="22"/>
          <w:szCs w:val="22"/>
          <w:lang w:val="sr-Latn-ME"/>
        </w:rPr>
        <w:t xml:space="preserve">ećaja gušenja, </w:t>
      </w:r>
      <w:proofErr w:type="spellStart"/>
      <w:r w:rsidRPr="00C01AE6">
        <w:rPr>
          <w:sz w:val="22"/>
          <w:szCs w:val="22"/>
          <w:lang w:val="sr-Latn-ME"/>
        </w:rPr>
        <w:t>periorbitalnog</w:t>
      </w:r>
      <w:proofErr w:type="spellEnd"/>
      <w:r w:rsidRPr="00C01AE6">
        <w:rPr>
          <w:sz w:val="22"/>
          <w:szCs w:val="22"/>
          <w:lang w:val="sr-Latn-ME"/>
        </w:rPr>
        <w:t xml:space="preserve"> </w:t>
      </w:r>
      <w:proofErr w:type="spellStart"/>
      <w:r w:rsidRPr="00C01AE6">
        <w:rPr>
          <w:sz w:val="22"/>
          <w:szCs w:val="22"/>
          <w:lang w:val="sr-Latn-ME"/>
        </w:rPr>
        <w:t>edema</w:t>
      </w:r>
      <w:proofErr w:type="spellEnd"/>
      <w:r w:rsidRPr="00C01AE6">
        <w:rPr>
          <w:sz w:val="22"/>
          <w:szCs w:val="22"/>
          <w:lang w:val="sr-Latn-ME"/>
        </w:rPr>
        <w:t xml:space="preserve"> i vrtoglavice.</w:t>
      </w:r>
    </w:p>
    <w:p w14:paraId="3526CA47" w14:textId="77777777" w:rsidR="00D901C1" w:rsidRPr="00C01AE6" w:rsidRDefault="00D901C1" w:rsidP="00655C9D">
      <w:pPr>
        <w:widowControl w:val="0"/>
        <w:autoSpaceDE w:val="0"/>
        <w:autoSpaceDN w:val="0"/>
        <w:jc w:val="both"/>
        <w:rPr>
          <w:sz w:val="22"/>
          <w:szCs w:val="22"/>
          <w:lang w:val="sr-Latn-ME"/>
        </w:rPr>
      </w:pPr>
    </w:p>
    <w:p w14:paraId="2C2AD418" w14:textId="77777777" w:rsidR="00D901C1" w:rsidRPr="00C01AE6" w:rsidRDefault="00D901C1" w:rsidP="00655C9D">
      <w:pPr>
        <w:widowControl w:val="0"/>
        <w:autoSpaceDE w:val="0"/>
        <w:autoSpaceDN w:val="0"/>
        <w:jc w:val="both"/>
        <w:rPr>
          <w:i/>
          <w:sz w:val="22"/>
          <w:szCs w:val="22"/>
          <w:lang w:val="sr-Latn-ME"/>
        </w:rPr>
      </w:pPr>
      <w:proofErr w:type="spellStart"/>
      <w:r w:rsidRPr="00C01AE6">
        <w:rPr>
          <w:i/>
          <w:iCs/>
          <w:sz w:val="22"/>
          <w:szCs w:val="22"/>
          <w:u w:val="single"/>
          <w:lang w:val="sr-Latn-ME"/>
        </w:rPr>
        <w:t>Imunogenost</w:t>
      </w:r>
      <w:proofErr w:type="spellEnd"/>
    </w:p>
    <w:p w14:paraId="02176F72" w14:textId="77777777" w:rsidR="00D901C1" w:rsidRPr="00C01AE6" w:rsidRDefault="00D901C1" w:rsidP="00655C9D">
      <w:pPr>
        <w:widowControl w:val="0"/>
        <w:autoSpaceDE w:val="0"/>
        <w:autoSpaceDN w:val="0"/>
        <w:jc w:val="both"/>
        <w:rPr>
          <w:i/>
          <w:sz w:val="22"/>
          <w:szCs w:val="22"/>
          <w:lang w:val="sr-Latn-ME"/>
        </w:rPr>
      </w:pPr>
    </w:p>
    <w:p w14:paraId="581B09E8" w14:textId="0FA5D1C2" w:rsidR="00D901C1" w:rsidRPr="00C01AE6" w:rsidRDefault="00D901C1" w:rsidP="00655C9D">
      <w:pPr>
        <w:widowControl w:val="0"/>
        <w:autoSpaceDE w:val="0"/>
        <w:autoSpaceDN w:val="0"/>
        <w:spacing w:line="247" w:lineRule="auto"/>
        <w:jc w:val="both"/>
        <w:rPr>
          <w:sz w:val="22"/>
          <w:szCs w:val="22"/>
          <w:lang w:val="sr-Latn-ME"/>
        </w:rPr>
      </w:pPr>
      <w:r w:rsidRPr="00C01AE6">
        <w:rPr>
          <w:color w:val="0C0C0C"/>
          <w:sz w:val="22"/>
          <w:szCs w:val="22"/>
          <w:lang w:val="sr-Latn-ME"/>
        </w:rPr>
        <w:t xml:space="preserve">Postoji potencijal za </w:t>
      </w:r>
      <w:proofErr w:type="spellStart"/>
      <w:r w:rsidRPr="00C01AE6">
        <w:rPr>
          <w:color w:val="0C0C0C"/>
          <w:sz w:val="22"/>
          <w:szCs w:val="22"/>
          <w:lang w:val="sr-Latn-ME"/>
        </w:rPr>
        <w:t>imunogenost</w:t>
      </w:r>
      <w:proofErr w:type="spellEnd"/>
      <w:r w:rsidRPr="00C01AE6">
        <w:rPr>
          <w:color w:val="0C0C0C"/>
          <w:sz w:val="22"/>
          <w:szCs w:val="22"/>
          <w:lang w:val="sr-Latn-ME"/>
        </w:rPr>
        <w:t>. Od 109 pacijenata sa </w:t>
      </w:r>
      <w:proofErr w:type="spellStart"/>
      <w:r w:rsidRPr="00C01AE6">
        <w:rPr>
          <w:color w:val="0C0C0C"/>
          <w:sz w:val="22"/>
          <w:szCs w:val="22"/>
          <w:lang w:val="sr-Latn-ME"/>
        </w:rPr>
        <w:t>hipofosfatazijom</w:t>
      </w:r>
      <w:proofErr w:type="spellEnd"/>
      <w:r w:rsidRPr="00C01AE6">
        <w:rPr>
          <w:color w:val="0C0C0C"/>
          <w:sz w:val="22"/>
          <w:szCs w:val="22"/>
          <w:lang w:val="sr-Latn-ME"/>
        </w:rPr>
        <w:t xml:space="preserve"> uključenih u klinička ispitivanja, a za koje su postojali podaci o antit</w:t>
      </w:r>
      <w:r w:rsidR="00705D60" w:rsidRPr="00C01AE6">
        <w:rPr>
          <w:color w:val="0C0C0C"/>
          <w:sz w:val="22"/>
          <w:szCs w:val="22"/>
          <w:lang w:val="sr-Latn-ME"/>
        </w:rPr>
        <w:t>ij</w:t>
      </w:r>
      <w:r w:rsidRPr="00C01AE6">
        <w:rPr>
          <w:color w:val="0C0C0C"/>
          <w:sz w:val="22"/>
          <w:szCs w:val="22"/>
          <w:lang w:val="sr-Latn-ME"/>
        </w:rPr>
        <w:t>elima posl</w:t>
      </w:r>
      <w:r w:rsidR="00CB006C" w:rsidRPr="00C01AE6">
        <w:rPr>
          <w:color w:val="0C0C0C"/>
          <w:sz w:val="22"/>
          <w:szCs w:val="22"/>
          <w:lang w:val="sr-Latn-ME"/>
        </w:rPr>
        <w:t>ij</w:t>
      </w:r>
      <w:r w:rsidRPr="00C01AE6">
        <w:rPr>
          <w:color w:val="0C0C0C"/>
          <w:sz w:val="22"/>
          <w:szCs w:val="22"/>
          <w:lang w:val="sr-Latn-ME"/>
        </w:rPr>
        <w:t>e početka ispitivanja, njih 97/109 (89,0%) imalo je pozitivne rezultate testa na antit</w:t>
      </w:r>
      <w:r w:rsidR="00CB006C" w:rsidRPr="00C01AE6">
        <w:rPr>
          <w:color w:val="0C0C0C"/>
          <w:sz w:val="22"/>
          <w:szCs w:val="22"/>
          <w:lang w:val="sr-Latn-ME"/>
        </w:rPr>
        <w:t>ij</w:t>
      </w:r>
      <w:r w:rsidRPr="00C01AE6">
        <w:rPr>
          <w:color w:val="0C0C0C"/>
          <w:sz w:val="22"/>
          <w:szCs w:val="22"/>
          <w:lang w:val="sr-Latn-ME"/>
        </w:rPr>
        <w:t>ela na l</w:t>
      </w:r>
      <w:r w:rsidR="00705D60" w:rsidRPr="00C01AE6">
        <w:rPr>
          <w:color w:val="0C0C0C"/>
          <w:sz w:val="22"/>
          <w:szCs w:val="22"/>
          <w:lang w:val="sr-Latn-ME"/>
        </w:rPr>
        <w:t>ij</w:t>
      </w:r>
      <w:r w:rsidRPr="00C01AE6">
        <w:rPr>
          <w:color w:val="0C0C0C"/>
          <w:sz w:val="22"/>
          <w:szCs w:val="22"/>
          <w:lang w:val="sr-Latn-ME"/>
        </w:rPr>
        <w:t xml:space="preserve">ek u nekoj </w:t>
      </w:r>
      <w:r w:rsidR="005B26E6" w:rsidRPr="00C01AE6">
        <w:rPr>
          <w:color w:val="0C0C0C"/>
          <w:sz w:val="22"/>
          <w:szCs w:val="22"/>
          <w:lang w:val="sr-Latn-ME"/>
        </w:rPr>
        <w:t>vreme</w:t>
      </w:r>
      <w:r w:rsidRPr="00C01AE6">
        <w:rPr>
          <w:color w:val="0C0C0C"/>
          <w:sz w:val="22"/>
          <w:szCs w:val="22"/>
          <w:lang w:val="sr-Latn-ME"/>
        </w:rPr>
        <w:t xml:space="preserve">nskoj tački nakon početka terapije </w:t>
      </w:r>
      <w:r w:rsidR="00BA210B" w:rsidRPr="00C01AE6">
        <w:rPr>
          <w:color w:val="0C0C0C"/>
          <w:sz w:val="22"/>
          <w:szCs w:val="22"/>
          <w:lang w:val="sr-Latn-ME"/>
        </w:rPr>
        <w:t>lijekom</w:t>
      </w:r>
      <w:r w:rsidRPr="00C01AE6">
        <w:rPr>
          <w:color w:val="0C0C0C"/>
          <w:sz w:val="22"/>
          <w:szCs w:val="22"/>
          <w:lang w:val="sr-Latn-ME"/>
        </w:rPr>
        <w:t xml:space="preserve"> </w:t>
      </w:r>
      <w:proofErr w:type="spellStart"/>
      <w:r w:rsidRPr="00C01AE6">
        <w:rPr>
          <w:color w:val="0C0C0C"/>
          <w:sz w:val="22"/>
          <w:szCs w:val="22"/>
          <w:lang w:val="sr-Latn-ME"/>
        </w:rPr>
        <w:t>Strensiq</w:t>
      </w:r>
      <w:proofErr w:type="spellEnd"/>
      <w:r w:rsidRPr="00C01AE6">
        <w:rPr>
          <w:color w:val="0C0C0C"/>
          <w:sz w:val="22"/>
          <w:szCs w:val="22"/>
          <w:lang w:val="sr-Latn-ME"/>
        </w:rPr>
        <w:t xml:space="preserve">. Od tih 97 pacijenata, kod 55 (56,7%) pokazalo se u nekoj </w:t>
      </w:r>
      <w:r w:rsidR="005B26E6" w:rsidRPr="00C01AE6">
        <w:rPr>
          <w:color w:val="0C0C0C"/>
          <w:sz w:val="22"/>
          <w:szCs w:val="22"/>
          <w:lang w:val="sr-Latn-ME"/>
        </w:rPr>
        <w:t>vreme</w:t>
      </w:r>
      <w:r w:rsidRPr="00C01AE6">
        <w:rPr>
          <w:color w:val="0C0C0C"/>
          <w:sz w:val="22"/>
          <w:szCs w:val="22"/>
          <w:lang w:val="sr-Latn-ME"/>
        </w:rPr>
        <w:t>nskoj tački posl</w:t>
      </w:r>
      <w:r w:rsidR="008D0318" w:rsidRPr="00C01AE6">
        <w:rPr>
          <w:color w:val="0C0C0C"/>
          <w:sz w:val="22"/>
          <w:szCs w:val="22"/>
          <w:lang w:val="sr-Latn-ME"/>
        </w:rPr>
        <w:t>ij</w:t>
      </w:r>
      <w:r w:rsidRPr="00C01AE6">
        <w:rPr>
          <w:color w:val="0C0C0C"/>
          <w:sz w:val="22"/>
          <w:szCs w:val="22"/>
          <w:lang w:val="sr-Latn-ME"/>
        </w:rPr>
        <w:t xml:space="preserve">e početka ispitivanja i prisustvo </w:t>
      </w:r>
      <w:proofErr w:type="spellStart"/>
      <w:r w:rsidRPr="00C01AE6">
        <w:rPr>
          <w:color w:val="0C0C0C"/>
          <w:sz w:val="22"/>
          <w:szCs w:val="22"/>
          <w:lang w:val="sr-Latn-ME"/>
        </w:rPr>
        <w:t>neutrališućih</w:t>
      </w:r>
      <w:proofErr w:type="spellEnd"/>
      <w:r w:rsidRPr="00C01AE6">
        <w:rPr>
          <w:color w:val="0C0C0C"/>
          <w:sz w:val="22"/>
          <w:szCs w:val="22"/>
          <w:lang w:val="sr-Latn-ME"/>
        </w:rPr>
        <w:t xml:space="preserve"> </w:t>
      </w:r>
      <w:r w:rsidR="00CB006C" w:rsidRPr="00C01AE6">
        <w:rPr>
          <w:color w:val="0C0C0C"/>
          <w:sz w:val="22"/>
          <w:szCs w:val="22"/>
          <w:lang w:val="sr-Latn-ME"/>
        </w:rPr>
        <w:t>antitijela</w:t>
      </w:r>
      <w:r w:rsidRPr="00C01AE6">
        <w:rPr>
          <w:color w:val="0C0C0C"/>
          <w:sz w:val="22"/>
          <w:szCs w:val="22"/>
          <w:lang w:val="sr-Latn-ME"/>
        </w:rPr>
        <w:t xml:space="preserve">. Odgovor </w:t>
      </w:r>
      <w:r w:rsidR="00CB006C" w:rsidRPr="00C01AE6">
        <w:rPr>
          <w:color w:val="0C0C0C"/>
          <w:sz w:val="22"/>
          <w:szCs w:val="22"/>
          <w:lang w:val="sr-Latn-ME"/>
        </w:rPr>
        <w:t xml:space="preserve">antitijela </w:t>
      </w:r>
      <w:r w:rsidRPr="00C01AE6">
        <w:rPr>
          <w:color w:val="0C0C0C"/>
          <w:sz w:val="22"/>
          <w:szCs w:val="22"/>
          <w:lang w:val="sr-Latn-ME"/>
        </w:rPr>
        <w:t xml:space="preserve">(sa prisutnim </w:t>
      </w:r>
      <w:proofErr w:type="spellStart"/>
      <w:r w:rsidRPr="00C01AE6">
        <w:rPr>
          <w:color w:val="0C0C0C"/>
          <w:sz w:val="22"/>
          <w:szCs w:val="22"/>
          <w:lang w:val="sr-Latn-ME"/>
        </w:rPr>
        <w:t>neutrališućim</w:t>
      </w:r>
      <w:proofErr w:type="spellEnd"/>
      <w:r w:rsidRPr="00C01AE6">
        <w:rPr>
          <w:color w:val="0C0C0C"/>
          <w:sz w:val="22"/>
          <w:szCs w:val="22"/>
          <w:lang w:val="sr-Latn-ME"/>
        </w:rPr>
        <w:t xml:space="preserve"> </w:t>
      </w:r>
      <w:r w:rsidR="00CB006C" w:rsidRPr="00C01AE6">
        <w:rPr>
          <w:color w:val="0C0C0C"/>
          <w:sz w:val="22"/>
          <w:szCs w:val="22"/>
          <w:lang w:val="sr-Latn-ME"/>
        </w:rPr>
        <w:t xml:space="preserve">antitijelima </w:t>
      </w:r>
      <w:r w:rsidRPr="00C01AE6">
        <w:rPr>
          <w:color w:val="0C0C0C"/>
          <w:sz w:val="22"/>
          <w:szCs w:val="22"/>
          <w:lang w:val="sr-Latn-ME"/>
        </w:rPr>
        <w:t xml:space="preserve">ili bez njih) </w:t>
      </w:r>
      <w:proofErr w:type="spellStart"/>
      <w:r w:rsidR="005B26E6" w:rsidRPr="00C01AE6">
        <w:rPr>
          <w:color w:val="0C0C0C"/>
          <w:sz w:val="22"/>
          <w:szCs w:val="22"/>
          <w:lang w:val="sr-Latn-ME"/>
        </w:rPr>
        <w:t>vreme</w:t>
      </w:r>
      <w:r w:rsidRPr="00C01AE6">
        <w:rPr>
          <w:color w:val="0C0C0C"/>
          <w:sz w:val="22"/>
          <w:szCs w:val="22"/>
          <w:lang w:val="sr-Latn-ME"/>
        </w:rPr>
        <w:t>nom</w:t>
      </w:r>
      <w:proofErr w:type="spellEnd"/>
      <w:r w:rsidRPr="00C01AE6">
        <w:rPr>
          <w:color w:val="0C0C0C"/>
          <w:sz w:val="22"/>
          <w:szCs w:val="22"/>
          <w:lang w:val="sr-Latn-ME"/>
        </w:rPr>
        <w:t xml:space="preserve"> se </w:t>
      </w:r>
      <w:r w:rsidR="00CB006C" w:rsidRPr="00C01AE6">
        <w:rPr>
          <w:color w:val="0C0C0C"/>
          <w:sz w:val="22"/>
          <w:szCs w:val="22"/>
          <w:lang w:val="sr-Latn-ME"/>
        </w:rPr>
        <w:t>mijenjao</w:t>
      </w:r>
      <w:r w:rsidRPr="00C01AE6">
        <w:rPr>
          <w:color w:val="0C0C0C"/>
          <w:sz w:val="22"/>
          <w:szCs w:val="22"/>
          <w:lang w:val="sr-Latn-ME"/>
        </w:rPr>
        <w:t xml:space="preserve">. U kliničkim ispitivanjima se nije pokazalo da razvoj </w:t>
      </w:r>
      <w:r w:rsidR="00563470" w:rsidRPr="00C01AE6">
        <w:rPr>
          <w:color w:val="0C0C0C"/>
          <w:sz w:val="22"/>
          <w:szCs w:val="22"/>
          <w:lang w:val="sr-Latn-ME"/>
        </w:rPr>
        <w:t xml:space="preserve">antitijela </w:t>
      </w:r>
      <w:r w:rsidRPr="00C01AE6">
        <w:rPr>
          <w:color w:val="0C0C0C"/>
          <w:sz w:val="22"/>
          <w:szCs w:val="22"/>
          <w:lang w:val="sr-Latn-ME"/>
        </w:rPr>
        <w:t xml:space="preserve">utiče na kliničku efikasnost ili </w:t>
      </w:r>
      <w:r w:rsidR="00BA210B" w:rsidRPr="00C01AE6">
        <w:rPr>
          <w:color w:val="0C0C0C"/>
          <w:sz w:val="22"/>
          <w:szCs w:val="22"/>
          <w:lang w:val="sr-Latn-ME"/>
        </w:rPr>
        <w:t>bezbjednost</w:t>
      </w:r>
      <w:r w:rsidRPr="00C01AE6">
        <w:rPr>
          <w:color w:val="0C0C0C"/>
          <w:sz w:val="22"/>
          <w:szCs w:val="22"/>
          <w:lang w:val="sr-Latn-ME"/>
        </w:rPr>
        <w:t xml:space="preserve"> (</w:t>
      </w:r>
      <w:r w:rsidR="00BA210B" w:rsidRPr="00C01AE6">
        <w:rPr>
          <w:color w:val="0C0C0C"/>
          <w:sz w:val="22"/>
          <w:szCs w:val="22"/>
          <w:lang w:val="sr-Latn-ME"/>
        </w:rPr>
        <w:t>vidjeti</w:t>
      </w:r>
      <w:r w:rsidRPr="00C01AE6">
        <w:rPr>
          <w:color w:val="0C0C0C"/>
          <w:sz w:val="22"/>
          <w:szCs w:val="22"/>
          <w:lang w:val="sr-Latn-ME"/>
        </w:rPr>
        <w:t xml:space="preserve"> </w:t>
      </w:r>
      <w:r w:rsidR="008B6182" w:rsidRPr="00C01AE6">
        <w:rPr>
          <w:color w:val="0C0C0C"/>
          <w:sz w:val="22"/>
          <w:szCs w:val="22"/>
          <w:lang w:val="sr-Latn-ME"/>
        </w:rPr>
        <w:t>dio</w:t>
      </w:r>
      <w:r w:rsidRPr="00C01AE6">
        <w:rPr>
          <w:color w:val="0C0C0C"/>
          <w:sz w:val="22"/>
          <w:szCs w:val="22"/>
          <w:lang w:val="sr-Latn-ME"/>
        </w:rPr>
        <w:t xml:space="preserve"> 5.2). Podaci zab</w:t>
      </w:r>
      <w:r w:rsidR="008D0318" w:rsidRPr="00C01AE6">
        <w:rPr>
          <w:color w:val="0C0C0C"/>
          <w:sz w:val="22"/>
          <w:szCs w:val="22"/>
          <w:lang w:val="sr-Latn-ME"/>
        </w:rPr>
        <w:t>i</w:t>
      </w:r>
      <w:r w:rsidRPr="00C01AE6">
        <w:rPr>
          <w:color w:val="0C0C0C"/>
          <w:sz w:val="22"/>
          <w:szCs w:val="22"/>
          <w:lang w:val="sr-Latn-ME"/>
        </w:rPr>
        <w:t>l</w:t>
      </w:r>
      <w:r w:rsidR="008D0318" w:rsidRPr="00C01AE6">
        <w:rPr>
          <w:color w:val="0C0C0C"/>
          <w:sz w:val="22"/>
          <w:szCs w:val="22"/>
          <w:lang w:val="sr-Latn-ME"/>
        </w:rPr>
        <w:t>j</w:t>
      </w:r>
      <w:r w:rsidRPr="00C01AE6">
        <w:rPr>
          <w:color w:val="0C0C0C"/>
          <w:sz w:val="22"/>
          <w:szCs w:val="22"/>
          <w:lang w:val="sr-Latn-ME"/>
        </w:rPr>
        <w:t>eženi nakon stavljanja l</w:t>
      </w:r>
      <w:r w:rsidR="00705D60" w:rsidRPr="00C01AE6">
        <w:rPr>
          <w:color w:val="0C0C0C"/>
          <w:sz w:val="22"/>
          <w:szCs w:val="22"/>
          <w:lang w:val="sr-Latn-ME"/>
        </w:rPr>
        <w:t>ij</w:t>
      </w:r>
      <w:r w:rsidRPr="00C01AE6">
        <w:rPr>
          <w:color w:val="0C0C0C"/>
          <w:sz w:val="22"/>
          <w:szCs w:val="22"/>
          <w:lang w:val="sr-Latn-ME"/>
        </w:rPr>
        <w:t xml:space="preserve">eka u promet ukazuju na to da razvoj </w:t>
      </w:r>
      <w:r w:rsidR="00563470" w:rsidRPr="00C01AE6">
        <w:rPr>
          <w:color w:val="0C0C0C"/>
          <w:sz w:val="22"/>
          <w:szCs w:val="22"/>
          <w:lang w:val="sr-Latn-ME"/>
        </w:rPr>
        <w:t xml:space="preserve">antitijela </w:t>
      </w:r>
      <w:r w:rsidRPr="00C01AE6">
        <w:rPr>
          <w:color w:val="0C0C0C"/>
          <w:sz w:val="22"/>
          <w:szCs w:val="22"/>
          <w:lang w:val="sr-Latn-ME"/>
        </w:rPr>
        <w:t>može uticati na kliničku efikasnost.</w:t>
      </w:r>
    </w:p>
    <w:p w14:paraId="2057EA8B" w14:textId="77777777" w:rsidR="00D901C1" w:rsidRPr="00C01AE6" w:rsidRDefault="00D901C1" w:rsidP="00655C9D">
      <w:pPr>
        <w:widowControl w:val="0"/>
        <w:autoSpaceDE w:val="0"/>
        <w:autoSpaceDN w:val="0"/>
        <w:jc w:val="both"/>
        <w:rPr>
          <w:sz w:val="22"/>
          <w:szCs w:val="22"/>
          <w:lang w:val="sr-Latn-ME"/>
        </w:rPr>
      </w:pPr>
    </w:p>
    <w:p w14:paraId="67CD9822" w14:textId="676CC59B" w:rsidR="00D901C1" w:rsidRPr="00C01AE6" w:rsidRDefault="00D901C1" w:rsidP="00655C9D">
      <w:pPr>
        <w:widowControl w:val="0"/>
        <w:autoSpaceDE w:val="0"/>
        <w:autoSpaceDN w:val="0"/>
        <w:spacing w:line="249" w:lineRule="auto"/>
        <w:jc w:val="both"/>
        <w:rPr>
          <w:sz w:val="22"/>
          <w:szCs w:val="22"/>
          <w:lang w:val="sr-Latn-ME"/>
        </w:rPr>
      </w:pPr>
      <w:r w:rsidRPr="00C01AE6">
        <w:rPr>
          <w:color w:val="0C0C0C"/>
          <w:sz w:val="22"/>
          <w:szCs w:val="22"/>
          <w:lang w:val="sr-Latn-ME"/>
        </w:rPr>
        <w:t>U kliničkim ispitivanjima ni</w:t>
      </w:r>
      <w:r w:rsidR="008D0318" w:rsidRPr="00C01AE6">
        <w:rPr>
          <w:color w:val="0C0C0C"/>
          <w:sz w:val="22"/>
          <w:szCs w:val="22"/>
          <w:lang w:val="sr-Latn-ME"/>
        </w:rPr>
        <w:t>je</w:t>
      </w:r>
      <w:r w:rsidRPr="00C01AE6">
        <w:rPr>
          <w:color w:val="0C0C0C"/>
          <w:sz w:val="22"/>
          <w:szCs w:val="22"/>
          <w:lang w:val="sr-Latn-ME"/>
        </w:rPr>
        <w:t xml:space="preserve">su </w:t>
      </w:r>
      <w:r w:rsidR="00563470" w:rsidRPr="00C01AE6">
        <w:rPr>
          <w:color w:val="0C0C0C"/>
          <w:sz w:val="22"/>
          <w:szCs w:val="22"/>
          <w:lang w:val="sr-Latn-ME"/>
        </w:rPr>
        <w:t xml:space="preserve">opažene tendencije prema javljanju neželjenih reakcija na </w:t>
      </w:r>
      <w:r w:rsidR="0046703B" w:rsidRPr="00C01AE6">
        <w:rPr>
          <w:color w:val="0C0C0C"/>
          <w:sz w:val="22"/>
          <w:szCs w:val="22"/>
          <w:lang w:val="sr-Latn-ME"/>
        </w:rPr>
        <w:t xml:space="preserve">osnovu </w:t>
      </w:r>
      <w:r w:rsidR="00563470" w:rsidRPr="00C01AE6">
        <w:rPr>
          <w:color w:val="0C0C0C"/>
          <w:sz w:val="22"/>
          <w:szCs w:val="22"/>
          <w:lang w:val="sr-Latn-ME"/>
        </w:rPr>
        <w:t>prisutnosti ili odsutnosti antitijela</w:t>
      </w:r>
      <w:r w:rsidRPr="00C01AE6">
        <w:rPr>
          <w:color w:val="0C0C0C"/>
          <w:sz w:val="22"/>
          <w:szCs w:val="22"/>
          <w:lang w:val="sr-Latn-ME"/>
        </w:rPr>
        <w:t xml:space="preserve">. Neki pacijenti za koje je potvrđeno da su pozitivni na </w:t>
      </w:r>
      <w:r w:rsidR="00563470" w:rsidRPr="00C01AE6">
        <w:rPr>
          <w:color w:val="0C0C0C"/>
          <w:sz w:val="22"/>
          <w:szCs w:val="22"/>
          <w:lang w:val="sr-Latn-ME"/>
        </w:rPr>
        <w:t xml:space="preserve">antitijela </w:t>
      </w:r>
      <w:r w:rsidRPr="00C01AE6">
        <w:rPr>
          <w:color w:val="0C0C0C"/>
          <w:sz w:val="22"/>
          <w:szCs w:val="22"/>
          <w:lang w:val="sr-Latn-ME"/>
        </w:rPr>
        <w:t>na l</w:t>
      </w:r>
      <w:r w:rsidR="00705D60" w:rsidRPr="00C01AE6">
        <w:rPr>
          <w:color w:val="0C0C0C"/>
          <w:sz w:val="22"/>
          <w:szCs w:val="22"/>
          <w:lang w:val="sr-Latn-ME"/>
        </w:rPr>
        <w:t>ij</w:t>
      </w:r>
      <w:r w:rsidRPr="00C01AE6">
        <w:rPr>
          <w:color w:val="0C0C0C"/>
          <w:sz w:val="22"/>
          <w:szCs w:val="22"/>
          <w:lang w:val="sr-Latn-ME"/>
        </w:rPr>
        <w:t xml:space="preserve">ek imali su reakcije na </w:t>
      </w:r>
      <w:r w:rsidR="00613845" w:rsidRPr="00C01AE6">
        <w:rPr>
          <w:color w:val="0C0C0C"/>
          <w:sz w:val="22"/>
          <w:szCs w:val="22"/>
          <w:lang w:val="sr-Latn-ME"/>
        </w:rPr>
        <w:t>mjestu</w:t>
      </w:r>
      <w:r w:rsidRPr="00C01AE6">
        <w:rPr>
          <w:color w:val="0C0C0C"/>
          <w:sz w:val="22"/>
          <w:szCs w:val="22"/>
          <w:lang w:val="sr-Latn-ME"/>
        </w:rPr>
        <w:t xml:space="preserve"> </w:t>
      </w:r>
      <w:r w:rsidR="00BA210B" w:rsidRPr="00C01AE6">
        <w:rPr>
          <w:color w:val="0C0C0C"/>
          <w:sz w:val="22"/>
          <w:szCs w:val="22"/>
          <w:lang w:val="sr-Latn-ME"/>
        </w:rPr>
        <w:t>primjen</w:t>
      </w:r>
      <w:r w:rsidRPr="00C01AE6">
        <w:rPr>
          <w:color w:val="0C0C0C"/>
          <w:sz w:val="22"/>
          <w:szCs w:val="22"/>
          <w:lang w:val="sr-Latn-ME"/>
        </w:rPr>
        <w:t xml:space="preserve">e injekcije </w:t>
      </w:r>
      <w:r w:rsidR="00563470" w:rsidRPr="00C01AE6">
        <w:rPr>
          <w:color w:val="0C0C0C"/>
          <w:sz w:val="22"/>
          <w:szCs w:val="22"/>
          <w:lang w:val="sr-Latn-ME"/>
        </w:rPr>
        <w:t xml:space="preserve">i/ili </w:t>
      </w:r>
      <w:r w:rsidR="00613845" w:rsidRPr="00C01AE6">
        <w:rPr>
          <w:color w:val="0C0C0C"/>
          <w:sz w:val="22"/>
          <w:szCs w:val="22"/>
          <w:lang w:val="sr-Latn-ME"/>
        </w:rPr>
        <w:t>preosjetljivost</w:t>
      </w:r>
      <w:r w:rsidRPr="00C01AE6">
        <w:rPr>
          <w:color w:val="0C0C0C"/>
          <w:sz w:val="22"/>
          <w:szCs w:val="22"/>
          <w:lang w:val="sr-Latn-ME"/>
        </w:rPr>
        <w:t xml:space="preserve">, međutim, između pacijenata koji su bili </w:t>
      </w:r>
      <w:r w:rsidR="00563470" w:rsidRPr="00C01AE6">
        <w:rPr>
          <w:color w:val="0C0C0C"/>
          <w:sz w:val="22"/>
          <w:szCs w:val="22"/>
          <w:lang w:val="sr-Latn-ME"/>
        </w:rPr>
        <w:t xml:space="preserve">uvijek </w:t>
      </w:r>
      <w:r w:rsidRPr="00C01AE6">
        <w:rPr>
          <w:color w:val="0C0C0C"/>
          <w:sz w:val="22"/>
          <w:szCs w:val="22"/>
          <w:lang w:val="sr-Latn-ME"/>
        </w:rPr>
        <w:t xml:space="preserve">pozitivni na </w:t>
      </w:r>
      <w:r w:rsidR="00563470" w:rsidRPr="00C01AE6">
        <w:rPr>
          <w:color w:val="0C0C0C"/>
          <w:sz w:val="22"/>
          <w:szCs w:val="22"/>
          <w:lang w:val="sr-Latn-ME"/>
        </w:rPr>
        <w:t xml:space="preserve">antitijela </w:t>
      </w:r>
      <w:r w:rsidRPr="00C01AE6">
        <w:rPr>
          <w:color w:val="0C0C0C"/>
          <w:sz w:val="22"/>
          <w:szCs w:val="22"/>
          <w:lang w:val="sr-Latn-ME"/>
        </w:rPr>
        <w:t>na l</w:t>
      </w:r>
      <w:r w:rsidR="00705D60" w:rsidRPr="00C01AE6">
        <w:rPr>
          <w:color w:val="0C0C0C"/>
          <w:sz w:val="22"/>
          <w:szCs w:val="22"/>
          <w:lang w:val="sr-Latn-ME"/>
        </w:rPr>
        <w:t>ij</w:t>
      </w:r>
      <w:r w:rsidRPr="00C01AE6">
        <w:rPr>
          <w:color w:val="0C0C0C"/>
          <w:sz w:val="22"/>
          <w:szCs w:val="22"/>
          <w:lang w:val="sr-Latn-ME"/>
        </w:rPr>
        <w:t>ek i onih koji su bili uv</w:t>
      </w:r>
      <w:r w:rsidR="0046703B" w:rsidRPr="00C01AE6">
        <w:rPr>
          <w:color w:val="0C0C0C"/>
          <w:sz w:val="22"/>
          <w:szCs w:val="22"/>
          <w:lang w:val="sr-Latn-ME"/>
        </w:rPr>
        <w:t>ij</w:t>
      </w:r>
      <w:r w:rsidRPr="00C01AE6">
        <w:rPr>
          <w:color w:val="0C0C0C"/>
          <w:sz w:val="22"/>
          <w:szCs w:val="22"/>
          <w:lang w:val="sr-Latn-ME"/>
        </w:rPr>
        <w:t>ek negativni, nije ustanovljen</w:t>
      </w:r>
      <w:r w:rsidR="0046703B" w:rsidRPr="00C01AE6">
        <w:rPr>
          <w:color w:val="0C0C0C"/>
          <w:sz w:val="22"/>
          <w:szCs w:val="22"/>
          <w:lang w:val="sr-Latn-ME"/>
        </w:rPr>
        <w:t>a</w:t>
      </w:r>
      <w:r w:rsidRPr="00C01AE6">
        <w:rPr>
          <w:color w:val="0C0C0C"/>
          <w:sz w:val="22"/>
          <w:szCs w:val="22"/>
          <w:lang w:val="sr-Latn-ME"/>
        </w:rPr>
        <w:t xml:space="preserve"> </w:t>
      </w:r>
      <w:r w:rsidR="00563470" w:rsidRPr="00C01AE6">
        <w:rPr>
          <w:color w:val="0C0C0C"/>
          <w:sz w:val="22"/>
          <w:szCs w:val="22"/>
          <w:lang w:val="sr-Latn-ME"/>
        </w:rPr>
        <w:t xml:space="preserve">dosljedna povezanost </w:t>
      </w:r>
      <w:r w:rsidRPr="00C01AE6">
        <w:rPr>
          <w:color w:val="0C0C0C"/>
          <w:sz w:val="22"/>
          <w:szCs w:val="22"/>
          <w:lang w:val="sr-Latn-ME"/>
        </w:rPr>
        <w:t xml:space="preserve">u učestalosti tih reakcija tokom </w:t>
      </w:r>
      <w:proofErr w:type="spellStart"/>
      <w:r w:rsidR="005B26E6" w:rsidRPr="00C01AE6">
        <w:rPr>
          <w:color w:val="0C0C0C"/>
          <w:sz w:val="22"/>
          <w:szCs w:val="22"/>
          <w:lang w:val="sr-Latn-ME"/>
        </w:rPr>
        <w:t>vremena</w:t>
      </w:r>
      <w:proofErr w:type="spellEnd"/>
      <w:r w:rsidRPr="00C01AE6">
        <w:rPr>
          <w:color w:val="0C0C0C"/>
          <w:sz w:val="22"/>
          <w:szCs w:val="22"/>
          <w:lang w:val="sr-Latn-ME"/>
        </w:rPr>
        <w:t>.</w:t>
      </w:r>
    </w:p>
    <w:p w14:paraId="22142614" w14:textId="77777777" w:rsidR="004E70AD" w:rsidRPr="00C01AE6" w:rsidRDefault="004E70AD" w:rsidP="00655C9D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</w:p>
    <w:p w14:paraId="1B313422" w14:textId="77777777" w:rsidR="00C01AE6" w:rsidRDefault="00C01AE6" w:rsidP="00655C9D">
      <w:pPr>
        <w:spacing w:line="276" w:lineRule="auto"/>
        <w:jc w:val="both"/>
        <w:rPr>
          <w:rFonts w:eastAsia="Calibri"/>
          <w:sz w:val="22"/>
          <w:szCs w:val="22"/>
          <w:u w:val="single"/>
          <w:lang w:val="sr-Latn-ME"/>
        </w:rPr>
      </w:pPr>
    </w:p>
    <w:p w14:paraId="39C6D2CA" w14:textId="77777777" w:rsidR="00C01AE6" w:rsidRDefault="00C01AE6" w:rsidP="00655C9D">
      <w:pPr>
        <w:spacing w:line="276" w:lineRule="auto"/>
        <w:jc w:val="both"/>
        <w:rPr>
          <w:rFonts w:eastAsia="Calibri"/>
          <w:sz w:val="22"/>
          <w:szCs w:val="22"/>
          <w:u w:val="single"/>
          <w:lang w:val="sr-Latn-ME"/>
        </w:rPr>
      </w:pPr>
    </w:p>
    <w:p w14:paraId="7A057F8A" w14:textId="10417233" w:rsidR="005A23D2" w:rsidRPr="00C01AE6" w:rsidRDefault="005A23D2" w:rsidP="00655C9D">
      <w:pPr>
        <w:spacing w:line="276" w:lineRule="auto"/>
        <w:jc w:val="both"/>
        <w:rPr>
          <w:rFonts w:eastAsia="Calibri"/>
          <w:sz w:val="22"/>
          <w:szCs w:val="22"/>
          <w:u w:val="single"/>
          <w:lang w:val="sr-Latn-ME"/>
        </w:rPr>
      </w:pPr>
      <w:r w:rsidRPr="00C01AE6">
        <w:rPr>
          <w:rFonts w:eastAsia="Calibri"/>
          <w:sz w:val="22"/>
          <w:szCs w:val="22"/>
          <w:u w:val="single"/>
          <w:lang w:val="sr-Latn-ME"/>
        </w:rPr>
        <w:lastRenderedPageBreak/>
        <w:t>Prijavljivanje sumnji na neželjena dejstva</w:t>
      </w:r>
    </w:p>
    <w:p w14:paraId="3FFACCC4" w14:textId="77777777" w:rsidR="005A23D2" w:rsidRPr="00C01AE6" w:rsidRDefault="005A23D2" w:rsidP="00655C9D">
      <w:pPr>
        <w:jc w:val="both"/>
        <w:rPr>
          <w:rFonts w:eastAsia="Calibri"/>
          <w:sz w:val="22"/>
          <w:szCs w:val="22"/>
          <w:lang w:val="sr-Latn-ME"/>
        </w:rPr>
      </w:pPr>
      <w:r w:rsidRPr="00C01AE6">
        <w:rPr>
          <w:rFonts w:eastAsia="Calibri"/>
          <w:sz w:val="22"/>
          <w:szCs w:val="22"/>
          <w:lang w:val="sr-Latn-ME"/>
        </w:rPr>
        <w:t>Prijavljivanje neželjenih dejstava nakon dobijanja dozvole je od velikog značaja jer obezbjeđuje kont</w:t>
      </w:r>
      <w:r w:rsidR="00EA5765" w:rsidRPr="00C01AE6">
        <w:rPr>
          <w:rFonts w:eastAsia="Calibri"/>
          <w:sz w:val="22"/>
          <w:szCs w:val="22"/>
          <w:lang w:val="sr-Latn-ME"/>
        </w:rPr>
        <w:t>inuirano praćenje odnosa korist</w:t>
      </w:r>
      <w:r w:rsidRPr="00C01AE6">
        <w:rPr>
          <w:rFonts w:eastAsia="Calibri"/>
          <w:sz w:val="22"/>
          <w:szCs w:val="22"/>
          <w:lang w:val="sr-Latn-ME"/>
        </w:rPr>
        <w:t>/rizik primjene lijeka. Zdravstveni radnici treba da prijave svaku sumnju na neželjeno</w:t>
      </w:r>
      <w:r w:rsidR="009B062A" w:rsidRPr="00C01AE6">
        <w:rPr>
          <w:rFonts w:eastAsia="Calibri"/>
          <w:sz w:val="22"/>
          <w:szCs w:val="22"/>
          <w:lang w:val="sr-Latn-ME"/>
        </w:rPr>
        <w:t xml:space="preserve"> </w:t>
      </w:r>
      <w:r w:rsidRPr="00C01AE6">
        <w:rPr>
          <w:rFonts w:eastAsia="Calibri"/>
          <w:sz w:val="22"/>
          <w:szCs w:val="22"/>
          <w:lang w:val="sr-Latn-ME"/>
        </w:rPr>
        <w:t xml:space="preserve">dejstvo ovog lijeka </w:t>
      </w:r>
      <w:r w:rsidR="004E70AD" w:rsidRPr="00C01AE6">
        <w:rPr>
          <w:rFonts w:eastAsia="Calibri"/>
          <w:sz w:val="22"/>
          <w:szCs w:val="22"/>
          <w:lang w:val="sr-Latn-ME"/>
        </w:rPr>
        <w:t>Institutu</w:t>
      </w:r>
      <w:r w:rsidRPr="00C01AE6">
        <w:rPr>
          <w:rFonts w:eastAsia="Calibri"/>
          <w:sz w:val="22"/>
          <w:szCs w:val="22"/>
          <w:lang w:val="sr-Latn-ME"/>
        </w:rPr>
        <w:t xml:space="preserve"> za ljekove i medicinska sredstva</w:t>
      </w:r>
      <w:r w:rsidR="004E70AD" w:rsidRPr="00C01AE6">
        <w:rPr>
          <w:rFonts w:eastAsia="Calibri"/>
          <w:sz w:val="22"/>
          <w:szCs w:val="22"/>
          <w:lang w:val="sr-Latn-ME"/>
        </w:rPr>
        <w:t xml:space="preserve"> </w:t>
      </w:r>
      <w:r w:rsidRPr="00C01AE6">
        <w:rPr>
          <w:rFonts w:eastAsia="Calibri"/>
          <w:sz w:val="22"/>
          <w:szCs w:val="22"/>
          <w:lang w:val="sr-Latn-ME"/>
        </w:rPr>
        <w:t>(</w:t>
      </w:r>
      <w:r w:rsidR="004E70AD" w:rsidRPr="00C01AE6">
        <w:rPr>
          <w:rFonts w:eastAsia="Calibri"/>
          <w:sz w:val="22"/>
          <w:szCs w:val="22"/>
          <w:lang w:val="sr-Latn-ME"/>
        </w:rPr>
        <w:t>CInMED</w:t>
      </w:r>
      <w:r w:rsidRPr="00C01AE6">
        <w:rPr>
          <w:rFonts w:eastAsia="Calibri"/>
          <w:sz w:val="22"/>
          <w:szCs w:val="22"/>
          <w:lang w:val="sr-Latn-ME"/>
        </w:rPr>
        <w:t>):</w:t>
      </w:r>
    </w:p>
    <w:p w14:paraId="20D9C89F" w14:textId="77777777" w:rsidR="00C01AE6" w:rsidRDefault="00C01AE6" w:rsidP="00655C9D">
      <w:pPr>
        <w:pStyle w:val="NoSpacing"/>
        <w:jc w:val="both"/>
        <w:rPr>
          <w:rFonts w:eastAsia="Calibri"/>
          <w:sz w:val="22"/>
          <w:szCs w:val="22"/>
          <w:lang w:val="sr-Latn-ME"/>
        </w:rPr>
      </w:pPr>
    </w:p>
    <w:p w14:paraId="138E49F5" w14:textId="5B81E277" w:rsidR="005A23D2" w:rsidRPr="00C01AE6" w:rsidRDefault="004E70AD" w:rsidP="00655C9D">
      <w:pPr>
        <w:pStyle w:val="NoSpacing"/>
        <w:jc w:val="both"/>
        <w:rPr>
          <w:rFonts w:eastAsia="Calibri"/>
          <w:sz w:val="22"/>
          <w:szCs w:val="22"/>
          <w:lang w:val="sr-Latn-ME"/>
        </w:rPr>
      </w:pPr>
      <w:r w:rsidRPr="00C01AE6">
        <w:rPr>
          <w:rFonts w:eastAsia="Calibri"/>
          <w:sz w:val="22"/>
          <w:szCs w:val="22"/>
          <w:lang w:val="sr-Latn-ME"/>
        </w:rPr>
        <w:t xml:space="preserve">Institut </w:t>
      </w:r>
      <w:r w:rsidR="005A23D2" w:rsidRPr="00C01AE6">
        <w:rPr>
          <w:rFonts w:eastAsia="Calibri"/>
          <w:sz w:val="22"/>
          <w:szCs w:val="22"/>
          <w:lang w:val="sr-Latn-ME"/>
        </w:rPr>
        <w:t xml:space="preserve">za ljekove i medicinska sredstva </w:t>
      </w:r>
    </w:p>
    <w:p w14:paraId="54B7EBCF" w14:textId="77777777" w:rsidR="005A23D2" w:rsidRPr="00C01AE6" w:rsidRDefault="005A23D2" w:rsidP="00655C9D">
      <w:pPr>
        <w:pStyle w:val="NoSpacing"/>
        <w:jc w:val="both"/>
        <w:rPr>
          <w:rFonts w:eastAsia="Calibri"/>
          <w:sz w:val="22"/>
          <w:szCs w:val="22"/>
          <w:lang w:val="sr-Latn-ME"/>
        </w:rPr>
      </w:pPr>
      <w:r w:rsidRPr="00C01AE6">
        <w:rPr>
          <w:rFonts w:eastAsia="Calibri"/>
          <w:sz w:val="22"/>
          <w:szCs w:val="22"/>
          <w:lang w:val="sr-Latn-ME"/>
        </w:rPr>
        <w:t xml:space="preserve">Odjeljenje za </w:t>
      </w:r>
      <w:proofErr w:type="spellStart"/>
      <w:r w:rsidRPr="00C01AE6">
        <w:rPr>
          <w:rFonts w:eastAsia="Calibri"/>
          <w:sz w:val="22"/>
          <w:szCs w:val="22"/>
          <w:lang w:val="sr-Latn-ME"/>
        </w:rPr>
        <w:t>farmakovigilancu</w:t>
      </w:r>
      <w:proofErr w:type="spellEnd"/>
    </w:p>
    <w:p w14:paraId="2EDE39B2" w14:textId="77777777" w:rsidR="00EA5765" w:rsidRPr="00C01AE6" w:rsidRDefault="005A23D2" w:rsidP="00655C9D">
      <w:pPr>
        <w:pStyle w:val="NoSpacing"/>
        <w:jc w:val="both"/>
        <w:rPr>
          <w:rFonts w:eastAsia="Calibri"/>
          <w:sz w:val="22"/>
          <w:szCs w:val="22"/>
          <w:lang w:val="sr-Latn-ME"/>
        </w:rPr>
      </w:pPr>
      <w:r w:rsidRPr="00C01AE6">
        <w:rPr>
          <w:rFonts w:eastAsia="Calibri"/>
          <w:sz w:val="22"/>
          <w:szCs w:val="22"/>
          <w:lang w:val="sr-Latn-ME"/>
        </w:rPr>
        <w:t xml:space="preserve">Bulevar Ivana Crnojevića </w:t>
      </w:r>
      <w:proofErr w:type="spellStart"/>
      <w:r w:rsidRPr="00C01AE6">
        <w:rPr>
          <w:rFonts w:eastAsia="Calibri"/>
          <w:sz w:val="22"/>
          <w:szCs w:val="22"/>
          <w:lang w:val="sr-Latn-ME"/>
        </w:rPr>
        <w:t>64a</w:t>
      </w:r>
      <w:proofErr w:type="spellEnd"/>
      <w:r w:rsidRPr="00C01AE6">
        <w:rPr>
          <w:rFonts w:eastAsia="Calibri"/>
          <w:sz w:val="22"/>
          <w:szCs w:val="22"/>
          <w:lang w:val="sr-Latn-ME"/>
        </w:rPr>
        <w:t>, 81000 Podgorica</w:t>
      </w:r>
    </w:p>
    <w:p w14:paraId="1E581ECF" w14:textId="77777777" w:rsidR="00EA5765" w:rsidRPr="00C01AE6" w:rsidRDefault="00EA5765" w:rsidP="00655C9D">
      <w:pPr>
        <w:pStyle w:val="NoSpacing"/>
        <w:jc w:val="both"/>
        <w:rPr>
          <w:rFonts w:eastAsia="Calibri"/>
          <w:sz w:val="22"/>
          <w:szCs w:val="22"/>
          <w:lang w:val="sr-Latn-ME"/>
        </w:rPr>
      </w:pPr>
    </w:p>
    <w:p w14:paraId="35A2A711" w14:textId="77777777" w:rsidR="005A23D2" w:rsidRPr="00C01AE6" w:rsidRDefault="005A23D2" w:rsidP="00655C9D">
      <w:pPr>
        <w:pStyle w:val="NoSpacing"/>
        <w:jc w:val="both"/>
        <w:rPr>
          <w:rFonts w:eastAsia="Calibri"/>
          <w:sz w:val="22"/>
          <w:szCs w:val="22"/>
          <w:lang w:val="sr-Latn-ME"/>
        </w:rPr>
      </w:pPr>
      <w:r w:rsidRPr="00C01AE6">
        <w:rPr>
          <w:rFonts w:eastAsia="Calibri"/>
          <w:sz w:val="22"/>
          <w:szCs w:val="22"/>
          <w:lang w:val="sr-Latn-ME"/>
        </w:rPr>
        <w:t>tel: +382 (0) 20 310 280</w:t>
      </w:r>
    </w:p>
    <w:p w14:paraId="3BF01609" w14:textId="77777777" w:rsidR="00EA5765" w:rsidRPr="00C01AE6" w:rsidRDefault="005A23D2" w:rsidP="00655C9D">
      <w:pPr>
        <w:pStyle w:val="NoSpacing"/>
        <w:tabs>
          <w:tab w:val="left" w:pos="6720"/>
        </w:tabs>
        <w:jc w:val="both"/>
        <w:rPr>
          <w:rFonts w:eastAsia="Calibri"/>
          <w:sz w:val="22"/>
          <w:szCs w:val="22"/>
          <w:lang w:val="sr-Latn-ME"/>
        </w:rPr>
      </w:pPr>
      <w:proofErr w:type="spellStart"/>
      <w:r w:rsidRPr="00C01AE6">
        <w:rPr>
          <w:rFonts w:eastAsia="Calibri"/>
          <w:sz w:val="22"/>
          <w:szCs w:val="22"/>
          <w:lang w:val="sr-Latn-ME"/>
        </w:rPr>
        <w:t>fax</w:t>
      </w:r>
      <w:proofErr w:type="spellEnd"/>
      <w:r w:rsidRPr="00C01AE6">
        <w:rPr>
          <w:rFonts w:eastAsia="Calibri"/>
          <w:sz w:val="22"/>
          <w:szCs w:val="22"/>
          <w:lang w:val="sr-Latn-ME"/>
        </w:rPr>
        <w:t>:</w:t>
      </w:r>
      <w:r w:rsidR="00EA5765" w:rsidRPr="00C01AE6">
        <w:rPr>
          <w:rFonts w:eastAsia="Calibri"/>
          <w:sz w:val="22"/>
          <w:szCs w:val="22"/>
          <w:lang w:val="sr-Latn-ME"/>
        </w:rPr>
        <w:t xml:space="preserve"> </w:t>
      </w:r>
      <w:r w:rsidRPr="00C01AE6">
        <w:rPr>
          <w:rFonts w:eastAsia="Calibri"/>
          <w:sz w:val="22"/>
          <w:szCs w:val="22"/>
          <w:lang w:val="sr-Latn-ME"/>
        </w:rPr>
        <w:t>+382 (0) 20 310 581</w:t>
      </w:r>
      <w:r w:rsidR="00FF3EDF" w:rsidRPr="00C01AE6">
        <w:rPr>
          <w:rFonts w:eastAsia="Calibri"/>
          <w:sz w:val="22"/>
          <w:szCs w:val="22"/>
          <w:lang w:val="sr-Latn-ME"/>
        </w:rPr>
        <w:tab/>
      </w:r>
    </w:p>
    <w:p w14:paraId="048A2F77" w14:textId="77777777" w:rsidR="005A23D2" w:rsidRPr="00C01AE6" w:rsidRDefault="008B181A" w:rsidP="00655C9D">
      <w:pPr>
        <w:pStyle w:val="NoSpacing"/>
        <w:jc w:val="both"/>
        <w:rPr>
          <w:rFonts w:eastAsia="Calibri"/>
          <w:sz w:val="22"/>
          <w:szCs w:val="22"/>
          <w:lang w:val="sr-Latn-ME"/>
        </w:rPr>
      </w:pPr>
      <w:hyperlink r:id="rId9" w:history="1">
        <w:proofErr w:type="spellStart"/>
        <w:r w:rsidR="004E70AD" w:rsidRPr="00C01AE6">
          <w:rPr>
            <w:rStyle w:val="Hyperlink"/>
            <w:rFonts w:eastAsia="Calibri"/>
            <w:sz w:val="22"/>
            <w:szCs w:val="22"/>
            <w:lang w:val="sr-Latn-ME"/>
          </w:rPr>
          <w:t>www.cinmed.me</w:t>
        </w:r>
        <w:proofErr w:type="spellEnd"/>
      </w:hyperlink>
    </w:p>
    <w:p w14:paraId="444B93B0" w14:textId="77777777" w:rsidR="00EA5765" w:rsidRPr="00C01AE6" w:rsidRDefault="008B181A" w:rsidP="00655C9D">
      <w:pPr>
        <w:pStyle w:val="NoSpacing"/>
        <w:jc w:val="both"/>
        <w:rPr>
          <w:rFonts w:eastAsia="Calibri"/>
          <w:color w:val="0000FF"/>
          <w:sz w:val="22"/>
          <w:szCs w:val="22"/>
          <w:u w:val="single"/>
          <w:lang w:val="sr-Latn-ME"/>
        </w:rPr>
      </w:pPr>
      <w:hyperlink r:id="rId10" w:history="1">
        <w:proofErr w:type="spellStart"/>
        <w:r w:rsidR="004E70AD" w:rsidRPr="00C01AE6">
          <w:rPr>
            <w:rStyle w:val="Hyperlink"/>
            <w:rFonts w:eastAsia="Calibri"/>
            <w:sz w:val="22"/>
            <w:szCs w:val="22"/>
            <w:lang w:val="sr-Latn-ME"/>
          </w:rPr>
          <w:t>nezeljenadejstva@cinmed.me</w:t>
        </w:r>
        <w:proofErr w:type="spellEnd"/>
      </w:hyperlink>
    </w:p>
    <w:p w14:paraId="226DAE44" w14:textId="77777777" w:rsidR="005A23D2" w:rsidRPr="00C01AE6" w:rsidRDefault="005A23D2" w:rsidP="00655C9D">
      <w:pPr>
        <w:pStyle w:val="NoSpacing"/>
        <w:jc w:val="both"/>
        <w:rPr>
          <w:rFonts w:eastAsia="Calibri"/>
          <w:sz w:val="22"/>
          <w:szCs w:val="22"/>
          <w:lang w:val="sr-Latn-ME"/>
        </w:rPr>
      </w:pPr>
      <w:r w:rsidRPr="00C01AE6">
        <w:rPr>
          <w:rFonts w:eastAsia="Calibri"/>
          <w:sz w:val="22"/>
          <w:szCs w:val="22"/>
          <w:lang w:val="sr-Latn-ME"/>
        </w:rPr>
        <w:t>putem IS zdravstvene zaštite</w:t>
      </w:r>
    </w:p>
    <w:p w14:paraId="64C32CAF" w14:textId="77777777" w:rsidR="007E31E9" w:rsidRPr="00C01AE6" w:rsidRDefault="007E31E9" w:rsidP="00655C9D">
      <w:pPr>
        <w:pStyle w:val="NoSpacing"/>
        <w:jc w:val="both"/>
        <w:rPr>
          <w:rFonts w:eastAsia="Calibri"/>
          <w:sz w:val="22"/>
          <w:szCs w:val="22"/>
          <w:lang w:val="sr-Latn-ME"/>
        </w:rPr>
      </w:pPr>
      <w:proofErr w:type="spellStart"/>
      <w:r w:rsidRPr="00C01AE6">
        <w:rPr>
          <w:rFonts w:eastAsia="Calibri"/>
          <w:sz w:val="22"/>
          <w:szCs w:val="22"/>
          <w:lang w:val="sr-Latn-ME"/>
        </w:rPr>
        <w:t>QR</w:t>
      </w:r>
      <w:proofErr w:type="spellEnd"/>
      <w:r w:rsidRPr="00C01AE6">
        <w:rPr>
          <w:rFonts w:eastAsia="Calibri"/>
          <w:sz w:val="22"/>
          <w:szCs w:val="22"/>
          <w:lang w:val="sr-Latn-ME"/>
        </w:rPr>
        <w:t xml:space="preserve"> kod za </w:t>
      </w:r>
      <w:proofErr w:type="spellStart"/>
      <w:r w:rsidRPr="00C01AE6">
        <w:rPr>
          <w:rFonts w:eastAsia="Calibri"/>
          <w:sz w:val="22"/>
          <w:szCs w:val="22"/>
          <w:lang w:val="sr-Latn-ME"/>
        </w:rPr>
        <w:t>online</w:t>
      </w:r>
      <w:proofErr w:type="spellEnd"/>
      <w:r w:rsidRPr="00C01AE6">
        <w:rPr>
          <w:rFonts w:eastAsia="Calibri"/>
          <w:sz w:val="22"/>
          <w:szCs w:val="22"/>
          <w:lang w:val="sr-Latn-ME"/>
        </w:rPr>
        <w:t xml:space="preserve"> prijavu</w:t>
      </w:r>
      <w:r w:rsidR="00D74CD2" w:rsidRPr="00C01AE6">
        <w:rPr>
          <w:rFonts w:eastAsia="Calibri"/>
          <w:sz w:val="22"/>
          <w:szCs w:val="22"/>
          <w:lang w:val="sr-Latn-ME"/>
        </w:rPr>
        <w:t xml:space="preserve"> sumnje na neželjeno dejstvo lijeka</w:t>
      </w:r>
      <w:r w:rsidRPr="00C01AE6">
        <w:rPr>
          <w:rFonts w:eastAsia="Calibri"/>
          <w:sz w:val="22"/>
          <w:szCs w:val="22"/>
          <w:lang w:val="sr-Latn-ME"/>
        </w:rPr>
        <w:t>:</w:t>
      </w:r>
    </w:p>
    <w:p w14:paraId="2E962871" w14:textId="77777777" w:rsidR="007E31E9" w:rsidRPr="00C01AE6" w:rsidRDefault="007E31E9">
      <w:pPr>
        <w:pStyle w:val="NoSpacing"/>
        <w:rPr>
          <w:rFonts w:eastAsia="Calibri"/>
          <w:sz w:val="22"/>
          <w:szCs w:val="22"/>
          <w:lang w:val="sr-Latn-ME"/>
        </w:rPr>
      </w:pPr>
    </w:p>
    <w:p w14:paraId="519A3BFC" w14:textId="77777777" w:rsidR="004F17E2" w:rsidRPr="00C01AE6" w:rsidRDefault="007E31E9">
      <w:pPr>
        <w:pStyle w:val="NoSpacing"/>
        <w:rPr>
          <w:rFonts w:eastAsia="Calibri"/>
          <w:sz w:val="22"/>
          <w:szCs w:val="22"/>
          <w:lang w:val="sr-Latn-ME"/>
        </w:rPr>
      </w:pPr>
      <w:r w:rsidRPr="00C01AE6">
        <w:rPr>
          <w:noProof/>
          <w:sz w:val="22"/>
          <w:szCs w:val="22"/>
          <w:lang w:val="sr-Latn-ME" w:eastAsia="sr-Latn-ME"/>
        </w:rPr>
        <w:drawing>
          <wp:inline distT="0" distB="0" distL="0" distR="0" wp14:anchorId="45BFA4A0" wp14:editId="641B7320">
            <wp:extent cx="971550" cy="971550"/>
            <wp:effectExtent l="0" t="0" r="0" b="0"/>
            <wp:docPr id="2" name="Picture 2" descr="https://cinmed.me/wp-content/uploads/2022/11/Online-prijava-NDL-QR-code-300x300.jpg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cinmed.me/wp-content/uploads/2022/11/Online-prijava-NDL-QR-code-300x300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1550" cy="971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4FC1095" w14:textId="77777777" w:rsidR="00836B35" w:rsidRPr="00C01AE6" w:rsidRDefault="00836B35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ME"/>
        </w:rPr>
      </w:pPr>
    </w:p>
    <w:p w14:paraId="7514FC64" w14:textId="5B585686" w:rsidR="00CD6F02" w:rsidRPr="00C01AE6" w:rsidRDefault="0072020E" w:rsidP="00655C9D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  <w:r w:rsidRPr="00C01AE6">
        <w:rPr>
          <w:b/>
          <w:bCs/>
          <w:sz w:val="22"/>
          <w:szCs w:val="22"/>
          <w:lang w:val="sr-Latn-ME"/>
        </w:rPr>
        <w:t xml:space="preserve">4.9. </w:t>
      </w:r>
      <w:r w:rsidR="00480FB1" w:rsidRPr="00C01AE6">
        <w:rPr>
          <w:b/>
          <w:bCs/>
          <w:sz w:val="22"/>
          <w:szCs w:val="22"/>
          <w:lang w:val="sr-Latn-ME"/>
        </w:rPr>
        <w:tab/>
      </w:r>
      <w:proofErr w:type="spellStart"/>
      <w:r w:rsidRPr="00C01AE6">
        <w:rPr>
          <w:b/>
          <w:bCs/>
          <w:sz w:val="22"/>
          <w:szCs w:val="22"/>
          <w:lang w:val="sr-Latn-ME"/>
        </w:rPr>
        <w:t>Predoziranje</w:t>
      </w:r>
      <w:proofErr w:type="spellEnd"/>
      <w:r w:rsidR="002846DB" w:rsidRPr="00C01AE6">
        <w:rPr>
          <w:b/>
          <w:bCs/>
          <w:sz w:val="22"/>
          <w:szCs w:val="22"/>
          <w:lang w:val="sr-Latn-ME"/>
        </w:rPr>
        <w:t xml:space="preserve"> </w:t>
      </w:r>
    </w:p>
    <w:p w14:paraId="66FC3F19" w14:textId="77777777" w:rsidR="0046703B" w:rsidRPr="00C01AE6" w:rsidRDefault="0046703B" w:rsidP="00655C9D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</w:p>
    <w:p w14:paraId="04A0FE39" w14:textId="3056E43D" w:rsidR="00D901C1" w:rsidRPr="00C01AE6" w:rsidRDefault="00D901C1" w:rsidP="00655C9D">
      <w:pPr>
        <w:widowControl w:val="0"/>
        <w:autoSpaceDE w:val="0"/>
        <w:autoSpaceDN w:val="0"/>
        <w:spacing w:line="247" w:lineRule="auto"/>
        <w:jc w:val="both"/>
        <w:rPr>
          <w:sz w:val="22"/>
          <w:szCs w:val="22"/>
          <w:lang w:val="sr-Latn-ME"/>
        </w:rPr>
      </w:pPr>
      <w:r w:rsidRPr="00C01AE6">
        <w:rPr>
          <w:sz w:val="22"/>
          <w:szCs w:val="22"/>
          <w:lang w:val="sr-Latn-ME"/>
        </w:rPr>
        <w:t xml:space="preserve">Iskustvo sa </w:t>
      </w:r>
      <w:proofErr w:type="spellStart"/>
      <w:r w:rsidRPr="00C01AE6">
        <w:rPr>
          <w:sz w:val="22"/>
          <w:szCs w:val="22"/>
          <w:lang w:val="sr-Latn-ME"/>
        </w:rPr>
        <w:t>predoziranjem</w:t>
      </w:r>
      <w:proofErr w:type="spellEnd"/>
      <w:r w:rsidRPr="00C01AE6">
        <w:rPr>
          <w:sz w:val="22"/>
          <w:szCs w:val="22"/>
          <w:lang w:val="sr-Latn-ME"/>
        </w:rPr>
        <w:t xml:space="preserve"> </w:t>
      </w:r>
      <w:proofErr w:type="spellStart"/>
      <w:r w:rsidRPr="00C01AE6">
        <w:rPr>
          <w:sz w:val="22"/>
          <w:szCs w:val="22"/>
          <w:lang w:val="sr-Latn-ME"/>
        </w:rPr>
        <w:t>asfotazom</w:t>
      </w:r>
      <w:proofErr w:type="spellEnd"/>
      <w:r w:rsidRPr="00C01AE6">
        <w:rPr>
          <w:sz w:val="22"/>
          <w:szCs w:val="22"/>
          <w:lang w:val="sr-Latn-ME"/>
        </w:rPr>
        <w:t xml:space="preserve"> alfa je ograničeno. Najviša doza </w:t>
      </w:r>
      <w:proofErr w:type="spellStart"/>
      <w:r w:rsidRPr="00C01AE6">
        <w:rPr>
          <w:sz w:val="22"/>
          <w:szCs w:val="22"/>
          <w:lang w:val="sr-Latn-ME"/>
        </w:rPr>
        <w:t>asfotaze</w:t>
      </w:r>
      <w:proofErr w:type="spellEnd"/>
      <w:r w:rsidRPr="00C01AE6">
        <w:rPr>
          <w:sz w:val="22"/>
          <w:szCs w:val="22"/>
          <w:lang w:val="sr-Latn-ME"/>
        </w:rPr>
        <w:t xml:space="preserve"> alfa </w:t>
      </w:r>
      <w:r w:rsidR="00BA210B" w:rsidRPr="00C01AE6">
        <w:rPr>
          <w:sz w:val="22"/>
          <w:szCs w:val="22"/>
          <w:lang w:val="sr-Latn-ME"/>
        </w:rPr>
        <w:t>prim</w:t>
      </w:r>
      <w:r w:rsidR="00705D60" w:rsidRPr="00C01AE6">
        <w:rPr>
          <w:sz w:val="22"/>
          <w:szCs w:val="22"/>
          <w:lang w:val="sr-Latn-ME"/>
        </w:rPr>
        <w:t>i</w:t>
      </w:r>
      <w:r w:rsidR="00BA210B" w:rsidRPr="00C01AE6">
        <w:rPr>
          <w:sz w:val="22"/>
          <w:szCs w:val="22"/>
          <w:lang w:val="sr-Latn-ME"/>
        </w:rPr>
        <w:t>jen</w:t>
      </w:r>
      <w:r w:rsidRPr="00C01AE6">
        <w:rPr>
          <w:sz w:val="22"/>
          <w:szCs w:val="22"/>
          <w:lang w:val="sr-Latn-ME"/>
        </w:rPr>
        <w:t>jena u kliničkim ispitivanjima iznosi 28 mg/kg ned</w:t>
      </w:r>
      <w:r w:rsidR="0046703B" w:rsidRPr="00C01AE6">
        <w:rPr>
          <w:sz w:val="22"/>
          <w:szCs w:val="22"/>
          <w:lang w:val="sr-Latn-ME"/>
        </w:rPr>
        <w:t>j</w:t>
      </w:r>
      <w:r w:rsidRPr="00C01AE6">
        <w:rPr>
          <w:sz w:val="22"/>
          <w:szCs w:val="22"/>
          <w:lang w:val="sr-Latn-ME"/>
        </w:rPr>
        <w:t xml:space="preserve">eljno. U kliničkim ispitivanjima nije </w:t>
      </w:r>
      <w:r w:rsidR="00596BD9" w:rsidRPr="00C01AE6">
        <w:rPr>
          <w:sz w:val="22"/>
          <w:szCs w:val="22"/>
          <w:lang w:val="sr-Latn-ME"/>
        </w:rPr>
        <w:t xml:space="preserve">zabilježena </w:t>
      </w:r>
      <w:r w:rsidRPr="00C01AE6">
        <w:rPr>
          <w:sz w:val="22"/>
          <w:szCs w:val="22"/>
          <w:lang w:val="sr-Latn-ME"/>
        </w:rPr>
        <w:t>toksičnost povezana sa dozom ili prom</w:t>
      </w:r>
      <w:r w:rsidR="00705D60" w:rsidRPr="00C01AE6">
        <w:rPr>
          <w:sz w:val="22"/>
          <w:szCs w:val="22"/>
          <w:lang w:val="sr-Latn-ME"/>
        </w:rPr>
        <w:t>j</w:t>
      </w:r>
      <w:r w:rsidRPr="00C01AE6">
        <w:rPr>
          <w:sz w:val="22"/>
          <w:szCs w:val="22"/>
          <w:lang w:val="sr-Latn-ME"/>
        </w:rPr>
        <w:t xml:space="preserve">ena </w:t>
      </w:r>
      <w:proofErr w:type="spellStart"/>
      <w:r w:rsidRPr="00C01AE6">
        <w:rPr>
          <w:sz w:val="22"/>
          <w:szCs w:val="22"/>
          <w:lang w:val="sr-Latn-ME"/>
        </w:rPr>
        <w:t>bezb</w:t>
      </w:r>
      <w:r w:rsidR="00596BD9" w:rsidRPr="00C01AE6">
        <w:rPr>
          <w:sz w:val="22"/>
          <w:szCs w:val="22"/>
          <w:lang w:val="sr-Latn-ME"/>
        </w:rPr>
        <w:t>j</w:t>
      </w:r>
      <w:r w:rsidRPr="00C01AE6">
        <w:rPr>
          <w:sz w:val="22"/>
          <w:szCs w:val="22"/>
          <w:lang w:val="sr-Latn-ME"/>
        </w:rPr>
        <w:t>ednosnog</w:t>
      </w:r>
      <w:proofErr w:type="spellEnd"/>
      <w:r w:rsidRPr="00C01AE6">
        <w:rPr>
          <w:sz w:val="22"/>
          <w:szCs w:val="22"/>
          <w:lang w:val="sr-Latn-ME"/>
        </w:rPr>
        <w:t xml:space="preserve"> profila. Zbog toga nivo koji bi se smatrao </w:t>
      </w:r>
      <w:proofErr w:type="spellStart"/>
      <w:r w:rsidRPr="00C01AE6">
        <w:rPr>
          <w:sz w:val="22"/>
          <w:szCs w:val="22"/>
          <w:lang w:val="sr-Latn-ME"/>
        </w:rPr>
        <w:t>predoziranjem</w:t>
      </w:r>
      <w:proofErr w:type="spellEnd"/>
      <w:r w:rsidRPr="00C01AE6">
        <w:rPr>
          <w:sz w:val="22"/>
          <w:szCs w:val="22"/>
          <w:lang w:val="sr-Latn-ME"/>
        </w:rPr>
        <w:t xml:space="preserve"> nije utvrđen. Za postupanje u slučaju neželjenih reakcija pogledajte </w:t>
      </w:r>
      <w:r w:rsidR="008B6182" w:rsidRPr="00C01AE6">
        <w:rPr>
          <w:sz w:val="22"/>
          <w:szCs w:val="22"/>
          <w:lang w:val="sr-Latn-ME"/>
        </w:rPr>
        <w:t>djelove</w:t>
      </w:r>
      <w:r w:rsidRPr="00C01AE6">
        <w:rPr>
          <w:sz w:val="22"/>
          <w:szCs w:val="22"/>
          <w:lang w:val="sr-Latn-ME"/>
        </w:rPr>
        <w:t xml:space="preserve"> 4.4 i 4.8.</w:t>
      </w:r>
    </w:p>
    <w:p w14:paraId="4123877B" w14:textId="77777777" w:rsidR="00CD6F02" w:rsidRPr="00C01AE6" w:rsidRDefault="00CD6F02" w:rsidP="00655C9D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</w:p>
    <w:p w14:paraId="0B115CF8" w14:textId="77777777" w:rsidR="00227BDB" w:rsidRPr="00C01AE6" w:rsidRDefault="00227BDB" w:rsidP="00655C9D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</w:p>
    <w:p w14:paraId="34283D0F" w14:textId="77777777" w:rsidR="0072020E" w:rsidRPr="00C01AE6" w:rsidRDefault="0072020E" w:rsidP="00655C9D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  <w:r w:rsidRPr="00C01AE6">
        <w:rPr>
          <w:b/>
          <w:bCs/>
          <w:sz w:val="22"/>
          <w:szCs w:val="22"/>
          <w:lang w:val="sr-Latn-ME"/>
        </w:rPr>
        <w:t xml:space="preserve">5. </w:t>
      </w:r>
      <w:r w:rsidR="00480FB1" w:rsidRPr="00C01AE6">
        <w:rPr>
          <w:b/>
          <w:bCs/>
          <w:sz w:val="22"/>
          <w:szCs w:val="22"/>
          <w:lang w:val="sr-Latn-ME"/>
        </w:rPr>
        <w:tab/>
      </w:r>
      <w:r w:rsidRPr="00C01AE6">
        <w:rPr>
          <w:b/>
          <w:bCs/>
          <w:sz w:val="22"/>
          <w:szCs w:val="22"/>
          <w:lang w:val="sr-Latn-ME"/>
        </w:rPr>
        <w:t>FARMAKOLOŠK</w:t>
      </w:r>
      <w:r w:rsidR="000D425A" w:rsidRPr="00C01AE6">
        <w:rPr>
          <w:b/>
          <w:bCs/>
          <w:sz w:val="22"/>
          <w:szCs w:val="22"/>
          <w:lang w:val="sr-Latn-ME"/>
        </w:rPr>
        <w:t>I</w:t>
      </w:r>
      <w:r w:rsidRPr="00C01AE6">
        <w:rPr>
          <w:b/>
          <w:bCs/>
          <w:sz w:val="22"/>
          <w:szCs w:val="22"/>
          <w:lang w:val="sr-Latn-ME"/>
        </w:rPr>
        <w:t xml:space="preserve"> PODACI</w:t>
      </w:r>
    </w:p>
    <w:p w14:paraId="06BB2D50" w14:textId="77777777" w:rsidR="0072020E" w:rsidRPr="00C01AE6" w:rsidRDefault="0072020E" w:rsidP="00655C9D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</w:p>
    <w:p w14:paraId="55C606C4" w14:textId="77777777" w:rsidR="0072020E" w:rsidRPr="00C01AE6" w:rsidRDefault="0072020E" w:rsidP="00655C9D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  <w:r w:rsidRPr="00C01AE6">
        <w:rPr>
          <w:b/>
          <w:bCs/>
          <w:sz w:val="22"/>
          <w:szCs w:val="22"/>
          <w:lang w:val="sr-Latn-ME"/>
        </w:rPr>
        <w:t xml:space="preserve">5.1. </w:t>
      </w:r>
      <w:r w:rsidR="00480FB1" w:rsidRPr="00C01AE6">
        <w:rPr>
          <w:b/>
          <w:bCs/>
          <w:sz w:val="22"/>
          <w:szCs w:val="22"/>
          <w:lang w:val="sr-Latn-ME"/>
        </w:rPr>
        <w:tab/>
      </w:r>
      <w:proofErr w:type="spellStart"/>
      <w:r w:rsidRPr="00C01AE6">
        <w:rPr>
          <w:b/>
          <w:bCs/>
          <w:sz w:val="22"/>
          <w:szCs w:val="22"/>
          <w:lang w:val="sr-Latn-ME"/>
        </w:rPr>
        <w:t>Farmakodinamski</w:t>
      </w:r>
      <w:proofErr w:type="spellEnd"/>
      <w:r w:rsidRPr="00C01AE6">
        <w:rPr>
          <w:b/>
          <w:bCs/>
          <w:sz w:val="22"/>
          <w:szCs w:val="22"/>
          <w:lang w:val="sr-Latn-ME"/>
        </w:rPr>
        <w:t xml:space="preserve"> podaci</w:t>
      </w:r>
      <w:r w:rsidR="003A7059" w:rsidRPr="00C01AE6">
        <w:rPr>
          <w:b/>
          <w:bCs/>
          <w:sz w:val="22"/>
          <w:szCs w:val="22"/>
          <w:lang w:val="sr-Latn-ME"/>
        </w:rPr>
        <w:t xml:space="preserve"> </w:t>
      </w:r>
    </w:p>
    <w:p w14:paraId="28FE6997" w14:textId="77777777" w:rsidR="00F45F77" w:rsidRPr="00C01AE6" w:rsidRDefault="00F45F77" w:rsidP="00655C9D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</w:p>
    <w:p w14:paraId="43259E45" w14:textId="52E5CC1C" w:rsidR="0072020E" w:rsidRPr="00C01AE6" w:rsidRDefault="0072020E" w:rsidP="00655C9D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proofErr w:type="spellStart"/>
      <w:r w:rsidRPr="00C01AE6">
        <w:rPr>
          <w:bCs/>
          <w:sz w:val="22"/>
          <w:szCs w:val="22"/>
          <w:lang w:val="sr-Latn-ME"/>
        </w:rPr>
        <w:t>Farmakoterapijska</w:t>
      </w:r>
      <w:proofErr w:type="spellEnd"/>
      <w:r w:rsidRPr="00C01AE6">
        <w:rPr>
          <w:bCs/>
          <w:sz w:val="22"/>
          <w:szCs w:val="22"/>
          <w:lang w:val="sr-Latn-ME"/>
        </w:rPr>
        <w:t xml:space="preserve"> grupa:</w:t>
      </w:r>
      <w:r w:rsidR="007F2902" w:rsidRPr="00C01AE6">
        <w:rPr>
          <w:bCs/>
          <w:sz w:val="22"/>
          <w:szCs w:val="22"/>
          <w:lang w:val="sr-Latn-ME"/>
        </w:rPr>
        <w:t xml:space="preserve"> </w:t>
      </w:r>
      <w:r w:rsidR="0046703B" w:rsidRPr="00C01AE6">
        <w:rPr>
          <w:sz w:val="22"/>
          <w:szCs w:val="22"/>
          <w:lang w:val="sr-Latn-ME"/>
        </w:rPr>
        <w:t>d</w:t>
      </w:r>
      <w:r w:rsidR="007F2902" w:rsidRPr="00C01AE6">
        <w:rPr>
          <w:sz w:val="22"/>
          <w:szCs w:val="22"/>
          <w:lang w:val="sr-Latn-ME"/>
        </w:rPr>
        <w:t>rugi l</w:t>
      </w:r>
      <w:r w:rsidR="00705D60" w:rsidRPr="00C01AE6">
        <w:rPr>
          <w:sz w:val="22"/>
          <w:szCs w:val="22"/>
          <w:lang w:val="sr-Latn-ME"/>
        </w:rPr>
        <w:t>j</w:t>
      </w:r>
      <w:r w:rsidR="007F2902" w:rsidRPr="00C01AE6">
        <w:rPr>
          <w:sz w:val="22"/>
          <w:szCs w:val="22"/>
          <w:lang w:val="sr-Latn-ME"/>
        </w:rPr>
        <w:t xml:space="preserve">ekovi za </w:t>
      </w:r>
      <w:proofErr w:type="spellStart"/>
      <w:r w:rsidR="00596BD9" w:rsidRPr="00C01AE6">
        <w:rPr>
          <w:sz w:val="22"/>
          <w:szCs w:val="22"/>
          <w:lang w:val="sr-Latn-ME"/>
        </w:rPr>
        <w:t>digestivni</w:t>
      </w:r>
      <w:proofErr w:type="spellEnd"/>
      <w:r w:rsidR="00596BD9" w:rsidRPr="00C01AE6">
        <w:rPr>
          <w:sz w:val="22"/>
          <w:szCs w:val="22"/>
          <w:lang w:val="sr-Latn-ME"/>
        </w:rPr>
        <w:t xml:space="preserve"> </w:t>
      </w:r>
      <w:r w:rsidR="007F2902" w:rsidRPr="00C01AE6">
        <w:rPr>
          <w:sz w:val="22"/>
          <w:szCs w:val="22"/>
          <w:lang w:val="sr-Latn-ME"/>
        </w:rPr>
        <w:t>trakt i metabolizam, enzimi</w:t>
      </w:r>
    </w:p>
    <w:p w14:paraId="1535A3CC" w14:textId="77777777" w:rsidR="0072020E" w:rsidRPr="00C01AE6" w:rsidRDefault="0072020E" w:rsidP="00655C9D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45D97DB6" w14:textId="509CE2CF" w:rsidR="0072020E" w:rsidRPr="00C01AE6" w:rsidRDefault="0072020E" w:rsidP="00655C9D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C01AE6">
        <w:rPr>
          <w:bCs/>
          <w:sz w:val="22"/>
          <w:szCs w:val="22"/>
          <w:lang w:val="sr-Latn-ME"/>
        </w:rPr>
        <w:t>ATC kod:</w:t>
      </w:r>
      <w:r w:rsidR="007F2902" w:rsidRPr="00C01AE6">
        <w:rPr>
          <w:sz w:val="22"/>
          <w:szCs w:val="22"/>
          <w:lang w:val="sr-Latn-ME"/>
        </w:rPr>
        <w:t xml:space="preserve"> </w:t>
      </w:r>
      <w:proofErr w:type="spellStart"/>
      <w:r w:rsidR="007F2902" w:rsidRPr="00C01AE6">
        <w:rPr>
          <w:sz w:val="22"/>
          <w:szCs w:val="22"/>
          <w:lang w:val="sr-Latn-ME"/>
        </w:rPr>
        <w:t>A16AB13</w:t>
      </w:r>
      <w:proofErr w:type="spellEnd"/>
    </w:p>
    <w:p w14:paraId="43B87639" w14:textId="69402EFC" w:rsidR="002E37A5" w:rsidRPr="00C01AE6" w:rsidRDefault="002E37A5" w:rsidP="00655C9D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</w:p>
    <w:p w14:paraId="58128408" w14:textId="04014997" w:rsidR="007F2902" w:rsidRPr="00C01AE6" w:rsidRDefault="007F2902" w:rsidP="00655C9D">
      <w:pPr>
        <w:widowControl w:val="0"/>
        <w:autoSpaceDE w:val="0"/>
        <w:autoSpaceDN w:val="0"/>
        <w:spacing w:line="247" w:lineRule="auto"/>
        <w:jc w:val="both"/>
        <w:rPr>
          <w:sz w:val="22"/>
          <w:szCs w:val="22"/>
          <w:lang w:val="sr-Latn-ME"/>
        </w:rPr>
      </w:pPr>
      <w:proofErr w:type="spellStart"/>
      <w:r w:rsidRPr="00C01AE6">
        <w:rPr>
          <w:sz w:val="22"/>
          <w:szCs w:val="22"/>
          <w:lang w:val="sr-Latn-ME"/>
        </w:rPr>
        <w:t>Asfotaza</w:t>
      </w:r>
      <w:proofErr w:type="spellEnd"/>
      <w:r w:rsidRPr="00C01AE6">
        <w:rPr>
          <w:sz w:val="22"/>
          <w:szCs w:val="22"/>
          <w:lang w:val="sr-Latn-ME"/>
        </w:rPr>
        <w:t xml:space="preserve"> alfa je humani </w:t>
      </w:r>
      <w:proofErr w:type="spellStart"/>
      <w:r w:rsidRPr="00C01AE6">
        <w:rPr>
          <w:sz w:val="22"/>
          <w:szCs w:val="22"/>
          <w:lang w:val="sr-Latn-ME"/>
        </w:rPr>
        <w:t>rekombinantni</w:t>
      </w:r>
      <w:proofErr w:type="spellEnd"/>
      <w:r w:rsidRPr="00C01AE6">
        <w:rPr>
          <w:sz w:val="22"/>
          <w:szCs w:val="22"/>
          <w:lang w:val="sr-Latn-ME"/>
        </w:rPr>
        <w:t xml:space="preserve"> fuzioni protein sačinjen od </w:t>
      </w:r>
      <w:proofErr w:type="spellStart"/>
      <w:r w:rsidRPr="00C01AE6">
        <w:rPr>
          <w:sz w:val="22"/>
          <w:szCs w:val="22"/>
          <w:lang w:val="sr-Latn-ME"/>
        </w:rPr>
        <w:t>tkivno</w:t>
      </w:r>
      <w:proofErr w:type="spellEnd"/>
      <w:r w:rsidRPr="00C01AE6">
        <w:rPr>
          <w:sz w:val="22"/>
          <w:szCs w:val="22"/>
          <w:lang w:val="sr-Latn-ME"/>
        </w:rPr>
        <w:t xml:space="preserve"> </w:t>
      </w:r>
      <w:proofErr w:type="spellStart"/>
      <w:r w:rsidRPr="00C01AE6">
        <w:rPr>
          <w:sz w:val="22"/>
          <w:szCs w:val="22"/>
          <w:lang w:val="sr-Latn-ME"/>
        </w:rPr>
        <w:t>nespecifične</w:t>
      </w:r>
      <w:proofErr w:type="spellEnd"/>
      <w:r w:rsidRPr="00C01AE6">
        <w:rPr>
          <w:sz w:val="22"/>
          <w:szCs w:val="22"/>
          <w:lang w:val="sr-Latn-ME"/>
        </w:rPr>
        <w:t xml:space="preserve"> alkalne </w:t>
      </w:r>
      <w:proofErr w:type="spellStart"/>
      <w:r w:rsidRPr="00C01AE6">
        <w:rPr>
          <w:sz w:val="22"/>
          <w:szCs w:val="22"/>
          <w:lang w:val="sr-Latn-ME"/>
        </w:rPr>
        <w:t>fosfataze</w:t>
      </w:r>
      <w:proofErr w:type="spellEnd"/>
      <w:r w:rsidRPr="00C01AE6">
        <w:rPr>
          <w:sz w:val="22"/>
          <w:szCs w:val="22"/>
          <w:lang w:val="sr-Latn-ME"/>
        </w:rPr>
        <w:t>-</w:t>
      </w:r>
      <w:proofErr w:type="spellStart"/>
      <w:r w:rsidRPr="00C01AE6">
        <w:rPr>
          <w:sz w:val="22"/>
          <w:szCs w:val="22"/>
          <w:lang w:val="sr-Latn-ME"/>
        </w:rPr>
        <w:t>Fc</w:t>
      </w:r>
      <w:proofErr w:type="spellEnd"/>
      <w:r w:rsidRPr="00C01AE6">
        <w:rPr>
          <w:sz w:val="22"/>
          <w:szCs w:val="22"/>
          <w:lang w:val="sr-Latn-ME"/>
        </w:rPr>
        <w:t>-deka-</w:t>
      </w:r>
      <w:proofErr w:type="spellStart"/>
      <w:r w:rsidRPr="00C01AE6">
        <w:rPr>
          <w:sz w:val="22"/>
          <w:szCs w:val="22"/>
          <w:lang w:val="sr-Latn-ME"/>
        </w:rPr>
        <w:t>aspartata</w:t>
      </w:r>
      <w:proofErr w:type="spellEnd"/>
      <w:r w:rsidRPr="00C01AE6">
        <w:rPr>
          <w:sz w:val="22"/>
          <w:szCs w:val="22"/>
          <w:lang w:val="sr-Latn-ME"/>
        </w:rPr>
        <w:t xml:space="preserve">, koji je </w:t>
      </w:r>
      <w:proofErr w:type="spellStart"/>
      <w:r w:rsidRPr="00C01AE6">
        <w:rPr>
          <w:sz w:val="22"/>
          <w:szCs w:val="22"/>
          <w:lang w:val="sr-Latn-ME"/>
        </w:rPr>
        <w:t>eksprimiran</w:t>
      </w:r>
      <w:proofErr w:type="spellEnd"/>
      <w:r w:rsidRPr="00C01AE6">
        <w:rPr>
          <w:sz w:val="22"/>
          <w:szCs w:val="22"/>
          <w:lang w:val="sr-Latn-ME"/>
        </w:rPr>
        <w:t xml:space="preserve"> u ćelijskoj liniji jajnika kineskog hrčka dobijenoj genetičkim inženjeringom. </w:t>
      </w:r>
      <w:proofErr w:type="spellStart"/>
      <w:r w:rsidRPr="00C01AE6">
        <w:rPr>
          <w:sz w:val="22"/>
          <w:szCs w:val="22"/>
          <w:lang w:val="sr-Latn-ME"/>
        </w:rPr>
        <w:t>Asfotaza</w:t>
      </w:r>
      <w:proofErr w:type="spellEnd"/>
      <w:r w:rsidRPr="00C01AE6">
        <w:rPr>
          <w:sz w:val="22"/>
          <w:szCs w:val="22"/>
          <w:lang w:val="sr-Latn-ME"/>
        </w:rPr>
        <w:t xml:space="preserve"> alfa je rastvor</w:t>
      </w:r>
      <w:r w:rsidR="0046703B" w:rsidRPr="00C01AE6">
        <w:rPr>
          <w:sz w:val="22"/>
          <w:szCs w:val="22"/>
          <w:lang w:val="sr-Latn-ME"/>
        </w:rPr>
        <w:t>lj</w:t>
      </w:r>
      <w:r w:rsidRPr="00C01AE6">
        <w:rPr>
          <w:sz w:val="22"/>
          <w:szCs w:val="22"/>
          <w:lang w:val="sr-Latn-ME"/>
        </w:rPr>
        <w:t xml:space="preserve">ivi </w:t>
      </w:r>
      <w:proofErr w:type="spellStart"/>
      <w:r w:rsidRPr="00C01AE6">
        <w:rPr>
          <w:sz w:val="22"/>
          <w:szCs w:val="22"/>
          <w:lang w:val="sr-Latn-ME"/>
        </w:rPr>
        <w:t>glikoprotein</w:t>
      </w:r>
      <w:proofErr w:type="spellEnd"/>
      <w:r w:rsidRPr="00C01AE6">
        <w:rPr>
          <w:sz w:val="22"/>
          <w:szCs w:val="22"/>
          <w:lang w:val="sr-Latn-ME"/>
        </w:rPr>
        <w:t xml:space="preserve"> koji se sastoji od dva jednaka </w:t>
      </w:r>
      <w:proofErr w:type="spellStart"/>
      <w:r w:rsidRPr="00C01AE6">
        <w:rPr>
          <w:sz w:val="22"/>
          <w:szCs w:val="22"/>
          <w:lang w:val="sr-Latn-ME"/>
        </w:rPr>
        <w:t>polipeptidna</w:t>
      </w:r>
      <w:proofErr w:type="spellEnd"/>
      <w:r w:rsidRPr="00C01AE6">
        <w:rPr>
          <w:sz w:val="22"/>
          <w:szCs w:val="22"/>
          <w:lang w:val="sr-Latn-ME"/>
        </w:rPr>
        <w:t xml:space="preserve"> lanca, svaki dužine od 726 </w:t>
      </w:r>
      <w:proofErr w:type="spellStart"/>
      <w:r w:rsidRPr="00C01AE6">
        <w:rPr>
          <w:sz w:val="22"/>
          <w:szCs w:val="22"/>
          <w:lang w:val="sr-Latn-ME"/>
        </w:rPr>
        <w:t>aminokis</w:t>
      </w:r>
      <w:r w:rsidR="00BF7680" w:rsidRPr="00C01AE6">
        <w:rPr>
          <w:sz w:val="22"/>
          <w:szCs w:val="22"/>
          <w:lang w:val="sr-Latn-ME"/>
        </w:rPr>
        <w:t>j</w:t>
      </w:r>
      <w:r w:rsidRPr="00C01AE6">
        <w:rPr>
          <w:sz w:val="22"/>
          <w:szCs w:val="22"/>
          <w:lang w:val="sr-Latn-ME"/>
        </w:rPr>
        <w:t>elina</w:t>
      </w:r>
      <w:proofErr w:type="spellEnd"/>
      <w:r w:rsidRPr="00C01AE6">
        <w:rPr>
          <w:sz w:val="22"/>
          <w:szCs w:val="22"/>
          <w:lang w:val="sr-Latn-ME"/>
        </w:rPr>
        <w:t xml:space="preserve"> napravljenih od (i) katalitičkog domena humane </w:t>
      </w:r>
      <w:proofErr w:type="spellStart"/>
      <w:r w:rsidRPr="00C01AE6">
        <w:rPr>
          <w:sz w:val="22"/>
          <w:szCs w:val="22"/>
          <w:lang w:val="sr-Latn-ME"/>
        </w:rPr>
        <w:t>tkivno</w:t>
      </w:r>
      <w:proofErr w:type="spellEnd"/>
      <w:r w:rsidRPr="00C01AE6">
        <w:rPr>
          <w:sz w:val="22"/>
          <w:szCs w:val="22"/>
          <w:lang w:val="sr-Latn-ME"/>
        </w:rPr>
        <w:t xml:space="preserve"> </w:t>
      </w:r>
      <w:proofErr w:type="spellStart"/>
      <w:r w:rsidRPr="00C01AE6">
        <w:rPr>
          <w:sz w:val="22"/>
          <w:szCs w:val="22"/>
          <w:lang w:val="sr-Latn-ME"/>
        </w:rPr>
        <w:t>nespecifične</w:t>
      </w:r>
      <w:proofErr w:type="spellEnd"/>
      <w:r w:rsidRPr="00C01AE6">
        <w:rPr>
          <w:sz w:val="22"/>
          <w:szCs w:val="22"/>
          <w:lang w:val="sr-Latn-ME"/>
        </w:rPr>
        <w:t xml:space="preserve"> alkalne </w:t>
      </w:r>
      <w:proofErr w:type="spellStart"/>
      <w:r w:rsidRPr="00C01AE6">
        <w:rPr>
          <w:sz w:val="22"/>
          <w:szCs w:val="22"/>
          <w:lang w:val="sr-Latn-ME"/>
        </w:rPr>
        <w:t>fosfataze</w:t>
      </w:r>
      <w:proofErr w:type="spellEnd"/>
      <w:r w:rsidRPr="00C01AE6">
        <w:rPr>
          <w:sz w:val="22"/>
          <w:szCs w:val="22"/>
          <w:lang w:val="sr-Latn-ME"/>
        </w:rPr>
        <w:t xml:space="preserve">, (ii) domena humanog </w:t>
      </w:r>
      <w:proofErr w:type="spellStart"/>
      <w:r w:rsidRPr="00C01AE6">
        <w:rPr>
          <w:sz w:val="22"/>
          <w:szCs w:val="22"/>
          <w:lang w:val="sr-Latn-ME"/>
        </w:rPr>
        <w:t>imunoglobulina</w:t>
      </w:r>
      <w:proofErr w:type="spellEnd"/>
      <w:r w:rsidRPr="00C01AE6">
        <w:rPr>
          <w:sz w:val="22"/>
          <w:szCs w:val="22"/>
          <w:lang w:val="sr-Latn-ME"/>
        </w:rPr>
        <w:t xml:space="preserve"> </w:t>
      </w:r>
      <w:proofErr w:type="spellStart"/>
      <w:r w:rsidRPr="00C01AE6">
        <w:rPr>
          <w:sz w:val="22"/>
          <w:szCs w:val="22"/>
          <w:lang w:val="sr-Latn-ME"/>
        </w:rPr>
        <w:t>G1</w:t>
      </w:r>
      <w:proofErr w:type="spellEnd"/>
      <w:r w:rsidRPr="00C01AE6">
        <w:rPr>
          <w:sz w:val="22"/>
          <w:szCs w:val="22"/>
          <w:lang w:val="sr-Latn-ME"/>
        </w:rPr>
        <w:t xml:space="preserve"> </w:t>
      </w:r>
      <w:proofErr w:type="spellStart"/>
      <w:r w:rsidRPr="00C01AE6">
        <w:rPr>
          <w:sz w:val="22"/>
          <w:szCs w:val="22"/>
          <w:lang w:val="sr-Latn-ME"/>
        </w:rPr>
        <w:t>Fc</w:t>
      </w:r>
      <w:proofErr w:type="spellEnd"/>
      <w:r w:rsidRPr="00C01AE6">
        <w:rPr>
          <w:sz w:val="22"/>
          <w:szCs w:val="22"/>
          <w:lang w:val="sr-Latn-ME"/>
        </w:rPr>
        <w:t xml:space="preserve"> i (iii) domena deka-</w:t>
      </w:r>
      <w:proofErr w:type="spellStart"/>
      <w:r w:rsidRPr="00C01AE6">
        <w:rPr>
          <w:sz w:val="22"/>
          <w:szCs w:val="22"/>
          <w:lang w:val="sr-Latn-ME"/>
        </w:rPr>
        <w:t>aspartat</w:t>
      </w:r>
      <w:proofErr w:type="spellEnd"/>
      <w:r w:rsidRPr="00C01AE6">
        <w:rPr>
          <w:sz w:val="22"/>
          <w:szCs w:val="22"/>
          <w:lang w:val="sr-Latn-ME"/>
        </w:rPr>
        <w:t xml:space="preserve"> </w:t>
      </w:r>
      <w:proofErr w:type="spellStart"/>
      <w:r w:rsidRPr="00C01AE6">
        <w:rPr>
          <w:sz w:val="22"/>
          <w:szCs w:val="22"/>
          <w:lang w:val="sr-Latn-ME"/>
        </w:rPr>
        <w:t>peptida</w:t>
      </w:r>
      <w:proofErr w:type="spellEnd"/>
      <w:r w:rsidRPr="00C01AE6">
        <w:rPr>
          <w:sz w:val="22"/>
          <w:szCs w:val="22"/>
          <w:lang w:val="sr-Latn-ME"/>
        </w:rPr>
        <w:t>.</w:t>
      </w:r>
    </w:p>
    <w:p w14:paraId="3BA831B5" w14:textId="77777777" w:rsidR="00D36EE8" w:rsidRPr="00C01AE6" w:rsidRDefault="00D36EE8" w:rsidP="00655C9D">
      <w:pPr>
        <w:widowControl w:val="0"/>
        <w:autoSpaceDE w:val="0"/>
        <w:autoSpaceDN w:val="0"/>
        <w:jc w:val="both"/>
        <w:rPr>
          <w:sz w:val="22"/>
          <w:szCs w:val="22"/>
          <w:u w:val="single"/>
          <w:lang w:val="sr-Latn-ME"/>
        </w:rPr>
      </w:pPr>
    </w:p>
    <w:p w14:paraId="57BFF3B6" w14:textId="54D4313A" w:rsidR="0046703B" w:rsidRPr="00C01AE6" w:rsidRDefault="007F2902" w:rsidP="00655C9D">
      <w:pPr>
        <w:widowControl w:val="0"/>
        <w:autoSpaceDE w:val="0"/>
        <w:autoSpaceDN w:val="0"/>
        <w:jc w:val="both"/>
        <w:rPr>
          <w:sz w:val="22"/>
          <w:szCs w:val="22"/>
          <w:lang w:val="sr-Latn-ME"/>
        </w:rPr>
      </w:pPr>
      <w:proofErr w:type="spellStart"/>
      <w:r w:rsidRPr="00C01AE6">
        <w:rPr>
          <w:sz w:val="22"/>
          <w:szCs w:val="22"/>
          <w:u w:val="single"/>
          <w:lang w:val="sr-Latn-ME"/>
        </w:rPr>
        <w:t>Hipofosfatazija</w:t>
      </w:r>
      <w:proofErr w:type="spellEnd"/>
      <w:r w:rsidR="0046703B" w:rsidRPr="00C01AE6">
        <w:rPr>
          <w:sz w:val="22"/>
          <w:szCs w:val="22"/>
          <w:lang w:val="sr-Latn-ME"/>
        </w:rPr>
        <w:t xml:space="preserve"> </w:t>
      </w:r>
    </w:p>
    <w:p w14:paraId="1D6F6347" w14:textId="77777777" w:rsidR="0046703B" w:rsidRPr="00C01AE6" w:rsidRDefault="0046703B" w:rsidP="00655C9D">
      <w:pPr>
        <w:widowControl w:val="0"/>
        <w:autoSpaceDE w:val="0"/>
        <w:autoSpaceDN w:val="0"/>
        <w:jc w:val="both"/>
        <w:rPr>
          <w:sz w:val="22"/>
          <w:szCs w:val="22"/>
          <w:u w:val="single"/>
          <w:lang w:val="sr-Latn-ME"/>
        </w:rPr>
      </w:pPr>
    </w:p>
    <w:p w14:paraId="567C49FC" w14:textId="2D3ECE6C" w:rsidR="007F2902" w:rsidRPr="00C01AE6" w:rsidRDefault="007F2902" w:rsidP="00655C9D">
      <w:pPr>
        <w:widowControl w:val="0"/>
        <w:autoSpaceDE w:val="0"/>
        <w:autoSpaceDN w:val="0"/>
        <w:jc w:val="both"/>
        <w:rPr>
          <w:sz w:val="22"/>
          <w:szCs w:val="22"/>
          <w:lang w:val="sr-Latn-ME"/>
        </w:rPr>
      </w:pPr>
      <w:proofErr w:type="spellStart"/>
      <w:r w:rsidRPr="00C01AE6">
        <w:rPr>
          <w:sz w:val="22"/>
          <w:szCs w:val="22"/>
          <w:lang w:val="sr-Latn-ME"/>
        </w:rPr>
        <w:t>Hipofosfatazija</w:t>
      </w:r>
      <w:proofErr w:type="spellEnd"/>
      <w:r w:rsidRPr="00C01AE6">
        <w:rPr>
          <w:sz w:val="22"/>
          <w:szCs w:val="22"/>
          <w:lang w:val="sr-Latn-ME"/>
        </w:rPr>
        <w:t xml:space="preserve"> je r</w:t>
      </w:r>
      <w:r w:rsidR="00BF7680" w:rsidRPr="00C01AE6">
        <w:rPr>
          <w:sz w:val="22"/>
          <w:szCs w:val="22"/>
          <w:lang w:val="sr-Latn-ME"/>
        </w:rPr>
        <w:t>ij</w:t>
      </w:r>
      <w:r w:rsidRPr="00C01AE6">
        <w:rPr>
          <w:sz w:val="22"/>
          <w:szCs w:val="22"/>
          <w:lang w:val="sr-Latn-ME"/>
        </w:rPr>
        <w:t xml:space="preserve">etki, teški i potencijalno smrtonosni genetski poremećaj izazvan </w:t>
      </w:r>
      <w:r w:rsidR="00596BD9" w:rsidRPr="00C01AE6">
        <w:rPr>
          <w:sz w:val="22"/>
          <w:szCs w:val="22"/>
          <w:lang w:val="sr-Latn-ME"/>
        </w:rPr>
        <w:t xml:space="preserve">mutacijom/mutacijama </w:t>
      </w:r>
      <w:r w:rsidRPr="00C01AE6">
        <w:rPr>
          <w:sz w:val="22"/>
          <w:szCs w:val="22"/>
          <w:lang w:val="sr-Latn-ME"/>
        </w:rPr>
        <w:t xml:space="preserve">povezanim sa gubitkom funkcije u genu za kodiranje </w:t>
      </w:r>
      <w:proofErr w:type="spellStart"/>
      <w:r w:rsidRPr="00C01AE6">
        <w:rPr>
          <w:sz w:val="22"/>
          <w:szCs w:val="22"/>
          <w:lang w:val="sr-Latn-ME"/>
        </w:rPr>
        <w:t>tkivno</w:t>
      </w:r>
      <w:proofErr w:type="spellEnd"/>
      <w:r w:rsidRPr="00C01AE6">
        <w:rPr>
          <w:sz w:val="22"/>
          <w:szCs w:val="22"/>
          <w:lang w:val="sr-Latn-ME"/>
        </w:rPr>
        <w:t xml:space="preserve"> </w:t>
      </w:r>
      <w:proofErr w:type="spellStart"/>
      <w:r w:rsidRPr="00C01AE6">
        <w:rPr>
          <w:sz w:val="22"/>
          <w:szCs w:val="22"/>
          <w:lang w:val="sr-Latn-ME"/>
        </w:rPr>
        <w:t>nespecifične</w:t>
      </w:r>
      <w:proofErr w:type="spellEnd"/>
      <w:r w:rsidRPr="00C01AE6">
        <w:rPr>
          <w:sz w:val="22"/>
          <w:szCs w:val="22"/>
          <w:lang w:val="sr-Latn-ME"/>
        </w:rPr>
        <w:t xml:space="preserve"> alkalne </w:t>
      </w:r>
      <w:proofErr w:type="spellStart"/>
      <w:r w:rsidRPr="00C01AE6">
        <w:rPr>
          <w:sz w:val="22"/>
          <w:szCs w:val="22"/>
          <w:lang w:val="sr-Latn-ME"/>
        </w:rPr>
        <w:t>fosfataze</w:t>
      </w:r>
      <w:proofErr w:type="spellEnd"/>
      <w:r w:rsidRPr="00C01AE6">
        <w:rPr>
          <w:sz w:val="22"/>
          <w:szCs w:val="22"/>
          <w:lang w:val="sr-Latn-ME"/>
        </w:rPr>
        <w:t xml:space="preserve">. </w:t>
      </w:r>
      <w:proofErr w:type="spellStart"/>
      <w:r w:rsidRPr="00C01AE6">
        <w:rPr>
          <w:sz w:val="22"/>
          <w:szCs w:val="22"/>
          <w:lang w:val="sr-Latn-ME"/>
        </w:rPr>
        <w:t>Hipofosfatazija</w:t>
      </w:r>
      <w:proofErr w:type="spellEnd"/>
      <w:r w:rsidRPr="00C01AE6">
        <w:rPr>
          <w:sz w:val="22"/>
          <w:szCs w:val="22"/>
          <w:lang w:val="sr-Latn-ME"/>
        </w:rPr>
        <w:t xml:space="preserve"> je povezana sa višestrukim manifestacijama na kostima uključujući rahitis/</w:t>
      </w:r>
      <w:proofErr w:type="spellStart"/>
      <w:r w:rsidRPr="00C01AE6">
        <w:rPr>
          <w:sz w:val="22"/>
          <w:szCs w:val="22"/>
          <w:lang w:val="sr-Latn-ME"/>
        </w:rPr>
        <w:t>osteomalaciju</w:t>
      </w:r>
      <w:proofErr w:type="spellEnd"/>
      <w:r w:rsidRPr="00C01AE6">
        <w:rPr>
          <w:sz w:val="22"/>
          <w:szCs w:val="22"/>
          <w:lang w:val="sr-Latn-ME"/>
        </w:rPr>
        <w:t>, prom</w:t>
      </w:r>
      <w:r w:rsidR="00BF7680" w:rsidRPr="00C01AE6">
        <w:rPr>
          <w:sz w:val="22"/>
          <w:szCs w:val="22"/>
          <w:lang w:val="sr-Latn-ME"/>
        </w:rPr>
        <w:t>ij</w:t>
      </w:r>
      <w:r w:rsidRPr="00C01AE6">
        <w:rPr>
          <w:sz w:val="22"/>
          <w:szCs w:val="22"/>
          <w:lang w:val="sr-Latn-ME"/>
        </w:rPr>
        <w:t xml:space="preserve">enjeni metabolizam kalcijuma i fosfata, </w:t>
      </w:r>
      <w:r w:rsidR="00596BD9" w:rsidRPr="00C01AE6">
        <w:rPr>
          <w:sz w:val="22"/>
          <w:szCs w:val="22"/>
          <w:lang w:val="sr-Latn-ME"/>
        </w:rPr>
        <w:t xml:space="preserve">zaostali </w:t>
      </w:r>
      <w:r w:rsidRPr="00C01AE6">
        <w:rPr>
          <w:sz w:val="22"/>
          <w:szCs w:val="22"/>
          <w:lang w:val="sr-Latn-ME"/>
        </w:rPr>
        <w:t>rast i</w:t>
      </w:r>
      <w:r w:rsidR="00596BD9" w:rsidRPr="00C01AE6">
        <w:rPr>
          <w:sz w:val="22"/>
          <w:szCs w:val="22"/>
          <w:lang w:val="sr-Latn-ME"/>
        </w:rPr>
        <w:t xml:space="preserve"> narušenu </w:t>
      </w:r>
      <w:r w:rsidRPr="00C01AE6">
        <w:rPr>
          <w:sz w:val="22"/>
          <w:szCs w:val="22"/>
          <w:lang w:val="sr-Latn-ME"/>
        </w:rPr>
        <w:t xml:space="preserve"> pokretljivost, ugroženo disanje koje može zaht</w:t>
      </w:r>
      <w:r w:rsidR="00596BD9" w:rsidRPr="00C01AE6">
        <w:rPr>
          <w:sz w:val="22"/>
          <w:szCs w:val="22"/>
          <w:lang w:val="sr-Latn-ME"/>
        </w:rPr>
        <w:t>ij</w:t>
      </w:r>
      <w:r w:rsidRPr="00C01AE6">
        <w:rPr>
          <w:sz w:val="22"/>
          <w:szCs w:val="22"/>
          <w:lang w:val="sr-Latn-ME"/>
        </w:rPr>
        <w:t>evati mehaničku ventilaciju, kao i napadima koji su os</w:t>
      </w:r>
      <w:r w:rsidR="00BF7680" w:rsidRPr="00C01AE6">
        <w:rPr>
          <w:sz w:val="22"/>
          <w:szCs w:val="22"/>
          <w:lang w:val="sr-Latn-ME"/>
        </w:rPr>
        <w:t>j</w:t>
      </w:r>
      <w:r w:rsidRPr="00C01AE6">
        <w:rPr>
          <w:sz w:val="22"/>
          <w:szCs w:val="22"/>
          <w:lang w:val="sr-Latn-ME"/>
        </w:rPr>
        <w:t xml:space="preserve">etljivi na vitamin </w:t>
      </w:r>
      <w:proofErr w:type="spellStart"/>
      <w:r w:rsidRPr="00C01AE6">
        <w:rPr>
          <w:sz w:val="22"/>
          <w:szCs w:val="22"/>
          <w:lang w:val="sr-Latn-ME"/>
        </w:rPr>
        <w:t>B6</w:t>
      </w:r>
      <w:proofErr w:type="spellEnd"/>
      <w:r w:rsidRPr="00C01AE6">
        <w:rPr>
          <w:sz w:val="22"/>
          <w:szCs w:val="22"/>
          <w:lang w:val="sr-Latn-ME"/>
        </w:rPr>
        <w:t>.</w:t>
      </w:r>
    </w:p>
    <w:p w14:paraId="5D81C333" w14:textId="3BE5CE55" w:rsidR="00EE61A1" w:rsidRPr="00C01AE6" w:rsidRDefault="00EE61A1" w:rsidP="00655C9D">
      <w:pPr>
        <w:widowControl w:val="0"/>
        <w:autoSpaceDE w:val="0"/>
        <w:autoSpaceDN w:val="0"/>
        <w:jc w:val="both"/>
        <w:rPr>
          <w:sz w:val="22"/>
          <w:szCs w:val="22"/>
          <w:lang w:val="sr-Latn-ME"/>
        </w:rPr>
      </w:pPr>
    </w:p>
    <w:p w14:paraId="7A2963E0" w14:textId="77777777" w:rsidR="00EE61A1" w:rsidRPr="00C01AE6" w:rsidRDefault="00EE61A1" w:rsidP="00655C9D">
      <w:pPr>
        <w:widowControl w:val="0"/>
        <w:autoSpaceDE w:val="0"/>
        <w:autoSpaceDN w:val="0"/>
        <w:jc w:val="both"/>
        <w:rPr>
          <w:sz w:val="22"/>
          <w:szCs w:val="22"/>
          <w:lang w:val="sr-Latn-ME"/>
        </w:rPr>
      </w:pPr>
    </w:p>
    <w:p w14:paraId="4F8D0406" w14:textId="77777777" w:rsidR="00EE61A1" w:rsidRPr="00C01AE6" w:rsidRDefault="00EE61A1" w:rsidP="00655C9D">
      <w:pPr>
        <w:widowControl w:val="0"/>
        <w:autoSpaceDE w:val="0"/>
        <w:autoSpaceDN w:val="0"/>
        <w:jc w:val="both"/>
        <w:rPr>
          <w:sz w:val="22"/>
          <w:szCs w:val="22"/>
          <w:lang w:val="sr-Latn-ME"/>
        </w:rPr>
      </w:pPr>
    </w:p>
    <w:p w14:paraId="0EA19D55" w14:textId="6B715CDA" w:rsidR="0046703B" w:rsidRPr="00C01AE6" w:rsidRDefault="007F2902" w:rsidP="00655C9D">
      <w:pPr>
        <w:widowControl w:val="0"/>
        <w:autoSpaceDE w:val="0"/>
        <w:autoSpaceDN w:val="0"/>
        <w:rPr>
          <w:sz w:val="22"/>
          <w:szCs w:val="22"/>
          <w:lang w:val="sr-Latn-ME"/>
        </w:rPr>
      </w:pPr>
      <w:r w:rsidRPr="00C01AE6">
        <w:rPr>
          <w:sz w:val="22"/>
          <w:szCs w:val="22"/>
          <w:u w:val="single"/>
          <w:lang w:val="sr-Latn-ME"/>
        </w:rPr>
        <w:lastRenderedPageBreak/>
        <w:t>Mehanizam dejstva</w:t>
      </w:r>
    </w:p>
    <w:p w14:paraId="397E5942" w14:textId="77777777" w:rsidR="007F2902" w:rsidRPr="00C01AE6" w:rsidRDefault="007F2902" w:rsidP="00655C9D">
      <w:pPr>
        <w:widowControl w:val="0"/>
        <w:autoSpaceDE w:val="0"/>
        <w:autoSpaceDN w:val="0"/>
        <w:ind w:left="132"/>
        <w:jc w:val="both"/>
        <w:rPr>
          <w:sz w:val="22"/>
          <w:szCs w:val="22"/>
          <w:lang w:val="sr-Latn-ME"/>
        </w:rPr>
      </w:pPr>
    </w:p>
    <w:p w14:paraId="3F3312BE" w14:textId="77777777" w:rsidR="007F2902" w:rsidRPr="00C01AE6" w:rsidRDefault="007F2902" w:rsidP="00655C9D">
      <w:pPr>
        <w:widowControl w:val="0"/>
        <w:autoSpaceDE w:val="0"/>
        <w:autoSpaceDN w:val="0"/>
        <w:spacing w:line="249" w:lineRule="auto"/>
        <w:jc w:val="both"/>
        <w:rPr>
          <w:sz w:val="22"/>
          <w:szCs w:val="22"/>
          <w:lang w:val="sr-Latn-ME"/>
        </w:rPr>
      </w:pPr>
      <w:proofErr w:type="spellStart"/>
      <w:r w:rsidRPr="00C01AE6">
        <w:rPr>
          <w:sz w:val="22"/>
          <w:szCs w:val="22"/>
          <w:lang w:val="sr-Latn-ME"/>
        </w:rPr>
        <w:t>Asfotaza</w:t>
      </w:r>
      <w:proofErr w:type="spellEnd"/>
      <w:r w:rsidRPr="00C01AE6">
        <w:rPr>
          <w:sz w:val="22"/>
          <w:szCs w:val="22"/>
          <w:lang w:val="sr-Latn-ME"/>
        </w:rPr>
        <w:t xml:space="preserve"> alfa, humani </w:t>
      </w:r>
      <w:proofErr w:type="spellStart"/>
      <w:r w:rsidRPr="00C01AE6">
        <w:rPr>
          <w:sz w:val="22"/>
          <w:szCs w:val="22"/>
          <w:lang w:val="sr-Latn-ME"/>
        </w:rPr>
        <w:t>rekombinantni</w:t>
      </w:r>
      <w:proofErr w:type="spellEnd"/>
      <w:r w:rsidRPr="00C01AE6">
        <w:rPr>
          <w:sz w:val="22"/>
          <w:szCs w:val="22"/>
          <w:lang w:val="sr-Latn-ME"/>
        </w:rPr>
        <w:t xml:space="preserve"> fuzioni protein sačinjen od </w:t>
      </w:r>
      <w:proofErr w:type="spellStart"/>
      <w:r w:rsidRPr="00C01AE6">
        <w:rPr>
          <w:sz w:val="22"/>
          <w:szCs w:val="22"/>
          <w:lang w:val="sr-Latn-ME"/>
        </w:rPr>
        <w:t>tkivno</w:t>
      </w:r>
      <w:proofErr w:type="spellEnd"/>
      <w:r w:rsidRPr="00C01AE6">
        <w:rPr>
          <w:sz w:val="22"/>
          <w:szCs w:val="22"/>
          <w:lang w:val="sr-Latn-ME"/>
        </w:rPr>
        <w:t xml:space="preserve"> </w:t>
      </w:r>
      <w:proofErr w:type="spellStart"/>
      <w:r w:rsidRPr="00C01AE6">
        <w:rPr>
          <w:sz w:val="22"/>
          <w:szCs w:val="22"/>
          <w:lang w:val="sr-Latn-ME"/>
        </w:rPr>
        <w:t>nespecifične</w:t>
      </w:r>
      <w:proofErr w:type="spellEnd"/>
      <w:r w:rsidRPr="00C01AE6">
        <w:rPr>
          <w:sz w:val="22"/>
          <w:szCs w:val="22"/>
          <w:lang w:val="sr-Latn-ME"/>
        </w:rPr>
        <w:t xml:space="preserve"> alkalne </w:t>
      </w:r>
      <w:proofErr w:type="spellStart"/>
      <w:r w:rsidRPr="00C01AE6">
        <w:rPr>
          <w:sz w:val="22"/>
          <w:szCs w:val="22"/>
          <w:lang w:val="sr-Latn-ME"/>
        </w:rPr>
        <w:t>fosfataze</w:t>
      </w:r>
      <w:proofErr w:type="spellEnd"/>
      <w:r w:rsidRPr="00C01AE6">
        <w:rPr>
          <w:sz w:val="22"/>
          <w:szCs w:val="22"/>
          <w:lang w:val="sr-Latn-ME"/>
        </w:rPr>
        <w:t>-</w:t>
      </w:r>
      <w:proofErr w:type="spellStart"/>
      <w:r w:rsidRPr="00C01AE6">
        <w:rPr>
          <w:sz w:val="22"/>
          <w:szCs w:val="22"/>
          <w:lang w:val="sr-Latn-ME"/>
        </w:rPr>
        <w:t>Fc</w:t>
      </w:r>
      <w:proofErr w:type="spellEnd"/>
      <w:r w:rsidRPr="00C01AE6">
        <w:rPr>
          <w:sz w:val="22"/>
          <w:szCs w:val="22"/>
          <w:lang w:val="sr-Latn-ME"/>
        </w:rPr>
        <w:t>-deka-</w:t>
      </w:r>
      <w:proofErr w:type="spellStart"/>
      <w:r w:rsidRPr="00C01AE6">
        <w:rPr>
          <w:sz w:val="22"/>
          <w:szCs w:val="22"/>
          <w:lang w:val="sr-Latn-ME"/>
        </w:rPr>
        <w:t>aspartata</w:t>
      </w:r>
      <w:proofErr w:type="spellEnd"/>
      <w:r w:rsidRPr="00C01AE6">
        <w:rPr>
          <w:sz w:val="22"/>
          <w:szCs w:val="22"/>
          <w:lang w:val="sr-Latn-ME"/>
        </w:rPr>
        <w:t xml:space="preserve"> sa </w:t>
      </w:r>
      <w:proofErr w:type="spellStart"/>
      <w:r w:rsidRPr="00C01AE6">
        <w:rPr>
          <w:sz w:val="22"/>
          <w:szCs w:val="22"/>
          <w:lang w:val="sr-Latn-ME"/>
        </w:rPr>
        <w:t>enzimskom</w:t>
      </w:r>
      <w:proofErr w:type="spellEnd"/>
      <w:r w:rsidRPr="00C01AE6">
        <w:rPr>
          <w:sz w:val="22"/>
          <w:szCs w:val="22"/>
          <w:lang w:val="sr-Latn-ME"/>
        </w:rPr>
        <w:t xml:space="preserve"> aktivnošću, podstiče </w:t>
      </w:r>
      <w:proofErr w:type="spellStart"/>
      <w:r w:rsidRPr="00C01AE6">
        <w:rPr>
          <w:sz w:val="22"/>
          <w:szCs w:val="22"/>
          <w:lang w:val="sr-Latn-ME"/>
        </w:rPr>
        <w:t>mineralizaciju</w:t>
      </w:r>
      <w:proofErr w:type="spellEnd"/>
      <w:r w:rsidRPr="00C01AE6">
        <w:rPr>
          <w:sz w:val="22"/>
          <w:szCs w:val="22"/>
          <w:lang w:val="sr-Latn-ME"/>
        </w:rPr>
        <w:t xml:space="preserve"> skeleta kod pacijenata sa </w:t>
      </w:r>
      <w:proofErr w:type="spellStart"/>
      <w:r w:rsidRPr="00C01AE6">
        <w:rPr>
          <w:sz w:val="22"/>
          <w:szCs w:val="22"/>
          <w:lang w:val="sr-Latn-ME"/>
        </w:rPr>
        <w:t>hipofosfatazijom</w:t>
      </w:r>
      <w:proofErr w:type="spellEnd"/>
      <w:r w:rsidRPr="00C01AE6">
        <w:rPr>
          <w:sz w:val="22"/>
          <w:szCs w:val="22"/>
          <w:lang w:val="sr-Latn-ME"/>
        </w:rPr>
        <w:t>.</w:t>
      </w:r>
    </w:p>
    <w:p w14:paraId="2562CDBB" w14:textId="77777777" w:rsidR="007F2902" w:rsidRPr="00C01AE6" w:rsidRDefault="007F2902" w:rsidP="00655C9D">
      <w:pPr>
        <w:widowControl w:val="0"/>
        <w:autoSpaceDE w:val="0"/>
        <w:autoSpaceDN w:val="0"/>
        <w:jc w:val="both"/>
        <w:rPr>
          <w:sz w:val="22"/>
          <w:szCs w:val="22"/>
          <w:lang w:val="sr-Latn-ME"/>
        </w:rPr>
      </w:pPr>
    </w:p>
    <w:p w14:paraId="5A7B3614" w14:textId="31BAADED" w:rsidR="007F2902" w:rsidRPr="00C01AE6" w:rsidRDefault="007F2902" w:rsidP="00655C9D">
      <w:pPr>
        <w:widowControl w:val="0"/>
        <w:autoSpaceDE w:val="0"/>
        <w:autoSpaceDN w:val="0"/>
        <w:jc w:val="both"/>
        <w:rPr>
          <w:sz w:val="22"/>
          <w:szCs w:val="22"/>
          <w:lang w:val="sr-Latn-ME"/>
        </w:rPr>
      </w:pPr>
      <w:r w:rsidRPr="00C01AE6">
        <w:rPr>
          <w:sz w:val="22"/>
          <w:szCs w:val="22"/>
          <w:u w:val="single"/>
          <w:lang w:val="sr-Latn-ME"/>
        </w:rPr>
        <w:t xml:space="preserve">Klinička efikasnost i </w:t>
      </w:r>
      <w:r w:rsidR="00BA210B" w:rsidRPr="00C01AE6">
        <w:rPr>
          <w:sz w:val="22"/>
          <w:szCs w:val="22"/>
          <w:u w:val="single"/>
          <w:lang w:val="sr-Latn-ME"/>
        </w:rPr>
        <w:t>bezbjednost</w:t>
      </w:r>
    </w:p>
    <w:p w14:paraId="43D6917B" w14:textId="77777777" w:rsidR="007F2902" w:rsidRPr="00C01AE6" w:rsidRDefault="007F2902" w:rsidP="00655C9D">
      <w:pPr>
        <w:widowControl w:val="0"/>
        <w:autoSpaceDE w:val="0"/>
        <w:autoSpaceDN w:val="0"/>
        <w:jc w:val="both"/>
        <w:rPr>
          <w:sz w:val="22"/>
          <w:szCs w:val="22"/>
          <w:lang w:val="sr-Latn-ME"/>
        </w:rPr>
      </w:pPr>
    </w:p>
    <w:p w14:paraId="1997EAF6" w14:textId="77777777" w:rsidR="007F2902" w:rsidRPr="00C01AE6" w:rsidRDefault="007F2902" w:rsidP="00655C9D">
      <w:pPr>
        <w:widowControl w:val="0"/>
        <w:autoSpaceDE w:val="0"/>
        <w:autoSpaceDN w:val="0"/>
        <w:jc w:val="both"/>
        <w:rPr>
          <w:i/>
          <w:sz w:val="22"/>
          <w:szCs w:val="22"/>
          <w:lang w:val="sr-Latn-ME"/>
        </w:rPr>
      </w:pPr>
      <w:r w:rsidRPr="00C01AE6">
        <w:rPr>
          <w:i/>
          <w:iCs/>
          <w:sz w:val="22"/>
          <w:szCs w:val="22"/>
          <w:u w:val="single"/>
          <w:lang w:val="sr-Latn-ME"/>
        </w:rPr>
        <w:t xml:space="preserve">Studija </w:t>
      </w:r>
      <w:proofErr w:type="spellStart"/>
      <w:r w:rsidRPr="00C01AE6">
        <w:rPr>
          <w:i/>
          <w:iCs/>
          <w:sz w:val="22"/>
          <w:szCs w:val="22"/>
          <w:u w:val="single"/>
          <w:lang w:val="sr-Latn-ME"/>
        </w:rPr>
        <w:t>ENB</w:t>
      </w:r>
      <w:proofErr w:type="spellEnd"/>
      <w:r w:rsidRPr="00C01AE6">
        <w:rPr>
          <w:i/>
          <w:iCs/>
          <w:sz w:val="22"/>
          <w:szCs w:val="22"/>
          <w:u w:val="single"/>
          <w:lang w:val="sr-Latn-ME"/>
        </w:rPr>
        <w:t>-006-09/</w:t>
      </w:r>
      <w:proofErr w:type="spellStart"/>
      <w:r w:rsidRPr="00C01AE6">
        <w:rPr>
          <w:i/>
          <w:iCs/>
          <w:sz w:val="22"/>
          <w:szCs w:val="22"/>
          <w:u w:val="single"/>
          <w:lang w:val="sr-Latn-ME"/>
        </w:rPr>
        <w:t>ENB</w:t>
      </w:r>
      <w:proofErr w:type="spellEnd"/>
      <w:r w:rsidRPr="00C01AE6">
        <w:rPr>
          <w:i/>
          <w:iCs/>
          <w:sz w:val="22"/>
          <w:szCs w:val="22"/>
          <w:u w:val="single"/>
          <w:lang w:val="sr-Latn-ME"/>
        </w:rPr>
        <w:t>-008-10</w:t>
      </w:r>
    </w:p>
    <w:p w14:paraId="741D9995" w14:textId="77777777" w:rsidR="007F2902" w:rsidRPr="00C01AE6" w:rsidRDefault="007F2902" w:rsidP="00655C9D">
      <w:pPr>
        <w:widowControl w:val="0"/>
        <w:autoSpaceDE w:val="0"/>
        <w:autoSpaceDN w:val="0"/>
        <w:jc w:val="both"/>
        <w:rPr>
          <w:i/>
          <w:sz w:val="22"/>
          <w:szCs w:val="22"/>
          <w:lang w:val="sr-Latn-ME"/>
        </w:rPr>
      </w:pPr>
    </w:p>
    <w:p w14:paraId="2E99EE81" w14:textId="77040EC7" w:rsidR="007F2902" w:rsidRPr="00C01AE6" w:rsidRDefault="007F2902" w:rsidP="00655C9D">
      <w:pPr>
        <w:widowControl w:val="0"/>
        <w:autoSpaceDE w:val="0"/>
        <w:autoSpaceDN w:val="0"/>
        <w:spacing w:line="247" w:lineRule="auto"/>
        <w:jc w:val="both"/>
        <w:rPr>
          <w:sz w:val="22"/>
          <w:szCs w:val="22"/>
          <w:lang w:val="sr-Latn-ME"/>
        </w:rPr>
      </w:pPr>
      <w:r w:rsidRPr="00C01AE6">
        <w:rPr>
          <w:sz w:val="22"/>
          <w:szCs w:val="22"/>
          <w:lang w:val="sr-Latn-ME"/>
        </w:rPr>
        <w:t xml:space="preserve">Studija </w:t>
      </w:r>
      <w:proofErr w:type="spellStart"/>
      <w:r w:rsidRPr="00C01AE6">
        <w:rPr>
          <w:sz w:val="22"/>
          <w:szCs w:val="22"/>
          <w:lang w:val="sr-Latn-ME"/>
        </w:rPr>
        <w:t>ENB</w:t>
      </w:r>
      <w:proofErr w:type="spellEnd"/>
      <w:r w:rsidRPr="00C01AE6">
        <w:rPr>
          <w:sz w:val="22"/>
          <w:szCs w:val="22"/>
          <w:lang w:val="sr-Latn-ME"/>
        </w:rPr>
        <w:t>-006-09/</w:t>
      </w:r>
      <w:proofErr w:type="spellStart"/>
      <w:r w:rsidRPr="00C01AE6">
        <w:rPr>
          <w:sz w:val="22"/>
          <w:szCs w:val="22"/>
          <w:lang w:val="sr-Latn-ME"/>
        </w:rPr>
        <w:t>ENB</w:t>
      </w:r>
      <w:proofErr w:type="spellEnd"/>
      <w:r w:rsidRPr="00C01AE6">
        <w:rPr>
          <w:sz w:val="22"/>
          <w:szCs w:val="22"/>
          <w:lang w:val="sr-Latn-ME"/>
        </w:rPr>
        <w:t xml:space="preserve">-008-10 bila je otvorena </w:t>
      </w:r>
      <w:proofErr w:type="spellStart"/>
      <w:r w:rsidRPr="00C01AE6">
        <w:rPr>
          <w:sz w:val="22"/>
          <w:szCs w:val="22"/>
          <w:lang w:val="sr-Latn-ME"/>
        </w:rPr>
        <w:t>randomizovana</w:t>
      </w:r>
      <w:proofErr w:type="spellEnd"/>
      <w:r w:rsidRPr="00C01AE6">
        <w:rPr>
          <w:sz w:val="22"/>
          <w:szCs w:val="22"/>
          <w:lang w:val="sr-Latn-ME"/>
        </w:rPr>
        <w:t xml:space="preserve"> studija. Od 13 uključenih pacijenata studiju je završilo 12, dok je 1 pacijent prekinuo učešće (</w:t>
      </w:r>
      <w:proofErr w:type="spellStart"/>
      <w:r w:rsidRPr="00C01AE6">
        <w:rPr>
          <w:sz w:val="22"/>
          <w:szCs w:val="22"/>
          <w:lang w:val="sr-Latn-ME"/>
        </w:rPr>
        <w:t>pr</w:t>
      </w:r>
      <w:r w:rsidR="007A0E15" w:rsidRPr="00C01AE6">
        <w:rPr>
          <w:sz w:val="22"/>
          <w:szCs w:val="22"/>
          <w:lang w:val="sr-Latn-ME"/>
        </w:rPr>
        <w:t>ij</w:t>
      </w:r>
      <w:r w:rsidRPr="00C01AE6">
        <w:rPr>
          <w:sz w:val="22"/>
          <w:szCs w:val="22"/>
          <w:lang w:val="sr-Latn-ME"/>
        </w:rPr>
        <w:t>e</w:t>
      </w:r>
      <w:r w:rsidR="005B26E6" w:rsidRPr="00C01AE6">
        <w:rPr>
          <w:sz w:val="22"/>
          <w:szCs w:val="22"/>
          <w:lang w:val="sr-Latn-ME"/>
        </w:rPr>
        <w:t>vrijeme</w:t>
      </w:r>
      <w:r w:rsidRPr="00C01AE6">
        <w:rPr>
          <w:sz w:val="22"/>
          <w:szCs w:val="22"/>
          <w:lang w:val="sr-Latn-ME"/>
        </w:rPr>
        <w:t>ni</w:t>
      </w:r>
      <w:proofErr w:type="spellEnd"/>
      <w:r w:rsidRPr="00C01AE6">
        <w:rPr>
          <w:sz w:val="22"/>
          <w:szCs w:val="22"/>
          <w:lang w:val="sr-Latn-ME"/>
        </w:rPr>
        <w:t xml:space="preserve"> prekid studije zbog prethodno planirane </w:t>
      </w:r>
      <w:proofErr w:type="spellStart"/>
      <w:r w:rsidRPr="00C01AE6">
        <w:rPr>
          <w:sz w:val="22"/>
          <w:szCs w:val="22"/>
          <w:lang w:val="sr-Latn-ME"/>
        </w:rPr>
        <w:t>e</w:t>
      </w:r>
      <w:r w:rsidR="005B26E6" w:rsidRPr="00C01AE6">
        <w:rPr>
          <w:sz w:val="22"/>
          <w:szCs w:val="22"/>
          <w:lang w:val="sr-Latn-ME"/>
        </w:rPr>
        <w:t>lek</w:t>
      </w:r>
      <w:r w:rsidRPr="00C01AE6">
        <w:rPr>
          <w:sz w:val="22"/>
          <w:szCs w:val="22"/>
          <w:lang w:val="sr-Latn-ME"/>
        </w:rPr>
        <w:t>tivne</w:t>
      </w:r>
      <w:proofErr w:type="spellEnd"/>
      <w:r w:rsidRPr="00C01AE6">
        <w:rPr>
          <w:sz w:val="22"/>
          <w:szCs w:val="22"/>
          <w:lang w:val="sr-Latn-ME"/>
        </w:rPr>
        <w:t xml:space="preserve"> operacije </w:t>
      </w:r>
      <w:proofErr w:type="spellStart"/>
      <w:r w:rsidRPr="00C01AE6">
        <w:rPr>
          <w:sz w:val="22"/>
          <w:szCs w:val="22"/>
          <w:lang w:val="sr-Latn-ME"/>
        </w:rPr>
        <w:t>skolioze</w:t>
      </w:r>
      <w:proofErr w:type="spellEnd"/>
      <w:r w:rsidRPr="00C01AE6">
        <w:rPr>
          <w:sz w:val="22"/>
          <w:szCs w:val="22"/>
          <w:lang w:val="sr-Latn-ME"/>
        </w:rPr>
        <w:t xml:space="preserve">). </w:t>
      </w:r>
      <w:proofErr w:type="spellStart"/>
      <w:r w:rsidRPr="00C01AE6">
        <w:rPr>
          <w:sz w:val="22"/>
          <w:szCs w:val="22"/>
          <w:lang w:val="sr-Latn-ME"/>
        </w:rPr>
        <w:t>Medijana</w:t>
      </w:r>
      <w:proofErr w:type="spellEnd"/>
      <w:r w:rsidRPr="00C01AE6">
        <w:rPr>
          <w:sz w:val="22"/>
          <w:szCs w:val="22"/>
          <w:lang w:val="sr-Latn-ME"/>
        </w:rPr>
        <w:t xml:space="preserve"> trajanja </w:t>
      </w:r>
      <w:r w:rsidR="00BA210B" w:rsidRPr="00C01AE6">
        <w:rPr>
          <w:sz w:val="22"/>
          <w:szCs w:val="22"/>
          <w:lang w:val="sr-Latn-ME"/>
        </w:rPr>
        <w:t>liječenj</w:t>
      </w:r>
      <w:r w:rsidRPr="00C01AE6">
        <w:rPr>
          <w:sz w:val="22"/>
          <w:szCs w:val="22"/>
          <w:lang w:val="sr-Latn-ME"/>
        </w:rPr>
        <w:t xml:space="preserve">a pacijenata iznosila je na kraju studije više od 76 </w:t>
      </w:r>
      <w:r w:rsidR="00613845" w:rsidRPr="00C01AE6">
        <w:rPr>
          <w:sz w:val="22"/>
          <w:szCs w:val="22"/>
          <w:lang w:val="sr-Latn-ME"/>
        </w:rPr>
        <w:t>mjeseci</w:t>
      </w:r>
      <w:r w:rsidRPr="00C01AE6">
        <w:rPr>
          <w:sz w:val="22"/>
          <w:szCs w:val="22"/>
          <w:lang w:val="sr-Latn-ME"/>
        </w:rPr>
        <w:t xml:space="preserve"> (6,3 godine) (od 1 do 79 </w:t>
      </w:r>
      <w:r w:rsidR="00613845" w:rsidRPr="00C01AE6">
        <w:rPr>
          <w:sz w:val="22"/>
          <w:szCs w:val="22"/>
          <w:lang w:val="sr-Latn-ME"/>
        </w:rPr>
        <w:t>mjeseci</w:t>
      </w:r>
      <w:r w:rsidRPr="00C01AE6">
        <w:rPr>
          <w:sz w:val="22"/>
          <w:szCs w:val="22"/>
          <w:lang w:val="sr-Latn-ME"/>
        </w:rPr>
        <w:t xml:space="preserve">). Kod pet pacijenata simptomi </w:t>
      </w:r>
      <w:proofErr w:type="spellStart"/>
      <w:r w:rsidRPr="00C01AE6">
        <w:rPr>
          <w:sz w:val="22"/>
          <w:szCs w:val="22"/>
          <w:lang w:val="sr-Latn-ME"/>
        </w:rPr>
        <w:t>hipofosfatazije</w:t>
      </w:r>
      <w:proofErr w:type="spellEnd"/>
      <w:r w:rsidRPr="00C01AE6">
        <w:rPr>
          <w:sz w:val="22"/>
          <w:szCs w:val="22"/>
          <w:lang w:val="sr-Latn-ME"/>
        </w:rPr>
        <w:t xml:space="preserve"> pokazali su se pr</w:t>
      </w:r>
      <w:r w:rsidR="00BF7680" w:rsidRPr="00C01AE6">
        <w:rPr>
          <w:sz w:val="22"/>
          <w:szCs w:val="22"/>
          <w:lang w:val="sr-Latn-ME"/>
        </w:rPr>
        <w:t>ij</w:t>
      </w:r>
      <w:r w:rsidRPr="00C01AE6">
        <w:rPr>
          <w:sz w:val="22"/>
          <w:szCs w:val="22"/>
          <w:lang w:val="sr-Latn-ME"/>
        </w:rPr>
        <w:t xml:space="preserve">e uzrasta od 6 </w:t>
      </w:r>
      <w:r w:rsidR="00613845" w:rsidRPr="00C01AE6">
        <w:rPr>
          <w:sz w:val="22"/>
          <w:szCs w:val="22"/>
          <w:lang w:val="sr-Latn-ME"/>
        </w:rPr>
        <w:t>mjeseci</w:t>
      </w:r>
      <w:r w:rsidRPr="00C01AE6">
        <w:rPr>
          <w:sz w:val="22"/>
          <w:szCs w:val="22"/>
          <w:lang w:val="sr-Latn-ME"/>
        </w:rPr>
        <w:t xml:space="preserve">, a kod 8 pacijenata nakon uzrasta od 6 </w:t>
      </w:r>
      <w:r w:rsidR="00613845" w:rsidRPr="00C01AE6">
        <w:rPr>
          <w:sz w:val="22"/>
          <w:szCs w:val="22"/>
          <w:lang w:val="sr-Latn-ME"/>
        </w:rPr>
        <w:t>mjeseci</w:t>
      </w:r>
      <w:r w:rsidRPr="00C01AE6">
        <w:rPr>
          <w:sz w:val="22"/>
          <w:szCs w:val="22"/>
          <w:lang w:val="sr-Latn-ME"/>
        </w:rPr>
        <w:t>. Uzrast u trenutku uključivanja u studiju iznosio je između 6 i 12 godina, na kraju ispitivanja između 10 i 18 godina, a 9 pacijenata je tokom ispitivanja navršilo između 13 i 17 godina.</w:t>
      </w:r>
    </w:p>
    <w:p w14:paraId="625F8AA0" w14:textId="78E4E609" w:rsidR="007F2902" w:rsidRPr="00C01AE6" w:rsidRDefault="007F2902" w:rsidP="00C01AE6">
      <w:pPr>
        <w:widowControl w:val="0"/>
        <w:autoSpaceDE w:val="0"/>
        <w:autoSpaceDN w:val="0"/>
        <w:spacing w:line="247" w:lineRule="auto"/>
        <w:ind w:right="1"/>
        <w:jc w:val="both"/>
        <w:rPr>
          <w:sz w:val="22"/>
          <w:szCs w:val="22"/>
          <w:lang w:val="sr-Latn-ME"/>
        </w:rPr>
      </w:pPr>
      <w:r w:rsidRPr="00C01AE6">
        <w:rPr>
          <w:sz w:val="22"/>
          <w:szCs w:val="22"/>
          <w:lang w:val="sr-Latn-ME"/>
        </w:rPr>
        <w:t xml:space="preserve">U studiji su kao istorijske kontrole poslužili pacijenti čiji su podaci prikupljeni ranije u istim istraživačkim centrima u kojima su pacijenti primali </w:t>
      </w:r>
      <w:proofErr w:type="spellStart"/>
      <w:r w:rsidRPr="00C01AE6">
        <w:rPr>
          <w:sz w:val="22"/>
          <w:szCs w:val="22"/>
          <w:lang w:val="sr-Latn-ME"/>
        </w:rPr>
        <w:t>asfotazu</w:t>
      </w:r>
      <w:proofErr w:type="spellEnd"/>
      <w:r w:rsidRPr="00C01AE6">
        <w:rPr>
          <w:sz w:val="22"/>
          <w:szCs w:val="22"/>
          <w:lang w:val="sr-Latn-ME"/>
        </w:rPr>
        <w:t xml:space="preserve"> alfa, i koji su bili podvrgnuti sličnom protokolu kliničkog </w:t>
      </w:r>
      <w:r w:rsidR="00BA210B" w:rsidRPr="00C01AE6">
        <w:rPr>
          <w:sz w:val="22"/>
          <w:szCs w:val="22"/>
          <w:lang w:val="sr-Latn-ME"/>
        </w:rPr>
        <w:t>liječenj</w:t>
      </w:r>
      <w:r w:rsidRPr="00C01AE6">
        <w:rPr>
          <w:sz w:val="22"/>
          <w:szCs w:val="22"/>
          <w:lang w:val="sr-Latn-ME"/>
        </w:rPr>
        <w:t>a.</w:t>
      </w:r>
    </w:p>
    <w:p w14:paraId="26DB1BEE" w14:textId="77777777" w:rsidR="00C01AE6" w:rsidRDefault="00C01AE6" w:rsidP="00C01AE6">
      <w:pPr>
        <w:widowControl w:val="0"/>
        <w:autoSpaceDE w:val="0"/>
        <w:autoSpaceDN w:val="0"/>
        <w:jc w:val="both"/>
        <w:rPr>
          <w:sz w:val="22"/>
          <w:szCs w:val="22"/>
          <w:lang w:val="sr-Latn-ME"/>
        </w:rPr>
      </w:pPr>
    </w:p>
    <w:p w14:paraId="2E19D041" w14:textId="71F6DF22" w:rsidR="007F2902" w:rsidRPr="00C01AE6" w:rsidRDefault="007F2902" w:rsidP="00C01AE6">
      <w:pPr>
        <w:widowControl w:val="0"/>
        <w:autoSpaceDE w:val="0"/>
        <w:autoSpaceDN w:val="0"/>
        <w:jc w:val="both"/>
        <w:rPr>
          <w:i/>
          <w:sz w:val="22"/>
          <w:szCs w:val="22"/>
          <w:lang w:val="sr-Latn-ME"/>
        </w:rPr>
      </w:pPr>
      <w:r w:rsidRPr="00C01AE6">
        <w:rPr>
          <w:i/>
          <w:iCs/>
          <w:sz w:val="22"/>
          <w:szCs w:val="22"/>
          <w:lang w:val="sr-Latn-ME"/>
        </w:rPr>
        <w:t xml:space="preserve">Dejstva </w:t>
      </w:r>
      <w:proofErr w:type="spellStart"/>
      <w:r w:rsidRPr="00C01AE6">
        <w:rPr>
          <w:i/>
          <w:iCs/>
          <w:sz w:val="22"/>
          <w:szCs w:val="22"/>
          <w:lang w:val="sr-Latn-ME"/>
        </w:rPr>
        <w:t>asfotaze</w:t>
      </w:r>
      <w:proofErr w:type="spellEnd"/>
      <w:r w:rsidRPr="00C01AE6">
        <w:rPr>
          <w:i/>
          <w:iCs/>
          <w:sz w:val="22"/>
          <w:szCs w:val="22"/>
          <w:lang w:val="sr-Latn-ME"/>
        </w:rPr>
        <w:t xml:space="preserve"> alfa na izgled rendgenskog snimka</w:t>
      </w:r>
    </w:p>
    <w:p w14:paraId="2F570C8E" w14:textId="5D07D2AC" w:rsidR="007F2902" w:rsidRPr="00C01AE6" w:rsidRDefault="007A0E15" w:rsidP="00C01AE6">
      <w:pPr>
        <w:widowControl w:val="0"/>
        <w:autoSpaceDE w:val="0"/>
        <w:autoSpaceDN w:val="0"/>
        <w:spacing w:line="247" w:lineRule="auto"/>
        <w:ind w:right="1"/>
        <w:jc w:val="both"/>
        <w:rPr>
          <w:sz w:val="22"/>
          <w:szCs w:val="22"/>
          <w:lang w:val="sr-Latn-ME"/>
        </w:rPr>
      </w:pPr>
      <w:r w:rsidRPr="00C01AE6">
        <w:rPr>
          <w:sz w:val="22"/>
          <w:szCs w:val="22"/>
          <w:lang w:val="sr-Latn-ME"/>
        </w:rPr>
        <w:t xml:space="preserve">Specijalizovani </w:t>
      </w:r>
      <w:proofErr w:type="spellStart"/>
      <w:r w:rsidR="007F2902" w:rsidRPr="00C01AE6">
        <w:rPr>
          <w:sz w:val="22"/>
          <w:szCs w:val="22"/>
          <w:lang w:val="sr-Latn-ME"/>
        </w:rPr>
        <w:t>radiolozi</w:t>
      </w:r>
      <w:proofErr w:type="spellEnd"/>
      <w:r w:rsidR="007F2902" w:rsidRPr="00C01AE6">
        <w:rPr>
          <w:sz w:val="22"/>
          <w:szCs w:val="22"/>
          <w:lang w:val="sr-Latn-ME"/>
        </w:rPr>
        <w:t xml:space="preserve"> pregledali su rendgenske snimke zglobova i kol</w:t>
      </w:r>
      <w:r w:rsidRPr="00C01AE6">
        <w:rPr>
          <w:sz w:val="22"/>
          <w:szCs w:val="22"/>
          <w:lang w:val="sr-Latn-ME"/>
        </w:rPr>
        <w:t>j</w:t>
      </w:r>
      <w:r w:rsidR="007F2902" w:rsidRPr="00C01AE6">
        <w:rPr>
          <w:sz w:val="22"/>
          <w:szCs w:val="22"/>
          <w:lang w:val="sr-Latn-ME"/>
        </w:rPr>
        <w:t>ena pr</w:t>
      </w:r>
      <w:r w:rsidR="00BF7680" w:rsidRPr="00C01AE6">
        <w:rPr>
          <w:sz w:val="22"/>
          <w:szCs w:val="22"/>
          <w:lang w:val="sr-Latn-ME"/>
        </w:rPr>
        <w:t>ij</w:t>
      </w:r>
      <w:r w:rsidR="007F2902" w:rsidRPr="00C01AE6">
        <w:rPr>
          <w:sz w:val="22"/>
          <w:szCs w:val="22"/>
          <w:lang w:val="sr-Latn-ME"/>
        </w:rPr>
        <w:t>e i posl</w:t>
      </w:r>
      <w:r w:rsidRPr="00C01AE6">
        <w:rPr>
          <w:sz w:val="22"/>
          <w:szCs w:val="22"/>
          <w:lang w:val="sr-Latn-ME"/>
        </w:rPr>
        <w:t>ij</w:t>
      </w:r>
      <w:r w:rsidR="007F2902" w:rsidRPr="00C01AE6">
        <w:rPr>
          <w:sz w:val="22"/>
          <w:szCs w:val="22"/>
          <w:lang w:val="sr-Latn-ME"/>
        </w:rPr>
        <w:t>e početka ispitivanja kako bi ustanovili da li postoje sl</w:t>
      </w:r>
      <w:r w:rsidRPr="00C01AE6">
        <w:rPr>
          <w:sz w:val="22"/>
          <w:szCs w:val="22"/>
          <w:lang w:val="sr-Latn-ME"/>
        </w:rPr>
        <w:t>j</w:t>
      </w:r>
      <w:r w:rsidR="007F2902" w:rsidRPr="00C01AE6">
        <w:rPr>
          <w:sz w:val="22"/>
          <w:szCs w:val="22"/>
          <w:lang w:val="sr-Latn-ME"/>
        </w:rPr>
        <w:t xml:space="preserve">edeći znaci: očigledno </w:t>
      </w:r>
      <w:proofErr w:type="spellStart"/>
      <w:r w:rsidR="007F2902" w:rsidRPr="00C01AE6">
        <w:rPr>
          <w:sz w:val="22"/>
          <w:szCs w:val="22"/>
          <w:lang w:val="sr-Latn-ME"/>
        </w:rPr>
        <w:t>epifizno</w:t>
      </w:r>
      <w:proofErr w:type="spellEnd"/>
      <w:r w:rsidR="007F2902" w:rsidRPr="00C01AE6">
        <w:rPr>
          <w:sz w:val="22"/>
          <w:szCs w:val="22"/>
          <w:lang w:val="sr-Latn-ME"/>
        </w:rPr>
        <w:t xml:space="preserve"> proširenje, proširenje </w:t>
      </w:r>
      <w:proofErr w:type="spellStart"/>
      <w:r w:rsidR="007F2902" w:rsidRPr="00C01AE6">
        <w:rPr>
          <w:sz w:val="22"/>
          <w:szCs w:val="22"/>
          <w:lang w:val="sr-Latn-ME"/>
        </w:rPr>
        <w:t>metafize</w:t>
      </w:r>
      <w:proofErr w:type="spellEnd"/>
      <w:r w:rsidR="007F2902" w:rsidRPr="00C01AE6">
        <w:rPr>
          <w:sz w:val="22"/>
          <w:szCs w:val="22"/>
          <w:lang w:val="sr-Latn-ME"/>
        </w:rPr>
        <w:t xml:space="preserve">, nepravilnost </w:t>
      </w:r>
      <w:r w:rsidR="002C7051" w:rsidRPr="00C01AE6">
        <w:rPr>
          <w:sz w:val="22"/>
          <w:szCs w:val="22"/>
          <w:lang w:val="sr-Latn-ME"/>
        </w:rPr>
        <w:t xml:space="preserve">privremeno </w:t>
      </w:r>
      <w:r w:rsidR="007F2902" w:rsidRPr="00C01AE6">
        <w:rPr>
          <w:sz w:val="22"/>
          <w:szCs w:val="22"/>
          <w:lang w:val="sr-Latn-ME"/>
        </w:rPr>
        <w:t xml:space="preserve">postojeće zone </w:t>
      </w:r>
      <w:proofErr w:type="spellStart"/>
      <w:r w:rsidR="007F2902" w:rsidRPr="00C01AE6">
        <w:rPr>
          <w:sz w:val="22"/>
          <w:szCs w:val="22"/>
          <w:lang w:val="sr-Latn-ME"/>
        </w:rPr>
        <w:t>kalcifikacije</w:t>
      </w:r>
      <w:proofErr w:type="spellEnd"/>
      <w:r w:rsidR="007F2902" w:rsidRPr="00C01AE6">
        <w:rPr>
          <w:sz w:val="22"/>
          <w:szCs w:val="22"/>
          <w:lang w:val="sr-Latn-ME"/>
        </w:rPr>
        <w:t xml:space="preserve">, </w:t>
      </w:r>
      <w:proofErr w:type="spellStart"/>
      <w:r w:rsidR="007F2902" w:rsidRPr="00C01AE6">
        <w:rPr>
          <w:sz w:val="22"/>
          <w:szCs w:val="22"/>
          <w:lang w:val="sr-Latn-ME"/>
        </w:rPr>
        <w:t>radiolucentne</w:t>
      </w:r>
      <w:proofErr w:type="spellEnd"/>
      <w:r w:rsidR="007F2902" w:rsidRPr="00C01AE6">
        <w:rPr>
          <w:sz w:val="22"/>
          <w:szCs w:val="22"/>
          <w:lang w:val="sr-Latn-ME"/>
        </w:rPr>
        <w:t xml:space="preserve"> </w:t>
      </w:r>
      <w:proofErr w:type="spellStart"/>
      <w:r w:rsidR="007F2902" w:rsidRPr="00C01AE6">
        <w:rPr>
          <w:sz w:val="22"/>
          <w:szCs w:val="22"/>
          <w:lang w:val="sr-Latn-ME"/>
        </w:rPr>
        <w:t>metafize</w:t>
      </w:r>
      <w:proofErr w:type="spellEnd"/>
      <w:r w:rsidR="007F2902" w:rsidRPr="00C01AE6">
        <w:rPr>
          <w:sz w:val="22"/>
          <w:szCs w:val="22"/>
          <w:lang w:val="sr-Latn-ME"/>
        </w:rPr>
        <w:t xml:space="preserve">, </w:t>
      </w:r>
      <w:proofErr w:type="spellStart"/>
      <w:r w:rsidR="007F2902" w:rsidRPr="00C01AE6">
        <w:rPr>
          <w:sz w:val="22"/>
          <w:szCs w:val="22"/>
          <w:lang w:val="sr-Latn-ME"/>
        </w:rPr>
        <w:t>metadijafizealna</w:t>
      </w:r>
      <w:proofErr w:type="spellEnd"/>
      <w:r w:rsidR="007F2902" w:rsidRPr="00C01AE6">
        <w:rPr>
          <w:sz w:val="22"/>
          <w:szCs w:val="22"/>
          <w:lang w:val="sr-Latn-ME"/>
        </w:rPr>
        <w:t xml:space="preserve"> skleroza, </w:t>
      </w:r>
      <w:proofErr w:type="spellStart"/>
      <w:r w:rsidR="007F2902" w:rsidRPr="00C01AE6">
        <w:rPr>
          <w:sz w:val="22"/>
          <w:szCs w:val="22"/>
          <w:lang w:val="sr-Latn-ME"/>
        </w:rPr>
        <w:t>osteopenija</w:t>
      </w:r>
      <w:proofErr w:type="spellEnd"/>
      <w:r w:rsidR="007F2902" w:rsidRPr="00C01AE6">
        <w:rPr>
          <w:sz w:val="22"/>
          <w:szCs w:val="22"/>
          <w:lang w:val="sr-Latn-ME"/>
        </w:rPr>
        <w:t>, grubo zrnasta</w:t>
      </w:r>
      <w:r w:rsidR="002C7051" w:rsidRPr="00C01AE6">
        <w:rPr>
          <w:sz w:val="22"/>
          <w:szCs w:val="22"/>
          <w:lang w:val="sr-Latn-ME"/>
        </w:rPr>
        <w:t xml:space="preserve"> (engl. </w:t>
      </w:r>
      <w:proofErr w:type="spellStart"/>
      <w:r w:rsidR="002C7051" w:rsidRPr="00C01AE6">
        <w:rPr>
          <w:i/>
          <w:iCs/>
          <w:sz w:val="22"/>
          <w:szCs w:val="22"/>
          <w:lang w:val="sr-Latn-ME"/>
        </w:rPr>
        <w:t>popcorn</w:t>
      </w:r>
      <w:proofErr w:type="spellEnd"/>
      <w:r w:rsidR="002C7051" w:rsidRPr="00C01AE6">
        <w:rPr>
          <w:sz w:val="22"/>
          <w:szCs w:val="22"/>
          <w:lang w:val="sr-Latn-ME"/>
        </w:rPr>
        <w:t>)</w:t>
      </w:r>
      <w:r w:rsidR="007F2902" w:rsidRPr="00C01AE6">
        <w:rPr>
          <w:sz w:val="22"/>
          <w:szCs w:val="22"/>
          <w:lang w:val="sr-Latn-ME"/>
        </w:rPr>
        <w:t xml:space="preserve"> </w:t>
      </w:r>
      <w:proofErr w:type="spellStart"/>
      <w:r w:rsidR="007F2902" w:rsidRPr="00C01AE6">
        <w:rPr>
          <w:sz w:val="22"/>
          <w:szCs w:val="22"/>
          <w:lang w:val="sr-Latn-ME"/>
        </w:rPr>
        <w:t>kalcifikacija</w:t>
      </w:r>
      <w:proofErr w:type="spellEnd"/>
      <w:r w:rsidR="007F2902" w:rsidRPr="00C01AE6">
        <w:rPr>
          <w:sz w:val="22"/>
          <w:szCs w:val="22"/>
          <w:lang w:val="sr-Latn-ME"/>
        </w:rPr>
        <w:t xml:space="preserve"> u </w:t>
      </w:r>
      <w:proofErr w:type="spellStart"/>
      <w:r w:rsidR="007F2902" w:rsidRPr="00C01AE6">
        <w:rPr>
          <w:sz w:val="22"/>
          <w:szCs w:val="22"/>
          <w:lang w:val="sr-Latn-ME"/>
        </w:rPr>
        <w:t>metadijafizi</w:t>
      </w:r>
      <w:proofErr w:type="spellEnd"/>
      <w:r w:rsidR="007F2902" w:rsidRPr="00C01AE6">
        <w:rPr>
          <w:sz w:val="22"/>
          <w:szCs w:val="22"/>
          <w:lang w:val="sr-Latn-ME"/>
        </w:rPr>
        <w:t xml:space="preserve">, </w:t>
      </w:r>
      <w:proofErr w:type="spellStart"/>
      <w:r w:rsidR="007F2902" w:rsidRPr="00C01AE6">
        <w:rPr>
          <w:sz w:val="22"/>
          <w:szCs w:val="22"/>
          <w:lang w:val="sr-Latn-ME"/>
        </w:rPr>
        <w:t>demineralizacija</w:t>
      </w:r>
      <w:proofErr w:type="spellEnd"/>
      <w:r w:rsidR="007F2902" w:rsidRPr="00C01AE6">
        <w:rPr>
          <w:sz w:val="22"/>
          <w:szCs w:val="22"/>
          <w:lang w:val="sr-Latn-ME"/>
        </w:rPr>
        <w:t xml:space="preserve"> </w:t>
      </w:r>
      <w:proofErr w:type="spellStart"/>
      <w:r w:rsidR="007F2902" w:rsidRPr="00C01AE6">
        <w:rPr>
          <w:sz w:val="22"/>
          <w:szCs w:val="22"/>
          <w:lang w:val="sr-Latn-ME"/>
        </w:rPr>
        <w:t>distalne</w:t>
      </w:r>
      <w:proofErr w:type="spellEnd"/>
      <w:r w:rsidR="007F2902" w:rsidRPr="00C01AE6">
        <w:rPr>
          <w:sz w:val="22"/>
          <w:szCs w:val="22"/>
          <w:lang w:val="sr-Latn-ME"/>
        </w:rPr>
        <w:t xml:space="preserve"> </w:t>
      </w:r>
      <w:proofErr w:type="spellStart"/>
      <w:r w:rsidR="007F2902" w:rsidRPr="00C01AE6">
        <w:rPr>
          <w:sz w:val="22"/>
          <w:szCs w:val="22"/>
          <w:lang w:val="sr-Latn-ME"/>
        </w:rPr>
        <w:t>metafize</w:t>
      </w:r>
      <w:proofErr w:type="spellEnd"/>
      <w:r w:rsidR="007F2902" w:rsidRPr="00C01AE6">
        <w:rPr>
          <w:sz w:val="22"/>
          <w:szCs w:val="22"/>
          <w:lang w:val="sr-Latn-ME"/>
        </w:rPr>
        <w:t xml:space="preserve">, transverzalni </w:t>
      </w:r>
      <w:proofErr w:type="spellStart"/>
      <w:r w:rsidR="007F2902" w:rsidRPr="00C01AE6">
        <w:rPr>
          <w:sz w:val="22"/>
          <w:szCs w:val="22"/>
          <w:lang w:val="sr-Latn-ME"/>
        </w:rPr>
        <w:t>subfizealni</w:t>
      </w:r>
      <w:proofErr w:type="spellEnd"/>
      <w:r w:rsidR="007F2902" w:rsidRPr="00C01AE6">
        <w:rPr>
          <w:sz w:val="22"/>
          <w:szCs w:val="22"/>
          <w:lang w:val="sr-Latn-ME"/>
        </w:rPr>
        <w:t xml:space="preserve"> pojas prosv</w:t>
      </w:r>
      <w:r w:rsidR="002C7051" w:rsidRPr="00C01AE6">
        <w:rPr>
          <w:sz w:val="22"/>
          <w:szCs w:val="22"/>
          <w:lang w:val="sr-Latn-ME"/>
        </w:rPr>
        <w:t>j</w:t>
      </w:r>
      <w:r w:rsidR="007F2902" w:rsidRPr="00C01AE6">
        <w:rPr>
          <w:sz w:val="22"/>
          <w:szCs w:val="22"/>
          <w:lang w:val="sr-Latn-ME"/>
        </w:rPr>
        <w:t xml:space="preserve">etljenja i jezičci </w:t>
      </w:r>
      <w:proofErr w:type="spellStart"/>
      <w:r w:rsidR="007F2902" w:rsidRPr="00C01AE6">
        <w:rPr>
          <w:sz w:val="22"/>
          <w:szCs w:val="22"/>
          <w:lang w:val="sr-Latn-ME"/>
        </w:rPr>
        <w:t>radiolucencije</w:t>
      </w:r>
      <w:proofErr w:type="spellEnd"/>
      <w:r w:rsidR="007F2902" w:rsidRPr="00C01AE6">
        <w:rPr>
          <w:sz w:val="22"/>
          <w:szCs w:val="22"/>
          <w:lang w:val="sr-Latn-ME"/>
        </w:rPr>
        <w:t>. Prom</w:t>
      </w:r>
      <w:r w:rsidR="00BF7680" w:rsidRPr="00C01AE6">
        <w:rPr>
          <w:sz w:val="22"/>
          <w:szCs w:val="22"/>
          <w:lang w:val="sr-Latn-ME"/>
        </w:rPr>
        <w:t>j</w:t>
      </w:r>
      <w:r w:rsidR="007F2902" w:rsidRPr="00C01AE6">
        <w:rPr>
          <w:sz w:val="22"/>
          <w:szCs w:val="22"/>
          <w:lang w:val="sr-Latn-ME"/>
        </w:rPr>
        <w:t>ene na rendgenskom snimku u odnosu na početno stanje oc</w:t>
      </w:r>
      <w:r w:rsidR="00BF7680" w:rsidRPr="00C01AE6">
        <w:rPr>
          <w:sz w:val="22"/>
          <w:szCs w:val="22"/>
          <w:lang w:val="sr-Latn-ME"/>
        </w:rPr>
        <w:t>ij</w:t>
      </w:r>
      <w:r w:rsidR="007F2902" w:rsidRPr="00C01AE6">
        <w:rPr>
          <w:sz w:val="22"/>
          <w:szCs w:val="22"/>
          <w:lang w:val="sr-Latn-ME"/>
        </w:rPr>
        <w:t>enjene su prema l</w:t>
      </w:r>
      <w:r w:rsidR="00BF7680" w:rsidRPr="00C01AE6">
        <w:rPr>
          <w:sz w:val="22"/>
          <w:szCs w:val="22"/>
          <w:lang w:val="sr-Latn-ME"/>
        </w:rPr>
        <w:t>j</w:t>
      </w:r>
      <w:r w:rsidR="007F2902" w:rsidRPr="00C01AE6">
        <w:rPr>
          <w:sz w:val="22"/>
          <w:szCs w:val="22"/>
          <w:lang w:val="sr-Latn-ME"/>
        </w:rPr>
        <w:t>estvici za proc</w:t>
      </w:r>
      <w:r w:rsidR="00BF7680" w:rsidRPr="00C01AE6">
        <w:rPr>
          <w:sz w:val="22"/>
          <w:szCs w:val="22"/>
          <w:lang w:val="sr-Latn-ME"/>
        </w:rPr>
        <w:t>j</w:t>
      </w:r>
      <w:r w:rsidR="007F2902" w:rsidRPr="00C01AE6">
        <w:rPr>
          <w:sz w:val="22"/>
          <w:szCs w:val="22"/>
          <w:lang w:val="sr-Latn-ME"/>
        </w:rPr>
        <w:t xml:space="preserve">enu opšteg </w:t>
      </w:r>
      <w:proofErr w:type="spellStart"/>
      <w:r w:rsidR="007F2902" w:rsidRPr="00C01AE6">
        <w:rPr>
          <w:sz w:val="22"/>
          <w:szCs w:val="22"/>
          <w:lang w:val="sr-Latn-ME"/>
        </w:rPr>
        <w:t>radiografskog</w:t>
      </w:r>
      <w:proofErr w:type="spellEnd"/>
      <w:r w:rsidR="007F2902" w:rsidRPr="00C01AE6">
        <w:rPr>
          <w:sz w:val="22"/>
          <w:szCs w:val="22"/>
          <w:lang w:val="sr-Latn-ME"/>
        </w:rPr>
        <w:t xml:space="preserve"> utiska prom</w:t>
      </w:r>
      <w:r w:rsidR="00BF7680" w:rsidRPr="00C01AE6">
        <w:rPr>
          <w:sz w:val="22"/>
          <w:szCs w:val="22"/>
          <w:lang w:val="sr-Latn-ME"/>
        </w:rPr>
        <w:t>j</w:t>
      </w:r>
      <w:r w:rsidR="007F2902" w:rsidRPr="00C01AE6">
        <w:rPr>
          <w:sz w:val="22"/>
          <w:szCs w:val="22"/>
          <w:lang w:val="sr-Latn-ME"/>
        </w:rPr>
        <w:t>ene</w:t>
      </w:r>
      <w:r w:rsidR="006A715E" w:rsidRPr="00C01AE6">
        <w:rPr>
          <w:sz w:val="22"/>
          <w:szCs w:val="22"/>
          <w:lang w:val="sr-Latn-ME"/>
        </w:rPr>
        <w:t xml:space="preserve"> (engl. </w:t>
      </w:r>
      <w:proofErr w:type="spellStart"/>
      <w:r w:rsidR="006A715E" w:rsidRPr="00C01AE6">
        <w:rPr>
          <w:i/>
          <w:iCs/>
          <w:sz w:val="22"/>
          <w:szCs w:val="22"/>
          <w:lang w:val="sr-Latn-ME"/>
        </w:rPr>
        <w:t>Radiographic</w:t>
      </w:r>
      <w:proofErr w:type="spellEnd"/>
      <w:r w:rsidR="006A715E" w:rsidRPr="00C01AE6">
        <w:rPr>
          <w:i/>
          <w:iCs/>
          <w:sz w:val="22"/>
          <w:szCs w:val="22"/>
          <w:lang w:val="sr-Latn-ME"/>
        </w:rPr>
        <w:t xml:space="preserve"> Global </w:t>
      </w:r>
      <w:proofErr w:type="spellStart"/>
      <w:r w:rsidR="006A715E" w:rsidRPr="00C01AE6">
        <w:rPr>
          <w:i/>
          <w:iCs/>
          <w:sz w:val="22"/>
          <w:szCs w:val="22"/>
          <w:lang w:val="sr-Latn-ME"/>
        </w:rPr>
        <w:t>Impression</w:t>
      </w:r>
      <w:proofErr w:type="spellEnd"/>
      <w:r w:rsidR="006A715E" w:rsidRPr="00C01AE6">
        <w:rPr>
          <w:i/>
          <w:iCs/>
          <w:sz w:val="22"/>
          <w:szCs w:val="22"/>
          <w:lang w:val="sr-Latn-ME"/>
        </w:rPr>
        <w:t xml:space="preserve"> </w:t>
      </w:r>
      <w:proofErr w:type="spellStart"/>
      <w:r w:rsidR="006A715E" w:rsidRPr="00C01AE6">
        <w:rPr>
          <w:i/>
          <w:iCs/>
          <w:sz w:val="22"/>
          <w:szCs w:val="22"/>
          <w:lang w:val="sr-Latn-ME"/>
        </w:rPr>
        <w:t>of</w:t>
      </w:r>
      <w:proofErr w:type="spellEnd"/>
      <w:r w:rsidR="006A715E" w:rsidRPr="00C01AE6">
        <w:rPr>
          <w:i/>
          <w:iCs/>
          <w:sz w:val="22"/>
          <w:szCs w:val="22"/>
          <w:lang w:val="sr-Latn-ME"/>
        </w:rPr>
        <w:t xml:space="preserve"> </w:t>
      </w:r>
      <w:proofErr w:type="spellStart"/>
      <w:r w:rsidR="006A715E" w:rsidRPr="00C01AE6">
        <w:rPr>
          <w:i/>
          <w:iCs/>
          <w:sz w:val="22"/>
          <w:szCs w:val="22"/>
          <w:lang w:val="sr-Latn-ME"/>
        </w:rPr>
        <w:t>Change</w:t>
      </w:r>
      <w:proofErr w:type="spellEnd"/>
      <w:r w:rsidR="006A715E" w:rsidRPr="00C01AE6">
        <w:rPr>
          <w:i/>
          <w:iCs/>
          <w:sz w:val="22"/>
          <w:szCs w:val="22"/>
          <w:lang w:val="sr-Latn-ME"/>
        </w:rPr>
        <w:t xml:space="preserve">, </w:t>
      </w:r>
      <w:proofErr w:type="spellStart"/>
      <w:r w:rsidR="006A715E" w:rsidRPr="00C01AE6">
        <w:rPr>
          <w:i/>
          <w:iCs/>
          <w:sz w:val="22"/>
          <w:szCs w:val="22"/>
          <w:lang w:val="sr-Latn-ME"/>
        </w:rPr>
        <w:t>RGI</w:t>
      </w:r>
      <w:proofErr w:type="spellEnd"/>
      <w:r w:rsidR="006A715E" w:rsidRPr="00C01AE6">
        <w:rPr>
          <w:i/>
          <w:iCs/>
          <w:sz w:val="22"/>
          <w:szCs w:val="22"/>
          <w:lang w:val="sr-Latn-ME"/>
        </w:rPr>
        <w:t>-C</w:t>
      </w:r>
      <w:r w:rsidR="006A715E" w:rsidRPr="00C01AE6">
        <w:rPr>
          <w:sz w:val="22"/>
          <w:szCs w:val="22"/>
          <w:lang w:val="sr-Latn-ME"/>
        </w:rPr>
        <w:t>)</w:t>
      </w:r>
      <w:r w:rsidR="007F2902" w:rsidRPr="00C01AE6">
        <w:rPr>
          <w:sz w:val="22"/>
          <w:szCs w:val="22"/>
          <w:lang w:val="sr-Latn-ME"/>
        </w:rPr>
        <w:t xml:space="preserve"> na sl</w:t>
      </w:r>
      <w:r w:rsidR="006A715E" w:rsidRPr="00C01AE6">
        <w:rPr>
          <w:sz w:val="22"/>
          <w:szCs w:val="22"/>
          <w:lang w:val="sr-Latn-ME"/>
        </w:rPr>
        <w:t>j</w:t>
      </w:r>
      <w:r w:rsidR="007F2902" w:rsidRPr="00C01AE6">
        <w:rPr>
          <w:sz w:val="22"/>
          <w:szCs w:val="22"/>
          <w:lang w:val="sr-Latn-ME"/>
        </w:rPr>
        <w:t>edeći način: -3 = teško pogoršanje, -2 = um</w:t>
      </w:r>
      <w:r w:rsidR="00BF7680" w:rsidRPr="00C01AE6">
        <w:rPr>
          <w:sz w:val="22"/>
          <w:szCs w:val="22"/>
          <w:lang w:val="sr-Latn-ME"/>
        </w:rPr>
        <w:t>j</w:t>
      </w:r>
      <w:r w:rsidR="007F2902" w:rsidRPr="00C01AE6">
        <w:rPr>
          <w:sz w:val="22"/>
          <w:szCs w:val="22"/>
          <w:lang w:val="sr-Latn-ME"/>
        </w:rPr>
        <w:t>ereno pogoršanje, -1 = minimalno pogoršanje, 0 = bez prom</w:t>
      </w:r>
      <w:r w:rsidR="00BF7680" w:rsidRPr="00C01AE6">
        <w:rPr>
          <w:sz w:val="22"/>
          <w:szCs w:val="22"/>
          <w:lang w:val="sr-Latn-ME"/>
        </w:rPr>
        <w:t>j</w:t>
      </w:r>
      <w:r w:rsidR="007F2902" w:rsidRPr="00C01AE6">
        <w:rPr>
          <w:sz w:val="22"/>
          <w:szCs w:val="22"/>
          <w:lang w:val="sr-Latn-ME"/>
        </w:rPr>
        <w:t xml:space="preserve">ene, +1 = minimalno poboljšanje, +2 = znatno poboljšanje, +3 = </w:t>
      </w:r>
      <w:r w:rsidR="006A715E" w:rsidRPr="00C01AE6">
        <w:rPr>
          <w:sz w:val="22"/>
          <w:szCs w:val="22"/>
          <w:lang w:val="sr-Latn-ME"/>
        </w:rPr>
        <w:t xml:space="preserve">gotovo </w:t>
      </w:r>
      <w:r w:rsidR="007F2902" w:rsidRPr="00C01AE6">
        <w:rPr>
          <w:sz w:val="22"/>
          <w:szCs w:val="22"/>
          <w:lang w:val="sr-Latn-ME"/>
        </w:rPr>
        <w:t xml:space="preserve">potpuno ili potpuno poboljšanje. Većina pacijenata koji su primali </w:t>
      </w:r>
      <w:proofErr w:type="spellStart"/>
      <w:r w:rsidR="007F2902" w:rsidRPr="00C01AE6">
        <w:rPr>
          <w:sz w:val="22"/>
          <w:szCs w:val="22"/>
          <w:lang w:val="sr-Latn-ME"/>
        </w:rPr>
        <w:t>asfotazu</w:t>
      </w:r>
      <w:proofErr w:type="spellEnd"/>
      <w:r w:rsidR="007F2902" w:rsidRPr="00C01AE6">
        <w:rPr>
          <w:sz w:val="22"/>
          <w:szCs w:val="22"/>
          <w:lang w:val="sr-Latn-ME"/>
        </w:rPr>
        <w:t xml:space="preserve"> alfa </w:t>
      </w:r>
      <w:r w:rsidR="006A715E" w:rsidRPr="00C01AE6">
        <w:rPr>
          <w:sz w:val="22"/>
          <w:szCs w:val="22"/>
          <w:lang w:val="sr-Latn-ME"/>
        </w:rPr>
        <w:t>postigli su</w:t>
      </w:r>
      <w:r w:rsidR="007F2902" w:rsidRPr="00C01AE6">
        <w:rPr>
          <w:sz w:val="22"/>
          <w:szCs w:val="22"/>
          <w:lang w:val="sr-Latn-ME"/>
        </w:rPr>
        <w:t xml:space="preserve"> pomak u rezultatima do +2 i +3 u prvih 6 </w:t>
      </w:r>
      <w:r w:rsidR="00613845" w:rsidRPr="00C01AE6">
        <w:rPr>
          <w:sz w:val="22"/>
          <w:szCs w:val="22"/>
          <w:lang w:val="sr-Latn-ME"/>
        </w:rPr>
        <w:t>mjeseci</w:t>
      </w:r>
      <w:r w:rsidR="007F2902" w:rsidRPr="00C01AE6">
        <w:rPr>
          <w:sz w:val="22"/>
          <w:szCs w:val="22"/>
          <w:lang w:val="sr-Latn-ME"/>
        </w:rPr>
        <w:t xml:space="preserve"> izloženosti i to se održalo tokom trajanja </w:t>
      </w:r>
      <w:r w:rsidR="00BA210B" w:rsidRPr="00C01AE6">
        <w:rPr>
          <w:sz w:val="22"/>
          <w:szCs w:val="22"/>
          <w:lang w:val="sr-Latn-ME"/>
        </w:rPr>
        <w:t>liječenj</w:t>
      </w:r>
      <w:r w:rsidR="007F2902" w:rsidRPr="00C01AE6">
        <w:rPr>
          <w:sz w:val="22"/>
          <w:szCs w:val="22"/>
          <w:lang w:val="sr-Latn-ME"/>
        </w:rPr>
        <w:t xml:space="preserve">a. </w:t>
      </w:r>
      <w:r w:rsidR="0053468D" w:rsidRPr="00C01AE6">
        <w:rPr>
          <w:sz w:val="22"/>
          <w:szCs w:val="22"/>
          <w:lang w:val="sr-Latn-ME"/>
        </w:rPr>
        <w:t>Kod kontrolnih pacijenata čiji su podaci prikupljeni u prošlosti,</w:t>
      </w:r>
      <w:r w:rsidR="007F2902" w:rsidRPr="00C01AE6">
        <w:rPr>
          <w:sz w:val="22"/>
          <w:szCs w:val="22"/>
          <w:lang w:val="sr-Latn-ME"/>
        </w:rPr>
        <w:t xml:space="preserve"> </w:t>
      </w:r>
      <w:r w:rsidR="0053468D" w:rsidRPr="00C01AE6">
        <w:rPr>
          <w:sz w:val="22"/>
          <w:szCs w:val="22"/>
          <w:lang w:val="sr-Latn-ME"/>
        </w:rPr>
        <w:t xml:space="preserve">nije se </w:t>
      </w:r>
      <w:r w:rsidR="007F2902" w:rsidRPr="00C01AE6">
        <w:rPr>
          <w:sz w:val="22"/>
          <w:szCs w:val="22"/>
          <w:lang w:val="sr-Latn-ME"/>
        </w:rPr>
        <w:t>pokazal</w:t>
      </w:r>
      <w:r w:rsidR="0053468D" w:rsidRPr="00C01AE6">
        <w:rPr>
          <w:sz w:val="22"/>
          <w:szCs w:val="22"/>
          <w:lang w:val="sr-Latn-ME"/>
        </w:rPr>
        <w:t xml:space="preserve">o da je tokom </w:t>
      </w:r>
      <w:proofErr w:type="spellStart"/>
      <w:r w:rsidR="0053468D" w:rsidRPr="00C01AE6">
        <w:rPr>
          <w:sz w:val="22"/>
          <w:szCs w:val="22"/>
          <w:lang w:val="sr-Latn-ME"/>
        </w:rPr>
        <w:t>vremena</w:t>
      </w:r>
      <w:proofErr w:type="spellEnd"/>
      <w:r w:rsidR="0053468D" w:rsidRPr="00C01AE6">
        <w:rPr>
          <w:sz w:val="22"/>
          <w:szCs w:val="22"/>
          <w:lang w:val="sr-Latn-ME"/>
        </w:rPr>
        <w:t xml:space="preserve"> došlo do</w:t>
      </w:r>
      <w:r w:rsidR="007F2902" w:rsidRPr="00C01AE6">
        <w:rPr>
          <w:sz w:val="22"/>
          <w:szCs w:val="22"/>
          <w:lang w:val="sr-Latn-ME"/>
        </w:rPr>
        <w:t xml:space="preserve"> prom</w:t>
      </w:r>
      <w:r w:rsidR="00BF7680" w:rsidRPr="00C01AE6">
        <w:rPr>
          <w:sz w:val="22"/>
          <w:szCs w:val="22"/>
          <w:lang w:val="sr-Latn-ME"/>
        </w:rPr>
        <w:t>j</w:t>
      </w:r>
      <w:r w:rsidR="007F2902" w:rsidRPr="00C01AE6">
        <w:rPr>
          <w:sz w:val="22"/>
          <w:szCs w:val="22"/>
          <w:lang w:val="sr-Latn-ME"/>
        </w:rPr>
        <w:t>ene.</w:t>
      </w:r>
    </w:p>
    <w:p w14:paraId="39896D3E" w14:textId="77777777" w:rsidR="007F2902" w:rsidRPr="00C01AE6" w:rsidRDefault="007F2902" w:rsidP="00655C9D">
      <w:pPr>
        <w:widowControl w:val="0"/>
        <w:autoSpaceDE w:val="0"/>
        <w:autoSpaceDN w:val="0"/>
        <w:jc w:val="both"/>
        <w:rPr>
          <w:sz w:val="22"/>
          <w:szCs w:val="22"/>
          <w:lang w:val="sr-Latn-ME"/>
        </w:rPr>
      </w:pPr>
    </w:p>
    <w:p w14:paraId="6830AC34" w14:textId="77777777" w:rsidR="007F2902" w:rsidRPr="00C01AE6" w:rsidRDefault="007F2902" w:rsidP="00C01AE6">
      <w:pPr>
        <w:widowControl w:val="0"/>
        <w:autoSpaceDE w:val="0"/>
        <w:autoSpaceDN w:val="0"/>
        <w:jc w:val="both"/>
        <w:rPr>
          <w:i/>
          <w:sz w:val="22"/>
          <w:szCs w:val="22"/>
          <w:lang w:val="sr-Latn-ME"/>
        </w:rPr>
      </w:pPr>
      <w:r w:rsidRPr="00C01AE6">
        <w:rPr>
          <w:i/>
          <w:iCs/>
          <w:sz w:val="22"/>
          <w:szCs w:val="22"/>
          <w:lang w:val="sr-Latn-ME"/>
        </w:rPr>
        <w:t>Biopsija kostiju</w:t>
      </w:r>
    </w:p>
    <w:p w14:paraId="2E4B2813" w14:textId="63C8A6BE" w:rsidR="007F2902" w:rsidRPr="00C01AE6" w:rsidRDefault="007F2902" w:rsidP="00C01AE6">
      <w:pPr>
        <w:widowControl w:val="0"/>
        <w:autoSpaceDE w:val="0"/>
        <w:autoSpaceDN w:val="0"/>
        <w:spacing w:line="249" w:lineRule="auto"/>
        <w:jc w:val="both"/>
        <w:rPr>
          <w:sz w:val="22"/>
          <w:szCs w:val="22"/>
          <w:lang w:val="sr-Latn-ME"/>
        </w:rPr>
      </w:pPr>
      <w:r w:rsidRPr="00C01AE6">
        <w:rPr>
          <w:sz w:val="22"/>
          <w:szCs w:val="22"/>
          <w:lang w:val="sr-Latn-ME"/>
        </w:rPr>
        <w:t>Pr</w:t>
      </w:r>
      <w:r w:rsidR="00BF7680" w:rsidRPr="00C01AE6">
        <w:rPr>
          <w:sz w:val="22"/>
          <w:szCs w:val="22"/>
          <w:lang w:val="sr-Latn-ME"/>
        </w:rPr>
        <w:t>ij</w:t>
      </w:r>
      <w:r w:rsidRPr="00C01AE6">
        <w:rPr>
          <w:sz w:val="22"/>
          <w:szCs w:val="22"/>
          <w:lang w:val="sr-Latn-ME"/>
        </w:rPr>
        <w:t xml:space="preserve">e biopsije kostiju, </w:t>
      </w:r>
      <w:proofErr w:type="spellStart"/>
      <w:r w:rsidRPr="00C01AE6">
        <w:rPr>
          <w:sz w:val="22"/>
          <w:szCs w:val="22"/>
          <w:lang w:val="sr-Latn-ME"/>
        </w:rPr>
        <w:t>tetraciklin</w:t>
      </w:r>
      <w:proofErr w:type="spellEnd"/>
      <w:r w:rsidRPr="00C01AE6">
        <w:rPr>
          <w:sz w:val="22"/>
          <w:szCs w:val="22"/>
          <w:lang w:val="sr-Latn-ME"/>
        </w:rPr>
        <w:t xml:space="preserve"> za </w:t>
      </w:r>
      <w:r w:rsidR="006A715E" w:rsidRPr="00C01AE6">
        <w:rPr>
          <w:sz w:val="22"/>
          <w:szCs w:val="22"/>
          <w:lang w:val="sr-Latn-ME"/>
        </w:rPr>
        <w:t xml:space="preserve">obilježavanje </w:t>
      </w:r>
      <w:r w:rsidRPr="00C01AE6">
        <w:rPr>
          <w:sz w:val="22"/>
          <w:szCs w:val="22"/>
          <w:lang w:val="sr-Latn-ME"/>
        </w:rPr>
        <w:t xml:space="preserve">kostiju </w:t>
      </w:r>
      <w:r w:rsidR="00BA210B" w:rsidRPr="00C01AE6">
        <w:rPr>
          <w:sz w:val="22"/>
          <w:szCs w:val="22"/>
          <w:lang w:val="sr-Latn-ME"/>
        </w:rPr>
        <w:t>prim</w:t>
      </w:r>
      <w:r w:rsidR="000F269C" w:rsidRPr="00C01AE6">
        <w:rPr>
          <w:sz w:val="22"/>
          <w:szCs w:val="22"/>
          <w:lang w:val="sr-Latn-ME"/>
        </w:rPr>
        <w:t>i</w:t>
      </w:r>
      <w:r w:rsidR="00BA210B" w:rsidRPr="00C01AE6">
        <w:rPr>
          <w:sz w:val="22"/>
          <w:szCs w:val="22"/>
          <w:lang w:val="sr-Latn-ME"/>
        </w:rPr>
        <w:t>jen</w:t>
      </w:r>
      <w:r w:rsidRPr="00C01AE6">
        <w:rPr>
          <w:sz w:val="22"/>
          <w:szCs w:val="22"/>
          <w:lang w:val="sr-Latn-ME"/>
        </w:rPr>
        <w:t xml:space="preserve">jen je u dva 3-dnevna ciklusa (odvojena intervalom od 14 dana). Biopsije grebena </w:t>
      </w:r>
      <w:proofErr w:type="spellStart"/>
      <w:r w:rsidRPr="00C01AE6">
        <w:rPr>
          <w:sz w:val="22"/>
          <w:szCs w:val="22"/>
          <w:lang w:val="sr-Latn-ME"/>
        </w:rPr>
        <w:t>transilijačne</w:t>
      </w:r>
      <w:proofErr w:type="spellEnd"/>
      <w:r w:rsidRPr="00C01AE6">
        <w:rPr>
          <w:sz w:val="22"/>
          <w:szCs w:val="22"/>
          <w:lang w:val="sr-Latn-ME"/>
        </w:rPr>
        <w:t xml:space="preserve"> kosti urađene su standardnim postupkom. Histološka analiza biopsije izvršena je softverom </w:t>
      </w:r>
      <w:proofErr w:type="spellStart"/>
      <w:r w:rsidRPr="00C01AE6">
        <w:rPr>
          <w:sz w:val="22"/>
          <w:szCs w:val="22"/>
          <w:lang w:val="sr-Latn-ME"/>
        </w:rPr>
        <w:t>Osteomeasure</w:t>
      </w:r>
      <w:proofErr w:type="spellEnd"/>
      <w:r w:rsidRPr="00C01AE6">
        <w:rPr>
          <w:sz w:val="22"/>
          <w:szCs w:val="22"/>
          <w:lang w:val="sr-Latn-ME"/>
        </w:rPr>
        <w:t xml:space="preserve"> (</w:t>
      </w:r>
      <w:proofErr w:type="spellStart"/>
      <w:r w:rsidRPr="00C01AE6">
        <w:rPr>
          <w:sz w:val="22"/>
          <w:szCs w:val="22"/>
          <w:lang w:val="sr-Latn-ME"/>
        </w:rPr>
        <w:t>Osteometrics</w:t>
      </w:r>
      <w:proofErr w:type="spellEnd"/>
      <w:r w:rsidRPr="00C01AE6">
        <w:rPr>
          <w:sz w:val="22"/>
          <w:szCs w:val="22"/>
          <w:lang w:val="sr-Latn-ME"/>
        </w:rPr>
        <w:t>, SAD).</w:t>
      </w:r>
    </w:p>
    <w:p w14:paraId="144D2AEF" w14:textId="22076875" w:rsidR="007F2902" w:rsidRPr="00C01AE6" w:rsidRDefault="007F2902" w:rsidP="00C01AE6">
      <w:pPr>
        <w:widowControl w:val="0"/>
        <w:autoSpaceDE w:val="0"/>
        <w:autoSpaceDN w:val="0"/>
        <w:spacing w:line="247" w:lineRule="auto"/>
        <w:ind w:right="1"/>
        <w:jc w:val="both"/>
        <w:rPr>
          <w:sz w:val="22"/>
          <w:szCs w:val="22"/>
          <w:lang w:val="sr-Latn-ME"/>
        </w:rPr>
      </w:pPr>
      <w:r w:rsidRPr="00C01AE6">
        <w:rPr>
          <w:sz w:val="22"/>
          <w:szCs w:val="22"/>
          <w:lang w:val="sr-Latn-ME"/>
        </w:rPr>
        <w:t xml:space="preserve">Nomenklatura, simboli i jedinice </w:t>
      </w:r>
      <w:r w:rsidR="006A715E" w:rsidRPr="00C01AE6">
        <w:rPr>
          <w:sz w:val="22"/>
          <w:szCs w:val="22"/>
          <w:lang w:val="sr-Latn-ME"/>
        </w:rPr>
        <w:t xml:space="preserve">slijedili </w:t>
      </w:r>
      <w:r w:rsidRPr="00C01AE6">
        <w:rPr>
          <w:sz w:val="22"/>
          <w:szCs w:val="22"/>
          <w:lang w:val="sr-Latn-ME"/>
        </w:rPr>
        <w:t>su preporuke Američkog udruženja za istraživanje kostiju i minerala</w:t>
      </w:r>
      <w:r w:rsidR="006A715E" w:rsidRPr="00C01AE6">
        <w:rPr>
          <w:sz w:val="22"/>
          <w:szCs w:val="22"/>
          <w:lang w:val="sr-Latn-ME"/>
        </w:rPr>
        <w:t xml:space="preserve"> (engl. </w:t>
      </w:r>
      <w:proofErr w:type="spellStart"/>
      <w:r w:rsidR="006A715E" w:rsidRPr="00C01AE6">
        <w:rPr>
          <w:i/>
          <w:iCs/>
          <w:sz w:val="22"/>
          <w:szCs w:val="22"/>
          <w:lang w:val="sr-Latn-ME"/>
        </w:rPr>
        <w:t>American</w:t>
      </w:r>
      <w:proofErr w:type="spellEnd"/>
      <w:r w:rsidR="006A715E" w:rsidRPr="00C01AE6">
        <w:rPr>
          <w:i/>
          <w:iCs/>
          <w:sz w:val="22"/>
          <w:szCs w:val="22"/>
          <w:lang w:val="sr-Latn-ME"/>
        </w:rPr>
        <w:t xml:space="preserve"> </w:t>
      </w:r>
      <w:proofErr w:type="spellStart"/>
      <w:r w:rsidR="006A715E" w:rsidRPr="00C01AE6">
        <w:rPr>
          <w:i/>
          <w:iCs/>
          <w:sz w:val="22"/>
          <w:szCs w:val="22"/>
          <w:lang w:val="sr-Latn-ME"/>
        </w:rPr>
        <w:t>Society</w:t>
      </w:r>
      <w:proofErr w:type="spellEnd"/>
      <w:r w:rsidR="006A715E" w:rsidRPr="00C01AE6">
        <w:rPr>
          <w:i/>
          <w:iCs/>
          <w:sz w:val="22"/>
          <w:szCs w:val="22"/>
          <w:lang w:val="sr-Latn-ME"/>
        </w:rPr>
        <w:t xml:space="preserve"> </w:t>
      </w:r>
      <w:proofErr w:type="spellStart"/>
      <w:r w:rsidR="006A715E" w:rsidRPr="00C01AE6">
        <w:rPr>
          <w:i/>
          <w:iCs/>
          <w:sz w:val="22"/>
          <w:szCs w:val="22"/>
          <w:lang w:val="sr-Latn-ME"/>
        </w:rPr>
        <w:t>for</w:t>
      </w:r>
      <w:proofErr w:type="spellEnd"/>
      <w:r w:rsidR="006A715E" w:rsidRPr="00C01AE6">
        <w:rPr>
          <w:i/>
          <w:iCs/>
          <w:sz w:val="22"/>
          <w:szCs w:val="22"/>
          <w:lang w:val="sr-Latn-ME"/>
        </w:rPr>
        <w:t xml:space="preserve"> Bone </w:t>
      </w:r>
      <w:proofErr w:type="spellStart"/>
      <w:r w:rsidR="006A715E" w:rsidRPr="00C01AE6">
        <w:rPr>
          <w:i/>
          <w:iCs/>
          <w:sz w:val="22"/>
          <w:szCs w:val="22"/>
          <w:lang w:val="sr-Latn-ME"/>
        </w:rPr>
        <w:t>and</w:t>
      </w:r>
      <w:proofErr w:type="spellEnd"/>
      <w:r w:rsidR="006A715E" w:rsidRPr="00C01AE6">
        <w:rPr>
          <w:i/>
          <w:iCs/>
          <w:sz w:val="22"/>
          <w:szCs w:val="22"/>
          <w:lang w:val="sr-Latn-ME"/>
        </w:rPr>
        <w:t xml:space="preserve"> Mineral </w:t>
      </w:r>
      <w:proofErr w:type="spellStart"/>
      <w:r w:rsidR="006A715E" w:rsidRPr="00C01AE6">
        <w:rPr>
          <w:i/>
          <w:iCs/>
          <w:sz w:val="22"/>
          <w:szCs w:val="22"/>
          <w:lang w:val="sr-Latn-ME"/>
        </w:rPr>
        <w:t>Research</w:t>
      </w:r>
      <w:proofErr w:type="spellEnd"/>
      <w:r w:rsidR="006A715E" w:rsidRPr="00C01AE6">
        <w:rPr>
          <w:sz w:val="22"/>
          <w:szCs w:val="22"/>
          <w:lang w:val="sr-Latn-ME"/>
        </w:rPr>
        <w:t>)</w:t>
      </w:r>
      <w:r w:rsidRPr="00C01AE6">
        <w:rPr>
          <w:sz w:val="22"/>
          <w:szCs w:val="22"/>
          <w:lang w:val="sr-Latn-ME"/>
        </w:rPr>
        <w:t xml:space="preserve">. Kod 10 pacijenata iz grupe </w:t>
      </w:r>
      <w:r w:rsidR="00613845" w:rsidRPr="00C01AE6">
        <w:rPr>
          <w:sz w:val="22"/>
          <w:szCs w:val="22"/>
          <w:lang w:val="sr-Latn-ME"/>
        </w:rPr>
        <w:t>liječe</w:t>
      </w:r>
      <w:r w:rsidRPr="00C01AE6">
        <w:rPr>
          <w:sz w:val="22"/>
          <w:szCs w:val="22"/>
          <w:lang w:val="sr-Latn-ME"/>
        </w:rPr>
        <w:t xml:space="preserve">ne prema protokolu (isključeni su oni pacijenti koji su </w:t>
      </w:r>
      <w:proofErr w:type="spellStart"/>
      <w:r w:rsidRPr="00C01AE6">
        <w:rPr>
          <w:sz w:val="22"/>
          <w:szCs w:val="22"/>
          <w:lang w:val="sr-Latn-ME"/>
        </w:rPr>
        <w:t>peroralno</w:t>
      </w:r>
      <w:proofErr w:type="spellEnd"/>
      <w:r w:rsidRPr="00C01AE6">
        <w:rPr>
          <w:sz w:val="22"/>
          <w:szCs w:val="22"/>
          <w:lang w:val="sr-Latn-ME"/>
        </w:rPr>
        <w:t xml:space="preserve"> primili vitamin D između početka ispitivanja i 24. ned</w:t>
      </w:r>
      <w:r w:rsidR="000F269C" w:rsidRPr="00C01AE6">
        <w:rPr>
          <w:sz w:val="22"/>
          <w:szCs w:val="22"/>
          <w:lang w:val="sr-Latn-ME"/>
        </w:rPr>
        <w:t>j</w:t>
      </w:r>
      <w:r w:rsidRPr="00C01AE6">
        <w:rPr>
          <w:sz w:val="22"/>
          <w:szCs w:val="22"/>
          <w:lang w:val="sr-Latn-ME"/>
        </w:rPr>
        <w:t xml:space="preserve">elje), koji su podvrgnuti biopsiji grebena </w:t>
      </w:r>
      <w:proofErr w:type="spellStart"/>
      <w:r w:rsidRPr="00C01AE6">
        <w:rPr>
          <w:sz w:val="22"/>
          <w:szCs w:val="22"/>
          <w:lang w:val="sr-Latn-ME"/>
        </w:rPr>
        <w:t>transilijačne</w:t>
      </w:r>
      <w:proofErr w:type="spellEnd"/>
      <w:r w:rsidRPr="00C01AE6">
        <w:rPr>
          <w:sz w:val="22"/>
          <w:szCs w:val="22"/>
          <w:lang w:val="sr-Latn-ME"/>
        </w:rPr>
        <w:t xml:space="preserve"> kosti </w:t>
      </w:r>
      <w:r w:rsidR="006A715E" w:rsidRPr="00C01AE6">
        <w:rPr>
          <w:sz w:val="22"/>
          <w:szCs w:val="22"/>
          <w:lang w:val="sr-Latn-ME"/>
        </w:rPr>
        <w:t>prije i poslije</w:t>
      </w:r>
      <w:r w:rsidRPr="00C01AE6">
        <w:rPr>
          <w:sz w:val="22"/>
          <w:szCs w:val="22"/>
          <w:lang w:val="sr-Latn-ME"/>
        </w:rPr>
        <w:t xml:space="preserve"> </w:t>
      </w:r>
      <w:r w:rsidR="00BA210B" w:rsidRPr="00C01AE6">
        <w:rPr>
          <w:sz w:val="22"/>
          <w:szCs w:val="22"/>
          <w:lang w:val="sr-Latn-ME"/>
        </w:rPr>
        <w:t>primjen</w:t>
      </w:r>
      <w:r w:rsidRPr="00C01AE6">
        <w:rPr>
          <w:sz w:val="22"/>
          <w:szCs w:val="22"/>
          <w:lang w:val="sr-Latn-ME"/>
        </w:rPr>
        <w:t xml:space="preserve">e </w:t>
      </w:r>
      <w:proofErr w:type="spellStart"/>
      <w:r w:rsidRPr="00C01AE6">
        <w:rPr>
          <w:sz w:val="22"/>
          <w:szCs w:val="22"/>
          <w:lang w:val="sr-Latn-ME"/>
        </w:rPr>
        <w:t>asfotaze</w:t>
      </w:r>
      <w:proofErr w:type="spellEnd"/>
      <w:r w:rsidRPr="00C01AE6">
        <w:rPr>
          <w:sz w:val="22"/>
          <w:szCs w:val="22"/>
          <w:lang w:val="sr-Latn-ME"/>
        </w:rPr>
        <w:t xml:space="preserve"> alfa:</w:t>
      </w:r>
    </w:p>
    <w:p w14:paraId="6F74D7FB" w14:textId="412B321A" w:rsidR="007F2902" w:rsidRPr="00C01AE6" w:rsidRDefault="007F2902" w:rsidP="00655C9D">
      <w:pPr>
        <w:widowControl w:val="0"/>
        <w:numPr>
          <w:ilvl w:val="0"/>
          <w:numId w:val="13"/>
        </w:numPr>
        <w:tabs>
          <w:tab w:val="left" w:pos="663"/>
          <w:tab w:val="left" w:pos="664"/>
        </w:tabs>
        <w:autoSpaceDE w:val="0"/>
        <w:autoSpaceDN w:val="0"/>
        <w:ind w:hanging="532"/>
        <w:rPr>
          <w:sz w:val="22"/>
          <w:szCs w:val="22"/>
          <w:lang w:val="sr-Latn-ME"/>
        </w:rPr>
      </w:pPr>
      <w:r w:rsidRPr="00C01AE6">
        <w:rPr>
          <w:sz w:val="22"/>
          <w:szCs w:val="22"/>
          <w:lang w:val="sr-Latn-ME"/>
        </w:rPr>
        <w:t xml:space="preserve">srednja </w:t>
      </w:r>
      <w:r w:rsidR="005B26E6" w:rsidRPr="00C01AE6">
        <w:rPr>
          <w:sz w:val="22"/>
          <w:szCs w:val="22"/>
          <w:lang w:val="sr-Latn-ME"/>
        </w:rPr>
        <w:t>vrijednost</w:t>
      </w:r>
      <w:r w:rsidRPr="00C01AE6">
        <w:rPr>
          <w:sz w:val="22"/>
          <w:szCs w:val="22"/>
          <w:lang w:val="sr-Latn-ME"/>
        </w:rPr>
        <w:t xml:space="preserve"> (</w:t>
      </w:r>
      <w:proofErr w:type="spellStart"/>
      <w:r w:rsidRPr="00C01AE6">
        <w:rPr>
          <w:sz w:val="22"/>
          <w:szCs w:val="22"/>
          <w:lang w:val="sr-Latn-ME"/>
        </w:rPr>
        <w:t>SD</w:t>
      </w:r>
      <w:proofErr w:type="spellEnd"/>
      <w:r w:rsidRPr="00C01AE6">
        <w:rPr>
          <w:sz w:val="22"/>
          <w:szCs w:val="22"/>
          <w:lang w:val="sr-Latn-ME"/>
        </w:rPr>
        <w:t>) debljine koštanog tkiva bila je 12,8 (3,5) µm na početku i 9,5 (5,1) µm u 24. ned</w:t>
      </w:r>
      <w:r w:rsidR="000F269C" w:rsidRPr="00C01AE6">
        <w:rPr>
          <w:sz w:val="22"/>
          <w:szCs w:val="22"/>
          <w:lang w:val="sr-Latn-ME"/>
        </w:rPr>
        <w:t>j</w:t>
      </w:r>
      <w:r w:rsidRPr="00C01AE6">
        <w:rPr>
          <w:sz w:val="22"/>
          <w:szCs w:val="22"/>
          <w:lang w:val="sr-Latn-ME"/>
        </w:rPr>
        <w:t>elji</w:t>
      </w:r>
    </w:p>
    <w:p w14:paraId="708EAB1F" w14:textId="3B5F65B9" w:rsidR="007F2902" w:rsidRPr="00C01AE6" w:rsidRDefault="007F2902" w:rsidP="00655C9D">
      <w:pPr>
        <w:widowControl w:val="0"/>
        <w:numPr>
          <w:ilvl w:val="0"/>
          <w:numId w:val="13"/>
        </w:numPr>
        <w:tabs>
          <w:tab w:val="left" w:pos="663"/>
          <w:tab w:val="left" w:pos="664"/>
        </w:tabs>
        <w:autoSpaceDE w:val="0"/>
        <w:autoSpaceDN w:val="0"/>
        <w:spacing w:line="247" w:lineRule="auto"/>
        <w:ind w:right="350"/>
        <w:rPr>
          <w:sz w:val="22"/>
          <w:szCs w:val="22"/>
          <w:lang w:val="sr-Latn-ME"/>
        </w:rPr>
      </w:pPr>
      <w:r w:rsidRPr="00C01AE6">
        <w:rPr>
          <w:sz w:val="22"/>
          <w:szCs w:val="22"/>
          <w:lang w:val="sr-Latn-ME"/>
        </w:rPr>
        <w:t xml:space="preserve">srednja </w:t>
      </w:r>
      <w:r w:rsidR="005B26E6" w:rsidRPr="00C01AE6">
        <w:rPr>
          <w:sz w:val="22"/>
          <w:szCs w:val="22"/>
          <w:lang w:val="sr-Latn-ME"/>
        </w:rPr>
        <w:t>vrijednost</w:t>
      </w:r>
      <w:r w:rsidRPr="00C01AE6">
        <w:rPr>
          <w:sz w:val="22"/>
          <w:szCs w:val="22"/>
          <w:lang w:val="sr-Latn-ME"/>
        </w:rPr>
        <w:t xml:space="preserve"> (</w:t>
      </w:r>
      <w:proofErr w:type="spellStart"/>
      <w:r w:rsidRPr="00C01AE6">
        <w:rPr>
          <w:sz w:val="22"/>
          <w:szCs w:val="22"/>
          <w:lang w:val="sr-Latn-ME"/>
        </w:rPr>
        <w:t>SD</w:t>
      </w:r>
      <w:proofErr w:type="spellEnd"/>
      <w:r w:rsidRPr="00C01AE6">
        <w:rPr>
          <w:sz w:val="22"/>
          <w:szCs w:val="22"/>
          <w:lang w:val="sr-Latn-ME"/>
        </w:rPr>
        <w:t>) volumena koštanog tkiva/volumena kosti bila je 11,8 (5,9)% na početku i 8,6 (7,2)% u 24. ned</w:t>
      </w:r>
      <w:r w:rsidR="000F269C" w:rsidRPr="00C01AE6">
        <w:rPr>
          <w:sz w:val="22"/>
          <w:szCs w:val="22"/>
          <w:lang w:val="sr-Latn-ME"/>
        </w:rPr>
        <w:t>j</w:t>
      </w:r>
      <w:r w:rsidRPr="00C01AE6">
        <w:rPr>
          <w:sz w:val="22"/>
          <w:szCs w:val="22"/>
          <w:lang w:val="sr-Latn-ME"/>
        </w:rPr>
        <w:t>elji</w:t>
      </w:r>
    </w:p>
    <w:p w14:paraId="2C47B6AE" w14:textId="2B6988E6" w:rsidR="007F2902" w:rsidRPr="00C01AE6" w:rsidRDefault="007F2902" w:rsidP="00655C9D">
      <w:pPr>
        <w:widowControl w:val="0"/>
        <w:numPr>
          <w:ilvl w:val="0"/>
          <w:numId w:val="13"/>
        </w:numPr>
        <w:tabs>
          <w:tab w:val="left" w:pos="663"/>
          <w:tab w:val="left" w:pos="664"/>
        </w:tabs>
        <w:autoSpaceDE w:val="0"/>
        <w:autoSpaceDN w:val="0"/>
        <w:ind w:hanging="532"/>
        <w:jc w:val="both"/>
        <w:rPr>
          <w:sz w:val="22"/>
          <w:szCs w:val="22"/>
          <w:lang w:val="sr-Latn-ME"/>
        </w:rPr>
      </w:pPr>
      <w:r w:rsidRPr="00C01AE6">
        <w:rPr>
          <w:sz w:val="22"/>
          <w:szCs w:val="22"/>
          <w:lang w:val="sr-Latn-ME"/>
        </w:rPr>
        <w:t xml:space="preserve">srednja </w:t>
      </w:r>
      <w:r w:rsidR="005B26E6" w:rsidRPr="00C01AE6">
        <w:rPr>
          <w:sz w:val="22"/>
          <w:szCs w:val="22"/>
          <w:lang w:val="sr-Latn-ME"/>
        </w:rPr>
        <w:t>vrijednost</w:t>
      </w:r>
      <w:r w:rsidRPr="00C01AE6">
        <w:rPr>
          <w:sz w:val="22"/>
          <w:szCs w:val="22"/>
          <w:lang w:val="sr-Latn-ME"/>
        </w:rPr>
        <w:t xml:space="preserve"> (</w:t>
      </w:r>
      <w:proofErr w:type="spellStart"/>
      <w:r w:rsidRPr="00C01AE6">
        <w:rPr>
          <w:sz w:val="22"/>
          <w:szCs w:val="22"/>
          <w:lang w:val="sr-Latn-ME"/>
        </w:rPr>
        <w:t>SD</w:t>
      </w:r>
      <w:proofErr w:type="spellEnd"/>
      <w:r w:rsidRPr="00C01AE6">
        <w:rPr>
          <w:sz w:val="22"/>
          <w:szCs w:val="22"/>
          <w:lang w:val="sr-Latn-ME"/>
        </w:rPr>
        <w:t xml:space="preserve">) </w:t>
      </w:r>
      <w:proofErr w:type="spellStart"/>
      <w:r w:rsidR="005B26E6" w:rsidRPr="00C01AE6">
        <w:rPr>
          <w:sz w:val="22"/>
          <w:szCs w:val="22"/>
          <w:lang w:val="sr-Latn-ME"/>
        </w:rPr>
        <w:t>vremena</w:t>
      </w:r>
      <w:proofErr w:type="spellEnd"/>
      <w:r w:rsidRPr="00C01AE6">
        <w:rPr>
          <w:sz w:val="22"/>
          <w:szCs w:val="22"/>
          <w:lang w:val="sr-Latn-ME"/>
        </w:rPr>
        <w:t xml:space="preserve"> do </w:t>
      </w:r>
      <w:proofErr w:type="spellStart"/>
      <w:r w:rsidRPr="00C01AE6">
        <w:rPr>
          <w:sz w:val="22"/>
          <w:szCs w:val="22"/>
          <w:lang w:val="sr-Latn-ME"/>
        </w:rPr>
        <w:t>mineralizacije</w:t>
      </w:r>
      <w:proofErr w:type="spellEnd"/>
      <w:r w:rsidRPr="00C01AE6">
        <w:rPr>
          <w:sz w:val="22"/>
          <w:szCs w:val="22"/>
          <w:lang w:val="sr-Latn-ME"/>
        </w:rPr>
        <w:t xml:space="preserve"> iznosila je 93 (70) dana na početku i 119 (225) dana u 24. ned</w:t>
      </w:r>
      <w:r w:rsidR="000F269C" w:rsidRPr="00C01AE6">
        <w:rPr>
          <w:sz w:val="22"/>
          <w:szCs w:val="22"/>
          <w:lang w:val="sr-Latn-ME"/>
        </w:rPr>
        <w:t>j</w:t>
      </w:r>
      <w:r w:rsidRPr="00C01AE6">
        <w:rPr>
          <w:sz w:val="22"/>
          <w:szCs w:val="22"/>
          <w:lang w:val="sr-Latn-ME"/>
        </w:rPr>
        <w:t>elji</w:t>
      </w:r>
      <w:r w:rsidR="000F269C" w:rsidRPr="00C01AE6">
        <w:rPr>
          <w:sz w:val="22"/>
          <w:szCs w:val="22"/>
          <w:lang w:val="sr-Latn-ME"/>
        </w:rPr>
        <w:t>.</w:t>
      </w:r>
    </w:p>
    <w:p w14:paraId="5637F2C6" w14:textId="77777777" w:rsidR="007F2902" w:rsidRPr="00C01AE6" w:rsidRDefault="007F2902" w:rsidP="00655C9D">
      <w:pPr>
        <w:widowControl w:val="0"/>
        <w:autoSpaceDE w:val="0"/>
        <w:autoSpaceDN w:val="0"/>
        <w:jc w:val="both"/>
        <w:rPr>
          <w:sz w:val="22"/>
          <w:szCs w:val="22"/>
          <w:lang w:val="sr-Latn-ME"/>
        </w:rPr>
      </w:pPr>
    </w:p>
    <w:p w14:paraId="3B696D4C" w14:textId="77777777" w:rsidR="007F2902" w:rsidRPr="00C01AE6" w:rsidRDefault="007F2902" w:rsidP="00C01AE6">
      <w:pPr>
        <w:widowControl w:val="0"/>
        <w:autoSpaceDE w:val="0"/>
        <w:autoSpaceDN w:val="0"/>
        <w:jc w:val="both"/>
        <w:rPr>
          <w:i/>
          <w:sz w:val="22"/>
          <w:szCs w:val="22"/>
          <w:lang w:val="sr-Latn-ME"/>
        </w:rPr>
      </w:pPr>
      <w:r w:rsidRPr="00C01AE6">
        <w:rPr>
          <w:i/>
          <w:iCs/>
          <w:sz w:val="22"/>
          <w:szCs w:val="22"/>
          <w:lang w:val="sr-Latn-ME"/>
        </w:rPr>
        <w:t>Rast</w:t>
      </w:r>
    </w:p>
    <w:p w14:paraId="5692CE81" w14:textId="348D92A0" w:rsidR="007F2902" w:rsidRPr="00C01AE6" w:rsidRDefault="007F2902" w:rsidP="00655C9D">
      <w:pPr>
        <w:widowControl w:val="0"/>
        <w:autoSpaceDE w:val="0"/>
        <w:autoSpaceDN w:val="0"/>
        <w:spacing w:line="247" w:lineRule="auto"/>
        <w:jc w:val="both"/>
        <w:rPr>
          <w:sz w:val="22"/>
          <w:szCs w:val="22"/>
          <w:lang w:val="sr-Latn-ME"/>
        </w:rPr>
      </w:pPr>
      <w:r w:rsidRPr="00C01AE6">
        <w:rPr>
          <w:sz w:val="22"/>
          <w:szCs w:val="22"/>
          <w:lang w:val="sr-Latn-ME"/>
        </w:rPr>
        <w:t>Visina, masa i obim glave bili su ucrtani u grafikone rasta (nizovi kriv</w:t>
      </w:r>
      <w:r w:rsidR="000F269C" w:rsidRPr="00C01AE6">
        <w:rPr>
          <w:sz w:val="22"/>
          <w:szCs w:val="22"/>
          <w:lang w:val="sr-Latn-ME"/>
        </w:rPr>
        <w:t>ih</w:t>
      </w:r>
      <w:r w:rsidRPr="00C01AE6">
        <w:rPr>
          <w:sz w:val="22"/>
          <w:szCs w:val="22"/>
          <w:lang w:val="sr-Latn-ME"/>
        </w:rPr>
        <w:t xml:space="preserve"> sa </w:t>
      </w:r>
      <w:proofErr w:type="spellStart"/>
      <w:r w:rsidRPr="00C01AE6">
        <w:rPr>
          <w:sz w:val="22"/>
          <w:szCs w:val="22"/>
          <w:lang w:val="sr-Latn-ME"/>
        </w:rPr>
        <w:t>percentilima</w:t>
      </w:r>
      <w:proofErr w:type="spellEnd"/>
      <w:r w:rsidRPr="00C01AE6">
        <w:rPr>
          <w:sz w:val="22"/>
          <w:szCs w:val="22"/>
          <w:lang w:val="sr-Latn-ME"/>
        </w:rPr>
        <w:t xml:space="preserve"> koji prikazuju distribuciju) pribavljene iz američkih centara za kontrolu i </w:t>
      </w:r>
      <w:proofErr w:type="spellStart"/>
      <w:r w:rsidRPr="00C01AE6">
        <w:rPr>
          <w:sz w:val="22"/>
          <w:szCs w:val="22"/>
          <w:lang w:val="sr-Latn-ME"/>
        </w:rPr>
        <w:t>sprečavanje</w:t>
      </w:r>
      <w:proofErr w:type="spellEnd"/>
      <w:r w:rsidRPr="00C01AE6">
        <w:rPr>
          <w:sz w:val="22"/>
          <w:szCs w:val="22"/>
          <w:lang w:val="sr-Latn-ME"/>
        </w:rPr>
        <w:t xml:space="preserve"> bolesti</w:t>
      </w:r>
      <w:r w:rsidR="00B406FD" w:rsidRPr="00C01AE6">
        <w:rPr>
          <w:sz w:val="22"/>
          <w:szCs w:val="22"/>
          <w:lang w:val="sr-Latn-ME"/>
        </w:rPr>
        <w:t xml:space="preserve"> (engl. </w:t>
      </w:r>
      <w:proofErr w:type="spellStart"/>
      <w:r w:rsidR="00B406FD" w:rsidRPr="00C01AE6">
        <w:rPr>
          <w:i/>
          <w:iCs/>
          <w:sz w:val="22"/>
          <w:szCs w:val="22"/>
          <w:lang w:val="sr-Latn-ME"/>
        </w:rPr>
        <w:t>Centers</w:t>
      </w:r>
      <w:proofErr w:type="spellEnd"/>
      <w:r w:rsidR="00B406FD" w:rsidRPr="00C01AE6">
        <w:rPr>
          <w:i/>
          <w:iCs/>
          <w:sz w:val="22"/>
          <w:szCs w:val="22"/>
          <w:lang w:val="sr-Latn-ME"/>
        </w:rPr>
        <w:t xml:space="preserve"> </w:t>
      </w:r>
      <w:proofErr w:type="spellStart"/>
      <w:r w:rsidR="00B406FD" w:rsidRPr="00C01AE6">
        <w:rPr>
          <w:i/>
          <w:iCs/>
          <w:sz w:val="22"/>
          <w:szCs w:val="22"/>
          <w:lang w:val="sr-Latn-ME"/>
        </w:rPr>
        <w:t>for</w:t>
      </w:r>
      <w:proofErr w:type="spellEnd"/>
      <w:r w:rsidR="00B406FD" w:rsidRPr="00C01AE6">
        <w:rPr>
          <w:i/>
          <w:iCs/>
          <w:sz w:val="22"/>
          <w:szCs w:val="22"/>
          <w:lang w:val="sr-Latn-ME"/>
        </w:rPr>
        <w:t xml:space="preserve"> </w:t>
      </w:r>
      <w:proofErr w:type="spellStart"/>
      <w:r w:rsidR="00B406FD" w:rsidRPr="00C01AE6">
        <w:rPr>
          <w:i/>
          <w:iCs/>
          <w:sz w:val="22"/>
          <w:szCs w:val="22"/>
          <w:lang w:val="sr-Latn-ME"/>
        </w:rPr>
        <w:t>Disease</w:t>
      </w:r>
      <w:proofErr w:type="spellEnd"/>
      <w:r w:rsidR="00B406FD" w:rsidRPr="00C01AE6">
        <w:rPr>
          <w:i/>
          <w:iCs/>
          <w:sz w:val="22"/>
          <w:szCs w:val="22"/>
          <w:lang w:val="sr-Latn-ME"/>
        </w:rPr>
        <w:t xml:space="preserve"> </w:t>
      </w:r>
      <w:proofErr w:type="spellStart"/>
      <w:r w:rsidR="00B406FD" w:rsidRPr="00C01AE6">
        <w:rPr>
          <w:i/>
          <w:iCs/>
          <w:sz w:val="22"/>
          <w:szCs w:val="22"/>
          <w:lang w:val="sr-Latn-ME"/>
        </w:rPr>
        <w:t>Control</w:t>
      </w:r>
      <w:proofErr w:type="spellEnd"/>
      <w:r w:rsidR="00B406FD" w:rsidRPr="00C01AE6">
        <w:rPr>
          <w:i/>
          <w:iCs/>
          <w:sz w:val="22"/>
          <w:szCs w:val="22"/>
          <w:lang w:val="sr-Latn-ME"/>
        </w:rPr>
        <w:t xml:space="preserve"> </w:t>
      </w:r>
      <w:proofErr w:type="spellStart"/>
      <w:r w:rsidR="00B406FD" w:rsidRPr="00C01AE6">
        <w:rPr>
          <w:i/>
          <w:iCs/>
          <w:sz w:val="22"/>
          <w:szCs w:val="22"/>
          <w:lang w:val="sr-Latn-ME"/>
        </w:rPr>
        <w:t>and</w:t>
      </w:r>
      <w:proofErr w:type="spellEnd"/>
      <w:r w:rsidR="00B406FD" w:rsidRPr="00C01AE6">
        <w:rPr>
          <w:i/>
          <w:iCs/>
          <w:sz w:val="22"/>
          <w:szCs w:val="22"/>
          <w:lang w:val="sr-Latn-ME"/>
        </w:rPr>
        <w:t xml:space="preserve"> </w:t>
      </w:r>
      <w:proofErr w:type="spellStart"/>
      <w:r w:rsidR="00B406FD" w:rsidRPr="00C01AE6">
        <w:rPr>
          <w:i/>
          <w:iCs/>
          <w:sz w:val="22"/>
          <w:szCs w:val="22"/>
          <w:lang w:val="sr-Latn-ME"/>
        </w:rPr>
        <w:t>Prevention</w:t>
      </w:r>
      <w:proofErr w:type="spellEnd"/>
      <w:r w:rsidR="00B406FD" w:rsidRPr="00C01AE6">
        <w:rPr>
          <w:i/>
          <w:iCs/>
          <w:sz w:val="22"/>
          <w:szCs w:val="22"/>
          <w:lang w:val="sr-Latn-ME"/>
        </w:rPr>
        <w:t xml:space="preserve">, </w:t>
      </w:r>
      <w:proofErr w:type="spellStart"/>
      <w:r w:rsidR="00B406FD" w:rsidRPr="00C01AE6">
        <w:rPr>
          <w:i/>
          <w:iCs/>
          <w:sz w:val="22"/>
          <w:szCs w:val="22"/>
          <w:lang w:val="sr-Latn-ME"/>
        </w:rPr>
        <w:t>CDC</w:t>
      </w:r>
      <w:proofErr w:type="spellEnd"/>
      <w:r w:rsidR="00B406FD" w:rsidRPr="00C01AE6">
        <w:rPr>
          <w:sz w:val="22"/>
          <w:szCs w:val="22"/>
          <w:lang w:val="sr-Latn-ME"/>
        </w:rPr>
        <w:t>)</w:t>
      </w:r>
      <w:r w:rsidRPr="00C01AE6">
        <w:rPr>
          <w:sz w:val="22"/>
          <w:szCs w:val="22"/>
          <w:lang w:val="sr-Latn-ME"/>
        </w:rPr>
        <w:t>. Referentni podaci dobijeni su na reprezentativnom uzorku zdrave d</w:t>
      </w:r>
      <w:r w:rsidR="00BF7680" w:rsidRPr="00C01AE6">
        <w:rPr>
          <w:sz w:val="22"/>
          <w:szCs w:val="22"/>
          <w:lang w:val="sr-Latn-ME"/>
        </w:rPr>
        <w:t>j</w:t>
      </w:r>
      <w:r w:rsidRPr="00C01AE6">
        <w:rPr>
          <w:sz w:val="22"/>
          <w:szCs w:val="22"/>
          <w:lang w:val="sr-Latn-ME"/>
        </w:rPr>
        <w:t>ece i ni</w:t>
      </w:r>
      <w:r w:rsidR="000F269C" w:rsidRPr="00C01AE6">
        <w:rPr>
          <w:sz w:val="22"/>
          <w:szCs w:val="22"/>
          <w:lang w:val="sr-Latn-ME"/>
        </w:rPr>
        <w:t>je</w:t>
      </w:r>
      <w:r w:rsidRPr="00C01AE6">
        <w:rPr>
          <w:sz w:val="22"/>
          <w:szCs w:val="22"/>
          <w:lang w:val="sr-Latn-ME"/>
        </w:rPr>
        <w:t>su specifični za d</w:t>
      </w:r>
      <w:r w:rsidR="00BF7680" w:rsidRPr="00C01AE6">
        <w:rPr>
          <w:sz w:val="22"/>
          <w:szCs w:val="22"/>
          <w:lang w:val="sr-Latn-ME"/>
        </w:rPr>
        <w:t>j</w:t>
      </w:r>
      <w:r w:rsidRPr="00C01AE6">
        <w:rPr>
          <w:sz w:val="22"/>
          <w:szCs w:val="22"/>
          <w:lang w:val="sr-Latn-ME"/>
        </w:rPr>
        <w:t xml:space="preserve">ecu sa posebnim zdravstvenim potrebama: ti podaci su </w:t>
      </w:r>
      <w:r w:rsidR="00B406FD" w:rsidRPr="00C01AE6">
        <w:rPr>
          <w:sz w:val="22"/>
          <w:szCs w:val="22"/>
          <w:lang w:val="sr-Latn-ME"/>
        </w:rPr>
        <w:t xml:space="preserve">upotrijebljeni </w:t>
      </w:r>
      <w:r w:rsidRPr="00C01AE6">
        <w:rPr>
          <w:sz w:val="22"/>
          <w:szCs w:val="22"/>
          <w:lang w:val="sr-Latn-ME"/>
        </w:rPr>
        <w:t xml:space="preserve">u nedostatku </w:t>
      </w:r>
      <w:r w:rsidRPr="00C01AE6">
        <w:rPr>
          <w:sz w:val="22"/>
          <w:szCs w:val="22"/>
          <w:lang w:val="sr-Latn-ME"/>
        </w:rPr>
        <w:lastRenderedPageBreak/>
        <w:t>dijagrama rasta za d</w:t>
      </w:r>
      <w:r w:rsidR="00BF7680" w:rsidRPr="00C01AE6">
        <w:rPr>
          <w:sz w:val="22"/>
          <w:szCs w:val="22"/>
          <w:lang w:val="sr-Latn-ME"/>
        </w:rPr>
        <w:t>j</w:t>
      </w:r>
      <w:r w:rsidRPr="00C01AE6">
        <w:rPr>
          <w:sz w:val="22"/>
          <w:szCs w:val="22"/>
          <w:lang w:val="sr-Latn-ME"/>
        </w:rPr>
        <w:t xml:space="preserve">ecu sa </w:t>
      </w:r>
      <w:proofErr w:type="spellStart"/>
      <w:r w:rsidRPr="00C01AE6">
        <w:rPr>
          <w:sz w:val="22"/>
          <w:szCs w:val="22"/>
          <w:lang w:val="sr-Latn-ME"/>
        </w:rPr>
        <w:t>hipofosfatazijom</w:t>
      </w:r>
      <w:proofErr w:type="spellEnd"/>
      <w:r w:rsidRPr="00C01AE6">
        <w:rPr>
          <w:sz w:val="22"/>
          <w:szCs w:val="22"/>
          <w:lang w:val="sr-Latn-ME"/>
        </w:rPr>
        <w:t>.</w:t>
      </w:r>
    </w:p>
    <w:p w14:paraId="59091928" w14:textId="7EF54983" w:rsidR="007F2902" w:rsidRPr="00C01AE6" w:rsidRDefault="007F2902" w:rsidP="00655C9D">
      <w:pPr>
        <w:widowControl w:val="0"/>
        <w:autoSpaceDE w:val="0"/>
        <w:autoSpaceDN w:val="0"/>
        <w:spacing w:line="247" w:lineRule="auto"/>
        <w:ind w:right="1"/>
        <w:jc w:val="both"/>
        <w:rPr>
          <w:sz w:val="22"/>
          <w:szCs w:val="22"/>
          <w:lang w:val="sr-Latn-ME"/>
        </w:rPr>
      </w:pPr>
      <w:r w:rsidRPr="00C01AE6">
        <w:rPr>
          <w:sz w:val="22"/>
          <w:szCs w:val="22"/>
          <w:lang w:val="sr-Latn-ME"/>
        </w:rPr>
        <w:t xml:space="preserve">Za pacijente koji su primili </w:t>
      </w:r>
      <w:proofErr w:type="spellStart"/>
      <w:r w:rsidRPr="00C01AE6">
        <w:rPr>
          <w:sz w:val="22"/>
          <w:szCs w:val="22"/>
          <w:lang w:val="sr-Latn-ME"/>
        </w:rPr>
        <w:t>asfotazu</w:t>
      </w:r>
      <w:proofErr w:type="spellEnd"/>
      <w:r w:rsidRPr="00C01AE6">
        <w:rPr>
          <w:sz w:val="22"/>
          <w:szCs w:val="22"/>
          <w:lang w:val="sr-Latn-ME"/>
        </w:rPr>
        <w:t xml:space="preserve"> alfa: 11/13 pacijenata pokazalo je </w:t>
      </w:r>
      <w:proofErr w:type="spellStart"/>
      <w:r w:rsidRPr="00C01AE6">
        <w:rPr>
          <w:sz w:val="22"/>
          <w:szCs w:val="22"/>
          <w:lang w:val="sr-Latn-ME"/>
        </w:rPr>
        <w:t>perzistentni</w:t>
      </w:r>
      <w:proofErr w:type="spellEnd"/>
      <w:r w:rsidRPr="00C01AE6">
        <w:rPr>
          <w:sz w:val="22"/>
          <w:szCs w:val="22"/>
          <w:lang w:val="sr-Latn-ME"/>
        </w:rPr>
        <w:t xml:space="preserve"> očigledni zamah rasta prikazan na dijagramima rasta </w:t>
      </w:r>
      <w:proofErr w:type="spellStart"/>
      <w:r w:rsidRPr="00C01AE6">
        <w:rPr>
          <w:sz w:val="22"/>
          <w:szCs w:val="22"/>
          <w:lang w:val="sr-Latn-ME"/>
        </w:rPr>
        <w:t>CDC</w:t>
      </w:r>
      <w:proofErr w:type="spellEnd"/>
      <w:r w:rsidR="00B406FD" w:rsidRPr="00C01AE6">
        <w:rPr>
          <w:sz w:val="22"/>
          <w:szCs w:val="22"/>
          <w:lang w:val="sr-Latn-ME"/>
        </w:rPr>
        <w:t>-a</w:t>
      </w:r>
      <w:r w:rsidRPr="00C01AE6">
        <w:rPr>
          <w:sz w:val="22"/>
          <w:szCs w:val="22"/>
          <w:lang w:val="sr-Latn-ME"/>
        </w:rPr>
        <w:t xml:space="preserve"> kao kretanje prema višim </w:t>
      </w:r>
      <w:proofErr w:type="spellStart"/>
      <w:r w:rsidRPr="00C01AE6">
        <w:rPr>
          <w:sz w:val="22"/>
          <w:szCs w:val="22"/>
          <w:lang w:val="sr-Latn-ME"/>
        </w:rPr>
        <w:t>percentilima</w:t>
      </w:r>
      <w:proofErr w:type="spellEnd"/>
      <w:r w:rsidRPr="00C01AE6">
        <w:rPr>
          <w:sz w:val="22"/>
          <w:szCs w:val="22"/>
          <w:lang w:val="sr-Latn-ME"/>
        </w:rPr>
        <w:t xml:space="preserve"> tokom </w:t>
      </w:r>
      <w:proofErr w:type="spellStart"/>
      <w:r w:rsidR="005B26E6" w:rsidRPr="00C01AE6">
        <w:rPr>
          <w:sz w:val="22"/>
          <w:szCs w:val="22"/>
          <w:lang w:val="sr-Latn-ME"/>
        </w:rPr>
        <w:t>vremena</w:t>
      </w:r>
      <w:proofErr w:type="spellEnd"/>
      <w:r w:rsidRPr="00C01AE6">
        <w:rPr>
          <w:sz w:val="22"/>
          <w:szCs w:val="22"/>
          <w:lang w:val="sr-Latn-ME"/>
        </w:rPr>
        <w:t>.</w:t>
      </w:r>
    </w:p>
    <w:p w14:paraId="4D16FBC2" w14:textId="5ADE29C6" w:rsidR="007F2902" w:rsidRPr="00C01AE6" w:rsidRDefault="007F2902" w:rsidP="00655C9D">
      <w:pPr>
        <w:widowControl w:val="0"/>
        <w:autoSpaceDE w:val="0"/>
        <w:autoSpaceDN w:val="0"/>
        <w:spacing w:line="247" w:lineRule="auto"/>
        <w:jc w:val="both"/>
        <w:rPr>
          <w:sz w:val="22"/>
          <w:szCs w:val="22"/>
          <w:lang w:val="sr-Latn-ME"/>
        </w:rPr>
      </w:pPr>
      <w:r w:rsidRPr="00C01AE6">
        <w:rPr>
          <w:sz w:val="22"/>
          <w:szCs w:val="22"/>
          <w:lang w:val="sr-Latn-ME"/>
        </w:rPr>
        <w:t>Za 1/13 pacijenata nije se pokazao očigledan zamah rasta, a za 1 pacijenta nije bilo dovoljno podataka da se omogući proc</w:t>
      </w:r>
      <w:r w:rsidR="00BF7680" w:rsidRPr="00C01AE6">
        <w:rPr>
          <w:sz w:val="22"/>
          <w:szCs w:val="22"/>
          <w:lang w:val="sr-Latn-ME"/>
        </w:rPr>
        <w:t>j</w:t>
      </w:r>
      <w:r w:rsidRPr="00C01AE6">
        <w:rPr>
          <w:sz w:val="22"/>
          <w:szCs w:val="22"/>
          <w:lang w:val="sr-Latn-ME"/>
        </w:rPr>
        <w:t xml:space="preserve">ena. Prema </w:t>
      </w:r>
      <w:proofErr w:type="spellStart"/>
      <w:r w:rsidRPr="00C01AE6">
        <w:rPr>
          <w:sz w:val="22"/>
          <w:szCs w:val="22"/>
          <w:lang w:val="sr-Latn-ME"/>
        </w:rPr>
        <w:t>Tanerovim</w:t>
      </w:r>
      <w:proofErr w:type="spellEnd"/>
      <w:r w:rsidRPr="00C01AE6">
        <w:rPr>
          <w:sz w:val="22"/>
          <w:szCs w:val="22"/>
          <w:lang w:val="sr-Latn-ME"/>
        </w:rPr>
        <w:t xml:space="preserve"> fazama razvoj se činio odgovarajućim.</w:t>
      </w:r>
    </w:p>
    <w:p w14:paraId="05C50E5B" w14:textId="7A4A0501" w:rsidR="007F2902" w:rsidRPr="00C01AE6" w:rsidRDefault="007F2902" w:rsidP="00655C9D">
      <w:pPr>
        <w:widowControl w:val="0"/>
        <w:tabs>
          <w:tab w:val="left" w:pos="8364"/>
        </w:tabs>
        <w:autoSpaceDE w:val="0"/>
        <w:autoSpaceDN w:val="0"/>
        <w:spacing w:line="247" w:lineRule="auto"/>
        <w:ind w:right="1"/>
        <w:jc w:val="both"/>
        <w:rPr>
          <w:sz w:val="22"/>
          <w:szCs w:val="22"/>
          <w:lang w:val="sr-Latn-ME"/>
        </w:rPr>
      </w:pPr>
      <w:r w:rsidRPr="00C01AE6">
        <w:rPr>
          <w:sz w:val="22"/>
          <w:szCs w:val="22"/>
          <w:lang w:val="sr-Latn-ME"/>
        </w:rPr>
        <w:t>U periodu praćenja istorijskih kontrola: 1/16 pacijenata pokazao je očigledan zamah rasta, 12/16 pacijenata nije pokazalo očigledan zamah rasta, a podaci za 3/16 pacijenata ni</w:t>
      </w:r>
      <w:r w:rsidR="000F269C" w:rsidRPr="00C01AE6">
        <w:rPr>
          <w:sz w:val="22"/>
          <w:szCs w:val="22"/>
          <w:lang w:val="sr-Latn-ME"/>
        </w:rPr>
        <w:t>je</w:t>
      </w:r>
      <w:r w:rsidRPr="00C01AE6">
        <w:rPr>
          <w:sz w:val="22"/>
          <w:szCs w:val="22"/>
          <w:lang w:val="sr-Latn-ME"/>
        </w:rPr>
        <w:t>su omogućili zaključak.</w:t>
      </w:r>
    </w:p>
    <w:p w14:paraId="73C47A78" w14:textId="312CE4DF" w:rsidR="007F2902" w:rsidRPr="00C01AE6" w:rsidRDefault="007F2902" w:rsidP="00655C9D">
      <w:pPr>
        <w:widowControl w:val="0"/>
        <w:autoSpaceDE w:val="0"/>
        <w:autoSpaceDN w:val="0"/>
        <w:jc w:val="both"/>
        <w:rPr>
          <w:sz w:val="22"/>
          <w:szCs w:val="22"/>
          <w:lang w:val="sr-Latn-ME"/>
        </w:rPr>
      </w:pPr>
      <w:r w:rsidRPr="00C01AE6">
        <w:rPr>
          <w:sz w:val="22"/>
          <w:szCs w:val="22"/>
          <w:lang w:val="sr-Latn-ME"/>
        </w:rPr>
        <w:t xml:space="preserve">Za </w:t>
      </w:r>
      <w:r w:rsidR="005B26E6" w:rsidRPr="00C01AE6">
        <w:rPr>
          <w:sz w:val="22"/>
          <w:szCs w:val="22"/>
          <w:lang w:val="sr-Latn-ME"/>
        </w:rPr>
        <w:t>vrijeme</w:t>
      </w:r>
      <w:r w:rsidRPr="00C01AE6">
        <w:rPr>
          <w:sz w:val="22"/>
          <w:szCs w:val="22"/>
          <w:lang w:val="sr-Latn-ME"/>
        </w:rPr>
        <w:t xml:space="preserve"> studije nekim pacijentima su bili potrebni </w:t>
      </w:r>
      <w:proofErr w:type="spellStart"/>
      <w:r w:rsidRPr="00C01AE6">
        <w:rPr>
          <w:sz w:val="22"/>
          <w:szCs w:val="22"/>
          <w:lang w:val="sr-Latn-ME"/>
        </w:rPr>
        <w:t>peroralni</w:t>
      </w:r>
      <w:proofErr w:type="spellEnd"/>
      <w:r w:rsidRPr="00C01AE6">
        <w:rPr>
          <w:sz w:val="22"/>
          <w:szCs w:val="22"/>
          <w:lang w:val="sr-Latn-ME"/>
        </w:rPr>
        <w:t xml:space="preserve"> suplementi vitamina D (</w:t>
      </w:r>
      <w:r w:rsidR="00BA210B" w:rsidRPr="00C01AE6">
        <w:rPr>
          <w:sz w:val="22"/>
          <w:szCs w:val="22"/>
          <w:lang w:val="sr-Latn-ME"/>
        </w:rPr>
        <w:t>vidjeti</w:t>
      </w:r>
      <w:r w:rsidRPr="00C01AE6">
        <w:rPr>
          <w:sz w:val="22"/>
          <w:szCs w:val="22"/>
          <w:lang w:val="sr-Latn-ME"/>
        </w:rPr>
        <w:t xml:space="preserve"> </w:t>
      </w:r>
      <w:r w:rsidR="008B6182" w:rsidRPr="00C01AE6">
        <w:rPr>
          <w:sz w:val="22"/>
          <w:szCs w:val="22"/>
          <w:lang w:val="sr-Latn-ME"/>
        </w:rPr>
        <w:t>djelove</w:t>
      </w:r>
      <w:r w:rsidRPr="00C01AE6">
        <w:rPr>
          <w:sz w:val="22"/>
          <w:szCs w:val="22"/>
          <w:lang w:val="sr-Latn-ME"/>
        </w:rPr>
        <w:t xml:space="preserve"> 4.4 i 4.8).</w:t>
      </w:r>
    </w:p>
    <w:p w14:paraId="539B3D63" w14:textId="77777777" w:rsidR="007F2902" w:rsidRPr="00C01AE6" w:rsidRDefault="007F2902" w:rsidP="00655C9D">
      <w:pPr>
        <w:widowControl w:val="0"/>
        <w:autoSpaceDE w:val="0"/>
        <w:autoSpaceDN w:val="0"/>
        <w:jc w:val="both"/>
        <w:rPr>
          <w:sz w:val="22"/>
          <w:szCs w:val="22"/>
          <w:lang w:val="sr-Latn-ME"/>
        </w:rPr>
      </w:pPr>
    </w:p>
    <w:p w14:paraId="058ED91C" w14:textId="77777777" w:rsidR="007F2902" w:rsidRPr="00C01AE6" w:rsidRDefault="007F2902" w:rsidP="00C01AE6">
      <w:pPr>
        <w:widowControl w:val="0"/>
        <w:autoSpaceDE w:val="0"/>
        <w:autoSpaceDN w:val="0"/>
        <w:jc w:val="both"/>
        <w:rPr>
          <w:i/>
          <w:sz w:val="22"/>
          <w:szCs w:val="22"/>
          <w:lang w:val="sr-Latn-ME"/>
        </w:rPr>
      </w:pPr>
      <w:r w:rsidRPr="00C01AE6">
        <w:rPr>
          <w:i/>
          <w:iCs/>
          <w:sz w:val="22"/>
          <w:szCs w:val="22"/>
          <w:u w:val="single"/>
          <w:lang w:val="sr-Latn-ME"/>
        </w:rPr>
        <w:t xml:space="preserve">Studija </w:t>
      </w:r>
      <w:proofErr w:type="spellStart"/>
      <w:r w:rsidRPr="00C01AE6">
        <w:rPr>
          <w:i/>
          <w:iCs/>
          <w:sz w:val="22"/>
          <w:szCs w:val="22"/>
          <w:u w:val="single"/>
          <w:lang w:val="sr-Latn-ME"/>
        </w:rPr>
        <w:t>ENB</w:t>
      </w:r>
      <w:proofErr w:type="spellEnd"/>
      <w:r w:rsidRPr="00C01AE6">
        <w:rPr>
          <w:i/>
          <w:iCs/>
          <w:sz w:val="22"/>
          <w:szCs w:val="22"/>
          <w:u w:val="single"/>
          <w:lang w:val="sr-Latn-ME"/>
        </w:rPr>
        <w:t>-002-08/</w:t>
      </w:r>
      <w:proofErr w:type="spellStart"/>
      <w:r w:rsidRPr="00C01AE6">
        <w:rPr>
          <w:i/>
          <w:iCs/>
          <w:sz w:val="22"/>
          <w:szCs w:val="22"/>
          <w:u w:val="single"/>
          <w:lang w:val="sr-Latn-ME"/>
        </w:rPr>
        <w:t>ENB</w:t>
      </w:r>
      <w:proofErr w:type="spellEnd"/>
      <w:r w:rsidRPr="00C01AE6">
        <w:rPr>
          <w:i/>
          <w:iCs/>
          <w:sz w:val="22"/>
          <w:szCs w:val="22"/>
          <w:u w:val="single"/>
          <w:lang w:val="sr-Latn-ME"/>
        </w:rPr>
        <w:t>-003-08</w:t>
      </w:r>
    </w:p>
    <w:p w14:paraId="542BA7FD" w14:textId="77777777" w:rsidR="007F2902" w:rsidRPr="00C01AE6" w:rsidRDefault="007F2902" w:rsidP="00655C9D">
      <w:pPr>
        <w:widowControl w:val="0"/>
        <w:autoSpaceDE w:val="0"/>
        <w:autoSpaceDN w:val="0"/>
        <w:jc w:val="both"/>
        <w:rPr>
          <w:i/>
          <w:sz w:val="22"/>
          <w:szCs w:val="22"/>
          <w:lang w:val="sr-Latn-ME"/>
        </w:rPr>
      </w:pPr>
    </w:p>
    <w:p w14:paraId="7253A86F" w14:textId="363ED280" w:rsidR="007F2902" w:rsidRPr="00C01AE6" w:rsidRDefault="007F2902" w:rsidP="00655C9D">
      <w:pPr>
        <w:widowControl w:val="0"/>
        <w:autoSpaceDE w:val="0"/>
        <w:autoSpaceDN w:val="0"/>
        <w:spacing w:line="249" w:lineRule="auto"/>
        <w:jc w:val="both"/>
        <w:rPr>
          <w:sz w:val="22"/>
          <w:szCs w:val="22"/>
          <w:lang w:val="sr-Latn-ME"/>
        </w:rPr>
      </w:pPr>
      <w:r w:rsidRPr="00C01AE6">
        <w:rPr>
          <w:sz w:val="22"/>
          <w:szCs w:val="22"/>
          <w:lang w:val="sr-Latn-ME"/>
        </w:rPr>
        <w:t xml:space="preserve">Studija </w:t>
      </w:r>
      <w:proofErr w:type="spellStart"/>
      <w:r w:rsidRPr="00C01AE6">
        <w:rPr>
          <w:sz w:val="22"/>
          <w:szCs w:val="22"/>
          <w:lang w:val="sr-Latn-ME"/>
        </w:rPr>
        <w:t>ENB</w:t>
      </w:r>
      <w:proofErr w:type="spellEnd"/>
      <w:r w:rsidRPr="00C01AE6">
        <w:rPr>
          <w:sz w:val="22"/>
          <w:szCs w:val="22"/>
          <w:lang w:val="sr-Latn-ME"/>
        </w:rPr>
        <w:t>-002-08/</w:t>
      </w:r>
      <w:proofErr w:type="spellStart"/>
      <w:r w:rsidRPr="00C01AE6">
        <w:rPr>
          <w:sz w:val="22"/>
          <w:szCs w:val="22"/>
          <w:lang w:val="sr-Latn-ME"/>
        </w:rPr>
        <w:t>ENB</w:t>
      </w:r>
      <w:proofErr w:type="spellEnd"/>
      <w:r w:rsidRPr="00C01AE6">
        <w:rPr>
          <w:sz w:val="22"/>
          <w:szCs w:val="22"/>
          <w:lang w:val="sr-Latn-ME"/>
        </w:rPr>
        <w:t xml:space="preserve">-003-08 bila je otvorena </w:t>
      </w:r>
      <w:proofErr w:type="spellStart"/>
      <w:r w:rsidRPr="00C01AE6">
        <w:rPr>
          <w:sz w:val="22"/>
          <w:szCs w:val="22"/>
          <w:lang w:val="sr-Latn-ME"/>
        </w:rPr>
        <w:t>nerandomizovana</w:t>
      </w:r>
      <w:proofErr w:type="spellEnd"/>
      <w:r w:rsidRPr="00C01AE6">
        <w:rPr>
          <w:sz w:val="22"/>
          <w:szCs w:val="22"/>
          <w:lang w:val="sr-Latn-ME"/>
        </w:rPr>
        <w:t xml:space="preserve"> i nekontrolisana studija. U inicijalnu studiju bilo je uključeno 11 pacijenata, </w:t>
      </w:r>
      <w:r w:rsidR="00E550A9" w:rsidRPr="00C01AE6">
        <w:rPr>
          <w:sz w:val="22"/>
          <w:szCs w:val="22"/>
          <w:lang w:val="sr-Latn-ME"/>
        </w:rPr>
        <w:t xml:space="preserve">od toga je  </w:t>
      </w:r>
      <w:r w:rsidRPr="00C01AE6">
        <w:rPr>
          <w:sz w:val="22"/>
          <w:szCs w:val="22"/>
          <w:lang w:val="sr-Latn-ME"/>
        </w:rPr>
        <w:t>10 pacijenata uključeno u</w:t>
      </w:r>
      <w:r w:rsidR="000F269C" w:rsidRPr="00C01AE6">
        <w:rPr>
          <w:sz w:val="22"/>
          <w:szCs w:val="22"/>
          <w:lang w:val="sr-Latn-ME"/>
        </w:rPr>
        <w:t xml:space="preserve"> </w:t>
      </w:r>
      <w:r w:rsidRPr="00C01AE6">
        <w:rPr>
          <w:sz w:val="22"/>
          <w:szCs w:val="22"/>
          <w:lang w:val="sr-Latn-ME"/>
        </w:rPr>
        <w:t xml:space="preserve">produžetak studije, koju je završilo 9 pacijenata. </w:t>
      </w:r>
      <w:proofErr w:type="spellStart"/>
      <w:r w:rsidRPr="00C01AE6">
        <w:rPr>
          <w:sz w:val="22"/>
          <w:szCs w:val="22"/>
          <w:lang w:val="sr-Latn-ME"/>
        </w:rPr>
        <w:t>Medijana</w:t>
      </w:r>
      <w:proofErr w:type="spellEnd"/>
      <w:r w:rsidRPr="00C01AE6">
        <w:rPr>
          <w:sz w:val="22"/>
          <w:szCs w:val="22"/>
          <w:lang w:val="sr-Latn-ME"/>
        </w:rPr>
        <w:t xml:space="preserve"> trajanja </w:t>
      </w:r>
      <w:r w:rsidR="00BA210B" w:rsidRPr="00C01AE6">
        <w:rPr>
          <w:sz w:val="22"/>
          <w:szCs w:val="22"/>
          <w:lang w:val="sr-Latn-ME"/>
        </w:rPr>
        <w:t>liječenj</w:t>
      </w:r>
      <w:r w:rsidRPr="00C01AE6">
        <w:rPr>
          <w:sz w:val="22"/>
          <w:szCs w:val="22"/>
          <w:lang w:val="sr-Latn-ME"/>
        </w:rPr>
        <w:t>a</w:t>
      </w:r>
      <w:r w:rsidR="00E550A9" w:rsidRPr="00C01AE6">
        <w:rPr>
          <w:sz w:val="22"/>
          <w:szCs w:val="22"/>
          <w:lang w:val="sr-Latn-ME"/>
        </w:rPr>
        <w:t xml:space="preserve"> (u trajanju od 1 do &gt; 84 m</w:t>
      </w:r>
      <w:r w:rsidR="008B6182" w:rsidRPr="00C01AE6">
        <w:rPr>
          <w:sz w:val="22"/>
          <w:szCs w:val="22"/>
          <w:lang w:val="sr-Latn-ME"/>
        </w:rPr>
        <w:t>j</w:t>
      </w:r>
      <w:r w:rsidR="00E550A9" w:rsidRPr="00C01AE6">
        <w:rPr>
          <w:sz w:val="22"/>
          <w:szCs w:val="22"/>
          <w:lang w:val="sr-Latn-ME"/>
        </w:rPr>
        <w:t>eseca)</w:t>
      </w:r>
      <w:r w:rsidRPr="00C01AE6">
        <w:rPr>
          <w:sz w:val="22"/>
          <w:szCs w:val="22"/>
          <w:lang w:val="sr-Latn-ME"/>
        </w:rPr>
        <w:t xml:space="preserve"> pacijenata iznosila je na kraju studije više od 79 </w:t>
      </w:r>
      <w:r w:rsidR="00613845" w:rsidRPr="00C01AE6">
        <w:rPr>
          <w:sz w:val="22"/>
          <w:szCs w:val="22"/>
          <w:lang w:val="sr-Latn-ME"/>
        </w:rPr>
        <w:t>mjeseci</w:t>
      </w:r>
      <w:r w:rsidRPr="00C01AE6">
        <w:rPr>
          <w:sz w:val="22"/>
          <w:szCs w:val="22"/>
          <w:lang w:val="sr-Latn-ME"/>
        </w:rPr>
        <w:t xml:space="preserve"> (6,6 godina). Početak </w:t>
      </w:r>
      <w:proofErr w:type="spellStart"/>
      <w:r w:rsidRPr="00C01AE6">
        <w:rPr>
          <w:sz w:val="22"/>
          <w:szCs w:val="22"/>
          <w:lang w:val="sr-Latn-ME"/>
        </w:rPr>
        <w:t>hipofosfatazije</w:t>
      </w:r>
      <w:proofErr w:type="spellEnd"/>
      <w:r w:rsidRPr="00C01AE6">
        <w:rPr>
          <w:sz w:val="22"/>
          <w:szCs w:val="22"/>
          <w:lang w:val="sr-Latn-ME"/>
        </w:rPr>
        <w:t xml:space="preserve"> </w:t>
      </w:r>
      <w:r w:rsidR="00E550A9" w:rsidRPr="00C01AE6">
        <w:rPr>
          <w:sz w:val="22"/>
          <w:szCs w:val="22"/>
          <w:lang w:val="sr-Latn-ME"/>
        </w:rPr>
        <w:t xml:space="preserve">zabilježen </w:t>
      </w:r>
      <w:r w:rsidRPr="00C01AE6">
        <w:rPr>
          <w:sz w:val="22"/>
          <w:szCs w:val="22"/>
          <w:lang w:val="sr-Latn-ME"/>
        </w:rPr>
        <w:t>je kod svih pacijenata pr</w:t>
      </w:r>
      <w:r w:rsidR="00BF7680" w:rsidRPr="00C01AE6">
        <w:rPr>
          <w:sz w:val="22"/>
          <w:szCs w:val="22"/>
          <w:lang w:val="sr-Latn-ME"/>
        </w:rPr>
        <w:t>ij</w:t>
      </w:r>
      <w:r w:rsidRPr="00C01AE6">
        <w:rPr>
          <w:sz w:val="22"/>
          <w:szCs w:val="22"/>
          <w:lang w:val="sr-Latn-ME"/>
        </w:rPr>
        <w:t xml:space="preserve">e starosti od 6 </w:t>
      </w:r>
      <w:r w:rsidR="00613845" w:rsidRPr="00C01AE6">
        <w:rPr>
          <w:sz w:val="22"/>
          <w:szCs w:val="22"/>
          <w:lang w:val="sr-Latn-ME"/>
        </w:rPr>
        <w:t>mjeseci</w:t>
      </w:r>
      <w:r w:rsidRPr="00C01AE6">
        <w:rPr>
          <w:sz w:val="22"/>
          <w:szCs w:val="22"/>
          <w:lang w:val="sr-Latn-ME"/>
        </w:rPr>
        <w:t xml:space="preserve">. U trenutku kada je započeto </w:t>
      </w:r>
      <w:r w:rsidR="00BA210B" w:rsidRPr="00C01AE6">
        <w:rPr>
          <w:sz w:val="22"/>
          <w:szCs w:val="22"/>
          <w:lang w:val="sr-Latn-ME"/>
        </w:rPr>
        <w:t>liječenje</w:t>
      </w:r>
      <w:r w:rsidRPr="00C01AE6">
        <w:rPr>
          <w:sz w:val="22"/>
          <w:szCs w:val="22"/>
          <w:lang w:val="sr-Latn-ME"/>
        </w:rPr>
        <w:t xml:space="preserve"> uzrast ispitanika bio je između 0,5 i 35 </w:t>
      </w:r>
      <w:r w:rsidR="00613845" w:rsidRPr="00C01AE6">
        <w:rPr>
          <w:sz w:val="22"/>
          <w:szCs w:val="22"/>
          <w:lang w:val="sr-Latn-ME"/>
        </w:rPr>
        <w:t>mjeseci</w:t>
      </w:r>
      <w:r w:rsidRPr="00C01AE6">
        <w:rPr>
          <w:sz w:val="22"/>
          <w:szCs w:val="22"/>
          <w:lang w:val="sr-Latn-ME"/>
        </w:rPr>
        <w:t>.</w:t>
      </w:r>
    </w:p>
    <w:p w14:paraId="0E718E5B" w14:textId="5AE8DB68" w:rsidR="007F2902" w:rsidRPr="00C01AE6" w:rsidRDefault="007F2902" w:rsidP="00655C9D">
      <w:pPr>
        <w:widowControl w:val="0"/>
        <w:autoSpaceDE w:val="0"/>
        <w:autoSpaceDN w:val="0"/>
        <w:spacing w:line="247" w:lineRule="auto"/>
        <w:jc w:val="both"/>
        <w:rPr>
          <w:sz w:val="22"/>
          <w:szCs w:val="22"/>
          <w:lang w:val="sr-Latn-ME"/>
        </w:rPr>
      </w:pPr>
      <w:r w:rsidRPr="00C01AE6">
        <w:rPr>
          <w:sz w:val="22"/>
          <w:szCs w:val="22"/>
          <w:lang w:val="sr-Latn-ME"/>
        </w:rPr>
        <w:t xml:space="preserve">U </w:t>
      </w:r>
      <w:r w:rsidR="00E550A9" w:rsidRPr="00C01AE6">
        <w:rPr>
          <w:sz w:val="22"/>
          <w:szCs w:val="22"/>
          <w:lang w:val="sr-Latn-ME"/>
        </w:rPr>
        <w:t xml:space="preserve">cijeloj </w:t>
      </w:r>
      <w:r w:rsidRPr="00C01AE6">
        <w:rPr>
          <w:sz w:val="22"/>
          <w:szCs w:val="22"/>
          <w:lang w:val="sr-Latn-ME"/>
        </w:rPr>
        <w:t>grupi za analizu</w:t>
      </w:r>
      <w:r w:rsidR="00E550A9" w:rsidRPr="00C01AE6">
        <w:rPr>
          <w:sz w:val="22"/>
          <w:szCs w:val="22"/>
          <w:lang w:val="sr-Latn-ME"/>
        </w:rPr>
        <w:t>,</w:t>
      </w:r>
      <w:r w:rsidRPr="00C01AE6">
        <w:rPr>
          <w:sz w:val="22"/>
          <w:szCs w:val="22"/>
          <w:lang w:val="sr-Latn-ME"/>
        </w:rPr>
        <w:t xml:space="preserve"> 7/11 pacijenata postiglo je rezultat na </w:t>
      </w:r>
      <w:r w:rsidR="00E550A9" w:rsidRPr="00C01AE6">
        <w:rPr>
          <w:sz w:val="22"/>
          <w:szCs w:val="22"/>
          <w:lang w:val="sr-Latn-ME"/>
        </w:rPr>
        <w:t xml:space="preserve">ljestvici </w:t>
      </w:r>
      <w:r w:rsidRPr="00C01AE6">
        <w:rPr>
          <w:sz w:val="22"/>
          <w:szCs w:val="22"/>
          <w:lang w:val="sr-Latn-ME"/>
        </w:rPr>
        <w:t>za proc</w:t>
      </w:r>
      <w:r w:rsidR="00BF7680" w:rsidRPr="00C01AE6">
        <w:rPr>
          <w:sz w:val="22"/>
          <w:szCs w:val="22"/>
          <w:lang w:val="sr-Latn-ME"/>
        </w:rPr>
        <w:t>j</w:t>
      </w:r>
      <w:r w:rsidRPr="00C01AE6">
        <w:rPr>
          <w:sz w:val="22"/>
          <w:szCs w:val="22"/>
          <w:lang w:val="sr-Latn-ME"/>
        </w:rPr>
        <w:t xml:space="preserve">enu opšteg </w:t>
      </w:r>
      <w:proofErr w:type="spellStart"/>
      <w:r w:rsidRPr="00C01AE6">
        <w:rPr>
          <w:sz w:val="22"/>
          <w:szCs w:val="22"/>
          <w:lang w:val="sr-Latn-ME"/>
        </w:rPr>
        <w:t>radiografskog</w:t>
      </w:r>
      <w:proofErr w:type="spellEnd"/>
      <w:r w:rsidRPr="00C01AE6">
        <w:rPr>
          <w:sz w:val="22"/>
          <w:szCs w:val="22"/>
          <w:lang w:val="sr-Latn-ME"/>
        </w:rPr>
        <w:t xml:space="preserve"> utiska prom</w:t>
      </w:r>
      <w:r w:rsidR="00BF7680" w:rsidRPr="00C01AE6">
        <w:rPr>
          <w:sz w:val="22"/>
          <w:szCs w:val="22"/>
          <w:lang w:val="sr-Latn-ME"/>
        </w:rPr>
        <w:t>j</w:t>
      </w:r>
      <w:r w:rsidRPr="00C01AE6">
        <w:rPr>
          <w:sz w:val="22"/>
          <w:szCs w:val="22"/>
          <w:lang w:val="sr-Latn-ME"/>
        </w:rPr>
        <w:t>ene (</w:t>
      </w:r>
      <w:proofErr w:type="spellStart"/>
      <w:r w:rsidRPr="00C01AE6">
        <w:rPr>
          <w:sz w:val="22"/>
          <w:szCs w:val="22"/>
          <w:lang w:val="sr-Latn-ME"/>
        </w:rPr>
        <w:t>RGI</w:t>
      </w:r>
      <w:proofErr w:type="spellEnd"/>
      <w:r w:rsidRPr="00C01AE6">
        <w:rPr>
          <w:sz w:val="22"/>
          <w:szCs w:val="22"/>
          <w:lang w:val="sr-Latn-ME"/>
        </w:rPr>
        <w:t>-C) od +2 u 24. ned</w:t>
      </w:r>
      <w:r w:rsidR="000F269C" w:rsidRPr="00C01AE6">
        <w:rPr>
          <w:sz w:val="22"/>
          <w:szCs w:val="22"/>
          <w:lang w:val="sr-Latn-ME"/>
        </w:rPr>
        <w:t>j</w:t>
      </w:r>
      <w:r w:rsidRPr="00C01AE6">
        <w:rPr>
          <w:sz w:val="22"/>
          <w:szCs w:val="22"/>
          <w:lang w:val="sr-Latn-ME"/>
        </w:rPr>
        <w:t xml:space="preserve">elji u poređenju sa rendgenskim snimcima na početku. Prema rezultatima </w:t>
      </w:r>
      <w:proofErr w:type="spellStart"/>
      <w:r w:rsidRPr="00C01AE6">
        <w:rPr>
          <w:sz w:val="22"/>
          <w:szCs w:val="22"/>
          <w:lang w:val="sr-Latn-ME"/>
        </w:rPr>
        <w:t>RGI</w:t>
      </w:r>
      <w:proofErr w:type="spellEnd"/>
      <w:r w:rsidRPr="00C01AE6">
        <w:rPr>
          <w:sz w:val="22"/>
          <w:szCs w:val="22"/>
          <w:lang w:val="sr-Latn-ME"/>
        </w:rPr>
        <w:t xml:space="preserve">-C dobijenim u daljem praćenju </w:t>
      </w:r>
      <w:r w:rsidR="00BA210B" w:rsidRPr="00C01AE6">
        <w:rPr>
          <w:sz w:val="22"/>
          <w:szCs w:val="22"/>
          <w:lang w:val="sr-Latn-ME"/>
        </w:rPr>
        <w:t>liječenj</w:t>
      </w:r>
      <w:r w:rsidRPr="00C01AE6">
        <w:rPr>
          <w:sz w:val="22"/>
          <w:szCs w:val="22"/>
          <w:lang w:val="sr-Latn-ME"/>
        </w:rPr>
        <w:t xml:space="preserve">a, poboljšanja težine rahitisa održala su se najmanje 72 </w:t>
      </w:r>
      <w:r w:rsidR="00E550A9" w:rsidRPr="00C01AE6">
        <w:rPr>
          <w:sz w:val="22"/>
          <w:szCs w:val="22"/>
          <w:lang w:val="sr-Latn-ME"/>
        </w:rPr>
        <w:t xml:space="preserve">mjeseca </w:t>
      </w:r>
      <w:r w:rsidRPr="00C01AE6">
        <w:rPr>
          <w:sz w:val="22"/>
          <w:szCs w:val="22"/>
          <w:lang w:val="sr-Latn-ME"/>
        </w:rPr>
        <w:t>(uključujući najmanje 84 m</w:t>
      </w:r>
      <w:r w:rsidR="00BF7680" w:rsidRPr="00C01AE6">
        <w:rPr>
          <w:sz w:val="22"/>
          <w:szCs w:val="22"/>
          <w:lang w:val="sr-Latn-ME"/>
        </w:rPr>
        <w:t>j</w:t>
      </w:r>
      <w:r w:rsidRPr="00C01AE6">
        <w:rPr>
          <w:sz w:val="22"/>
          <w:szCs w:val="22"/>
          <w:lang w:val="sr-Latn-ME"/>
        </w:rPr>
        <w:t>eseca kod 4 pacijenta).</w:t>
      </w:r>
    </w:p>
    <w:p w14:paraId="356EFF6B" w14:textId="79C43255" w:rsidR="007F2902" w:rsidRPr="00C01AE6" w:rsidRDefault="007F2902" w:rsidP="00655C9D">
      <w:pPr>
        <w:widowControl w:val="0"/>
        <w:autoSpaceDE w:val="0"/>
        <w:autoSpaceDN w:val="0"/>
        <w:spacing w:line="247" w:lineRule="auto"/>
        <w:jc w:val="both"/>
        <w:rPr>
          <w:sz w:val="22"/>
          <w:szCs w:val="22"/>
          <w:lang w:val="sr-Latn-ME"/>
        </w:rPr>
      </w:pPr>
      <w:r w:rsidRPr="00C01AE6">
        <w:rPr>
          <w:sz w:val="22"/>
          <w:szCs w:val="22"/>
          <w:lang w:val="sr-Latn-ME"/>
        </w:rPr>
        <w:t xml:space="preserve">Očigledan zamah u rastu pokazalo je 5/11 ispitanika. Na </w:t>
      </w:r>
      <w:r w:rsidR="00E550A9" w:rsidRPr="00C01AE6">
        <w:rPr>
          <w:sz w:val="22"/>
          <w:szCs w:val="22"/>
          <w:lang w:val="sr-Latn-ME"/>
        </w:rPr>
        <w:t xml:space="preserve">posljednjoj </w:t>
      </w:r>
      <w:r w:rsidRPr="00C01AE6">
        <w:rPr>
          <w:sz w:val="22"/>
          <w:szCs w:val="22"/>
          <w:lang w:val="sr-Latn-ME"/>
        </w:rPr>
        <w:t>proc</w:t>
      </w:r>
      <w:r w:rsidR="00BF7680" w:rsidRPr="00C01AE6">
        <w:rPr>
          <w:sz w:val="22"/>
          <w:szCs w:val="22"/>
          <w:lang w:val="sr-Latn-ME"/>
        </w:rPr>
        <w:t>j</w:t>
      </w:r>
      <w:r w:rsidRPr="00C01AE6">
        <w:rPr>
          <w:sz w:val="22"/>
          <w:szCs w:val="22"/>
          <w:lang w:val="sr-Latn-ME"/>
        </w:rPr>
        <w:t xml:space="preserve">eni (n = 10 pacijenata, od kojih je 9 bilo </w:t>
      </w:r>
      <w:r w:rsidR="00613845" w:rsidRPr="00C01AE6">
        <w:rPr>
          <w:sz w:val="22"/>
          <w:szCs w:val="22"/>
          <w:lang w:val="sr-Latn-ME"/>
        </w:rPr>
        <w:t>liječe</w:t>
      </w:r>
      <w:r w:rsidRPr="00C01AE6">
        <w:rPr>
          <w:sz w:val="22"/>
          <w:szCs w:val="22"/>
          <w:lang w:val="sr-Latn-ME"/>
        </w:rPr>
        <w:t>no najmanje 72 m</w:t>
      </w:r>
      <w:r w:rsidR="00BF7680" w:rsidRPr="00C01AE6">
        <w:rPr>
          <w:sz w:val="22"/>
          <w:szCs w:val="22"/>
          <w:lang w:val="sr-Latn-ME"/>
        </w:rPr>
        <w:t>j</w:t>
      </w:r>
      <w:r w:rsidRPr="00C01AE6">
        <w:rPr>
          <w:sz w:val="22"/>
          <w:szCs w:val="22"/>
          <w:lang w:val="sr-Latn-ME"/>
        </w:rPr>
        <w:t xml:space="preserve">eseca), </w:t>
      </w:r>
      <w:proofErr w:type="spellStart"/>
      <w:r w:rsidRPr="00C01AE6">
        <w:rPr>
          <w:sz w:val="22"/>
          <w:szCs w:val="22"/>
          <w:lang w:val="sr-Latn-ME"/>
        </w:rPr>
        <w:t>medijana</w:t>
      </w:r>
      <w:proofErr w:type="spellEnd"/>
      <w:r w:rsidRPr="00C01AE6">
        <w:rPr>
          <w:sz w:val="22"/>
          <w:szCs w:val="22"/>
          <w:lang w:val="sr-Latn-ME"/>
        </w:rPr>
        <w:t xml:space="preserve"> poboljšanja Z-vr</w:t>
      </w:r>
      <w:r w:rsidR="00BF7680" w:rsidRPr="00C01AE6">
        <w:rPr>
          <w:sz w:val="22"/>
          <w:szCs w:val="22"/>
          <w:lang w:val="sr-Latn-ME"/>
        </w:rPr>
        <w:t>ij</w:t>
      </w:r>
      <w:r w:rsidRPr="00C01AE6">
        <w:rPr>
          <w:sz w:val="22"/>
          <w:szCs w:val="22"/>
          <w:lang w:val="sr-Latn-ME"/>
        </w:rPr>
        <w:t>ednosti u odnosu na početnu vr</w:t>
      </w:r>
      <w:r w:rsidR="00BF7680" w:rsidRPr="00C01AE6">
        <w:rPr>
          <w:sz w:val="22"/>
          <w:szCs w:val="22"/>
          <w:lang w:val="sr-Latn-ME"/>
        </w:rPr>
        <w:t>ij</w:t>
      </w:r>
      <w:r w:rsidRPr="00C01AE6">
        <w:rPr>
          <w:sz w:val="22"/>
          <w:szCs w:val="22"/>
          <w:lang w:val="sr-Latn-ME"/>
        </w:rPr>
        <w:t>ednost iznosila je 1,93 za dužinu/visinu i 2,43 za težinu. Fluktuacija u povećanju visine bila je očigledna i može odražavati teži oblik bolesti i veću stopu morbiditeta kod tih mlađih pacijenata.</w:t>
      </w:r>
    </w:p>
    <w:p w14:paraId="7E4974D9" w14:textId="77777777" w:rsidR="007F2902" w:rsidRPr="00C01AE6" w:rsidRDefault="007F2902" w:rsidP="00655C9D">
      <w:pPr>
        <w:widowControl w:val="0"/>
        <w:autoSpaceDE w:val="0"/>
        <w:autoSpaceDN w:val="0"/>
        <w:jc w:val="both"/>
        <w:rPr>
          <w:sz w:val="22"/>
          <w:szCs w:val="22"/>
          <w:lang w:val="sr-Latn-ME"/>
        </w:rPr>
      </w:pPr>
    </w:p>
    <w:p w14:paraId="6314A5E3" w14:textId="77777777" w:rsidR="007F2902" w:rsidRPr="00C01AE6" w:rsidRDefault="007F2902" w:rsidP="00655C9D">
      <w:pPr>
        <w:widowControl w:val="0"/>
        <w:autoSpaceDE w:val="0"/>
        <w:autoSpaceDN w:val="0"/>
        <w:jc w:val="both"/>
        <w:rPr>
          <w:i/>
          <w:sz w:val="22"/>
          <w:szCs w:val="22"/>
          <w:lang w:val="sr-Latn-ME"/>
        </w:rPr>
      </w:pPr>
      <w:r w:rsidRPr="00C01AE6">
        <w:rPr>
          <w:i/>
          <w:iCs/>
          <w:sz w:val="22"/>
          <w:szCs w:val="22"/>
          <w:u w:val="single"/>
          <w:lang w:val="sr-Latn-ME"/>
        </w:rPr>
        <w:t xml:space="preserve">Studija </w:t>
      </w:r>
      <w:proofErr w:type="spellStart"/>
      <w:r w:rsidRPr="00C01AE6">
        <w:rPr>
          <w:i/>
          <w:iCs/>
          <w:sz w:val="22"/>
          <w:szCs w:val="22"/>
          <w:u w:val="single"/>
          <w:lang w:val="sr-Latn-ME"/>
        </w:rPr>
        <w:t>ENB</w:t>
      </w:r>
      <w:proofErr w:type="spellEnd"/>
      <w:r w:rsidRPr="00C01AE6">
        <w:rPr>
          <w:i/>
          <w:iCs/>
          <w:sz w:val="22"/>
          <w:szCs w:val="22"/>
          <w:u w:val="single"/>
          <w:lang w:val="sr-Latn-ME"/>
        </w:rPr>
        <w:t>-010-10</w:t>
      </w:r>
    </w:p>
    <w:p w14:paraId="2A2CD573" w14:textId="77777777" w:rsidR="007F2902" w:rsidRPr="00C01AE6" w:rsidRDefault="007F2902" w:rsidP="00655C9D">
      <w:pPr>
        <w:widowControl w:val="0"/>
        <w:autoSpaceDE w:val="0"/>
        <w:autoSpaceDN w:val="0"/>
        <w:jc w:val="both"/>
        <w:rPr>
          <w:i/>
          <w:sz w:val="22"/>
          <w:szCs w:val="22"/>
          <w:lang w:val="sr-Latn-ME"/>
        </w:rPr>
      </w:pPr>
    </w:p>
    <w:p w14:paraId="15056A68" w14:textId="6128879F" w:rsidR="007F2902" w:rsidRDefault="007F2902" w:rsidP="00655C9D">
      <w:pPr>
        <w:widowControl w:val="0"/>
        <w:autoSpaceDE w:val="0"/>
        <w:autoSpaceDN w:val="0"/>
        <w:spacing w:line="247" w:lineRule="auto"/>
        <w:jc w:val="both"/>
        <w:rPr>
          <w:sz w:val="22"/>
          <w:szCs w:val="22"/>
          <w:lang w:val="sr-Latn-ME"/>
        </w:rPr>
      </w:pPr>
      <w:r w:rsidRPr="00C01AE6">
        <w:rPr>
          <w:sz w:val="22"/>
          <w:szCs w:val="22"/>
          <w:lang w:val="sr-Latn-ME"/>
        </w:rPr>
        <w:t xml:space="preserve">Studija </w:t>
      </w:r>
      <w:proofErr w:type="spellStart"/>
      <w:r w:rsidRPr="00C01AE6">
        <w:rPr>
          <w:sz w:val="22"/>
          <w:szCs w:val="22"/>
          <w:lang w:val="sr-Latn-ME"/>
        </w:rPr>
        <w:t>ENB</w:t>
      </w:r>
      <w:proofErr w:type="spellEnd"/>
      <w:r w:rsidRPr="00C01AE6">
        <w:rPr>
          <w:sz w:val="22"/>
          <w:szCs w:val="22"/>
          <w:lang w:val="sr-Latn-ME"/>
        </w:rPr>
        <w:t>-010-10 bila je kontrolisana otvorena studija sa 69 pacijenata uzrasta od 1 dan do 72 m</w:t>
      </w:r>
      <w:r w:rsidR="00BF7680" w:rsidRPr="00C01AE6">
        <w:rPr>
          <w:sz w:val="22"/>
          <w:szCs w:val="22"/>
          <w:lang w:val="sr-Latn-ME"/>
        </w:rPr>
        <w:t>j</w:t>
      </w:r>
      <w:r w:rsidRPr="00C01AE6">
        <w:rPr>
          <w:sz w:val="22"/>
          <w:szCs w:val="22"/>
          <w:lang w:val="sr-Latn-ME"/>
        </w:rPr>
        <w:t xml:space="preserve">eseca, </w:t>
      </w:r>
      <w:r w:rsidR="00657188" w:rsidRPr="00C01AE6">
        <w:rPr>
          <w:sz w:val="22"/>
          <w:szCs w:val="22"/>
          <w:lang w:val="sr-Latn-ME"/>
        </w:rPr>
        <w:t xml:space="preserve">sa </w:t>
      </w:r>
      <w:proofErr w:type="spellStart"/>
      <w:r w:rsidRPr="00C01AE6">
        <w:rPr>
          <w:sz w:val="22"/>
          <w:szCs w:val="22"/>
          <w:lang w:val="sr-Latn-ME"/>
        </w:rPr>
        <w:t>HPP</w:t>
      </w:r>
      <w:proofErr w:type="spellEnd"/>
      <w:r w:rsidRPr="00C01AE6">
        <w:rPr>
          <w:sz w:val="22"/>
          <w:szCs w:val="22"/>
          <w:lang w:val="sr-Latn-ME"/>
        </w:rPr>
        <w:t xml:space="preserve"> sa početkom u </w:t>
      </w:r>
      <w:proofErr w:type="spellStart"/>
      <w:r w:rsidRPr="00C01AE6">
        <w:rPr>
          <w:sz w:val="22"/>
          <w:szCs w:val="22"/>
          <w:lang w:val="sr-Latn-ME"/>
        </w:rPr>
        <w:t>perinatalnom</w:t>
      </w:r>
      <w:proofErr w:type="spellEnd"/>
      <w:r w:rsidRPr="00C01AE6">
        <w:rPr>
          <w:sz w:val="22"/>
          <w:szCs w:val="22"/>
          <w:lang w:val="sr-Latn-ME"/>
        </w:rPr>
        <w:t xml:space="preserve">/infantilnom periodu. Srednji uzrast pri pojavi znaka/simptoma iznosio je 1,49 </w:t>
      </w:r>
      <w:r w:rsidR="00613845" w:rsidRPr="00C01AE6">
        <w:rPr>
          <w:sz w:val="22"/>
          <w:szCs w:val="22"/>
          <w:lang w:val="sr-Latn-ME"/>
        </w:rPr>
        <w:t>mjeseci</w:t>
      </w:r>
      <w:r w:rsidRPr="00C01AE6">
        <w:rPr>
          <w:sz w:val="22"/>
          <w:szCs w:val="22"/>
          <w:lang w:val="sr-Latn-ME"/>
        </w:rPr>
        <w:t xml:space="preserve">. Pacijenti su primali </w:t>
      </w:r>
      <w:proofErr w:type="spellStart"/>
      <w:r w:rsidRPr="00C01AE6">
        <w:rPr>
          <w:sz w:val="22"/>
          <w:szCs w:val="22"/>
          <w:lang w:val="sr-Latn-ME"/>
        </w:rPr>
        <w:t>STRENSIQ</w:t>
      </w:r>
      <w:proofErr w:type="spellEnd"/>
      <w:r w:rsidRPr="00C01AE6">
        <w:rPr>
          <w:sz w:val="22"/>
          <w:szCs w:val="22"/>
          <w:lang w:val="sr-Latn-ME"/>
        </w:rPr>
        <w:t xml:space="preserve"> od 6 mg/kg jednom ned</w:t>
      </w:r>
      <w:r w:rsidR="00D93F80" w:rsidRPr="00C01AE6">
        <w:rPr>
          <w:sz w:val="22"/>
          <w:szCs w:val="22"/>
          <w:lang w:val="sr-Latn-ME"/>
        </w:rPr>
        <w:t>j</w:t>
      </w:r>
      <w:r w:rsidRPr="00C01AE6">
        <w:rPr>
          <w:sz w:val="22"/>
          <w:szCs w:val="22"/>
          <w:lang w:val="sr-Latn-ME"/>
        </w:rPr>
        <w:t>eljno prve 4 ned</w:t>
      </w:r>
      <w:r w:rsidR="00D93F80" w:rsidRPr="00C01AE6">
        <w:rPr>
          <w:sz w:val="22"/>
          <w:szCs w:val="22"/>
          <w:lang w:val="sr-Latn-ME"/>
        </w:rPr>
        <w:t>j</w:t>
      </w:r>
      <w:r w:rsidRPr="00C01AE6">
        <w:rPr>
          <w:sz w:val="22"/>
          <w:szCs w:val="22"/>
          <w:lang w:val="sr-Latn-ME"/>
        </w:rPr>
        <w:t xml:space="preserve">elje. Svi pacijenti počeli su učešće u studiji sa dozom </w:t>
      </w:r>
      <w:proofErr w:type="spellStart"/>
      <w:r w:rsidRPr="00C01AE6">
        <w:rPr>
          <w:sz w:val="22"/>
          <w:szCs w:val="22"/>
          <w:lang w:val="sr-Latn-ME"/>
        </w:rPr>
        <w:t>asfotaze</w:t>
      </w:r>
      <w:proofErr w:type="spellEnd"/>
      <w:r w:rsidRPr="00C01AE6">
        <w:rPr>
          <w:sz w:val="22"/>
          <w:szCs w:val="22"/>
          <w:lang w:val="sr-Latn-ME"/>
        </w:rPr>
        <w:t xml:space="preserve"> alfa od 6 mg/kg ned</w:t>
      </w:r>
      <w:r w:rsidR="00D93F80" w:rsidRPr="00C01AE6">
        <w:rPr>
          <w:sz w:val="22"/>
          <w:szCs w:val="22"/>
          <w:lang w:val="sr-Latn-ME"/>
        </w:rPr>
        <w:t>j</w:t>
      </w:r>
      <w:r w:rsidRPr="00C01AE6">
        <w:rPr>
          <w:sz w:val="22"/>
          <w:szCs w:val="22"/>
          <w:lang w:val="sr-Latn-ME"/>
        </w:rPr>
        <w:t xml:space="preserve">eljno. Doza </w:t>
      </w:r>
      <w:proofErr w:type="spellStart"/>
      <w:r w:rsidRPr="00C01AE6">
        <w:rPr>
          <w:sz w:val="22"/>
          <w:szCs w:val="22"/>
          <w:lang w:val="sr-Latn-ME"/>
        </w:rPr>
        <w:t>asfotaze</w:t>
      </w:r>
      <w:proofErr w:type="spellEnd"/>
      <w:r w:rsidRPr="00C01AE6">
        <w:rPr>
          <w:sz w:val="22"/>
          <w:szCs w:val="22"/>
          <w:lang w:val="sr-Latn-ME"/>
        </w:rPr>
        <w:t xml:space="preserve"> alfa povećana je za 11 pacijenata tokom studije. Od tih 11 pacijenata kod 9 pacijenata doza je povećana naročito da bi se poboljšao klinički odgovor. Trideset i osam pacijenata bilo je </w:t>
      </w:r>
      <w:r w:rsidR="00613845" w:rsidRPr="00C01AE6">
        <w:rPr>
          <w:sz w:val="22"/>
          <w:szCs w:val="22"/>
          <w:lang w:val="sr-Latn-ME"/>
        </w:rPr>
        <w:t>liječe</w:t>
      </w:r>
      <w:r w:rsidRPr="00C01AE6">
        <w:rPr>
          <w:sz w:val="22"/>
          <w:szCs w:val="22"/>
          <w:lang w:val="sr-Latn-ME"/>
        </w:rPr>
        <w:t xml:space="preserve">no najmanje 2 godine (24 </w:t>
      </w:r>
      <w:r w:rsidR="00657188" w:rsidRPr="00C01AE6">
        <w:rPr>
          <w:sz w:val="22"/>
          <w:szCs w:val="22"/>
          <w:lang w:val="sr-Latn-ME"/>
        </w:rPr>
        <w:t>mjeseca</w:t>
      </w:r>
      <w:r w:rsidRPr="00C01AE6">
        <w:rPr>
          <w:sz w:val="22"/>
          <w:szCs w:val="22"/>
          <w:lang w:val="sr-Latn-ME"/>
        </w:rPr>
        <w:t xml:space="preserve">), a 6 pacijenata je </w:t>
      </w:r>
      <w:r w:rsidR="00613845" w:rsidRPr="00C01AE6">
        <w:rPr>
          <w:sz w:val="22"/>
          <w:szCs w:val="22"/>
          <w:lang w:val="sr-Latn-ME"/>
        </w:rPr>
        <w:t>liječe</w:t>
      </w:r>
      <w:r w:rsidRPr="00C01AE6">
        <w:rPr>
          <w:sz w:val="22"/>
          <w:szCs w:val="22"/>
          <w:lang w:val="sr-Latn-ME"/>
        </w:rPr>
        <w:t xml:space="preserve">no najmanje 5 godina (60 </w:t>
      </w:r>
      <w:r w:rsidR="00613845" w:rsidRPr="00C01AE6">
        <w:rPr>
          <w:sz w:val="22"/>
          <w:szCs w:val="22"/>
          <w:lang w:val="sr-Latn-ME"/>
        </w:rPr>
        <w:t>mjeseci</w:t>
      </w:r>
      <w:r w:rsidRPr="00C01AE6">
        <w:rPr>
          <w:sz w:val="22"/>
          <w:szCs w:val="22"/>
          <w:lang w:val="sr-Latn-ME"/>
        </w:rPr>
        <w:t>).</w:t>
      </w:r>
    </w:p>
    <w:p w14:paraId="6AE7B97F" w14:textId="77777777" w:rsidR="00C01AE6" w:rsidRPr="00C01AE6" w:rsidRDefault="00C01AE6" w:rsidP="00655C9D">
      <w:pPr>
        <w:widowControl w:val="0"/>
        <w:autoSpaceDE w:val="0"/>
        <w:autoSpaceDN w:val="0"/>
        <w:spacing w:line="247" w:lineRule="auto"/>
        <w:jc w:val="both"/>
        <w:rPr>
          <w:sz w:val="22"/>
          <w:szCs w:val="22"/>
          <w:lang w:val="sr-Latn-ME"/>
        </w:rPr>
      </w:pPr>
    </w:p>
    <w:p w14:paraId="0BCFD227" w14:textId="66580668" w:rsidR="007F2902" w:rsidRDefault="007F2902" w:rsidP="00C01AE6">
      <w:pPr>
        <w:widowControl w:val="0"/>
        <w:autoSpaceDE w:val="0"/>
        <w:autoSpaceDN w:val="0"/>
        <w:spacing w:line="247" w:lineRule="auto"/>
        <w:ind w:right="1"/>
        <w:jc w:val="both"/>
        <w:rPr>
          <w:sz w:val="22"/>
          <w:szCs w:val="22"/>
          <w:lang w:val="sr-Latn-ME"/>
        </w:rPr>
      </w:pPr>
      <w:r w:rsidRPr="00C01AE6">
        <w:rPr>
          <w:sz w:val="22"/>
          <w:szCs w:val="22"/>
          <w:lang w:val="sr-Latn-ME"/>
        </w:rPr>
        <w:t xml:space="preserve">U 48. </w:t>
      </w:r>
      <w:proofErr w:type="spellStart"/>
      <w:r w:rsidRPr="00C01AE6">
        <w:rPr>
          <w:sz w:val="22"/>
          <w:szCs w:val="22"/>
          <w:lang w:val="sr-Latn-ME"/>
        </w:rPr>
        <w:t>nedelji</w:t>
      </w:r>
      <w:proofErr w:type="spellEnd"/>
      <w:r w:rsidRPr="00C01AE6">
        <w:rPr>
          <w:sz w:val="22"/>
          <w:szCs w:val="22"/>
          <w:lang w:val="sr-Latn-ME"/>
        </w:rPr>
        <w:t>, 50/69 pacijenata (72,5%) u c</w:t>
      </w:r>
      <w:r w:rsidR="00BF7680" w:rsidRPr="00C01AE6">
        <w:rPr>
          <w:sz w:val="22"/>
          <w:szCs w:val="22"/>
          <w:lang w:val="sr-Latn-ME"/>
        </w:rPr>
        <w:t>ij</w:t>
      </w:r>
      <w:r w:rsidRPr="00C01AE6">
        <w:rPr>
          <w:sz w:val="22"/>
          <w:szCs w:val="22"/>
          <w:lang w:val="sr-Latn-ME"/>
        </w:rPr>
        <w:t>eloj grupi postiglo je rezultat na l</w:t>
      </w:r>
      <w:r w:rsidR="00BF7680" w:rsidRPr="00C01AE6">
        <w:rPr>
          <w:sz w:val="22"/>
          <w:szCs w:val="22"/>
          <w:lang w:val="sr-Latn-ME"/>
        </w:rPr>
        <w:t>j</w:t>
      </w:r>
      <w:r w:rsidRPr="00C01AE6">
        <w:rPr>
          <w:sz w:val="22"/>
          <w:szCs w:val="22"/>
          <w:lang w:val="sr-Latn-ME"/>
        </w:rPr>
        <w:t>estvici za proc</w:t>
      </w:r>
      <w:r w:rsidR="00BF7680" w:rsidRPr="00C01AE6">
        <w:rPr>
          <w:sz w:val="22"/>
          <w:szCs w:val="22"/>
          <w:lang w:val="sr-Latn-ME"/>
        </w:rPr>
        <w:t>j</w:t>
      </w:r>
      <w:r w:rsidRPr="00C01AE6">
        <w:rPr>
          <w:sz w:val="22"/>
          <w:szCs w:val="22"/>
          <w:lang w:val="sr-Latn-ME"/>
        </w:rPr>
        <w:t xml:space="preserve">enu opšteg </w:t>
      </w:r>
      <w:proofErr w:type="spellStart"/>
      <w:r w:rsidRPr="00C01AE6">
        <w:rPr>
          <w:sz w:val="22"/>
          <w:szCs w:val="22"/>
          <w:lang w:val="sr-Latn-ME"/>
        </w:rPr>
        <w:t>radiografskog</w:t>
      </w:r>
      <w:proofErr w:type="spellEnd"/>
      <w:r w:rsidRPr="00C01AE6">
        <w:rPr>
          <w:sz w:val="22"/>
          <w:szCs w:val="22"/>
          <w:lang w:val="sr-Latn-ME"/>
        </w:rPr>
        <w:t xml:space="preserve"> utiska prom</w:t>
      </w:r>
      <w:r w:rsidR="00BF7680" w:rsidRPr="00C01AE6">
        <w:rPr>
          <w:sz w:val="22"/>
          <w:szCs w:val="22"/>
          <w:lang w:val="sr-Latn-ME"/>
        </w:rPr>
        <w:t>j</w:t>
      </w:r>
      <w:r w:rsidRPr="00C01AE6">
        <w:rPr>
          <w:sz w:val="22"/>
          <w:szCs w:val="22"/>
          <w:lang w:val="sr-Latn-ME"/>
        </w:rPr>
        <w:t xml:space="preserve">ene ≥ 2 i smatrani su </w:t>
      </w:r>
      <w:proofErr w:type="spellStart"/>
      <w:r w:rsidRPr="00C01AE6">
        <w:rPr>
          <w:sz w:val="22"/>
          <w:szCs w:val="22"/>
          <w:lang w:val="sr-Latn-ME"/>
        </w:rPr>
        <w:t>respondentima</w:t>
      </w:r>
      <w:proofErr w:type="spellEnd"/>
      <w:r w:rsidRPr="00C01AE6">
        <w:rPr>
          <w:sz w:val="22"/>
          <w:szCs w:val="22"/>
          <w:lang w:val="sr-Latn-ME"/>
        </w:rPr>
        <w:t xml:space="preserve">. Poboljšana </w:t>
      </w:r>
      <w:proofErr w:type="spellStart"/>
      <w:r w:rsidRPr="00C01AE6">
        <w:rPr>
          <w:sz w:val="22"/>
          <w:szCs w:val="22"/>
          <w:lang w:val="sr-Latn-ME"/>
        </w:rPr>
        <w:t>medijana</w:t>
      </w:r>
      <w:proofErr w:type="spellEnd"/>
      <w:r w:rsidRPr="00C01AE6">
        <w:rPr>
          <w:sz w:val="22"/>
          <w:szCs w:val="22"/>
          <w:lang w:val="sr-Latn-ME"/>
        </w:rPr>
        <w:t xml:space="preserve"> rezultata </w:t>
      </w:r>
      <w:proofErr w:type="spellStart"/>
      <w:r w:rsidRPr="00C01AE6">
        <w:rPr>
          <w:sz w:val="22"/>
          <w:szCs w:val="22"/>
          <w:lang w:val="sr-Latn-ME"/>
        </w:rPr>
        <w:t>RGI</w:t>
      </w:r>
      <w:proofErr w:type="spellEnd"/>
      <w:r w:rsidRPr="00C01AE6">
        <w:rPr>
          <w:sz w:val="22"/>
          <w:szCs w:val="22"/>
          <w:lang w:val="sr-Latn-ME"/>
        </w:rPr>
        <w:t xml:space="preserve">-C održala se tokom </w:t>
      </w:r>
      <w:r w:rsidR="00BA210B" w:rsidRPr="00C01AE6">
        <w:rPr>
          <w:sz w:val="22"/>
          <w:szCs w:val="22"/>
          <w:lang w:val="sr-Latn-ME"/>
        </w:rPr>
        <w:t>liječenj</w:t>
      </w:r>
      <w:r w:rsidRPr="00C01AE6">
        <w:rPr>
          <w:sz w:val="22"/>
          <w:szCs w:val="22"/>
          <w:lang w:val="sr-Latn-ME"/>
        </w:rPr>
        <w:t xml:space="preserve">a koje je trajalo od 0,9 do 302,3 </w:t>
      </w:r>
      <w:proofErr w:type="spellStart"/>
      <w:r w:rsidRPr="00C01AE6">
        <w:rPr>
          <w:sz w:val="22"/>
          <w:szCs w:val="22"/>
          <w:lang w:val="sr-Latn-ME"/>
        </w:rPr>
        <w:t>nedelje</w:t>
      </w:r>
      <w:proofErr w:type="spellEnd"/>
      <w:r w:rsidRPr="00C01AE6">
        <w:rPr>
          <w:sz w:val="22"/>
          <w:szCs w:val="22"/>
          <w:lang w:val="sr-Latn-ME"/>
        </w:rPr>
        <w:t xml:space="preserve">, čak i ako je nakon 96. </w:t>
      </w:r>
      <w:proofErr w:type="spellStart"/>
      <w:r w:rsidRPr="00C01AE6">
        <w:rPr>
          <w:sz w:val="22"/>
          <w:szCs w:val="22"/>
          <w:lang w:val="sr-Latn-ME"/>
        </w:rPr>
        <w:t>nedelje</w:t>
      </w:r>
      <w:proofErr w:type="spellEnd"/>
      <w:r w:rsidRPr="00C01AE6">
        <w:rPr>
          <w:sz w:val="22"/>
          <w:szCs w:val="22"/>
          <w:lang w:val="sr-Latn-ME"/>
        </w:rPr>
        <w:t xml:space="preserve"> praćen manji broj pacijenata (ukupno 29 pacijenata praćeno je nakon 96. </w:t>
      </w:r>
      <w:proofErr w:type="spellStart"/>
      <w:r w:rsidRPr="00C01AE6">
        <w:rPr>
          <w:sz w:val="22"/>
          <w:szCs w:val="22"/>
          <w:lang w:val="sr-Latn-ME"/>
        </w:rPr>
        <w:t>nedelje</w:t>
      </w:r>
      <w:proofErr w:type="spellEnd"/>
      <w:r w:rsidRPr="00C01AE6">
        <w:rPr>
          <w:sz w:val="22"/>
          <w:szCs w:val="22"/>
          <w:lang w:val="sr-Latn-ME"/>
        </w:rPr>
        <w:t xml:space="preserve">, a ≤ 8 pacijenata nakon 192. </w:t>
      </w:r>
      <w:proofErr w:type="spellStart"/>
      <w:r w:rsidRPr="00C01AE6">
        <w:rPr>
          <w:sz w:val="22"/>
          <w:szCs w:val="22"/>
          <w:lang w:val="sr-Latn-ME"/>
        </w:rPr>
        <w:t>nedelje</w:t>
      </w:r>
      <w:proofErr w:type="spellEnd"/>
      <w:r w:rsidRPr="00C01AE6">
        <w:rPr>
          <w:sz w:val="22"/>
          <w:szCs w:val="22"/>
          <w:lang w:val="sr-Latn-ME"/>
        </w:rPr>
        <w:t>).</w:t>
      </w:r>
    </w:p>
    <w:p w14:paraId="59FAB645" w14:textId="77777777" w:rsidR="00C01AE6" w:rsidRPr="00C01AE6" w:rsidRDefault="00C01AE6" w:rsidP="00C01AE6">
      <w:pPr>
        <w:widowControl w:val="0"/>
        <w:autoSpaceDE w:val="0"/>
        <w:autoSpaceDN w:val="0"/>
        <w:spacing w:line="247" w:lineRule="auto"/>
        <w:ind w:right="1"/>
        <w:jc w:val="both"/>
        <w:rPr>
          <w:sz w:val="22"/>
          <w:szCs w:val="22"/>
          <w:lang w:val="sr-Latn-ME"/>
        </w:rPr>
      </w:pPr>
    </w:p>
    <w:p w14:paraId="3EBDE8C0" w14:textId="26EE8D88" w:rsidR="007F2902" w:rsidRPr="00C01AE6" w:rsidRDefault="007F2902" w:rsidP="00C01AE6">
      <w:pPr>
        <w:widowControl w:val="0"/>
        <w:autoSpaceDE w:val="0"/>
        <w:autoSpaceDN w:val="0"/>
        <w:spacing w:line="247" w:lineRule="auto"/>
        <w:ind w:right="1"/>
        <w:jc w:val="both"/>
        <w:rPr>
          <w:sz w:val="22"/>
          <w:szCs w:val="22"/>
          <w:lang w:val="sr-Latn-ME"/>
        </w:rPr>
      </w:pPr>
      <w:r w:rsidRPr="00C01AE6">
        <w:rPr>
          <w:sz w:val="22"/>
          <w:szCs w:val="22"/>
          <w:lang w:val="sr-Latn-ME"/>
        </w:rPr>
        <w:t xml:space="preserve">Visina, masa i obim glave bili su ucrtani u grafikone rasta (nizovi krivulja sa </w:t>
      </w:r>
      <w:proofErr w:type="spellStart"/>
      <w:r w:rsidRPr="00C01AE6">
        <w:rPr>
          <w:sz w:val="22"/>
          <w:szCs w:val="22"/>
          <w:lang w:val="sr-Latn-ME"/>
        </w:rPr>
        <w:t>percentilima</w:t>
      </w:r>
      <w:proofErr w:type="spellEnd"/>
      <w:r w:rsidRPr="00C01AE6">
        <w:rPr>
          <w:sz w:val="22"/>
          <w:szCs w:val="22"/>
          <w:lang w:val="sr-Latn-ME"/>
        </w:rPr>
        <w:t xml:space="preserve"> koji prikazuju distribuciju) pribavljene iz američkih centara za kontrolu i </w:t>
      </w:r>
      <w:proofErr w:type="spellStart"/>
      <w:r w:rsidRPr="00C01AE6">
        <w:rPr>
          <w:sz w:val="22"/>
          <w:szCs w:val="22"/>
          <w:lang w:val="sr-Latn-ME"/>
        </w:rPr>
        <w:t>sprečavanje</w:t>
      </w:r>
      <w:proofErr w:type="spellEnd"/>
      <w:r w:rsidRPr="00C01AE6">
        <w:rPr>
          <w:sz w:val="22"/>
          <w:szCs w:val="22"/>
          <w:lang w:val="sr-Latn-ME"/>
        </w:rPr>
        <w:t xml:space="preserve"> bolesti (</w:t>
      </w:r>
      <w:r w:rsidR="00657188" w:rsidRPr="00C01AE6">
        <w:rPr>
          <w:sz w:val="22"/>
          <w:szCs w:val="22"/>
          <w:lang w:val="sr-Latn-ME"/>
        </w:rPr>
        <w:t xml:space="preserve">engl. </w:t>
      </w:r>
      <w:proofErr w:type="spellStart"/>
      <w:r w:rsidR="00657188" w:rsidRPr="00C01AE6">
        <w:rPr>
          <w:i/>
          <w:iCs/>
          <w:sz w:val="22"/>
          <w:szCs w:val="22"/>
          <w:lang w:val="sr-Latn-ME"/>
        </w:rPr>
        <w:t>Centers</w:t>
      </w:r>
      <w:proofErr w:type="spellEnd"/>
      <w:r w:rsidR="00657188" w:rsidRPr="00C01AE6">
        <w:rPr>
          <w:i/>
          <w:iCs/>
          <w:sz w:val="22"/>
          <w:szCs w:val="22"/>
          <w:lang w:val="sr-Latn-ME"/>
        </w:rPr>
        <w:t xml:space="preserve"> </w:t>
      </w:r>
      <w:proofErr w:type="spellStart"/>
      <w:r w:rsidR="00657188" w:rsidRPr="00C01AE6">
        <w:rPr>
          <w:i/>
          <w:iCs/>
          <w:sz w:val="22"/>
          <w:szCs w:val="22"/>
          <w:lang w:val="sr-Latn-ME"/>
        </w:rPr>
        <w:t>for</w:t>
      </w:r>
      <w:proofErr w:type="spellEnd"/>
      <w:r w:rsidR="00657188" w:rsidRPr="00C01AE6">
        <w:rPr>
          <w:i/>
          <w:iCs/>
          <w:sz w:val="22"/>
          <w:szCs w:val="22"/>
          <w:lang w:val="sr-Latn-ME"/>
        </w:rPr>
        <w:t xml:space="preserve"> </w:t>
      </w:r>
      <w:proofErr w:type="spellStart"/>
      <w:r w:rsidR="00657188" w:rsidRPr="00C01AE6">
        <w:rPr>
          <w:i/>
          <w:iCs/>
          <w:sz w:val="22"/>
          <w:szCs w:val="22"/>
          <w:lang w:val="sr-Latn-ME"/>
        </w:rPr>
        <w:t>Disease</w:t>
      </w:r>
      <w:proofErr w:type="spellEnd"/>
      <w:r w:rsidR="00657188" w:rsidRPr="00C01AE6">
        <w:rPr>
          <w:i/>
          <w:iCs/>
          <w:sz w:val="22"/>
          <w:szCs w:val="22"/>
          <w:lang w:val="sr-Latn-ME"/>
        </w:rPr>
        <w:t xml:space="preserve"> </w:t>
      </w:r>
      <w:proofErr w:type="spellStart"/>
      <w:r w:rsidR="00657188" w:rsidRPr="00C01AE6">
        <w:rPr>
          <w:i/>
          <w:iCs/>
          <w:sz w:val="22"/>
          <w:szCs w:val="22"/>
          <w:lang w:val="sr-Latn-ME"/>
        </w:rPr>
        <w:t>Control</w:t>
      </w:r>
      <w:proofErr w:type="spellEnd"/>
      <w:r w:rsidR="00657188" w:rsidRPr="00C01AE6">
        <w:rPr>
          <w:i/>
          <w:iCs/>
          <w:sz w:val="22"/>
          <w:szCs w:val="22"/>
          <w:lang w:val="sr-Latn-ME"/>
        </w:rPr>
        <w:t xml:space="preserve"> </w:t>
      </w:r>
      <w:proofErr w:type="spellStart"/>
      <w:r w:rsidR="00657188" w:rsidRPr="00C01AE6">
        <w:rPr>
          <w:i/>
          <w:iCs/>
          <w:sz w:val="22"/>
          <w:szCs w:val="22"/>
          <w:lang w:val="sr-Latn-ME"/>
        </w:rPr>
        <w:t>and</w:t>
      </w:r>
      <w:proofErr w:type="spellEnd"/>
      <w:r w:rsidR="00657188" w:rsidRPr="00C01AE6">
        <w:rPr>
          <w:i/>
          <w:iCs/>
          <w:sz w:val="22"/>
          <w:szCs w:val="22"/>
          <w:lang w:val="sr-Latn-ME"/>
        </w:rPr>
        <w:t xml:space="preserve"> </w:t>
      </w:r>
      <w:proofErr w:type="spellStart"/>
      <w:r w:rsidR="00657188" w:rsidRPr="00C01AE6">
        <w:rPr>
          <w:i/>
          <w:iCs/>
          <w:sz w:val="22"/>
          <w:szCs w:val="22"/>
          <w:lang w:val="sr-Latn-ME"/>
        </w:rPr>
        <w:t>Prevention</w:t>
      </w:r>
      <w:proofErr w:type="spellEnd"/>
      <w:r w:rsidR="00657188" w:rsidRPr="00C01AE6">
        <w:rPr>
          <w:i/>
          <w:iCs/>
          <w:sz w:val="22"/>
          <w:szCs w:val="22"/>
          <w:lang w:val="sr-Latn-ME"/>
        </w:rPr>
        <w:t xml:space="preserve">, </w:t>
      </w:r>
      <w:proofErr w:type="spellStart"/>
      <w:r w:rsidR="00657188" w:rsidRPr="00C01AE6">
        <w:rPr>
          <w:i/>
          <w:iCs/>
          <w:sz w:val="22"/>
          <w:szCs w:val="22"/>
          <w:lang w:val="sr-Latn-ME"/>
        </w:rPr>
        <w:t>CDC</w:t>
      </w:r>
      <w:proofErr w:type="spellEnd"/>
      <w:r w:rsidRPr="00C01AE6">
        <w:rPr>
          <w:sz w:val="22"/>
          <w:szCs w:val="22"/>
          <w:lang w:val="sr-Latn-ME"/>
        </w:rPr>
        <w:t>). Na osnovu pom</w:t>
      </w:r>
      <w:r w:rsidR="00BF7680" w:rsidRPr="00C01AE6">
        <w:rPr>
          <w:sz w:val="22"/>
          <w:szCs w:val="22"/>
          <w:lang w:val="sr-Latn-ME"/>
        </w:rPr>
        <w:t>j</w:t>
      </w:r>
      <w:r w:rsidRPr="00C01AE6">
        <w:rPr>
          <w:sz w:val="22"/>
          <w:szCs w:val="22"/>
          <w:lang w:val="sr-Latn-ME"/>
        </w:rPr>
        <w:t>eranja prema višim vr</w:t>
      </w:r>
      <w:r w:rsidR="00BF7680" w:rsidRPr="00C01AE6">
        <w:rPr>
          <w:sz w:val="22"/>
          <w:szCs w:val="22"/>
          <w:lang w:val="sr-Latn-ME"/>
        </w:rPr>
        <w:t>ij</w:t>
      </w:r>
      <w:r w:rsidRPr="00C01AE6">
        <w:rPr>
          <w:sz w:val="22"/>
          <w:szCs w:val="22"/>
          <w:lang w:val="sr-Latn-ME"/>
        </w:rPr>
        <w:t xml:space="preserve">ednostima </w:t>
      </w:r>
      <w:proofErr w:type="spellStart"/>
      <w:r w:rsidRPr="00C01AE6">
        <w:rPr>
          <w:sz w:val="22"/>
          <w:szCs w:val="22"/>
          <w:lang w:val="sr-Latn-ME"/>
        </w:rPr>
        <w:t>percentila</w:t>
      </w:r>
      <w:proofErr w:type="spellEnd"/>
      <w:r w:rsidRPr="00C01AE6">
        <w:rPr>
          <w:sz w:val="22"/>
          <w:szCs w:val="22"/>
          <w:lang w:val="sr-Latn-ME"/>
        </w:rPr>
        <w:t xml:space="preserve"> tokom </w:t>
      </w:r>
      <w:proofErr w:type="spellStart"/>
      <w:r w:rsidR="005B26E6" w:rsidRPr="00C01AE6">
        <w:rPr>
          <w:sz w:val="22"/>
          <w:szCs w:val="22"/>
          <w:lang w:val="sr-Latn-ME"/>
        </w:rPr>
        <w:t>vremena</w:t>
      </w:r>
      <w:proofErr w:type="spellEnd"/>
      <w:r w:rsidRPr="00C01AE6">
        <w:rPr>
          <w:sz w:val="22"/>
          <w:szCs w:val="22"/>
          <w:lang w:val="sr-Latn-ME"/>
        </w:rPr>
        <w:t xml:space="preserve"> na grafikonima </w:t>
      </w:r>
      <w:proofErr w:type="spellStart"/>
      <w:r w:rsidRPr="00C01AE6">
        <w:rPr>
          <w:sz w:val="22"/>
          <w:szCs w:val="22"/>
          <w:lang w:val="sr-Latn-ME"/>
        </w:rPr>
        <w:t>CDC</w:t>
      </w:r>
      <w:proofErr w:type="spellEnd"/>
      <w:r w:rsidR="00657188" w:rsidRPr="00C01AE6">
        <w:rPr>
          <w:sz w:val="22"/>
          <w:szCs w:val="22"/>
          <w:lang w:val="sr-Latn-ME"/>
        </w:rPr>
        <w:t>-a</w:t>
      </w:r>
      <w:r w:rsidRPr="00C01AE6">
        <w:rPr>
          <w:sz w:val="22"/>
          <w:szCs w:val="22"/>
          <w:lang w:val="sr-Latn-ME"/>
        </w:rPr>
        <w:t xml:space="preserve">, ukupno 24/69 (35%) pacijenata pokazalo je očigledan zamah u dobijanju na visini, a 32/69 (46%) pacijenata pokazalo je očigledan zamah u dobijanju na težini. Među pacijentima 40/69 i 32/69 nije pokazalo očigledan zamah u dobijanju na visini odnosno povećanju </w:t>
      </w:r>
      <w:r w:rsidR="00BA210B" w:rsidRPr="00C01AE6">
        <w:rPr>
          <w:sz w:val="22"/>
          <w:szCs w:val="22"/>
          <w:lang w:val="sr-Latn-ME"/>
        </w:rPr>
        <w:t>tjelesne</w:t>
      </w:r>
      <w:r w:rsidRPr="00C01AE6">
        <w:rPr>
          <w:sz w:val="22"/>
          <w:szCs w:val="22"/>
          <w:lang w:val="sr-Latn-ME"/>
        </w:rPr>
        <w:t xml:space="preserve"> mase. Za 4 pacijenta nije bilo moguće proc</w:t>
      </w:r>
      <w:r w:rsidR="00BF7680" w:rsidRPr="00C01AE6">
        <w:rPr>
          <w:sz w:val="22"/>
          <w:szCs w:val="22"/>
          <w:lang w:val="sr-Latn-ME"/>
        </w:rPr>
        <w:t>ij</w:t>
      </w:r>
      <w:r w:rsidRPr="00C01AE6">
        <w:rPr>
          <w:sz w:val="22"/>
          <w:szCs w:val="22"/>
          <w:lang w:val="sr-Latn-ME"/>
        </w:rPr>
        <w:t>eniti jer nije bilo dovoljno podataka, a za 1 pacijenta nije bilo moguće pouzdano odrediti.</w:t>
      </w:r>
    </w:p>
    <w:p w14:paraId="64A3FAAE" w14:textId="77777777" w:rsidR="00657188" w:rsidRPr="00C01AE6" w:rsidRDefault="00657188" w:rsidP="00655C9D">
      <w:pPr>
        <w:widowControl w:val="0"/>
        <w:autoSpaceDE w:val="0"/>
        <w:autoSpaceDN w:val="0"/>
        <w:ind w:left="132"/>
        <w:jc w:val="both"/>
        <w:rPr>
          <w:i/>
          <w:iCs/>
          <w:sz w:val="22"/>
          <w:szCs w:val="22"/>
          <w:u w:val="single"/>
          <w:lang w:val="sr-Latn-ME"/>
        </w:rPr>
      </w:pPr>
    </w:p>
    <w:p w14:paraId="1696EBA3" w14:textId="1FA0532F" w:rsidR="007F2902" w:rsidRPr="00C01AE6" w:rsidRDefault="007F2902" w:rsidP="00C01AE6">
      <w:pPr>
        <w:widowControl w:val="0"/>
        <w:autoSpaceDE w:val="0"/>
        <w:autoSpaceDN w:val="0"/>
        <w:jc w:val="both"/>
        <w:rPr>
          <w:i/>
          <w:sz w:val="22"/>
          <w:szCs w:val="22"/>
          <w:lang w:val="sr-Latn-ME"/>
        </w:rPr>
      </w:pPr>
      <w:r w:rsidRPr="00C01AE6">
        <w:rPr>
          <w:i/>
          <w:iCs/>
          <w:sz w:val="22"/>
          <w:szCs w:val="22"/>
          <w:u w:val="single"/>
          <w:lang w:val="sr-Latn-ME"/>
        </w:rPr>
        <w:t xml:space="preserve">Studija </w:t>
      </w:r>
      <w:proofErr w:type="spellStart"/>
      <w:r w:rsidRPr="00C01AE6">
        <w:rPr>
          <w:i/>
          <w:iCs/>
          <w:sz w:val="22"/>
          <w:szCs w:val="22"/>
          <w:u w:val="single"/>
          <w:lang w:val="sr-Latn-ME"/>
        </w:rPr>
        <w:t>ENB</w:t>
      </w:r>
      <w:proofErr w:type="spellEnd"/>
      <w:r w:rsidRPr="00C01AE6">
        <w:rPr>
          <w:i/>
          <w:iCs/>
          <w:sz w:val="22"/>
          <w:szCs w:val="22"/>
          <w:u w:val="single"/>
          <w:lang w:val="sr-Latn-ME"/>
        </w:rPr>
        <w:t>-009-10</w:t>
      </w:r>
    </w:p>
    <w:p w14:paraId="36DA968B" w14:textId="77777777" w:rsidR="007F2902" w:rsidRPr="00C01AE6" w:rsidRDefault="007F2902" w:rsidP="00655C9D">
      <w:pPr>
        <w:widowControl w:val="0"/>
        <w:autoSpaceDE w:val="0"/>
        <w:autoSpaceDN w:val="0"/>
        <w:jc w:val="both"/>
        <w:rPr>
          <w:i/>
          <w:sz w:val="22"/>
          <w:szCs w:val="22"/>
          <w:lang w:val="sr-Latn-ME"/>
        </w:rPr>
      </w:pPr>
    </w:p>
    <w:p w14:paraId="7ACE3386" w14:textId="636351EF" w:rsidR="007F2902" w:rsidRPr="00C01AE6" w:rsidRDefault="007F2902" w:rsidP="00C01AE6">
      <w:pPr>
        <w:widowControl w:val="0"/>
        <w:autoSpaceDE w:val="0"/>
        <w:autoSpaceDN w:val="0"/>
        <w:spacing w:line="247" w:lineRule="auto"/>
        <w:ind w:right="1"/>
        <w:jc w:val="both"/>
        <w:rPr>
          <w:sz w:val="22"/>
          <w:szCs w:val="22"/>
          <w:lang w:val="sr-Latn-ME"/>
        </w:rPr>
      </w:pPr>
      <w:r w:rsidRPr="00C01AE6">
        <w:rPr>
          <w:sz w:val="22"/>
          <w:szCs w:val="22"/>
          <w:lang w:val="sr-Latn-ME"/>
        </w:rPr>
        <w:t xml:space="preserve">Studija </w:t>
      </w:r>
      <w:proofErr w:type="spellStart"/>
      <w:r w:rsidRPr="00C01AE6">
        <w:rPr>
          <w:sz w:val="22"/>
          <w:szCs w:val="22"/>
          <w:lang w:val="sr-Latn-ME"/>
        </w:rPr>
        <w:t>ENB</w:t>
      </w:r>
      <w:proofErr w:type="spellEnd"/>
      <w:r w:rsidRPr="00C01AE6">
        <w:rPr>
          <w:sz w:val="22"/>
          <w:szCs w:val="22"/>
          <w:lang w:val="sr-Latn-ME"/>
        </w:rPr>
        <w:t xml:space="preserve">-009-10 bila je otvorena </w:t>
      </w:r>
      <w:proofErr w:type="spellStart"/>
      <w:r w:rsidRPr="00C01AE6">
        <w:rPr>
          <w:sz w:val="22"/>
          <w:szCs w:val="22"/>
          <w:lang w:val="sr-Latn-ME"/>
        </w:rPr>
        <w:t>randomizovana</w:t>
      </w:r>
      <w:proofErr w:type="spellEnd"/>
      <w:r w:rsidRPr="00C01AE6">
        <w:rPr>
          <w:sz w:val="22"/>
          <w:szCs w:val="22"/>
          <w:lang w:val="sr-Latn-ME"/>
        </w:rPr>
        <w:t xml:space="preserve"> studija. Pacijenti su nasumično raspoređivani u terapijsku grupu tokom primarnog perioda </w:t>
      </w:r>
      <w:r w:rsidR="00BA210B" w:rsidRPr="00C01AE6">
        <w:rPr>
          <w:sz w:val="22"/>
          <w:szCs w:val="22"/>
          <w:lang w:val="sr-Latn-ME"/>
        </w:rPr>
        <w:t>liječenj</w:t>
      </w:r>
      <w:r w:rsidRPr="00C01AE6">
        <w:rPr>
          <w:sz w:val="22"/>
          <w:szCs w:val="22"/>
          <w:lang w:val="sr-Latn-ME"/>
        </w:rPr>
        <w:t xml:space="preserve">a. Bilo je uključeno 19 pacijenata, od kojih je 14 </w:t>
      </w:r>
      <w:r w:rsidRPr="00C01AE6">
        <w:rPr>
          <w:sz w:val="22"/>
          <w:szCs w:val="22"/>
          <w:lang w:val="sr-Latn-ME"/>
        </w:rPr>
        <w:lastRenderedPageBreak/>
        <w:t xml:space="preserve">završilo studiju, a 5 prekinulo sa učešćem. </w:t>
      </w:r>
      <w:proofErr w:type="spellStart"/>
      <w:r w:rsidRPr="00C01AE6">
        <w:rPr>
          <w:sz w:val="22"/>
          <w:szCs w:val="22"/>
          <w:lang w:val="sr-Latn-ME"/>
        </w:rPr>
        <w:t>Medijana</w:t>
      </w:r>
      <w:proofErr w:type="spellEnd"/>
      <w:r w:rsidRPr="00C01AE6">
        <w:rPr>
          <w:sz w:val="22"/>
          <w:szCs w:val="22"/>
          <w:lang w:val="sr-Latn-ME"/>
        </w:rPr>
        <w:t xml:space="preserve"> trajanja </w:t>
      </w:r>
      <w:r w:rsidR="00BA210B" w:rsidRPr="00C01AE6">
        <w:rPr>
          <w:sz w:val="22"/>
          <w:szCs w:val="22"/>
          <w:lang w:val="sr-Latn-ME"/>
        </w:rPr>
        <w:t>liječenj</w:t>
      </w:r>
      <w:r w:rsidRPr="00C01AE6">
        <w:rPr>
          <w:sz w:val="22"/>
          <w:szCs w:val="22"/>
          <w:lang w:val="sr-Latn-ME"/>
        </w:rPr>
        <w:t xml:space="preserve">a pacijenata iznosila je na kraju studije više od 60 </w:t>
      </w:r>
      <w:r w:rsidR="00613845" w:rsidRPr="00C01AE6">
        <w:rPr>
          <w:sz w:val="22"/>
          <w:szCs w:val="22"/>
          <w:lang w:val="sr-Latn-ME"/>
        </w:rPr>
        <w:t>mjeseci</w:t>
      </w:r>
      <w:r w:rsidRPr="00C01AE6">
        <w:rPr>
          <w:sz w:val="22"/>
          <w:szCs w:val="22"/>
          <w:lang w:val="sr-Latn-ME"/>
        </w:rPr>
        <w:t xml:space="preserve"> (od 24 do 68 </w:t>
      </w:r>
      <w:r w:rsidR="00613845" w:rsidRPr="00C01AE6">
        <w:rPr>
          <w:sz w:val="22"/>
          <w:szCs w:val="22"/>
          <w:lang w:val="sr-Latn-ME"/>
        </w:rPr>
        <w:t>mjeseci</w:t>
      </w:r>
      <w:r w:rsidRPr="00C01AE6">
        <w:rPr>
          <w:sz w:val="22"/>
          <w:szCs w:val="22"/>
          <w:lang w:val="sr-Latn-ME"/>
        </w:rPr>
        <w:t xml:space="preserve">). Početak </w:t>
      </w:r>
      <w:proofErr w:type="spellStart"/>
      <w:r w:rsidRPr="00C01AE6">
        <w:rPr>
          <w:sz w:val="22"/>
          <w:szCs w:val="22"/>
          <w:lang w:val="sr-Latn-ME"/>
        </w:rPr>
        <w:t>hipofosfatazije</w:t>
      </w:r>
      <w:proofErr w:type="spellEnd"/>
      <w:r w:rsidRPr="00C01AE6">
        <w:rPr>
          <w:sz w:val="22"/>
          <w:szCs w:val="22"/>
          <w:lang w:val="sr-Latn-ME"/>
        </w:rPr>
        <w:t xml:space="preserve"> </w:t>
      </w:r>
      <w:r w:rsidR="008C7919" w:rsidRPr="00C01AE6">
        <w:rPr>
          <w:sz w:val="22"/>
          <w:szCs w:val="22"/>
          <w:lang w:val="sr-Latn-ME"/>
        </w:rPr>
        <w:t xml:space="preserve">zabilježen </w:t>
      </w:r>
      <w:r w:rsidRPr="00C01AE6">
        <w:rPr>
          <w:sz w:val="22"/>
          <w:szCs w:val="22"/>
          <w:lang w:val="sr-Latn-ME"/>
        </w:rPr>
        <w:t>je kod 4 pacijenta pr</w:t>
      </w:r>
      <w:r w:rsidR="005B26E6" w:rsidRPr="00C01AE6">
        <w:rPr>
          <w:sz w:val="22"/>
          <w:szCs w:val="22"/>
          <w:lang w:val="sr-Latn-ME"/>
        </w:rPr>
        <w:t>ij</w:t>
      </w:r>
      <w:r w:rsidRPr="00C01AE6">
        <w:rPr>
          <w:sz w:val="22"/>
          <w:szCs w:val="22"/>
          <w:lang w:val="sr-Latn-ME"/>
        </w:rPr>
        <w:t xml:space="preserve">e uzrasta od 6 </w:t>
      </w:r>
      <w:r w:rsidR="00613845" w:rsidRPr="00C01AE6">
        <w:rPr>
          <w:sz w:val="22"/>
          <w:szCs w:val="22"/>
          <w:lang w:val="sr-Latn-ME"/>
        </w:rPr>
        <w:t>mjeseci</w:t>
      </w:r>
      <w:r w:rsidRPr="00C01AE6">
        <w:rPr>
          <w:sz w:val="22"/>
          <w:szCs w:val="22"/>
          <w:lang w:val="sr-Latn-ME"/>
        </w:rPr>
        <w:t xml:space="preserve">, kod 14 pacijenata u uzrastu između 6 </w:t>
      </w:r>
      <w:r w:rsidR="00613845" w:rsidRPr="00C01AE6">
        <w:rPr>
          <w:sz w:val="22"/>
          <w:szCs w:val="22"/>
          <w:lang w:val="sr-Latn-ME"/>
        </w:rPr>
        <w:t>mjeseci</w:t>
      </w:r>
      <w:r w:rsidRPr="00C01AE6">
        <w:rPr>
          <w:sz w:val="22"/>
          <w:szCs w:val="22"/>
          <w:lang w:val="sr-Latn-ME"/>
        </w:rPr>
        <w:t xml:space="preserve"> i 17 godina i kod 1 pacijenta u uzrastu iznad 18 godina. Uzrast na uključivanju u ispitivanje bio je od 13 do 66 godina, a na završetku ispitivanja između 17 i 72 godine.</w:t>
      </w:r>
    </w:p>
    <w:p w14:paraId="539BA47F" w14:textId="77777777" w:rsidR="007F2902" w:rsidRPr="00C01AE6" w:rsidRDefault="007F2902" w:rsidP="00655C9D">
      <w:pPr>
        <w:widowControl w:val="0"/>
        <w:autoSpaceDE w:val="0"/>
        <w:autoSpaceDN w:val="0"/>
        <w:jc w:val="both"/>
        <w:rPr>
          <w:sz w:val="22"/>
          <w:szCs w:val="22"/>
          <w:lang w:val="sr-Latn-ME"/>
        </w:rPr>
      </w:pPr>
    </w:p>
    <w:p w14:paraId="1502900E" w14:textId="5A3736AA" w:rsidR="007F2902" w:rsidRPr="00C01AE6" w:rsidRDefault="007F2902" w:rsidP="00C01AE6">
      <w:pPr>
        <w:widowControl w:val="0"/>
        <w:autoSpaceDE w:val="0"/>
        <w:autoSpaceDN w:val="0"/>
        <w:jc w:val="both"/>
        <w:rPr>
          <w:sz w:val="22"/>
          <w:szCs w:val="22"/>
          <w:lang w:val="sr-Latn-ME"/>
        </w:rPr>
      </w:pPr>
      <w:r w:rsidRPr="00C01AE6">
        <w:rPr>
          <w:sz w:val="22"/>
          <w:szCs w:val="22"/>
          <w:lang w:val="sr-Latn-ME"/>
        </w:rPr>
        <w:t>Adolescenti (i odrasli) pacijenti u ovom ispitivanju ni</w:t>
      </w:r>
      <w:r w:rsidR="00D93F80" w:rsidRPr="00C01AE6">
        <w:rPr>
          <w:sz w:val="22"/>
          <w:szCs w:val="22"/>
          <w:lang w:val="sr-Latn-ME"/>
        </w:rPr>
        <w:t>je</w:t>
      </w:r>
      <w:r w:rsidRPr="00C01AE6">
        <w:rPr>
          <w:sz w:val="22"/>
          <w:szCs w:val="22"/>
          <w:lang w:val="sr-Latn-ME"/>
        </w:rPr>
        <w:t>su pokazali očigledno povećanje visine.</w:t>
      </w:r>
    </w:p>
    <w:p w14:paraId="1E5D1C7D" w14:textId="4AC95DDF" w:rsidR="007F2902" w:rsidRPr="00C01AE6" w:rsidRDefault="007F2902" w:rsidP="00C01AE6">
      <w:pPr>
        <w:widowControl w:val="0"/>
        <w:autoSpaceDE w:val="0"/>
        <w:autoSpaceDN w:val="0"/>
        <w:spacing w:line="247" w:lineRule="auto"/>
        <w:ind w:right="1"/>
        <w:jc w:val="both"/>
        <w:rPr>
          <w:sz w:val="22"/>
          <w:szCs w:val="22"/>
          <w:lang w:val="sr-Latn-ME"/>
        </w:rPr>
      </w:pPr>
      <w:r w:rsidRPr="00C01AE6">
        <w:rPr>
          <w:sz w:val="22"/>
          <w:szCs w:val="22"/>
          <w:lang w:val="sr-Latn-ME"/>
        </w:rPr>
        <w:t xml:space="preserve">Pacijenti su podvrgnuti biopsiji grebena </w:t>
      </w:r>
      <w:proofErr w:type="spellStart"/>
      <w:r w:rsidRPr="00C01AE6">
        <w:rPr>
          <w:sz w:val="22"/>
          <w:szCs w:val="22"/>
          <w:lang w:val="sr-Latn-ME"/>
        </w:rPr>
        <w:t>transilijačne</w:t>
      </w:r>
      <w:proofErr w:type="spellEnd"/>
      <w:r w:rsidRPr="00C01AE6">
        <w:rPr>
          <w:sz w:val="22"/>
          <w:szCs w:val="22"/>
          <w:lang w:val="sr-Latn-ME"/>
        </w:rPr>
        <w:t xml:space="preserve"> kosti ili kao učesnici u kontrolnoj grupi ili pr</w:t>
      </w:r>
      <w:r w:rsidR="00432231" w:rsidRPr="00C01AE6">
        <w:rPr>
          <w:sz w:val="22"/>
          <w:szCs w:val="22"/>
          <w:lang w:val="sr-Latn-ME"/>
        </w:rPr>
        <w:t>ij</w:t>
      </w:r>
      <w:r w:rsidRPr="00C01AE6">
        <w:rPr>
          <w:sz w:val="22"/>
          <w:szCs w:val="22"/>
          <w:lang w:val="sr-Latn-ME"/>
        </w:rPr>
        <w:t>e</w:t>
      </w:r>
      <w:r w:rsidR="008C7919" w:rsidRPr="00C01AE6">
        <w:rPr>
          <w:sz w:val="22"/>
          <w:szCs w:val="22"/>
          <w:lang w:val="sr-Latn-ME"/>
        </w:rPr>
        <w:t>,</w:t>
      </w:r>
      <w:r w:rsidRPr="00C01AE6">
        <w:rPr>
          <w:sz w:val="22"/>
          <w:szCs w:val="22"/>
          <w:lang w:val="sr-Latn-ME"/>
        </w:rPr>
        <w:t xml:space="preserve"> i posl</w:t>
      </w:r>
      <w:r w:rsidR="00432231" w:rsidRPr="00C01AE6">
        <w:rPr>
          <w:sz w:val="22"/>
          <w:szCs w:val="22"/>
          <w:lang w:val="sr-Latn-ME"/>
        </w:rPr>
        <w:t>ij</w:t>
      </w:r>
      <w:r w:rsidRPr="00C01AE6">
        <w:rPr>
          <w:sz w:val="22"/>
          <w:szCs w:val="22"/>
          <w:lang w:val="sr-Latn-ME"/>
        </w:rPr>
        <w:t xml:space="preserve">e izlaganja </w:t>
      </w:r>
      <w:proofErr w:type="spellStart"/>
      <w:r w:rsidRPr="00C01AE6">
        <w:rPr>
          <w:sz w:val="22"/>
          <w:szCs w:val="22"/>
          <w:lang w:val="sr-Latn-ME"/>
        </w:rPr>
        <w:t>asfotazi</w:t>
      </w:r>
      <w:proofErr w:type="spellEnd"/>
      <w:r w:rsidRPr="00C01AE6">
        <w:rPr>
          <w:sz w:val="22"/>
          <w:szCs w:val="22"/>
          <w:lang w:val="sr-Latn-ME"/>
        </w:rPr>
        <w:t xml:space="preserve"> alfa:</w:t>
      </w:r>
    </w:p>
    <w:p w14:paraId="751AB21C" w14:textId="36C6A591" w:rsidR="007F2902" w:rsidRPr="00C01AE6" w:rsidRDefault="007F2902" w:rsidP="00655C9D">
      <w:pPr>
        <w:widowControl w:val="0"/>
        <w:numPr>
          <w:ilvl w:val="0"/>
          <w:numId w:val="13"/>
        </w:numPr>
        <w:tabs>
          <w:tab w:val="left" w:pos="663"/>
          <w:tab w:val="left" w:pos="664"/>
        </w:tabs>
        <w:autoSpaceDE w:val="0"/>
        <w:autoSpaceDN w:val="0"/>
        <w:spacing w:line="247" w:lineRule="auto"/>
        <w:ind w:right="1"/>
        <w:jc w:val="both"/>
        <w:rPr>
          <w:sz w:val="22"/>
          <w:szCs w:val="22"/>
          <w:lang w:val="sr-Latn-ME"/>
        </w:rPr>
      </w:pPr>
      <w:r w:rsidRPr="00C01AE6">
        <w:rPr>
          <w:sz w:val="22"/>
          <w:szCs w:val="22"/>
          <w:lang w:val="sr-Latn-ME"/>
        </w:rPr>
        <w:t>Kontrolna grupa, standardna n</w:t>
      </w:r>
      <w:r w:rsidR="008C7919" w:rsidRPr="00C01AE6">
        <w:rPr>
          <w:sz w:val="22"/>
          <w:szCs w:val="22"/>
          <w:lang w:val="sr-Latn-ME"/>
        </w:rPr>
        <w:t>j</w:t>
      </w:r>
      <w:r w:rsidRPr="00C01AE6">
        <w:rPr>
          <w:sz w:val="22"/>
          <w:szCs w:val="22"/>
          <w:lang w:val="sr-Latn-ME"/>
        </w:rPr>
        <w:t>ega (5 pacijenata koji su mogli da budu proc</w:t>
      </w:r>
      <w:r w:rsidR="005B26E6" w:rsidRPr="00C01AE6">
        <w:rPr>
          <w:sz w:val="22"/>
          <w:szCs w:val="22"/>
          <w:lang w:val="sr-Latn-ME"/>
        </w:rPr>
        <w:t>ij</w:t>
      </w:r>
      <w:r w:rsidRPr="00C01AE6">
        <w:rPr>
          <w:sz w:val="22"/>
          <w:szCs w:val="22"/>
          <w:lang w:val="sr-Latn-ME"/>
        </w:rPr>
        <w:t>enjeni): srednja vr</w:t>
      </w:r>
      <w:r w:rsidR="005B26E6" w:rsidRPr="00C01AE6">
        <w:rPr>
          <w:sz w:val="22"/>
          <w:szCs w:val="22"/>
          <w:lang w:val="sr-Latn-ME"/>
        </w:rPr>
        <w:t>ij</w:t>
      </w:r>
      <w:r w:rsidRPr="00C01AE6">
        <w:rPr>
          <w:sz w:val="22"/>
          <w:szCs w:val="22"/>
          <w:lang w:val="sr-Latn-ME"/>
        </w:rPr>
        <w:t>ednost (</w:t>
      </w:r>
      <w:proofErr w:type="spellStart"/>
      <w:r w:rsidRPr="00C01AE6">
        <w:rPr>
          <w:sz w:val="22"/>
          <w:szCs w:val="22"/>
          <w:lang w:val="sr-Latn-ME"/>
        </w:rPr>
        <w:t>SD</w:t>
      </w:r>
      <w:proofErr w:type="spellEnd"/>
      <w:r w:rsidRPr="00C01AE6">
        <w:rPr>
          <w:sz w:val="22"/>
          <w:szCs w:val="22"/>
          <w:lang w:val="sr-Latn-ME"/>
        </w:rPr>
        <w:t xml:space="preserve">) </w:t>
      </w:r>
      <w:proofErr w:type="spellStart"/>
      <w:r w:rsidR="005B26E6" w:rsidRPr="00C01AE6">
        <w:rPr>
          <w:sz w:val="22"/>
          <w:szCs w:val="22"/>
          <w:lang w:val="sr-Latn-ME"/>
        </w:rPr>
        <w:t>vremena</w:t>
      </w:r>
      <w:proofErr w:type="spellEnd"/>
      <w:r w:rsidRPr="00C01AE6">
        <w:rPr>
          <w:sz w:val="22"/>
          <w:szCs w:val="22"/>
          <w:lang w:val="sr-Latn-ME"/>
        </w:rPr>
        <w:t xml:space="preserve"> do </w:t>
      </w:r>
      <w:proofErr w:type="spellStart"/>
      <w:r w:rsidRPr="00C01AE6">
        <w:rPr>
          <w:sz w:val="22"/>
          <w:szCs w:val="22"/>
          <w:lang w:val="sr-Latn-ME"/>
        </w:rPr>
        <w:t>mineralizacije</w:t>
      </w:r>
      <w:proofErr w:type="spellEnd"/>
      <w:r w:rsidRPr="00C01AE6">
        <w:rPr>
          <w:sz w:val="22"/>
          <w:szCs w:val="22"/>
          <w:lang w:val="sr-Latn-ME"/>
        </w:rPr>
        <w:t xml:space="preserve"> iznosila je 226 (248) dana na početku i 304 (211) dana u 24. ned</w:t>
      </w:r>
      <w:r w:rsidR="00D93F80" w:rsidRPr="00C01AE6">
        <w:rPr>
          <w:sz w:val="22"/>
          <w:szCs w:val="22"/>
          <w:lang w:val="sr-Latn-ME"/>
        </w:rPr>
        <w:t>j</w:t>
      </w:r>
      <w:r w:rsidRPr="00C01AE6">
        <w:rPr>
          <w:sz w:val="22"/>
          <w:szCs w:val="22"/>
          <w:lang w:val="sr-Latn-ME"/>
        </w:rPr>
        <w:t>elji</w:t>
      </w:r>
    </w:p>
    <w:p w14:paraId="1C2FE00C" w14:textId="23D42A9C" w:rsidR="007F2902" w:rsidRPr="00C01AE6" w:rsidRDefault="007F2902" w:rsidP="00655C9D">
      <w:pPr>
        <w:widowControl w:val="0"/>
        <w:numPr>
          <w:ilvl w:val="0"/>
          <w:numId w:val="13"/>
        </w:numPr>
        <w:tabs>
          <w:tab w:val="left" w:pos="663"/>
          <w:tab w:val="left" w:pos="664"/>
          <w:tab w:val="left" w:pos="6946"/>
          <w:tab w:val="left" w:pos="7088"/>
          <w:tab w:val="left" w:pos="7371"/>
          <w:tab w:val="left" w:pos="8080"/>
        </w:tabs>
        <w:autoSpaceDE w:val="0"/>
        <w:autoSpaceDN w:val="0"/>
        <w:spacing w:line="244" w:lineRule="auto"/>
        <w:ind w:right="1"/>
        <w:jc w:val="both"/>
        <w:rPr>
          <w:sz w:val="22"/>
          <w:szCs w:val="22"/>
          <w:lang w:val="sr-Latn-ME"/>
        </w:rPr>
      </w:pPr>
      <w:r w:rsidRPr="00C01AE6">
        <w:rPr>
          <w:sz w:val="22"/>
          <w:szCs w:val="22"/>
          <w:lang w:val="sr-Latn-ME"/>
        </w:rPr>
        <w:t xml:space="preserve">Grupa koja je primala </w:t>
      </w:r>
      <w:proofErr w:type="spellStart"/>
      <w:r w:rsidRPr="00C01AE6">
        <w:rPr>
          <w:sz w:val="22"/>
          <w:szCs w:val="22"/>
          <w:lang w:val="sr-Latn-ME"/>
        </w:rPr>
        <w:t>asfotazu</w:t>
      </w:r>
      <w:proofErr w:type="spellEnd"/>
      <w:r w:rsidRPr="00C01AE6">
        <w:rPr>
          <w:sz w:val="22"/>
          <w:szCs w:val="22"/>
          <w:lang w:val="sr-Latn-ME"/>
        </w:rPr>
        <w:t xml:space="preserve"> alfa 0,3 mg/kg na dan (4 pacijenta koji su mogli da budu proc</w:t>
      </w:r>
      <w:r w:rsidR="005B26E6" w:rsidRPr="00C01AE6">
        <w:rPr>
          <w:sz w:val="22"/>
          <w:szCs w:val="22"/>
          <w:lang w:val="sr-Latn-ME"/>
        </w:rPr>
        <w:t>ij</w:t>
      </w:r>
      <w:r w:rsidRPr="00C01AE6">
        <w:rPr>
          <w:sz w:val="22"/>
          <w:szCs w:val="22"/>
          <w:lang w:val="sr-Latn-ME"/>
        </w:rPr>
        <w:t xml:space="preserve">enjeni): srednja </w:t>
      </w:r>
      <w:r w:rsidR="005B26E6" w:rsidRPr="00C01AE6">
        <w:rPr>
          <w:sz w:val="22"/>
          <w:szCs w:val="22"/>
          <w:lang w:val="sr-Latn-ME"/>
        </w:rPr>
        <w:t>vrijednost</w:t>
      </w:r>
      <w:r w:rsidRPr="00C01AE6">
        <w:rPr>
          <w:sz w:val="22"/>
          <w:szCs w:val="22"/>
          <w:lang w:val="sr-Latn-ME"/>
        </w:rPr>
        <w:t xml:space="preserve"> (</w:t>
      </w:r>
      <w:proofErr w:type="spellStart"/>
      <w:r w:rsidRPr="00C01AE6">
        <w:rPr>
          <w:sz w:val="22"/>
          <w:szCs w:val="22"/>
          <w:lang w:val="sr-Latn-ME"/>
        </w:rPr>
        <w:t>SD</w:t>
      </w:r>
      <w:proofErr w:type="spellEnd"/>
      <w:r w:rsidRPr="00C01AE6">
        <w:rPr>
          <w:sz w:val="22"/>
          <w:szCs w:val="22"/>
          <w:lang w:val="sr-Latn-ME"/>
        </w:rPr>
        <w:t xml:space="preserve">) </w:t>
      </w:r>
      <w:proofErr w:type="spellStart"/>
      <w:r w:rsidR="005B26E6" w:rsidRPr="00C01AE6">
        <w:rPr>
          <w:sz w:val="22"/>
          <w:szCs w:val="22"/>
          <w:lang w:val="sr-Latn-ME"/>
        </w:rPr>
        <w:t>vremena</w:t>
      </w:r>
      <w:proofErr w:type="spellEnd"/>
      <w:r w:rsidRPr="00C01AE6">
        <w:rPr>
          <w:sz w:val="22"/>
          <w:szCs w:val="22"/>
          <w:lang w:val="sr-Latn-ME"/>
        </w:rPr>
        <w:t xml:space="preserve"> do </w:t>
      </w:r>
      <w:proofErr w:type="spellStart"/>
      <w:r w:rsidRPr="00C01AE6">
        <w:rPr>
          <w:sz w:val="22"/>
          <w:szCs w:val="22"/>
          <w:lang w:val="sr-Latn-ME"/>
        </w:rPr>
        <w:t>mineralizacije</w:t>
      </w:r>
      <w:proofErr w:type="spellEnd"/>
      <w:r w:rsidRPr="00C01AE6">
        <w:rPr>
          <w:sz w:val="22"/>
          <w:szCs w:val="22"/>
          <w:lang w:val="sr-Latn-ME"/>
        </w:rPr>
        <w:t xml:space="preserve"> iznosila je 1236 (1468) dana na početku i 328 (200) dana u 48. ned</w:t>
      </w:r>
      <w:r w:rsidR="00D93F80" w:rsidRPr="00C01AE6">
        <w:rPr>
          <w:sz w:val="22"/>
          <w:szCs w:val="22"/>
          <w:lang w:val="sr-Latn-ME"/>
        </w:rPr>
        <w:t>j</w:t>
      </w:r>
      <w:r w:rsidRPr="00C01AE6">
        <w:rPr>
          <w:sz w:val="22"/>
          <w:szCs w:val="22"/>
          <w:lang w:val="sr-Latn-ME"/>
        </w:rPr>
        <w:t>elji</w:t>
      </w:r>
    </w:p>
    <w:p w14:paraId="73B2FA35" w14:textId="370C7F56" w:rsidR="007F2902" w:rsidRPr="00C01AE6" w:rsidRDefault="007F2902" w:rsidP="00655C9D">
      <w:pPr>
        <w:widowControl w:val="0"/>
        <w:numPr>
          <w:ilvl w:val="0"/>
          <w:numId w:val="13"/>
        </w:numPr>
        <w:tabs>
          <w:tab w:val="left" w:pos="663"/>
          <w:tab w:val="left" w:pos="664"/>
        </w:tabs>
        <w:autoSpaceDE w:val="0"/>
        <w:autoSpaceDN w:val="0"/>
        <w:spacing w:line="249" w:lineRule="auto"/>
        <w:ind w:right="1"/>
        <w:jc w:val="both"/>
        <w:rPr>
          <w:sz w:val="22"/>
          <w:szCs w:val="22"/>
          <w:lang w:val="sr-Latn-ME"/>
        </w:rPr>
      </w:pPr>
      <w:r w:rsidRPr="00C01AE6">
        <w:rPr>
          <w:sz w:val="22"/>
          <w:szCs w:val="22"/>
          <w:lang w:val="sr-Latn-ME"/>
        </w:rPr>
        <w:t xml:space="preserve">Grupa koja je primala </w:t>
      </w:r>
      <w:proofErr w:type="spellStart"/>
      <w:r w:rsidRPr="00C01AE6">
        <w:rPr>
          <w:sz w:val="22"/>
          <w:szCs w:val="22"/>
          <w:lang w:val="sr-Latn-ME"/>
        </w:rPr>
        <w:t>asfotazu</w:t>
      </w:r>
      <w:proofErr w:type="spellEnd"/>
      <w:r w:rsidRPr="00C01AE6">
        <w:rPr>
          <w:sz w:val="22"/>
          <w:szCs w:val="22"/>
          <w:lang w:val="sr-Latn-ME"/>
        </w:rPr>
        <w:t xml:space="preserve"> alfa 0,5 mg/kg na dan (5 pacijenata koji su mogli da budu </w:t>
      </w:r>
      <w:r w:rsidR="008C7919" w:rsidRPr="00C01AE6">
        <w:rPr>
          <w:sz w:val="22"/>
          <w:szCs w:val="22"/>
          <w:lang w:val="sr-Latn-ME"/>
        </w:rPr>
        <w:t>procijenjeni</w:t>
      </w:r>
      <w:r w:rsidRPr="00C01AE6">
        <w:rPr>
          <w:sz w:val="22"/>
          <w:szCs w:val="22"/>
          <w:lang w:val="sr-Latn-ME"/>
        </w:rPr>
        <w:t xml:space="preserve">): srednja </w:t>
      </w:r>
      <w:r w:rsidR="005B26E6" w:rsidRPr="00C01AE6">
        <w:rPr>
          <w:sz w:val="22"/>
          <w:szCs w:val="22"/>
          <w:lang w:val="sr-Latn-ME"/>
        </w:rPr>
        <w:t>vrijednost</w:t>
      </w:r>
      <w:r w:rsidRPr="00C01AE6">
        <w:rPr>
          <w:sz w:val="22"/>
          <w:szCs w:val="22"/>
          <w:lang w:val="sr-Latn-ME"/>
        </w:rPr>
        <w:t xml:space="preserve"> (</w:t>
      </w:r>
      <w:proofErr w:type="spellStart"/>
      <w:r w:rsidRPr="00C01AE6">
        <w:rPr>
          <w:sz w:val="22"/>
          <w:szCs w:val="22"/>
          <w:lang w:val="sr-Latn-ME"/>
        </w:rPr>
        <w:t>SD</w:t>
      </w:r>
      <w:proofErr w:type="spellEnd"/>
      <w:r w:rsidRPr="00C01AE6">
        <w:rPr>
          <w:sz w:val="22"/>
          <w:szCs w:val="22"/>
          <w:lang w:val="sr-Latn-ME"/>
        </w:rPr>
        <w:t xml:space="preserve">) </w:t>
      </w:r>
      <w:proofErr w:type="spellStart"/>
      <w:r w:rsidR="005B26E6" w:rsidRPr="00C01AE6">
        <w:rPr>
          <w:sz w:val="22"/>
          <w:szCs w:val="22"/>
          <w:lang w:val="sr-Latn-ME"/>
        </w:rPr>
        <w:t>vremena</w:t>
      </w:r>
      <w:proofErr w:type="spellEnd"/>
      <w:r w:rsidRPr="00C01AE6">
        <w:rPr>
          <w:sz w:val="22"/>
          <w:szCs w:val="22"/>
          <w:lang w:val="sr-Latn-ME"/>
        </w:rPr>
        <w:t xml:space="preserve"> do </w:t>
      </w:r>
      <w:proofErr w:type="spellStart"/>
      <w:r w:rsidRPr="00C01AE6">
        <w:rPr>
          <w:sz w:val="22"/>
          <w:szCs w:val="22"/>
          <w:lang w:val="sr-Latn-ME"/>
        </w:rPr>
        <w:t>mineralizacije</w:t>
      </w:r>
      <w:proofErr w:type="spellEnd"/>
      <w:r w:rsidRPr="00C01AE6">
        <w:rPr>
          <w:sz w:val="22"/>
          <w:szCs w:val="22"/>
          <w:lang w:val="sr-Latn-ME"/>
        </w:rPr>
        <w:t xml:space="preserve"> iznosila je 257 (146) dana na početku i 130 (142) dana u 48. ned</w:t>
      </w:r>
      <w:r w:rsidR="00D93F80" w:rsidRPr="00C01AE6">
        <w:rPr>
          <w:sz w:val="22"/>
          <w:szCs w:val="22"/>
          <w:lang w:val="sr-Latn-ME"/>
        </w:rPr>
        <w:t>j</w:t>
      </w:r>
      <w:r w:rsidRPr="00C01AE6">
        <w:rPr>
          <w:sz w:val="22"/>
          <w:szCs w:val="22"/>
          <w:lang w:val="sr-Latn-ME"/>
        </w:rPr>
        <w:t>elji</w:t>
      </w:r>
    </w:p>
    <w:p w14:paraId="3435B8E4" w14:textId="62B46526" w:rsidR="007F2902" w:rsidRPr="00C01AE6" w:rsidRDefault="007F2902" w:rsidP="00655C9D">
      <w:pPr>
        <w:widowControl w:val="0"/>
        <w:autoSpaceDE w:val="0"/>
        <w:autoSpaceDN w:val="0"/>
        <w:spacing w:line="227" w:lineRule="exact"/>
        <w:ind w:left="132" w:right="1"/>
        <w:jc w:val="both"/>
        <w:rPr>
          <w:sz w:val="22"/>
          <w:szCs w:val="22"/>
          <w:lang w:val="sr-Latn-ME"/>
        </w:rPr>
      </w:pPr>
      <w:r w:rsidRPr="00C01AE6">
        <w:rPr>
          <w:sz w:val="22"/>
          <w:szCs w:val="22"/>
          <w:lang w:val="sr-Latn-ME"/>
        </w:rPr>
        <w:t>Nakon približno 48 ned</w:t>
      </w:r>
      <w:r w:rsidR="00D93F80" w:rsidRPr="00C01AE6">
        <w:rPr>
          <w:sz w:val="22"/>
          <w:szCs w:val="22"/>
          <w:lang w:val="sr-Latn-ME"/>
        </w:rPr>
        <w:t>j</w:t>
      </w:r>
      <w:r w:rsidRPr="00C01AE6">
        <w:rPr>
          <w:sz w:val="22"/>
          <w:szCs w:val="22"/>
          <w:lang w:val="sr-Latn-ME"/>
        </w:rPr>
        <w:t>elja svim pacijentima je doza podešena na preporučenu dozu od 1,0 mg/kg na dan.</w:t>
      </w:r>
    </w:p>
    <w:p w14:paraId="0C02E390" w14:textId="77777777" w:rsidR="007F2902" w:rsidRPr="00C01AE6" w:rsidRDefault="007F2902" w:rsidP="00655C9D">
      <w:pPr>
        <w:widowControl w:val="0"/>
        <w:autoSpaceDE w:val="0"/>
        <w:autoSpaceDN w:val="0"/>
        <w:jc w:val="both"/>
        <w:rPr>
          <w:sz w:val="22"/>
          <w:szCs w:val="22"/>
          <w:lang w:val="sr-Latn-ME"/>
        </w:rPr>
      </w:pPr>
    </w:p>
    <w:p w14:paraId="65E0D1E5" w14:textId="77777777" w:rsidR="007F2902" w:rsidRPr="00C01AE6" w:rsidRDefault="007F2902" w:rsidP="00655C9D">
      <w:pPr>
        <w:widowControl w:val="0"/>
        <w:autoSpaceDE w:val="0"/>
        <w:autoSpaceDN w:val="0"/>
        <w:ind w:left="132"/>
        <w:jc w:val="both"/>
        <w:rPr>
          <w:i/>
          <w:sz w:val="22"/>
          <w:szCs w:val="22"/>
          <w:lang w:val="sr-Latn-ME"/>
        </w:rPr>
      </w:pPr>
      <w:proofErr w:type="spellStart"/>
      <w:r w:rsidRPr="00C01AE6">
        <w:rPr>
          <w:i/>
          <w:iCs/>
          <w:sz w:val="22"/>
          <w:szCs w:val="22"/>
          <w:lang w:val="sr-Latn-ME"/>
        </w:rPr>
        <w:t>Ventilaciona</w:t>
      </w:r>
      <w:proofErr w:type="spellEnd"/>
      <w:r w:rsidRPr="00C01AE6">
        <w:rPr>
          <w:i/>
          <w:iCs/>
          <w:sz w:val="22"/>
          <w:szCs w:val="22"/>
          <w:lang w:val="sr-Latn-ME"/>
        </w:rPr>
        <w:t xml:space="preserve"> podrška</w:t>
      </w:r>
    </w:p>
    <w:p w14:paraId="62FEF598" w14:textId="10DCF98D" w:rsidR="007F2902" w:rsidRPr="00C01AE6" w:rsidRDefault="007F2902" w:rsidP="00655C9D">
      <w:pPr>
        <w:widowControl w:val="0"/>
        <w:autoSpaceDE w:val="0"/>
        <w:autoSpaceDN w:val="0"/>
        <w:spacing w:line="261" w:lineRule="auto"/>
        <w:ind w:left="132" w:right="1"/>
        <w:jc w:val="both"/>
        <w:rPr>
          <w:sz w:val="22"/>
          <w:szCs w:val="22"/>
          <w:lang w:val="sr-Latn-ME"/>
        </w:rPr>
      </w:pPr>
      <w:r w:rsidRPr="00C01AE6">
        <w:rPr>
          <w:sz w:val="22"/>
          <w:szCs w:val="22"/>
          <w:lang w:val="sr-Latn-ME"/>
        </w:rPr>
        <w:t xml:space="preserve">Studije </w:t>
      </w:r>
      <w:proofErr w:type="spellStart"/>
      <w:r w:rsidRPr="00C01AE6">
        <w:rPr>
          <w:sz w:val="22"/>
          <w:szCs w:val="22"/>
          <w:lang w:val="sr-Latn-ME"/>
        </w:rPr>
        <w:t>ENB</w:t>
      </w:r>
      <w:proofErr w:type="spellEnd"/>
      <w:r w:rsidRPr="00C01AE6">
        <w:rPr>
          <w:sz w:val="22"/>
          <w:szCs w:val="22"/>
          <w:lang w:val="sr-Latn-ME"/>
        </w:rPr>
        <w:t>-002-08/</w:t>
      </w:r>
      <w:proofErr w:type="spellStart"/>
      <w:r w:rsidRPr="00C01AE6">
        <w:rPr>
          <w:sz w:val="22"/>
          <w:szCs w:val="22"/>
          <w:lang w:val="sr-Latn-ME"/>
        </w:rPr>
        <w:t>ENB</w:t>
      </w:r>
      <w:proofErr w:type="spellEnd"/>
      <w:r w:rsidRPr="00C01AE6">
        <w:rPr>
          <w:sz w:val="22"/>
          <w:szCs w:val="22"/>
          <w:lang w:val="sr-Latn-ME"/>
        </w:rPr>
        <w:t xml:space="preserve">-003-08 (11 pacijenata) i </w:t>
      </w:r>
      <w:proofErr w:type="spellStart"/>
      <w:r w:rsidRPr="00C01AE6">
        <w:rPr>
          <w:sz w:val="22"/>
          <w:szCs w:val="22"/>
          <w:lang w:val="sr-Latn-ME"/>
        </w:rPr>
        <w:t>ENB</w:t>
      </w:r>
      <w:proofErr w:type="spellEnd"/>
      <w:r w:rsidRPr="00C01AE6">
        <w:rPr>
          <w:sz w:val="22"/>
          <w:szCs w:val="22"/>
          <w:lang w:val="sr-Latn-ME"/>
        </w:rPr>
        <w:t xml:space="preserve">-010-10 (69 pacijenata) bile su otvorene, </w:t>
      </w:r>
      <w:proofErr w:type="spellStart"/>
      <w:r w:rsidRPr="00C01AE6">
        <w:rPr>
          <w:sz w:val="22"/>
          <w:szCs w:val="22"/>
          <w:lang w:val="sr-Latn-ME"/>
        </w:rPr>
        <w:t>nerandomizovane</w:t>
      </w:r>
      <w:proofErr w:type="spellEnd"/>
      <w:r w:rsidRPr="00C01AE6">
        <w:rPr>
          <w:sz w:val="22"/>
          <w:szCs w:val="22"/>
          <w:lang w:val="sr-Latn-ME"/>
        </w:rPr>
        <w:t>, nekontrolisane studije sa pacijentima uzrasta od 0,1 do 312 ned</w:t>
      </w:r>
      <w:r w:rsidR="00D93F80" w:rsidRPr="00C01AE6">
        <w:rPr>
          <w:sz w:val="22"/>
          <w:szCs w:val="22"/>
          <w:lang w:val="sr-Latn-ME"/>
        </w:rPr>
        <w:t>j</w:t>
      </w:r>
      <w:r w:rsidRPr="00C01AE6">
        <w:rPr>
          <w:sz w:val="22"/>
          <w:szCs w:val="22"/>
          <w:lang w:val="sr-Latn-ME"/>
        </w:rPr>
        <w:t xml:space="preserve">elja na početku. Studije je završilo 69 pacijenata, a 11 je prekinulo učešće. </w:t>
      </w:r>
      <w:proofErr w:type="spellStart"/>
      <w:r w:rsidRPr="00C01AE6">
        <w:rPr>
          <w:sz w:val="22"/>
          <w:szCs w:val="22"/>
          <w:lang w:val="sr-Latn-ME"/>
        </w:rPr>
        <w:t>Medijana</w:t>
      </w:r>
      <w:proofErr w:type="spellEnd"/>
      <w:r w:rsidRPr="00C01AE6">
        <w:rPr>
          <w:sz w:val="22"/>
          <w:szCs w:val="22"/>
          <w:lang w:val="sr-Latn-ME"/>
        </w:rPr>
        <w:t xml:space="preserve"> trajanja </w:t>
      </w:r>
      <w:r w:rsidR="00BA210B" w:rsidRPr="00C01AE6">
        <w:rPr>
          <w:sz w:val="22"/>
          <w:szCs w:val="22"/>
          <w:lang w:val="sr-Latn-ME"/>
        </w:rPr>
        <w:t>liječenj</w:t>
      </w:r>
      <w:r w:rsidRPr="00C01AE6">
        <w:rPr>
          <w:sz w:val="22"/>
          <w:szCs w:val="22"/>
          <w:lang w:val="sr-Latn-ME"/>
        </w:rPr>
        <w:t>a iznosila je</w:t>
      </w:r>
      <w:r w:rsidR="00C80AFD" w:rsidRPr="00C01AE6">
        <w:rPr>
          <w:sz w:val="22"/>
          <w:szCs w:val="22"/>
          <w:lang w:val="sr-Latn-ME"/>
        </w:rPr>
        <w:t xml:space="preserve"> </w:t>
      </w:r>
      <w:r w:rsidRPr="00C01AE6">
        <w:rPr>
          <w:sz w:val="22"/>
          <w:szCs w:val="22"/>
          <w:lang w:val="sr-Latn-ME"/>
        </w:rPr>
        <w:t xml:space="preserve">27,6 </w:t>
      </w:r>
      <w:r w:rsidR="00613845" w:rsidRPr="00C01AE6">
        <w:rPr>
          <w:sz w:val="22"/>
          <w:szCs w:val="22"/>
          <w:lang w:val="sr-Latn-ME"/>
        </w:rPr>
        <w:t>mjeseci</w:t>
      </w:r>
      <w:r w:rsidRPr="00C01AE6">
        <w:rPr>
          <w:sz w:val="22"/>
          <w:szCs w:val="22"/>
          <w:lang w:val="sr-Latn-ME"/>
        </w:rPr>
        <w:t xml:space="preserve"> (raspon od 1 dana do 90 </w:t>
      </w:r>
      <w:r w:rsidR="00613845" w:rsidRPr="00C01AE6">
        <w:rPr>
          <w:sz w:val="22"/>
          <w:szCs w:val="22"/>
          <w:lang w:val="sr-Latn-ME"/>
        </w:rPr>
        <w:t>mjeseci</w:t>
      </w:r>
      <w:r w:rsidRPr="00C01AE6">
        <w:rPr>
          <w:sz w:val="22"/>
          <w:szCs w:val="22"/>
          <w:lang w:val="sr-Latn-ME"/>
        </w:rPr>
        <w:t xml:space="preserve">). </w:t>
      </w:r>
      <w:proofErr w:type="spellStart"/>
      <w:r w:rsidRPr="00C01AE6">
        <w:rPr>
          <w:sz w:val="22"/>
          <w:szCs w:val="22"/>
          <w:lang w:val="sr-Latn-ME"/>
        </w:rPr>
        <w:t>Ventilaciona</w:t>
      </w:r>
      <w:proofErr w:type="spellEnd"/>
      <w:r w:rsidRPr="00C01AE6">
        <w:rPr>
          <w:sz w:val="22"/>
          <w:szCs w:val="22"/>
          <w:lang w:val="sr-Latn-ME"/>
        </w:rPr>
        <w:t xml:space="preserve"> podrška bila je na početku potrebna kod 29 od 80 pacijenata:</w:t>
      </w:r>
    </w:p>
    <w:p w14:paraId="6A20A940" w14:textId="2AF3B931" w:rsidR="007F2902" w:rsidRPr="00C01AE6" w:rsidRDefault="00D93F80" w:rsidP="00655C9D">
      <w:pPr>
        <w:widowControl w:val="0"/>
        <w:numPr>
          <w:ilvl w:val="0"/>
          <w:numId w:val="12"/>
        </w:numPr>
        <w:tabs>
          <w:tab w:val="left" w:pos="914"/>
        </w:tabs>
        <w:autoSpaceDE w:val="0"/>
        <w:autoSpaceDN w:val="0"/>
        <w:spacing w:line="247" w:lineRule="auto"/>
        <w:ind w:right="1" w:firstLine="0"/>
        <w:jc w:val="both"/>
        <w:rPr>
          <w:sz w:val="22"/>
          <w:szCs w:val="22"/>
          <w:lang w:val="sr-Latn-ME"/>
        </w:rPr>
      </w:pPr>
      <w:r w:rsidRPr="00C01AE6">
        <w:rPr>
          <w:sz w:val="22"/>
          <w:szCs w:val="22"/>
          <w:lang w:val="sr-Latn-ME"/>
        </w:rPr>
        <w:t xml:space="preserve"> </w:t>
      </w:r>
      <w:r w:rsidR="007F2902" w:rsidRPr="00C01AE6">
        <w:rPr>
          <w:sz w:val="22"/>
          <w:szCs w:val="22"/>
          <w:lang w:val="sr-Latn-ME"/>
        </w:rPr>
        <w:t xml:space="preserve">za 16 pacijenata bila je potrebna </w:t>
      </w:r>
      <w:proofErr w:type="spellStart"/>
      <w:r w:rsidR="007F2902" w:rsidRPr="00C01AE6">
        <w:rPr>
          <w:sz w:val="22"/>
          <w:szCs w:val="22"/>
          <w:lang w:val="sr-Latn-ME"/>
        </w:rPr>
        <w:t>invazivna</w:t>
      </w:r>
      <w:proofErr w:type="spellEnd"/>
      <w:r w:rsidR="007F2902" w:rsidRPr="00C01AE6">
        <w:rPr>
          <w:sz w:val="22"/>
          <w:szCs w:val="22"/>
          <w:lang w:val="sr-Latn-ME"/>
        </w:rPr>
        <w:t xml:space="preserve"> </w:t>
      </w:r>
      <w:proofErr w:type="spellStart"/>
      <w:r w:rsidR="007F2902" w:rsidRPr="00C01AE6">
        <w:rPr>
          <w:sz w:val="22"/>
          <w:szCs w:val="22"/>
          <w:lang w:val="sr-Latn-ME"/>
        </w:rPr>
        <w:t>ventilaciona</w:t>
      </w:r>
      <w:proofErr w:type="spellEnd"/>
      <w:r w:rsidR="007F2902" w:rsidRPr="00C01AE6">
        <w:rPr>
          <w:sz w:val="22"/>
          <w:szCs w:val="22"/>
          <w:lang w:val="sr-Latn-ME"/>
        </w:rPr>
        <w:t xml:space="preserve"> podrška (</w:t>
      </w:r>
      <w:proofErr w:type="spellStart"/>
      <w:r w:rsidR="007F2902" w:rsidRPr="00C01AE6">
        <w:rPr>
          <w:sz w:val="22"/>
          <w:szCs w:val="22"/>
          <w:lang w:val="sr-Latn-ME"/>
        </w:rPr>
        <w:t>intubacija</w:t>
      </w:r>
      <w:proofErr w:type="spellEnd"/>
      <w:r w:rsidR="007F2902" w:rsidRPr="00C01AE6">
        <w:rPr>
          <w:sz w:val="22"/>
          <w:szCs w:val="22"/>
          <w:lang w:val="sr-Latn-ME"/>
        </w:rPr>
        <w:t xml:space="preserve"> ili </w:t>
      </w:r>
      <w:proofErr w:type="spellStart"/>
      <w:r w:rsidR="007F2902" w:rsidRPr="00C01AE6">
        <w:rPr>
          <w:sz w:val="22"/>
          <w:szCs w:val="22"/>
          <w:lang w:val="sr-Latn-ME"/>
        </w:rPr>
        <w:t>traheostomija</w:t>
      </w:r>
      <w:proofErr w:type="spellEnd"/>
      <w:r w:rsidR="007F2902" w:rsidRPr="00C01AE6">
        <w:rPr>
          <w:sz w:val="22"/>
          <w:szCs w:val="22"/>
          <w:lang w:val="sr-Latn-ME"/>
        </w:rPr>
        <w:t>) na početku ispitivanja (jedan od njih imao je na početku, pr</w:t>
      </w:r>
      <w:r w:rsidRPr="00C01AE6">
        <w:rPr>
          <w:sz w:val="22"/>
          <w:szCs w:val="22"/>
          <w:lang w:val="sr-Latn-ME"/>
        </w:rPr>
        <w:t>ij</w:t>
      </w:r>
      <w:r w:rsidR="007F2902" w:rsidRPr="00C01AE6">
        <w:rPr>
          <w:sz w:val="22"/>
          <w:szCs w:val="22"/>
          <w:lang w:val="sr-Latn-ME"/>
        </w:rPr>
        <w:t xml:space="preserve">e </w:t>
      </w:r>
      <w:proofErr w:type="spellStart"/>
      <w:r w:rsidR="007F2902" w:rsidRPr="00C01AE6">
        <w:rPr>
          <w:sz w:val="22"/>
          <w:szCs w:val="22"/>
          <w:lang w:val="sr-Latn-ME"/>
        </w:rPr>
        <w:t>prelaza</w:t>
      </w:r>
      <w:proofErr w:type="spellEnd"/>
      <w:r w:rsidR="007F2902" w:rsidRPr="00C01AE6">
        <w:rPr>
          <w:sz w:val="22"/>
          <w:szCs w:val="22"/>
          <w:lang w:val="sr-Latn-ME"/>
        </w:rPr>
        <w:t xml:space="preserve"> na </w:t>
      </w:r>
      <w:proofErr w:type="spellStart"/>
      <w:r w:rsidR="007F2902" w:rsidRPr="00C01AE6">
        <w:rPr>
          <w:sz w:val="22"/>
          <w:szCs w:val="22"/>
          <w:lang w:val="sr-Latn-ME"/>
        </w:rPr>
        <w:t>invazivnu</w:t>
      </w:r>
      <w:proofErr w:type="spellEnd"/>
      <w:r w:rsidR="007F2902" w:rsidRPr="00C01AE6">
        <w:rPr>
          <w:sz w:val="22"/>
          <w:szCs w:val="22"/>
          <w:lang w:val="sr-Latn-ME"/>
        </w:rPr>
        <w:t xml:space="preserve"> ventilaciju, kratak period </w:t>
      </w:r>
      <w:proofErr w:type="spellStart"/>
      <w:r w:rsidR="007F2902" w:rsidRPr="00C01AE6">
        <w:rPr>
          <w:sz w:val="22"/>
          <w:szCs w:val="22"/>
          <w:lang w:val="sr-Latn-ME"/>
        </w:rPr>
        <w:t>neinvazivne</w:t>
      </w:r>
      <w:proofErr w:type="spellEnd"/>
      <w:r w:rsidR="007F2902" w:rsidRPr="00C01AE6">
        <w:rPr>
          <w:sz w:val="22"/>
          <w:szCs w:val="22"/>
          <w:lang w:val="sr-Latn-ME"/>
        </w:rPr>
        <w:t xml:space="preserve"> ventilacije).</w:t>
      </w:r>
    </w:p>
    <w:p w14:paraId="0209DEB6" w14:textId="2062D262" w:rsidR="007F2902" w:rsidRPr="00C01AE6" w:rsidRDefault="007F2902" w:rsidP="00655C9D">
      <w:pPr>
        <w:widowControl w:val="0"/>
        <w:numPr>
          <w:ilvl w:val="1"/>
          <w:numId w:val="12"/>
        </w:numPr>
        <w:tabs>
          <w:tab w:val="left" w:pos="1605"/>
        </w:tabs>
        <w:autoSpaceDE w:val="0"/>
        <w:autoSpaceDN w:val="0"/>
        <w:spacing w:line="261" w:lineRule="auto"/>
        <w:ind w:right="1" w:firstLine="0"/>
        <w:jc w:val="both"/>
        <w:rPr>
          <w:sz w:val="22"/>
          <w:szCs w:val="22"/>
          <w:lang w:val="sr-Latn-ME"/>
        </w:rPr>
      </w:pPr>
      <w:r w:rsidRPr="00C01AE6">
        <w:rPr>
          <w:sz w:val="22"/>
          <w:szCs w:val="22"/>
          <w:lang w:val="sr-Latn-ME"/>
        </w:rPr>
        <w:t xml:space="preserve">kod 7 pacijenata je bila ukinuta </w:t>
      </w:r>
      <w:proofErr w:type="spellStart"/>
      <w:r w:rsidRPr="00C01AE6">
        <w:rPr>
          <w:sz w:val="22"/>
          <w:szCs w:val="22"/>
          <w:lang w:val="sr-Latn-ME"/>
        </w:rPr>
        <w:t>invazivna</w:t>
      </w:r>
      <w:proofErr w:type="spellEnd"/>
      <w:r w:rsidRPr="00C01AE6">
        <w:rPr>
          <w:sz w:val="22"/>
          <w:szCs w:val="22"/>
          <w:lang w:val="sr-Latn-ME"/>
        </w:rPr>
        <w:t xml:space="preserve"> ventilacija (</w:t>
      </w:r>
      <w:r w:rsidR="005B26E6" w:rsidRPr="00C01AE6">
        <w:rPr>
          <w:sz w:val="22"/>
          <w:szCs w:val="22"/>
          <w:lang w:val="sr-Latn-ME"/>
        </w:rPr>
        <w:t>vrijeme</w:t>
      </w:r>
      <w:r w:rsidRPr="00C01AE6">
        <w:rPr>
          <w:sz w:val="22"/>
          <w:szCs w:val="22"/>
          <w:lang w:val="sr-Latn-ME"/>
        </w:rPr>
        <w:t xml:space="preserve"> na ventilaciji </w:t>
      </w:r>
      <w:r w:rsidR="00C80AFD" w:rsidRPr="00C01AE6">
        <w:rPr>
          <w:sz w:val="22"/>
          <w:szCs w:val="22"/>
          <w:lang w:val="sr-Latn-ME"/>
        </w:rPr>
        <w:t xml:space="preserve">iznosilo je </w:t>
      </w:r>
      <w:r w:rsidRPr="00C01AE6">
        <w:rPr>
          <w:sz w:val="22"/>
          <w:szCs w:val="22"/>
          <w:lang w:val="sr-Latn-ME"/>
        </w:rPr>
        <w:t>od 12 do 168 ned</w:t>
      </w:r>
      <w:r w:rsidR="00D93F80" w:rsidRPr="00C01AE6">
        <w:rPr>
          <w:sz w:val="22"/>
          <w:szCs w:val="22"/>
          <w:lang w:val="sr-Latn-ME"/>
        </w:rPr>
        <w:t>j</w:t>
      </w:r>
      <w:r w:rsidRPr="00C01AE6">
        <w:rPr>
          <w:sz w:val="22"/>
          <w:szCs w:val="22"/>
          <w:lang w:val="sr-Latn-ME"/>
        </w:rPr>
        <w:t>elja), 4 pacijenta ni</w:t>
      </w:r>
      <w:r w:rsidR="00D93F80" w:rsidRPr="00C01AE6">
        <w:rPr>
          <w:sz w:val="22"/>
          <w:szCs w:val="22"/>
          <w:lang w:val="sr-Latn-ME"/>
        </w:rPr>
        <w:t>je</w:t>
      </w:r>
      <w:r w:rsidRPr="00C01AE6">
        <w:rPr>
          <w:sz w:val="22"/>
          <w:szCs w:val="22"/>
          <w:lang w:val="sr-Latn-ME"/>
        </w:rPr>
        <w:t xml:space="preserve">su imala nikakvu </w:t>
      </w:r>
      <w:proofErr w:type="spellStart"/>
      <w:r w:rsidRPr="00C01AE6">
        <w:rPr>
          <w:sz w:val="22"/>
          <w:szCs w:val="22"/>
          <w:lang w:val="sr-Latn-ME"/>
        </w:rPr>
        <w:t>ventilacionu</w:t>
      </w:r>
      <w:proofErr w:type="spellEnd"/>
      <w:r w:rsidRPr="00C01AE6">
        <w:rPr>
          <w:sz w:val="22"/>
          <w:szCs w:val="22"/>
          <w:lang w:val="sr-Latn-ME"/>
        </w:rPr>
        <w:t xml:space="preserve"> podršku, a 3 pacijenta bila su na </w:t>
      </w:r>
      <w:proofErr w:type="spellStart"/>
      <w:r w:rsidRPr="00C01AE6">
        <w:rPr>
          <w:sz w:val="22"/>
          <w:szCs w:val="22"/>
          <w:lang w:val="sr-Latn-ME"/>
        </w:rPr>
        <w:t>neinvazivnoj</w:t>
      </w:r>
      <w:proofErr w:type="spellEnd"/>
      <w:r w:rsidRPr="00C01AE6">
        <w:rPr>
          <w:sz w:val="22"/>
          <w:szCs w:val="22"/>
          <w:lang w:val="sr-Latn-ME"/>
        </w:rPr>
        <w:t xml:space="preserve"> </w:t>
      </w:r>
      <w:proofErr w:type="spellStart"/>
      <w:r w:rsidRPr="00C01AE6">
        <w:rPr>
          <w:sz w:val="22"/>
          <w:szCs w:val="22"/>
          <w:lang w:val="sr-Latn-ME"/>
        </w:rPr>
        <w:t>ventilacionoj</w:t>
      </w:r>
      <w:proofErr w:type="spellEnd"/>
      <w:r w:rsidRPr="00C01AE6">
        <w:rPr>
          <w:sz w:val="22"/>
          <w:szCs w:val="22"/>
          <w:lang w:val="sr-Latn-ME"/>
        </w:rPr>
        <w:t xml:space="preserve"> podršci. Pet od 7 pacijenata postiglo je </w:t>
      </w:r>
      <w:r w:rsidR="00C80AFD" w:rsidRPr="00C01AE6">
        <w:rPr>
          <w:sz w:val="22"/>
          <w:szCs w:val="22"/>
          <w:lang w:val="sr-Latn-ME"/>
        </w:rPr>
        <w:t xml:space="preserve">rezultat </w:t>
      </w:r>
      <w:proofErr w:type="spellStart"/>
      <w:r w:rsidRPr="00C01AE6">
        <w:rPr>
          <w:sz w:val="22"/>
          <w:szCs w:val="22"/>
          <w:lang w:val="sr-Latn-ME"/>
        </w:rPr>
        <w:t>RGI</w:t>
      </w:r>
      <w:proofErr w:type="spellEnd"/>
      <w:r w:rsidRPr="00C01AE6">
        <w:rPr>
          <w:sz w:val="22"/>
          <w:szCs w:val="22"/>
          <w:lang w:val="sr-Latn-ME"/>
        </w:rPr>
        <w:t>-C ≥ 2</w:t>
      </w:r>
    </w:p>
    <w:p w14:paraId="4FB19327" w14:textId="797015B7" w:rsidR="007F2902" w:rsidRPr="00C01AE6" w:rsidRDefault="007F2902" w:rsidP="00655C9D">
      <w:pPr>
        <w:widowControl w:val="0"/>
        <w:numPr>
          <w:ilvl w:val="1"/>
          <w:numId w:val="12"/>
        </w:numPr>
        <w:tabs>
          <w:tab w:val="left" w:pos="1605"/>
        </w:tabs>
        <w:autoSpaceDE w:val="0"/>
        <w:autoSpaceDN w:val="0"/>
        <w:ind w:left="1604"/>
        <w:jc w:val="both"/>
        <w:rPr>
          <w:sz w:val="22"/>
          <w:szCs w:val="22"/>
          <w:lang w:val="sr-Latn-ME"/>
        </w:rPr>
      </w:pPr>
      <w:r w:rsidRPr="00C01AE6">
        <w:rPr>
          <w:sz w:val="22"/>
          <w:szCs w:val="22"/>
          <w:lang w:val="sr-Latn-ME"/>
        </w:rPr>
        <w:t xml:space="preserve">5 pacijenata je nastavilo sa </w:t>
      </w:r>
      <w:proofErr w:type="spellStart"/>
      <w:r w:rsidRPr="00C01AE6">
        <w:rPr>
          <w:sz w:val="22"/>
          <w:szCs w:val="22"/>
          <w:lang w:val="sr-Latn-ME"/>
        </w:rPr>
        <w:t>invazivnom</w:t>
      </w:r>
      <w:proofErr w:type="spellEnd"/>
      <w:r w:rsidRPr="00C01AE6">
        <w:rPr>
          <w:sz w:val="22"/>
          <w:szCs w:val="22"/>
          <w:lang w:val="sr-Latn-ME"/>
        </w:rPr>
        <w:t xml:space="preserve"> </w:t>
      </w:r>
      <w:proofErr w:type="spellStart"/>
      <w:r w:rsidRPr="00C01AE6">
        <w:rPr>
          <w:sz w:val="22"/>
          <w:szCs w:val="22"/>
          <w:lang w:val="sr-Latn-ME"/>
        </w:rPr>
        <w:t>ventilacionom</w:t>
      </w:r>
      <w:proofErr w:type="spellEnd"/>
      <w:r w:rsidRPr="00C01AE6">
        <w:rPr>
          <w:sz w:val="22"/>
          <w:szCs w:val="22"/>
          <w:lang w:val="sr-Latn-ME"/>
        </w:rPr>
        <w:t xml:space="preserve"> podrškom, 4 od njih sa </w:t>
      </w:r>
      <w:proofErr w:type="spellStart"/>
      <w:r w:rsidRPr="00C01AE6">
        <w:rPr>
          <w:sz w:val="22"/>
          <w:szCs w:val="22"/>
          <w:lang w:val="sr-Latn-ME"/>
        </w:rPr>
        <w:t>RGI</w:t>
      </w:r>
      <w:proofErr w:type="spellEnd"/>
      <w:r w:rsidRPr="00C01AE6">
        <w:rPr>
          <w:sz w:val="22"/>
          <w:szCs w:val="22"/>
          <w:lang w:val="sr-Latn-ME"/>
        </w:rPr>
        <w:t xml:space="preserve">-C </w:t>
      </w:r>
      <w:r w:rsidR="00C80AFD" w:rsidRPr="00C01AE6">
        <w:rPr>
          <w:sz w:val="22"/>
          <w:szCs w:val="22"/>
          <w:lang w:val="sr-Latn-ME"/>
        </w:rPr>
        <w:t xml:space="preserve">rezultatom </w:t>
      </w:r>
      <w:r w:rsidRPr="00C01AE6">
        <w:rPr>
          <w:sz w:val="22"/>
          <w:szCs w:val="22"/>
          <w:lang w:val="sr-Latn-ME"/>
        </w:rPr>
        <w:t>&lt;</w:t>
      </w:r>
      <w:r w:rsidR="00D93F80" w:rsidRPr="00C01AE6">
        <w:rPr>
          <w:sz w:val="22"/>
          <w:szCs w:val="22"/>
          <w:lang w:val="sr-Latn-ME"/>
        </w:rPr>
        <w:t xml:space="preserve"> </w:t>
      </w:r>
      <w:r w:rsidRPr="00C01AE6">
        <w:rPr>
          <w:sz w:val="22"/>
          <w:szCs w:val="22"/>
          <w:lang w:val="sr-Latn-ME"/>
        </w:rPr>
        <w:t>2</w:t>
      </w:r>
    </w:p>
    <w:p w14:paraId="6A67315C" w14:textId="77777777" w:rsidR="007F2902" w:rsidRPr="00C01AE6" w:rsidRDefault="007F2902" w:rsidP="00655C9D">
      <w:pPr>
        <w:widowControl w:val="0"/>
        <w:numPr>
          <w:ilvl w:val="1"/>
          <w:numId w:val="12"/>
        </w:numPr>
        <w:tabs>
          <w:tab w:val="left" w:pos="1605"/>
        </w:tabs>
        <w:autoSpaceDE w:val="0"/>
        <w:autoSpaceDN w:val="0"/>
        <w:ind w:left="1604"/>
        <w:jc w:val="both"/>
        <w:rPr>
          <w:sz w:val="22"/>
          <w:szCs w:val="22"/>
          <w:lang w:val="sr-Latn-ME"/>
        </w:rPr>
      </w:pPr>
      <w:r w:rsidRPr="00C01AE6">
        <w:rPr>
          <w:sz w:val="22"/>
          <w:szCs w:val="22"/>
          <w:lang w:val="sr-Latn-ME"/>
        </w:rPr>
        <w:t xml:space="preserve">3 pacijenta su preminula dok su bila na </w:t>
      </w:r>
      <w:proofErr w:type="spellStart"/>
      <w:r w:rsidRPr="00C01AE6">
        <w:rPr>
          <w:sz w:val="22"/>
          <w:szCs w:val="22"/>
          <w:lang w:val="sr-Latn-ME"/>
        </w:rPr>
        <w:t>ventilacionoj</w:t>
      </w:r>
      <w:proofErr w:type="spellEnd"/>
      <w:r w:rsidRPr="00C01AE6">
        <w:rPr>
          <w:sz w:val="22"/>
          <w:szCs w:val="22"/>
          <w:lang w:val="sr-Latn-ME"/>
        </w:rPr>
        <w:t xml:space="preserve"> podršci</w:t>
      </w:r>
    </w:p>
    <w:p w14:paraId="13DD8060" w14:textId="77777777" w:rsidR="007F2902" w:rsidRPr="00C01AE6" w:rsidRDefault="007F2902" w:rsidP="00655C9D">
      <w:pPr>
        <w:widowControl w:val="0"/>
        <w:numPr>
          <w:ilvl w:val="1"/>
          <w:numId w:val="12"/>
        </w:numPr>
        <w:tabs>
          <w:tab w:val="left" w:pos="1605"/>
        </w:tabs>
        <w:autoSpaceDE w:val="0"/>
        <w:autoSpaceDN w:val="0"/>
        <w:ind w:left="1604"/>
        <w:jc w:val="both"/>
        <w:rPr>
          <w:sz w:val="22"/>
          <w:szCs w:val="22"/>
          <w:lang w:val="sr-Latn-ME"/>
        </w:rPr>
      </w:pPr>
      <w:r w:rsidRPr="00C01AE6">
        <w:rPr>
          <w:sz w:val="22"/>
          <w:szCs w:val="22"/>
          <w:lang w:val="sr-Latn-ME"/>
        </w:rPr>
        <w:t>1 pacijent je povukao pristanak</w:t>
      </w:r>
    </w:p>
    <w:p w14:paraId="33929035" w14:textId="40252180" w:rsidR="007F2902" w:rsidRPr="00C01AE6" w:rsidRDefault="00D93F80" w:rsidP="00655C9D">
      <w:pPr>
        <w:widowControl w:val="0"/>
        <w:numPr>
          <w:ilvl w:val="0"/>
          <w:numId w:val="12"/>
        </w:numPr>
        <w:tabs>
          <w:tab w:val="left" w:pos="914"/>
        </w:tabs>
        <w:autoSpaceDE w:val="0"/>
        <w:autoSpaceDN w:val="0"/>
        <w:ind w:left="913" w:hanging="105"/>
        <w:jc w:val="both"/>
        <w:rPr>
          <w:sz w:val="22"/>
          <w:szCs w:val="22"/>
          <w:lang w:val="sr-Latn-ME"/>
        </w:rPr>
      </w:pPr>
      <w:r w:rsidRPr="00C01AE6">
        <w:rPr>
          <w:sz w:val="22"/>
          <w:szCs w:val="22"/>
          <w:lang w:val="sr-Latn-ME"/>
        </w:rPr>
        <w:t xml:space="preserve"> </w:t>
      </w:r>
      <w:proofErr w:type="spellStart"/>
      <w:r w:rsidR="007F2902" w:rsidRPr="00C01AE6">
        <w:rPr>
          <w:sz w:val="22"/>
          <w:szCs w:val="22"/>
          <w:lang w:val="sr-Latn-ME"/>
        </w:rPr>
        <w:t>ventilaciona</w:t>
      </w:r>
      <w:proofErr w:type="spellEnd"/>
      <w:r w:rsidR="007F2902" w:rsidRPr="00C01AE6">
        <w:rPr>
          <w:sz w:val="22"/>
          <w:szCs w:val="22"/>
          <w:lang w:val="sr-Latn-ME"/>
        </w:rPr>
        <w:t xml:space="preserve"> podrška bila je na početku potrebna za 13 pacijenata.</w:t>
      </w:r>
    </w:p>
    <w:p w14:paraId="18B316F9" w14:textId="332CCC55" w:rsidR="007F2902" w:rsidRPr="00C01AE6" w:rsidRDefault="007F2902" w:rsidP="00655C9D">
      <w:pPr>
        <w:widowControl w:val="0"/>
        <w:numPr>
          <w:ilvl w:val="1"/>
          <w:numId w:val="12"/>
        </w:numPr>
        <w:tabs>
          <w:tab w:val="left" w:pos="1701"/>
        </w:tabs>
        <w:autoSpaceDE w:val="0"/>
        <w:autoSpaceDN w:val="0"/>
        <w:spacing w:line="247" w:lineRule="auto"/>
        <w:ind w:left="1701" w:right="1" w:hanging="215"/>
        <w:jc w:val="both"/>
        <w:rPr>
          <w:sz w:val="22"/>
          <w:szCs w:val="22"/>
          <w:lang w:val="sr-Latn-ME"/>
        </w:rPr>
      </w:pPr>
      <w:r w:rsidRPr="00C01AE6">
        <w:rPr>
          <w:sz w:val="22"/>
          <w:szCs w:val="22"/>
          <w:lang w:val="sr-Latn-ME"/>
        </w:rPr>
        <w:t xml:space="preserve">kod 10 pacijenata je bila ukinuta </w:t>
      </w:r>
      <w:proofErr w:type="spellStart"/>
      <w:r w:rsidRPr="00C01AE6">
        <w:rPr>
          <w:sz w:val="22"/>
          <w:szCs w:val="22"/>
          <w:lang w:val="sr-Latn-ME"/>
        </w:rPr>
        <w:t>ventilaciona</w:t>
      </w:r>
      <w:proofErr w:type="spellEnd"/>
      <w:r w:rsidRPr="00C01AE6">
        <w:rPr>
          <w:sz w:val="22"/>
          <w:szCs w:val="22"/>
          <w:lang w:val="sr-Latn-ME"/>
        </w:rPr>
        <w:t xml:space="preserve"> podrška (</w:t>
      </w:r>
      <w:r w:rsidR="005B26E6" w:rsidRPr="00C01AE6">
        <w:rPr>
          <w:sz w:val="22"/>
          <w:szCs w:val="22"/>
          <w:lang w:val="sr-Latn-ME"/>
        </w:rPr>
        <w:t>vrijeme</w:t>
      </w:r>
      <w:r w:rsidRPr="00C01AE6">
        <w:rPr>
          <w:sz w:val="22"/>
          <w:szCs w:val="22"/>
          <w:lang w:val="sr-Latn-ME"/>
        </w:rPr>
        <w:t xml:space="preserve"> na ventilaciji od 3 do 216 ned</w:t>
      </w:r>
      <w:r w:rsidR="00D93F80" w:rsidRPr="00C01AE6">
        <w:rPr>
          <w:sz w:val="22"/>
          <w:szCs w:val="22"/>
          <w:lang w:val="sr-Latn-ME"/>
        </w:rPr>
        <w:t>j</w:t>
      </w:r>
      <w:r w:rsidRPr="00C01AE6">
        <w:rPr>
          <w:sz w:val="22"/>
          <w:szCs w:val="22"/>
          <w:lang w:val="sr-Latn-ME"/>
        </w:rPr>
        <w:t xml:space="preserve">elja). 9 od 10 pacijenata postiglo je </w:t>
      </w:r>
      <w:r w:rsidR="00C80AFD" w:rsidRPr="00C01AE6">
        <w:rPr>
          <w:sz w:val="22"/>
          <w:szCs w:val="22"/>
          <w:lang w:val="sr-Latn-ME"/>
        </w:rPr>
        <w:t xml:space="preserve">rezultat </w:t>
      </w:r>
      <w:proofErr w:type="spellStart"/>
      <w:r w:rsidRPr="00C01AE6">
        <w:rPr>
          <w:sz w:val="22"/>
          <w:szCs w:val="22"/>
          <w:lang w:val="sr-Latn-ME"/>
        </w:rPr>
        <w:t>RGI</w:t>
      </w:r>
      <w:proofErr w:type="spellEnd"/>
      <w:r w:rsidRPr="00C01AE6">
        <w:rPr>
          <w:sz w:val="22"/>
          <w:szCs w:val="22"/>
          <w:lang w:val="sr-Latn-ME"/>
        </w:rPr>
        <w:t xml:space="preserve">-C ≥ 2, a samo 1 pacijent imao je </w:t>
      </w:r>
      <w:proofErr w:type="spellStart"/>
      <w:r w:rsidRPr="00C01AE6">
        <w:rPr>
          <w:sz w:val="22"/>
          <w:szCs w:val="22"/>
          <w:lang w:val="sr-Latn-ME"/>
        </w:rPr>
        <w:t>RGI</w:t>
      </w:r>
      <w:proofErr w:type="spellEnd"/>
      <w:r w:rsidRPr="00C01AE6">
        <w:rPr>
          <w:sz w:val="22"/>
          <w:szCs w:val="22"/>
          <w:lang w:val="sr-Latn-ME"/>
        </w:rPr>
        <w:t>-C &lt;2.</w:t>
      </w:r>
    </w:p>
    <w:p w14:paraId="29852081" w14:textId="6EA3A3B1" w:rsidR="007F2902" w:rsidRPr="00C01AE6" w:rsidRDefault="007F2902" w:rsidP="00655C9D">
      <w:pPr>
        <w:widowControl w:val="0"/>
        <w:numPr>
          <w:ilvl w:val="1"/>
          <w:numId w:val="12"/>
        </w:numPr>
        <w:tabs>
          <w:tab w:val="left" w:pos="1701"/>
        </w:tabs>
        <w:autoSpaceDE w:val="0"/>
        <w:autoSpaceDN w:val="0"/>
        <w:spacing w:line="244" w:lineRule="auto"/>
        <w:ind w:left="1701" w:right="1" w:hanging="215"/>
        <w:jc w:val="both"/>
        <w:rPr>
          <w:sz w:val="22"/>
          <w:szCs w:val="22"/>
          <w:lang w:val="sr-Latn-ME"/>
        </w:rPr>
      </w:pPr>
      <w:r w:rsidRPr="00C01AE6">
        <w:rPr>
          <w:sz w:val="22"/>
          <w:szCs w:val="22"/>
          <w:lang w:val="sr-Latn-ME"/>
        </w:rPr>
        <w:t xml:space="preserve">za 2 pacijenta je bila neophodna </w:t>
      </w:r>
      <w:proofErr w:type="spellStart"/>
      <w:r w:rsidRPr="00C01AE6">
        <w:rPr>
          <w:sz w:val="22"/>
          <w:szCs w:val="22"/>
          <w:lang w:val="sr-Latn-ME"/>
        </w:rPr>
        <w:t>invazivna</w:t>
      </w:r>
      <w:proofErr w:type="spellEnd"/>
      <w:r w:rsidRPr="00C01AE6">
        <w:rPr>
          <w:sz w:val="22"/>
          <w:szCs w:val="22"/>
          <w:lang w:val="sr-Latn-ME"/>
        </w:rPr>
        <w:t xml:space="preserve"> </w:t>
      </w:r>
      <w:proofErr w:type="spellStart"/>
      <w:r w:rsidRPr="00C01AE6">
        <w:rPr>
          <w:sz w:val="22"/>
          <w:szCs w:val="22"/>
          <w:lang w:val="sr-Latn-ME"/>
        </w:rPr>
        <w:t>ventilaciona</w:t>
      </w:r>
      <w:proofErr w:type="spellEnd"/>
      <w:r w:rsidRPr="00C01AE6">
        <w:rPr>
          <w:sz w:val="22"/>
          <w:szCs w:val="22"/>
          <w:lang w:val="sr-Latn-ME"/>
        </w:rPr>
        <w:t xml:space="preserve"> podrška, a 1 pacijent je nastavio sa </w:t>
      </w:r>
      <w:proofErr w:type="spellStart"/>
      <w:r w:rsidRPr="00C01AE6">
        <w:rPr>
          <w:sz w:val="22"/>
          <w:szCs w:val="22"/>
          <w:lang w:val="sr-Latn-ME"/>
        </w:rPr>
        <w:t>neinvazivnom</w:t>
      </w:r>
      <w:proofErr w:type="spellEnd"/>
      <w:r w:rsidRPr="00C01AE6">
        <w:rPr>
          <w:sz w:val="22"/>
          <w:szCs w:val="22"/>
          <w:lang w:val="sr-Latn-ME"/>
        </w:rPr>
        <w:t xml:space="preserve"> podrškom, </w:t>
      </w:r>
      <w:r w:rsidR="00C80AFD" w:rsidRPr="00C01AE6">
        <w:rPr>
          <w:sz w:val="22"/>
          <w:szCs w:val="22"/>
          <w:lang w:val="sr-Latn-ME"/>
        </w:rPr>
        <w:t xml:space="preserve">a </w:t>
      </w:r>
      <w:r w:rsidRPr="00C01AE6">
        <w:rPr>
          <w:sz w:val="22"/>
          <w:szCs w:val="22"/>
          <w:lang w:val="sr-Latn-ME"/>
        </w:rPr>
        <w:t xml:space="preserve">sva 3 pacijenta su preminula sa </w:t>
      </w:r>
      <w:r w:rsidR="00C80AFD" w:rsidRPr="00C01AE6">
        <w:rPr>
          <w:sz w:val="22"/>
          <w:szCs w:val="22"/>
          <w:lang w:val="sr-Latn-ME"/>
        </w:rPr>
        <w:t xml:space="preserve">rezultatom </w:t>
      </w:r>
      <w:proofErr w:type="spellStart"/>
      <w:r w:rsidRPr="00C01AE6">
        <w:rPr>
          <w:sz w:val="22"/>
          <w:szCs w:val="22"/>
          <w:lang w:val="sr-Latn-ME"/>
        </w:rPr>
        <w:t>RGI</w:t>
      </w:r>
      <w:proofErr w:type="spellEnd"/>
      <w:r w:rsidRPr="00C01AE6">
        <w:rPr>
          <w:sz w:val="22"/>
          <w:szCs w:val="22"/>
          <w:lang w:val="sr-Latn-ME"/>
        </w:rPr>
        <w:t>-C &lt;</w:t>
      </w:r>
      <w:r w:rsidR="00D238E2" w:rsidRPr="00C01AE6">
        <w:rPr>
          <w:sz w:val="22"/>
          <w:szCs w:val="22"/>
          <w:lang w:val="sr-Latn-ME"/>
        </w:rPr>
        <w:t xml:space="preserve"> </w:t>
      </w:r>
      <w:r w:rsidRPr="00C01AE6">
        <w:rPr>
          <w:sz w:val="22"/>
          <w:szCs w:val="22"/>
          <w:lang w:val="sr-Latn-ME"/>
        </w:rPr>
        <w:t>2</w:t>
      </w:r>
    </w:p>
    <w:p w14:paraId="733CCABA" w14:textId="5656F066" w:rsidR="007F2902" w:rsidRPr="00C01AE6" w:rsidRDefault="007F2902" w:rsidP="00655C9D">
      <w:pPr>
        <w:widowControl w:val="0"/>
        <w:autoSpaceDE w:val="0"/>
        <w:autoSpaceDN w:val="0"/>
        <w:spacing w:line="254" w:lineRule="auto"/>
        <w:jc w:val="both"/>
        <w:rPr>
          <w:sz w:val="22"/>
          <w:szCs w:val="22"/>
          <w:lang w:val="sr-Latn-ME"/>
        </w:rPr>
      </w:pPr>
      <w:r w:rsidRPr="00C01AE6">
        <w:rPr>
          <w:sz w:val="22"/>
          <w:szCs w:val="22"/>
          <w:lang w:val="sr-Latn-ME"/>
        </w:rPr>
        <w:t xml:space="preserve">Prirodna istorija </w:t>
      </w:r>
      <w:proofErr w:type="spellStart"/>
      <w:r w:rsidRPr="00C01AE6">
        <w:rPr>
          <w:sz w:val="22"/>
          <w:szCs w:val="22"/>
          <w:lang w:val="sr-Latn-ME"/>
        </w:rPr>
        <w:t>ne</w:t>
      </w:r>
      <w:r w:rsidR="00613845" w:rsidRPr="00C01AE6">
        <w:rPr>
          <w:sz w:val="22"/>
          <w:szCs w:val="22"/>
          <w:lang w:val="sr-Latn-ME"/>
        </w:rPr>
        <w:t>liječenih</w:t>
      </w:r>
      <w:proofErr w:type="spellEnd"/>
      <w:r w:rsidRPr="00C01AE6">
        <w:rPr>
          <w:sz w:val="22"/>
          <w:szCs w:val="22"/>
          <w:lang w:val="sr-Latn-ME"/>
        </w:rPr>
        <w:t xml:space="preserve"> pacijenata sa </w:t>
      </w:r>
      <w:proofErr w:type="spellStart"/>
      <w:r w:rsidRPr="00C01AE6">
        <w:rPr>
          <w:sz w:val="22"/>
          <w:szCs w:val="22"/>
          <w:lang w:val="sr-Latn-ME"/>
        </w:rPr>
        <w:t>hipofosfatazijom</w:t>
      </w:r>
      <w:proofErr w:type="spellEnd"/>
      <w:r w:rsidRPr="00C01AE6">
        <w:rPr>
          <w:sz w:val="22"/>
          <w:szCs w:val="22"/>
          <w:lang w:val="sr-Latn-ME"/>
        </w:rPr>
        <w:t xml:space="preserve"> sa početkom u infantilnom periodu ukazuje na veliku smrtnost ako je potrebna ventilacija.</w:t>
      </w:r>
    </w:p>
    <w:p w14:paraId="7E3A47EA" w14:textId="77777777" w:rsidR="007F2902" w:rsidRPr="00C01AE6" w:rsidRDefault="007F2902" w:rsidP="00655C9D">
      <w:pPr>
        <w:widowControl w:val="0"/>
        <w:autoSpaceDE w:val="0"/>
        <w:autoSpaceDN w:val="0"/>
        <w:jc w:val="both"/>
        <w:rPr>
          <w:sz w:val="22"/>
          <w:szCs w:val="22"/>
          <w:lang w:val="sr-Latn-ME"/>
        </w:rPr>
      </w:pPr>
    </w:p>
    <w:p w14:paraId="1CE5D013" w14:textId="1876F424" w:rsidR="007F2902" w:rsidRPr="00C01AE6" w:rsidRDefault="007F2902" w:rsidP="00655C9D">
      <w:pPr>
        <w:widowControl w:val="0"/>
        <w:autoSpaceDE w:val="0"/>
        <w:autoSpaceDN w:val="0"/>
        <w:spacing w:line="254" w:lineRule="auto"/>
        <w:jc w:val="both"/>
        <w:rPr>
          <w:sz w:val="22"/>
          <w:szCs w:val="22"/>
          <w:lang w:val="sr-Latn-ME"/>
        </w:rPr>
      </w:pPr>
      <w:r w:rsidRPr="00C01AE6">
        <w:rPr>
          <w:sz w:val="22"/>
          <w:szCs w:val="22"/>
          <w:lang w:val="sr-Latn-ME"/>
        </w:rPr>
        <w:t>Ovaj l</w:t>
      </w:r>
      <w:r w:rsidR="005B26E6" w:rsidRPr="00C01AE6">
        <w:rPr>
          <w:sz w:val="22"/>
          <w:szCs w:val="22"/>
          <w:lang w:val="sr-Latn-ME"/>
        </w:rPr>
        <w:t>ij</w:t>
      </w:r>
      <w:r w:rsidRPr="00C01AE6">
        <w:rPr>
          <w:sz w:val="22"/>
          <w:szCs w:val="22"/>
          <w:lang w:val="sr-Latn-ME"/>
        </w:rPr>
        <w:t>ek je odobren u „izuzetnim okolnostima”. To znači da s obzirom na malu učestalost bolesti nije bilo moguće doći do potpunih informacija o ovom l</w:t>
      </w:r>
      <w:r w:rsidR="005B26E6" w:rsidRPr="00C01AE6">
        <w:rPr>
          <w:sz w:val="22"/>
          <w:szCs w:val="22"/>
          <w:lang w:val="sr-Latn-ME"/>
        </w:rPr>
        <w:t>ij</w:t>
      </w:r>
      <w:r w:rsidRPr="00C01AE6">
        <w:rPr>
          <w:sz w:val="22"/>
          <w:szCs w:val="22"/>
          <w:lang w:val="sr-Latn-ME"/>
        </w:rPr>
        <w:t>eku.</w:t>
      </w:r>
    </w:p>
    <w:p w14:paraId="376C2A51" w14:textId="280E7BB4" w:rsidR="007F2902" w:rsidRPr="00C01AE6" w:rsidRDefault="007F2902" w:rsidP="00655C9D">
      <w:pPr>
        <w:widowControl w:val="0"/>
        <w:autoSpaceDE w:val="0"/>
        <w:autoSpaceDN w:val="0"/>
        <w:spacing w:line="254" w:lineRule="auto"/>
        <w:jc w:val="both"/>
        <w:rPr>
          <w:sz w:val="22"/>
          <w:szCs w:val="22"/>
          <w:lang w:val="sr-Latn-ME"/>
        </w:rPr>
      </w:pPr>
      <w:r w:rsidRPr="00C01AE6">
        <w:rPr>
          <w:sz w:val="22"/>
          <w:szCs w:val="22"/>
          <w:lang w:val="sr-Latn-ME"/>
        </w:rPr>
        <w:t>Evropska agencija za l</w:t>
      </w:r>
      <w:r w:rsidR="005B26E6" w:rsidRPr="00C01AE6">
        <w:rPr>
          <w:sz w:val="22"/>
          <w:szCs w:val="22"/>
          <w:lang w:val="sr-Latn-ME"/>
        </w:rPr>
        <w:t>j</w:t>
      </w:r>
      <w:r w:rsidRPr="00C01AE6">
        <w:rPr>
          <w:sz w:val="22"/>
          <w:szCs w:val="22"/>
          <w:lang w:val="sr-Latn-ME"/>
        </w:rPr>
        <w:t>ekove će svake godine proc</w:t>
      </w:r>
      <w:r w:rsidR="00C80AFD" w:rsidRPr="00C01AE6">
        <w:rPr>
          <w:sz w:val="22"/>
          <w:szCs w:val="22"/>
          <w:lang w:val="sr-Latn-ME"/>
        </w:rPr>
        <w:t>j</w:t>
      </w:r>
      <w:r w:rsidRPr="00C01AE6">
        <w:rPr>
          <w:sz w:val="22"/>
          <w:szCs w:val="22"/>
          <w:lang w:val="sr-Latn-ME"/>
        </w:rPr>
        <w:t>enjivati nove informacije o l</w:t>
      </w:r>
      <w:r w:rsidR="005B26E6" w:rsidRPr="00C01AE6">
        <w:rPr>
          <w:sz w:val="22"/>
          <w:szCs w:val="22"/>
          <w:lang w:val="sr-Latn-ME"/>
        </w:rPr>
        <w:t>ij</w:t>
      </w:r>
      <w:r w:rsidRPr="00C01AE6">
        <w:rPr>
          <w:sz w:val="22"/>
          <w:szCs w:val="22"/>
          <w:lang w:val="sr-Latn-ME"/>
        </w:rPr>
        <w:t>eku pa će se tekst Sažetka karakteristika l</w:t>
      </w:r>
      <w:r w:rsidR="005B26E6" w:rsidRPr="00C01AE6">
        <w:rPr>
          <w:sz w:val="22"/>
          <w:szCs w:val="22"/>
          <w:lang w:val="sr-Latn-ME"/>
        </w:rPr>
        <w:t>ij</w:t>
      </w:r>
      <w:r w:rsidRPr="00C01AE6">
        <w:rPr>
          <w:sz w:val="22"/>
          <w:szCs w:val="22"/>
          <w:lang w:val="sr-Latn-ME"/>
        </w:rPr>
        <w:t>eka ažurirati prema potrebi.</w:t>
      </w:r>
    </w:p>
    <w:p w14:paraId="1FDD96BD" w14:textId="04BC1395" w:rsidR="00EE61A1" w:rsidRPr="00C01AE6" w:rsidRDefault="00EE61A1" w:rsidP="00655C9D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</w:p>
    <w:p w14:paraId="169C5103" w14:textId="7C50C5EA" w:rsidR="0072020E" w:rsidRPr="00C01AE6" w:rsidRDefault="0072020E" w:rsidP="00655C9D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  <w:r w:rsidRPr="00C01AE6">
        <w:rPr>
          <w:b/>
          <w:bCs/>
          <w:sz w:val="22"/>
          <w:szCs w:val="22"/>
          <w:lang w:val="sr-Latn-ME"/>
        </w:rPr>
        <w:t xml:space="preserve">5.2. </w:t>
      </w:r>
      <w:r w:rsidR="00480FB1" w:rsidRPr="00C01AE6">
        <w:rPr>
          <w:b/>
          <w:bCs/>
          <w:sz w:val="22"/>
          <w:szCs w:val="22"/>
          <w:lang w:val="sr-Latn-ME"/>
        </w:rPr>
        <w:tab/>
      </w:r>
      <w:proofErr w:type="spellStart"/>
      <w:r w:rsidRPr="00C01AE6">
        <w:rPr>
          <w:b/>
          <w:bCs/>
          <w:sz w:val="22"/>
          <w:szCs w:val="22"/>
          <w:lang w:val="sr-Latn-ME"/>
        </w:rPr>
        <w:t>Farmakokinetički</w:t>
      </w:r>
      <w:proofErr w:type="spellEnd"/>
      <w:r w:rsidRPr="00C01AE6">
        <w:rPr>
          <w:b/>
          <w:bCs/>
          <w:sz w:val="22"/>
          <w:szCs w:val="22"/>
          <w:lang w:val="sr-Latn-ME"/>
        </w:rPr>
        <w:t xml:space="preserve"> podaci</w:t>
      </w:r>
      <w:r w:rsidR="003A7059" w:rsidRPr="00C01AE6">
        <w:rPr>
          <w:b/>
          <w:bCs/>
          <w:sz w:val="22"/>
          <w:szCs w:val="22"/>
          <w:lang w:val="sr-Latn-ME"/>
        </w:rPr>
        <w:t xml:space="preserve"> </w:t>
      </w:r>
    </w:p>
    <w:p w14:paraId="6BCF6A19" w14:textId="77777777" w:rsidR="00D36EE8" w:rsidRPr="00C01AE6" w:rsidRDefault="00D36EE8" w:rsidP="00655C9D">
      <w:pPr>
        <w:widowControl w:val="0"/>
        <w:autoSpaceDE w:val="0"/>
        <w:autoSpaceDN w:val="0"/>
        <w:spacing w:line="247" w:lineRule="auto"/>
        <w:jc w:val="both"/>
        <w:rPr>
          <w:b/>
          <w:bCs/>
          <w:sz w:val="22"/>
          <w:szCs w:val="22"/>
          <w:lang w:val="sr-Latn-ME"/>
        </w:rPr>
      </w:pPr>
    </w:p>
    <w:p w14:paraId="547EC31A" w14:textId="37159835" w:rsidR="007F2902" w:rsidRPr="00C01AE6" w:rsidRDefault="007F2902" w:rsidP="00655C9D">
      <w:pPr>
        <w:widowControl w:val="0"/>
        <w:autoSpaceDE w:val="0"/>
        <w:autoSpaceDN w:val="0"/>
        <w:spacing w:line="247" w:lineRule="auto"/>
        <w:jc w:val="both"/>
        <w:rPr>
          <w:sz w:val="22"/>
          <w:szCs w:val="22"/>
          <w:lang w:val="sr-Latn-ME"/>
        </w:rPr>
      </w:pPr>
      <w:proofErr w:type="spellStart"/>
      <w:r w:rsidRPr="00C01AE6">
        <w:rPr>
          <w:sz w:val="22"/>
          <w:szCs w:val="22"/>
          <w:lang w:val="sr-Latn-ME"/>
        </w:rPr>
        <w:lastRenderedPageBreak/>
        <w:t>Farmakokinetika</w:t>
      </w:r>
      <w:proofErr w:type="spellEnd"/>
      <w:r w:rsidRPr="00C01AE6">
        <w:rPr>
          <w:sz w:val="22"/>
          <w:szCs w:val="22"/>
          <w:lang w:val="sr-Latn-ME"/>
        </w:rPr>
        <w:t xml:space="preserve"> </w:t>
      </w:r>
      <w:proofErr w:type="spellStart"/>
      <w:r w:rsidRPr="00C01AE6">
        <w:rPr>
          <w:sz w:val="22"/>
          <w:szCs w:val="22"/>
          <w:lang w:val="sr-Latn-ME"/>
        </w:rPr>
        <w:t>asfotaze</w:t>
      </w:r>
      <w:proofErr w:type="spellEnd"/>
      <w:r w:rsidRPr="00C01AE6">
        <w:rPr>
          <w:sz w:val="22"/>
          <w:szCs w:val="22"/>
          <w:lang w:val="sr-Latn-ME"/>
        </w:rPr>
        <w:t xml:space="preserve"> alfa </w:t>
      </w:r>
      <w:r w:rsidR="00190FE2" w:rsidRPr="00C01AE6">
        <w:rPr>
          <w:sz w:val="22"/>
          <w:szCs w:val="22"/>
          <w:lang w:val="sr-Latn-ME"/>
        </w:rPr>
        <w:t xml:space="preserve">procijenjena </w:t>
      </w:r>
      <w:r w:rsidRPr="00C01AE6">
        <w:rPr>
          <w:sz w:val="22"/>
          <w:szCs w:val="22"/>
          <w:lang w:val="sr-Latn-ME"/>
        </w:rPr>
        <w:t>je u 1-m</w:t>
      </w:r>
      <w:r w:rsidR="005B26E6" w:rsidRPr="00C01AE6">
        <w:rPr>
          <w:sz w:val="22"/>
          <w:szCs w:val="22"/>
          <w:lang w:val="sr-Latn-ME"/>
        </w:rPr>
        <w:t>j</w:t>
      </w:r>
      <w:r w:rsidRPr="00C01AE6">
        <w:rPr>
          <w:sz w:val="22"/>
          <w:szCs w:val="22"/>
          <w:lang w:val="sr-Latn-ME"/>
        </w:rPr>
        <w:t xml:space="preserve">esečnom, </w:t>
      </w:r>
      <w:proofErr w:type="spellStart"/>
      <w:r w:rsidRPr="00C01AE6">
        <w:rPr>
          <w:sz w:val="22"/>
          <w:szCs w:val="22"/>
          <w:lang w:val="sr-Latn-ME"/>
        </w:rPr>
        <w:t>multicentričnom</w:t>
      </w:r>
      <w:proofErr w:type="spellEnd"/>
      <w:r w:rsidRPr="00C01AE6">
        <w:rPr>
          <w:sz w:val="22"/>
          <w:szCs w:val="22"/>
          <w:lang w:val="sr-Latn-ME"/>
        </w:rPr>
        <w:t xml:space="preserve">, otvorenom ispitivanju sa povećanjem doze kod odraslih osoba sa </w:t>
      </w:r>
      <w:proofErr w:type="spellStart"/>
      <w:r w:rsidRPr="00C01AE6">
        <w:rPr>
          <w:sz w:val="22"/>
          <w:szCs w:val="22"/>
          <w:lang w:val="sr-Latn-ME"/>
        </w:rPr>
        <w:t>hipofosfatazijom</w:t>
      </w:r>
      <w:proofErr w:type="spellEnd"/>
      <w:r w:rsidRPr="00C01AE6">
        <w:rPr>
          <w:sz w:val="22"/>
          <w:szCs w:val="22"/>
          <w:lang w:val="sr-Latn-ME"/>
        </w:rPr>
        <w:t>. Kohorta 1 (n = 3) u ispitivanju primila je u prvoj ned</w:t>
      </w:r>
      <w:r w:rsidR="00D238E2" w:rsidRPr="00C01AE6">
        <w:rPr>
          <w:sz w:val="22"/>
          <w:szCs w:val="22"/>
          <w:lang w:val="sr-Latn-ME"/>
        </w:rPr>
        <w:t>j</w:t>
      </w:r>
      <w:r w:rsidRPr="00C01AE6">
        <w:rPr>
          <w:sz w:val="22"/>
          <w:szCs w:val="22"/>
          <w:lang w:val="sr-Latn-ME"/>
        </w:rPr>
        <w:t xml:space="preserve">elji </w:t>
      </w:r>
      <w:proofErr w:type="spellStart"/>
      <w:r w:rsidR="00190FE2" w:rsidRPr="00C01AE6">
        <w:rPr>
          <w:sz w:val="22"/>
          <w:szCs w:val="22"/>
          <w:lang w:val="sr-Latn-ME"/>
        </w:rPr>
        <w:t>intravenski</w:t>
      </w:r>
      <w:proofErr w:type="spellEnd"/>
      <w:r w:rsidR="00190FE2" w:rsidRPr="00C01AE6">
        <w:rPr>
          <w:sz w:val="22"/>
          <w:szCs w:val="22"/>
          <w:lang w:val="sr-Latn-ME"/>
        </w:rPr>
        <w:t xml:space="preserve"> </w:t>
      </w:r>
      <w:proofErr w:type="spellStart"/>
      <w:r w:rsidRPr="00C01AE6">
        <w:rPr>
          <w:sz w:val="22"/>
          <w:szCs w:val="22"/>
          <w:lang w:val="sr-Latn-ME"/>
        </w:rPr>
        <w:t>asfotazu</w:t>
      </w:r>
      <w:proofErr w:type="spellEnd"/>
      <w:r w:rsidRPr="00C01AE6">
        <w:rPr>
          <w:sz w:val="22"/>
          <w:szCs w:val="22"/>
          <w:lang w:val="sr-Latn-ME"/>
        </w:rPr>
        <w:t xml:space="preserve"> alfa</w:t>
      </w:r>
      <w:r w:rsidR="00190FE2" w:rsidRPr="00C01AE6">
        <w:rPr>
          <w:sz w:val="22"/>
          <w:szCs w:val="22"/>
          <w:lang w:val="sr-Latn-ME"/>
        </w:rPr>
        <w:t xml:space="preserve"> u dozi </w:t>
      </w:r>
      <w:proofErr w:type="spellStart"/>
      <w:r w:rsidR="00190FE2" w:rsidRPr="00C01AE6">
        <w:rPr>
          <w:sz w:val="22"/>
          <w:szCs w:val="22"/>
          <w:lang w:val="sr-Latn-ME"/>
        </w:rPr>
        <w:t>od</w:t>
      </w:r>
      <w:r w:rsidRPr="00C01AE6">
        <w:rPr>
          <w:sz w:val="22"/>
          <w:szCs w:val="22"/>
          <w:lang w:val="sr-Latn-ME"/>
        </w:rPr>
        <w:t>3</w:t>
      </w:r>
      <w:proofErr w:type="spellEnd"/>
      <w:r w:rsidRPr="00C01AE6">
        <w:rPr>
          <w:sz w:val="22"/>
          <w:szCs w:val="22"/>
          <w:lang w:val="sr-Latn-ME"/>
        </w:rPr>
        <w:t xml:space="preserve"> mg/kg, a zatim </w:t>
      </w:r>
      <w:proofErr w:type="spellStart"/>
      <w:r w:rsidRPr="00C01AE6">
        <w:rPr>
          <w:sz w:val="22"/>
          <w:szCs w:val="22"/>
          <w:lang w:val="sr-Latn-ME"/>
        </w:rPr>
        <w:t>su</w:t>
      </w:r>
      <w:r w:rsidR="00B3559F" w:rsidRPr="00C01AE6">
        <w:rPr>
          <w:sz w:val="22"/>
          <w:szCs w:val="22"/>
          <w:lang w:val="sr-Latn-ME"/>
        </w:rPr>
        <w:t>b</w:t>
      </w:r>
      <w:r w:rsidRPr="00C01AE6">
        <w:rPr>
          <w:sz w:val="22"/>
          <w:szCs w:val="22"/>
          <w:lang w:val="sr-Latn-ME"/>
        </w:rPr>
        <w:t>kutano</w:t>
      </w:r>
      <w:proofErr w:type="spellEnd"/>
      <w:r w:rsidRPr="00C01AE6">
        <w:rPr>
          <w:sz w:val="22"/>
          <w:szCs w:val="22"/>
          <w:lang w:val="sr-Latn-ME"/>
        </w:rPr>
        <w:t xml:space="preserve"> 3 doze od 1 mg/kg u ned</w:t>
      </w:r>
      <w:r w:rsidR="00D238E2" w:rsidRPr="00C01AE6">
        <w:rPr>
          <w:sz w:val="22"/>
          <w:szCs w:val="22"/>
          <w:lang w:val="sr-Latn-ME"/>
        </w:rPr>
        <w:t>j</w:t>
      </w:r>
      <w:r w:rsidRPr="00C01AE6">
        <w:rPr>
          <w:sz w:val="22"/>
          <w:szCs w:val="22"/>
          <w:lang w:val="sr-Latn-ME"/>
        </w:rPr>
        <w:t xml:space="preserve">eljnim intervalima od 2. do 4. </w:t>
      </w:r>
      <w:proofErr w:type="spellStart"/>
      <w:r w:rsidRPr="00C01AE6">
        <w:rPr>
          <w:sz w:val="22"/>
          <w:szCs w:val="22"/>
          <w:lang w:val="sr-Latn-ME"/>
        </w:rPr>
        <w:t>nedelje</w:t>
      </w:r>
      <w:proofErr w:type="spellEnd"/>
      <w:r w:rsidRPr="00C01AE6">
        <w:rPr>
          <w:sz w:val="22"/>
          <w:szCs w:val="22"/>
          <w:lang w:val="sr-Latn-ME"/>
        </w:rPr>
        <w:t>. Kohorta 2 (n = 3) primila je u prvoj ned</w:t>
      </w:r>
      <w:r w:rsidR="00D238E2" w:rsidRPr="00C01AE6">
        <w:rPr>
          <w:sz w:val="22"/>
          <w:szCs w:val="22"/>
          <w:lang w:val="sr-Latn-ME"/>
        </w:rPr>
        <w:t>j</w:t>
      </w:r>
      <w:r w:rsidRPr="00C01AE6">
        <w:rPr>
          <w:sz w:val="22"/>
          <w:szCs w:val="22"/>
          <w:lang w:val="sr-Latn-ME"/>
        </w:rPr>
        <w:t xml:space="preserve">elji </w:t>
      </w:r>
      <w:proofErr w:type="spellStart"/>
      <w:r w:rsidRPr="00C01AE6">
        <w:rPr>
          <w:sz w:val="22"/>
          <w:szCs w:val="22"/>
          <w:lang w:val="sr-Latn-ME"/>
        </w:rPr>
        <w:t>asfotazu</w:t>
      </w:r>
      <w:proofErr w:type="spellEnd"/>
      <w:r w:rsidRPr="00C01AE6">
        <w:rPr>
          <w:sz w:val="22"/>
          <w:szCs w:val="22"/>
          <w:lang w:val="sr-Latn-ME"/>
        </w:rPr>
        <w:t xml:space="preserve"> alfa </w:t>
      </w:r>
      <w:proofErr w:type="spellStart"/>
      <w:r w:rsidRPr="00C01AE6">
        <w:rPr>
          <w:sz w:val="22"/>
          <w:szCs w:val="22"/>
          <w:lang w:val="sr-Latn-ME"/>
        </w:rPr>
        <w:t>intravenski</w:t>
      </w:r>
      <w:proofErr w:type="spellEnd"/>
      <w:r w:rsidRPr="00C01AE6">
        <w:rPr>
          <w:sz w:val="22"/>
          <w:szCs w:val="22"/>
          <w:lang w:val="sr-Latn-ME"/>
        </w:rPr>
        <w:t xml:space="preserve"> u dozi od 3 mg/kg, a zatim </w:t>
      </w:r>
      <w:proofErr w:type="spellStart"/>
      <w:r w:rsidR="00B3559F" w:rsidRPr="00C01AE6">
        <w:rPr>
          <w:sz w:val="22"/>
          <w:szCs w:val="22"/>
          <w:lang w:val="sr-Latn-ME"/>
        </w:rPr>
        <w:t>subkut</w:t>
      </w:r>
      <w:r w:rsidRPr="00C01AE6">
        <w:rPr>
          <w:sz w:val="22"/>
          <w:szCs w:val="22"/>
          <w:lang w:val="sr-Latn-ME"/>
        </w:rPr>
        <w:t>ano</w:t>
      </w:r>
      <w:proofErr w:type="spellEnd"/>
      <w:r w:rsidRPr="00C01AE6">
        <w:rPr>
          <w:sz w:val="22"/>
          <w:szCs w:val="22"/>
          <w:lang w:val="sr-Latn-ME"/>
        </w:rPr>
        <w:t xml:space="preserve"> 3 doze od 2 mg/kg u ned</w:t>
      </w:r>
      <w:r w:rsidR="00D238E2" w:rsidRPr="00C01AE6">
        <w:rPr>
          <w:sz w:val="22"/>
          <w:szCs w:val="22"/>
          <w:lang w:val="sr-Latn-ME"/>
        </w:rPr>
        <w:t>j</w:t>
      </w:r>
      <w:r w:rsidRPr="00C01AE6">
        <w:rPr>
          <w:sz w:val="22"/>
          <w:szCs w:val="22"/>
          <w:lang w:val="sr-Latn-ME"/>
        </w:rPr>
        <w:t xml:space="preserve">eljnim intervalima od 2. do 4. </w:t>
      </w:r>
      <w:proofErr w:type="spellStart"/>
      <w:r w:rsidRPr="00C01AE6">
        <w:rPr>
          <w:sz w:val="22"/>
          <w:szCs w:val="22"/>
          <w:lang w:val="sr-Latn-ME"/>
        </w:rPr>
        <w:t>nedelje</w:t>
      </w:r>
      <w:proofErr w:type="spellEnd"/>
      <w:r w:rsidRPr="00C01AE6">
        <w:rPr>
          <w:sz w:val="22"/>
          <w:szCs w:val="22"/>
          <w:lang w:val="sr-Latn-ME"/>
        </w:rPr>
        <w:t xml:space="preserve">. Nakon </w:t>
      </w:r>
      <w:proofErr w:type="spellStart"/>
      <w:r w:rsidRPr="00C01AE6">
        <w:rPr>
          <w:sz w:val="22"/>
          <w:szCs w:val="22"/>
          <w:lang w:val="sr-Latn-ME"/>
        </w:rPr>
        <w:t>intravenske</w:t>
      </w:r>
      <w:proofErr w:type="spellEnd"/>
      <w:r w:rsidRPr="00C01AE6">
        <w:rPr>
          <w:sz w:val="22"/>
          <w:szCs w:val="22"/>
          <w:lang w:val="sr-Latn-ME"/>
        </w:rPr>
        <w:t xml:space="preserve"> infuzije 3 mg/kg tokom 1,08 sati, </w:t>
      </w:r>
      <w:proofErr w:type="spellStart"/>
      <w:r w:rsidRPr="00C01AE6">
        <w:rPr>
          <w:sz w:val="22"/>
          <w:szCs w:val="22"/>
          <w:lang w:val="sr-Latn-ME"/>
        </w:rPr>
        <w:t>medijana</w:t>
      </w:r>
      <w:proofErr w:type="spellEnd"/>
      <w:r w:rsidRPr="00C01AE6">
        <w:rPr>
          <w:sz w:val="22"/>
          <w:szCs w:val="22"/>
          <w:lang w:val="sr-Latn-ME"/>
        </w:rPr>
        <w:t xml:space="preserve"> </w:t>
      </w:r>
      <w:proofErr w:type="spellStart"/>
      <w:r w:rsidR="005B26E6" w:rsidRPr="00C01AE6">
        <w:rPr>
          <w:sz w:val="22"/>
          <w:szCs w:val="22"/>
          <w:lang w:val="sr-Latn-ME"/>
        </w:rPr>
        <w:t>vremena</w:t>
      </w:r>
      <w:proofErr w:type="spellEnd"/>
      <w:r w:rsidRPr="00C01AE6">
        <w:rPr>
          <w:sz w:val="22"/>
          <w:szCs w:val="22"/>
          <w:lang w:val="sr-Latn-ME"/>
        </w:rPr>
        <w:t xml:space="preserve"> (</w:t>
      </w:r>
      <w:proofErr w:type="spellStart"/>
      <w:r w:rsidRPr="00C01AE6">
        <w:rPr>
          <w:sz w:val="22"/>
          <w:szCs w:val="22"/>
          <w:lang w:val="sr-Latn-ME"/>
        </w:rPr>
        <w:t>Tmax</w:t>
      </w:r>
      <w:proofErr w:type="spellEnd"/>
      <w:r w:rsidRPr="00C01AE6">
        <w:rPr>
          <w:sz w:val="22"/>
          <w:szCs w:val="22"/>
          <w:lang w:val="sr-Latn-ME"/>
        </w:rPr>
        <w:t xml:space="preserve">) kretala se između 1,25 do 1,50 sati, a srednja </w:t>
      </w:r>
      <w:r w:rsidR="005B26E6" w:rsidRPr="00C01AE6">
        <w:rPr>
          <w:sz w:val="22"/>
          <w:szCs w:val="22"/>
          <w:lang w:val="sr-Latn-ME"/>
        </w:rPr>
        <w:t>vrijednost</w:t>
      </w:r>
      <w:r w:rsidRPr="00C01AE6">
        <w:rPr>
          <w:sz w:val="22"/>
          <w:szCs w:val="22"/>
          <w:lang w:val="sr-Latn-ME"/>
        </w:rPr>
        <w:t xml:space="preserve"> (</w:t>
      </w:r>
      <w:proofErr w:type="spellStart"/>
      <w:r w:rsidRPr="00C01AE6">
        <w:rPr>
          <w:sz w:val="22"/>
          <w:szCs w:val="22"/>
          <w:lang w:val="sr-Latn-ME"/>
        </w:rPr>
        <w:t>SD</w:t>
      </w:r>
      <w:proofErr w:type="spellEnd"/>
      <w:r w:rsidRPr="00C01AE6">
        <w:rPr>
          <w:sz w:val="22"/>
          <w:szCs w:val="22"/>
          <w:lang w:val="sr-Latn-ME"/>
        </w:rPr>
        <w:t xml:space="preserve">) </w:t>
      </w:r>
      <w:proofErr w:type="spellStart"/>
      <w:r w:rsidRPr="00C01AE6">
        <w:rPr>
          <w:sz w:val="22"/>
          <w:szCs w:val="22"/>
          <w:lang w:val="sr-Latn-ME"/>
        </w:rPr>
        <w:t>Cmax</w:t>
      </w:r>
      <w:proofErr w:type="spellEnd"/>
      <w:r w:rsidRPr="00C01AE6">
        <w:rPr>
          <w:sz w:val="22"/>
          <w:szCs w:val="22"/>
          <w:lang w:val="sr-Latn-ME"/>
        </w:rPr>
        <w:t xml:space="preserve"> između 42694 (8443) i 46890 (6635) U/L u ispitivanim kohortama. Apsolutna </w:t>
      </w:r>
      <w:proofErr w:type="spellStart"/>
      <w:r w:rsidRPr="00C01AE6">
        <w:rPr>
          <w:sz w:val="22"/>
          <w:szCs w:val="22"/>
          <w:lang w:val="sr-Latn-ME"/>
        </w:rPr>
        <w:t>bioraspoloživost</w:t>
      </w:r>
      <w:proofErr w:type="spellEnd"/>
      <w:r w:rsidRPr="00C01AE6">
        <w:rPr>
          <w:sz w:val="22"/>
          <w:szCs w:val="22"/>
          <w:lang w:val="sr-Latn-ME"/>
        </w:rPr>
        <w:t xml:space="preserve"> nakon prve i treće </w:t>
      </w:r>
      <w:proofErr w:type="spellStart"/>
      <w:r w:rsidR="00B3559F" w:rsidRPr="00C01AE6">
        <w:rPr>
          <w:sz w:val="22"/>
          <w:szCs w:val="22"/>
          <w:lang w:val="sr-Latn-ME"/>
        </w:rPr>
        <w:t>subkut</w:t>
      </w:r>
      <w:r w:rsidRPr="00C01AE6">
        <w:rPr>
          <w:sz w:val="22"/>
          <w:szCs w:val="22"/>
          <w:lang w:val="sr-Latn-ME"/>
        </w:rPr>
        <w:t>ane</w:t>
      </w:r>
      <w:proofErr w:type="spellEnd"/>
      <w:r w:rsidRPr="00C01AE6">
        <w:rPr>
          <w:sz w:val="22"/>
          <w:szCs w:val="22"/>
          <w:lang w:val="sr-Latn-ME"/>
        </w:rPr>
        <w:t xml:space="preserve"> </w:t>
      </w:r>
      <w:r w:rsidR="00BA210B" w:rsidRPr="00C01AE6">
        <w:rPr>
          <w:sz w:val="22"/>
          <w:szCs w:val="22"/>
          <w:lang w:val="sr-Latn-ME"/>
        </w:rPr>
        <w:t>primjen</w:t>
      </w:r>
      <w:r w:rsidRPr="00C01AE6">
        <w:rPr>
          <w:sz w:val="22"/>
          <w:szCs w:val="22"/>
          <w:lang w:val="sr-Latn-ME"/>
        </w:rPr>
        <w:t xml:space="preserve">e kretala se u rasponu od 45,8% do 98,4%, sa </w:t>
      </w:r>
      <w:proofErr w:type="spellStart"/>
      <w:r w:rsidRPr="00C01AE6">
        <w:rPr>
          <w:sz w:val="22"/>
          <w:szCs w:val="22"/>
          <w:lang w:val="sr-Latn-ME"/>
        </w:rPr>
        <w:t>medijanom</w:t>
      </w:r>
      <w:proofErr w:type="spellEnd"/>
      <w:r w:rsidRPr="00C01AE6">
        <w:rPr>
          <w:sz w:val="22"/>
          <w:szCs w:val="22"/>
          <w:lang w:val="sr-Latn-ME"/>
        </w:rPr>
        <w:t xml:space="preserve"> </w:t>
      </w:r>
      <w:proofErr w:type="spellStart"/>
      <w:r w:rsidRPr="00C01AE6">
        <w:rPr>
          <w:sz w:val="22"/>
          <w:szCs w:val="22"/>
          <w:lang w:val="sr-Latn-ME"/>
        </w:rPr>
        <w:t>Tmax</w:t>
      </w:r>
      <w:proofErr w:type="spellEnd"/>
      <w:r w:rsidRPr="00C01AE6">
        <w:rPr>
          <w:sz w:val="22"/>
          <w:szCs w:val="22"/>
          <w:lang w:val="sr-Latn-ME"/>
        </w:rPr>
        <w:t xml:space="preserve"> između 24,2 i 48,1 sat. Nakon </w:t>
      </w:r>
      <w:proofErr w:type="spellStart"/>
      <w:r w:rsidR="00B3559F" w:rsidRPr="00C01AE6">
        <w:rPr>
          <w:sz w:val="22"/>
          <w:szCs w:val="22"/>
          <w:lang w:val="sr-Latn-ME"/>
        </w:rPr>
        <w:t>subkut</w:t>
      </w:r>
      <w:r w:rsidRPr="00C01AE6">
        <w:rPr>
          <w:sz w:val="22"/>
          <w:szCs w:val="22"/>
          <w:lang w:val="sr-Latn-ME"/>
        </w:rPr>
        <w:t>ane</w:t>
      </w:r>
      <w:proofErr w:type="spellEnd"/>
      <w:r w:rsidRPr="00C01AE6">
        <w:rPr>
          <w:sz w:val="22"/>
          <w:szCs w:val="22"/>
          <w:lang w:val="sr-Latn-ME"/>
        </w:rPr>
        <w:t xml:space="preserve"> </w:t>
      </w:r>
      <w:r w:rsidR="00BA210B" w:rsidRPr="00C01AE6">
        <w:rPr>
          <w:sz w:val="22"/>
          <w:szCs w:val="22"/>
          <w:lang w:val="sr-Latn-ME"/>
        </w:rPr>
        <w:t>primjen</w:t>
      </w:r>
      <w:r w:rsidRPr="00C01AE6">
        <w:rPr>
          <w:sz w:val="22"/>
          <w:szCs w:val="22"/>
          <w:lang w:val="sr-Latn-ME"/>
        </w:rPr>
        <w:t xml:space="preserve">e od 1 mg/kg </w:t>
      </w:r>
      <w:proofErr w:type="spellStart"/>
      <w:r w:rsidRPr="00C01AE6">
        <w:rPr>
          <w:sz w:val="22"/>
          <w:szCs w:val="22"/>
          <w:lang w:val="sr-Latn-ME"/>
        </w:rPr>
        <w:t>nedeljno</w:t>
      </w:r>
      <w:proofErr w:type="spellEnd"/>
      <w:r w:rsidRPr="00C01AE6">
        <w:rPr>
          <w:sz w:val="22"/>
          <w:szCs w:val="22"/>
          <w:lang w:val="sr-Latn-ME"/>
        </w:rPr>
        <w:t xml:space="preserve">, srednja </w:t>
      </w:r>
      <w:r w:rsidR="005B26E6" w:rsidRPr="00C01AE6">
        <w:rPr>
          <w:sz w:val="22"/>
          <w:szCs w:val="22"/>
          <w:lang w:val="sr-Latn-ME"/>
        </w:rPr>
        <w:t>vrijednost</w:t>
      </w:r>
      <w:r w:rsidRPr="00C01AE6">
        <w:rPr>
          <w:sz w:val="22"/>
          <w:szCs w:val="22"/>
          <w:lang w:val="sr-Latn-ME"/>
        </w:rPr>
        <w:t xml:space="preserve"> (</w:t>
      </w:r>
      <w:proofErr w:type="spellStart"/>
      <w:r w:rsidRPr="00C01AE6">
        <w:rPr>
          <w:sz w:val="22"/>
          <w:szCs w:val="22"/>
          <w:lang w:val="sr-Latn-ME"/>
        </w:rPr>
        <w:t>SD</w:t>
      </w:r>
      <w:proofErr w:type="spellEnd"/>
      <w:r w:rsidRPr="00C01AE6">
        <w:rPr>
          <w:sz w:val="22"/>
          <w:szCs w:val="22"/>
          <w:lang w:val="sr-Latn-ME"/>
        </w:rPr>
        <w:t xml:space="preserve">) </w:t>
      </w:r>
      <w:r w:rsidR="00D238E2" w:rsidRPr="00C01AE6">
        <w:rPr>
          <w:sz w:val="22"/>
          <w:szCs w:val="22"/>
          <w:lang w:val="sr-Latn-ME"/>
        </w:rPr>
        <w:t>PIK</w:t>
      </w:r>
      <w:r w:rsidR="00190FE2" w:rsidRPr="00C01AE6">
        <w:rPr>
          <w:sz w:val="22"/>
          <w:szCs w:val="22"/>
          <w:lang w:val="sr-Latn-ME"/>
        </w:rPr>
        <w:t>-a</w:t>
      </w:r>
      <w:r w:rsidRPr="00C01AE6">
        <w:rPr>
          <w:sz w:val="22"/>
          <w:szCs w:val="22"/>
          <w:lang w:val="sr-Latn-ME"/>
        </w:rPr>
        <w:t xml:space="preserve"> kroz interval doziranja (</w:t>
      </w:r>
      <w:r w:rsidR="00D238E2" w:rsidRPr="00C01AE6">
        <w:rPr>
          <w:sz w:val="22"/>
          <w:szCs w:val="22"/>
          <w:lang w:val="sr-Latn-ME"/>
        </w:rPr>
        <w:t xml:space="preserve">PIK </w:t>
      </w:r>
      <w:proofErr w:type="spellStart"/>
      <w:r w:rsidR="00D238E2" w:rsidRPr="00C01AE6">
        <w:rPr>
          <w:sz w:val="22"/>
          <w:szCs w:val="22"/>
          <w:lang w:val="sr-Latn-ME"/>
        </w:rPr>
        <w:t>τj</w:t>
      </w:r>
      <w:proofErr w:type="spellEnd"/>
      <w:r w:rsidRPr="00C01AE6">
        <w:rPr>
          <w:sz w:val="22"/>
          <w:szCs w:val="22"/>
          <w:lang w:val="sr-Latn-ME"/>
        </w:rPr>
        <w:t xml:space="preserve">) u kohorti 1 bila je 66034 (19241) nakon prve doze odnosno 40444 (N = 1) U*h/L nakon treće doze. Nakon </w:t>
      </w:r>
      <w:proofErr w:type="spellStart"/>
      <w:r w:rsidR="00B3559F" w:rsidRPr="00C01AE6">
        <w:rPr>
          <w:sz w:val="22"/>
          <w:szCs w:val="22"/>
          <w:lang w:val="sr-Latn-ME"/>
        </w:rPr>
        <w:t>subkut</w:t>
      </w:r>
      <w:r w:rsidRPr="00C01AE6">
        <w:rPr>
          <w:sz w:val="22"/>
          <w:szCs w:val="22"/>
          <w:lang w:val="sr-Latn-ME"/>
        </w:rPr>
        <w:t>ane</w:t>
      </w:r>
      <w:proofErr w:type="spellEnd"/>
      <w:r w:rsidRPr="00C01AE6">
        <w:rPr>
          <w:sz w:val="22"/>
          <w:szCs w:val="22"/>
          <w:lang w:val="sr-Latn-ME"/>
        </w:rPr>
        <w:t xml:space="preserve"> </w:t>
      </w:r>
      <w:r w:rsidR="00BA210B" w:rsidRPr="00C01AE6">
        <w:rPr>
          <w:sz w:val="22"/>
          <w:szCs w:val="22"/>
          <w:lang w:val="sr-Latn-ME"/>
        </w:rPr>
        <w:t>primjen</w:t>
      </w:r>
      <w:r w:rsidRPr="00C01AE6">
        <w:rPr>
          <w:sz w:val="22"/>
          <w:szCs w:val="22"/>
          <w:lang w:val="sr-Latn-ME"/>
        </w:rPr>
        <w:t>e od 2 mg/kg ned</w:t>
      </w:r>
      <w:r w:rsidR="00D238E2" w:rsidRPr="00C01AE6">
        <w:rPr>
          <w:sz w:val="22"/>
          <w:szCs w:val="22"/>
          <w:lang w:val="sr-Latn-ME"/>
        </w:rPr>
        <w:t>j</w:t>
      </w:r>
      <w:r w:rsidRPr="00C01AE6">
        <w:rPr>
          <w:sz w:val="22"/>
          <w:szCs w:val="22"/>
          <w:lang w:val="sr-Latn-ME"/>
        </w:rPr>
        <w:t xml:space="preserve">eljno u kohorti 2, srednja </w:t>
      </w:r>
      <w:r w:rsidR="005B26E6" w:rsidRPr="00C01AE6">
        <w:rPr>
          <w:sz w:val="22"/>
          <w:szCs w:val="22"/>
          <w:lang w:val="sr-Latn-ME"/>
        </w:rPr>
        <w:t>vrijednost</w:t>
      </w:r>
      <w:r w:rsidRPr="00C01AE6">
        <w:rPr>
          <w:sz w:val="22"/>
          <w:szCs w:val="22"/>
          <w:lang w:val="sr-Latn-ME"/>
        </w:rPr>
        <w:t xml:space="preserve"> (</w:t>
      </w:r>
      <w:proofErr w:type="spellStart"/>
      <w:r w:rsidRPr="00C01AE6">
        <w:rPr>
          <w:sz w:val="22"/>
          <w:szCs w:val="22"/>
          <w:lang w:val="sr-Latn-ME"/>
        </w:rPr>
        <w:t>SD</w:t>
      </w:r>
      <w:proofErr w:type="spellEnd"/>
      <w:r w:rsidRPr="00C01AE6">
        <w:rPr>
          <w:sz w:val="22"/>
          <w:szCs w:val="22"/>
          <w:lang w:val="sr-Latn-ME"/>
        </w:rPr>
        <w:t xml:space="preserve">) </w:t>
      </w:r>
      <w:proofErr w:type="spellStart"/>
      <w:r w:rsidR="00D238E2" w:rsidRPr="00C01AE6">
        <w:rPr>
          <w:sz w:val="22"/>
          <w:szCs w:val="22"/>
          <w:lang w:val="sr-Latn-ME"/>
        </w:rPr>
        <w:t>PIKτ</w:t>
      </w:r>
      <w:proofErr w:type="spellEnd"/>
      <w:r w:rsidR="00304C7C" w:rsidRPr="00C01AE6">
        <w:rPr>
          <w:sz w:val="22"/>
          <w:szCs w:val="22"/>
          <w:lang w:val="sr-Latn-ME"/>
        </w:rPr>
        <w:t>-a</w:t>
      </w:r>
      <w:r w:rsidRPr="00C01AE6">
        <w:rPr>
          <w:sz w:val="22"/>
          <w:szCs w:val="22"/>
          <w:lang w:val="sr-Latn-ME"/>
        </w:rPr>
        <w:t xml:space="preserve"> bila je 138595 (6958) nakon prve doze odnosno 136109 (41875) nakon treće doze.</w:t>
      </w:r>
    </w:p>
    <w:p w14:paraId="363F585C" w14:textId="77777777" w:rsidR="00D36EE8" w:rsidRPr="00C01AE6" w:rsidRDefault="00D36EE8" w:rsidP="00655C9D">
      <w:pPr>
        <w:widowControl w:val="0"/>
        <w:autoSpaceDE w:val="0"/>
        <w:autoSpaceDN w:val="0"/>
        <w:spacing w:line="247" w:lineRule="auto"/>
        <w:jc w:val="both"/>
        <w:rPr>
          <w:sz w:val="22"/>
          <w:szCs w:val="22"/>
          <w:lang w:val="sr-Latn-ME"/>
        </w:rPr>
      </w:pPr>
    </w:p>
    <w:p w14:paraId="59E7FEF4" w14:textId="689715AE" w:rsidR="007F2902" w:rsidRPr="00C01AE6" w:rsidRDefault="007F2902" w:rsidP="00C01AE6">
      <w:pPr>
        <w:widowControl w:val="0"/>
        <w:autoSpaceDE w:val="0"/>
        <w:autoSpaceDN w:val="0"/>
        <w:spacing w:line="247" w:lineRule="auto"/>
        <w:ind w:right="1"/>
        <w:jc w:val="both"/>
        <w:rPr>
          <w:sz w:val="22"/>
          <w:szCs w:val="22"/>
          <w:lang w:val="sr-Latn-ME"/>
        </w:rPr>
      </w:pPr>
      <w:proofErr w:type="spellStart"/>
      <w:r w:rsidRPr="00C01AE6">
        <w:rPr>
          <w:sz w:val="22"/>
          <w:szCs w:val="22"/>
          <w:lang w:val="sr-Latn-ME"/>
        </w:rPr>
        <w:t>Farmakokinetički</w:t>
      </w:r>
      <w:proofErr w:type="spellEnd"/>
      <w:r w:rsidRPr="00C01AE6">
        <w:rPr>
          <w:sz w:val="22"/>
          <w:szCs w:val="22"/>
          <w:lang w:val="sr-Latn-ME"/>
        </w:rPr>
        <w:t xml:space="preserve"> podaci iz kliničkih ispitivanja </w:t>
      </w:r>
      <w:proofErr w:type="spellStart"/>
      <w:r w:rsidRPr="00C01AE6">
        <w:rPr>
          <w:sz w:val="22"/>
          <w:szCs w:val="22"/>
          <w:lang w:val="sr-Latn-ME"/>
        </w:rPr>
        <w:t>asfotaze</w:t>
      </w:r>
      <w:proofErr w:type="spellEnd"/>
      <w:r w:rsidRPr="00C01AE6">
        <w:rPr>
          <w:sz w:val="22"/>
          <w:szCs w:val="22"/>
          <w:lang w:val="sr-Latn-ME"/>
        </w:rPr>
        <w:t xml:space="preserve"> alfa analizirani su </w:t>
      </w:r>
      <w:r w:rsidR="00BA210B" w:rsidRPr="00C01AE6">
        <w:rPr>
          <w:sz w:val="22"/>
          <w:szCs w:val="22"/>
          <w:lang w:val="sr-Latn-ME"/>
        </w:rPr>
        <w:t>primjen</w:t>
      </w:r>
      <w:r w:rsidRPr="00C01AE6">
        <w:rPr>
          <w:sz w:val="22"/>
          <w:szCs w:val="22"/>
          <w:lang w:val="sr-Latn-ME"/>
        </w:rPr>
        <w:t xml:space="preserve">om metoda analize populacione </w:t>
      </w:r>
      <w:proofErr w:type="spellStart"/>
      <w:r w:rsidRPr="00C01AE6">
        <w:rPr>
          <w:sz w:val="22"/>
          <w:szCs w:val="22"/>
          <w:lang w:val="sr-Latn-ME"/>
        </w:rPr>
        <w:t>farmakokinetike</w:t>
      </w:r>
      <w:proofErr w:type="spellEnd"/>
      <w:r w:rsidRPr="00C01AE6">
        <w:rPr>
          <w:sz w:val="22"/>
          <w:szCs w:val="22"/>
          <w:lang w:val="sr-Latn-ME"/>
        </w:rPr>
        <w:t xml:space="preserve">. </w:t>
      </w:r>
      <w:proofErr w:type="spellStart"/>
      <w:r w:rsidRPr="00C01AE6">
        <w:rPr>
          <w:sz w:val="22"/>
          <w:szCs w:val="22"/>
          <w:lang w:val="sr-Latn-ME"/>
        </w:rPr>
        <w:t>Farmakokinetičke</w:t>
      </w:r>
      <w:proofErr w:type="spellEnd"/>
      <w:r w:rsidRPr="00C01AE6">
        <w:rPr>
          <w:sz w:val="22"/>
          <w:szCs w:val="22"/>
          <w:lang w:val="sr-Latn-ME"/>
        </w:rPr>
        <w:t xml:space="preserve"> varijable opisane analizom populacione </w:t>
      </w:r>
      <w:proofErr w:type="spellStart"/>
      <w:r w:rsidRPr="00C01AE6">
        <w:rPr>
          <w:sz w:val="22"/>
          <w:szCs w:val="22"/>
          <w:lang w:val="sr-Latn-ME"/>
        </w:rPr>
        <w:t>farmakokinetike</w:t>
      </w:r>
      <w:proofErr w:type="spellEnd"/>
      <w:r w:rsidRPr="00C01AE6">
        <w:rPr>
          <w:sz w:val="22"/>
          <w:szCs w:val="22"/>
          <w:lang w:val="sr-Latn-ME"/>
        </w:rPr>
        <w:t xml:space="preserve"> predstavljaju sveukupnu populaciju pacijenata sa </w:t>
      </w:r>
      <w:proofErr w:type="spellStart"/>
      <w:r w:rsidRPr="00C01AE6">
        <w:rPr>
          <w:sz w:val="22"/>
          <w:szCs w:val="22"/>
          <w:lang w:val="sr-Latn-ME"/>
        </w:rPr>
        <w:t>hipofosfatazijom</w:t>
      </w:r>
      <w:proofErr w:type="spellEnd"/>
      <w:r w:rsidRPr="00C01AE6">
        <w:rPr>
          <w:sz w:val="22"/>
          <w:szCs w:val="22"/>
          <w:lang w:val="sr-Latn-ME"/>
        </w:rPr>
        <w:t xml:space="preserve"> u rasponu uzrasta od 1 dan do 66 godina, </w:t>
      </w:r>
      <w:proofErr w:type="spellStart"/>
      <w:r w:rsidR="00B3559F" w:rsidRPr="00C01AE6">
        <w:rPr>
          <w:sz w:val="22"/>
          <w:szCs w:val="22"/>
          <w:lang w:val="sr-Latn-ME"/>
        </w:rPr>
        <w:t>subkut</w:t>
      </w:r>
      <w:r w:rsidRPr="00C01AE6">
        <w:rPr>
          <w:sz w:val="22"/>
          <w:szCs w:val="22"/>
          <w:lang w:val="sr-Latn-ME"/>
        </w:rPr>
        <w:t>ano</w:t>
      </w:r>
      <w:proofErr w:type="spellEnd"/>
      <w:r w:rsidRPr="00C01AE6">
        <w:rPr>
          <w:sz w:val="22"/>
          <w:szCs w:val="22"/>
          <w:lang w:val="sr-Latn-ME"/>
        </w:rPr>
        <w:t xml:space="preserve"> </w:t>
      </w:r>
      <w:proofErr w:type="spellStart"/>
      <w:r w:rsidR="00BA210B" w:rsidRPr="00C01AE6">
        <w:rPr>
          <w:sz w:val="22"/>
          <w:szCs w:val="22"/>
          <w:lang w:val="sr-Latn-ME"/>
        </w:rPr>
        <w:t>primjen</w:t>
      </w:r>
      <w:r w:rsidRPr="00C01AE6">
        <w:rPr>
          <w:sz w:val="22"/>
          <w:szCs w:val="22"/>
          <w:lang w:val="sr-Latn-ME"/>
        </w:rPr>
        <w:t>jenim</w:t>
      </w:r>
      <w:proofErr w:type="spellEnd"/>
      <w:r w:rsidRPr="00C01AE6">
        <w:rPr>
          <w:sz w:val="22"/>
          <w:szCs w:val="22"/>
          <w:lang w:val="sr-Latn-ME"/>
        </w:rPr>
        <w:t xml:space="preserve"> dozama do 28 mg/kg ned</w:t>
      </w:r>
      <w:r w:rsidR="00992B09" w:rsidRPr="00C01AE6">
        <w:rPr>
          <w:sz w:val="22"/>
          <w:szCs w:val="22"/>
          <w:lang w:val="sr-Latn-ME"/>
        </w:rPr>
        <w:t>j</w:t>
      </w:r>
      <w:r w:rsidRPr="00C01AE6">
        <w:rPr>
          <w:sz w:val="22"/>
          <w:szCs w:val="22"/>
          <w:lang w:val="sr-Latn-ME"/>
        </w:rPr>
        <w:t xml:space="preserve">eljno i rasponom oblika bolesti po kohortama. Od sveukupne populacije pacijenata 25% (15 pacijenata od 60) bili su odrasli (uzrasta od &gt; 18 godina) na početku. Nakon </w:t>
      </w:r>
      <w:proofErr w:type="spellStart"/>
      <w:r w:rsidR="00B3559F" w:rsidRPr="00C01AE6">
        <w:rPr>
          <w:sz w:val="22"/>
          <w:szCs w:val="22"/>
          <w:lang w:val="sr-Latn-ME"/>
        </w:rPr>
        <w:t>subkut</w:t>
      </w:r>
      <w:r w:rsidRPr="00C01AE6">
        <w:rPr>
          <w:sz w:val="22"/>
          <w:szCs w:val="22"/>
          <w:lang w:val="sr-Latn-ME"/>
        </w:rPr>
        <w:t>ane</w:t>
      </w:r>
      <w:proofErr w:type="spellEnd"/>
      <w:r w:rsidRPr="00C01AE6">
        <w:rPr>
          <w:sz w:val="22"/>
          <w:szCs w:val="22"/>
          <w:lang w:val="sr-Latn-ME"/>
        </w:rPr>
        <w:t xml:space="preserve"> </w:t>
      </w:r>
      <w:r w:rsidR="00BA210B" w:rsidRPr="00C01AE6">
        <w:rPr>
          <w:sz w:val="22"/>
          <w:szCs w:val="22"/>
          <w:lang w:val="sr-Latn-ME"/>
        </w:rPr>
        <w:t>primjen</w:t>
      </w:r>
      <w:r w:rsidRPr="00C01AE6">
        <w:rPr>
          <w:sz w:val="22"/>
          <w:szCs w:val="22"/>
          <w:lang w:val="sr-Latn-ME"/>
        </w:rPr>
        <w:t>e, proc</w:t>
      </w:r>
      <w:r w:rsidR="005B26E6" w:rsidRPr="00C01AE6">
        <w:rPr>
          <w:sz w:val="22"/>
          <w:szCs w:val="22"/>
          <w:lang w:val="sr-Latn-ME"/>
        </w:rPr>
        <w:t>ij</w:t>
      </w:r>
      <w:r w:rsidRPr="00C01AE6">
        <w:rPr>
          <w:sz w:val="22"/>
          <w:szCs w:val="22"/>
          <w:lang w:val="sr-Latn-ME"/>
        </w:rPr>
        <w:t xml:space="preserve">enjena apsolutna </w:t>
      </w:r>
      <w:proofErr w:type="spellStart"/>
      <w:r w:rsidRPr="00C01AE6">
        <w:rPr>
          <w:sz w:val="22"/>
          <w:szCs w:val="22"/>
          <w:lang w:val="sr-Latn-ME"/>
        </w:rPr>
        <w:t>bioraspoloživost</w:t>
      </w:r>
      <w:proofErr w:type="spellEnd"/>
      <w:r w:rsidRPr="00C01AE6">
        <w:rPr>
          <w:sz w:val="22"/>
          <w:szCs w:val="22"/>
          <w:lang w:val="sr-Latn-ME"/>
        </w:rPr>
        <w:t xml:space="preserve"> iznosila je 0,602 (95% CI: 0,567; 0,638) ili 60,2%, a brzina apsorpcije 0,572 (95% CI: 0,338, 0,967) na dan odnosno 57,2%. Proc</w:t>
      </w:r>
      <w:r w:rsidR="005B26E6" w:rsidRPr="00C01AE6">
        <w:rPr>
          <w:sz w:val="22"/>
          <w:szCs w:val="22"/>
          <w:lang w:val="sr-Latn-ME"/>
        </w:rPr>
        <w:t>j</w:t>
      </w:r>
      <w:r w:rsidRPr="00C01AE6">
        <w:rPr>
          <w:sz w:val="22"/>
          <w:szCs w:val="22"/>
          <w:lang w:val="sr-Latn-ME"/>
        </w:rPr>
        <w:t xml:space="preserve">ene za centralni i periferni volumen distribucije kod pacijenata sa </w:t>
      </w:r>
      <w:r w:rsidR="00BA210B" w:rsidRPr="00C01AE6">
        <w:rPr>
          <w:sz w:val="22"/>
          <w:szCs w:val="22"/>
          <w:lang w:val="sr-Latn-ME"/>
        </w:rPr>
        <w:t>tjelesn</w:t>
      </w:r>
      <w:r w:rsidRPr="00C01AE6">
        <w:rPr>
          <w:sz w:val="22"/>
          <w:szCs w:val="22"/>
          <w:lang w:val="sr-Latn-ME"/>
        </w:rPr>
        <w:t>om masom od 70 kg (i 95% CI) bile su 5,66 l (2,76; 11,6), odnosno 44,8 l (33,2; 60,5). Proc</w:t>
      </w:r>
      <w:r w:rsidR="005B26E6" w:rsidRPr="00C01AE6">
        <w:rPr>
          <w:sz w:val="22"/>
          <w:szCs w:val="22"/>
          <w:lang w:val="sr-Latn-ME"/>
        </w:rPr>
        <w:t>j</w:t>
      </w:r>
      <w:r w:rsidRPr="00C01AE6">
        <w:rPr>
          <w:sz w:val="22"/>
          <w:szCs w:val="22"/>
          <w:lang w:val="sr-Latn-ME"/>
        </w:rPr>
        <w:t xml:space="preserve">ene za centralni i periferni </w:t>
      </w:r>
      <w:proofErr w:type="spellStart"/>
      <w:r w:rsidRPr="00C01AE6">
        <w:rPr>
          <w:sz w:val="22"/>
          <w:szCs w:val="22"/>
          <w:lang w:val="sr-Latn-ME"/>
        </w:rPr>
        <w:t>klirens</w:t>
      </w:r>
      <w:proofErr w:type="spellEnd"/>
      <w:r w:rsidRPr="00C01AE6">
        <w:rPr>
          <w:sz w:val="22"/>
          <w:szCs w:val="22"/>
          <w:lang w:val="sr-Latn-ME"/>
        </w:rPr>
        <w:t xml:space="preserve"> kod pacijenata sa </w:t>
      </w:r>
      <w:r w:rsidR="00BA210B" w:rsidRPr="00C01AE6">
        <w:rPr>
          <w:sz w:val="22"/>
          <w:szCs w:val="22"/>
          <w:lang w:val="sr-Latn-ME"/>
        </w:rPr>
        <w:t>tjelesn</w:t>
      </w:r>
      <w:r w:rsidRPr="00C01AE6">
        <w:rPr>
          <w:sz w:val="22"/>
          <w:szCs w:val="22"/>
          <w:lang w:val="sr-Latn-ME"/>
        </w:rPr>
        <w:t xml:space="preserve">om masom od 70 kg (i 95% CI) bile su 15,8 l (13,2; 18,9) na dan, odnosno 51,9 l (44,0; 61,2) na dan. </w:t>
      </w:r>
      <w:proofErr w:type="spellStart"/>
      <w:r w:rsidRPr="00C01AE6">
        <w:rPr>
          <w:sz w:val="22"/>
          <w:szCs w:val="22"/>
          <w:lang w:val="sr-Latn-ME"/>
        </w:rPr>
        <w:t>Ekstrinzični</w:t>
      </w:r>
      <w:proofErr w:type="spellEnd"/>
      <w:r w:rsidRPr="00C01AE6">
        <w:rPr>
          <w:sz w:val="22"/>
          <w:szCs w:val="22"/>
          <w:lang w:val="sr-Latn-ME"/>
        </w:rPr>
        <w:t xml:space="preserve"> faktori koji su uticali na </w:t>
      </w:r>
      <w:proofErr w:type="spellStart"/>
      <w:r w:rsidRPr="00C01AE6">
        <w:rPr>
          <w:sz w:val="22"/>
          <w:szCs w:val="22"/>
          <w:lang w:val="sr-Latn-ME"/>
        </w:rPr>
        <w:t>farmakokinetičke</w:t>
      </w:r>
      <w:proofErr w:type="spellEnd"/>
      <w:r w:rsidRPr="00C01AE6">
        <w:rPr>
          <w:sz w:val="22"/>
          <w:szCs w:val="22"/>
          <w:lang w:val="sr-Latn-ME"/>
        </w:rPr>
        <w:t xml:space="preserve"> izloženosti </w:t>
      </w:r>
      <w:proofErr w:type="spellStart"/>
      <w:r w:rsidRPr="00C01AE6">
        <w:rPr>
          <w:sz w:val="22"/>
          <w:szCs w:val="22"/>
          <w:lang w:val="sr-Latn-ME"/>
        </w:rPr>
        <w:t>asfotazi</w:t>
      </w:r>
      <w:proofErr w:type="spellEnd"/>
      <w:r w:rsidRPr="00C01AE6">
        <w:rPr>
          <w:sz w:val="22"/>
          <w:szCs w:val="22"/>
          <w:lang w:val="sr-Latn-ME"/>
        </w:rPr>
        <w:t xml:space="preserve"> alfa bili su specifična aktivnost formulacije i ukupni sadržaj </w:t>
      </w:r>
      <w:proofErr w:type="spellStart"/>
      <w:r w:rsidRPr="00C01AE6">
        <w:rPr>
          <w:sz w:val="22"/>
          <w:szCs w:val="22"/>
          <w:lang w:val="sr-Latn-ME"/>
        </w:rPr>
        <w:t>sijalinske</w:t>
      </w:r>
      <w:proofErr w:type="spellEnd"/>
      <w:r w:rsidRPr="00C01AE6">
        <w:rPr>
          <w:sz w:val="22"/>
          <w:szCs w:val="22"/>
          <w:lang w:val="sr-Latn-ME"/>
        </w:rPr>
        <w:t xml:space="preserve"> </w:t>
      </w:r>
      <w:proofErr w:type="spellStart"/>
      <w:r w:rsidRPr="00C01AE6">
        <w:rPr>
          <w:sz w:val="22"/>
          <w:szCs w:val="22"/>
          <w:lang w:val="sr-Latn-ME"/>
        </w:rPr>
        <w:t>kis</w:t>
      </w:r>
      <w:r w:rsidR="005B26E6" w:rsidRPr="00C01AE6">
        <w:rPr>
          <w:sz w:val="22"/>
          <w:szCs w:val="22"/>
          <w:lang w:val="sr-Latn-ME"/>
        </w:rPr>
        <w:t>j</w:t>
      </w:r>
      <w:r w:rsidRPr="00C01AE6">
        <w:rPr>
          <w:sz w:val="22"/>
          <w:szCs w:val="22"/>
          <w:lang w:val="sr-Latn-ME"/>
        </w:rPr>
        <w:t>eline</w:t>
      </w:r>
      <w:proofErr w:type="spellEnd"/>
      <w:r w:rsidRPr="00C01AE6">
        <w:rPr>
          <w:sz w:val="22"/>
          <w:szCs w:val="22"/>
          <w:lang w:val="sr-Latn-ME"/>
        </w:rPr>
        <w:t>. Pros</w:t>
      </w:r>
      <w:r w:rsidR="005B26E6" w:rsidRPr="00C01AE6">
        <w:rPr>
          <w:sz w:val="22"/>
          <w:szCs w:val="22"/>
          <w:lang w:val="sr-Latn-ME"/>
        </w:rPr>
        <w:t>j</w:t>
      </w:r>
      <w:r w:rsidRPr="00C01AE6">
        <w:rPr>
          <w:sz w:val="22"/>
          <w:szCs w:val="22"/>
          <w:lang w:val="sr-Latn-ME"/>
        </w:rPr>
        <w:t xml:space="preserve">ečni ± </w:t>
      </w:r>
      <w:proofErr w:type="spellStart"/>
      <w:r w:rsidRPr="00C01AE6">
        <w:rPr>
          <w:sz w:val="22"/>
          <w:szCs w:val="22"/>
          <w:lang w:val="sr-Latn-ME"/>
        </w:rPr>
        <w:t>SD</w:t>
      </w:r>
      <w:proofErr w:type="spellEnd"/>
      <w:r w:rsidRPr="00C01AE6">
        <w:rPr>
          <w:sz w:val="22"/>
          <w:szCs w:val="22"/>
          <w:lang w:val="sr-Latn-ME"/>
        </w:rPr>
        <w:t xml:space="preserve"> </w:t>
      </w:r>
      <w:r w:rsidR="00992B09" w:rsidRPr="00C01AE6">
        <w:rPr>
          <w:sz w:val="22"/>
          <w:szCs w:val="22"/>
          <w:lang w:val="sr-Latn-ME"/>
        </w:rPr>
        <w:t xml:space="preserve">poluvrijeme </w:t>
      </w:r>
      <w:r w:rsidRPr="00C01AE6">
        <w:rPr>
          <w:sz w:val="22"/>
          <w:szCs w:val="22"/>
          <w:lang w:val="sr-Latn-ME"/>
        </w:rPr>
        <w:t xml:space="preserve">eliminacije nakon </w:t>
      </w:r>
      <w:proofErr w:type="spellStart"/>
      <w:r w:rsidR="00B3559F" w:rsidRPr="00C01AE6">
        <w:rPr>
          <w:sz w:val="22"/>
          <w:szCs w:val="22"/>
          <w:lang w:val="sr-Latn-ME"/>
        </w:rPr>
        <w:t>subkut</w:t>
      </w:r>
      <w:r w:rsidRPr="00C01AE6">
        <w:rPr>
          <w:sz w:val="22"/>
          <w:szCs w:val="22"/>
          <w:lang w:val="sr-Latn-ME"/>
        </w:rPr>
        <w:t>ane</w:t>
      </w:r>
      <w:proofErr w:type="spellEnd"/>
      <w:r w:rsidRPr="00C01AE6">
        <w:rPr>
          <w:sz w:val="22"/>
          <w:szCs w:val="22"/>
          <w:lang w:val="sr-Latn-ME"/>
        </w:rPr>
        <w:t xml:space="preserve"> </w:t>
      </w:r>
      <w:r w:rsidR="00BA210B" w:rsidRPr="00C01AE6">
        <w:rPr>
          <w:sz w:val="22"/>
          <w:szCs w:val="22"/>
          <w:lang w:val="sr-Latn-ME"/>
        </w:rPr>
        <w:t>primjen</w:t>
      </w:r>
      <w:r w:rsidRPr="00C01AE6">
        <w:rPr>
          <w:sz w:val="22"/>
          <w:szCs w:val="22"/>
          <w:lang w:val="sr-Latn-ME"/>
        </w:rPr>
        <w:t>e iznosio je 2,28 ± 0,58 dana.</w:t>
      </w:r>
    </w:p>
    <w:p w14:paraId="342CBF17" w14:textId="78453735" w:rsidR="007F2902" w:rsidRPr="00C01AE6" w:rsidRDefault="007F2902" w:rsidP="00655C9D">
      <w:pPr>
        <w:widowControl w:val="0"/>
        <w:autoSpaceDE w:val="0"/>
        <w:autoSpaceDN w:val="0"/>
        <w:spacing w:line="247" w:lineRule="auto"/>
        <w:jc w:val="both"/>
        <w:rPr>
          <w:sz w:val="22"/>
          <w:szCs w:val="22"/>
          <w:lang w:val="sr-Latn-ME"/>
        </w:rPr>
      </w:pPr>
      <w:r w:rsidRPr="00C01AE6">
        <w:rPr>
          <w:sz w:val="22"/>
          <w:szCs w:val="22"/>
          <w:lang w:val="sr-Latn-ME"/>
        </w:rPr>
        <w:t xml:space="preserve">Kod odraslih pacijenata sa </w:t>
      </w:r>
      <w:proofErr w:type="spellStart"/>
      <w:r w:rsidRPr="00C01AE6">
        <w:rPr>
          <w:sz w:val="22"/>
          <w:szCs w:val="22"/>
          <w:lang w:val="sr-Latn-ME"/>
        </w:rPr>
        <w:t>hipofosfatazijom</w:t>
      </w:r>
      <w:proofErr w:type="spellEnd"/>
      <w:r w:rsidRPr="00C01AE6">
        <w:rPr>
          <w:sz w:val="22"/>
          <w:szCs w:val="22"/>
          <w:lang w:val="sr-Latn-ME"/>
        </w:rPr>
        <w:t xml:space="preserve"> sa početkom u pedijatrijskom periodu, </w:t>
      </w:r>
      <w:proofErr w:type="spellStart"/>
      <w:r w:rsidRPr="00C01AE6">
        <w:rPr>
          <w:sz w:val="22"/>
          <w:szCs w:val="22"/>
          <w:lang w:val="sr-Latn-ME"/>
        </w:rPr>
        <w:t>farmakokinetika</w:t>
      </w:r>
      <w:proofErr w:type="spellEnd"/>
      <w:r w:rsidRPr="00C01AE6">
        <w:rPr>
          <w:sz w:val="22"/>
          <w:szCs w:val="22"/>
          <w:lang w:val="sr-Latn-ME"/>
        </w:rPr>
        <w:t xml:space="preserve"> </w:t>
      </w:r>
      <w:proofErr w:type="spellStart"/>
      <w:r w:rsidRPr="00C01AE6">
        <w:rPr>
          <w:sz w:val="22"/>
          <w:szCs w:val="22"/>
          <w:lang w:val="sr-Latn-ME"/>
        </w:rPr>
        <w:t>asfotaze</w:t>
      </w:r>
      <w:proofErr w:type="spellEnd"/>
      <w:r w:rsidRPr="00C01AE6">
        <w:rPr>
          <w:sz w:val="22"/>
          <w:szCs w:val="22"/>
          <w:lang w:val="sr-Latn-ME"/>
        </w:rPr>
        <w:t xml:space="preserve"> alfa </w:t>
      </w:r>
      <w:proofErr w:type="spellStart"/>
      <w:r w:rsidR="00BA210B" w:rsidRPr="00C01AE6">
        <w:rPr>
          <w:sz w:val="22"/>
          <w:szCs w:val="22"/>
          <w:lang w:val="sr-Latn-ME"/>
        </w:rPr>
        <w:t>primjen</w:t>
      </w:r>
      <w:r w:rsidRPr="00C01AE6">
        <w:rPr>
          <w:sz w:val="22"/>
          <w:szCs w:val="22"/>
          <w:lang w:val="sr-Latn-ME"/>
        </w:rPr>
        <w:t>jene</w:t>
      </w:r>
      <w:proofErr w:type="spellEnd"/>
      <w:r w:rsidRPr="00C01AE6">
        <w:rPr>
          <w:sz w:val="22"/>
          <w:szCs w:val="22"/>
          <w:lang w:val="sr-Latn-ME"/>
        </w:rPr>
        <w:t xml:space="preserve"> tri puta ned</w:t>
      </w:r>
      <w:r w:rsidR="00992B09" w:rsidRPr="00C01AE6">
        <w:rPr>
          <w:sz w:val="22"/>
          <w:szCs w:val="22"/>
          <w:lang w:val="sr-Latn-ME"/>
        </w:rPr>
        <w:t>j</w:t>
      </w:r>
      <w:r w:rsidRPr="00C01AE6">
        <w:rPr>
          <w:sz w:val="22"/>
          <w:szCs w:val="22"/>
          <w:lang w:val="sr-Latn-ME"/>
        </w:rPr>
        <w:t xml:space="preserve">eljno u dozama od 0,5, 2 i 3 mg/kg bila je u skladu sa onom </w:t>
      </w:r>
      <w:proofErr w:type="spellStart"/>
      <w:r w:rsidR="00304C7C" w:rsidRPr="00C01AE6">
        <w:rPr>
          <w:sz w:val="22"/>
          <w:szCs w:val="22"/>
          <w:lang w:val="sr-Latn-ME"/>
        </w:rPr>
        <w:t>zabilježenom</w:t>
      </w:r>
      <w:proofErr w:type="spellEnd"/>
      <w:r w:rsidR="00304C7C" w:rsidRPr="00C01AE6">
        <w:rPr>
          <w:sz w:val="22"/>
          <w:szCs w:val="22"/>
          <w:lang w:val="sr-Latn-ME"/>
        </w:rPr>
        <w:t xml:space="preserve"> </w:t>
      </w:r>
      <w:r w:rsidRPr="00C01AE6">
        <w:rPr>
          <w:sz w:val="22"/>
          <w:szCs w:val="22"/>
          <w:lang w:val="sr-Latn-ME"/>
        </w:rPr>
        <w:t xml:space="preserve">kod pedijatrijskih pacijenata sa </w:t>
      </w:r>
      <w:proofErr w:type="spellStart"/>
      <w:r w:rsidRPr="00C01AE6">
        <w:rPr>
          <w:sz w:val="22"/>
          <w:szCs w:val="22"/>
          <w:lang w:val="sr-Latn-ME"/>
        </w:rPr>
        <w:t>hipofosfatazijom</w:t>
      </w:r>
      <w:proofErr w:type="spellEnd"/>
      <w:r w:rsidRPr="00C01AE6">
        <w:rPr>
          <w:sz w:val="22"/>
          <w:szCs w:val="22"/>
          <w:lang w:val="sr-Latn-ME"/>
        </w:rPr>
        <w:t xml:space="preserve"> sa početkom u pedijatrijskom periodu, što je potkr</w:t>
      </w:r>
      <w:r w:rsidR="005B26E6" w:rsidRPr="00C01AE6">
        <w:rPr>
          <w:sz w:val="22"/>
          <w:szCs w:val="22"/>
          <w:lang w:val="sr-Latn-ME"/>
        </w:rPr>
        <w:t>ij</w:t>
      </w:r>
      <w:r w:rsidRPr="00C01AE6">
        <w:rPr>
          <w:sz w:val="22"/>
          <w:szCs w:val="22"/>
          <w:lang w:val="sr-Latn-ME"/>
        </w:rPr>
        <w:t>epilo odobrenu dozu od 6 mg/kg ned</w:t>
      </w:r>
      <w:r w:rsidR="00992B09" w:rsidRPr="00C01AE6">
        <w:rPr>
          <w:sz w:val="22"/>
          <w:szCs w:val="22"/>
          <w:lang w:val="sr-Latn-ME"/>
        </w:rPr>
        <w:t>j</w:t>
      </w:r>
      <w:r w:rsidRPr="00C01AE6">
        <w:rPr>
          <w:sz w:val="22"/>
          <w:szCs w:val="22"/>
          <w:lang w:val="sr-Latn-ME"/>
        </w:rPr>
        <w:t xml:space="preserve">eljno za </w:t>
      </w:r>
      <w:r w:rsidR="00BA210B" w:rsidRPr="00C01AE6">
        <w:rPr>
          <w:sz w:val="22"/>
          <w:szCs w:val="22"/>
          <w:lang w:val="sr-Latn-ME"/>
        </w:rPr>
        <w:t>liječenje</w:t>
      </w:r>
      <w:r w:rsidRPr="00C01AE6">
        <w:rPr>
          <w:sz w:val="22"/>
          <w:szCs w:val="22"/>
          <w:lang w:val="sr-Latn-ME"/>
        </w:rPr>
        <w:t xml:space="preserve"> odraslih pacijenata sa </w:t>
      </w:r>
      <w:proofErr w:type="spellStart"/>
      <w:r w:rsidRPr="00C01AE6">
        <w:rPr>
          <w:sz w:val="22"/>
          <w:szCs w:val="22"/>
          <w:lang w:val="sr-Latn-ME"/>
        </w:rPr>
        <w:t>hipofosfatazijom</w:t>
      </w:r>
      <w:proofErr w:type="spellEnd"/>
      <w:r w:rsidRPr="00C01AE6">
        <w:rPr>
          <w:sz w:val="22"/>
          <w:szCs w:val="22"/>
          <w:lang w:val="sr-Latn-ME"/>
        </w:rPr>
        <w:t xml:space="preserve"> sa početkom u pedijatrijskom periodu.</w:t>
      </w:r>
    </w:p>
    <w:p w14:paraId="6CFD5BC0" w14:textId="77777777" w:rsidR="00D36EE8" w:rsidRPr="00C01AE6" w:rsidRDefault="00D36EE8" w:rsidP="00655C9D">
      <w:pPr>
        <w:widowControl w:val="0"/>
        <w:autoSpaceDE w:val="0"/>
        <w:autoSpaceDN w:val="0"/>
        <w:jc w:val="both"/>
        <w:rPr>
          <w:sz w:val="22"/>
          <w:szCs w:val="22"/>
          <w:lang w:val="sr-Latn-ME"/>
        </w:rPr>
      </w:pPr>
    </w:p>
    <w:p w14:paraId="5D9D9520" w14:textId="372DA41A" w:rsidR="007F2902" w:rsidRPr="00C01AE6" w:rsidRDefault="007F2902" w:rsidP="00655C9D">
      <w:pPr>
        <w:widowControl w:val="0"/>
        <w:autoSpaceDE w:val="0"/>
        <w:autoSpaceDN w:val="0"/>
        <w:jc w:val="both"/>
        <w:rPr>
          <w:sz w:val="22"/>
          <w:szCs w:val="22"/>
          <w:lang w:val="sr-Latn-ME"/>
        </w:rPr>
      </w:pPr>
      <w:proofErr w:type="spellStart"/>
      <w:r w:rsidRPr="00C01AE6">
        <w:rPr>
          <w:sz w:val="22"/>
          <w:szCs w:val="22"/>
          <w:u w:val="single"/>
          <w:lang w:val="sr-Latn-ME"/>
        </w:rPr>
        <w:t>Linearnost</w:t>
      </w:r>
      <w:proofErr w:type="spellEnd"/>
      <w:r w:rsidRPr="00C01AE6">
        <w:rPr>
          <w:sz w:val="22"/>
          <w:szCs w:val="22"/>
          <w:u w:val="single"/>
          <w:lang w:val="sr-Latn-ME"/>
        </w:rPr>
        <w:t>/</w:t>
      </w:r>
      <w:proofErr w:type="spellStart"/>
      <w:r w:rsidRPr="00C01AE6">
        <w:rPr>
          <w:sz w:val="22"/>
          <w:szCs w:val="22"/>
          <w:u w:val="single"/>
          <w:lang w:val="sr-Latn-ME"/>
        </w:rPr>
        <w:t>nelinearnost</w:t>
      </w:r>
      <w:proofErr w:type="spellEnd"/>
    </w:p>
    <w:p w14:paraId="7ACD0195" w14:textId="77777777" w:rsidR="00D36EE8" w:rsidRPr="00C01AE6" w:rsidRDefault="00D36EE8" w:rsidP="00655C9D">
      <w:pPr>
        <w:widowControl w:val="0"/>
        <w:autoSpaceDE w:val="0"/>
        <w:autoSpaceDN w:val="0"/>
        <w:spacing w:line="247" w:lineRule="auto"/>
        <w:jc w:val="both"/>
        <w:rPr>
          <w:sz w:val="22"/>
          <w:szCs w:val="22"/>
          <w:lang w:val="sr-Latn-ME"/>
        </w:rPr>
      </w:pPr>
    </w:p>
    <w:p w14:paraId="2E426AA5" w14:textId="1969565F" w:rsidR="007F2902" w:rsidRPr="00C01AE6" w:rsidRDefault="007F2902" w:rsidP="00655C9D">
      <w:pPr>
        <w:widowControl w:val="0"/>
        <w:autoSpaceDE w:val="0"/>
        <w:autoSpaceDN w:val="0"/>
        <w:spacing w:line="247" w:lineRule="auto"/>
        <w:jc w:val="both"/>
        <w:rPr>
          <w:sz w:val="22"/>
          <w:szCs w:val="22"/>
          <w:lang w:val="sr-Latn-ME"/>
        </w:rPr>
      </w:pPr>
      <w:r w:rsidRPr="00C01AE6">
        <w:rPr>
          <w:sz w:val="22"/>
          <w:szCs w:val="22"/>
          <w:lang w:val="sr-Latn-ME"/>
        </w:rPr>
        <w:t xml:space="preserve">Na osnovu rezultata analize populacione </w:t>
      </w:r>
      <w:proofErr w:type="spellStart"/>
      <w:r w:rsidRPr="00C01AE6">
        <w:rPr>
          <w:sz w:val="22"/>
          <w:szCs w:val="22"/>
          <w:lang w:val="sr-Latn-ME"/>
        </w:rPr>
        <w:t>farmakokinetike</w:t>
      </w:r>
      <w:proofErr w:type="spellEnd"/>
      <w:r w:rsidRPr="00C01AE6">
        <w:rPr>
          <w:sz w:val="22"/>
          <w:szCs w:val="22"/>
          <w:lang w:val="sr-Latn-ME"/>
        </w:rPr>
        <w:t xml:space="preserve"> zaključeno je da </w:t>
      </w:r>
      <w:proofErr w:type="spellStart"/>
      <w:r w:rsidRPr="00C01AE6">
        <w:rPr>
          <w:sz w:val="22"/>
          <w:szCs w:val="22"/>
          <w:lang w:val="sr-Latn-ME"/>
        </w:rPr>
        <w:t>asfotaza</w:t>
      </w:r>
      <w:proofErr w:type="spellEnd"/>
      <w:r w:rsidRPr="00C01AE6">
        <w:rPr>
          <w:sz w:val="22"/>
          <w:szCs w:val="22"/>
          <w:lang w:val="sr-Latn-ME"/>
        </w:rPr>
        <w:t xml:space="preserve"> alfa pokazuje linearnu </w:t>
      </w:r>
      <w:proofErr w:type="spellStart"/>
      <w:r w:rsidRPr="00C01AE6">
        <w:rPr>
          <w:sz w:val="22"/>
          <w:szCs w:val="22"/>
          <w:lang w:val="sr-Latn-ME"/>
        </w:rPr>
        <w:t>farmakokinetiku</w:t>
      </w:r>
      <w:proofErr w:type="spellEnd"/>
      <w:r w:rsidRPr="00C01AE6">
        <w:rPr>
          <w:sz w:val="22"/>
          <w:szCs w:val="22"/>
          <w:lang w:val="sr-Latn-ME"/>
        </w:rPr>
        <w:t xml:space="preserve"> do </w:t>
      </w:r>
      <w:proofErr w:type="spellStart"/>
      <w:r w:rsidR="00B3559F" w:rsidRPr="00C01AE6">
        <w:rPr>
          <w:sz w:val="22"/>
          <w:szCs w:val="22"/>
          <w:lang w:val="sr-Latn-ME"/>
        </w:rPr>
        <w:t>subkut</w:t>
      </w:r>
      <w:r w:rsidRPr="00C01AE6">
        <w:rPr>
          <w:sz w:val="22"/>
          <w:szCs w:val="22"/>
          <w:lang w:val="sr-Latn-ME"/>
        </w:rPr>
        <w:t>anih</w:t>
      </w:r>
      <w:proofErr w:type="spellEnd"/>
      <w:r w:rsidRPr="00C01AE6">
        <w:rPr>
          <w:sz w:val="22"/>
          <w:szCs w:val="22"/>
          <w:lang w:val="sr-Latn-ME"/>
        </w:rPr>
        <w:t xml:space="preserve"> doza od 28 mg/kg ned</w:t>
      </w:r>
      <w:r w:rsidR="00992B09" w:rsidRPr="00C01AE6">
        <w:rPr>
          <w:sz w:val="22"/>
          <w:szCs w:val="22"/>
          <w:lang w:val="sr-Latn-ME"/>
        </w:rPr>
        <w:t>j</w:t>
      </w:r>
      <w:r w:rsidRPr="00C01AE6">
        <w:rPr>
          <w:sz w:val="22"/>
          <w:szCs w:val="22"/>
          <w:lang w:val="sr-Latn-ME"/>
        </w:rPr>
        <w:t xml:space="preserve">eljno. Model je pokazao da </w:t>
      </w:r>
      <w:r w:rsidR="00BA210B" w:rsidRPr="00C01AE6">
        <w:rPr>
          <w:sz w:val="22"/>
          <w:szCs w:val="22"/>
          <w:lang w:val="sr-Latn-ME"/>
        </w:rPr>
        <w:t>tjelesn</w:t>
      </w:r>
      <w:r w:rsidRPr="00C01AE6">
        <w:rPr>
          <w:sz w:val="22"/>
          <w:szCs w:val="22"/>
          <w:lang w:val="sr-Latn-ME"/>
        </w:rPr>
        <w:t xml:space="preserve">a masa utiče na parametre </w:t>
      </w:r>
      <w:proofErr w:type="spellStart"/>
      <w:r w:rsidRPr="00C01AE6">
        <w:rPr>
          <w:sz w:val="22"/>
          <w:szCs w:val="22"/>
          <w:lang w:val="sr-Latn-ME"/>
        </w:rPr>
        <w:t>klirensa</w:t>
      </w:r>
      <w:proofErr w:type="spellEnd"/>
      <w:r w:rsidRPr="00C01AE6">
        <w:rPr>
          <w:sz w:val="22"/>
          <w:szCs w:val="22"/>
          <w:lang w:val="sr-Latn-ME"/>
        </w:rPr>
        <w:t xml:space="preserve"> i volumena distribucije </w:t>
      </w:r>
      <w:proofErr w:type="spellStart"/>
      <w:r w:rsidRPr="00C01AE6">
        <w:rPr>
          <w:sz w:val="22"/>
          <w:szCs w:val="22"/>
          <w:lang w:val="sr-Latn-ME"/>
        </w:rPr>
        <w:t>asfotaze</w:t>
      </w:r>
      <w:proofErr w:type="spellEnd"/>
      <w:r w:rsidRPr="00C01AE6">
        <w:rPr>
          <w:sz w:val="22"/>
          <w:szCs w:val="22"/>
          <w:lang w:val="sr-Latn-ME"/>
        </w:rPr>
        <w:t xml:space="preserve"> alfa. Očekuje se da će se </w:t>
      </w:r>
      <w:proofErr w:type="spellStart"/>
      <w:r w:rsidRPr="00C01AE6">
        <w:rPr>
          <w:sz w:val="22"/>
          <w:szCs w:val="22"/>
          <w:lang w:val="sr-Latn-ME"/>
        </w:rPr>
        <w:t>farmakokinetičke</w:t>
      </w:r>
      <w:proofErr w:type="spellEnd"/>
      <w:r w:rsidRPr="00C01AE6">
        <w:rPr>
          <w:sz w:val="22"/>
          <w:szCs w:val="22"/>
          <w:lang w:val="sr-Latn-ME"/>
        </w:rPr>
        <w:t xml:space="preserve"> izloženosti povećavati sa </w:t>
      </w:r>
      <w:r w:rsidR="00BA210B" w:rsidRPr="00C01AE6">
        <w:rPr>
          <w:sz w:val="22"/>
          <w:szCs w:val="22"/>
          <w:lang w:val="sr-Latn-ME"/>
        </w:rPr>
        <w:t>tjelesn</w:t>
      </w:r>
      <w:r w:rsidRPr="00C01AE6">
        <w:rPr>
          <w:sz w:val="22"/>
          <w:szCs w:val="22"/>
          <w:lang w:val="sr-Latn-ME"/>
        </w:rPr>
        <w:t xml:space="preserve">om masom. Uticaj </w:t>
      </w:r>
      <w:proofErr w:type="spellStart"/>
      <w:r w:rsidRPr="00C01AE6">
        <w:rPr>
          <w:sz w:val="22"/>
          <w:szCs w:val="22"/>
          <w:lang w:val="sr-Latn-ME"/>
        </w:rPr>
        <w:t>imunogenosti</w:t>
      </w:r>
      <w:proofErr w:type="spellEnd"/>
      <w:r w:rsidRPr="00C01AE6">
        <w:rPr>
          <w:sz w:val="22"/>
          <w:szCs w:val="22"/>
          <w:lang w:val="sr-Latn-ME"/>
        </w:rPr>
        <w:t xml:space="preserve"> na </w:t>
      </w:r>
      <w:proofErr w:type="spellStart"/>
      <w:r w:rsidRPr="00C01AE6">
        <w:rPr>
          <w:sz w:val="22"/>
          <w:szCs w:val="22"/>
          <w:lang w:val="sr-Latn-ME"/>
        </w:rPr>
        <w:t>farmakokinetiku</w:t>
      </w:r>
      <w:proofErr w:type="spellEnd"/>
      <w:r w:rsidRPr="00C01AE6">
        <w:rPr>
          <w:sz w:val="22"/>
          <w:szCs w:val="22"/>
          <w:lang w:val="sr-Latn-ME"/>
        </w:rPr>
        <w:t xml:space="preserve"> </w:t>
      </w:r>
      <w:proofErr w:type="spellStart"/>
      <w:r w:rsidRPr="00C01AE6">
        <w:rPr>
          <w:sz w:val="22"/>
          <w:szCs w:val="22"/>
          <w:lang w:val="sr-Latn-ME"/>
        </w:rPr>
        <w:t>asfotaze</w:t>
      </w:r>
      <w:proofErr w:type="spellEnd"/>
      <w:r w:rsidRPr="00C01AE6">
        <w:rPr>
          <w:sz w:val="22"/>
          <w:szCs w:val="22"/>
          <w:lang w:val="sr-Latn-ME"/>
        </w:rPr>
        <w:t xml:space="preserve"> alfa varirao je tokom </w:t>
      </w:r>
      <w:proofErr w:type="spellStart"/>
      <w:r w:rsidR="005B26E6" w:rsidRPr="00C01AE6">
        <w:rPr>
          <w:sz w:val="22"/>
          <w:szCs w:val="22"/>
          <w:lang w:val="sr-Latn-ME"/>
        </w:rPr>
        <w:t>vremena</w:t>
      </w:r>
      <w:proofErr w:type="spellEnd"/>
      <w:r w:rsidRPr="00C01AE6">
        <w:rPr>
          <w:sz w:val="22"/>
          <w:szCs w:val="22"/>
          <w:lang w:val="sr-Latn-ME"/>
        </w:rPr>
        <w:t xml:space="preserve"> zbog </w:t>
      </w:r>
      <w:r w:rsidR="005B26E6" w:rsidRPr="00C01AE6">
        <w:rPr>
          <w:sz w:val="22"/>
          <w:szCs w:val="22"/>
          <w:lang w:val="sr-Latn-ME"/>
        </w:rPr>
        <w:t>vreme</w:t>
      </w:r>
      <w:r w:rsidRPr="00C01AE6">
        <w:rPr>
          <w:sz w:val="22"/>
          <w:szCs w:val="22"/>
          <w:lang w:val="sr-Latn-ME"/>
        </w:rPr>
        <w:t>nski prom</w:t>
      </w:r>
      <w:r w:rsidR="00393B52" w:rsidRPr="00C01AE6">
        <w:rPr>
          <w:sz w:val="22"/>
          <w:szCs w:val="22"/>
          <w:lang w:val="sr-Latn-ME"/>
        </w:rPr>
        <w:t>j</w:t>
      </w:r>
      <w:r w:rsidRPr="00C01AE6">
        <w:rPr>
          <w:sz w:val="22"/>
          <w:szCs w:val="22"/>
          <w:lang w:val="sr-Latn-ME"/>
        </w:rPr>
        <w:t xml:space="preserve">enjive prirode </w:t>
      </w:r>
      <w:proofErr w:type="spellStart"/>
      <w:r w:rsidRPr="00C01AE6">
        <w:rPr>
          <w:sz w:val="22"/>
          <w:szCs w:val="22"/>
          <w:lang w:val="sr-Latn-ME"/>
        </w:rPr>
        <w:t>imunogenosti</w:t>
      </w:r>
      <w:proofErr w:type="spellEnd"/>
      <w:r w:rsidRPr="00C01AE6">
        <w:rPr>
          <w:sz w:val="22"/>
          <w:szCs w:val="22"/>
          <w:lang w:val="sr-Latn-ME"/>
        </w:rPr>
        <w:t xml:space="preserve"> i u c</w:t>
      </w:r>
      <w:r w:rsidR="00393B52" w:rsidRPr="00C01AE6">
        <w:rPr>
          <w:sz w:val="22"/>
          <w:szCs w:val="22"/>
          <w:lang w:val="sr-Latn-ME"/>
        </w:rPr>
        <w:t>j</w:t>
      </w:r>
      <w:r w:rsidRPr="00C01AE6">
        <w:rPr>
          <w:sz w:val="22"/>
          <w:szCs w:val="22"/>
          <w:lang w:val="sr-Latn-ME"/>
        </w:rPr>
        <w:t>elini je proc</w:t>
      </w:r>
      <w:r w:rsidR="00393B52" w:rsidRPr="00C01AE6">
        <w:rPr>
          <w:sz w:val="22"/>
          <w:szCs w:val="22"/>
          <w:lang w:val="sr-Latn-ME"/>
        </w:rPr>
        <w:t>ij</w:t>
      </w:r>
      <w:r w:rsidRPr="00C01AE6">
        <w:rPr>
          <w:sz w:val="22"/>
          <w:szCs w:val="22"/>
          <w:lang w:val="sr-Latn-ME"/>
        </w:rPr>
        <w:t xml:space="preserve">enjeno da smanjuje </w:t>
      </w:r>
      <w:proofErr w:type="spellStart"/>
      <w:r w:rsidRPr="00C01AE6">
        <w:rPr>
          <w:sz w:val="22"/>
          <w:szCs w:val="22"/>
          <w:lang w:val="sr-Latn-ME"/>
        </w:rPr>
        <w:t>farmakokinetičke</w:t>
      </w:r>
      <w:proofErr w:type="spellEnd"/>
      <w:r w:rsidRPr="00C01AE6">
        <w:rPr>
          <w:sz w:val="22"/>
          <w:szCs w:val="22"/>
          <w:lang w:val="sr-Latn-ME"/>
        </w:rPr>
        <w:t xml:space="preserve"> izloženosti za manje od 20%.</w:t>
      </w:r>
    </w:p>
    <w:p w14:paraId="05DC8D93" w14:textId="77777777" w:rsidR="0072020E" w:rsidRPr="00C01AE6" w:rsidRDefault="0072020E" w:rsidP="00655C9D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792FFDB1" w14:textId="77777777" w:rsidR="0072020E" w:rsidRPr="00C01AE6" w:rsidRDefault="0072020E" w:rsidP="00655C9D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  <w:r w:rsidRPr="00C01AE6">
        <w:rPr>
          <w:b/>
          <w:bCs/>
          <w:sz w:val="22"/>
          <w:szCs w:val="22"/>
          <w:lang w:val="sr-Latn-ME"/>
        </w:rPr>
        <w:t xml:space="preserve">5.3. </w:t>
      </w:r>
      <w:r w:rsidR="00480FB1" w:rsidRPr="00C01AE6">
        <w:rPr>
          <w:b/>
          <w:bCs/>
          <w:sz w:val="22"/>
          <w:szCs w:val="22"/>
          <w:lang w:val="sr-Latn-ME"/>
        </w:rPr>
        <w:tab/>
      </w:r>
      <w:proofErr w:type="spellStart"/>
      <w:r w:rsidRPr="00C01AE6">
        <w:rPr>
          <w:b/>
          <w:bCs/>
          <w:sz w:val="22"/>
          <w:szCs w:val="22"/>
          <w:lang w:val="sr-Latn-ME"/>
        </w:rPr>
        <w:t>Pretklinički</w:t>
      </w:r>
      <w:proofErr w:type="spellEnd"/>
      <w:r w:rsidRPr="00C01AE6">
        <w:rPr>
          <w:b/>
          <w:bCs/>
          <w:sz w:val="22"/>
          <w:szCs w:val="22"/>
          <w:lang w:val="sr-Latn-ME"/>
        </w:rPr>
        <w:t xml:space="preserve"> podaci o bezbjednosti </w:t>
      </w:r>
    </w:p>
    <w:p w14:paraId="38452532" w14:textId="77777777" w:rsidR="00D36EE8" w:rsidRPr="00C01AE6" w:rsidRDefault="00D36EE8" w:rsidP="00655C9D">
      <w:pPr>
        <w:widowControl w:val="0"/>
        <w:autoSpaceDE w:val="0"/>
        <w:autoSpaceDN w:val="0"/>
        <w:spacing w:line="249" w:lineRule="auto"/>
        <w:jc w:val="both"/>
        <w:rPr>
          <w:bCs/>
          <w:sz w:val="22"/>
          <w:szCs w:val="22"/>
          <w:lang w:val="sr-Latn-ME"/>
        </w:rPr>
      </w:pPr>
    </w:p>
    <w:p w14:paraId="1EAD3D3C" w14:textId="79234091" w:rsidR="007F2902" w:rsidRPr="00C01AE6" w:rsidRDefault="007F2902" w:rsidP="00655C9D">
      <w:pPr>
        <w:widowControl w:val="0"/>
        <w:autoSpaceDE w:val="0"/>
        <w:autoSpaceDN w:val="0"/>
        <w:spacing w:line="249" w:lineRule="auto"/>
        <w:jc w:val="both"/>
        <w:rPr>
          <w:sz w:val="22"/>
          <w:szCs w:val="22"/>
          <w:lang w:val="sr-Latn-ME"/>
        </w:rPr>
      </w:pPr>
      <w:r w:rsidRPr="00C01AE6">
        <w:rPr>
          <w:sz w:val="22"/>
          <w:szCs w:val="22"/>
          <w:lang w:val="sr-Latn-ME"/>
        </w:rPr>
        <w:t xml:space="preserve">U </w:t>
      </w:r>
      <w:proofErr w:type="spellStart"/>
      <w:r w:rsidR="002321C0" w:rsidRPr="00C01AE6">
        <w:rPr>
          <w:sz w:val="22"/>
          <w:szCs w:val="22"/>
          <w:lang w:val="sr-Latn-ME"/>
        </w:rPr>
        <w:t>pret</w:t>
      </w:r>
      <w:r w:rsidRPr="00C01AE6">
        <w:rPr>
          <w:sz w:val="22"/>
          <w:szCs w:val="22"/>
          <w:lang w:val="sr-Latn-ME"/>
        </w:rPr>
        <w:t>kliničkim</w:t>
      </w:r>
      <w:proofErr w:type="spellEnd"/>
      <w:r w:rsidRPr="00C01AE6">
        <w:rPr>
          <w:sz w:val="22"/>
          <w:szCs w:val="22"/>
          <w:lang w:val="sr-Latn-ME"/>
        </w:rPr>
        <w:t xml:space="preserve"> testovima </w:t>
      </w:r>
      <w:r w:rsidR="00BA210B" w:rsidRPr="00C01AE6">
        <w:rPr>
          <w:sz w:val="22"/>
          <w:szCs w:val="22"/>
          <w:lang w:val="sr-Latn-ME"/>
        </w:rPr>
        <w:t>bezbjednost</w:t>
      </w:r>
      <w:r w:rsidRPr="00C01AE6">
        <w:rPr>
          <w:sz w:val="22"/>
          <w:szCs w:val="22"/>
          <w:lang w:val="sr-Latn-ME"/>
        </w:rPr>
        <w:t>i na pacovima ni</w:t>
      </w:r>
      <w:r w:rsidR="002321C0" w:rsidRPr="00C01AE6">
        <w:rPr>
          <w:sz w:val="22"/>
          <w:szCs w:val="22"/>
          <w:lang w:val="sr-Latn-ME"/>
        </w:rPr>
        <w:t>je</w:t>
      </w:r>
      <w:r w:rsidRPr="00C01AE6">
        <w:rPr>
          <w:sz w:val="22"/>
          <w:szCs w:val="22"/>
          <w:lang w:val="sr-Latn-ME"/>
        </w:rPr>
        <w:t xml:space="preserve">su </w:t>
      </w:r>
      <w:r w:rsidR="00393B52" w:rsidRPr="00C01AE6">
        <w:rPr>
          <w:sz w:val="22"/>
          <w:szCs w:val="22"/>
          <w:lang w:val="sr-Latn-ME"/>
        </w:rPr>
        <w:t xml:space="preserve">zabilježena </w:t>
      </w:r>
      <w:r w:rsidRPr="00C01AE6">
        <w:rPr>
          <w:sz w:val="22"/>
          <w:szCs w:val="22"/>
          <w:lang w:val="sr-Latn-ME"/>
        </w:rPr>
        <w:t xml:space="preserve">neželjena dejstva specifična za neki organski sistem pri bilo kojoj dozi ili putu </w:t>
      </w:r>
      <w:r w:rsidR="00BA210B" w:rsidRPr="00C01AE6">
        <w:rPr>
          <w:sz w:val="22"/>
          <w:szCs w:val="22"/>
          <w:lang w:val="sr-Latn-ME"/>
        </w:rPr>
        <w:t>primjen</w:t>
      </w:r>
      <w:r w:rsidRPr="00C01AE6">
        <w:rPr>
          <w:sz w:val="22"/>
          <w:szCs w:val="22"/>
          <w:lang w:val="sr-Latn-ME"/>
        </w:rPr>
        <w:t>e.</w:t>
      </w:r>
    </w:p>
    <w:p w14:paraId="56452B0D" w14:textId="77777777" w:rsidR="00D36EE8" w:rsidRPr="00C01AE6" w:rsidRDefault="00D36EE8" w:rsidP="00655C9D">
      <w:pPr>
        <w:widowControl w:val="0"/>
        <w:autoSpaceDE w:val="0"/>
        <w:autoSpaceDN w:val="0"/>
        <w:spacing w:line="249" w:lineRule="auto"/>
        <w:jc w:val="both"/>
        <w:rPr>
          <w:sz w:val="22"/>
          <w:szCs w:val="22"/>
          <w:lang w:val="sr-Latn-ME"/>
        </w:rPr>
      </w:pPr>
    </w:p>
    <w:p w14:paraId="2D996F92" w14:textId="15C10E42" w:rsidR="007F2902" w:rsidRPr="00C01AE6" w:rsidRDefault="007F2902" w:rsidP="00655C9D">
      <w:pPr>
        <w:widowControl w:val="0"/>
        <w:autoSpaceDE w:val="0"/>
        <w:autoSpaceDN w:val="0"/>
        <w:spacing w:line="249" w:lineRule="auto"/>
        <w:jc w:val="both"/>
        <w:rPr>
          <w:sz w:val="22"/>
          <w:szCs w:val="22"/>
          <w:lang w:val="sr-Latn-ME"/>
        </w:rPr>
      </w:pPr>
      <w:r w:rsidRPr="00C01AE6">
        <w:rPr>
          <w:sz w:val="22"/>
          <w:szCs w:val="22"/>
          <w:lang w:val="sr-Latn-ME"/>
        </w:rPr>
        <w:t xml:space="preserve">Akutne reakcije na injekciju zavisne od doze i </w:t>
      </w:r>
      <w:proofErr w:type="spellStart"/>
      <w:r w:rsidR="005B26E6" w:rsidRPr="00C01AE6">
        <w:rPr>
          <w:sz w:val="22"/>
          <w:szCs w:val="22"/>
          <w:lang w:val="sr-Latn-ME"/>
        </w:rPr>
        <w:t>vremena</w:t>
      </w:r>
      <w:proofErr w:type="spellEnd"/>
      <w:r w:rsidRPr="00C01AE6">
        <w:rPr>
          <w:sz w:val="22"/>
          <w:szCs w:val="22"/>
          <w:lang w:val="sr-Latn-ME"/>
        </w:rPr>
        <w:t xml:space="preserve">, koje su bile prolazne i </w:t>
      </w:r>
      <w:proofErr w:type="spellStart"/>
      <w:r w:rsidRPr="00C01AE6">
        <w:rPr>
          <w:sz w:val="22"/>
          <w:szCs w:val="22"/>
          <w:lang w:val="sr-Latn-ME"/>
        </w:rPr>
        <w:t>samoograničavajuće</w:t>
      </w:r>
      <w:proofErr w:type="spellEnd"/>
      <w:r w:rsidRPr="00C01AE6">
        <w:rPr>
          <w:sz w:val="22"/>
          <w:szCs w:val="22"/>
          <w:lang w:val="sr-Latn-ME"/>
        </w:rPr>
        <w:t xml:space="preserve">, </w:t>
      </w:r>
      <w:r w:rsidR="00393B52" w:rsidRPr="00C01AE6">
        <w:rPr>
          <w:sz w:val="22"/>
          <w:szCs w:val="22"/>
          <w:lang w:val="sr-Latn-ME"/>
        </w:rPr>
        <w:t xml:space="preserve">zabilježene </w:t>
      </w:r>
      <w:r w:rsidRPr="00C01AE6">
        <w:rPr>
          <w:sz w:val="22"/>
          <w:szCs w:val="22"/>
          <w:lang w:val="sr-Latn-ME"/>
        </w:rPr>
        <w:t xml:space="preserve">su kod pacova kod </w:t>
      </w:r>
      <w:proofErr w:type="spellStart"/>
      <w:r w:rsidRPr="00C01AE6">
        <w:rPr>
          <w:sz w:val="22"/>
          <w:szCs w:val="22"/>
          <w:lang w:val="sr-Latn-ME"/>
        </w:rPr>
        <w:t>intravenski</w:t>
      </w:r>
      <w:proofErr w:type="spellEnd"/>
      <w:r w:rsidRPr="00C01AE6">
        <w:rPr>
          <w:sz w:val="22"/>
          <w:szCs w:val="22"/>
          <w:lang w:val="sr-Latn-ME"/>
        </w:rPr>
        <w:t xml:space="preserve"> </w:t>
      </w:r>
      <w:r w:rsidR="00BA210B" w:rsidRPr="00C01AE6">
        <w:rPr>
          <w:sz w:val="22"/>
          <w:szCs w:val="22"/>
          <w:lang w:val="sr-Latn-ME"/>
        </w:rPr>
        <w:t>prim</w:t>
      </w:r>
      <w:r w:rsidR="00393B52" w:rsidRPr="00C01AE6">
        <w:rPr>
          <w:sz w:val="22"/>
          <w:szCs w:val="22"/>
          <w:lang w:val="sr-Latn-ME"/>
        </w:rPr>
        <w:t>i</w:t>
      </w:r>
      <w:r w:rsidR="00BA210B" w:rsidRPr="00C01AE6">
        <w:rPr>
          <w:sz w:val="22"/>
          <w:szCs w:val="22"/>
          <w:lang w:val="sr-Latn-ME"/>
        </w:rPr>
        <w:t>jen</w:t>
      </w:r>
      <w:r w:rsidRPr="00C01AE6">
        <w:rPr>
          <w:sz w:val="22"/>
          <w:szCs w:val="22"/>
          <w:lang w:val="sr-Latn-ME"/>
        </w:rPr>
        <w:t>jenih doza od 1 mg/kg do 180 mg/kg.</w:t>
      </w:r>
    </w:p>
    <w:p w14:paraId="056D92C1" w14:textId="77777777" w:rsidR="00D36EE8" w:rsidRPr="00C01AE6" w:rsidRDefault="00D36EE8" w:rsidP="00655C9D">
      <w:pPr>
        <w:widowControl w:val="0"/>
        <w:autoSpaceDE w:val="0"/>
        <w:autoSpaceDN w:val="0"/>
        <w:spacing w:line="247" w:lineRule="auto"/>
        <w:jc w:val="both"/>
        <w:rPr>
          <w:sz w:val="22"/>
          <w:szCs w:val="22"/>
          <w:lang w:val="sr-Latn-ME"/>
        </w:rPr>
      </w:pPr>
    </w:p>
    <w:p w14:paraId="02F30C80" w14:textId="5870F482" w:rsidR="007F2902" w:rsidRPr="00C01AE6" w:rsidRDefault="007F2902" w:rsidP="00655C9D">
      <w:pPr>
        <w:widowControl w:val="0"/>
        <w:autoSpaceDE w:val="0"/>
        <w:autoSpaceDN w:val="0"/>
        <w:spacing w:line="247" w:lineRule="auto"/>
        <w:jc w:val="both"/>
        <w:rPr>
          <w:sz w:val="22"/>
          <w:szCs w:val="22"/>
          <w:lang w:val="sr-Latn-ME"/>
        </w:rPr>
      </w:pPr>
      <w:proofErr w:type="spellStart"/>
      <w:r w:rsidRPr="00C01AE6">
        <w:rPr>
          <w:sz w:val="22"/>
          <w:szCs w:val="22"/>
          <w:lang w:val="sr-Latn-ME"/>
        </w:rPr>
        <w:t>Ektopične</w:t>
      </w:r>
      <w:proofErr w:type="spellEnd"/>
      <w:r w:rsidRPr="00C01AE6">
        <w:rPr>
          <w:sz w:val="22"/>
          <w:szCs w:val="22"/>
          <w:lang w:val="sr-Latn-ME"/>
        </w:rPr>
        <w:t xml:space="preserve"> </w:t>
      </w:r>
      <w:proofErr w:type="spellStart"/>
      <w:r w:rsidRPr="00C01AE6">
        <w:rPr>
          <w:sz w:val="22"/>
          <w:szCs w:val="22"/>
          <w:lang w:val="sr-Latn-ME"/>
        </w:rPr>
        <w:t>kalcifikacije</w:t>
      </w:r>
      <w:proofErr w:type="spellEnd"/>
      <w:r w:rsidRPr="00C01AE6">
        <w:rPr>
          <w:sz w:val="22"/>
          <w:szCs w:val="22"/>
          <w:lang w:val="sr-Latn-ME"/>
        </w:rPr>
        <w:t xml:space="preserve"> i reakcije na </w:t>
      </w:r>
      <w:r w:rsidR="00613845" w:rsidRPr="00C01AE6">
        <w:rPr>
          <w:sz w:val="22"/>
          <w:szCs w:val="22"/>
          <w:lang w:val="sr-Latn-ME"/>
        </w:rPr>
        <w:t>mjestu</w:t>
      </w:r>
      <w:r w:rsidRPr="00C01AE6">
        <w:rPr>
          <w:sz w:val="22"/>
          <w:szCs w:val="22"/>
          <w:lang w:val="sr-Latn-ME"/>
        </w:rPr>
        <w:t xml:space="preserve"> </w:t>
      </w:r>
      <w:r w:rsidR="00BA210B" w:rsidRPr="00C01AE6">
        <w:rPr>
          <w:sz w:val="22"/>
          <w:szCs w:val="22"/>
          <w:lang w:val="sr-Latn-ME"/>
        </w:rPr>
        <w:t>primjen</w:t>
      </w:r>
      <w:r w:rsidRPr="00C01AE6">
        <w:rPr>
          <w:sz w:val="22"/>
          <w:szCs w:val="22"/>
          <w:lang w:val="sr-Latn-ME"/>
        </w:rPr>
        <w:t xml:space="preserve">e injekcije </w:t>
      </w:r>
      <w:r w:rsidR="00393B52" w:rsidRPr="00C01AE6">
        <w:rPr>
          <w:sz w:val="22"/>
          <w:szCs w:val="22"/>
          <w:lang w:val="sr-Latn-ME"/>
        </w:rPr>
        <w:t xml:space="preserve">zabilježene </w:t>
      </w:r>
      <w:r w:rsidRPr="00C01AE6">
        <w:rPr>
          <w:sz w:val="22"/>
          <w:szCs w:val="22"/>
          <w:lang w:val="sr-Latn-ME"/>
        </w:rPr>
        <w:t xml:space="preserve">su kod majmuna kada im je </w:t>
      </w:r>
      <w:proofErr w:type="spellStart"/>
      <w:r w:rsidRPr="00C01AE6">
        <w:rPr>
          <w:sz w:val="22"/>
          <w:szCs w:val="22"/>
          <w:lang w:val="sr-Latn-ME"/>
        </w:rPr>
        <w:t>asfotaza</w:t>
      </w:r>
      <w:proofErr w:type="spellEnd"/>
      <w:r w:rsidRPr="00C01AE6">
        <w:rPr>
          <w:sz w:val="22"/>
          <w:szCs w:val="22"/>
          <w:lang w:val="sr-Latn-ME"/>
        </w:rPr>
        <w:t xml:space="preserve"> alfa bila </w:t>
      </w:r>
      <w:r w:rsidR="00BA210B" w:rsidRPr="00C01AE6">
        <w:rPr>
          <w:sz w:val="22"/>
          <w:szCs w:val="22"/>
          <w:lang w:val="sr-Latn-ME"/>
        </w:rPr>
        <w:t>primjen</w:t>
      </w:r>
      <w:r w:rsidRPr="00C01AE6">
        <w:rPr>
          <w:sz w:val="22"/>
          <w:szCs w:val="22"/>
          <w:lang w:val="sr-Latn-ME"/>
        </w:rPr>
        <w:t xml:space="preserve">jivana </w:t>
      </w:r>
      <w:proofErr w:type="spellStart"/>
      <w:r w:rsidR="00B3559F" w:rsidRPr="00C01AE6">
        <w:rPr>
          <w:sz w:val="22"/>
          <w:szCs w:val="22"/>
          <w:lang w:val="sr-Latn-ME"/>
        </w:rPr>
        <w:t>subkut</w:t>
      </w:r>
      <w:r w:rsidRPr="00C01AE6">
        <w:rPr>
          <w:sz w:val="22"/>
          <w:szCs w:val="22"/>
          <w:lang w:val="sr-Latn-ME"/>
        </w:rPr>
        <w:t>ano</w:t>
      </w:r>
      <w:proofErr w:type="spellEnd"/>
      <w:r w:rsidRPr="00C01AE6">
        <w:rPr>
          <w:sz w:val="22"/>
          <w:szCs w:val="22"/>
          <w:lang w:val="sr-Latn-ME"/>
        </w:rPr>
        <w:t xml:space="preserve"> u dozama do 10 mg/kg dnevno tokom 26 ned</w:t>
      </w:r>
      <w:r w:rsidR="002321C0" w:rsidRPr="00C01AE6">
        <w:rPr>
          <w:sz w:val="22"/>
          <w:szCs w:val="22"/>
          <w:lang w:val="sr-Latn-ME"/>
        </w:rPr>
        <w:t>j</w:t>
      </w:r>
      <w:r w:rsidRPr="00C01AE6">
        <w:rPr>
          <w:sz w:val="22"/>
          <w:szCs w:val="22"/>
          <w:lang w:val="sr-Latn-ME"/>
        </w:rPr>
        <w:t xml:space="preserve">elja. Ta dejstva su bila ograničena na </w:t>
      </w:r>
      <w:r w:rsidR="00613845" w:rsidRPr="00C01AE6">
        <w:rPr>
          <w:sz w:val="22"/>
          <w:szCs w:val="22"/>
          <w:lang w:val="sr-Latn-ME"/>
        </w:rPr>
        <w:t>mjesta</w:t>
      </w:r>
      <w:r w:rsidRPr="00C01AE6">
        <w:rPr>
          <w:sz w:val="22"/>
          <w:szCs w:val="22"/>
          <w:lang w:val="sr-Latn-ME"/>
        </w:rPr>
        <w:t xml:space="preserve"> </w:t>
      </w:r>
      <w:r w:rsidR="00BA210B" w:rsidRPr="00C01AE6">
        <w:rPr>
          <w:sz w:val="22"/>
          <w:szCs w:val="22"/>
          <w:lang w:val="sr-Latn-ME"/>
        </w:rPr>
        <w:t>primjen</w:t>
      </w:r>
      <w:r w:rsidRPr="00C01AE6">
        <w:rPr>
          <w:sz w:val="22"/>
          <w:szCs w:val="22"/>
          <w:lang w:val="sr-Latn-ME"/>
        </w:rPr>
        <w:t>e injekcije i bila su d</w:t>
      </w:r>
      <w:r w:rsidR="00393B52" w:rsidRPr="00C01AE6">
        <w:rPr>
          <w:sz w:val="22"/>
          <w:szCs w:val="22"/>
          <w:lang w:val="sr-Latn-ME"/>
        </w:rPr>
        <w:t>j</w:t>
      </w:r>
      <w:r w:rsidRPr="00C01AE6">
        <w:rPr>
          <w:sz w:val="22"/>
          <w:szCs w:val="22"/>
          <w:lang w:val="sr-Latn-ME"/>
        </w:rPr>
        <w:t xml:space="preserve">elimično ili potpuno </w:t>
      </w:r>
      <w:proofErr w:type="spellStart"/>
      <w:r w:rsidRPr="00C01AE6">
        <w:rPr>
          <w:sz w:val="22"/>
          <w:szCs w:val="22"/>
          <w:lang w:val="sr-Latn-ME"/>
        </w:rPr>
        <w:t>reverzibilna</w:t>
      </w:r>
      <w:proofErr w:type="spellEnd"/>
      <w:r w:rsidRPr="00C01AE6">
        <w:rPr>
          <w:sz w:val="22"/>
          <w:szCs w:val="22"/>
          <w:lang w:val="sr-Latn-ME"/>
        </w:rPr>
        <w:t>.</w:t>
      </w:r>
    </w:p>
    <w:p w14:paraId="41334C10" w14:textId="7F2D629C" w:rsidR="007F2902" w:rsidRPr="00C01AE6" w:rsidRDefault="007F2902" w:rsidP="00655C9D">
      <w:pPr>
        <w:widowControl w:val="0"/>
        <w:autoSpaceDE w:val="0"/>
        <w:autoSpaceDN w:val="0"/>
        <w:jc w:val="both"/>
        <w:rPr>
          <w:sz w:val="22"/>
          <w:szCs w:val="22"/>
          <w:lang w:val="sr-Latn-ME"/>
        </w:rPr>
      </w:pPr>
      <w:r w:rsidRPr="00C01AE6">
        <w:rPr>
          <w:sz w:val="22"/>
          <w:szCs w:val="22"/>
          <w:lang w:val="sr-Latn-ME"/>
        </w:rPr>
        <w:t>Ni u jednom drugom pregledanom tkivu ni</w:t>
      </w:r>
      <w:r w:rsidR="002321C0" w:rsidRPr="00C01AE6">
        <w:rPr>
          <w:sz w:val="22"/>
          <w:szCs w:val="22"/>
          <w:lang w:val="sr-Latn-ME"/>
        </w:rPr>
        <w:t>je</w:t>
      </w:r>
      <w:r w:rsidRPr="00C01AE6">
        <w:rPr>
          <w:sz w:val="22"/>
          <w:szCs w:val="22"/>
          <w:lang w:val="sr-Latn-ME"/>
        </w:rPr>
        <w:t xml:space="preserve">su </w:t>
      </w:r>
      <w:r w:rsidR="00393B52" w:rsidRPr="00C01AE6">
        <w:rPr>
          <w:sz w:val="22"/>
          <w:szCs w:val="22"/>
          <w:lang w:val="sr-Latn-ME"/>
        </w:rPr>
        <w:t xml:space="preserve">zabilježeni </w:t>
      </w:r>
      <w:r w:rsidRPr="00C01AE6">
        <w:rPr>
          <w:sz w:val="22"/>
          <w:szCs w:val="22"/>
          <w:lang w:val="sr-Latn-ME"/>
        </w:rPr>
        <w:t xml:space="preserve">dokazi za </w:t>
      </w:r>
      <w:proofErr w:type="spellStart"/>
      <w:r w:rsidRPr="00C01AE6">
        <w:rPr>
          <w:sz w:val="22"/>
          <w:szCs w:val="22"/>
          <w:lang w:val="sr-Latn-ME"/>
        </w:rPr>
        <w:t>ektopičnu</w:t>
      </w:r>
      <w:proofErr w:type="spellEnd"/>
      <w:r w:rsidRPr="00C01AE6">
        <w:rPr>
          <w:sz w:val="22"/>
          <w:szCs w:val="22"/>
          <w:lang w:val="sr-Latn-ME"/>
        </w:rPr>
        <w:t xml:space="preserve"> </w:t>
      </w:r>
      <w:proofErr w:type="spellStart"/>
      <w:r w:rsidRPr="00C01AE6">
        <w:rPr>
          <w:sz w:val="22"/>
          <w:szCs w:val="22"/>
          <w:lang w:val="sr-Latn-ME"/>
        </w:rPr>
        <w:t>kalcifikaciju</w:t>
      </w:r>
      <w:proofErr w:type="spellEnd"/>
      <w:r w:rsidRPr="00C01AE6">
        <w:rPr>
          <w:sz w:val="22"/>
          <w:szCs w:val="22"/>
          <w:lang w:val="sr-Latn-ME"/>
        </w:rPr>
        <w:t>.</w:t>
      </w:r>
    </w:p>
    <w:p w14:paraId="67F9D92E" w14:textId="77777777" w:rsidR="007F2902" w:rsidRPr="00C01AE6" w:rsidRDefault="007F2902" w:rsidP="00655C9D">
      <w:pPr>
        <w:widowControl w:val="0"/>
        <w:autoSpaceDE w:val="0"/>
        <w:autoSpaceDN w:val="0"/>
        <w:jc w:val="both"/>
        <w:rPr>
          <w:sz w:val="22"/>
          <w:szCs w:val="22"/>
          <w:lang w:val="sr-Latn-ME"/>
        </w:rPr>
      </w:pPr>
    </w:p>
    <w:p w14:paraId="686FE860" w14:textId="77777777" w:rsidR="00C01AE6" w:rsidRDefault="00C01AE6" w:rsidP="00655C9D">
      <w:pPr>
        <w:widowControl w:val="0"/>
        <w:autoSpaceDE w:val="0"/>
        <w:autoSpaceDN w:val="0"/>
        <w:spacing w:line="247" w:lineRule="auto"/>
        <w:jc w:val="both"/>
        <w:rPr>
          <w:sz w:val="22"/>
          <w:szCs w:val="22"/>
          <w:lang w:val="sr-Latn-ME"/>
        </w:rPr>
      </w:pPr>
    </w:p>
    <w:p w14:paraId="770DA29C" w14:textId="6FF6C1A6" w:rsidR="007F2902" w:rsidRPr="00C01AE6" w:rsidRDefault="007F2902" w:rsidP="00655C9D">
      <w:pPr>
        <w:widowControl w:val="0"/>
        <w:autoSpaceDE w:val="0"/>
        <w:autoSpaceDN w:val="0"/>
        <w:spacing w:line="247" w:lineRule="auto"/>
        <w:jc w:val="both"/>
        <w:rPr>
          <w:sz w:val="22"/>
          <w:szCs w:val="22"/>
          <w:lang w:val="sr-Latn-ME"/>
        </w:rPr>
      </w:pPr>
      <w:proofErr w:type="spellStart"/>
      <w:r w:rsidRPr="00C01AE6">
        <w:rPr>
          <w:sz w:val="22"/>
          <w:szCs w:val="22"/>
          <w:lang w:val="sr-Latn-ME"/>
        </w:rPr>
        <w:lastRenderedPageBreak/>
        <w:t>Pretklinički</w:t>
      </w:r>
      <w:proofErr w:type="spellEnd"/>
      <w:r w:rsidRPr="00C01AE6">
        <w:rPr>
          <w:sz w:val="22"/>
          <w:szCs w:val="22"/>
          <w:lang w:val="sr-Latn-ME"/>
        </w:rPr>
        <w:t xml:space="preserve"> podaci ne ukazuju na poseban rizik za </w:t>
      </w:r>
      <w:proofErr w:type="spellStart"/>
      <w:r w:rsidRPr="00C01AE6">
        <w:rPr>
          <w:sz w:val="22"/>
          <w:szCs w:val="22"/>
          <w:lang w:val="sr-Latn-ME"/>
        </w:rPr>
        <w:t>ljude</w:t>
      </w:r>
      <w:proofErr w:type="spellEnd"/>
      <w:r w:rsidRPr="00C01AE6">
        <w:rPr>
          <w:sz w:val="22"/>
          <w:szCs w:val="22"/>
          <w:lang w:val="sr-Latn-ME"/>
        </w:rPr>
        <w:t xml:space="preserve"> na osnovu konvencionalnih studija farmakolo</w:t>
      </w:r>
      <w:r w:rsidR="002321C0" w:rsidRPr="00C01AE6">
        <w:rPr>
          <w:sz w:val="22"/>
          <w:szCs w:val="22"/>
          <w:lang w:val="sr-Latn-ME"/>
        </w:rPr>
        <w:t>ške</w:t>
      </w:r>
      <w:r w:rsidRPr="00C01AE6">
        <w:rPr>
          <w:sz w:val="22"/>
          <w:szCs w:val="22"/>
          <w:lang w:val="sr-Latn-ME"/>
        </w:rPr>
        <w:t xml:space="preserve"> </w:t>
      </w:r>
      <w:r w:rsidR="00BA210B" w:rsidRPr="00C01AE6">
        <w:rPr>
          <w:sz w:val="22"/>
          <w:szCs w:val="22"/>
          <w:lang w:val="sr-Latn-ME"/>
        </w:rPr>
        <w:t>bezbjednost</w:t>
      </w:r>
      <w:r w:rsidRPr="00C01AE6">
        <w:rPr>
          <w:sz w:val="22"/>
          <w:szCs w:val="22"/>
          <w:lang w:val="sr-Latn-ME"/>
        </w:rPr>
        <w:t xml:space="preserve">i, toksičnosti ponovljenih doza ili reproduktivne i razvojne toksičnosti. Ipak, kod skotnih ženki kunića kojima je </w:t>
      </w:r>
      <w:proofErr w:type="spellStart"/>
      <w:r w:rsidRPr="00C01AE6">
        <w:rPr>
          <w:sz w:val="22"/>
          <w:szCs w:val="22"/>
          <w:lang w:val="sr-Latn-ME"/>
        </w:rPr>
        <w:t>asfotaza</w:t>
      </w:r>
      <w:proofErr w:type="spellEnd"/>
      <w:r w:rsidRPr="00C01AE6">
        <w:rPr>
          <w:sz w:val="22"/>
          <w:szCs w:val="22"/>
          <w:lang w:val="sr-Latn-ME"/>
        </w:rPr>
        <w:t xml:space="preserve"> alfa </w:t>
      </w:r>
      <w:r w:rsidR="00BA210B" w:rsidRPr="00C01AE6">
        <w:rPr>
          <w:sz w:val="22"/>
          <w:szCs w:val="22"/>
          <w:lang w:val="sr-Latn-ME"/>
        </w:rPr>
        <w:t>prim</w:t>
      </w:r>
      <w:r w:rsidR="002321C0" w:rsidRPr="00C01AE6">
        <w:rPr>
          <w:sz w:val="22"/>
          <w:szCs w:val="22"/>
          <w:lang w:val="sr-Latn-ME"/>
        </w:rPr>
        <w:t>i</w:t>
      </w:r>
      <w:r w:rsidR="00BA210B" w:rsidRPr="00C01AE6">
        <w:rPr>
          <w:sz w:val="22"/>
          <w:szCs w:val="22"/>
          <w:lang w:val="sr-Latn-ME"/>
        </w:rPr>
        <w:t>jen</w:t>
      </w:r>
      <w:r w:rsidRPr="00C01AE6">
        <w:rPr>
          <w:sz w:val="22"/>
          <w:szCs w:val="22"/>
          <w:lang w:val="sr-Latn-ME"/>
        </w:rPr>
        <w:t xml:space="preserve">jena </w:t>
      </w:r>
      <w:proofErr w:type="spellStart"/>
      <w:r w:rsidRPr="00C01AE6">
        <w:rPr>
          <w:sz w:val="22"/>
          <w:szCs w:val="22"/>
          <w:lang w:val="sr-Latn-ME"/>
        </w:rPr>
        <w:t>intravenski</w:t>
      </w:r>
      <w:proofErr w:type="spellEnd"/>
      <w:r w:rsidRPr="00C01AE6">
        <w:rPr>
          <w:sz w:val="22"/>
          <w:szCs w:val="22"/>
          <w:lang w:val="sr-Latn-ME"/>
        </w:rPr>
        <w:t xml:space="preserve"> u dozama do 50 mg/kg dnevno, </w:t>
      </w:r>
      <w:r w:rsidR="00393B52" w:rsidRPr="00C01AE6">
        <w:rPr>
          <w:sz w:val="22"/>
          <w:szCs w:val="22"/>
          <w:lang w:val="sr-Latn-ME"/>
        </w:rPr>
        <w:t xml:space="preserve">antitijela </w:t>
      </w:r>
      <w:r w:rsidRPr="00C01AE6">
        <w:rPr>
          <w:sz w:val="22"/>
          <w:szCs w:val="22"/>
          <w:lang w:val="sr-Latn-ME"/>
        </w:rPr>
        <w:t>na l</w:t>
      </w:r>
      <w:r w:rsidR="005B26E6" w:rsidRPr="00C01AE6">
        <w:rPr>
          <w:sz w:val="22"/>
          <w:szCs w:val="22"/>
          <w:lang w:val="sr-Latn-ME"/>
        </w:rPr>
        <w:t>ij</w:t>
      </w:r>
      <w:r w:rsidRPr="00C01AE6">
        <w:rPr>
          <w:sz w:val="22"/>
          <w:szCs w:val="22"/>
          <w:lang w:val="sr-Latn-ME"/>
        </w:rPr>
        <w:t>ek otkrivena su u do 75% životinja što je moglo uticati na otkrivanje reproduktivne toksičnosti.</w:t>
      </w:r>
    </w:p>
    <w:p w14:paraId="61241FE6" w14:textId="084CDBA4" w:rsidR="007F2902" w:rsidRPr="00C01AE6" w:rsidRDefault="007F2902" w:rsidP="00655C9D">
      <w:pPr>
        <w:widowControl w:val="0"/>
        <w:autoSpaceDE w:val="0"/>
        <w:autoSpaceDN w:val="0"/>
        <w:spacing w:line="247" w:lineRule="auto"/>
        <w:jc w:val="both"/>
        <w:rPr>
          <w:sz w:val="22"/>
          <w:szCs w:val="22"/>
          <w:lang w:val="sr-Latn-ME"/>
        </w:rPr>
      </w:pPr>
      <w:r w:rsidRPr="00C01AE6">
        <w:rPr>
          <w:sz w:val="22"/>
          <w:szCs w:val="22"/>
          <w:lang w:val="sr-Latn-ME"/>
        </w:rPr>
        <w:t>Ni</w:t>
      </w:r>
      <w:r w:rsidR="005B26E6" w:rsidRPr="00C01AE6">
        <w:rPr>
          <w:sz w:val="22"/>
          <w:szCs w:val="22"/>
          <w:lang w:val="sr-Latn-ME"/>
        </w:rPr>
        <w:t>je</w:t>
      </w:r>
      <w:r w:rsidRPr="00C01AE6">
        <w:rPr>
          <w:sz w:val="22"/>
          <w:szCs w:val="22"/>
          <w:lang w:val="sr-Latn-ME"/>
        </w:rPr>
        <w:t>su sprovedene studije na životinjama kako bi se proc</w:t>
      </w:r>
      <w:r w:rsidR="005B26E6" w:rsidRPr="00C01AE6">
        <w:rPr>
          <w:sz w:val="22"/>
          <w:szCs w:val="22"/>
          <w:lang w:val="sr-Latn-ME"/>
        </w:rPr>
        <w:t>ij</w:t>
      </w:r>
      <w:r w:rsidRPr="00C01AE6">
        <w:rPr>
          <w:sz w:val="22"/>
          <w:szCs w:val="22"/>
          <w:lang w:val="sr-Latn-ME"/>
        </w:rPr>
        <w:t xml:space="preserve">enile </w:t>
      </w:r>
      <w:proofErr w:type="spellStart"/>
      <w:r w:rsidRPr="00C01AE6">
        <w:rPr>
          <w:sz w:val="22"/>
          <w:szCs w:val="22"/>
          <w:lang w:val="sr-Latn-ME"/>
        </w:rPr>
        <w:t>genotoksičnost</w:t>
      </w:r>
      <w:proofErr w:type="spellEnd"/>
      <w:r w:rsidRPr="00C01AE6">
        <w:rPr>
          <w:sz w:val="22"/>
          <w:szCs w:val="22"/>
          <w:lang w:val="sr-Latn-ME"/>
        </w:rPr>
        <w:t xml:space="preserve"> i kancerogenost </w:t>
      </w:r>
      <w:proofErr w:type="spellStart"/>
      <w:r w:rsidRPr="00C01AE6">
        <w:rPr>
          <w:sz w:val="22"/>
          <w:szCs w:val="22"/>
          <w:lang w:val="sr-Latn-ME"/>
        </w:rPr>
        <w:t>asfotaze</w:t>
      </w:r>
      <w:proofErr w:type="spellEnd"/>
      <w:r w:rsidRPr="00C01AE6">
        <w:rPr>
          <w:sz w:val="22"/>
          <w:szCs w:val="22"/>
          <w:lang w:val="sr-Latn-ME"/>
        </w:rPr>
        <w:t xml:space="preserve"> alfa.</w:t>
      </w:r>
    </w:p>
    <w:p w14:paraId="2B6F554A" w14:textId="5D115C37" w:rsidR="00396DFD" w:rsidRDefault="00396DFD" w:rsidP="00655C9D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</w:p>
    <w:p w14:paraId="7E0B9354" w14:textId="77777777" w:rsidR="00C01AE6" w:rsidRPr="00C01AE6" w:rsidRDefault="00C01AE6" w:rsidP="00655C9D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</w:p>
    <w:p w14:paraId="6927B16D" w14:textId="77777777" w:rsidR="0072020E" w:rsidRPr="00C01AE6" w:rsidRDefault="0072020E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ME"/>
        </w:rPr>
      </w:pPr>
      <w:r w:rsidRPr="00C01AE6">
        <w:rPr>
          <w:b/>
          <w:bCs/>
          <w:sz w:val="22"/>
          <w:szCs w:val="22"/>
          <w:lang w:val="sr-Latn-ME"/>
        </w:rPr>
        <w:t xml:space="preserve">6. </w:t>
      </w:r>
      <w:r w:rsidR="00480FB1" w:rsidRPr="00C01AE6">
        <w:rPr>
          <w:b/>
          <w:bCs/>
          <w:sz w:val="22"/>
          <w:szCs w:val="22"/>
          <w:lang w:val="sr-Latn-ME"/>
        </w:rPr>
        <w:tab/>
      </w:r>
      <w:r w:rsidRPr="00C01AE6">
        <w:rPr>
          <w:b/>
          <w:bCs/>
          <w:sz w:val="22"/>
          <w:szCs w:val="22"/>
          <w:lang w:val="sr-Latn-ME"/>
        </w:rPr>
        <w:t>FARMACEUTSKI PODACI</w:t>
      </w:r>
    </w:p>
    <w:p w14:paraId="32CE8F9F" w14:textId="77777777" w:rsidR="00836B35" w:rsidRPr="00C01AE6" w:rsidRDefault="00836B35">
      <w:pPr>
        <w:tabs>
          <w:tab w:val="left" w:pos="540"/>
          <w:tab w:val="left" w:pos="569"/>
        </w:tabs>
        <w:rPr>
          <w:bCs/>
          <w:sz w:val="22"/>
          <w:szCs w:val="22"/>
          <w:lang w:val="sr-Latn-ME"/>
        </w:rPr>
      </w:pPr>
    </w:p>
    <w:p w14:paraId="39688541" w14:textId="38D83991" w:rsidR="0072020E" w:rsidRPr="00C01AE6" w:rsidRDefault="0072020E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ME"/>
        </w:rPr>
      </w:pPr>
      <w:r w:rsidRPr="00C01AE6">
        <w:rPr>
          <w:b/>
          <w:bCs/>
          <w:sz w:val="22"/>
          <w:szCs w:val="22"/>
          <w:lang w:val="sr-Latn-ME"/>
        </w:rPr>
        <w:t xml:space="preserve">6.1. </w:t>
      </w:r>
      <w:r w:rsidR="00480FB1" w:rsidRPr="00C01AE6">
        <w:rPr>
          <w:b/>
          <w:bCs/>
          <w:sz w:val="22"/>
          <w:szCs w:val="22"/>
          <w:lang w:val="sr-Latn-ME"/>
        </w:rPr>
        <w:tab/>
      </w:r>
      <w:r w:rsidRPr="00C01AE6">
        <w:rPr>
          <w:b/>
          <w:bCs/>
          <w:sz w:val="22"/>
          <w:szCs w:val="22"/>
          <w:lang w:val="sr-Latn-ME"/>
        </w:rPr>
        <w:t>Lista pomoćnih supstanci</w:t>
      </w:r>
      <w:r w:rsidR="002E0135" w:rsidRPr="00C01AE6">
        <w:rPr>
          <w:b/>
          <w:bCs/>
          <w:sz w:val="22"/>
          <w:szCs w:val="22"/>
          <w:lang w:val="sr-Latn-ME"/>
        </w:rPr>
        <w:t xml:space="preserve"> (</w:t>
      </w:r>
      <w:proofErr w:type="spellStart"/>
      <w:r w:rsidR="002E0135" w:rsidRPr="00C01AE6">
        <w:rPr>
          <w:b/>
          <w:bCs/>
          <w:sz w:val="22"/>
          <w:szCs w:val="22"/>
          <w:lang w:val="sr-Latn-ME"/>
        </w:rPr>
        <w:t>ekscipijenasa</w:t>
      </w:r>
      <w:proofErr w:type="spellEnd"/>
      <w:r w:rsidR="002E0135" w:rsidRPr="00C01AE6">
        <w:rPr>
          <w:b/>
          <w:bCs/>
          <w:sz w:val="22"/>
          <w:szCs w:val="22"/>
          <w:lang w:val="sr-Latn-ME"/>
        </w:rPr>
        <w:t>)</w:t>
      </w:r>
    </w:p>
    <w:p w14:paraId="5A253E80" w14:textId="77777777" w:rsidR="007F2902" w:rsidRPr="00C01AE6" w:rsidRDefault="007F2902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ME"/>
        </w:rPr>
      </w:pPr>
    </w:p>
    <w:p w14:paraId="5D0F7782" w14:textId="6421EA6D" w:rsidR="007F2902" w:rsidRPr="00C01AE6" w:rsidRDefault="007F2902" w:rsidP="00655C9D">
      <w:pPr>
        <w:widowControl w:val="0"/>
        <w:autoSpaceDE w:val="0"/>
        <w:autoSpaceDN w:val="0"/>
        <w:rPr>
          <w:sz w:val="22"/>
          <w:szCs w:val="22"/>
          <w:lang w:val="sr-Latn-ME"/>
        </w:rPr>
      </w:pPr>
      <w:r w:rsidRPr="00C01AE6">
        <w:rPr>
          <w:sz w:val="22"/>
          <w:szCs w:val="22"/>
          <w:lang w:val="sr-Latn-ME"/>
        </w:rPr>
        <w:t>Natrijum</w:t>
      </w:r>
      <w:r w:rsidR="00AD0B64" w:rsidRPr="00C01AE6">
        <w:rPr>
          <w:sz w:val="22"/>
          <w:szCs w:val="22"/>
          <w:lang w:val="sr-Latn-ME"/>
        </w:rPr>
        <w:t xml:space="preserve"> </w:t>
      </w:r>
      <w:r w:rsidRPr="00C01AE6">
        <w:rPr>
          <w:sz w:val="22"/>
          <w:szCs w:val="22"/>
          <w:lang w:val="sr-Latn-ME"/>
        </w:rPr>
        <w:t>hlorid</w:t>
      </w:r>
    </w:p>
    <w:p w14:paraId="35689024" w14:textId="6194D22A" w:rsidR="007F2902" w:rsidRPr="00C01AE6" w:rsidRDefault="006C656A" w:rsidP="00655C9D">
      <w:pPr>
        <w:widowControl w:val="0"/>
        <w:autoSpaceDE w:val="0"/>
        <w:autoSpaceDN w:val="0"/>
        <w:spacing w:line="247" w:lineRule="auto"/>
        <w:ind w:right="4723"/>
        <w:rPr>
          <w:sz w:val="22"/>
          <w:szCs w:val="22"/>
          <w:lang w:val="sr-Latn-ME"/>
        </w:rPr>
      </w:pPr>
      <w:proofErr w:type="spellStart"/>
      <w:r w:rsidRPr="00C01AE6">
        <w:rPr>
          <w:sz w:val="22"/>
          <w:szCs w:val="22"/>
          <w:lang w:val="sr-Latn-ME"/>
        </w:rPr>
        <w:t>Din</w:t>
      </w:r>
      <w:r w:rsidR="007F2902" w:rsidRPr="00C01AE6">
        <w:rPr>
          <w:sz w:val="22"/>
          <w:szCs w:val="22"/>
          <w:lang w:val="sr-Latn-ME"/>
        </w:rPr>
        <w:t>atrijum</w:t>
      </w:r>
      <w:proofErr w:type="spellEnd"/>
      <w:r w:rsidR="007F2902" w:rsidRPr="00C01AE6">
        <w:rPr>
          <w:sz w:val="22"/>
          <w:szCs w:val="22"/>
          <w:lang w:val="sr-Latn-ME"/>
        </w:rPr>
        <w:t xml:space="preserve"> fosfat </w:t>
      </w:r>
      <w:proofErr w:type="spellStart"/>
      <w:r w:rsidR="007F2902" w:rsidRPr="00C01AE6">
        <w:rPr>
          <w:sz w:val="22"/>
          <w:szCs w:val="22"/>
          <w:lang w:val="sr-Latn-ME"/>
        </w:rPr>
        <w:t>heptahidrat</w:t>
      </w:r>
      <w:proofErr w:type="spellEnd"/>
      <w:r w:rsidR="007F2902" w:rsidRPr="00C01AE6">
        <w:rPr>
          <w:sz w:val="22"/>
          <w:szCs w:val="22"/>
          <w:lang w:val="sr-Latn-ME"/>
        </w:rPr>
        <w:t xml:space="preserve"> </w:t>
      </w:r>
    </w:p>
    <w:p w14:paraId="076E8DB9" w14:textId="7551791A" w:rsidR="007F2902" w:rsidRPr="00C01AE6" w:rsidRDefault="007F2902" w:rsidP="00655C9D">
      <w:pPr>
        <w:widowControl w:val="0"/>
        <w:autoSpaceDE w:val="0"/>
        <w:autoSpaceDN w:val="0"/>
        <w:spacing w:line="247" w:lineRule="auto"/>
        <w:ind w:right="4723"/>
        <w:rPr>
          <w:sz w:val="22"/>
          <w:szCs w:val="22"/>
          <w:lang w:val="sr-Latn-ME"/>
        </w:rPr>
      </w:pPr>
      <w:r w:rsidRPr="00C01AE6">
        <w:rPr>
          <w:sz w:val="22"/>
          <w:szCs w:val="22"/>
          <w:lang w:val="sr-Latn-ME"/>
        </w:rPr>
        <w:t xml:space="preserve">Natrijum </w:t>
      </w:r>
      <w:proofErr w:type="spellStart"/>
      <w:r w:rsidR="006C656A" w:rsidRPr="00C01AE6">
        <w:rPr>
          <w:sz w:val="22"/>
          <w:szCs w:val="22"/>
          <w:lang w:val="sr-Latn-ME"/>
        </w:rPr>
        <w:t>dihidrogen</w:t>
      </w:r>
      <w:r w:rsidRPr="00C01AE6">
        <w:rPr>
          <w:sz w:val="22"/>
          <w:szCs w:val="22"/>
          <w:lang w:val="sr-Latn-ME"/>
        </w:rPr>
        <w:t>fosfat</w:t>
      </w:r>
      <w:proofErr w:type="spellEnd"/>
      <w:r w:rsidRPr="00C01AE6">
        <w:rPr>
          <w:sz w:val="22"/>
          <w:szCs w:val="22"/>
          <w:lang w:val="sr-Latn-ME"/>
        </w:rPr>
        <w:t xml:space="preserve"> </w:t>
      </w:r>
      <w:proofErr w:type="spellStart"/>
      <w:r w:rsidRPr="00C01AE6">
        <w:rPr>
          <w:sz w:val="22"/>
          <w:szCs w:val="22"/>
          <w:lang w:val="sr-Latn-ME"/>
        </w:rPr>
        <w:t>monohidrat</w:t>
      </w:r>
      <w:proofErr w:type="spellEnd"/>
      <w:r w:rsidRPr="00C01AE6">
        <w:rPr>
          <w:sz w:val="22"/>
          <w:szCs w:val="22"/>
          <w:lang w:val="sr-Latn-ME"/>
        </w:rPr>
        <w:t xml:space="preserve"> </w:t>
      </w:r>
    </w:p>
    <w:p w14:paraId="373FA11D" w14:textId="77777777" w:rsidR="007F2902" w:rsidRPr="00C01AE6" w:rsidRDefault="007F2902" w:rsidP="00655C9D">
      <w:pPr>
        <w:widowControl w:val="0"/>
        <w:autoSpaceDE w:val="0"/>
        <w:autoSpaceDN w:val="0"/>
        <w:spacing w:line="247" w:lineRule="auto"/>
        <w:ind w:right="4723"/>
        <w:rPr>
          <w:sz w:val="22"/>
          <w:szCs w:val="22"/>
          <w:lang w:val="sr-Latn-ME"/>
        </w:rPr>
      </w:pPr>
      <w:r w:rsidRPr="00C01AE6">
        <w:rPr>
          <w:sz w:val="22"/>
          <w:szCs w:val="22"/>
          <w:lang w:val="sr-Latn-ME"/>
        </w:rPr>
        <w:t>Voda za injekcije</w:t>
      </w:r>
    </w:p>
    <w:p w14:paraId="79CCD4D1" w14:textId="77777777" w:rsidR="0072020E" w:rsidRPr="00C01AE6" w:rsidRDefault="0072020E">
      <w:pPr>
        <w:tabs>
          <w:tab w:val="left" w:pos="540"/>
          <w:tab w:val="left" w:pos="569"/>
        </w:tabs>
        <w:rPr>
          <w:bCs/>
          <w:sz w:val="22"/>
          <w:szCs w:val="22"/>
          <w:lang w:val="sr-Latn-ME"/>
        </w:rPr>
      </w:pPr>
    </w:p>
    <w:p w14:paraId="420D5DB2" w14:textId="70DC466B" w:rsidR="0072020E" w:rsidRPr="00C01AE6" w:rsidRDefault="0072020E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ME"/>
        </w:rPr>
      </w:pPr>
      <w:r w:rsidRPr="00C01AE6">
        <w:rPr>
          <w:b/>
          <w:bCs/>
          <w:sz w:val="22"/>
          <w:szCs w:val="22"/>
          <w:lang w:val="sr-Latn-ME"/>
        </w:rPr>
        <w:t xml:space="preserve">6.2. </w:t>
      </w:r>
      <w:r w:rsidR="00480FB1" w:rsidRPr="00C01AE6">
        <w:rPr>
          <w:b/>
          <w:bCs/>
          <w:sz w:val="22"/>
          <w:szCs w:val="22"/>
          <w:lang w:val="sr-Latn-ME"/>
        </w:rPr>
        <w:tab/>
      </w:r>
      <w:r w:rsidRPr="00C01AE6">
        <w:rPr>
          <w:b/>
          <w:bCs/>
          <w:sz w:val="22"/>
          <w:szCs w:val="22"/>
          <w:lang w:val="sr-Latn-ME"/>
        </w:rPr>
        <w:t>Inkompatibilnost</w:t>
      </w:r>
      <w:r w:rsidR="002846DB" w:rsidRPr="00C01AE6">
        <w:rPr>
          <w:b/>
          <w:bCs/>
          <w:sz w:val="22"/>
          <w:szCs w:val="22"/>
          <w:lang w:val="sr-Latn-ME"/>
        </w:rPr>
        <w:t>i</w:t>
      </w:r>
    </w:p>
    <w:p w14:paraId="4D866B89" w14:textId="77777777" w:rsidR="007F2902" w:rsidRPr="00C01AE6" w:rsidRDefault="007F2902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ME"/>
        </w:rPr>
      </w:pPr>
    </w:p>
    <w:p w14:paraId="5C195F41" w14:textId="755DDD73" w:rsidR="007F2902" w:rsidRPr="00C01AE6" w:rsidRDefault="007F2902">
      <w:pPr>
        <w:widowControl w:val="0"/>
        <w:autoSpaceDE w:val="0"/>
        <w:autoSpaceDN w:val="0"/>
        <w:spacing w:line="244" w:lineRule="auto"/>
        <w:rPr>
          <w:sz w:val="22"/>
          <w:szCs w:val="22"/>
          <w:lang w:val="sr-Latn-ME"/>
        </w:rPr>
      </w:pPr>
      <w:r w:rsidRPr="00C01AE6">
        <w:rPr>
          <w:sz w:val="22"/>
          <w:szCs w:val="22"/>
          <w:lang w:val="sr-Latn-ME"/>
        </w:rPr>
        <w:t xml:space="preserve">U odsustvu studija kompatibilnosti, ovaj </w:t>
      </w:r>
      <w:r w:rsidR="005B26E6" w:rsidRPr="00C01AE6">
        <w:rPr>
          <w:sz w:val="22"/>
          <w:szCs w:val="22"/>
          <w:lang w:val="sr-Latn-ME"/>
        </w:rPr>
        <w:t>lijek</w:t>
      </w:r>
      <w:r w:rsidRPr="00C01AE6">
        <w:rPr>
          <w:sz w:val="22"/>
          <w:szCs w:val="22"/>
          <w:lang w:val="sr-Latn-ME"/>
        </w:rPr>
        <w:t xml:space="preserve"> se ne sm</w:t>
      </w:r>
      <w:r w:rsidR="005B26E6" w:rsidRPr="00C01AE6">
        <w:rPr>
          <w:sz w:val="22"/>
          <w:szCs w:val="22"/>
          <w:lang w:val="sr-Latn-ME"/>
        </w:rPr>
        <w:t>ij</w:t>
      </w:r>
      <w:r w:rsidRPr="00C01AE6">
        <w:rPr>
          <w:sz w:val="22"/>
          <w:szCs w:val="22"/>
          <w:lang w:val="sr-Latn-ME"/>
        </w:rPr>
        <w:t>e m</w:t>
      </w:r>
      <w:r w:rsidR="00713961" w:rsidRPr="00C01AE6">
        <w:rPr>
          <w:sz w:val="22"/>
          <w:szCs w:val="22"/>
          <w:lang w:val="sr-Latn-ME"/>
        </w:rPr>
        <w:t>ij</w:t>
      </w:r>
      <w:r w:rsidRPr="00C01AE6">
        <w:rPr>
          <w:sz w:val="22"/>
          <w:szCs w:val="22"/>
          <w:lang w:val="sr-Latn-ME"/>
        </w:rPr>
        <w:t xml:space="preserve">ešati sa drugim </w:t>
      </w:r>
      <w:r w:rsidR="005B26E6" w:rsidRPr="00C01AE6">
        <w:rPr>
          <w:sz w:val="22"/>
          <w:szCs w:val="22"/>
          <w:lang w:val="sr-Latn-ME"/>
        </w:rPr>
        <w:t>ljekov</w:t>
      </w:r>
      <w:r w:rsidRPr="00C01AE6">
        <w:rPr>
          <w:sz w:val="22"/>
          <w:szCs w:val="22"/>
          <w:lang w:val="sr-Latn-ME"/>
        </w:rPr>
        <w:t>ima.</w:t>
      </w:r>
    </w:p>
    <w:p w14:paraId="15D0549A" w14:textId="77777777" w:rsidR="0072020E" w:rsidRPr="00C01AE6" w:rsidRDefault="0072020E">
      <w:pPr>
        <w:tabs>
          <w:tab w:val="left" w:pos="540"/>
          <w:tab w:val="left" w:pos="569"/>
        </w:tabs>
        <w:rPr>
          <w:bCs/>
          <w:sz w:val="22"/>
          <w:szCs w:val="22"/>
          <w:lang w:val="sr-Latn-ME"/>
        </w:rPr>
      </w:pPr>
    </w:p>
    <w:p w14:paraId="744A50BD" w14:textId="77777777" w:rsidR="0072020E" w:rsidRPr="00C01AE6" w:rsidRDefault="0072020E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ME"/>
        </w:rPr>
      </w:pPr>
      <w:r w:rsidRPr="00C01AE6">
        <w:rPr>
          <w:b/>
          <w:bCs/>
          <w:sz w:val="22"/>
          <w:szCs w:val="22"/>
          <w:lang w:val="sr-Latn-ME"/>
        </w:rPr>
        <w:t>6.3.</w:t>
      </w:r>
      <w:r w:rsidR="00C05DF8" w:rsidRPr="00C01AE6">
        <w:rPr>
          <w:b/>
          <w:bCs/>
          <w:sz w:val="22"/>
          <w:szCs w:val="22"/>
          <w:lang w:val="sr-Latn-ME"/>
        </w:rPr>
        <w:t xml:space="preserve"> </w:t>
      </w:r>
      <w:r w:rsidR="00480FB1" w:rsidRPr="00C01AE6">
        <w:rPr>
          <w:b/>
          <w:bCs/>
          <w:sz w:val="22"/>
          <w:szCs w:val="22"/>
          <w:lang w:val="sr-Latn-ME"/>
        </w:rPr>
        <w:tab/>
      </w:r>
      <w:r w:rsidRPr="00C01AE6">
        <w:rPr>
          <w:b/>
          <w:bCs/>
          <w:sz w:val="22"/>
          <w:szCs w:val="22"/>
          <w:lang w:val="sr-Latn-ME"/>
        </w:rPr>
        <w:t>Rok upotrebe</w:t>
      </w:r>
    </w:p>
    <w:p w14:paraId="620856B9" w14:textId="3D7DC439" w:rsidR="0072020E" w:rsidRPr="00C01AE6" w:rsidRDefault="0072020E">
      <w:pPr>
        <w:tabs>
          <w:tab w:val="left" w:pos="540"/>
          <w:tab w:val="left" w:pos="569"/>
        </w:tabs>
        <w:rPr>
          <w:bCs/>
          <w:sz w:val="22"/>
          <w:szCs w:val="22"/>
          <w:lang w:val="sr-Latn-ME"/>
        </w:rPr>
      </w:pPr>
    </w:p>
    <w:p w14:paraId="79DC1F6E" w14:textId="201B3B56" w:rsidR="007F2902" w:rsidRPr="00C01AE6" w:rsidRDefault="007F2902" w:rsidP="00655C9D">
      <w:pPr>
        <w:widowControl w:val="0"/>
        <w:autoSpaceDE w:val="0"/>
        <w:autoSpaceDN w:val="0"/>
        <w:rPr>
          <w:sz w:val="22"/>
          <w:szCs w:val="22"/>
          <w:lang w:val="sr-Latn-ME"/>
        </w:rPr>
      </w:pPr>
      <w:r w:rsidRPr="00C01AE6">
        <w:rPr>
          <w:sz w:val="22"/>
          <w:szCs w:val="22"/>
          <w:lang w:val="sr-Latn-ME"/>
        </w:rPr>
        <w:t xml:space="preserve">30 </w:t>
      </w:r>
      <w:r w:rsidR="00613845" w:rsidRPr="00C01AE6">
        <w:rPr>
          <w:sz w:val="22"/>
          <w:szCs w:val="22"/>
          <w:lang w:val="sr-Latn-ME"/>
        </w:rPr>
        <w:t>mjeseci</w:t>
      </w:r>
    </w:p>
    <w:p w14:paraId="0CAEA58B" w14:textId="77777777" w:rsidR="007F2902" w:rsidRPr="00C01AE6" w:rsidRDefault="007F2902" w:rsidP="00655C9D">
      <w:pPr>
        <w:widowControl w:val="0"/>
        <w:autoSpaceDE w:val="0"/>
        <w:autoSpaceDN w:val="0"/>
        <w:rPr>
          <w:sz w:val="22"/>
          <w:szCs w:val="22"/>
          <w:lang w:val="sr-Latn-ME"/>
        </w:rPr>
      </w:pPr>
    </w:p>
    <w:p w14:paraId="23116C3C" w14:textId="519FC405" w:rsidR="007F2902" w:rsidRPr="00C01AE6" w:rsidRDefault="007F2902" w:rsidP="00C01AE6">
      <w:pPr>
        <w:widowControl w:val="0"/>
        <w:autoSpaceDE w:val="0"/>
        <w:autoSpaceDN w:val="0"/>
        <w:spacing w:line="249" w:lineRule="auto"/>
        <w:ind w:right="1"/>
        <w:rPr>
          <w:sz w:val="22"/>
          <w:szCs w:val="22"/>
          <w:lang w:val="sr-Latn-ME"/>
        </w:rPr>
      </w:pPr>
      <w:r w:rsidRPr="00C01AE6">
        <w:rPr>
          <w:sz w:val="22"/>
          <w:szCs w:val="22"/>
          <w:lang w:val="sr-Latn-ME"/>
        </w:rPr>
        <w:t xml:space="preserve">Hemijska i fizička stabilnost </w:t>
      </w:r>
      <w:r w:rsidR="004427E1" w:rsidRPr="00C01AE6">
        <w:rPr>
          <w:sz w:val="22"/>
          <w:szCs w:val="22"/>
          <w:lang w:val="sr-Latn-ME"/>
        </w:rPr>
        <w:t>u toku primjene</w:t>
      </w:r>
      <w:r w:rsidRPr="00C01AE6">
        <w:rPr>
          <w:sz w:val="22"/>
          <w:szCs w:val="22"/>
          <w:lang w:val="sr-Latn-ME"/>
        </w:rPr>
        <w:t xml:space="preserve"> </w:t>
      </w:r>
      <w:r w:rsidR="00191DDB" w:rsidRPr="00C01AE6">
        <w:rPr>
          <w:sz w:val="22"/>
          <w:szCs w:val="22"/>
          <w:lang w:val="sr-Latn-ME"/>
        </w:rPr>
        <w:t xml:space="preserve">dokazana </w:t>
      </w:r>
      <w:r w:rsidRPr="00C01AE6">
        <w:rPr>
          <w:sz w:val="22"/>
          <w:szCs w:val="22"/>
          <w:lang w:val="sr-Latn-ME"/>
        </w:rPr>
        <w:t xml:space="preserve">je u </w:t>
      </w:r>
      <w:r w:rsidR="00191DDB" w:rsidRPr="00C01AE6">
        <w:rPr>
          <w:sz w:val="22"/>
          <w:szCs w:val="22"/>
          <w:lang w:val="sr-Latn-ME"/>
        </w:rPr>
        <w:t xml:space="preserve">trajanju </w:t>
      </w:r>
      <w:r w:rsidRPr="00C01AE6">
        <w:rPr>
          <w:sz w:val="22"/>
          <w:szCs w:val="22"/>
          <w:lang w:val="sr-Latn-ME"/>
        </w:rPr>
        <w:t>do 3 sata na temperaturi između 23 °C i 27 °C.</w:t>
      </w:r>
    </w:p>
    <w:p w14:paraId="1CDD88F7" w14:textId="77777777" w:rsidR="007F2902" w:rsidRPr="00C01AE6" w:rsidRDefault="007F2902">
      <w:pPr>
        <w:tabs>
          <w:tab w:val="left" w:pos="540"/>
          <w:tab w:val="left" w:pos="569"/>
        </w:tabs>
        <w:rPr>
          <w:bCs/>
          <w:sz w:val="22"/>
          <w:szCs w:val="22"/>
          <w:lang w:val="sr-Latn-ME"/>
        </w:rPr>
      </w:pPr>
    </w:p>
    <w:p w14:paraId="74F3DEFB" w14:textId="06393AC5" w:rsidR="0072020E" w:rsidRPr="00C01AE6" w:rsidRDefault="0072020E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ME"/>
        </w:rPr>
      </w:pPr>
      <w:r w:rsidRPr="00C01AE6">
        <w:rPr>
          <w:b/>
          <w:bCs/>
          <w:sz w:val="22"/>
          <w:szCs w:val="22"/>
          <w:lang w:val="sr-Latn-ME"/>
        </w:rPr>
        <w:t xml:space="preserve">6.4. </w:t>
      </w:r>
      <w:r w:rsidR="00480FB1" w:rsidRPr="00C01AE6">
        <w:rPr>
          <w:b/>
          <w:bCs/>
          <w:sz w:val="22"/>
          <w:szCs w:val="22"/>
          <w:lang w:val="sr-Latn-ME"/>
        </w:rPr>
        <w:tab/>
      </w:r>
      <w:r w:rsidRPr="00C01AE6">
        <w:rPr>
          <w:b/>
          <w:bCs/>
          <w:sz w:val="22"/>
          <w:szCs w:val="22"/>
          <w:lang w:val="sr-Latn-ME"/>
        </w:rPr>
        <w:t>Posebne mjere upozorenja pri čuvanju</w:t>
      </w:r>
      <w:r w:rsidR="00F8570A" w:rsidRPr="00C01AE6">
        <w:rPr>
          <w:b/>
          <w:bCs/>
          <w:sz w:val="22"/>
          <w:szCs w:val="22"/>
          <w:lang w:val="sr-Latn-ME"/>
        </w:rPr>
        <w:t xml:space="preserve"> lijeka</w:t>
      </w:r>
    </w:p>
    <w:p w14:paraId="5C905B26" w14:textId="2905BADD" w:rsidR="007F2902" w:rsidRPr="00C01AE6" w:rsidRDefault="007F2902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ME"/>
        </w:rPr>
      </w:pPr>
    </w:p>
    <w:p w14:paraId="5BF7ADF8" w14:textId="398FBC1A" w:rsidR="00DD61FC" w:rsidRPr="00C01AE6" w:rsidRDefault="00191DDB">
      <w:pPr>
        <w:widowControl w:val="0"/>
        <w:autoSpaceDE w:val="0"/>
        <w:autoSpaceDN w:val="0"/>
        <w:spacing w:line="244" w:lineRule="auto"/>
        <w:ind w:right="5777"/>
        <w:rPr>
          <w:sz w:val="22"/>
          <w:szCs w:val="22"/>
          <w:lang w:val="sr-Latn-ME"/>
        </w:rPr>
      </w:pPr>
      <w:r w:rsidRPr="00C01AE6">
        <w:rPr>
          <w:sz w:val="22"/>
          <w:szCs w:val="22"/>
          <w:lang w:val="sr-Latn-ME"/>
        </w:rPr>
        <w:t xml:space="preserve">Čuvati </w:t>
      </w:r>
      <w:r w:rsidR="007F2902" w:rsidRPr="00C01AE6">
        <w:rPr>
          <w:sz w:val="22"/>
          <w:szCs w:val="22"/>
          <w:lang w:val="sr-Latn-ME"/>
        </w:rPr>
        <w:t>u frižideru</w:t>
      </w:r>
      <w:r w:rsidRPr="00C01AE6">
        <w:rPr>
          <w:sz w:val="22"/>
          <w:szCs w:val="22"/>
          <w:lang w:val="sr-Latn-ME"/>
        </w:rPr>
        <w:t xml:space="preserve"> </w:t>
      </w:r>
      <w:r w:rsidR="007F2902" w:rsidRPr="00C01AE6">
        <w:rPr>
          <w:sz w:val="22"/>
          <w:szCs w:val="22"/>
          <w:lang w:val="sr-Latn-ME"/>
        </w:rPr>
        <w:t>(2 °C</w:t>
      </w:r>
      <w:r w:rsidR="004427E1" w:rsidRPr="00C01AE6">
        <w:rPr>
          <w:sz w:val="22"/>
          <w:szCs w:val="22"/>
          <w:lang w:val="sr-Latn-ME"/>
        </w:rPr>
        <w:t xml:space="preserve"> – </w:t>
      </w:r>
      <w:r w:rsidR="007F2902" w:rsidRPr="00C01AE6">
        <w:rPr>
          <w:sz w:val="22"/>
          <w:szCs w:val="22"/>
          <w:lang w:val="sr-Latn-ME"/>
        </w:rPr>
        <w:t>8</w:t>
      </w:r>
      <w:r w:rsidR="004427E1" w:rsidRPr="00C01AE6">
        <w:rPr>
          <w:sz w:val="22"/>
          <w:szCs w:val="22"/>
          <w:lang w:val="sr-Latn-ME"/>
        </w:rPr>
        <w:t xml:space="preserve"> </w:t>
      </w:r>
      <w:r w:rsidR="007F2902" w:rsidRPr="00C01AE6">
        <w:rPr>
          <w:sz w:val="22"/>
          <w:szCs w:val="22"/>
          <w:lang w:val="sr-Latn-ME"/>
        </w:rPr>
        <w:t xml:space="preserve">°C). </w:t>
      </w:r>
    </w:p>
    <w:p w14:paraId="03F36F4C" w14:textId="214F3CD5" w:rsidR="007F2902" w:rsidRPr="00C01AE6" w:rsidRDefault="007F2902">
      <w:pPr>
        <w:widowControl w:val="0"/>
        <w:autoSpaceDE w:val="0"/>
        <w:autoSpaceDN w:val="0"/>
        <w:spacing w:line="244" w:lineRule="auto"/>
        <w:ind w:right="5777"/>
        <w:rPr>
          <w:sz w:val="22"/>
          <w:szCs w:val="22"/>
          <w:lang w:val="sr-Latn-ME"/>
        </w:rPr>
      </w:pPr>
      <w:r w:rsidRPr="00C01AE6">
        <w:rPr>
          <w:sz w:val="22"/>
          <w:szCs w:val="22"/>
          <w:lang w:val="sr-Latn-ME"/>
        </w:rPr>
        <w:t>Ne</w:t>
      </w:r>
      <w:r w:rsidR="00191DDB" w:rsidRPr="00C01AE6">
        <w:rPr>
          <w:sz w:val="22"/>
          <w:szCs w:val="22"/>
          <w:lang w:val="sr-Latn-ME"/>
        </w:rPr>
        <w:t xml:space="preserve"> </w:t>
      </w:r>
      <w:r w:rsidR="00DD61FC" w:rsidRPr="00C01AE6">
        <w:rPr>
          <w:sz w:val="22"/>
          <w:szCs w:val="22"/>
          <w:lang w:val="sr-Latn-ME"/>
        </w:rPr>
        <w:t>zamrzavati</w:t>
      </w:r>
      <w:r w:rsidRPr="00C01AE6">
        <w:rPr>
          <w:sz w:val="22"/>
          <w:szCs w:val="22"/>
          <w:lang w:val="sr-Latn-ME"/>
        </w:rPr>
        <w:t>.</w:t>
      </w:r>
    </w:p>
    <w:p w14:paraId="2D01727B" w14:textId="3F80462F" w:rsidR="007F2902" w:rsidRPr="00C01AE6" w:rsidRDefault="00191DDB" w:rsidP="00655C9D">
      <w:pPr>
        <w:widowControl w:val="0"/>
        <w:autoSpaceDE w:val="0"/>
        <w:autoSpaceDN w:val="0"/>
        <w:rPr>
          <w:sz w:val="22"/>
          <w:szCs w:val="22"/>
          <w:lang w:val="sr-Latn-ME"/>
        </w:rPr>
      </w:pPr>
      <w:r w:rsidRPr="00C01AE6">
        <w:rPr>
          <w:sz w:val="22"/>
          <w:szCs w:val="22"/>
          <w:lang w:val="sr-Latn-ME"/>
        </w:rPr>
        <w:t>Čuvati</w:t>
      </w:r>
      <w:r w:rsidR="007F2902" w:rsidRPr="00C01AE6">
        <w:rPr>
          <w:sz w:val="22"/>
          <w:szCs w:val="22"/>
          <w:lang w:val="sr-Latn-ME"/>
        </w:rPr>
        <w:t xml:space="preserve"> u originalnom pakovanju kako biste </w:t>
      </w:r>
      <w:r w:rsidR="005B26E6" w:rsidRPr="00C01AE6">
        <w:rPr>
          <w:sz w:val="22"/>
          <w:szCs w:val="22"/>
          <w:lang w:val="sr-Latn-ME"/>
        </w:rPr>
        <w:t>lijek</w:t>
      </w:r>
      <w:r w:rsidR="007F2902" w:rsidRPr="00C01AE6">
        <w:rPr>
          <w:sz w:val="22"/>
          <w:szCs w:val="22"/>
          <w:lang w:val="sr-Latn-ME"/>
        </w:rPr>
        <w:t xml:space="preserve"> zaštitili od sv</w:t>
      </w:r>
      <w:r w:rsidR="00713961" w:rsidRPr="00C01AE6">
        <w:rPr>
          <w:sz w:val="22"/>
          <w:szCs w:val="22"/>
          <w:lang w:val="sr-Latn-ME"/>
        </w:rPr>
        <w:t>j</w:t>
      </w:r>
      <w:r w:rsidR="007F2902" w:rsidRPr="00C01AE6">
        <w:rPr>
          <w:sz w:val="22"/>
          <w:szCs w:val="22"/>
          <w:lang w:val="sr-Latn-ME"/>
        </w:rPr>
        <w:t>etlosti.</w:t>
      </w:r>
    </w:p>
    <w:p w14:paraId="2B91912E" w14:textId="7E1CD8FC" w:rsidR="007F2902" w:rsidRPr="00C01AE6" w:rsidRDefault="007F2902" w:rsidP="00655C9D">
      <w:pPr>
        <w:widowControl w:val="0"/>
        <w:autoSpaceDE w:val="0"/>
        <w:autoSpaceDN w:val="0"/>
        <w:rPr>
          <w:sz w:val="22"/>
          <w:szCs w:val="22"/>
          <w:lang w:val="sr-Latn-ME"/>
        </w:rPr>
      </w:pPr>
      <w:r w:rsidRPr="00C01AE6">
        <w:rPr>
          <w:sz w:val="22"/>
          <w:szCs w:val="22"/>
          <w:lang w:val="sr-Latn-ME"/>
        </w:rPr>
        <w:t>Za uputstva o uslovima čuvanj</w:t>
      </w:r>
      <w:r w:rsidR="004427E1" w:rsidRPr="00C01AE6">
        <w:rPr>
          <w:sz w:val="22"/>
          <w:szCs w:val="22"/>
          <w:lang w:val="sr-Latn-ME"/>
        </w:rPr>
        <w:t>a</w:t>
      </w:r>
      <w:r w:rsidRPr="00C01AE6">
        <w:rPr>
          <w:sz w:val="22"/>
          <w:szCs w:val="22"/>
          <w:lang w:val="sr-Latn-ME"/>
        </w:rPr>
        <w:t xml:space="preserve"> nakon prvog otvaranja </w:t>
      </w:r>
      <w:r w:rsidR="005B26E6" w:rsidRPr="00C01AE6">
        <w:rPr>
          <w:sz w:val="22"/>
          <w:szCs w:val="22"/>
          <w:lang w:val="sr-Latn-ME"/>
        </w:rPr>
        <w:t>lijek</w:t>
      </w:r>
      <w:r w:rsidRPr="00C01AE6">
        <w:rPr>
          <w:sz w:val="22"/>
          <w:szCs w:val="22"/>
          <w:lang w:val="sr-Latn-ME"/>
        </w:rPr>
        <w:t xml:space="preserve">a, pogledajte </w:t>
      </w:r>
      <w:r w:rsidR="008B6182" w:rsidRPr="00C01AE6">
        <w:rPr>
          <w:sz w:val="22"/>
          <w:szCs w:val="22"/>
          <w:lang w:val="sr-Latn-ME"/>
        </w:rPr>
        <w:t>dio</w:t>
      </w:r>
      <w:r w:rsidRPr="00C01AE6">
        <w:rPr>
          <w:sz w:val="22"/>
          <w:szCs w:val="22"/>
          <w:lang w:val="sr-Latn-ME"/>
        </w:rPr>
        <w:t xml:space="preserve"> 6.3.</w:t>
      </w:r>
    </w:p>
    <w:p w14:paraId="1EFA0394" w14:textId="77777777" w:rsidR="00D36EE8" w:rsidRPr="00C01AE6" w:rsidRDefault="00D36EE8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ME"/>
        </w:rPr>
      </w:pPr>
    </w:p>
    <w:p w14:paraId="7DB67AF5" w14:textId="0EB3B381" w:rsidR="0072020E" w:rsidRPr="00C01AE6" w:rsidRDefault="0072020E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ME"/>
        </w:rPr>
      </w:pPr>
      <w:r w:rsidRPr="00C01AE6">
        <w:rPr>
          <w:b/>
          <w:bCs/>
          <w:sz w:val="22"/>
          <w:szCs w:val="22"/>
          <w:lang w:val="sr-Latn-ME"/>
        </w:rPr>
        <w:t xml:space="preserve">6.5. </w:t>
      </w:r>
      <w:r w:rsidR="00480FB1" w:rsidRPr="00C01AE6">
        <w:rPr>
          <w:b/>
          <w:bCs/>
          <w:sz w:val="22"/>
          <w:szCs w:val="22"/>
          <w:lang w:val="sr-Latn-ME"/>
        </w:rPr>
        <w:tab/>
      </w:r>
      <w:r w:rsidR="002846DB" w:rsidRPr="00C01AE6">
        <w:rPr>
          <w:b/>
          <w:bCs/>
          <w:sz w:val="22"/>
          <w:szCs w:val="22"/>
          <w:lang w:val="sr-Latn-ME"/>
        </w:rPr>
        <w:t xml:space="preserve">Vrsta i sadržaj </w:t>
      </w:r>
      <w:r w:rsidR="00F8570A" w:rsidRPr="00C01AE6">
        <w:rPr>
          <w:b/>
          <w:bCs/>
          <w:sz w:val="22"/>
          <w:szCs w:val="22"/>
          <w:lang w:val="sr-Latn-ME"/>
        </w:rPr>
        <w:t>pakovanja</w:t>
      </w:r>
      <w:r w:rsidR="00C06864" w:rsidRPr="00C01AE6">
        <w:rPr>
          <w:b/>
          <w:bCs/>
          <w:sz w:val="22"/>
          <w:szCs w:val="22"/>
          <w:lang w:val="sr-Latn-ME"/>
        </w:rPr>
        <w:t xml:space="preserve"> </w:t>
      </w:r>
    </w:p>
    <w:p w14:paraId="41897BDD" w14:textId="77777777" w:rsidR="00D36EE8" w:rsidRPr="00C01AE6" w:rsidRDefault="00D36EE8" w:rsidP="00655C9D">
      <w:pPr>
        <w:widowControl w:val="0"/>
        <w:autoSpaceDE w:val="0"/>
        <w:autoSpaceDN w:val="0"/>
        <w:spacing w:line="247" w:lineRule="auto"/>
        <w:ind w:right="212"/>
        <w:rPr>
          <w:bCs/>
          <w:sz w:val="22"/>
          <w:szCs w:val="22"/>
          <w:lang w:val="sr-Latn-ME"/>
        </w:rPr>
      </w:pPr>
    </w:p>
    <w:p w14:paraId="31CD6B71" w14:textId="33BD324F" w:rsidR="007F2902" w:rsidRPr="00C01AE6" w:rsidRDefault="007F2902" w:rsidP="00655C9D">
      <w:pPr>
        <w:widowControl w:val="0"/>
        <w:autoSpaceDE w:val="0"/>
        <w:autoSpaceDN w:val="0"/>
        <w:spacing w:line="247" w:lineRule="auto"/>
        <w:ind w:right="212"/>
        <w:rPr>
          <w:sz w:val="22"/>
          <w:szCs w:val="22"/>
          <w:lang w:val="sr-Latn-ME"/>
        </w:rPr>
      </w:pPr>
      <w:r w:rsidRPr="00C01AE6">
        <w:rPr>
          <w:sz w:val="22"/>
          <w:szCs w:val="22"/>
          <w:lang w:val="sr-Latn-ME"/>
        </w:rPr>
        <w:t>Bočica od stakla tipa I sa čepom (</w:t>
      </w:r>
      <w:proofErr w:type="spellStart"/>
      <w:r w:rsidRPr="00C01AE6">
        <w:rPr>
          <w:sz w:val="22"/>
          <w:szCs w:val="22"/>
          <w:lang w:val="sr-Latn-ME"/>
        </w:rPr>
        <w:t>butil</w:t>
      </w:r>
      <w:proofErr w:type="spellEnd"/>
      <w:r w:rsidRPr="00C01AE6">
        <w:rPr>
          <w:sz w:val="22"/>
          <w:szCs w:val="22"/>
          <w:lang w:val="sr-Latn-ME"/>
        </w:rPr>
        <w:t xml:space="preserve"> guma) i nepropusnim zatvaračem (aluminijum) sa </w:t>
      </w:r>
      <w:proofErr w:type="spellStart"/>
      <w:r w:rsidR="00066F87" w:rsidRPr="00C01AE6">
        <w:rPr>
          <w:i/>
          <w:sz w:val="22"/>
          <w:szCs w:val="22"/>
          <w:lang w:val="sr-Latn-ME"/>
        </w:rPr>
        <w:t>flip-off</w:t>
      </w:r>
      <w:proofErr w:type="spellEnd"/>
      <w:r w:rsidR="00066F87" w:rsidRPr="00C01AE6">
        <w:rPr>
          <w:sz w:val="22"/>
          <w:szCs w:val="22"/>
          <w:lang w:val="sr-Latn-ME"/>
        </w:rPr>
        <w:t xml:space="preserve"> </w:t>
      </w:r>
      <w:r w:rsidRPr="00C01AE6">
        <w:rPr>
          <w:sz w:val="22"/>
          <w:szCs w:val="22"/>
          <w:lang w:val="sr-Latn-ME"/>
        </w:rPr>
        <w:t>kapicom (</w:t>
      </w:r>
      <w:proofErr w:type="spellStart"/>
      <w:r w:rsidRPr="00C01AE6">
        <w:rPr>
          <w:sz w:val="22"/>
          <w:szCs w:val="22"/>
          <w:lang w:val="sr-Latn-ME"/>
        </w:rPr>
        <w:t>polipropilen</w:t>
      </w:r>
      <w:proofErr w:type="spellEnd"/>
      <w:r w:rsidRPr="00C01AE6">
        <w:rPr>
          <w:sz w:val="22"/>
          <w:szCs w:val="22"/>
          <w:lang w:val="sr-Latn-ME"/>
        </w:rPr>
        <w:t>).</w:t>
      </w:r>
    </w:p>
    <w:p w14:paraId="041C4D6B" w14:textId="77777777" w:rsidR="00D36EE8" w:rsidRPr="00C01AE6" w:rsidRDefault="00D36EE8">
      <w:pPr>
        <w:widowControl w:val="0"/>
        <w:autoSpaceDE w:val="0"/>
        <w:autoSpaceDN w:val="0"/>
        <w:rPr>
          <w:sz w:val="22"/>
          <w:szCs w:val="22"/>
          <w:lang w:val="sr-Latn-ME"/>
        </w:rPr>
      </w:pPr>
    </w:p>
    <w:p w14:paraId="05E2C18B" w14:textId="39C4E54A" w:rsidR="00D36EE8" w:rsidRPr="00C01AE6" w:rsidRDefault="007F2902">
      <w:pPr>
        <w:widowControl w:val="0"/>
        <w:autoSpaceDE w:val="0"/>
        <w:autoSpaceDN w:val="0"/>
        <w:rPr>
          <w:sz w:val="22"/>
          <w:szCs w:val="22"/>
          <w:lang w:val="sr-Latn-ME"/>
        </w:rPr>
      </w:pPr>
      <w:proofErr w:type="spellStart"/>
      <w:r w:rsidRPr="00C01AE6">
        <w:rPr>
          <w:sz w:val="22"/>
          <w:szCs w:val="22"/>
          <w:u w:val="single"/>
          <w:lang w:val="sr-Latn-ME"/>
        </w:rPr>
        <w:t>Strensiq</w:t>
      </w:r>
      <w:proofErr w:type="spellEnd"/>
      <w:r w:rsidRPr="00C01AE6">
        <w:rPr>
          <w:sz w:val="22"/>
          <w:szCs w:val="22"/>
          <w:u w:val="single"/>
          <w:lang w:val="sr-Latn-ME"/>
        </w:rPr>
        <w:t xml:space="preserve"> 40 mg/ml rastvor za injekciju</w:t>
      </w:r>
    </w:p>
    <w:p w14:paraId="6CFEB7ED" w14:textId="7C3FD6CA" w:rsidR="00555772" w:rsidRPr="00C01AE6" w:rsidRDefault="007F2902" w:rsidP="00655C9D">
      <w:pPr>
        <w:widowControl w:val="0"/>
        <w:autoSpaceDE w:val="0"/>
        <w:autoSpaceDN w:val="0"/>
        <w:ind w:right="3222"/>
        <w:rPr>
          <w:sz w:val="22"/>
          <w:szCs w:val="22"/>
          <w:lang w:val="sr-Latn-ME"/>
        </w:rPr>
      </w:pPr>
      <w:r w:rsidRPr="00C01AE6">
        <w:rPr>
          <w:sz w:val="22"/>
          <w:szCs w:val="22"/>
          <w:lang w:val="sr-Latn-ME"/>
        </w:rPr>
        <w:t>Volumeni punjenja bočica su: 0,45 ml, 0,7 ml i 1 ml</w:t>
      </w:r>
      <w:r w:rsidR="007F441A" w:rsidRPr="00C01AE6">
        <w:rPr>
          <w:sz w:val="22"/>
          <w:szCs w:val="22"/>
          <w:lang w:val="sr-Latn-ME"/>
        </w:rPr>
        <w:t>.</w:t>
      </w:r>
      <w:r w:rsidRPr="00C01AE6">
        <w:rPr>
          <w:sz w:val="22"/>
          <w:szCs w:val="22"/>
          <w:lang w:val="sr-Latn-ME"/>
        </w:rPr>
        <w:t xml:space="preserve"> </w:t>
      </w:r>
    </w:p>
    <w:p w14:paraId="3CF8BAAF" w14:textId="77777777" w:rsidR="00066F87" w:rsidRPr="00C01AE6" w:rsidRDefault="00066F87" w:rsidP="00655C9D">
      <w:pPr>
        <w:widowControl w:val="0"/>
        <w:autoSpaceDE w:val="0"/>
        <w:autoSpaceDN w:val="0"/>
        <w:ind w:right="3222"/>
        <w:rPr>
          <w:sz w:val="22"/>
          <w:szCs w:val="22"/>
          <w:u w:val="single"/>
          <w:lang w:val="sr-Latn-ME"/>
        </w:rPr>
      </w:pPr>
    </w:p>
    <w:p w14:paraId="62A88032" w14:textId="5576787A" w:rsidR="007F2902" w:rsidRPr="00C01AE6" w:rsidRDefault="007F2902" w:rsidP="00655C9D">
      <w:pPr>
        <w:widowControl w:val="0"/>
        <w:autoSpaceDE w:val="0"/>
        <w:autoSpaceDN w:val="0"/>
        <w:ind w:right="3222"/>
        <w:rPr>
          <w:sz w:val="22"/>
          <w:szCs w:val="22"/>
          <w:lang w:val="sr-Latn-ME"/>
        </w:rPr>
      </w:pPr>
      <w:proofErr w:type="spellStart"/>
      <w:r w:rsidRPr="00C01AE6">
        <w:rPr>
          <w:sz w:val="22"/>
          <w:szCs w:val="22"/>
          <w:u w:val="single"/>
          <w:lang w:val="sr-Latn-ME"/>
        </w:rPr>
        <w:t>Strensiq</w:t>
      </w:r>
      <w:proofErr w:type="spellEnd"/>
      <w:r w:rsidRPr="00C01AE6">
        <w:rPr>
          <w:sz w:val="22"/>
          <w:szCs w:val="22"/>
          <w:u w:val="single"/>
          <w:lang w:val="sr-Latn-ME"/>
        </w:rPr>
        <w:t xml:space="preserve"> 100 mg/ml rastvor za injekciju</w:t>
      </w:r>
    </w:p>
    <w:p w14:paraId="754ADE85" w14:textId="7C392EE9" w:rsidR="007F2902" w:rsidRPr="00C01AE6" w:rsidRDefault="007F2902" w:rsidP="00655C9D">
      <w:pPr>
        <w:widowControl w:val="0"/>
        <w:autoSpaceDE w:val="0"/>
        <w:autoSpaceDN w:val="0"/>
        <w:rPr>
          <w:sz w:val="22"/>
          <w:szCs w:val="22"/>
          <w:lang w:val="sr-Latn-ME"/>
        </w:rPr>
      </w:pPr>
      <w:r w:rsidRPr="00C01AE6">
        <w:rPr>
          <w:sz w:val="22"/>
          <w:szCs w:val="22"/>
          <w:lang w:val="sr-Latn-ME"/>
        </w:rPr>
        <w:t>Volumen punjenja bočic</w:t>
      </w:r>
      <w:r w:rsidR="007F441A" w:rsidRPr="00C01AE6">
        <w:rPr>
          <w:sz w:val="22"/>
          <w:szCs w:val="22"/>
          <w:lang w:val="sr-Latn-ME"/>
        </w:rPr>
        <w:t>e</w:t>
      </w:r>
      <w:r w:rsidRPr="00C01AE6">
        <w:rPr>
          <w:sz w:val="22"/>
          <w:szCs w:val="22"/>
          <w:lang w:val="sr-Latn-ME"/>
        </w:rPr>
        <w:t xml:space="preserve"> </w:t>
      </w:r>
      <w:r w:rsidR="007F441A" w:rsidRPr="00C01AE6">
        <w:rPr>
          <w:sz w:val="22"/>
          <w:szCs w:val="22"/>
          <w:lang w:val="sr-Latn-ME"/>
        </w:rPr>
        <w:t>je</w:t>
      </w:r>
      <w:r w:rsidRPr="00C01AE6">
        <w:rPr>
          <w:sz w:val="22"/>
          <w:szCs w:val="22"/>
          <w:lang w:val="sr-Latn-ME"/>
        </w:rPr>
        <w:t xml:space="preserve"> 0,8 ml</w:t>
      </w:r>
      <w:r w:rsidR="007F441A" w:rsidRPr="00C01AE6">
        <w:rPr>
          <w:sz w:val="22"/>
          <w:szCs w:val="22"/>
          <w:lang w:val="sr-Latn-ME"/>
        </w:rPr>
        <w:t>.</w:t>
      </w:r>
    </w:p>
    <w:p w14:paraId="544784C8" w14:textId="77777777" w:rsidR="007F2902" w:rsidRPr="00C01AE6" w:rsidRDefault="007F2902" w:rsidP="00655C9D">
      <w:pPr>
        <w:widowControl w:val="0"/>
        <w:autoSpaceDE w:val="0"/>
        <w:autoSpaceDN w:val="0"/>
        <w:rPr>
          <w:sz w:val="22"/>
          <w:szCs w:val="22"/>
          <w:lang w:val="sr-Latn-ME"/>
        </w:rPr>
      </w:pPr>
    </w:p>
    <w:p w14:paraId="56BDDF38" w14:textId="38C98D71" w:rsidR="007F2902" w:rsidRPr="00C01AE6" w:rsidRDefault="007F2902">
      <w:pPr>
        <w:widowControl w:val="0"/>
        <w:autoSpaceDE w:val="0"/>
        <w:autoSpaceDN w:val="0"/>
        <w:rPr>
          <w:sz w:val="22"/>
          <w:szCs w:val="22"/>
          <w:lang w:val="sr-Latn-ME"/>
        </w:rPr>
      </w:pPr>
      <w:r w:rsidRPr="00C01AE6">
        <w:rPr>
          <w:sz w:val="22"/>
          <w:szCs w:val="22"/>
          <w:lang w:val="sr-Latn-ME"/>
        </w:rPr>
        <w:t>Veličin</w:t>
      </w:r>
      <w:r w:rsidR="00BE3403" w:rsidRPr="00C01AE6">
        <w:rPr>
          <w:sz w:val="22"/>
          <w:szCs w:val="22"/>
          <w:lang w:val="sr-Latn-ME"/>
        </w:rPr>
        <w:t>a</w:t>
      </w:r>
      <w:r w:rsidRPr="00C01AE6">
        <w:rPr>
          <w:sz w:val="22"/>
          <w:szCs w:val="22"/>
          <w:lang w:val="sr-Latn-ME"/>
        </w:rPr>
        <w:t xml:space="preserve"> pakovanja</w:t>
      </w:r>
      <w:r w:rsidR="00555772" w:rsidRPr="00C01AE6">
        <w:rPr>
          <w:sz w:val="22"/>
          <w:szCs w:val="22"/>
          <w:lang w:val="sr-Latn-ME"/>
        </w:rPr>
        <w:t>:</w:t>
      </w:r>
      <w:r w:rsidRPr="00C01AE6">
        <w:rPr>
          <w:sz w:val="22"/>
          <w:szCs w:val="22"/>
          <w:lang w:val="sr-Latn-ME"/>
        </w:rPr>
        <w:t xml:space="preserve"> 12 bočica.</w:t>
      </w:r>
    </w:p>
    <w:p w14:paraId="1CF65952" w14:textId="77777777" w:rsidR="007F2902" w:rsidRPr="00C01AE6" w:rsidRDefault="007F2902">
      <w:pPr>
        <w:tabs>
          <w:tab w:val="left" w:pos="540"/>
          <w:tab w:val="left" w:pos="569"/>
        </w:tabs>
        <w:rPr>
          <w:bCs/>
          <w:sz w:val="22"/>
          <w:szCs w:val="22"/>
          <w:lang w:val="sr-Latn-ME"/>
        </w:rPr>
      </w:pPr>
    </w:p>
    <w:p w14:paraId="4CDA4847" w14:textId="77777777" w:rsidR="002846DB" w:rsidRPr="00C01AE6" w:rsidRDefault="0072020E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ME"/>
        </w:rPr>
      </w:pPr>
      <w:r w:rsidRPr="00C01AE6">
        <w:rPr>
          <w:b/>
          <w:bCs/>
          <w:sz w:val="22"/>
          <w:szCs w:val="22"/>
          <w:lang w:val="sr-Latn-ME"/>
        </w:rPr>
        <w:t xml:space="preserve">6.6. </w:t>
      </w:r>
      <w:r w:rsidR="00480FB1" w:rsidRPr="00C01AE6">
        <w:rPr>
          <w:b/>
          <w:bCs/>
          <w:sz w:val="22"/>
          <w:szCs w:val="22"/>
          <w:lang w:val="sr-Latn-ME"/>
        </w:rPr>
        <w:tab/>
      </w:r>
      <w:r w:rsidRPr="00C01AE6">
        <w:rPr>
          <w:b/>
          <w:bCs/>
          <w:color w:val="000000"/>
          <w:sz w:val="22"/>
          <w:szCs w:val="22"/>
          <w:lang w:val="sr-Latn-ME"/>
        </w:rPr>
        <w:t>Posebne mjere opreza pri odlaganju materijala koji treba odbaciti nakon primjene lijeka</w:t>
      </w:r>
      <w:r w:rsidRPr="00C01AE6">
        <w:rPr>
          <w:b/>
          <w:bCs/>
          <w:sz w:val="22"/>
          <w:szCs w:val="22"/>
          <w:lang w:val="sr-Latn-ME"/>
        </w:rPr>
        <w:t xml:space="preserve"> </w:t>
      </w:r>
      <w:r w:rsidR="00310F03" w:rsidRPr="00C01AE6">
        <w:rPr>
          <w:b/>
          <w:bCs/>
          <w:sz w:val="22"/>
          <w:szCs w:val="22"/>
          <w:lang w:val="sr-Latn-ME"/>
        </w:rPr>
        <w:t>(i druga uputs</w:t>
      </w:r>
      <w:r w:rsidR="004109FA" w:rsidRPr="00C01AE6">
        <w:rPr>
          <w:b/>
          <w:bCs/>
          <w:sz w:val="22"/>
          <w:szCs w:val="22"/>
          <w:lang w:val="sr-Latn-ME"/>
        </w:rPr>
        <w:t>t</w:t>
      </w:r>
      <w:r w:rsidR="00310F03" w:rsidRPr="00C01AE6">
        <w:rPr>
          <w:b/>
          <w:bCs/>
          <w:sz w:val="22"/>
          <w:szCs w:val="22"/>
          <w:lang w:val="sr-Latn-ME"/>
        </w:rPr>
        <w:t xml:space="preserve">va za rukovanje lijekom) </w:t>
      </w:r>
    </w:p>
    <w:p w14:paraId="6D13A973" w14:textId="77777777" w:rsidR="00B66A70" w:rsidRPr="00C01AE6" w:rsidRDefault="00B66A70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ME"/>
        </w:rPr>
      </w:pPr>
    </w:p>
    <w:p w14:paraId="55A38942" w14:textId="77DD7B1C" w:rsidR="007F2902" w:rsidRPr="00C01AE6" w:rsidRDefault="007F2902">
      <w:pPr>
        <w:widowControl w:val="0"/>
        <w:autoSpaceDE w:val="0"/>
        <w:autoSpaceDN w:val="0"/>
        <w:spacing w:line="247" w:lineRule="auto"/>
        <w:ind w:right="212"/>
        <w:rPr>
          <w:sz w:val="22"/>
          <w:szCs w:val="22"/>
          <w:lang w:val="sr-Latn-ME"/>
        </w:rPr>
      </w:pPr>
      <w:r w:rsidRPr="00C01AE6">
        <w:rPr>
          <w:sz w:val="22"/>
          <w:szCs w:val="22"/>
          <w:lang w:val="sr-Latn-ME"/>
        </w:rPr>
        <w:t>Svaka bočica je nam</w:t>
      </w:r>
      <w:r w:rsidR="00713961" w:rsidRPr="00C01AE6">
        <w:rPr>
          <w:sz w:val="22"/>
          <w:szCs w:val="22"/>
          <w:lang w:val="sr-Latn-ME"/>
        </w:rPr>
        <w:t>ij</w:t>
      </w:r>
      <w:r w:rsidRPr="00C01AE6">
        <w:rPr>
          <w:sz w:val="22"/>
          <w:szCs w:val="22"/>
          <w:lang w:val="sr-Latn-ME"/>
        </w:rPr>
        <w:t xml:space="preserve">enjena samo za jednokratnu upotrebu i </w:t>
      </w:r>
      <w:r w:rsidR="00191DDB" w:rsidRPr="00C01AE6">
        <w:rPr>
          <w:sz w:val="22"/>
          <w:szCs w:val="22"/>
          <w:lang w:val="sr-Latn-ME"/>
        </w:rPr>
        <w:t xml:space="preserve">smije </w:t>
      </w:r>
      <w:r w:rsidRPr="00C01AE6">
        <w:rPr>
          <w:sz w:val="22"/>
          <w:szCs w:val="22"/>
          <w:lang w:val="sr-Latn-ME"/>
        </w:rPr>
        <w:t>se probušiti samo jednom. Sav neiskorišćeni rastvor u bočici treba baciti.</w:t>
      </w:r>
    </w:p>
    <w:p w14:paraId="7DD59F5C" w14:textId="77777777" w:rsidR="007F2902" w:rsidRPr="00C01AE6" w:rsidRDefault="007F2902" w:rsidP="00655C9D">
      <w:pPr>
        <w:widowControl w:val="0"/>
        <w:autoSpaceDE w:val="0"/>
        <w:autoSpaceDN w:val="0"/>
        <w:rPr>
          <w:sz w:val="22"/>
          <w:szCs w:val="22"/>
          <w:lang w:val="sr-Latn-ME"/>
        </w:rPr>
      </w:pPr>
      <w:bookmarkStart w:id="0" w:name="_GoBack"/>
      <w:bookmarkEnd w:id="0"/>
    </w:p>
    <w:p w14:paraId="074F8C54" w14:textId="01FE664B" w:rsidR="007F2902" w:rsidRPr="00C01AE6" w:rsidRDefault="007F441A" w:rsidP="00FE1692">
      <w:pPr>
        <w:widowControl w:val="0"/>
        <w:tabs>
          <w:tab w:val="left" w:pos="8789"/>
        </w:tabs>
        <w:autoSpaceDE w:val="0"/>
        <w:autoSpaceDN w:val="0"/>
        <w:spacing w:line="247" w:lineRule="auto"/>
        <w:ind w:right="212"/>
        <w:rPr>
          <w:sz w:val="22"/>
          <w:szCs w:val="22"/>
          <w:lang w:val="sr-Latn-ME"/>
        </w:rPr>
      </w:pPr>
      <w:r w:rsidRPr="00C01AE6">
        <w:rPr>
          <w:sz w:val="22"/>
          <w:szCs w:val="22"/>
          <w:lang w:val="sr-Latn-ME"/>
        </w:rPr>
        <w:t xml:space="preserve">Lijek </w:t>
      </w:r>
      <w:proofErr w:type="spellStart"/>
      <w:r w:rsidR="007F2902" w:rsidRPr="00C01AE6">
        <w:rPr>
          <w:sz w:val="22"/>
          <w:szCs w:val="22"/>
          <w:lang w:val="sr-Latn-ME"/>
        </w:rPr>
        <w:t>Strensiq</w:t>
      </w:r>
      <w:proofErr w:type="spellEnd"/>
      <w:r w:rsidR="007F2902" w:rsidRPr="00C01AE6">
        <w:rPr>
          <w:sz w:val="22"/>
          <w:szCs w:val="22"/>
          <w:lang w:val="sr-Latn-ME"/>
        </w:rPr>
        <w:t xml:space="preserve"> treba </w:t>
      </w:r>
      <w:r w:rsidR="00BA210B" w:rsidRPr="00C01AE6">
        <w:rPr>
          <w:sz w:val="22"/>
          <w:szCs w:val="22"/>
          <w:lang w:val="sr-Latn-ME"/>
        </w:rPr>
        <w:t>primijeniti</w:t>
      </w:r>
      <w:r w:rsidR="007F2902" w:rsidRPr="00C01AE6">
        <w:rPr>
          <w:sz w:val="22"/>
          <w:szCs w:val="22"/>
          <w:lang w:val="sr-Latn-ME"/>
        </w:rPr>
        <w:t xml:space="preserve"> upotrebom sterilnih špriceva i injekcionih igala za jednokratnu</w:t>
      </w:r>
      <w:r w:rsidR="00C01AE6">
        <w:rPr>
          <w:sz w:val="22"/>
          <w:szCs w:val="22"/>
          <w:lang w:val="sr-Latn-ME"/>
        </w:rPr>
        <w:t xml:space="preserve"> </w:t>
      </w:r>
      <w:r w:rsidR="007F2902" w:rsidRPr="00C01AE6">
        <w:rPr>
          <w:sz w:val="22"/>
          <w:szCs w:val="22"/>
          <w:lang w:val="sr-Latn-ME"/>
        </w:rPr>
        <w:lastRenderedPageBreak/>
        <w:t>upotrebu. Špricevi moraju biti dovoljno malog volumena da se propisana doza može izvući iz bočice s</w:t>
      </w:r>
      <w:r w:rsidRPr="00C01AE6">
        <w:rPr>
          <w:sz w:val="22"/>
          <w:szCs w:val="22"/>
          <w:lang w:val="sr-Latn-ME"/>
        </w:rPr>
        <w:t>a</w:t>
      </w:r>
      <w:r w:rsidR="007F2902" w:rsidRPr="00C01AE6">
        <w:rPr>
          <w:sz w:val="22"/>
          <w:szCs w:val="22"/>
          <w:lang w:val="sr-Latn-ME"/>
        </w:rPr>
        <w:t xml:space="preserve"> pouzdanom tačnošću. Treba </w:t>
      </w:r>
      <w:r w:rsidR="00BA210B" w:rsidRPr="00C01AE6">
        <w:rPr>
          <w:sz w:val="22"/>
          <w:szCs w:val="22"/>
          <w:lang w:val="sr-Latn-ME"/>
        </w:rPr>
        <w:t>primijeniti</w:t>
      </w:r>
      <w:r w:rsidR="007F2902" w:rsidRPr="00C01AE6">
        <w:rPr>
          <w:sz w:val="22"/>
          <w:szCs w:val="22"/>
          <w:lang w:val="sr-Latn-ME"/>
        </w:rPr>
        <w:t xml:space="preserve"> aseptičnu tehniku.</w:t>
      </w:r>
    </w:p>
    <w:p w14:paraId="11C72864" w14:textId="6652DAE8" w:rsidR="007F2902" w:rsidRPr="00C01AE6" w:rsidRDefault="007F2902" w:rsidP="00655C9D">
      <w:pPr>
        <w:widowControl w:val="0"/>
        <w:autoSpaceDE w:val="0"/>
        <w:autoSpaceDN w:val="0"/>
        <w:spacing w:line="247" w:lineRule="auto"/>
        <w:rPr>
          <w:sz w:val="22"/>
          <w:szCs w:val="22"/>
          <w:lang w:val="sr-Latn-ME"/>
        </w:rPr>
      </w:pPr>
      <w:proofErr w:type="spellStart"/>
      <w:r w:rsidRPr="00C01AE6">
        <w:rPr>
          <w:sz w:val="22"/>
          <w:szCs w:val="22"/>
          <w:lang w:val="sr-Latn-ME"/>
        </w:rPr>
        <w:t>Neupotr</w:t>
      </w:r>
      <w:r w:rsidR="00432666" w:rsidRPr="00C01AE6">
        <w:rPr>
          <w:sz w:val="22"/>
          <w:szCs w:val="22"/>
          <w:lang w:val="sr-Latn-ME"/>
        </w:rPr>
        <w:t>ij</w:t>
      </w:r>
      <w:r w:rsidRPr="00C01AE6">
        <w:rPr>
          <w:sz w:val="22"/>
          <w:szCs w:val="22"/>
          <w:lang w:val="sr-Latn-ME"/>
        </w:rPr>
        <w:t>ebljen</w:t>
      </w:r>
      <w:r w:rsidR="00432666" w:rsidRPr="00C01AE6">
        <w:rPr>
          <w:sz w:val="22"/>
          <w:szCs w:val="22"/>
          <w:lang w:val="sr-Latn-ME"/>
        </w:rPr>
        <w:t>i</w:t>
      </w:r>
      <w:proofErr w:type="spellEnd"/>
      <w:r w:rsidRPr="00C01AE6">
        <w:rPr>
          <w:sz w:val="22"/>
          <w:szCs w:val="22"/>
          <w:lang w:val="sr-Latn-ME"/>
        </w:rPr>
        <w:t xml:space="preserve"> </w:t>
      </w:r>
      <w:r w:rsidR="005B26E6" w:rsidRPr="00C01AE6">
        <w:rPr>
          <w:sz w:val="22"/>
          <w:szCs w:val="22"/>
          <w:lang w:val="sr-Latn-ME"/>
        </w:rPr>
        <w:t>lijek</w:t>
      </w:r>
      <w:r w:rsidRPr="00C01AE6">
        <w:rPr>
          <w:sz w:val="22"/>
          <w:szCs w:val="22"/>
          <w:lang w:val="sr-Latn-ME"/>
        </w:rPr>
        <w:t xml:space="preserve"> ili otpadni materijal odlažu se u skladu sa lokalnim propisima.</w:t>
      </w:r>
    </w:p>
    <w:p w14:paraId="2658A2EE" w14:textId="1A241648" w:rsidR="0072020E" w:rsidRDefault="0072020E">
      <w:pPr>
        <w:tabs>
          <w:tab w:val="left" w:pos="540"/>
          <w:tab w:val="left" w:pos="569"/>
        </w:tabs>
        <w:rPr>
          <w:bCs/>
          <w:sz w:val="22"/>
          <w:szCs w:val="22"/>
          <w:lang w:val="sr-Latn-ME"/>
        </w:rPr>
      </w:pPr>
    </w:p>
    <w:p w14:paraId="757775B6" w14:textId="77777777" w:rsidR="00C01AE6" w:rsidRPr="00C01AE6" w:rsidRDefault="00C01AE6">
      <w:pPr>
        <w:tabs>
          <w:tab w:val="left" w:pos="540"/>
          <w:tab w:val="left" w:pos="569"/>
        </w:tabs>
        <w:rPr>
          <w:bCs/>
          <w:sz w:val="22"/>
          <w:szCs w:val="22"/>
          <w:lang w:val="sr-Latn-ME"/>
        </w:rPr>
      </w:pPr>
    </w:p>
    <w:p w14:paraId="316F4B92" w14:textId="77777777" w:rsidR="00F8570A" w:rsidRPr="00C01AE6" w:rsidRDefault="0072020E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ME"/>
        </w:rPr>
      </w:pPr>
      <w:r w:rsidRPr="00C01AE6">
        <w:rPr>
          <w:b/>
          <w:bCs/>
          <w:sz w:val="22"/>
          <w:szCs w:val="22"/>
          <w:lang w:val="sr-Latn-ME"/>
        </w:rPr>
        <w:t xml:space="preserve">7. </w:t>
      </w:r>
      <w:r w:rsidR="00480FB1" w:rsidRPr="00C01AE6">
        <w:rPr>
          <w:b/>
          <w:bCs/>
          <w:sz w:val="22"/>
          <w:szCs w:val="22"/>
          <w:lang w:val="sr-Latn-ME"/>
        </w:rPr>
        <w:tab/>
      </w:r>
      <w:r w:rsidRPr="00C01AE6">
        <w:rPr>
          <w:b/>
          <w:bCs/>
          <w:sz w:val="22"/>
          <w:szCs w:val="22"/>
          <w:lang w:val="sr-Latn-ME"/>
        </w:rPr>
        <w:t>NOSILAC DOZVOLE</w:t>
      </w:r>
      <w:r w:rsidR="00483928" w:rsidRPr="00C01AE6">
        <w:rPr>
          <w:b/>
          <w:bCs/>
          <w:sz w:val="22"/>
          <w:szCs w:val="22"/>
          <w:lang w:val="sr-Latn-ME"/>
        </w:rPr>
        <w:t xml:space="preserve"> </w:t>
      </w:r>
    </w:p>
    <w:p w14:paraId="15B2E1FB" w14:textId="77777777" w:rsidR="00C61BE0" w:rsidRPr="00C01AE6" w:rsidRDefault="00C61BE0">
      <w:pPr>
        <w:tabs>
          <w:tab w:val="left" w:pos="540"/>
          <w:tab w:val="left" w:pos="569"/>
        </w:tabs>
        <w:rPr>
          <w:bCs/>
          <w:sz w:val="22"/>
          <w:szCs w:val="22"/>
          <w:lang w:val="sr-Latn-ME"/>
        </w:rPr>
      </w:pPr>
    </w:p>
    <w:p w14:paraId="0A9407AB" w14:textId="70F4E72C" w:rsidR="00C37FD7" w:rsidRPr="00C01AE6" w:rsidRDefault="007F2902">
      <w:pPr>
        <w:tabs>
          <w:tab w:val="left" w:pos="540"/>
          <w:tab w:val="left" w:pos="569"/>
        </w:tabs>
        <w:rPr>
          <w:bCs/>
          <w:sz w:val="22"/>
          <w:szCs w:val="22"/>
          <w:lang w:val="sr-Latn-ME"/>
        </w:rPr>
      </w:pPr>
      <w:r w:rsidRPr="00C01AE6">
        <w:rPr>
          <w:bCs/>
          <w:sz w:val="22"/>
          <w:szCs w:val="22"/>
          <w:lang w:val="sr-Latn-ME"/>
        </w:rPr>
        <w:t>Glosarij d.o.o.</w:t>
      </w:r>
    </w:p>
    <w:p w14:paraId="6772EB67" w14:textId="50FD68E5" w:rsidR="007F2902" w:rsidRPr="00C01AE6" w:rsidRDefault="007F2902">
      <w:pPr>
        <w:tabs>
          <w:tab w:val="left" w:pos="540"/>
          <w:tab w:val="left" w:pos="569"/>
        </w:tabs>
        <w:rPr>
          <w:bCs/>
          <w:sz w:val="22"/>
          <w:szCs w:val="22"/>
          <w:lang w:val="sr-Latn-ME"/>
        </w:rPr>
      </w:pPr>
      <w:proofErr w:type="spellStart"/>
      <w:r w:rsidRPr="00C01AE6">
        <w:rPr>
          <w:bCs/>
          <w:sz w:val="22"/>
          <w:szCs w:val="22"/>
          <w:lang w:val="sr-Latn-ME"/>
        </w:rPr>
        <w:t>Vojislavljevića</w:t>
      </w:r>
      <w:proofErr w:type="spellEnd"/>
      <w:r w:rsidRPr="00C01AE6">
        <w:rPr>
          <w:bCs/>
          <w:sz w:val="22"/>
          <w:szCs w:val="22"/>
          <w:lang w:val="sr-Latn-ME"/>
        </w:rPr>
        <w:t xml:space="preserve"> 76, 81 000 Podgorica, Crna Gora</w:t>
      </w:r>
    </w:p>
    <w:p w14:paraId="24AE016B" w14:textId="1E1A049C" w:rsidR="007F2902" w:rsidRDefault="007F2902">
      <w:pPr>
        <w:tabs>
          <w:tab w:val="left" w:pos="540"/>
          <w:tab w:val="left" w:pos="569"/>
        </w:tabs>
        <w:rPr>
          <w:bCs/>
          <w:sz w:val="22"/>
          <w:szCs w:val="22"/>
          <w:lang w:val="sr-Latn-ME"/>
        </w:rPr>
      </w:pPr>
    </w:p>
    <w:p w14:paraId="672F87B2" w14:textId="77777777" w:rsidR="00C01AE6" w:rsidRPr="00C01AE6" w:rsidRDefault="00C01AE6">
      <w:pPr>
        <w:tabs>
          <w:tab w:val="left" w:pos="540"/>
          <w:tab w:val="left" w:pos="569"/>
        </w:tabs>
        <w:rPr>
          <w:bCs/>
          <w:sz w:val="22"/>
          <w:szCs w:val="22"/>
          <w:lang w:val="sr-Latn-ME"/>
        </w:rPr>
      </w:pPr>
    </w:p>
    <w:p w14:paraId="6BF6E869" w14:textId="1A625B3A" w:rsidR="0072020E" w:rsidRPr="00C01AE6" w:rsidRDefault="0072020E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ME"/>
        </w:rPr>
      </w:pPr>
      <w:r w:rsidRPr="00C01AE6">
        <w:rPr>
          <w:b/>
          <w:bCs/>
          <w:sz w:val="22"/>
          <w:szCs w:val="22"/>
          <w:lang w:val="sr-Latn-ME"/>
        </w:rPr>
        <w:t xml:space="preserve">8. </w:t>
      </w:r>
      <w:r w:rsidR="00480FB1" w:rsidRPr="00C01AE6">
        <w:rPr>
          <w:b/>
          <w:bCs/>
          <w:sz w:val="22"/>
          <w:szCs w:val="22"/>
          <w:lang w:val="sr-Latn-ME"/>
        </w:rPr>
        <w:tab/>
      </w:r>
      <w:r w:rsidRPr="00C01AE6">
        <w:rPr>
          <w:b/>
          <w:bCs/>
          <w:sz w:val="22"/>
          <w:szCs w:val="22"/>
          <w:lang w:val="sr-Latn-ME"/>
        </w:rPr>
        <w:t>BROJ DOZVOLE</w:t>
      </w:r>
      <w:r w:rsidR="008A6D43" w:rsidRPr="00C01AE6">
        <w:rPr>
          <w:b/>
          <w:bCs/>
          <w:sz w:val="22"/>
          <w:szCs w:val="22"/>
          <w:lang w:val="sr-Latn-ME"/>
        </w:rPr>
        <w:t xml:space="preserve"> ZA STAVLJANJE LIJEKA U PROMET</w:t>
      </w:r>
    </w:p>
    <w:p w14:paraId="3FBB314D" w14:textId="6D95DFE7" w:rsidR="00C01AE6" w:rsidRDefault="00C01AE6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ME"/>
        </w:rPr>
      </w:pPr>
    </w:p>
    <w:p w14:paraId="7D5F4C63" w14:textId="195BE47D" w:rsidR="00C01AE6" w:rsidRPr="00C01AE6" w:rsidRDefault="00C01AE6">
      <w:pPr>
        <w:tabs>
          <w:tab w:val="left" w:pos="540"/>
          <w:tab w:val="left" w:pos="569"/>
        </w:tabs>
        <w:rPr>
          <w:bCs/>
          <w:sz w:val="22"/>
          <w:szCs w:val="22"/>
          <w:lang w:val="sr-Latn-ME"/>
        </w:rPr>
      </w:pPr>
      <w:proofErr w:type="spellStart"/>
      <w:r w:rsidRPr="00C01AE6">
        <w:rPr>
          <w:bCs/>
          <w:sz w:val="22"/>
          <w:szCs w:val="22"/>
          <w:lang w:val="sr-Latn-ME"/>
        </w:rPr>
        <w:t>Strensiq</w:t>
      </w:r>
      <w:proofErr w:type="spellEnd"/>
      <w:r w:rsidRPr="00C01AE6">
        <w:rPr>
          <w:bCs/>
          <w:sz w:val="22"/>
          <w:szCs w:val="22"/>
          <w:lang w:val="sr-Latn-ME"/>
        </w:rPr>
        <w:t>, rastvor za injekciju, 40</w:t>
      </w:r>
      <w:r>
        <w:rPr>
          <w:bCs/>
          <w:sz w:val="22"/>
          <w:szCs w:val="22"/>
          <w:lang w:val="sr-Latn-ME"/>
        </w:rPr>
        <w:t xml:space="preserve"> </w:t>
      </w:r>
      <w:r w:rsidRPr="00C01AE6">
        <w:rPr>
          <w:bCs/>
          <w:sz w:val="22"/>
          <w:szCs w:val="22"/>
          <w:lang w:val="sr-Latn-ME"/>
        </w:rPr>
        <w:t>mg/m</w:t>
      </w:r>
      <w:r>
        <w:rPr>
          <w:bCs/>
          <w:sz w:val="22"/>
          <w:szCs w:val="22"/>
          <w:lang w:val="sr-Latn-ME"/>
        </w:rPr>
        <w:t xml:space="preserve">l, bočica, staklena, </w:t>
      </w:r>
      <w:proofErr w:type="spellStart"/>
      <w:r>
        <w:rPr>
          <w:bCs/>
          <w:sz w:val="22"/>
          <w:szCs w:val="22"/>
          <w:lang w:val="sr-Latn-ME"/>
        </w:rPr>
        <w:t>12x0.45</w:t>
      </w:r>
      <w:proofErr w:type="spellEnd"/>
      <w:r>
        <w:rPr>
          <w:bCs/>
          <w:sz w:val="22"/>
          <w:szCs w:val="22"/>
          <w:lang w:val="sr-Latn-ME"/>
        </w:rPr>
        <w:t xml:space="preserve"> ml: </w:t>
      </w:r>
      <w:r>
        <w:rPr>
          <w:rFonts w:ascii="TimesNewRoman" w:hAnsi="TimesNewRoman" w:cs="TimesNewRoman"/>
          <w:sz w:val="22"/>
          <w:szCs w:val="22"/>
          <w:lang w:val="sr-Latn-ME" w:eastAsia="sr-Latn-ME"/>
        </w:rPr>
        <w:t>2030/24/4355 - 3198</w:t>
      </w:r>
    </w:p>
    <w:p w14:paraId="651DADAF" w14:textId="76D71D09" w:rsidR="00C01AE6" w:rsidRPr="00C01AE6" w:rsidRDefault="00C01AE6">
      <w:pPr>
        <w:tabs>
          <w:tab w:val="left" w:pos="540"/>
          <w:tab w:val="left" w:pos="569"/>
        </w:tabs>
        <w:rPr>
          <w:bCs/>
          <w:sz w:val="22"/>
          <w:szCs w:val="22"/>
          <w:lang w:val="sr-Latn-ME"/>
        </w:rPr>
      </w:pPr>
      <w:proofErr w:type="spellStart"/>
      <w:r w:rsidRPr="00C01AE6">
        <w:rPr>
          <w:bCs/>
          <w:sz w:val="22"/>
          <w:szCs w:val="22"/>
          <w:lang w:val="sr-Latn-ME"/>
        </w:rPr>
        <w:t>Strensiq</w:t>
      </w:r>
      <w:proofErr w:type="spellEnd"/>
      <w:r w:rsidRPr="00C01AE6">
        <w:rPr>
          <w:bCs/>
          <w:sz w:val="22"/>
          <w:szCs w:val="22"/>
          <w:lang w:val="sr-Latn-ME"/>
        </w:rPr>
        <w:t>, rastvor za injekciju, 40</w:t>
      </w:r>
      <w:r>
        <w:rPr>
          <w:bCs/>
          <w:sz w:val="22"/>
          <w:szCs w:val="22"/>
          <w:lang w:val="sr-Latn-ME"/>
        </w:rPr>
        <w:t xml:space="preserve"> </w:t>
      </w:r>
      <w:r w:rsidRPr="00C01AE6">
        <w:rPr>
          <w:bCs/>
          <w:sz w:val="22"/>
          <w:szCs w:val="22"/>
          <w:lang w:val="sr-Latn-ME"/>
        </w:rPr>
        <w:t>mg</w:t>
      </w:r>
      <w:r>
        <w:rPr>
          <w:bCs/>
          <w:sz w:val="22"/>
          <w:szCs w:val="22"/>
          <w:lang w:val="sr-Latn-ME"/>
        </w:rPr>
        <w:t xml:space="preserve">/ml, bočica, staklena, </w:t>
      </w:r>
      <w:proofErr w:type="spellStart"/>
      <w:r>
        <w:rPr>
          <w:bCs/>
          <w:sz w:val="22"/>
          <w:szCs w:val="22"/>
          <w:lang w:val="sr-Latn-ME"/>
        </w:rPr>
        <w:t>12x0.7</w:t>
      </w:r>
      <w:proofErr w:type="spellEnd"/>
      <w:r>
        <w:rPr>
          <w:bCs/>
          <w:sz w:val="22"/>
          <w:szCs w:val="22"/>
          <w:lang w:val="sr-Latn-ME"/>
        </w:rPr>
        <w:t xml:space="preserve"> ml: </w:t>
      </w:r>
      <w:r>
        <w:rPr>
          <w:rFonts w:ascii="TimesNewRoman" w:hAnsi="TimesNewRoman" w:cs="TimesNewRoman"/>
          <w:sz w:val="22"/>
          <w:szCs w:val="22"/>
          <w:lang w:val="sr-Latn-ME" w:eastAsia="sr-Latn-ME"/>
        </w:rPr>
        <w:t>2030/24/4358 - 3200</w:t>
      </w:r>
    </w:p>
    <w:p w14:paraId="08A66F33" w14:textId="09BEBF8B" w:rsidR="00C01AE6" w:rsidRPr="00C01AE6" w:rsidRDefault="00C01AE6">
      <w:pPr>
        <w:tabs>
          <w:tab w:val="left" w:pos="540"/>
          <w:tab w:val="left" w:pos="569"/>
        </w:tabs>
        <w:rPr>
          <w:bCs/>
          <w:sz w:val="22"/>
          <w:szCs w:val="22"/>
          <w:lang w:val="sr-Latn-ME"/>
        </w:rPr>
      </w:pPr>
      <w:proofErr w:type="spellStart"/>
      <w:r w:rsidRPr="00C01AE6">
        <w:rPr>
          <w:bCs/>
          <w:sz w:val="22"/>
          <w:szCs w:val="22"/>
          <w:lang w:val="sr-Latn-ME"/>
        </w:rPr>
        <w:t>Strensiq</w:t>
      </w:r>
      <w:proofErr w:type="spellEnd"/>
      <w:r w:rsidRPr="00C01AE6">
        <w:rPr>
          <w:bCs/>
          <w:sz w:val="22"/>
          <w:szCs w:val="22"/>
          <w:lang w:val="sr-Latn-ME"/>
        </w:rPr>
        <w:t>, rastvor za injekciju, 40</w:t>
      </w:r>
      <w:r>
        <w:rPr>
          <w:bCs/>
          <w:sz w:val="22"/>
          <w:szCs w:val="22"/>
          <w:lang w:val="sr-Latn-ME"/>
        </w:rPr>
        <w:t xml:space="preserve"> </w:t>
      </w:r>
      <w:r w:rsidRPr="00C01AE6">
        <w:rPr>
          <w:bCs/>
          <w:sz w:val="22"/>
          <w:szCs w:val="22"/>
          <w:lang w:val="sr-Latn-ME"/>
        </w:rPr>
        <w:t>m</w:t>
      </w:r>
      <w:r>
        <w:rPr>
          <w:bCs/>
          <w:sz w:val="22"/>
          <w:szCs w:val="22"/>
          <w:lang w:val="sr-Latn-ME"/>
        </w:rPr>
        <w:t xml:space="preserve">g/ml, bočica, staklena, </w:t>
      </w:r>
      <w:proofErr w:type="spellStart"/>
      <w:r>
        <w:rPr>
          <w:bCs/>
          <w:sz w:val="22"/>
          <w:szCs w:val="22"/>
          <w:lang w:val="sr-Latn-ME"/>
        </w:rPr>
        <w:t>12x1</w:t>
      </w:r>
      <w:proofErr w:type="spellEnd"/>
      <w:r>
        <w:rPr>
          <w:bCs/>
          <w:sz w:val="22"/>
          <w:szCs w:val="22"/>
          <w:lang w:val="sr-Latn-ME"/>
        </w:rPr>
        <w:t xml:space="preserve"> ml: </w:t>
      </w:r>
      <w:r>
        <w:rPr>
          <w:rFonts w:ascii="TimesNewRoman" w:hAnsi="TimesNewRoman" w:cs="TimesNewRoman"/>
          <w:sz w:val="22"/>
          <w:szCs w:val="22"/>
          <w:lang w:val="sr-Latn-ME" w:eastAsia="sr-Latn-ME"/>
        </w:rPr>
        <w:t>2030/24/4356 - 3199</w:t>
      </w:r>
    </w:p>
    <w:p w14:paraId="351D5153" w14:textId="016C9EBD" w:rsidR="00C01AE6" w:rsidRPr="00C01AE6" w:rsidRDefault="00C01AE6">
      <w:pPr>
        <w:tabs>
          <w:tab w:val="left" w:pos="540"/>
          <w:tab w:val="left" w:pos="569"/>
        </w:tabs>
        <w:rPr>
          <w:bCs/>
          <w:sz w:val="22"/>
          <w:szCs w:val="22"/>
          <w:lang w:val="sr-Latn-ME"/>
        </w:rPr>
      </w:pPr>
      <w:proofErr w:type="spellStart"/>
      <w:r w:rsidRPr="00C01AE6">
        <w:rPr>
          <w:bCs/>
          <w:sz w:val="22"/>
          <w:szCs w:val="22"/>
          <w:lang w:val="sr-Latn-ME"/>
        </w:rPr>
        <w:t>Strensiq</w:t>
      </w:r>
      <w:proofErr w:type="spellEnd"/>
      <w:r w:rsidRPr="00C01AE6">
        <w:rPr>
          <w:bCs/>
          <w:sz w:val="22"/>
          <w:szCs w:val="22"/>
          <w:lang w:val="sr-Latn-ME"/>
        </w:rPr>
        <w:t>, rastvor za injekciju, 100</w:t>
      </w:r>
      <w:r>
        <w:rPr>
          <w:bCs/>
          <w:sz w:val="22"/>
          <w:szCs w:val="22"/>
          <w:lang w:val="sr-Latn-ME"/>
        </w:rPr>
        <w:t xml:space="preserve"> </w:t>
      </w:r>
      <w:r w:rsidRPr="00C01AE6">
        <w:rPr>
          <w:bCs/>
          <w:sz w:val="22"/>
          <w:szCs w:val="22"/>
          <w:lang w:val="sr-Latn-ME"/>
        </w:rPr>
        <w:t>mg</w:t>
      </w:r>
      <w:r>
        <w:rPr>
          <w:bCs/>
          <w:sz w:val="22"/>
          <w:szCs w:val="22"/>
          <w:lang w:val="sr-Latn-ME"/>
        </w:rPr>
        <w:t xml:space="preserve">/ml, bočica, staklena, </w:t>
      </w:r>
      <w:proofErr w:type="spellStart"/>
      <w:r>
        <w:rPr>
          <w:bCs/>
          <w:sz w:val="22"/>
          <w:szCs w:val="22"/>
          <w:lang w:val="sr-Latn-ME"/>
        </w:rPr>
        <w:t>12x0.8</w:t>
      </w:r>
      <w:proofErr w:type="spellEnd"/>
      <w:r>
        <w:rPr>
          <w:bCs/>
          <w:sz w:val="22"/>
          <w:szCs w:val="22"/>
          <w:lang w:val="sr-Latn-ME"/>
        </w:rPr>
        <w:t xml:space="preserve"> ml: </w:t>
      </w:r>
      <w:r>
        <w:rPr>
          <w:rFonts w:ascii="TimesNewRoman" w:hAnsi="TimesNewRoman" w:cs="TimesNewRoman"/>
          <w:sz w:val="22"/>
          <w:szCs w:val="22"/>
          <w:lang w:val="sr-Latn-ME" w:eastAsia="sr-Latn-ME"/>
        </w:rPr>
        <w:t>2030/24/4357 - 3201</w:t>
      </w:r>
    </w:p>
    <w:p w14:paraId="7A3EF44F" w14:textId="77777777" w:rsidR="0072020E" w:rsidRPr="00C01AE6" w:rsidRDefault="0072020E">
      <w:pPr>
        <w:tabs>
          <w:tab w:val="left" w:pos="540"/>
          <w:tab w:val="left" w:pos="569"/>
        </w:tabs>
        <w:rPr>
          <w:bCs/>
          <w:sz w:val="22"/>
          <w:szCs w:val="22"/>
          <w:lang w:val="sr-Latn-ME"/>
        </w:rPr>
      </w:pPr>
    </w:p>
    <w:p w14:paraId="5C2F77C1" w14:textId="77777777" w:rsidR="00F45F77" w:rsidRPr="00C01AE6" w:rsidRDefault="00F45F77">
      <w:pPr>
        <w:tabs>
          <w:tab w:val="left" w:pos="540"/>
          <w:tab w:val="left" w:pos="569"/>
        </w:tabs>
        <w:rPr>
          <w:bCs/>
          <w:sz w:val="22"/>
          <w:szCs w:val="22"/>
          <w:lang w:val="sr-Latn-ME"/>
        </w:rPr>
      </w:pPr>
    </w:p>
    <w:p w14:paraId="24120719" w14:textId="77777777" w:rsidR="0072020E" w:rsidRPr="00C01AE6" w:rsidRDefault="0072020E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ME"/>
        </w:rPr>
      </w:pPr>
      <w:r w:rsidRPr="00C01AE6">
        <w:rPr>
          <w:b/>
          <w:bCs/>
          <w:sz w:val="22"/>
          <w:szCs w:val="22"/>
          <w:lang w:val="sr-Latn-ME"/>
        </w:rPr>
        <w:t xml:space="preserve">9. </w:t>
      </w:r>
      <w:r w:rsidR="00480FB1" w:rsidRPr="00C01AE6">
        <w:rPr>
          <w:b/>
          <w:bCs/>
          <w:sz w:val="22"/>
          <w:szCs w:val="22"/>
          <w:lang w:val="sr-Latn-ME"/>
        </w:rPr>
        <w:tab/>
      </w:r>
      <w:r w:rsidRPr="00C01AE6">
        <w:rPr>
          <w:b/>
          <w:bCs/>
          <w:sz w:val="22"/>
          <w:szCs w:val="22"/>
          <w:lang w:val="sr-Latn-ME"/>
        </w:rPr>
        <w:t xml:space="preserve">DATUM </w:t>
      </w:r>
      <w:r w:rsidR="00C05DF8" w:rsidRPr="00C01AE6">
        <w:rPr>
          <w:b/>
          <w:bCs/>
          <w:sz w:val="22"/>
          <w:szCs w:val="22"/>
          <w:lang w:val="sr-Latn-ME"/>
        </w:rPr>
        <w:t xml:space="preserve">PRVE </w:t>
      </w:r>
      <w:r w:rsidR="008A6D43" w:rsidRPr="00C01AE6">
        <w:rPr>
          <w:b/>
          <w:bCs/>
          <w:sz w:val="22"/>
          <w:szCs w:val="22"/>
          <w:lang w:val="sr-Latn-ME"/>
        </w:rPr>
        <w:t>DOZVOLE</w:t>
      </w:r>
      <w:r w:rsidR="00C05DF8" w:rsidRPr="00C01AE6">
        <w:rPr>
          <w:b/>
          <w:bCs/>
          <w:sz w:val="22"/>
          <w:szCs w:val="22"/>
          <w:lang w:val="sr-Latn-ME"/>
        </w:rPr>
        <w:t>/OBNOVE DOZVOLE</w:t>
      </w:r>
      <w:r w:rsidR="008A6D43" w:rsidRPr="00C01AE6">
        <w:rPr>
          <w:b/>
          <w:bCs/>
          <w:sz w:val="22"/>
          <w:szCs w:val="22"/>
          <w:lang w:val="sr-Latn-ME"/>
        </w:rPr>
        <w:t xml:space="preserve"> ZA STAVLJANJE LIJEKA U PROMET</w:t>
      </w:r>
    </w:p>
    <w:p w14:paraId="62A717B5" w14:textId="387094A3" w:rsidR="0072020E" w:rsidRDefault="0072020E">
      <w:pPr>
        <w:tabs>
          <w:tab w:val="left" w:pos="540"/>
          <w:tab w:val="left" w:pos="569"/>
        </w:tabs>
        <w:rPr>
          <w:bCs/>
          <w:sz w:val="22"/>
          <w:szCs w:val="22"/>
          <w:lang w:val="sr-Latn-ME"/>
        </w:rPr>
      </w:pPr>
    </w:p>
    <w:p w14:paraId="5202F2ED" w14:textId="11DB6015" w:rsidR="00C01AE6" w:rsidRDefault="00C01AE6">
      <w:pPr>
        <w:tabs>
          <w:tab w:val="left" w:pos="540"/>
          <w:tab w:val="left" w:pos="569"/>
        </w:tabs>
        <w:rPr>
          <w:rFonts w:ascii="TimesNewRoman" w:hAnsi="TimesNewRoman" w:cs="TimesNewRoman"/>
          <w:sz w:val="22"/>
          <w:szCs w:val="22"/>
          <w:lang w:val="sr-Latn-ME" w:eastAsia="sr-Latn-ME"/>
        </w:rPr>
      </w:pPr>
      <w:r>
        <w:rPr>
          <w:rFonts w:ascii="TimesNewRoman" w:hAnsi="TimesNewRoman" w:cs="TimesNewRoman"/>
          <w:sz w:val="22"/>
          <w:szCs w:val="22"/>
          <w:lang w:val="sr-Latn-ME" w:eastAsia="sr-Latn-ME"/>
        </w:rPr>
        <w:t>28.08.2024. godine</w:t>
      </w:r>
    </w:p>
    <w:p w14:paraId="2801BC7A" w14:textId="77777777" w:rsidR="00C01AE6" w:rsidRPr="00C01AE6" w:rsidRDefault="00C01AE6">
      <w:pPr>
        <w:tabs>
          <w:tab w:val="left" w:pos="540"/>
          <w:tab w:val="left" w:pos="569"/>
        </w:tabs>
        <w:rPr>
          <w:bCs/>
          <w:sz w:val="22"/>
          <w:szCs w:val="22"/>
          <w:lang w:val="sr-Latn-ME"/>
        </w:rPr>
      </w:pPr>
    </w:p>
    <w:p w14:paraId="3F455B7D" w14:textId="77777777" w:rsidR="00836B35" w:rsidRPr="00C01AE6" w:rsidRDefault="00836B35">
      <w:pPr>
        <w:tabs>
          <w:tab w:val="left" w:pos="540"/>
          <w:tab w:val="left" w:pos="569"/>
        </w:tabs>
        <w:rPr>
          <w:bCs/>
          <w:sz w:val="22"/>
          <w:szCs w:val="22"/>
          <w:lang w:val="sr-Latn-ME"/>
        </w:rPr>
      </w:pPr>
    </w:p>
    <w:p w14:paraId="62D390FE" w14:textId="77777777" w:rsidR="003F6A59" w:rsidRPr="00C01AE6" w:rsidRDefault="0072020E">
      <w:pPr>
        <w:tabs>
          <w:tab w:val="left" w:pos="540"/>
          <w:tab w:val="left" w:pos="569"/>
        </w:tabs>
        <w:ind w:left="540" w:hanging="540"/>
        <w:rPr>
          <w:bCs/>
          <w:sz w:val="22"/>
          <w:szCs w:val="22"/>
          <w:lang w:val="sr-Latn-ME"/>
        </w:rPr>
      </w:pPr>
      <w:r w:rsidRPr="00C01AE6">
        <w:rPr>
          <w:b/>
          <w:bCs/>
          <w:sz w:val="22"/>
          <w:szCs w:val="22"/>
          <w:lang w:val="sr-Latn-ME"/>
        </w:rPr>
        <w:t xml:space="preserve">10. </w:t>
      </w:r>
      <w:r w:rsidR="00480FB1" w:rsidRPr="00C01AE6">
        <w:rPr>
          <w:b/>
          <w:bCs/>
          <w:sz w:val="22"/>
          <w:szCs w:val="22"/>
          <w:lang w:val="sr-Latn-ME"/>
        </w:rPr>
        <w:tab/>
      </w:r>
      <w:r w:rsidR="002846DB" w:rsidRPr="00C01AE6">
        <w:rPr>
          <w:b/>
          <w:bCs/>
          <w:sz w:val="22"/>
          <w:szCs w:val="22"/>
          <w:lang w:val="sr-Latn-ME"/>
        </w:rPr>
        <w:t>D</w:t>
      </w:r>
      <w:r w:rsidR="00EC2532" w:rsidRPr="00C01AE6">
        <w:rPr>
          <w:b/>
          <w:bCs/>
          <w:sz w:val="22"/>
          <w:szCs w:val="22"/>
          <w:lang w:val="sr-Latn-ME"/>
        </w:rPr>
        <w:t xml:space="preserve">ATUM REVIZIJE TEKSTA </w:t>
      </w:r>
    </w:p>
    <w:p w14:paraId="696E3E28" w14:textId="77777777" w:rsidR="003F6A59" w:rsidRPr="00C01AE6" w:rsidRDefault="003F6A59">
      <w:pPr>
        <w:tabs>
          <w:tab w:val="left" w:pos="540"/>
          <w:tab w:val="left" w:pos="569"/>
        </w:tabs>
        <w:rPr>
          <w:bCs/>
          <w:sz w:val="22"/>
          <w:szCs w:val="22"/>
          <w:lang w:val="sr-Latn-ME"/>
        </w:rPr>
      </w:pPr>
    </w:p>
    <w:p w14:paraId="45537539" w14:textId="640302FB" w:rsidR="008A6D43" w:rsidRPr="00C01AE6" w:rsidRDefault="00C01AE6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>
        <w:rPr>
          <w:bCs/>
          <w:sz w:val="22"/>
          <w:szCs w:val="22"/>
          <w:lang w:val="sr-Latn-ME"/>
        </w:rPr>
        <w:t>Avgust, 2024. godine</w:t>
      </w:r>
    </w:p>
    <w:p w14:paraId="09A5FBD8" w14:textId="21B74B2F" w:rsidR="003F6A59" w:rsidRPr="00C01AE6" w:rsidRDefault="003F6A59">
      <w:pPr>
        <w:jc w:val="both"/>
        <w:rPr>
          <w:sz w:val="22"/>
          <w:szCs w:val="22"/>
          <w:lang w:val="sr-Latn-ME"/>
        </w:rPr>
      </w:pPr>
    </w:p>
    <w:sectPr w:rsidR="003F6A59" w:rsidRPr="00C01AE6" w:rsidSect="00454568">
      <w:footerReference w:type="default" r:id="rId13"/>
      <w:pgSz w:w="11909" w:h="16834" w:code="9"/>
      <w:pgMar w:top="1134" w:right="1418" w:bottom="1134" w:left="1418" w:header="737" w:footer="73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D9413F5" w14:textId="77777777" w:rsidR="008B181A" w:rsidRDefault="008B181A">
      <w:r>
        <w:separator/>
      </w:r>
    </w:p>
  </w:endnote>
  <w:endnote w:type="continuationSeparator" w:id="0">
    <w:p w14:paraId="2D2C49EC" w14:textId="77777777" w:rsidR="008B181A" w:rsidRDefault="008B18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NewRoman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405C31F" w14:textId="2EB7B08E" w:rsidR="00432666" w:rsidRPr="00B23F69" w:rsidRDefault="00432666" w:rsidP="00B23F69">
    <w:pPr>
      <w:pStyle w:val="Footer"/>
      <w:jc w:val="center"/>
      <w:rPr>
        <w:sz w:val="22"/>
        <w:szCs w:val="22"/>
      </w:rPr>
    </w:pPr>
    <w:r w:rsidRPr="00B23F69">
      <w:rPr>
        <w:sz w:val="22"/>
        <w:szCs w:val="22"/>
      </w:rPr>
      <w:fldChar w:fldCharType="begin"/>
    </w:r>
    <w:r w:rsidRPr="00B23F69">
      <w:rPr>
        <w:sz w:val="22"/>
        <w:szCs w:val="22"/>
      </w:rPr>
      <w:instrText xml:space="preserve"> PAGE </w:instrText>
    </w:r>
    <w:r w:rsidRPr="00B23F69">
      <w:rPr>
        <w:sz w:val="22"/>
        <w:szCs w:val="22"/>
      </w:rPr>
      <w:fldChar w:fldCharType="separate"/>
    </w:r>
    <w:r w:rsidR="00FE1692">
      <w:rPr>
        <w:noProof/>
        <w:sz w:val="22"/>
        <w:szCs w:val="22"/>
      </w:rPr>
      <w:t>14</w:t>
    </w:r>
    <w:r w:rsidRPr="00B23F69">
      <w:rPr>
        <w:sz w:val="22"/>
        <w:szCs w:val="22"/>
      </w:rPr>
      <w:fldChar w:fldCharType="end"/>
    </w:r>
    <w:r w:rsidRPr="00B23F69">
      <w:rPr>
        <w:sz w:val="22"/>
        <w:szCs w:val="22"/>
      </w:rPr>
      <w:t xml:space="preserve"> / </w:t>
    </w:r>
    <w:r w:rsidRPr="00B23F69">
      <w:rPr>
        <w:sz w:val="22"/>
        <w:szCs w:val="22"/>
      </w:rPr>
      <w:fldChar w:fldCharType="begin"/>
    </w:r>
    <w:r w:rsidRPr="00B23F69">
      <w:rPr>
        <w:sz w:val="22"/>
        <w:szCs w:val="22"/>
      </w:rPr>
      <w:instrText xml:space="preserve"> NUMPAGES </w:instrText>
    </w:r>
    <w:r w:rsidRPr="00B23F69">
      <w:rPr>
        <w:sz w:val="22"/>
        <w:szCs w:val="22"/>
      </w:rPr>
      <w:fldChar w:fldCharType="separate"/>
    </w:r>
    <w:r w:rsidR="00FE1692">
      <w:rPr>
        <w:noProof/>
        <w:sz w:val="22"/>
        <w:szCs w:val="22"/>
      </w:rPr>
      <w:t>14</w:t>
    </w:r>
    <w:r w:rsidRPr="00B23F69">
      <w:rPr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9663E44" w14:textId="77777777" w:rsidR="008B181A" w:rsidRDefault="008B181A">
      <w:r>
        <w:separator/>
      </w:r>
    </w:p>
  </w:footnote>
  <w:footnote w:type="continuationSeparator" w:id="0">
    <w:p w14:paraId="3CE95797" w14:textId="77777777" w:rsidR="008B181A" w:rsidRDefault="008B181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6" type="#_x0000_t75" style="width:15.6pt;height:14.5pt;visibility:visible" o:bullet="t">
        <v:imagedata r:id="rId1" o:title="BT_1000x858px"/>
      </v:shape>
    </w:pict>
  </w:numPicBullet>
  <w:abstractNum w:abstractNumId="0" w15:restartNumberingAfterBreak="0">
    <w:nsid w:val="024246A0"/>
    <w:multiLevelType w:val="hybridMultilevel"/>
    <w:tmpl w:val="7C88F156"/>
    <w:lvl w:ilvl="0" w:tplc="286E82A4">
      <w:start w:val="1"/>
      <w:numFmt w:val="bullet"/>
      <w:lvlText w:val=""/>
      <w:lvlPicBulletId w:val="0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5E62716A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908E3EC4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3" w:tplc="450E7C60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D5AA8DA0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5" w:tplc="DE782A96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6" w:tplc="17EABC08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2440FEB8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8" w:tplc="95905A20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</w:abstractNum>
  <w:abstractNum w:abstractNumId="1" w15:restartNumberingAfterBreak="0">
    <w:nsid w:val="0C10687C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108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" w15:restartNumberingAfterBreak="0">
    <w:nsid w:val="0DF47524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" w15:restartNumberingAfterBreak="0">
    <w:nsid w:val="23B7527E"/>
    <w:multiLevelType w:val="hybridMultilevel"/>
    <w:tmpl w:val="8D6E2A4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3FA57B4"/>
    <w:multiLevelType w:val="hybridMultilevel"/>
    <w:tmpl w:val="4E9C3DBE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24E8136F"/>
    <w:multiLevelType w:val="multilevel"/>
    <w:tmpl w:val="C5B2E7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6DB49BF"/>
    <w:multiLevelType w:val="hybridMultilevel"/>
    <w:tmpl w:val="F5D0C7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1E09DD"/>
    <w:multiLevelType w:val="multilevel"/>
    <w:tmpl w:val="BBBCBE5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368A7FE8"/>
    <w:multiLevelType w:val="hybridMultilevel"/>
    <w:tmpl w:val="9AFE798E"/>
    <w:lvl w:ilvl="0" w:tplc="04090001">
      <w:start w:val="1"/>
      <w:numFmt w:val="bullet"/>
      <w:lvlText w:val=""/>
      <w:lvlJc w:val="left"/>
      <w:pPr>
        <w:ind w:left="809" w:hanging="104"/>
      </w:pPr>
      <w:rPr>
        <w:rFonts w:ascii="Symbol" w:hAnsi="Symbol" w:hint="default"/>
        <w:w w:val="103"/>
        <w:sz w:val="20"/>
        <w:szCs w:val="20"/>
        <w:lang w:val="en-US" w:eastAsia="en-US" w:bidi="ar-SA"/>
      </w:rPr>
    </w:lvl>
    <w:lvl w:ilvl="1" w:tplc="76D4156E">
      <w:numFmt w:val="bullet"/>
      <w:lvlText w:val="-"/>
      <w:lvlJc w:val="left"/>
      <w:pPr>
        <w:ind w:left="1486" w:hanging="119"/>
      </w:pPr>
      <w:rPr>
        <w:rFonts w:ascii="Times New Roman" w:eastAsia="Times New Roman" w:hAnsi="Times New Roman" w:cs="Times New Roman" w:hint="default"/>
        <w:w w:val="103"/>
        <w:sz w:val="20"/>
        <w:szCs w:val="20"/>
        <w:lang w:val="en-US" w:eastAsia="en-US" w:bidi="ar-SA"/>
      </w:rPr>
    </w:lvl>
    <w:lvl w:ilvl="2" w:tplc="93A47B92">
      <w:numFmt w:val="bullet"/>
      <w:lvlText w:val="•"/>
      <w:lvlJc w:val="left"/>
      <w:pPr>
        <w:ind w:left="2293" w:hanging="119"/>
      </w:pPr>
      <w:rPr>
        <w:rFonts w:hint="default"/>
        <w:lang w:val="en-US" w:eastAsia="en-US" w:bidi="ar-SA"/>
      </w:rPr>
    </w:lvl>
    <w:lvl w:ilvl="3" w:tplc="11009F88">
      <w:numFmt w:val="bullet"/>
      <w:lvlText w:val="•"/>
      <w:lvlJc w:val="left"/>
      <w:pPr>
        <w:ind w:left="3106" w:hanging="119"/>
      </w:pPr>
      <w:rPr>
        <w:rFonts w:hint="default"/>
        <w:lang w:val="en-US" w:eastAsia="en-US" w:bidi="ar-SA"/>
      </w:rPr>
    </w:lvl>
    <w:lvl w:ilvl="4" w:tplc="8BB4F604">
      <w:numFmt w:val="bullet"/>
      <w:lvlText w:val="•"/>
      <w:lvlJc w:val="left"/>
      <w:pPr>
        <w:ind w:left="3920" w:hanging="119"/>
      </w:pPr>
      <w:rPr>
        <w:rFonts w:hint="default"/>
        <w:lang w:val="en-US" w:eastAsia="en-US" w:bidi="ar-SA"/>
      </w:rPr>
    </w:lvl>
    <w:lvl w:ilvl="5" w:tplc="7D0E0B9A">
      <w:numFmt w:val="bullet"/>
      <w:lvlText w:val="•"/>
      <w:lvlJc w:val="left"/>
      <w:pPr>
        <w:ind w:left="4733" w:hanging="119"/>
      </w:pPr>
      <w:rPr>
        <w:rFonts w:hint="default"/>
        <w:lang w:val="en-US" w:eastAsia="en-US" w:bidi="ar-SA"/>
      </w:rPr>
    </w:lvl>
    <w:lvl w:ilvl="6" w:tplc="666E0CC4">
      <w:numFmt w:val="bullet"/>
      <w:lvlText w:val="•"/>
      <w:lvlJc w:val="left"/>
      <w:pPr>
        <w:ind w:left="5546" w:hanging="119"/>
      </w:pPr>
      <w:rPr>
        <w:rFonts w:hint="default"/>
        <w:lang w:val="en-US" w:eastAsia="en-US" w:bidi="ar-SA"/>
      </w:rPr>
    </w:lvl>
    <w:lvl w:ilvl="7" w:tplc="1B088C8E">
      <w:numFmt w:val="bullet"/>
      <w:lvlText w:val="•"/>
      <w:lvlJc w:val="left"/>
      <w:pPr>
        <w:ind w:left="6360" w:hanging="119"/>
      </w:pPr>
      <w:rPr>
        <w:rFonts w:hint="default"/>
        <w:lang w:val="en-US" w:eastAsia="en-US" w:bidi="ar-SA"/>
      </w:rPr>
    </w:lvl>
    <w:lvl w:ilvl="8" w:tplc="A9D84D10">
      <w:numFmt w:val="bullet"/>
      <w:lvlText w:val="•"/>
      <w:lvlJc w:val="left"/>
      <w:pPr>
        <w:ind w:left="7173" w:hanging="119"/>
      </w:pPr>
      <w:rPr>
        <w:rFonts w:hint="default"/>
        <w:lang w:val="en-US" w:eastAsia="en-US" w:bidi="ar-SA"/>
      </w:rPr>
    </w:lvl>
  </w:abstractNum>
  <w:abstractNum w:abstractNumId="9" w15:restartNumberingAfterBreak="0">
    <w:nsid w:val="478D2C0C"/>
    <w:multiLevelType w:val="multilevel"/>
    <w:tmpl w:val="04090023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0" w15:restartNumberingAfterBreak="0">
    <w:nsid w:val="494C33C8"/>
    <w:multiLevelType w:val="hybridMultilevel"/>
    <w:tmpl w:val="7B9698F8"/>
    <w:lvl w:ilvl="0" w:tplc="FC783C16">
      <w:numFmt w:val="bullet"/>
      <w:lvlText w:val="-"/>
      <w:lvlJc w:val="left"/>
      <w:pPr>
        <w:ind w:left="663" w:hanging="531"/>
      </w:pPr>
      <w:rPr>
        <w:rFonts w:ascii="Times New Roman" w:eastAsia="Times New Roman" w:hAnsi="Times New Roman" w:cs="Times New Roman" w:hint="default"/>
        <w:w w:val="103"/>
        <w:sz w:val="20"/>
        <w:szCs w:val="20"/>
        <w:lang w:val="en-US" w:eastAsia="en-US" w:bidi="ar-SA"/>
      </w:rPr>
    </w:lvl>
    <w:lvl w:ilvl="1" w:tplc="60DE973E">
      <w:numFmt w:val="bullet"/>
      <w:lvlText w:val="•"/>
      <w:lvlJc w:val="left"/>
      <w:pPr>
        <w:ind w:left="1474" w:hanging="531"/>
      </w:pPr>
      <w:rPr>
        <w:rFonts w:hint="default"/>
        <w:lang w:val="en-US" w:eastAsia="en-US" w:bidi="ar-SA"/>
      </w:rPr>
    </w:lvl>
    <w:lvl w:ilvl="2" w:tplc="A35EF5B8">
      <w:numFmt w:val="bullet"/>
      <w:lvlText w:val="•"/>
      <w:lvlJc w:val="left"/>
      <w:pPr>
        <w:ind w:left="2288" w:hanging="531"/>
      </w:pPr>
      <w:rPr>
        <w:rFonts w:hint="default"/>
        <w:lang w:val="en-US" w:eastAsia="en-US" w:bidi="ar-SA"/>
      </w:rPr>
    </w:lvl>
    <w:lvl w:ilvl="3" w:tplc="27C0679E">
      <w:numFmt w:val="bullet"/>
      <w:lvlText w:val="•"/>
      <w:lvlJc w:val="left"/>
      <w:pPr>
        <w:ind w:left="3102" w:hanging="531"/>
      </w:pPr>
      <w:rPr>
        <w:rFonts w:hint="default"/>
        <w:lang w:val="en-US" w:eastAsia="en-US" w:bidi="ar-SA"/>
      </w:rPr>
    </w:lvl>
    <w:lvl w:ilvl="4" w:tplc="920A005A">
      <w:numFmt w:val="bullet"/>
      <w:lvlText w:val="•"/>
      <w:lvlJc w:val="left"/>
      <w:pPr>
        <w:ind w:left="3916" w:hanging="531"/>
      </w:pPr>
      <w:rPr>
        <w:rFonts w:hint="default"/>
        <w:lang w:val="en-US" w:eastAsia="en-US" w:bidi="ar-SA"/>
      </w:rPr>
    </w:lvl>
    <w:lvl w:ilvl="5" w:tplc="F086EF26">
      <w:numFmt w:val="bullet"/>
      <w:lvlText w:val="•"/>
      <w:lvlJc w:val="left"/>
      <w:pPr>
        <w:ind w:left="4730" w:hanging="531"/>
      </w:pPr>
      <w:rPr>
        <w:rFonts w:hint="default"/>
        <w:lang w:val="en-US" w:eastAsia="en-US" w:bidi="ar-SA"/>
      </w:rPr>
    </w:lvl>
    <w:lvl w:ilvl="6" w:tplc="305CC222">
      <w:numFmt w:val="bullet"/>
      <w:lvlText w:val="•"/>
      <w:lvlJc w:val="left"/>
      <w:pPr>
        <w:ind w:left="5544" w:hanging="531"/>
      </w:pPr>
      <w:rPr>
        <w:rFonts w:hint="default"/>
        <w:lang w:val="en-US" w:eastAsia="en-US" w:bidi="ar-SA"/>
      </w:rPr>
    </w:lvl>
    <w:lvl w:ilvl="7" w:tplc="332EB7DC">
      <w:numFmt w:val="bullet"/>
      <w:lvlText w:val="•"/>
      <w:lvlJc w:val="left"/>
      <w:pPr>
        <w:ind w:left="6358" w:hanging="531"/>
      </w:pPr>
      <w:rPr>
        <w:rFonts w:hint="default"/>
        <w:lang w:val="en-US" w:eastAsia="en-US" w:bidi="ar-SA"/>
      </w:rPr>
    </w:lvl>
    <w:lvl w:ilvl="8" w:tplc="29200AF6">
      <w:numFmt w:val="bullet"/>
      <w:lvlText w:val="•"/>
      <w:lvlJc w:val="left"/>
      <w:pPr>
        <w:ind w:left="7172" w:hanging="531"/>
      </w:pPr>
      <w:rPr>
        <w:rFonts w:hint="default"/>
        <w:lang w:val="en-US" w:eastAsia="en-US" w:bidi="ar-SA"/>
      </w:rPr>
    </w:lvl>
  </w:abstractNum>
  <w:abstractNum w:abstractNumId="11" w15:restartNumberingAfterBreak="0">
    <w:nsid w:val="5555671D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108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2" w15:restartNumberingAfterBreak="0">
    <w:nsid w:val="6A31197F"/>
    <w:multiLevelType w:val="hybridMultilevel"/>
    <w:tmpl w:val="C5B2E75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749724F4"/>
    <w:multiLevelType w:val="hybridMultilevel"/>
    <w:tmpl w:val="1386514C"/>
    <w:lvl w:ilvl="0" w:tplc="BF803BDE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2"/>
  </w:num>
  <w:num w:numId="3">
    <w:abstractNumId w:val="1"/>
  </w:num>
  <w:num w:numId="4">
    <w:abstractNumId w:val="11"/>
  </w:num>
  <w:num w:numId="5">
    <w:abstractNumId w:val="5"/>
  </w:num>
  <w:num w:numId="6">
    <w:abstractNumId w:val="2"/>
  </w:num>
  <w:num w:numId="7">
    <w:abstractNumId w:val="9"/>
  </w:num>
  <w:num w:numId="8">
    <w:abstractNumId w:val="4"/>
  </w:num>
  <w:num w:numId="9">
    <w:abstractNumId w:val="7"/>
  </w:num>
  <w:num w:numId="10">
    <w:abstractNumId w:val="13"/>
  </w:num>
  <w:num w:numId="11">
    <w:abstractNumId w:val="6"/>
  </w:num>
  <w:num w:numId="12">
    <w:abstractNumId w:val="8"/>
  </w:num>
  <w:num w:numId="13">
    <w:abstractNumId w:val="10"/>
  </w:num>
  <w:num w:numId="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2ED6"/>
    <w:rsid w:val="00000528"/>
    <w:rsid w:val="000176CA"/>
    <w:rsid w:val="00033469"/>
    <w:rsid w:val="00036FA0"/>
    <w:rsid w:val="0003793F"/>
    <w:rsid w:val="00042305"/>
    <w:rsid w:val="00045130"/>
    <w:rsid w:val="00057E35"/>
    <w:rsid w:val="00066F87"/>
    <w:rsid w:val="00075E28"/>
    <w:rsid w:val="00076726"/>
    <w:rsid w:val="00080303"/>
    <w:rsid w:val="00083D02"/>
    <w:rsid w:val="000A3AF6"/>
    <w:rsid w:val="000A3F58"/>
    <w:rsid w:val="000C6B7D"/>
    <w:rsid w:val="000D2343"/>
    <w:rsid w:val="000D3449"/>
    <w:rsid w:val="000D425A"/>
    <w:rsid w:val="000D60CC"/>
    <w:rsid w:val="000E2084"/>
    <w:rsid w:val="000E6F55"/>
    <w:rsid w:val="000F269C"/>
    <w:rsid w:val="000F4D5A"/>
    <w:rsid w:val="000F77FA"/>
    <w:rsid w:val="0010346F"/>
    <w:rsid w:val="00107BF7"/>
    <w:rsid w:val="001200B7"/>
    <w:rsid w:val="00126F53"/>
    <w:rsid w:val="0014766D"/>
    <w:rsid w:val="001501A6"/>
    <w:rsid w:val="001536CC"/>
    <w:rsid w:val="00154D37"/>
    <w:rsid w:val="00190FE2"/>
    <w:rsid w:val="00191DDB"/>
    <w:rsid w:val="001A3FBA"/>
    <w:rsid w:val="001A5518"/>
    <w:rsid w:val="001B1C6A"/>
    <w:rsid w:val="001B5F7A"/>
    <w:rsid w:val="001C1263"/>
    <w:rsid w:val="001C1417"/>
    <w:rsid w:val="001D7EA0"/>
    <w:rsid w:val="001E390B"/>
    <w:rsid w:val="001F42FB"/>
    <w:rsid w:val="001F719A"/>
    <w:rsid w:val="002031B3"/>
    <w:rsid w:val="00215931"/>
    <w:rsid w:val="00224C91"/>
    <w:rsid w:val="00227BDB"/>
    <w:rsid w:val="002321C0"/>
    <w:rsid w:val="00234CB1"/>
    <w:rsid w:val="002352F8"/>
    <w:rsid w:val="002510A5"/>
    <w:rsid w:val="00254A0A"/>
    <w:rsid w:val="00266046"/>
    <w:rsid w:val="002846DB"/>
    <w:rsid w:val="00284CCD"/>
    <w:rsid w:val="002A2FD9"/>
    <w:rsid w:val="002B1EF2"/>
    <w:rsid w:val="002C1FF4"/>
    <w:rsid w:val="002C5F29"/>
    <w:rsid w:val="002C6637"/>
    <w:rsid w:val="002C7051"/>
    <w:rsid w:val="002E0135"/>
    <w:rsid w:val="002E37A5"/>
    <w:rsid w:val="002E6982"/>
    <w:rsid w:val="00304C7C"/>
    <w:rsid w:val="00310F03"/>
    <w:rsid w:val="00316A42"/>
    <w:rsid w:val="003247D2"/>
    <w:rsid w:val="003445C1"/>
    <w:rsid w:val="00351385"/>
    <w:rsid w:val="00355B61"/>
    <w:rsid w:val="00362686"/>
    <w:rsid w:val="00371510"/>
    <w:rsid w:val="003869D3"/>
    <w:rsid w:val="00393B52"/>
    <w:rsid w:val="00396DFD"/>
    <w:rsid w:val="003A7059"/>
    <w:rsid w:val="003B7A36"/>
    <w:rsid w:val="003C17AB"/>
    <w:rsid w:val="003C7823"/>
    <w:rsid w:val="003C7F93"/>
    <w:rsid w:val="003E1DCC"/>
    <w:rsid w:val="003F11A1"/>
    <w:rsid w:val="003F6A59"/>
    <w:rsid w:val="004065C8"/>
    <w:rsid w:val="004109FA"/>
    <w:rsid w:val="00411B4B"/>
    <w:rsid w:val="00415BEE"/>
    <w:rsid w:val="004254E9"/>
    <w:rsid w:val="00427F85"/>
    <w:rsid w:val="00432231"/>
    <w:rsid w:val="00432666"/>
    <w:rsid w:val="00436F42"/>
    <w:rsid w:val="004378B4"/>
    <w:rsid w:val="004427E1"/>
    <w:rsid w:val="004436E4"/>
    <w:rsid w:val="00451314"/>
    <w:rsid w:val="00452E9D"/>
    <w:rsid w:val="004534C7"/>
    <w:rsid w:val="00454568"/>
    <w:rsid w:val="0046703B"/>
    <w:rsid w:val="004671AA"/>
    <w:rsid w:val="00467B3D"/>
    <w:rsid w:val="00471DF8"/>
    <w:rsid w:val="00480FB1"/>
    <w:rsid w:val="00483928"/>
    <w:rsid w:val="0048447D"/>
    <w:rsid w:val="0049182A"/>
    <w:rsid w:val="004C331F"/>
    <w:rsid w:val="004D20AB"/>
    <w:rsid w:val="004D6103"/>
    <w:rsid w:val="004D6954"/>
    <w:rsid w:val="004E3BCE"/>
    <w:rsid w:val="004E70AD"/>
    <w:rsid w:val="004F0E97"/>
    <w:rsid w:val="004F17E2"/>
    <w:rsid w:val="00501DD1"/>
    <w:rsid w:val="00515C21"/>
    <w:rsid w:val="00530BD7"/>
    <w:rsid w:val="00533DDC"/>
    <w:rsid w:val="005342D8"/>
    <w:rsid w:val="00534581"/>
    <w:rsid w:val="0053468D"/>
    <w:rsid w:val="00545CD2"/>
    <w:rsid w:val="005476F3"/>
    <w:rsid w:val="00555772"/>
    <w:rsid w:val="00563470"/>
    <w:rsid w:val="00572527"/>
    <w:rsid w:val="00573E40"/>
    <w:rsid w:val="00576348"/>
    <w:rsid w:val="00596BD9"/>
    <w:rsid w:val="005A0B2E"/>
    <w:rsid w:val="005A23D2"/>
    <w:rsid w:val="005A2454"/>
    <w:rsid w:val="005A36CB"/>
    <w:rsid w:val="005B26E6"/>
    <w:rsid w:val="005B49B8"/>
    <w:rsid w:val="005C0741"/>
    <w:rsid w:val="005C5EF4"/>
    <w:rsid w:val="005E2E0B"/>
    <w:rsid w:val="005E67AD"/>
    <w:rsid w:val="005E7A7D"/>
    <w:rsid w:val="00602457"/>
    <w:rsid w:val="00613845"/>
    <w:rsid w:val="00644FC3"/>
    <w:rsid w:val="00646BD1"/>
    <w:rsid w:val="00655C9D"/>
    <w:rsid w:val="006561C2"/>
    <w:rsid w:val="00657188"/>
    <w:rsid w:val="00671CB3"/>
    <w:rsid w:val="00674BAF"/>
    <w:rsid w:val="00677030"/>
    <w:rsid w:val="00682200"/>
    <w:rsid w:val="00692BF6"/>
    <w:rsid w:val="006A1351"/>
    <w:rsid w:val="006A1497"/>
    <w:rsid w:val="006A715E"/>
    <w:rsid w:val="006B0BD1"/>
    <w:rsid w:val="006B3EE0"/>
    <w:rsid w:val="006B5404"/>
    <w:rsid w:val="006B6C04"/>
    <w:rsid w:val="006C31E7"/>
    <w:rsid w:val="006C656A"/>
    <w:rsid w:val="006D20A5"/>
    <w:rsid w:val="006D37BF"/>
    <w:rsid w:val="006F6F52"/>
    <w:rsid w:val="00702E22"/>
    <w:rsid w:val="00705D60"/>
    <w:rsid w:val="00711F45"/>
    <w:rsid w:val="00713961"/>
    <w:rsid w:val="0072020E"/>
    <w:rsid w:val="00754902"/>
    <w:rsid w:val="00766CDC"/>
    <w:rsid w:val="00786071"/>
    <w:rsid w:val="007A0E15"/>
    <w:rsid w:val="007A3ECB"/>
    <w:rsid w:val="007A5E0A"/>
    <w:rsid w:val="007D7BB3"/>
    <w:rsid w:val="007E31E9"/>
    <w:rsid w:val="007F05E3"/>
    <w:rsid w:val="007F2902"/>
    <w:rsid w:val="007F441A"/>
    <w:rsid w:val="008201FF"/>
    <w:rsid w:val="00824AB9"/>
    <w:rsid w:val="00836B35"/>
    <w:rsid w:val="00843BDE"/>
    <w:rsid w:val="0087518A"/>
    <w:rsid w:val="0087588C"/>
    <w:rsid w:val="0089705C"/>
    <w:rsid w:val="008A6D43"/>
    <w:rsid w:val="008B181A"/>
    <w:rsid w:val="008B491E"/>
    <w:rsid w:val="008B6182"/>
    <w:rsid w:val="008C1A28"/>
    <w:rsid w:val="008C2E98"/>
    <w:rsid w:val="008C7919"/>
    <w:rsid w:val="008D0318"/>
    <w:rsid w:val="008E49BD"/>
    <w:rsid w:val="008E53E9"/>
    <w:rsid w:val="008E5771"/>
    <w:rsid w:val="008F4ACF"/>
    <w:rsid w:val="00924166"/>
    <w:rsid w:val="00940B9B"/>
    <w:rsid w:val="00953573"/>
    <w:rsid w:val="0095676E"/>
    <w:rsid w:val="00956983"/>
    <w:rsid w:val="00963CF0"/>
    <w:rsid w:val="00964BB1"/>
    <w:rsid w:val="009775D9"/>
    <w:rsid w:val="00992B09"/>
    <w:rsid w:val="00997175"/>
    <w:rsid w:val="009A1847"/>
    <w:rsid w:val="009B062A"/>
    <w:rsid w:val="009E7C6F"/>
    <w:rsid w:val="009F1793"/>
    <w:rsid w:val="009F2D23"/>
    <w:rsid w:val="00A01D69"/>
    <w:rsid w:val="00A02335"/>
    <w:rsid w:val="00A02526"/>
    <w:rsid w:val="00A3221F"/>
    <w:rsid w:val="00A46C9A"/>
    <w:rsid w:val="00A619F3"/>
    <w:rsid w:val="00A62A73"/>
    <w:rsid w:val="00A8536B"/>
    <w:rsid w:val="00A87FF6"/>
    <w:rsid w:val="00AA0A3B"/>
    <w:rsid w:val="00AA2763"/>
    <w:rsid w:val="00AA33B6"/>
    <w:rsid w:val="00AB3820"/>
    <w:rsid w:val="00AB50CA"/>
    <w:rsid w:val="00AB58A3"/>
    <w:rsid w:val="00AB6D64"/>
    <w:rsid w:val="00AC53CE"/>
    <w:rsid w:val="00AD0B64"/>
    <w:rsid w:val="00AD2193"/>
    <w:rsid w:val="00AF19F4"/>
    <w:rsid w:val="00AF2AC7"/>
    <w:rsid w:val="00AF74CE"/>
    <w:rsid w:val="00B1119F"/>
    <w:rsid w:val="00B20849"/>
    <w:rsid w:val="00B208DB"/>
    <w:rsid w:val="00B23F69"/>
    <w:rsid w:val="00B3559F"/>
    <w:rsid w:val="00B406FD"/>
    <w:rsid w:val="00B41166"/>
    <w:rsid w:val="00B60619"/>
    <w:rsid w:val="00B66A70"/>
    <w:rsid w:val="00B67366"/>
    <w:rsid w:val="00B80EE1"/>
    <w:rsid w:val="00B84135"/>
    <w:rsid w:val="00BA210B"/>
    <w:rsid w:val="00BB4A32"/>
    <w:rsid w:val="00BC4C3C"/>
    <w:rsid w:val="00BE3403"/>
    <w:rsid w:val="00BF3B8D"/>
    <w:rsid w:val="00BF7680"/>
    <w:rsid w:val="00C01AE6"/>
    <w:rsid w:val="00C04D34"/>
    <w:rsid w:val="00C05DF8"/>
    <w:rsid w:val="00C06864"/>
    <w:rsid w:val="00C10F54"/>
    <w:rsid w:val="00C1228B"/>
    <w:rsid w:val="00C23D8D"/>
    <w:rsid w:val="00C37AA3"/>
    <w:rsid w:val="00C37FD7"/>
    <w:rsid w:val="00C43419"/>
    <w:rsid w:val="00C44CF3"/>
    <w:rsid w:val="00C61BE0"/>
    <w:rsid w:val="00C6707E"/>
    <w:rsid w:val="00C70B0E"/>
    <w:rsid w:val="00C773CA"/>
    <w:rsid w:val="00C80AFD"/>
    <w:rsid w:val="00C83785"/>
    <w:rsid w:val="00C87FA8"/>
    <w:rsid w:val="00C94C0D"/>
    <w:rsid w:val="00C9501E"/>
    <w:rsid w:val="00CA1FEB"/>
    <w:rsid w:val="00CB006C"/>
    <w:rsid w:val="00CD4F85"/>
    <w:rsid w:val="00CD6F02"/>
    <w:rsid w:val="00CE246D"/>
    <w:rsid w:val="00CE2817"/>
    <w:rsid w:val="00CF07A0"/>
    <w:rsid w:val="00CF1C1E"/>
    <w:rsid w:val="00CF3E03"/>
    <w:rsid w:val="00D0082A"/>
    <w:rsid w:val="00D0260B"/>
    <w:rsid w:val="00D21455"/>
    <w:rsid w:val="00D238E2"/>
    <w:rsid w:val="00D36EE8"/>
    <w:rsid w:val="00D47634"/>
    <w:rsid w:val="00D709B3"/>
    <w:rsid w:val="00D74CD2"/>
    <w:rsid w:val="00D900B6"/>
    <w:rsid w:val="00D901C1"/>
    <w:rsid w:val="00D93F80"/>
    <w:rsid w:val="00DA2ED6"/>
    <w:rsid w:val="00DB1D55"/>
    <w:rsid w:val="00DB76B8"/>
    <w:rsid w:val="00DC2EA1"/>
    <w:rsid w:val="00DD61FC"/>
    <w:rsid w:val="00DD6AAF"/>
    <w:rsid w:val="00DE3F5C"/>
    <w:rsid w:val="00DF1D20"/>
    <w:rsid w:val="00E00E61"/>
    <w:rsid w:val="00E21324"/>
    <w:rsid w:val="00E246B9"/>
    <w:rsid w:val="00E31FEA"/>
    <w:rsid w:val="00E45169"/>
    <w:rsid w:val="00E47787"/>
    <w:rsid w:val="00E51C30"/>
    <w:rsid w:val="00E550A9"/>
    <w:rsid w:val="00E64180"/>
    <w:rsid w:val="00E7235D"/>
    <w:rsid w:val="00E74AEE"/>
    <w:rsid w:val="00E868E5"/>
    <w:rsid w:val="00E9237A"/>
    <w:rsid w:val="00E939FA"/>
    <w:rsid w:val="00EA5765"/>
    <w:rsid w:val="00EC2532"/>
    <w:rsid w:val="00ED7812"/>
    <w:rsid w:val="00EE61A1"/>
    <w:rsid w:val="00EF3B86"/>
    <w:rsid w:val="00F317E9"/>
    <w:rsid w:val="00F34554"/>
    <w:rsid w:val="00F35B68"/>
    <w:rsid w:val="00F409A6"/>
    <w:rsid w:val="00F423BC"/>
    <w:rsid w:val="00F45F77"/>
    <w:rsid w:val="00F476CB"/>
    <w:rsid w:val="00F5167F"/>
    <w:rsid w:val="00F52258"/>
    <w:rsid w:val="00F8570A"/>
    <w:rsid w:val="00F91C7B"/>
    <w:rsid w:val="00FA2392"/>
    <w:rsid w:val="00FC65C6"/>
    <w:rsid w:val="00FE1692"/>
    <w:rsid w:val="00FE69AE"/>
    <w:rsid w:val="00FF2006"/>
    <w:rsid w:val="00FF3EDF"/>
    <w:rsid w:val="00FF5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B058893"/>
  <w15:chartTrackingRefBased/>
  <w15:docId w15:val="{72686179-00AE-4FF5-9B6D-A3DA2EF3E4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r-Latn-ME" w:eastAsia="sr-Latn-M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uiPriority="1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qFormat/>
    <w:rsid w:val="00D901C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qFormat/>
    <w:rsid w:val="005A0B2E"/>
    <w:pPr>
      <w:keepNext/>
      <w:tabs>
        <w:tab w:val="left" w:pos="284"/>
      </w:tabs>
      <w:jc w:val="center"/>
      <w:outlineLvl w:val="1"/>
    </w:pPr>
    <w:rPr>
      <w:rFonts w:ascii="Arial" w:hAnsi="Arial" w:cs="Arial"/>
      <w:i/>
      <w:iCs/>
      <w:color w:val="999999"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E246B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E246B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E246B9"/>
  </w:style>
  <w:style w:type="numbering" w:styleId="111111">
    <w:name w:val="Outline List 2"/>
    <w:basedOn w:val="NoList"/>
    <w:rsid w:val="00E246B9"/>
    <w:pPr>
      <w:numPr>
        <w:numId w:val="3"/>
      </w:numPr>
    </w:pPr>
  </w:style>
  <w:style w:type="character" w:styleId="CommentReference">
    <w:name w:val="annotation reference"/>
    <w:semiHidden/>
    <w:rsid w:val="005A0B2E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5A0B2E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5A0B2E"/>
    <w:rPr>
      <w:b/>
      <w:bCs/>
    </w:rPr>
  </w:style>
  <w:style w:type="paragraph" w:styleId="BalloonText">
    <w:name w:val="Balloon Text"/>
    <w:basedOn w:val="Normal"/>
    <w:semiHidden/>
    <w:rsid w:val="005A0B2E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EA5765"/>
    <w:rPr>
      <w:sz w:val="24"/>
      <w:szCs w:val="24"/>
      <w:lang w:val="en-US" w:eastAsia="en-US"/>
    </w:rPr>
  </w:style>
  <w:style w:type="character" w:customStyle="1" w:styleId="CommentTextChar">
    <w:name w:val="Comment Text Char"/>
    <w:link w:val="CommentText"/>
    <w:semiHidden/>
    <w:rsid w:val="008A6D43"/>
    <w:rPr>
      <w:lang w:val="en-US" w:eastAsia="en-US"/>
    </w:rPr>
  </w:style>
  <w:style w:type="character" w:styleId="Hyperlink">
    <w:name w:val="Hyperlink"/>
    <w:basedOn w:val="DefaultParagraphFont"/>
    <w:rsid w:val="004E70AD"/>
    <w:rPr>
      <w:color w:val="0563C1" w:themeColor="hyperlink"/>
      <w:u w:val="single"/>
    </w:rPr>
  </w:style>
  <w:style w:type="paragraph" w:styleId="BodyText">
    <w:name w:val="Body Text"/>
    <w:basedOn w:val="Normal"/>
    <w:link w:val="BodyTextChar"/>
    <w:uiPriority w:val="1"/>
    <w:qFormat/>
    <w:rsid w:val="00D901C1"/>
    <w:pPr>
      <w:widowControl w:val="0"/>
      <w:autoSpaceDE w:val="0"/>
      <w:autoSpaceDN w:val="0"/>
      <w:ind w:left="132"/>
    </w:pPr>
    <w:rPr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1"/>
    <w:rsid w:val="00D901C1"/>
    <w:rPr>
      <w:lang w:val="en-US" w:eastAsia="en-US"/>
    </w:rPr>
  </w:style>
  <w:style w:type="character" w:customStyle="1" w:styleId="Heading1Char">
    <w:name w:val="Heading 1 Char"/>
    <w:basedOn w:val="DefaultParagraphFont"/>
    <w:link w:val="Heading1"/>
    <w:rsid w:val="00D901C1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n-US" w:eastAsia="en-US"/>
    </w:rPr>
  </w:style>
  <w:style w:type="paragraph" w:styleId="Revision">
    <w:name w:val="Revision"/>
    <w:hidden/>
    <w:uiPriority w:val="99"/>
    <w:semiHidden/>
    <w:rsid w:val="00A8536B"/>
    <w:rPr>
      <w:sz w:val="24"/>
      <w:szCs w:val="24"/>
      <w:lang w:val="en-US" w:eastAsia="en-US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3869D3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711F4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ing.com/ck/a?!&amp;&amp;p=a8e6d99750f23286JmltdHM9MTcwODQ3MzYwMCZpZ3VpZD0xNWU2YjQzOC1lZjFmLTZmZGQtMmU5Ni1hMDFkZWVkZjZlM2EmaW5zaWQ9NTcyMA&amp;ptn=3&amp;ver=2&amp;hsh=3&amp;fclid=15e6b438-ef1f-6fdd-2e96-a01deedf6e3a&amp;psq=na+kvadrat+oznaka&amp;u=a1aHR0cHM6Ly9oci5lLW52bS5vcmcvaG93LWdldC1zcXVhcmUtbWV0cmUtc3ltYm9sLW9uLWtleWJvYXJkLTM2NjIxOTEtOTExMQ&amp;ntb=1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primaryreporting.who-umc.org/ME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nezeljenadejstva@cinmed.me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cinmed.me" TargetMode="External"/><Relationship Id="rId14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81CD40-1895-4927-8336-B9C97389E0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14</Pages>
  <Words>5993</Words>
  <Characters>34161</Characters>
  <Application>Microsoft Office Word</Application>
  <DocSecurity>0</DocSecurity>
  <Lines>284</Lines>
  <Paragraphs>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Obrazac za SmPC</vt:lpstr>
    </vt:vector>
  </TitlesOfParts>
  <Company>CInMED</Company>
  <LinksUpToDate>false</LinksUpToDate>
  <CharactersWithSpaces>40074</CharactersWithSpaces>
  <SharedDoc>false</SharedDoc>
  <HLinks>
    <vt:vector size="12" baseType="variant">
      <vt:variant>
        <vt:i4>2621465</vt:i4>
      </vt:variant>
      <vt:variant>
        <vt:i4>3</vt:i4>
      </vt:variant>
      <vt:variant>
        <vt:i4>0</vt:i4>
      </vt:variant>
      <vt:variant>
        <vt:i4>5</vt:i4>
      </vt:variant>
      <vt:variant>
        <vt:lpwstr>mailto:nezeljenadejstva@calims.me</vt:lpwstr>
      </vt:variant>
      <vt:variant>
        <vt:lpwstr/>
      </vt:variant>
      <vt:variant>
        <vt:i4>131142</vt:i4>
      </vt:variant>
      <vt:variant>
        <vt:i4>0</vt:i4>
      </vt:variant>
      <vt:variant>
        <vt:i4>0</vt:i4>
      </vt:variant>
      <vt:variant>
        <vt:i4>5</vt:i4>
      </vt:variant>
      <vt:variant>
        <vt:lpwstr>http://www.calims.me/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Obrazac za SmPC</dc:title>
  <dc:subject/>
  <dc:creator>Tatjana Banković</dc:creator>
  <cp:keywords/>
  <dc:description>Sažetak karakteristika lijeka</dc:description>
  <cp:lastModifiedBy>Gordana Boljević</cp:lastModifiedBy>
  <cp:revision>5</cp:revision>
  <cp:lastPrinted>2023-02-09T08:16:00Z</cp:lastPrinted>
  <dcterms:created xsi:type="dcterms:W3CDTF">2024-08-08T10:34:00Z</dcterms:created>
  <dcterms:modified xsi:type="dcterms:W3CDTF">2024-08-28T07:39:00Z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