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609D2" w14:textId="77777777" w:rsidR="00930311" w:rsidRPr="007819CB" w:rsidRDefault="00930311" w:rsidP="00D46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val="sr-Latn-ME"/>
        </w:rPr>
      </w:pPr>
    </w:p>
    <w:p w14:paraId="7833A3A3" w14:textId="52FF791D" w:rsidR="00930311" w:rsidRPr="007819CB" w:rsidRDefault="0097782B" w:rsidP="00D469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u w:val="single"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iCs/>
          <w:lang w:val="sr-Latn-ME"/>
        </w:rPr>
        <w:t xml:space="preserve">                                                     </w:t>
      </w:r>
      <w:r w:rsidR="00930311" w:rsidRPr="007819CB">
        <w:rPr>
          <w:rFonts w:ascii="Times New Roman" w:eastAsia="Times New Roman" w:hAnsi="Times New Roman" w:cs="Times New Roman"/>
          <w:b/>
          <w:bCs/>
          <w:iCs/>
          <w:u w:val="single"/>
          <w:lang w:val="sr-Latn-ME"/>
        </w:rPr>
        <w:t>SAŽETAK KARAKTERISTIKA LIJEKA</w:t>
      </w:r>
    </w:p>
    <w:p w14:paraId="01A4D677" w14:textId="77777777" w:rsidR="00767963" w:rsidRPr="007819CB" w:rsidRDefault="00767963" w:rsidP="009778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37D6658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1CCBFCD6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>1.</w:t>
      </w: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ab/>
        <w:t>NAZIV LIJEKA</w:t>
      </w:r>
    </w:p>
    <w:p w14:paraId="6A8F72A4" w14:textId="77777777" w:rsidR="000755F2" w:rsidRPr="007819CB" w:rsidRDefault="000755F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0F71559B" w14:textId="1ECD12E2" w:rsidR="00433F7D" w:rsidRPr="007819CB" w:rsidRDefault="0053291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Dexketoprofen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Kalceks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50 mg/2 ml rastvor za injekciju/infuziju</w:t>
      </w:r>
    </w:p>
    <w:p w14:paraId="681A4BD9" w14:textId="77777777" w:rsidR="00532916" w:rsidRPr="007819CB" w:rsidRDefault="0053291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7B92ADB" w14:textId="3C5A1D14" w:rsidR="00930311" w:rsidRPr="007819CB" w:rsidRDefault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INN: </w:t>
      </w:r>
      <w:proofErr w:type="spellStart"/>
      <w:r w:rsidR="00532916" w:rsidRPr="007819CB">
        <w:rPr>
          <w:rFonts w:ascii="Times New Roman" w:eastAsia="Times New Roman" w:hAnsi="Times New Roman" w:cs="Times New Roman"/>
          <w:lang w:val="sr-Latn-ME"/>
        </w:rPr>
        <w:t>deksketoprofen</w:t>
      </w:r>
      <w:proofErr w:type="spellEnd"/>
    </w:p>
    <w:p w14:paraId="0C7653DC" w14:textId="34C8E720" w:rsidR="00930311" w:rsidRPr="007819CB" w:rsidRDefault="00930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A5776C4" w14:textId="77777777" w:rsidR="00767963" w:rsidRPr="007819CB" w:rsidRDefault="007679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27BD612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2. </w:t>
      </w: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ab/>
        <w:t>KVALITATIVNI I KVANTITATIVNI SASTAV</w:t>
      </w:r>
    </w:p>
    <w:p w14:paraId="0EE91380" w14:textId="77777777" w:rsidR="0064286A" w:rsidRPr="007819CB" w:rsidRDefault="0064286A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2DEB858" w14:textId="49658C1C" w:rsidR="00532916" w:rsidRPr="007819CB" w:rsidRDefault="0053291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1 ml rastvora sadrži </w:t>
      </w:r>
      <w:r w:rsidR="00767963" w:rsidRPr="007819CB">
        <w:rPr>
          <w:rFonts w:ascii="Times New Roman" w:eastAsia="Times New Roman" w:hAnsi="Times New Roman" w:cs="Times New Roman"/>
          <w:lang w:val="sr-Latn-ME"/>
        </w:rPr>
        <w:t xml:space="preserve">25 mg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deksketoprofen</w:t>
      </w:r>
      <w:r w:rsidR="00767963" w:rsidRPr="007819CB">
        <w:rPr>
          <w:rFonts w:ascii="Times New Roman" w:eastAsia="Times New Roman" w:hAnsi="Times New Roman" w:cs="Times New Roman"/>
          <w:lang w:val="sr-Latn-ME"/>
        </w:rPr>
        <w:t>a</w:t>
      </w:r>
      <w:proofErr w:type="spellEnd"/>
      <w:r w:rsidR="00767963" w:rsidRPr="007819CB">
        <w:rPr>
          <w:rFonts w:ascii="Times New Roman" w:eastAsia="Times New Roman" w:hAnsi="Times New Roman" w:cs="Times New Roman"/>
          <w:lang w:val="sr-Latn-ME"/>
        </w:rPr>
        <w:t xml:space="preserve"> (u obliku </w:t>
      </w:r>
      <w:proofErr w:type="spellStart"/>
      <w:r w:rsidR="00767963" w:rsidRPr="007819CB">
        <w:rPr>
          <w:rFonts w:ascii="Times New Roman" w:eastAsia="Times New Roman" w:hAnsi="Times New Roman" w:cs="Times New Roman"/>
          <w:lang w:val="sr-Latn-ME"/>
        </w:rPr>
        <w:t>deksketoprofen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trometamol</w:t>
      </w:r>
      <w:r w:rsidR="00767963" w:rsidRPr="007819CB">
        <w:rPr>
          <w:rFonts w:ascii="Times New Roman" w:eastAsia="Times New Roman" w:hAnsi="Times New Roman" w:cs="Times New Roman"/>
          <w:lang w:val="sr-Latn-ME"/>
        </w:rPr>
        <w:t>a</w:t>
      </w:r>
      <w:proofErr w:type="spellEnd"/>
      <w:r w:rsidR="00767963" w:rsidRPr="007819CB">
        <w:rPr>
          <w:rFonts w:ascii="Times New Roman" w:eastAsia="Times New Roman" w:hAnsi="Times New Roman" w:cs="Times New Roman"/>
          <w:lang w:val="sr-Latn-ME"/>
        </w:rPr>
        <w:t>)</w:t>
      </w:r>
      <w:r w:rsidRPr="007819CB">
        <w:rPr>
          <w:rFonts w:ascii="Times New Roman" w:eastAsia="Times New Roman" w:hAnsi="Times New Roman" w:cs="Times New Roman"/>
          <w:lang w:val="sr-Latn-ME"/>
        </w:rPr>
        <w:t>.</w:t>
      </w:r>
    </w:p>
    <w:p w14:paraId="7552D4FE" w14:textId="4B08A7D8" w:rsidR="00532916" w:rsidRPr="007819CB" w:rsidRDefault="0053291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Jedna ampula </w:t>
      </w:r>
      <w:r w:rsidR="00767963" w:rsidRPr="007819CB">
        <w:rPr>
          <w:rFonts w:ascii="Times New Roman" w:eastAsia="Times New Roman" w:hAnsi="Times New Roman" w:cs="Times New Roman"/>
          <w:lang w:val="sr-Latn-ME"/>
        </w:rPr>
        <w:t xml:space="preserve">od 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2 ml sadrži </w:t>
      </w:r>
      <w:r w:rsidR="00767963" w:rsidRPr="007819CB">
        <w:rPr>
          <w:rFonts w:ascii="Times New Roman" w:eastAsia="Times New Roman" w:hAnsi="Times New Roman" w:cs="Times New Roman"/>
          <w:lang w:val="sr-Latn-ME"/>
        </w:rPr>
        <w:t xml:space="preserve">50 mg </w:t>
      </w:r>
      <w:proofErr w:type="spellStart"/>
      <w:r w:rsidR="00767963" w:rsidRPr="007819CB">
        <w:rPr>
          <w:rFonts w:ascii="Times New Roman" w:eastAsia="Times New Roman" w:hAnsi="Times New Roman" w:cs="Times New Roman"/>
          <w:lang w:val="sr-Latn-ME"/>
        </w:rPr>
        <w:t>deksketoprofena</w:t>
      </w:r>
      <w:proofErr w:type="spellEnd"/>
      <w:r w:rsidR="00767963" w:rsidRPr="007819CB">
        <w:rPr>
          <w:rFonts w:ascii="Times New Roman" w:eastAsia="Times New Roman" w:hAnsi="Times New Roman" w:cs="Times New Roman"/>
          <w:lang w:val="sr-Latn-ME"/>
        </w:rPr>
        <w:t xml:space="preserve"> (u obliku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deksketoprofen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trometamol</w:t>
      </w:r>
      <w:r w:rsidR="00767963" w:rsidRPr="007819CB">
        <w:rPr>
          <w:rFonts w:ascii="Times New Roman" w:eastAsia="Times New Roman" w:hAnsi="Times New Roman" w:cs="Times New Roman"/>
          <w:lang w:val="sr-Latn-ME"/>
        </w:rPr>
        <w:t>a</w:t>
      </w:r>
      <w:proofErr w:type="spellEnd"/>
      <w:r w:rsidR="00767963" w:rsidRPr="007819CB">
        <w:rPr>
          <w:rFonts w:ascii="Times New Roman" w:eastAsia="Times New Roman" w:hAnsi="Times New Roman" w:cs="Times New Roman"/>
          <w:lang w:val="sr-Latn-ME"/>
        </w:rPr>
        <w:t>)</w:t>
      </w:r>
      <w:r w:rsidRPr="007819CB">
        <w:rPr>
          <w:rFonts w:ascii="Times New Roman" w:eastAsia="Times New Roman" w:hAnsi="Times New Roman" w:cs="Times New Roman"/>
          <w:lang w:val="sr-Latn-ME"/>
        </w:rPr>
        <w:t>.</w:t>
      </w:r>
    </w:p>
    <w:p w14:paraId="05C209FD" w14:textId="77777777" w:rsidR="00532916" w:rsidRPr="007819CB" w:rsidRDefault="0053291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005F02D" w14:textId="672810B1" w:rsidR="00532916" w:rsidRPr="007819CB" w:rsidRDefault="0053291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7819CB">
        <w:rPr>
          <w:rFonts w:ascii="Times New Roman" w:eastAsia="Times New Roman" w:hAnsi="Times New Roman" w:cs="Times New Roman"/>
          <w:u w:val="single"/>
          <w:lang w:val="sr-Latn-ME"/>
        </w:rPr>
        <w:t>Pomoćne supstance sa poznatim dejstvom</w:t>
      </w:r>
      <w:r w:rsidR="00767963" w:rsidRPr="007819CB">
        <w:rPr>
          <w:rFonts w:ascii="Times New Roman" w:eastAsia="Times New Roman" w:hAnsi="Times New Roman" w:cs="Times New Roman"/>
          <w:lang w:val="sr-Latn-ME"/>
        </w:rPr>
        <w:t>:</w:t>
      </w:r>
    </w:p>
    <w:p w14:paraId="734E4345" w14:textId="64430F31" w:rsidR="00433F7D" w:rsidRPr="007819CB" w:rsidRDefault="0053291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>Svaka ampula sadrži 200 mg etanola (96%) i 8</w:t>
      </w:r>
      <w:r w:rsidR="00E714A4" w:rsidRPr="007819CB">
        <w:rPr>
          <w:rFonts w:ascii="Times New Roman" w:eastAsia="Times New Roman" w:hAnsi="Times New Roman" w:cs="Times New Roman"/>
          <w:lang w:val="sr-Latn-ME"/>
        </w:rPr>
        <w:t>.</w:t>
      </w:r>
      <w:r w:rsidRPr="007819CB">
        <w:rPr>
          <w:rFonts w:ascii="Times New Roman" w:eastAsia="Times New Roman" w:hAnsi="Times New Roman" w:cs="Times New Roman"/>
          <w:lang w:val="sr-Latn-ME"/>
        </w:rPr>
        <w:t>0 mg natrijum hlorida.</w:t>
      </w:r>
    </w:p>
    <w:p w14:paraId="71BBDB36" w14:textId="77777777" w:rsidR="00532916" w:rsidRPr="007819CB" w:rsidRDefault="0053291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E525336" w14:textId="6C6A4021" w:rsidR="00930311" w:rsidRPr="007819CB" w:rsidRDefault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Za </w:t>
      </w:r>
      <w:r w:rsidR="003C6D83" w:rsidRPr="007819CB">
        <w:rPr>
          <w:rFonts w:ascii="Times New Roman" w:eastAsia="Times New Roman" w:hAnsi="Times New Roman" w:cs="Times New Roman"/>
          <w:lang w:val="sr-Latn-ME"/>
        </w:rPr>
        <w:t>spisak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svih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ekscipijenasa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>, pogledati dio 6.1.</w:t>
      </w:r>
    </w:p>
    <w:p w14:paraId="0BDB06B0" w14:textId="1653E363" w:rsidR="00930311" w:rsidRPr="007819CB" w:rsidRDefault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2B46FD38" w14:textId="77777777" w:rsidR="00767963" w:rsidRPr="007819CB" w:rsidRDefault="0076796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C9C3220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3. </w:t>
      </w: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ab/>
        <w:t>FARMACEUTSKI OBLIK</w:t>
      </w:r>
    </w:p>
    <w:p w14:paraId="3F3BEB90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1795CDED" w14:textId="00152A39" w:rsidR="00532916" w:rsidRPr="007819CB" w:rsidRDefault="005329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>Rastvor za injekcij</w:t>
      </w:r>
      <w:r w:rsidR="00F25915" w:rsidRPr="007819CB">
        <w:rPr>
          <w:rFonts w:ascii="Times New Roman" w:eastAsia="Times New Roman" w:hAnsi="Times New Roman" w:cs="Times New Roman"/>
          <w:bCs/>
          <w:lang w:val="sr-Latn-ME"/>
        </w:rPr>
        <w:t>u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/infuziju.</w:t>
      </w:r>
    </w:p>
    <w:p w14:paraId="6909BD4F" w14:textId="65CBECA7" w:rsidR="00532916" w:rsidRPr="007819CB" w:rsidRDefault="005329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>Bistar i bezbojan rastvor</w:t>
      </w:r>
      <w:r w:rsidR="00110175" w:rsidRPr="007819CB">
        <w:rPr>
          <w:rFonts w:ascii="Times New Roman" w:eastAsia="Times New Roman" w:hAnsi="Times New Roman" w:cs="Times New Roman"/>
          <w:bCs/>
          <w:lang w:val="sr-Latn-ME"/>
        </w:rPr>
        <w:t>, bez vidljivih čestica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35B07317" w14:textId="4C06467D" w:rsidR="00532916" w:rsidRPr="007819CB" w:rsidRDefault="005329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pH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7</w:t>
      </w:r>
      <w:r w:rsidR="00F25915" w:rsidRPr="007819CB">
        <w:rPr>
          <w:rFonts w:ascii="Times New Roman" w:eastAsia="Times New Roman" w:hAnsi="Times New Roman" w:cs="Times New Roman"/>
          <w:bCs/>
          <w:lang w:val="sr-Latn-ME"/>
        </w:rPr>
        <w:t>.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0</w:t>
      </w:r>
      <w:r w:rsidR="00767963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-</w:t>
      </w:r>
      <w:r w:rsidR="00767963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8</w:t>
      </w:r>
      <w:r w:rsidR="00F25915" w:rsidRPr="007819CB">
        <w:rPr>
          <w:rFonts w:ascii="Times New Roman" w:eastAsia="Times New Roman" w:hAnsi="Times New Roman" w:cs="Times New Roman"/>
          <w:bCs/>
          <w:lang w:val="sr-Latn-ME"/>
        </w:rPr>
        <w:t>.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0</w:t>
      </w:r>
    </w:p>
    <w:p w14:paraId="2864410A" w14:textId="3660B1B5" w:rsidR="00433F7D" w:rsidRPr="007819CB" w:rsidRDefault="005329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Osmolalnost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270-328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mOsmol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>/l</w:t>
      </w:r>
    </w:p>
    <w:p w14:paraId="7E0F00A4" w14:textId="2A811620" w:rsidR="00532916" w:rsidRPr="007819CB" w:rsidRDefault="005329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53A87AB" w14:textId="77777777" w:rsidR="00767963" w:rsidRPr="007819CB" w:rsidRDefault="007679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592EE9C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4. </w:t>
      </w: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ab/>
        <w:t>KLINIČKI PODACI</w:t>
      </w:r>
    </w:p>
    <w:p w14:paraId="70D89B01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0BF6861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4.1. </w:t>
      </w: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ab/>
        <w:t>Terapijske indikacije</w:t>
      </w:r>
    </w:p>
    <w:p w14:paraId="461B04F9" w14:textId="77777777" w:rsidR="00532916" w:rsidRPr="007819CB" w:rsidRDefault="0053291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0A142430" w14:textId="5FB3EDDB" w:rsidR="00930311" w:rsidRPr="007819CB" w:rsidRDefault="0053291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Simptomatsko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l</w:t>
      </w:r>
      <w:r w:rsidR="00107283" w:rsidRPr="007819CB">
        <w:rPr>
          <w:rFonts w:ascii="Times New Roman" w:eastAsia="Times New Roman" w:hAnsi="Times New Roman" w:cs="Times New Roman"/>
          <w:bCs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ečenje akutnog bola um</w:t>
      </w:r>
      <w:r w:rsidR="00107283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erenog do jakog intenziteta kada oralna prim</w:t>
      </w:r>
      <w:r w:rsidR="00107283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ena nije p</w:t>
      </w:r>
      <w:r w:rsidR="000A6BF3" w:rsidRPr="007819CB">
        <w:rPr>
          <w:rFonts w:ascii="Times New Roman" w:eastAsia="Times New Roman" w:hAnsi="Times New Roman" w:cs="Times New Roman"/>
          <w:bCs/>
          <w:lang w:val="sr-Latn-ME"/>
        </w:rPr>
        <w:t>rikladna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, na prim</w:t>
      </w:r>
      <w:r w:rsidR="00107283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er u slučaju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postoperativnog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bola, bubrežne kolike i bolova u donjem d</w:t>
      </w:r>
      <w:r w:rsidR="00107283" w:rsidRPr="007819CB">
        <w:rPr>
          <w:rFonts w:ascii="Times New Roman" w:eastAsia="Times New Roman" w:hAnsi="Times New Roman" w:cs="Times New Roman"/>
          <w:bCs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elu leđa.</w:t>
      </w:r>
    </w:p>
    <w:p w14:paraId="229AB3B2" w14:textId="77777777" w:rsidR="004D3795" w:rsidRPr="007819CB" w:rsidRDefault="004D379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71F3214B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4.2. </w:t>
      </w: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ab/>
        <w:t>Doziranje i način primjene</w:t>
      </w:r>
    </w:p>
    <w:p w14:paraId="62CE39DF" w14:textId="77777777" w:rsidR="00532916" w:rsidRPr="007819CB" w:rsidRDefault="0053291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</w:p>
    <w:p w14:paraId="6E7E2F8A" w14:textId="78A4BC06" w:rsidR="00532916" w:rsidRPr="007819CB" w:rsidRDefault="0053291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u w:val="single"/>
          <w:lang w:val="sr-Latn-ME"/>
        </w:rPr>
        <w:t>Doziranje</w:t>
      </w:r>
    </w:p>
    <w:p w14:paraId="37C8296E" w14:textId="29F156D2" w:rsidR="00532916" w:rsidRPr="007819CB" w:rsidRDefault="0053291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</w:p>
    <w:p w14:paraId="14EA3329" w14:textId="77777777" w:rsidR="00532916" w:rsidRPr="007819CB" w:rsidRDefault="0053291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i/>
          <w:iCs/>
          <w:lang w:val="sr-Latn-ME"/>
        </w:rPr>
        <w:t>Odrasli</w:t>
      </w:r>
    </w:p>
    <w:p w14:paraId="77B96955" w14:textId="434F0632" w:rsidR="00532916" w:rsidRPr="007819CB" w:rsidRDefault="0053291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>Preporučena doza je 50 mg svakih 8 do 12 sati. Ako je potrebno, prim</w:t>
      </w:r>
      <w:r w:rsidR="001D1AD6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ena se može ponoviti nakon 6 sati, ali ukupna dnevna doza ne bi trebalo da prelazi 150 mg.</w:t>
      </w:r>
    </w:p>
    <w:p w14:paraId="3ED0C695" w14:textId="77777777" w:rsidR="00110175" w:rsidRPr="007819CB" w:rsidRDefault="0011017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E884CBF" w14:textId="77777777" w:rsidR="0034449E" w:rsidRPr="007819CB" w:rsidRDefault="0095042B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Lijek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Dexketoprofen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Kalceks</w:t>
      </w:r>
      <w:proofErr w:type="spellEnd"/>
      <w:r w:rsidR="00532916" w:rsidRPr="007819CB">
        <w:rPr>
          <w:rFonts w:ascii="Times New Roman" w:eastAsia="Times New Roman" w:hAnsi="Times New Roman" w:cs="Times New Roman"/>
          <w:bCs/>
          <w:lang w:val="sr-Latn-ME"/>
        </w:rPr>
        <w:t xml:space="preserve"> nam</w:t>
      </w:r>
      <w:r w:rsidR="00CF5E93" w:rsidRPr="007819CB">
        <w:rPr>
          <w:rFonts w:ascii="Times New Roman" w:eastAsia="Times New Roman" w:hAnsi="Times New Roman" w:cs="Times New Roman"/>
          <w:bCs/>
          <w:lang w:val="sr-Latn-ME"/>
        </w:rPr>
        <w:t>ij</w:t>
      </w:r>
      <w:r w:rsidR="00532916" w:rsidRPr="007819CB">
        <w:rPr>
          <w:rFonts w:ascii="Times New Roman" w:eastAsia="Times New Roman" w:hAnsi="Times New Roman" w:cs="Times New Roman"/>
          <w:bCs/>
          <w:lang w:val="sr-Latn-ME"/>
        </w:rPr>
        <w:t>enjen je</w:t>
      </w:r>
      <w:r w:rsidR="00CF5E93" w:rsidRPr="007819CB">
        <w:rPr>
          <w:rFonts w:ascii="Times New Roman" w:eastAsia="Times New Roman" w:hAnsi="Times New Roman" w:cs="Times New Roman"/>
          <w:bCs/>
          <w:lang w:val="sr-Latn-ME"/>
        </w:rPr>
        <w:t xml:space="preserve"> za</w:t>
      </w:r>
      <w:r w:rsidR="00532916" w:rsidRPr="007819CB">
        <w:rPr>
          <w:rFonts w:ascii="Times New Roman" w:eastAsia="Times New Roman" w:hAnsi="Times New Roman" w:cs="Times New Roman"/>
          <w:bCs/>
          <w:lang w:val="sr-Latn-ME"/>
        </w:rPr>
        <w:t xml:space="preserve"> kratkotra</w:t>
      </w:r>
      <w:r w:rsidR="00CF5E93" w:rsidRPr="007819CB">
        <w:rPr>
          <w:rFonts w:ascii="Times New Roman" w:eastAsia="Times New Roman" w:hAnsi="Times New Roman" w:cs="Times New Roman"/>
          <w:bCs/>
          <w:lang w:val="sr-Latn-ME"/>
        </w:rPr>
        <w:t>jnu</w:t>
      </w:r>
      <w:r w:rsidR="00532916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CF5E93" w:rsidRPr="007819CB">
        <w:rPr>
          <w:rFonts w:ascii="Times New Roman" w:eastAsia="Times New Roman" w:hAnsi="Times New Roman" w:cs="Times New Roman"/>
          <w:bCs/>
          <w:lang w:val="sr-Latn-ME"/>
        </w:rPr>
        <w:t>primjenu</w:t>
      </w:r>
      <w:r w:rsidR="00532916" w:rsidRPr="007819CB">
        <w:rPr>
          <w:rFonts w:ascii="Times New Roman" w:eastAsia="Times New Roman" w:hAnsi="Times New Roman" w:cs="Times New Roman"/>
          <w:bCs/>
          <w:lang w:val="sr-Latn-ME"/>
        </w:rPr>
        <w:t>, a l</w:t>
      </w:r>
      <w:r w:rsidR="0034449E" w:rsidRPr="007819CB">
        <w:rPr>
          <w:rFonts w:ascii="Times New Roman" w:eastAsia="Times New Roman" w:hAnsi="Times New Roman" w:cs="Times New Roman"/>
          <w:bCs/>
          <w:lang w:val="sr-Latn-ME"/>
        </w:rPr>
        <w:t>ij</w:t>
      </w:r>
      <w:r w:rsidR="00532916" w:rsidRPr="007819CB">
        <w:rPr>
          <w:rFonts w:ascii="Times New Roman" w:eastAsia="Times New Roman" w:hAnsi="Times New Roman" w:cs="Times New Roman"/>
          <w:bCs/>
          <w:lang w:val="sr-Latn-ME"/>
        </w:rPr>
        <w:t xml:space="preserve">ečenje se mora ograničiti samo na period u kome su prisutni akutni simptomi (ne duže od dva dana). </w:t>
      </w:r>
    </w:p>
    <w:p w14:paraId="1F0ADFFC" w14:textId="6B2A70FB" w:rsidR="00532916" w:rsidRPr="007819CB" w:rsidRDefault="0053291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Pacijenti treba da pređu na </w:t>
      </w:r>
      <w:proofErr w:type="spellStart"/>
      <w:r w:rsidR="00D53BAF" w:rsidRPr="007819CB">
        <w:rPr>
          <w:rFonts w:ascii="Times New Roman" w:eastAsia="Times New Roman" w:hAnsi="Times New Roman" w:cs="Times New Roman"/>
          <w:bCs/>
          <w:lang w:val="sr-Latn-ME"/>
        </w:rPr>
        <w:t>per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oraln</w:t>
      </w:r>
      <w:r w:rsidR="00D53BAF" w:rsidRPr="007819CB">
        <w:rPr>
          <w:rFonts w:ascii="Times New Roman" w:eastAsia="Times New Roman" w:hAnsi="Times New Roman" w:cs="Times New Roman"/>
          <w:bCs/>
          <w:lang w:val="sr-Latn-ME"/>
        </w:rPr>
        <w:t>u</w:t>
      </w:r>
      <w:proofErr w:type="spellEnd"/>
      <w:r w:rsidR="00D53BAF" w:rsidRPr="007819CB">
        <w:rPr>
          <w:rFonts w:ascii="Times New Roman" w:eastAsia="Times New Roman" w:hAnsi="Times New Roman" w:cs="Times New Roman"/>
          <w:bCs/>
          <w:lang w:val="sr-Latn-ME"/>
        </w:rPr>
        <w:t xml:space="preserve"> primjenu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analgetik</w:t>
      </w:r>
      <w:r w:rsidR="00D53BAF" w:rsidRPr="007819CB">
        <w:rPr>
          <w:rFonts w:ascii="Times New Roman" w:eastAsia="Times New Roman" w:hAnsi="Times New Roman" w:cs="Times New Roman"/>
          <w:bCs/>
          <w:lang w:val="sr-Latn-ME"/>
        </w:rPr>
        <w:t>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što je pr</w:t>
      </w:r>
      <w:r w:rsidR="0034449E" w:rsidRPr="007819CB">
        <w:rPr>
          <w:rFonts w:ascii="Times New Roman" w:eastAsia="Times New Roman" w:hAnsi="Times New Roman" w:cs="Times New Roman"/>
          <w:bCs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e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moguće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60B24736" w14:textId="77777777" w:rsidR="00980217" w:rsidRPr="007819CB" w:rsidRDefault="0098021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F3F94FE" w14:textId="6F86EB6D" w:rsidR="00532916" w:rsidRPr="007819CB" w:rsidRDefault="00F40F8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Neželjena dejstva se mogu </w:t>
      </w:r>
      <w:r w:rsidR="007458C5" w:rsidRPr="007819CB">
        <w:rPr>
          <w:rFonts w:ascii="Times New Roman" w:eastAsia="Times New Roman" w:hAnsi="Times New Roman" w:cs="Times New Roman"/>
          <w:bCs/>
          <w:lang w:val="sr-Latn-ME"/>
        </w:rPr>
        <w:t xml:space="preserve">svesti na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mini</w:t>
      </w:r>
      <w:r w:rsidR="00C40B71" w:rsidRPr="007819CB">
        <w:rPr>
          <w:rFonts w:ascii="Times New Roman" w:eastAsia="Times New Roman" w:hAnsi="Times New Roman" w:cs="Times New Roman"/>
          <w:bCs/>
          <w:lang w:val="sr-Latn-ME"/>
        </w:rPr>
        <w:t>mum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upotrebom najniže efektivne doze tokom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najkraćeg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perioda neophodnog za kontrolu simptoma (pogledati dio 4.4).</w:t>
      </w:r>
    </w:p>
    <w:p w14:paraId="4766CC19" w14:textId="77777777" w:rsidR="00F40F85" w:rsidRPr="007819CB" w:rsidRDefault="00F40F8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543DB4B" w14:textId="56A200AC" w:rsidR="00532916" w:rsidRPr="007819CB" w:rsidRDefault="0053291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Ako je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indikovano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>, u slučaju um</w:t>
      </w:r>
      <w:r w:rsidR="00365947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erenog do jakog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postoperativnog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bola, </w:t>
      </w:r>
      <w:r w:rsidR="009C57E2" w:rsidRPr="007819CB">
        <w:rPr>
          <w:rFonts w:ascii="Times New Roman" w:eastAsia="Times New Roman" w:hAnsi="Times New Roman" w:cs="Times New Roman"/>
          <w:bCs/>
          <w:lang w:val="sr-Latn-ME"/>
        </w:rPr>
        <w:t xml:space="preserve">lijek </w:t>
      </w:r>
      <w:proofErr w:type="spellStart"/>
      <w:r w:rsidR="009C57E2" w:rsidRPr="007819CB">
        <w:rPr>
          <w:rFonts w:ascii="Times New Roman" w:eastAsia="Times New Roman" w:hAnsi="Times New Roman" w:cs="Times New Roman"/>
          <w:bCs/>
          <w:lang w:val="sr-Latn-ME"/>
        </w:rPr>
        <w:t>Dexketoprofen</w:t>
      </w:r>
      <w:proofErr w:type="spellEnd"/>
      <w:r w:rsidR="009C57E2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9C57E2" w:rsidRPr="007819CB">
        <w:rPr>
          <w:rFonts w:ascii="Times New Roman" w:eastAsia="Times New Roman" w:hAnsi="Times New Roman" w:cs="Times New Roman"/>
          <w:bCs/>
          <w:lang w:val="sr-Latn-ME"/>
        </w:rPr>
        <w:t>Kalceks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se može uzimati u kombinaciji sa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opioidnim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analgeticima, u dozama preporučenim za odrasle (</w:t>
      </w:r>
      <w:r w:rsidR="009C57E2" w:rsidRPr="007819CB">
        <w:rPr>
          <w:rFonts w:ascii="Times New Roman" w:eastAsia="Times New Roman" w:hAnsi="Times New Roman" w:cs="Times New Roman"/>
          <w:bCs/>
          <w:lang w:val="sr-Latn-ME"/>
        </w:rPr>
        <w:t>pogledati dio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5.1).</w:t>
      </w:r>
    </w:p>
    <w:p w14:paraId="306F365A" w14:textId="77777777" w:rsidR="001818DA" w:rsidRPr="007819CB" w:rsidRDefault="001818D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i/>
          <w:iCs/>
          <w:lang w:val="sr-Latn-ME"/>
        </w:rPr>
        <w:lastRenderedPageBreak/>
        <w:t>Pedijatrijska populacija</w:t>
      </w:r>
    </w:p>
    <w:p w14:paraId="275E5F28" w14:textId="163147C8" w:rsidR="00071182" w:rsidRPr="007819CB" w:rsidRDefault="00D51BC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Lijek </w:t>
      </w:r>
      <w:proofErr w:type="spellStart"/>
      <w:r w:rsidR="00071182" w:rsidRPr="007819CB">
        <w:rPr>
          <w:rFonts w:ascii="Times New Roman" w:eastAsia="Times New Roman" w:hAnsi="Times New Roman" w:cs="Times New Roman"/>
          <w:bCs/>
          <w:lang w:val="sr-Latn-ME"/>
        </w:rPr>
        <w:t>De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x</w:t>
      </w:r>
      <w:r w:rsidR="00071182" w:rsidRPr="007819CB">
        <w:rPr>
          <w:rFonts w:ascii="Times New Roman" w:eastAsia="Times New Roman" w:hAnsi="Times New Roman" w:cs="Times New Roman"/>
          <w:bCs/>
          <w:lang w:val="sr-Latn-ME"/>
        </w:rPr>
        <w:t>ketoprofen</w:t>
      </w:r>
      <w:proofErr w:type="spellEnd"/>
      <w:r w:rsidR="00071182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071182" w:rsidRPr="007819CB">
        <w:rPr>
          <w:rFonts w:ascii="Times New Roman" w:eastAsia="Times New Roman" w:hAnsi="Times New Roman" w:cs="Times New Roman"/>
          <w:bCs/>
          <w:lang w:val="sr-Latn-ME"/>
        </w:rPr>
        <w:t>Kalceks</w:t>
      </w:r>
      <w:proofErr w:type="spellEnd"/>
      <w:r w:rsidR="00071182" w:rsidRPr="007819CB">
        <w:rPr>
          <w:rFonts w:ascii="Times New Roman" w:eastAsia="Times New Roman" w:hAnsi="Times New Roman" w:cs="Times New Roman"/>
          <w:bCs/>
          <w:lang w:val="sr-Latn-ME"/>
        </w:rPr>
        <w:t xml:space="preserve"> nije </w:t>
      </w:r>
      <w:r w:rsidR="00C22F1E" w:rsidRPr="007819CB">
        <w:rPr>
          <w:rFonts w:ascii="Times New Roman" w:eastAsia="Times New Roman" w:hAnsi="Times New Roman" w:cs="Times New Roman"/>
          <w:bCs/>
          <w:lang w:val="sr-Latn-ME"/>
        </w:rPr>
        <w:t>ispitivan</w:t>
      </w:r>
      <w:r w:rsidR="00071182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91227A" w:rsidRPr="007819CB">
        <w:rPr>
          <w:rFonts w:ascii="Times New Roman" w:eastAsia="Times New Roman" w:hAnsi="Times New Roman" w:cs="Times New Roman"/>
          <w:bCs/>
          <w:lang w:val="sr-Latn-ME"/>
        </w:rPr>
        <w:t xml:space="preserve">kod </w:t>
      </w:r>
      <w:r w:rsidR="00071182" w:rsidRPr="007819CB">
        <w:rPr>
          <w:rFonts w:ascii="Times New Roman" w:eastAsia="Times New Roman" w:hAnsi="Times New Roman" w:cs="Times New Roman"/>
          <w:bCs/>
          <w:lang w:val="sr-Latn-ME"/>
        </w:rPr>
        <w:t>d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="00071182" w:rsidRPr="007819CB">
        <w:rPr>
          <w:rFonts w:ascii="Times New Roman" w:eastAsia="Times New Roman" w:hAnsi="Times New Roman" w:cs="Times New Roman"/>
          <w:bCs/>
          <w:lang w:val="sr-Latn-ME"/>
        </w:rPr>
        <w:t>ec</w:t>
      </w:r>
      <w:r w:rsidR="0091227A" w:rsidRPr="007819CB">
        <w:rPr>
          <w:rFonts w:ascii="Times New Roman" w:eastAsia="Times New Roman" w:hAnsi="Times New Roman" w:cs="Times New Roman"/>
          <w:bCs/>
          <w:lang w:val="sr-Latn-ME"/>
        </w:rPr>
        <w:t>e</w:t>
      </w:r>
      <w:r w:rsidR="00071182" w:rsidRPr="007819CB">
        <w:rPr>
          <w:rFonts w:ascii="Times New Roman" w:eastAsia="Times New Roman" w:hAnsi="Times New Roman" w:cs="Times New Roman"/>
          <w:bCs/>
          <w:lang w:val="sr-Latn-ME"/>
        </w:rPr>
        <w:t xml:space="preserve"> i adolescenat</w:t>
      </w:r>
      <w:r w:rsidR="0019251E" w:rsidRPr="007819CB">
        <w:rPr>
          <w:rFonts w:ascii="Times New Roman" w:eastAsia="Times New Roman" w:hAnsi="Times New Roman" w:cs="Times New Roman"/>
          <w:bCs/>
          <w:lang w:val="sr-Latn-ME"/>
        </w:rPr>
        <w:t>a</w:t>
      </w:r>
      <w:r w:rsidR="00071182" w:rsidRPr="007819CB">
        <w:rPr>
          <w:rFonts w:ascii="Times New Roman" w:eastAsia="Times New Roman" w:hAnsi="Times New Roman" w:cs="Times New Roman"/>
          <w:bCs/>
          <w:lang w:val="sr-Latn-ME"/>
        </w:rPr>
        <w:t xml:space="preserve">. </w:t>
      </w:r>
      <w:r w:rsidR="00110175" w:rsidRPr="007819CB">
        <w:rPr>
          <w:rFonts w:ascii="Times New Roman" w:eastAsia="Times New Roman" w:hAnsi="Times New Roman" w:cs="Times New Roman"/>
          <w:bCs/>
          <w:lang w:val="sr-Latn-ME"/>
        </w:rPr>
        <w:t>Zbog toga, b</w:t>
      </w:r>
      <w:r w:rsidR="00071182" w:rsidRPr="007819CB">
        <w:rPr>
          <w:rFonts w:ascii="Times New Roman" w:eastAsia="Times New Roman" w:hAnsi="Times New Roman" w:cs="Times New Roman"/>
          <w:bCs/>
          <w:lang w:val="sr-Latn-ME"/>
        </w:rPr>
        <w:t>ezb</w:t>
      </w:r>
      <w:r w:rsidR="001454EF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="00071182" w:rsidRPr="007819CB">
        <w:rPr>
          <w:rFonts w:ascii="Times New Roman" w:eastAsia="Times New Roman" w:hAnsi="Times New Roman" w:cs="Times New Roman"/>
          <w:bCs/>
          <w:lang w:val="sr-Latn-ME"/>
        </w:rPr>
        <w:t>ednost i efikasnost l</w:t>
      </w:r>
      <w:r w:rsidR="001454EF" w:rsidRPr="007819CB">
        <w:rPr>
          <w:rFonts w:ascii="Times New Roman" w:eastAsia="Times New Roman" w:hAnsi="Times New Roman" w:cs="Times New Roman"/>
          <w:bCs/>
          <w:lang w:val="sr-Latn-ME"/>
        </w:rPr>
        <w:t>ij</w:t>
      </w:r>
      <w:r w:rsidR="00071182" w:rsidRPr="007819CB">
        <w:rPr>
          <w:rFonts w:ascii="Times New Roman" w:eastAsia="Times New Roman" w:hAnsi="Times New Roman" w:cs="Times New Roman"/>
          <w:bCs/>
          <w:lang w:val="sr-Latn-ME"/>
        </w:rPr>
        <w:t xml:space="preserve">eka </w:t>
      </w:r>
      <w:proofErr w:type="spellStart"/>
      <w:r w:rsidR="00071182" w:rsidRPr="007819CB">
        <w:rPr>
          <w:rFonts w:ascii="Times New Roman" w:eastAsia="Times New Roman" w:hAnsi="Times New Roman" w:cs="Times New Roman"/>
          <w:bCs/>
          <w:lang w:val="sr-Latn-ME"/>
        </w:rPr>
        <w:t>De</w:t>
      </w:r>
      <w:r w:rsidR="001454EF" w:rsidRPr="007819CB">
        <w:rPr>
          <w:rFonts w:ascii="Times New Roman" w:eastAsia="Times New Roman" w:hAnsi="Times New Roman" w:cs="Times New Roman"/>
          <w:bCs/>
          <w:lang w:val="sr-Latn-ME"/>
        </w:rPr>
        <w:t>x</w:t>
      </w:r>
      <w:r w:rsidR="00071182" w:rsidRPr="007819CB">
        <w:rPr>
          <w:rFonts w:ascii="Times New Roman" w:eastAsia="Times New Roman" w:hAnsi="Times New Roman" w:cs="Times New Roman"/>
          <w:bCs/>
          <w:lang w:val="sr-Latn-ME"/>
        </w:rPr>
        <w:t>ketoprofen</w:t>
      </w:r>
      <w:proofErr w:type="spellEnd"/>
      <w:r w:rsidR="00071182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071182" w:rsidRPr="007819CB">
        <w:rPr>
          <w:rFonts w:ascii="Times New Roman" w:eastAsia="Times New Roman" w:hAnsi="Times New Roman" w:cs="Times New Roman"/>
          <w:bCs/>
          <w:lang w:val="sr-Latn-ME"/>
        </w:rPr>
        <w:t>Kalceks</w:t>
      </w:r>
      <w:proofErr w:type="spellEnd"/>
      <w:r w:rsidR="00071182" w:rsidRPr="007819CB">
        <w:rPr>
          <w:rFonts w:ascii="Times New Roman" w:eastAsia="Times New Roman" w:hAnsi="Times New Roman" w:cs="Times New Roman"/>
          <w:bCs/>
          <w:lang w:val="sr-Latn-ME"/>
        </w:rPr>
        <w:t xml:space="preserve"> kod d</w:t>
      </w:r>
      <w:r w:rsidR="001454EF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="00071182" w:rsidRPr="007819CB">
        <w:rPr>
          <w:rFonts w:ascii="Times New Roman" w:eastAsia="Times New Roman" w:hAnsi="Times New Roman" w:cs="Times New Roman"/>
          <w:bCs/>
          <w:lang w:val="sr-Latn-ME"/>
        </w:rPr>
        <w:t>ece i adolescenata nije utvrđ</w:t>
      </w:r>
      <w:r w:rsidR="009C609D" w:rsidRPr="007819CB">
        <w:rPr>
          <w:rFonts w:ascii="Times New Roman" w:eastAsia="Times New Roman" w:hAnsi="Times New Roman" w:cs="Times New Roman"/>
          <w:bCs/>
          <w:lang w:val="sr-Latn-ME"/>
        </w:rPr>
        <w:t>ena</w:t>
      </w:r>
      <w:r w:rsidR="00110175" w:rsidRPr="007819CB">
        <w:rPr>
          <w:rFonts w:ascii="Times New Roman" w:eastAsia="Times New Roman" w:hAnsi="Times New Roman" w:cs="Times New Roman"/>
          <w:bCs/>
          <w:lang w:val="sr-Latn-ME"/>
        </w:rPr>
        <w:t xml:space="preserve"> i lijek se ne smije primjenjivati kod </w:t>
      </w:r>
      <w:r w:rsidR="009C609D" w:rsidRPr="007819CB">
        <w:rPr>
          <w:rFonts w:ascii="Times New Roman" w:eastAsia="Times New Roman" w:hAnsi="Times New Roman" w:cs="Times New Roman"/>
          <w:bCs/>
          <w:lang w:val="sr-Latn-ME"/>
        </w:rPr>
        <w:t>djec</w:t>
      </w:r>
      <w:r w:rsidR="00DC76FD" w:rsidRPr="007819CB">
        <w:rPr>
          <w:rFonts w:ascii="Times New Roman" w:eastAsia="Times New Roman" w:hAnsi="Times New Roman" w:cs="Times New Roman"/>
          <w:bCs/>
          <w:lang w:val="sr-Latn-ME"/>
        </w:rPr>
        <w:t>e</w:t>
      </w:r>
      <w:r w:rsidR="009C609D" w:rsidRPr="007819CB">
        <w:rPr>
          <w:rFonts w:ascii="Times New Roman" w:eastAsia="Times New Roman" w:hAnsi="Times New Roman" w:cs="Times New Roman"/>
          <w:bCs/>
          <w:lang w:val="sr-Latn-ME"/>
        </w:rPr>
        <w:t xml:space="preserve"> i adolescen</w:t>
      </w:r>
      <w:r w:rsidR="00DC76FD" w:rsidRPr="007819CB">
        <w:rPr>
          <w:rFonts w:ascii="Times New Roman" w:eastAsia="Times New Roman" w:hAnsi="Times New Roman" w:cs="Times New Roman"/>
          <w:bCs/>
          <w:lang w:val="sr-Latn-ME"/>
        </w:rPr>
        <w:t>a</w:t>
      </w:r>
      <w:r w:rsidR="009C609D" w:rsidRPr="007819CB">
        <w:rPr>
          <w:rFonts w:ascii="Times New Roman" w:eastAsia="Times New Roman" w:hAnsi="Times New Roman" w:cs="Times New Roman"/>
          <w:bCs/>
          <w:lang w:val="sr-Latn-ME"/>
        </w:rPr>
        <w:t>t</w:t>
      </w:r>
      <w:r w:rsidR="00DC76FD" w:rsidRPr="007819CB">
        <w:rPr>
          <w:rFonts w:ascii="Times New Roman" w:eastAsia="Times New Roman" w:hAnsi="Times New Roman" w:cs="Times New Roman"/>
          <w:bCs/>
          <w:lang w:val="sr-Latn-ME"/>
        </w:rPr>
        <w:t>a</w:t>
      </w:r>
      <w:r w:rsidR="00071182" w:rsidRPr="007819CB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5740B25F" w14:textId="33817EA4" w:rsidR="00532916" w:rsidRPr="007819CB" w:rsidRDefault="0053291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807D674" w14:textId="77777777" w:rsidR="00532916" w:rsidRPr="007819CB" w:rsidRDefault="0053291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i/>
          <w:iCs/>
          <w:lang w:val="sr-Latn-ME"/>
        </w:rPr>
        <w:t>Starije osobe</w:t>
      </w:r>
    </w:p>
    <w:p w14:paraId="175127DE" w14:textId="55049865" w:rsidR="00930311" w:rsidRPr="007819CB" w:rsidRDefault="0053291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>Generalno, nije potrebno prilagođa</w:t>
      </w:r>
      <w:r w:rsidR="005F3BB3" w:rsidRPr="007819CB">
        <w:rPr>
          <w:rFonts w:ascii="Times New Roman" w:eastAsia="Times New Roman" w:hAnsi="Times New Roman" w:cs="Times New Roman"/>
          <w:bCs/>
          <w:lang w:val="sr-Latn-ME"/>
        </w:rPr>
        <w:t>vanje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doz</w:t>
      </w:r>
      <w:r w:rsidR="005F3BB3" w:rsidRPr="007819CB">
        <w:rPr>
          <w:rFonts w:ascii="Times New Roman" w:eastAsia="Times New Roman" w:hAnsi="Times New Roman" w:cs="Times New Roman"/>
          <w:bCs/>
          <w:lang w:val="sr-Latn-ME"/>
        </w:rPr>
        <w:t>e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kod starijih osoba. Međutim, zbog fiziološkog slabljenja bubrežne funkcije kod starijih </w:t>
      </w:r>
      <w:r w:rsidR="00B21F9A" w:rsidRPr="007819CB">
        <w:rPr>
          <w:rFonts w:ascii="Times New Roman" w:eastAsia="Times New Roman" w:hAnsi="Times New Roman" w:cs="Times New Roman"/>
          <w:bCs/>
          <w:lang w:val="sr-Latn-ME"/>
        </w:rPr>
        <w:t>pacijenata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, preporučuje se niža doza u slučaju blagog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oštećenja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funkcije bubrega: ukupna dnevna doza od 50 mg (</w:t>
      </w:r>
      <w:r w:rsidR="005F3BB3" w:rsidRPr="007819CB">
        <w:rPr>
          <w:rFonts w:ascii="Times New Roman" w:eastAsia="Times New Roman" w:hAnsi="Times New Roman" w:cs="Times New Roman"/>
          <w:bCs/>
          <w:lang w:val="sr-Latn-ME"/>
        </w:rPr>
        <w:t>pogledati dio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4.4).</w:t>
      </w:r>
    </w:p>
    <w:p w14:paraId="3D60226D" w14:textId="77777777" w:rsidR="00065FCF" w:rsidRPr="007819CB" w:rsidRDefault="00065FCF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AC682EE" w14:textId="77777777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proofErr w:type="spellStart"/>
      <w:r w:rsidRPr="007819CB">
        <w:rPr>
          <w:rFonts w:ascii="Times New Roman" w:eastAsia="Times New Roman" w:hAnsi="Times New Roman" w:cs="Times New Roman"/>
          <w:bCs/>
          <w:i/>
          <w:iCs/>
          <w:lang w:val="sr-Latn-ME"/>
        </w:rPr>
        <w:t>Poremećaj</w:t>
      </w:r>
      <w:proofErr w:type="spellEnd"/>
      <w:r w:rsidRPr="007819CB">
        <w:rPr>
          <w:rFonts w:ascii="Times New Roman" w:eastAsia="Times New Roman" w:hAnsi="Times New Roman" w:cs="Times New Roman"/>
          <w:bCs/>
          <w:i/>
          <w:iCs/>
          <w:lang w:val="sr-Latn-ME"/>
        </w:rPr>
        <w:t xml:space="preserve"> funkcije jetre</w:t>
      </w:r>
    </w:p>
    <w:p w14:paraId="1EA074CD" w14:textId="2C574551" w:rsidR="00B21F9A" w:rsidRPr="007819CB" w:rsidRDefault="002E062A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Kod pacijenata sa blagim do umjerenim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oštećenjem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funkcije  jetre (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Child-Pugh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s</w:t>
      </w:r>
      <w:r w:rsidR="00103D0C" w:rsidRPr="007819CB">
        <w:rPr>
          <w:rFonts w:ascii="Times New Roman" w:eastAsia="Times New Roman" w:hAnsi="Times New Roman" w:cs="Times New Roman"/>
          <w:bCs/>
          <w:lang w:val="sr-Latn-ME"/>
        </w:rPr>
        <w:t>kor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5-9)</w:t>
      </w:r>
      <w:r w:rsidR="004D0324" w:rsidRPr="007819CB">
        <w:rPr>
          <w:rFonts w:ascii="Times New Roman" w:eastAsia="Times New Roman" w:hAnsi="Times New Roman" w:cs="Times New Roman"/>
          <w:bCs/>
          <w:lang w:val="sr-Latn-ME"/>
        </w:rPr>
        <w:t>,</w:t>
      </w:r>
      <w:r w:rsidR="004E6F9F" w:rsidRPr="007819CB">
        <w:rPr>
          <w:rFonts w:ascii="Times New Roman" w:eastAsia="Times New Roman" w:hAnsi="Times New Roman" w:cs="Times New Roman"/>
          <w:bCs/>
          <w:lang w:val="sr-Latn-ME"/>
        </w:rPr>
        <w:t xml:space="preserve"> u</w:t>
      </w:r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>kupn</w:t>
      </w:r>
      <w:r w:rsidR="004E6F9F" w:rsidRPr="007819CB">
        <w:rPr>
          <w:rFonts w:ascii="Times New Roman" w:eastAsia="Times New Roman" w:hAnsi="Times New Roman" w:cs="Times New Roman"/>
          <w:bCs/>
          <w:lang w:val="sr-Latn-ME"/>
        </w:rPr>
        <w:t>u</w:t>
      </w:r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 xml:space="preserve"> dnevn</w:t>
      </w:r>
      <w:r w:rsidR="004E6F9F" w:rsidRPr="007819CB">
        <w:rPr>
          <w:rFonts w:ascii="Times New Roman" w:eastAsia="Times New Roman" w:hAnsi="Times New Roman" w:cs="Times New Roman"/>
          <w:bCs/>
          <w:lang w:val="sr-Latn-ME"/>
        </w:rPr>
        <w:t>u</w:t>
      </w:r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 xml:space="preserve"> doz</w:t>
      </w:r>
      <w:r w:rsidR="004E6F9F" w:rsidRPr="007819CB">
        <w:rPr>
          <w:rFonts w:ascii="Times New Roman" w:eastAsia="Times New Roman" w:hAnsi="Times New Roman" w:cs="Times New Roman"/>
          <w:bCs/>
          <w:lang w:val="sr-Latn-ME"/>
        </w:rPr>
        <w:t>u</w:t>
      </w:r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 xml:space="preserve"> treba smanji</w:t>
      </w:r>
      <w:r w:rsidR="004E6F9F" w:rsidRPr="007819CB">
        <w:rPr>
          <w:rFonts w:ascii="Times New Roman" w:eastAsia="Times New Roman" w:hAnsi="Times New Roman" w:cs="Times New Roman"/>
          <w:bCs/>
          <w:lang w:val="sr-Latn-ME"/>
        </w:rPr>
        <w:t>ti</w:t>
      </w:r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 xml:space="preserve"> na 50 mg i pažljivo pratiti funkciju jetre (</w:t>
      </w:r>
      <w:r w:rsidR="005D55DE" w:rsidRPr="007819CB">
        <w:rPr>
          <w:rFonts w:ascii="Times New Roman" w:eastAsia="Times New Roman" w:hAnsi="Times New Roman" w:cs="Times New Roman"/>
          <w:bCs/>
          <w:lang w:val="sr-Latn-ME"/>
        </w:rPr>
        <w:t>pogledati dio</w:t>
      </w:r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 xml:space="preserve"> 4.4). </w:t>
      </w:r>
    </w:p>
    <w:p w14:paraId="4C999816" w14:textId="2B0AFA1C" w:rsidR="00B77B98" w:rsidRPr="007819CB" w:rsidRDefault="005D55DE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Lijek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Dexketoprofen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Kalceks</w:t>
      </w:r>
      <w:proofErr w:type="spellEnd"/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 xml:space="preserve"> ne treba koristiti kod pacijenata sa teškim </w:t>
      </w:r>
      <w:r w:rsidR="004D0324" w:rsidRPr="007819CB">
        <w:rPr>
          <w:rFonts w:ascii="Times New Roman" w:eastAsia="Times New Roman" w:hAnsi="Times New Roman" w:cs="Times New Roman"/>
          <w:bCs/>
          <w:lang w:val="sr-Latn-ME"/>
        </w:rPr>
        <w:t>poremećajem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funkcije</w:t>
      </w:r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 xml:space="preserve"> jetre (</w:t>
      </w:r>
      <w:proofErr w:type="spellStart"/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>Child-Pugh</w:t>
      </w:r>
      <w:proofErr w:type="spellEnd"/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 xml:space="preserve"> s</w:t>
      </w:r>
      <w:r w:rsidR="00103D0C" w:rsidRPr="007819CB">
        <w:rPr>
          <w:rFonts w:ascii="Times New Roman" w:eastAsia="Times New Roman" w:hAnsi="Times New Roman" w:cs="Times New Roman"/>
          <w:bCs/>
          <w:lang w:val="sr-Latn-ME"/>
        </w:rPr>
        <w:t>kor</w:t>
      </w:r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 xml:space="preserve"> 10-15) (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pogledati dio</w:t>
      </w:r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 xml:space="preserve"> 4.3).</w:t>
      </w:r>
    </w:p>
    <w:p w14:paraId="3B6C6F1A" w14:textId="77777777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49EF1834" w14:textId="77777777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proofErr w:type="spellStart"/>
      <w:r w:rsidRPr="007819CB">
        <w:rPr>
          <w:rFonts w:ascii="Times New Roman" w:eastAsia="Times New Roman" w:hAnsi="Times New Roman" w:cs="Times New Roman"/>
          <w:bCs/>
          <w:i/>
          <w:iCs/>
          <w:lang w:val="sr-Latn-ME"/>
        </w:rPr>
        <w:t>Poremećaj</w:t>
      </w:r>
      <w:proofErr w:type="spellEnd"/>
      <w:r w:rsidRPr="007819CB">
        <w:rPr>
          <w:rFonts w:ascii="Times New Roman" w:eastAsia="Times New Roman" w:hAnsi="Times New Roman" w:cs="Times New Roman"/>
          <w:bCs/>
          <w:i/>
          <w:iCs/>
          <w:lang w:val="sr-Latn-ME"/>
        </w:rPr>
        <w:t xml:space="preserve"> funkcije bubrega</w:t>
      </w:r>
    </w:p>
    <w:p w14:paraId="748061F9" w14:textId="63C9AFAD" w:rsidR="00B77B98" w:rsidRPr="007819CB" w:rsidRDefault="00FA4A89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>Početna doza mora biti redukovana na ukupnu dnevnu dozu od</w:t>
      </w:r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 xml:space="preserve"> 50 mg kod pacijenata sa blag</w:t>
      </w:r>
      <w:r w:rsidR="009478FD" w:rsidRPr="007819CB">
        <w:rPr>
          <w:rFonts w:ascii="Times New Roman" w:eastAsia="Times New Roman" w:hAnsi="Times New Roman" w:cs="Times New Roman"/>
          <w:bCs/>
          <w:lang w:val="sr-Latn-ME"/>
        </w:rPr>
        <w:t>o</w:t>
      </w:r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 xml:space="preserve"> o</w:t>
      </w:r>
      <w:r w:rsidR="009478FD" w:rsidRPr="007819CB">
        <w:rPr>
          <w:rFonts w:ascii="Times New Roman" w:eastAsia="Times New Roman" w:hAnsi="Times New Roman" w:cs="Times New Roman"/>
          <w:bCs/>
          <w:lang w:val="sr-Latn-ME"/>
        </w:rPr>
        <w:t>slabljenom</w:t>
      </w:r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9478FD" w:rsidRPr="007819CB">
        <w:rPr>
          <w:rFonts w:ascii="Times New Roman" w:eastAsia="Times New Roman" w:hAnsi="Times New Roman" w:cs="Times New Roman"/>
          <w:bCs/>
          <w:lang w:val="sr-Latn-ME"/>
        </w:rPr>
        <w:t>renalnom</w:t>
      </w:r>
      <w:proofErr w:type="spellEnd"/>
      <w:r w:rsidR="009478FD" w:rsidRPr="007819CB">
        <w:rPr>
          <w:rFonts w:ascii="Times New Roman" w:eastAsia="Times New Roman" w:hAnsi="Times New Roman" w:cs="Times New Roman"/>
          <w:bCs/>
          <w:lang w:val="sr-Latn-ME"/>
        </w:rPr>
        <w:t xml:space="preserve"> funkcijom</w:t>
      </w:r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 xml:space="preserve"> (</w:t>
      </w:r>
      <w:proofErr w:type="spellStart"/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>klirens</w:t>
      </w:r>
      <w:proofErr w:type="spellEnd"/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>kreatinina</w:t>
      </w:r>
      <w:proofErr w:type="spellEnd"/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 xml:space="preserve"> 60-89 ml/min) (</w:t>
      </w:r>
      <w:r w:rsidR="008541C3" w:rsidRPr="007819CB">
        <w:rPr>
          <w:rFonts w:ascii="Times New Roman" w:eastAsia="Times New Roman" w:hAnsi="Times New Roman" w:cs="Times New Roman"/>
          <w:bCs/>
          <w:lang w:val="sr-Latn-ME"/>
        </w:rPr>
        <w:t>pogledati dio</w:t>
      </w:r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 xml:space="preserve"> 4.4). </w:t>
      </w:r>
      <w:r w:rsidR="008541C3" w:rsidRPr="007819CB">
        <w:rPr>
          <w:rFonts w:ascii="Times New Roman" w:eastAsia="Times New Roman" w:hAnsi="Times New Roman" w:cs="Times New Roman"/>
          <w:bCs/>
          <w:lang w:val="sr-Latn-ME"/>
        </w:rPr>
        <w:t xml:space="preserve">Lijek </w:t>
      </w:r>
      <w:proofErr w:type="spellStart"/>
      <w:r w:rsidR="008541C3" w:rsidRPr="007819CB">
        <w:rPr>
          <w:rFonts w:ascii="Times New Roman" w:eastAsia="Times New Roman" w:hAnsi="Times New Roman" w:cs="Times New Roman"/>
          <w:bCs/>
          <w:lang w:val="sr-Latn-ME"/>
        </w:rPr>
        <w:t>Dexketoprofen</w:t>
      </w:r>
      <w:proofErr w:type="spellEnd"/>
      <w:r w:rsidR="008541C3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8541C3" w:rsidRPr="007819CB">
        <w:rPr>
          <w:rFonts w:ascii="Times New Roman" w:eastAsia="Times New Roman" w:hAnsi="Times New Roman" w:cs="Times New Roman"/>
          <w:bCs/>
          <w:lang w:val="sr-Latn-ME"/>
        </w:rPr>
        <w:t>Kalceks</w:t>
      </w:r>
      <w:proofErr w:type="spellEnd"/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 xml:space="preserve"> ne treba koristiti kod pacijenata sa um</w:t>
      </w:r>
      <w:r w:rsidR="008541C3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 xml:space="preserve">erenim do teškim </w:t>
      </w:r>
      <w:r w:rsidR="00FD0849" w:rsidRPr="007819CB">
        <w:rPr>
          <w:rFonts w:ascii="Times New Roman" w:eastAsia="Times New Roman" w:hAnsi="Times New Roman" w:cs="Times New Roman"/>
          <w:bCs/>
          <w:lang w:val="sr-Latn-ME"/>
        </w:rPr>
        <w:t>poremećajem</w:t>
      </w:r>
      <w:r w:rsidR="008541C3" w:rsidRPr="007819CB">
        <w:rPr>
          <w:rFonts w:ascii="Times New Roman" w:eastAsia="Times New Roman" w:hAnsi="Times New Roman" w:cs="Times New Roman"/>
          <w:bCs/>
          <w:lang w:val="sr-Latn-ME"/>
        </w:rPr>
        <w:t xml:space="preserve"> funkcije</w:t>
      </w:r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 xml:space="preserve"> bubrega (</w:t>
      </w:r>
      <w:proofErr w:type="spellStart"/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>klirens</w:t>
      </w:r>
      <w:proofErr w:type="spellEnd"/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>kreatinina</w:t>
      </w:r>
      <w:proofErr w:type="spellEnd"/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 xml:space="preserve"> ≤</w:t>
      </w:r>
      <w:r w:rsidR="0039396F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>59 ml/min) (</w:t>
      </w:r>
      <w:r w:rsidR="008541C3" w:rsidRPr="007819CB">
        <w:rPr>
          <w:rFonts w:ascii="Times New Roman" w:eastAsia="Times New Roman" w:hAnsi="Times New Roman" w:cs="Times New Roman"/>
          <w:bCs/>
          <w:lang w:val="sr-Latn-ME"/>
        </w:rPr>
        <w:t>pogledati dio</w:t>
      </w:r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 xml:space="preserve"> 4.3).</w:t>
      </w:r>
    </w:p>
    <w:p w14:paraId="2F4D0411" w14:textId="49DA7D60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</w:p>
    <w:p w14:paraId="38A1D79E" w14:textId="4E23A161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u w:val="single"/>
          <w:lang w:val="sr-Latn-ME"/>
        </w:rPr>
        <w:t>Način prim</w:t>
      </w:r>
      <w:r w:rsidR="0039396F" w:rsidRPr="007819CB">
        <w:rPr>
          <w:rFonts w:ascii="Times New Roman" w:eastAsia="Times New Roman" w:hAnsi="Times New Roman" w:cs="Times New Roman"/>
          <w:bCs/>
          <w:u w:val="single"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u w:val="single"/>
          <w:lang w:val="sr-Latn-ME"/>
        </w:rPr>
        <w:t>ene</w:t>
      </w:r>
    </w:p>
    <w:p w14:paraId="33D9A144" w14:textId="4B655C62" w:rsidR="00B77B98" w:rsidRPr="007819CB" w:rsidRDefault="003E135A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Lijek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Dexketoprofen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Kalceks</w:t>
      </w:r>
      <w:proofErr w:type="spellEnd"/>
      <w:r w:rsidR="00B21F9A" w:rsidRPr="007819CB">
        <w:rPr>
          <w:rFonts w:ascii="Times New Roman" w:eastAsia="Times New Roman" w:hAnsi="Times New Roman" w:cs="Times New Roman"/>
          <w:bCs/>
          <w:lang w:val="sr-Latn-ME"/>
        </w:rPr>
        <w:t xml:space="preserve"> se</w:t>
      </w:r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 xml:space="preserve"> može prim</w:t>
      </w:r>
      <w:r w:rsidR="008605DF" w:rsidRPr="007819CB">
        <w:rPr>
          <w:rFonts w:ascii="Times New Roman" w:eastAsia="Times New Roman" w:hAnsi="Times New Roman" w:cs="Times New Roman"/>
          <w:bCs/>
          <w:lang w:val="sr-Latn-ME"/>
        </w:rPr>
        <w:t>i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>eniti intramusku</w:t>
      </w:r>
      <w:r w:rsidR="008605DF" w:rsidRPr="007819CB">
        <w:rPr>
          <w:rFonts w:ascii="Times New Roman" w:eastAsia="Times New Roman" w:hAnsi="Times New Roman" w:cs="Times New Roman"/>
          <w:bCs/>
          <w:lang w:val="sr-Latn-ME"/>
        </w:rPr>
        <w:t>larnim</w:t>
      </w:r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 xml:space="preserve"> ili </w:t>
      </w:r>
      <w:proofErr w:type="spellStart"/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>intraven</w:t>
      </w:r>
      <w:r w:rsidR="008605DF" w:rsidRPr="007819CB">
        <w:rPr>
          <w:rFonts w:ascii="Times New Roman" w:eastAsia="Times New Roman" w:hAnsi="Times New Roman" w:cs="Times New Roman"/>
          <w:bCs/>
          <w:lang w:val="sr-Latn-ME"/>
        </w:rPr>
        <w:t>skim</w:t>
      </w:r>
      <w:proofErr w:type="spellEnd"/>
      <w:r w:rsidR="008605DF" w:rsidRPr="007819CB">
        <w:rPr>
          <w:rFonts w:ascii="Times New Roman" w:eastAsia="Times New Roman" w:hAnsi="Times New Roman" w:cs="Times New Roman"/>
          <w:bCs/>
          <w:lang w:val="sr-Latn-ME"/>
        </w:rPr>
        <w:t xml:space="preserve"> putem</w:t>
      </w:r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>:</w:t>
      </w:r>
    </w:p>
    <w:p w14:paraId="257F64B3" w14:textId="77777777" w:rsidR="00001D80" w:rsidRPr="007819CB" w:rsidRDefault="00B77B98">
      <w:pPr>
        <w:tabs>
          <w:tab w:val="left" w:pos="540"/>
          <w:tab w:val="left" w:pos="569"/>
        </w:tabs>
        <w:spacing w:after="0" w:line="240" w:lineRule="auto"/>
        <w:ind w:left="144"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>• Intramuskularna prim</w:t>
      </w:r>
      <w:r w:rsidR="008605DF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ena: sadržaj jedne ampule (2 ml) </w:t>
      </w:r>
      <w:r w:rsidR="00001D80" w:rsidRPr="007819CB">
        <w:rPr>
          <w:rFonts w:ascii="Times New Roman" w:eastAsia="Times New Roman" w:hAnsi="Times New Roman" w:cs="Times New Roman"/>
          <w:bCs/>
          <w:lang w:val="sr-Latn-ME"/>
        </w:rPr>
        <w:t xml:space="preserve">lijeka </w:t>
      </w:r>
      <w:proofErr w:type="spellStart"/>
      <w:r w:rsidR="00001D80" w:rsidRPr="007819CB">
        <w:rPr>
          <w:rFonts w:ascii="Times New Roman" w:eastAsia="Times New Roman" w:hAnsi="Times New Roman" w:cs="Times New Roman"/>
          <w:bCs/>
          <w:lang w:val="sr-Latn-ME"/>
        </w:rPr>
        <w:t>Dexketoprofen</w:t>
      </w:r>
      <w:proofErr w:type="spellEnd"/>
      <w:r w:rsidR="00001D80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001D80" w:rsidRPr="007819CB">
        <w:rPr>
          <w:rFonts w:ascii="Times New Roman" w:eastAsia="Times New Roman" w:hAnsi="Times New Roman" w:cs="Times New Roman"/>
          <w:bCs/>
          <w:lang w:val="sr-Latn-ME"/>
        </w:rPr>
        <w:t>Kalceks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treba prim</w:t>
      </w:r>
      <w:r w:rsidR="00001D80" w:rsidRPr="007819CB">
        <w:rPr>
          <w:rFonts w:ascii="Times New Roman" w:eastAsia="Times New Roman" w:hAnsi="Times New Roman" w:cs="Times New Roman"/>
          <w:bCs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eniti sporom injekcijom duboko u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mišic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́. </w:t>
      </w:r>
    </w:p>
    <w:p w14:paraId="3F0C7183" w14:textId="2346DD5A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ind w:left="144"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•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Intravenska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prim</w:t>
      </w:r>
      <w:r w:rsidR="00001D80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ena:</w:t>
      </w:r>
    </w:p>
    <w:p w14:paraId="5B6B9730" w14:textId="0A9601F5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ind w:left="432"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Intravenska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infuzija: razblaženi rastvor, pripremljen kao što je opisano u </w:t>
      </w:r>
      <w:r w:rsidR="00F64561" w:rsidRPr="007819CB">
        <w:rPr>
          <w:rFonts w:ascii="Times New Roman" w:eastAsia="Times New Roman" w:hAnsi="Times New Roman" w:cs="Times New Roman"/>
          <w:bCs/>
          <w:lang w:val="sr-Latn-ME"/>
        </w:rPr>
        <w:t>dijelu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6.6, treba </w:t>
      </w:r>
      <w:r w:rsidR="00A11C22" w:rsidRPr="007819CB">
        <w:rPr>
          <w:rFonts w:ascii="Times New Roman" w:eastAsia="Times New Roman" w:hAnsi="Times New Roman" w:cs="Times New Roman"/>
          <w:bCs/>
          <w:lang w:val="sr-Latn-ME"/>
        </w:rPr>
        <w:t>dati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sporom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intravenskom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infuzijom, u trajanju od 10 do 30 minuta. Rastvor mora uv</w:t>
      </w:r>
      <w:r w:rsidR="00472BEA" w:rsidRPr="007819CB">
        <w:rPr>
          <w:rFonts w:ascii="Times New Roman" w:eastAsia="Times New Roman" w:hAnsi="Times New Roman" w:cs="Times New Roman"/>
          <w:bCs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ek biti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zaštićen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od dnevne sv</w:t>
      </w:r>
      <w:r w:rsidR="00472BEA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etlosti.</w:t>
      </w:r>
    </w:p>
    <w:p w14:paraId="4993FC28" w14:textId="3400D50E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ind w:left="432"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Intravenski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bolus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: ako je potrebno, sadržaj ampule (2 ml) </w:t>
      </w:r>
      <w:r w:rsidR="00472BEA" w:rsidRPr="007819CB">
        <w:rPr>
          <w:rFonts w:ascii="Times New Roman" w:eastAsia="Times New Roman" w:hAnsi="Times New Roman" w:cs="Times New Roman"/>
          <w:bCs/>
          <w:lang w:val="sr-Latn-ME"/>
        </w:rPr>
        <w:t>lijek</w:t>
      </w:r>
      <w:r w:rsidR="00F71E1C" w:rsidRPr="007819CB">
        <w:rPr>
          <w:rFonts w:ascii="Times New Roman" w:eastAsia="Times New Roman" w:hAnsi="Times New Roman" w:cs="Times New Roman"/>
          <w:bCs/>
          <w:lang w:val="sr-Latn-ME"/>
        </w:rPr>
        <w:t>a</w:t>
      </w:r>
      <w:r w:rsidR="00472BEA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472BEA" w:rsidRPr="007819CB">
        <w:rPr>
          <w:rFonts w:ascii="Times New Roman" w:eastAsia="Times New Roman" w:hAnsi="Times New Roman" w:cs="Times New Roman"/>
          <w:bCs/>
          <w:lang w:val="sr-Latn-ME"/>
        </w:rPr>
        <w:t>Dexketoprofen</w:t>
      </w:r>
      <w:proofErr w:type="spellEnd"/>
      <w:r w:rsidR="00472BEA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472BEA" w:rsidRPr="007819CB">
        <w:rPr>
          <w:rFonts w:ascii="Times New Roman" w:eastAsia="Times New Roman" w:hAnsi="Times New Roman" w:cs="Times New Roman"/>
          <w:bCs/>
          <w:lang w:val="sr-Latn-ME"/>
        </w:rPr>
        <w:t>Kalceks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može se da</w:t>
      </w:r>
      <w:r w:rsidR="00A11C22" w:rsidRPr="007819CB">
        <w:rPr>
          <w:rFonts w:ascii="Times New Roman" w:eastAsia="Times New Roman" w:hAnsi="Times New Roman" w:cs="Times New Roman"/>
          <w:bCs/>
          <w:lang w:val="sr-Latn-ME"/>
        </w:rPr>
        <w:t>vati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sporim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intravenskim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bolusom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>, u trajanju od ne manje od 15 sekundi.</w:t>
      </w:r>
    </w:p>
    <w:p w14:paraId="4D3D5DB4" w14:textId="77777777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</w:p>
    <w:p w14:paraId="46408DB2" w14:textId="053E9397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u w:val="single"/>
          <w:lang w:val="sr-Latn-ME"/>
        </w:rPr>
        <w:t>Uputstva za rukovanje l</w:t>
      </w:r>
      <w:r w:rsidR="00A11C22" w:rsidRPr="007819CB">
        <w:rPr>
          <w:rFonts w:ascii="Times New Roman" w:eastAsia="Times New Roman" w:hAnsi="Times New Roman" w:cs="Times New Roman"/>
          <w:bCs/>
          <w:u w:val="single"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bCs/>
          <w:u w:val="single"/>
          <w:lang w:val="sr-Latn-ME"/>
        </w:rPr>
        <w:t>ekom</w:t>
      </w:r>
    </w:p>
    <w:p w14:paraId="3588AE32" w14:textId="37D5CC20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Kada se </w:t>
      </w:r>
      <w:r w:rsidR="00FC5ACE" w:rsidRPr="007819CB">
        <w:rPr>
          <w:rFonts w:ascii="Times New Roman" w:eastAsia="Times New Roman" w:hAnsi="Times New Roman" w:cs="Times New Roman"/>
          <w:bCs/>
          <w:lang w:val="sr-Latn-ME"/>
        </w:rPr>
        <w:t xml:space="preserve">lijek </w:t>
      </w:r>
      <w:proofErr w:type="spellStart"/>
      <w:r w:rsidR="00FC5ACE" w:rsidRPr="007819CB">
        <w:rPr>
          <w:rFonts w:ascii="Times New Roman" w:eastAsia="Times New Roman" w:hAnsi="Times New Roman" w:cs="Times New Roman"/>
          <w:bCs/>
          <w:lang w:val="sr-Latn-ME"/>
        </w:rPr>
        <w:t>Dexketoprofen</w:t>
      </w:r>
      <w:proofErr w:type="spellEnd"/>
      <w:r w:rsidR="00FC5ACE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FC5ACE" w:rsidRPr="007819CB">
        <w:rPr>
          <w:rFonts w:ascii="Times New Roman" w:eastAsia="Times New Roman" w:hAnsi="Times New Roman" w:cs="Times New Roman"/>
          <w:bCs/>
          <w:lang w:val="sr-Latn-ME"/>
        </w:rPr>
        <w:t>Kalceks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prim</w:t>
      </w:r>
      <w:r w:rsidR="00FC5ACE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enjuje intramuskularno ili </w:t>
      </w:r>
      <w:r w:rsidR="00B47183" w:rsidRPr="007819CB">
        <w:rPr>
          <w:rFonts w:ascii="Times New Roman" w:eastAsia="Times New Roman" w:hAnsi="Times New Roman" w:cs="Times New Roman"/>
          <w:bCs/>
          <w:lang w:val="sr-Latn-ME"/>
        </w:rPr>
        <w:t>u obliku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intravensk</w:t>
      </w:r>
      <w:r w:rsidR="00B47183" w:rsidRPr="007819CB">
        <w:rPr>
          <w:rFonts w:ascii="Times New Roman" w:eastAsia="Times New Roman" w:hAnsi="Times New Roman" w:cs="Times New Roman"/>
          <w:bCs/>
          <w:lang w:val="sr-Latn-ME"/>
        </w:rPr>
        <w:t>og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bolus</w:t>
      </w:r>
      <w:r w:rsidR="00B47183" w:rsidRPr="007819CB">
        <w:rPr>
          <w:rFonts w:ascii="Times New Roman" w:eastAsia="Times New Roman" w:hAnsi="Times New Roman" w:cs="Times New Roman"/>
          <w:bCs/>
          <w:lang w:val="sr-Latn-ME"/>
        </w:rPr>
        <w:t>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, rastvor treba </w:t>
      </w:r>
      <w:r w:rsidR="009F1DD6" w:rsidRPr="007819CB">
        <w:rPr>
          <w:rFonts w:ascii="Times New Roman" w:eastAsia="Times New Roman" w:hAnsi="Times New Roman" w:cs="Times New Roman"/>
          <w:bCs/>
          <w:lang w:val="sr-Latn-ME"/>
        </w:rPr>
        <w:t>inj</w:t>
      </w:r>
      <w:r w:rsidR="00C606FA" w:rsidRPr="007819CB">
        <w:rPr>
          <w:rFonts w:ascii="Times New Roman" w:eastAsia="Times New Roman" w:hAnsi="Times New Roman" w:cs="Times New Roman"/>
          <w:bCs/>
          <w:lang w:val="sr-Latn-ME"/>
        </w:rPr>
        <w:t>ektirati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odmah nakon izvlačenja iz ampule (</w:t>
      </w:r>
      <w:r w:rsidR="00D7382E" w:rsidRPr="007819CB">
        <w:rPr>
          <w:rFonts w:ascii="Times New Roman" w:eastAsia="Times New Roman" w:hAnsi="Times New Roman" w:cs="Times New Roman"/>
          <w:bCs/>
          <w:lang w:val="sr-Latn-ME"/>
        </w:rPr>
        <w:t>pogledati djelove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6.2 i 6.6).</w:t>
      </w:r>
    </w:p>
    <w:p w14:paraId="75A95645" w14:textId="77777777" w:rsidR="00B21F9A" w:rsidRPr="007819CB" w:rsidRDefault="00B21F9A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5B7484D" w14:textId="350AAD5B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Za </w:t>
      </w:r>
      <w:r w:rsidR="008D7386" w:rsidRPr="007819CB">
        <w:rPr>
          <w:rFonts w:ascii="Times New Roman" w:eastAsia="Times New Roman" w:hAnsi="Times New Roman" w:cs="Times New Roman"/>
          <w:bCs/>
          <w:lang w:val="sr-Latn-ME"/>
        </w:rPr>
        <w:t>primjenu u obliku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intravensk</w:t>
      </w:r>
      <w:r w:rsidR="008D7386" w:rsidRPr="007819CB">
        <w:rPr>
          <w:rFonts w:ascii="Times New Roman" w:eastAsia="Times New Roman" w:hAnsi="Times New Roman" w:cs="Times New Roman"/>
          <w:bCs/>
          <w:lang w:val="sr-Latn-ME"/>
        </w:rPr>
        <w:t>e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infuzij</w:t>
      </w:r>
      <w:r w:rsidR="008D7386" w:rsidRPr="007819CB">
        <w:rPr>
          <w:rFonts w:ascii="Times New Roman" w:eastAsia="Times New Roman" w:hAnsi="Times New Roman" w:cs="Times New Roman"/>
          <w:bCs/>
          <w:lang w:val="sr-Latn-ME"/>
        </w:rPr>
        <w:t>e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, rastvor treba aseptično razblažiti i zaštititi od dnevne sv</w:t>
      </w:r>
      <w:r w:rsidR="00B365D0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etlosti (</w:t>
      </w:r>
      <w:r w:rsidR="00B365D0" w:rsidRPr="007819CB">
        <w:rPr>
          <w:rFonts w:ascii="Times New Roman" w:eastAsia="Times New Roman" w:hAnsi="Times New Roman" w:cs="Times New Roman"/>
          <w:bCs/>
          <w:lang w:val="sr-Latn-ME"/>
        </w:rPr>
        <w:t>pogledati djelove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6.3 i 6.6). Za uputstva o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razblaženju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l</w:t>
      </w:r>
      <w:r w:rsidR="00B365D0" w:rsidRPr="007819CB">
        <w:rPr>
          <w:rFonts w:ascii="Times New Roman" w:eastAsia="Times New Roman" w:hAnsi="Times New Roman" w:cs="Times New Roman"/>
          <w:bCs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eka pr</w:t>
      </w:r>
      <w:r w:rsidR="00B365D0" w:rsidRPr="007819CB">
        <w:rPr>
          <w:rFonts w:ascii="Times New Roman" w:eastAsia="Times New Roman" w:hAnsi="Times New Roman" w:cs="Times New Roman"/>
          <w:bCs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 prim</w:t>
      </w:r>
      <w:r w:rsidR="00B365D0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ene, pogledajte </w:t>
      </w:r>
      <w:r w:rsidR="008D7386" w:rsidRPr="007819CB">
        <w:rPr>
          <w:rFonts w:ascii="Times New Roman" w:eastAsia="Times New Roman" w:hAnsi="Times New Roman" w:cs="Times New Roman"/>
          <w:bCs/>
          <w:lang w:val="sr-Latn-ME"/>
        </w:rPr>
        <w:t>dio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6.6.</w:t>
      </w:r>
    </w:p>
    <w:p w14:paraId="1FC4575F" w14:textId="77777777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DBA8C22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4.3. </w:t>
      </w: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ab/>
      </w:r>
      <w:proofErr w:type="spellStart"/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>Kontraindikacije</w:t>
      </w:r>
      <w:proofErr w:type="spellEnd"/>
    </w:p>
    <w:p w14:paraId="6467550A" w14:textId="77777777" w:rsidR="004D3795" w:rsidRPr="007819CB" w:rsidRDefault="004D379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A083213" w14:textId="7E4AA188" w:rsidR="00B77B98" w:rsidRPr="007819CB" w:rsidRDefault="00BF7CD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Lijek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Dexketoprofen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Kalceks</w:t>
      </w:r>
      <w:proofErr w:type="spellEnd"/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 xml:space="preserve"> ne treba koristiti u </w:t>
      </w:r>
      <w:proofErr w:type="spellStart"/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>sl</w:t>
      </w:r>
      <w:r w:rsidR="003049DE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>edećim</w:t>
      </w:r>
      <w:proofErr w:type="spellEnd"/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 xml:space="preserve"> slučajevima:</w:t>
      </w:r>
    </w:p>
    <w:p w14:paraId="1775C25F" w14:textId="2004C357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ind w:left="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>- preos</w:t>
      </w:r>
      <w:r w:rsidR="00A11A97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etljiv</w:t>
      </w:r>
      <w:r w:rsidR="00A11A97" w:rsidRPr="007819CB">
        <w:rPr>
          <w:rFonts w:ascii="Times New Roman" w:eastAsia="Times New Roman" w:hAnsi="Times New Roman" w:cs="Times New Roman"/>
          <w:bCs/>
          <w:lang w:val="sr-Latn-ME"/>
        </w:rPr>
        <w:t>ost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na aktivnu supstancu</w:t>
      </w:r>
      <w:r w:rsidR="00A11A97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ili na bilo koju od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pomoćnih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supstanci navedenih u </w:t>
      </w:r>
      <w:r w:rsidR="00A11A97" w:rsidRPr="007819CB">
        <w:rPr>
          <w:rFonts w:ascii="Times New Roman" w:eastAsia="Times New Roman" w:hAnsi="Times New Roman" w:cs="Times New Roman"/>
          <w:bCs/>
          <w:lang w:val="sr-Latn-ME"/>
        </w:rPr>
        <w:t>dijelu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6.1</w:t>
      </w:r>
      <w:r w:rsidR="004112E0" w:rsidRPr="007819CB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0C478A8B" w14:textId="71C6A0AB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ind w:left="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>- pacijenti kod kojih supstance slič</w:t>
      </w:r>
      <w:r w:rsidR="00274BEA" w:rsidRPr="007819CB">
        <w:rPr>
          <w:rFonts w:ascii="Times New Roman" w:eastAsia="Times New Roman" w:hAnsi="Times New Roman" w:cs="Times New Roman"/>
          <w:bCs/>
          <w:lang w:val="sr-Latn-ME"/>
        </w:rPr>
        <w:t>nog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dejstv</w:t>
      </w:r>
      <w:r w:rsidR="00274BEA" w:rsidRPr="007819CB">
        <w:rPr>
          <w:rFonts w:ascii="Times New Roman" w:eastAsia="Times New Roman" w:hAnsi="Times New Roman" w:cs="Times New Roman"/>
          <w:bCs/>
          <w:lang w:val="sr-Latn-ME"/>
        </w:rPr>
        <w:t>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(npr.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acetilsalicilna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kiselina ili</w:t>
      </w:r>
      <w:r w:rsidR="009A1AB2" w:rsidRPr="007819CB">
        <w:rPr>
          <w:rFonts w:ascii="Times New Roman" w:eastAsia="Times New Roman" w:hAnsi="Times New Roman" w:cs="Times New Roman"/>
          <w:bCs/>
          <w:lang w:val="sr-Latn-ME"/>
        </w:rPr>
        <w:t xml:space="preserve"> neki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drugi NSAIL) izazivaju napade astme,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bronhospazam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, akutni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rinitis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ili </w:t>
      </w:r>
      <w:r w:rsidR="00F20708" w:rsidRPr="007819CB">
        <w:rPr>
          <w:rFonts w:ascii="Times New Roman" w:eastAsia="Times New Roman" w:hAnsi="Times New Roman" w:cs="Times New Roman"/>
          <w:bCs/>
          <w:lang w:val="sr-Latn-ME"/>
        </w:rPr>
        <w:t>uzrokuju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F20708" w:rsidRPr="007819CB">
        <w:rPr>
          <w:rFonts w:ascii="Times New Roman" w:eastAsia="Times New Roman" w:hAnsi="Times New Roman" w:cs="Times New Roman"/>
          <w:bCs/>
          <w:lang w:val="sr-Latn-ME"/>
        </w:rPr>
        <w:t xml:space="preserve">nazalne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polipe, urtikariju ili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angioedem</w:t>
      </w:r>
      <w:proofErr w:type="spellEnd"/>
      <w:r w:rsidR="006A2B37" w:rsidRPr="007819CB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2F9AB3F0" w14:textId="5B44BE0C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ind w:left="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- poznate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fotoalergijske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ili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fototoksične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reakcije tokom l</w:t>
      </w:r>
      <w:r w:rsidR="002C785B" w:rsidRPr="007819CB">
        <w:rPr>
          <w:rFonts w:ascii="Times New Roman" w:eastAsia="Times New Roman" w:hAnsi="Times New Roman" w:cs="Times New Roman"/>
          <w:bCs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ečenja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ketoprofenom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ili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fibratima</w:t>
      </w:r>
      <w:proofErr w:type="spellEnd"/>
      <w:r w:rsidR="002C785B" w:rsidRPr="007819CB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5CF5D5ED" w14:textId="6E60CDDE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ind w:left="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>- pacijenti sa gastrointestinaln</w:t>
      </w:r>
      <w:r w:rsidR="009A6B84" w:rsidRPr="007819CB">
        <w:rPr>
          <w:rFonts w:ascii="Times New Roman" w:eastAsia="Times New Roman" w:hAnsi="Times New Roman" w:cs="Times New Roman"/>
          <w:bCs/>
          <w:lang w:val="sr-Latn-ME"/>
        </w:rPr>
        <w:t>im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krvarenj</w:t>
      </w:r>
      <w:r w:rsidR="009A6B84" w:rsidRPr="007819CB">
        <w:rPr>
          <w:rFonts w:ascii="Times New Roman" w:eastAsia="Times New Roman" w:hAnsi="Times New Roman" w:cs="Times New Roman"/>
          <w:bCs/>
          <w:lang w:val="sr-Latn-ME"/>
        </w:rPr>
        <w:t>em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ili perforacij</w:t>
      </w:r>
      <w:r w:rsidR="009A6B84" w:rsidRPr="007819CB">
        <w:rPr>
          <w:rFonts w:ascii="Times New Roman" w:eastAsia="Times New Roman" w:hAnsi="Times New Roman" w:cs="Times New Roman"/>
          <w:bCs/>
          <w:lang w:val="sr-Latn-ME"/>
        </w:rPr>
        <w:t>om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9A6B84" w:rsidRPr="007819CB">
        <w:rPr>
          <w:rFonts w:ascii="Times New Roman" w:eastAsia="Times New Roman" w:hAnsi="Times New Roman" w:cs="Times New Roman"/>
          <w:bCs/>
          <w:lang w:val="sr-Latn-ME"/>
        </w:rPr>
        <w:t>povezanom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sa prethodnim l</w:t>
      </w:r>
      <w:r w:rsidR="002C785B" w:rsidRPr="007819CB">
        <w:rPr>
          <w:rFonts w:ascii="Times New Roman" w:eastAsia="Times New Roman" w:hAnsi="Times New Roman" w:cs="Times New Roman"/>
          <w:bCs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ečenjem NSAIL</w:t>
      </w:r>
      <w:r w:rsidR="009A6B84" w:rsidRPr="007819CB">
        <w:rPr>
          <w:rFonts w:ascii="Times New Roman" w:eastAsia="Times New Roman" w:hAnsi="Times New Roman" w:cs="Times New Roman"/>
          <w:bCs/>
          <w:lang w:val="sr-Latn-ME"/>
        </w:rPr>
        <w:t xml:space="preserve"> u anamnezi</w:t>
      </w:r>
      <w:r w:rsidR="002C785B" w:rsidRPr="007819CB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5E1CD9D6" w14:textId="79E329D7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ind w:left="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- pacijenti sa aktivnim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peptič</w:t>
      </w:r>
      <w:r w:rsidR="002A5358" w:rsidRPr="007819CB">
        <w:rPr>
          <w:rFonts w:ascii="Times New Roman" w:eastAsia="Times New Roman" w:hAnsi="Times New Roman" w:cs="Times New Roman"/>
          <w:bCs/>
          <w:lang w:val="sr-Latn-ME"/>
        </w:rPr>
        <w:t>k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im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ulkusom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/gastrointestinalnim krvarenjem ili bilo </w:t>
      </w:r>
      <w:r w:rsidR="002A5358" w:rsidRPr="007819CB">
        <w:rPr>
          <w:rFonts w:ascii="Times New Roman" w:eastAsia="Times New Roman" w:hAnsi="Times New Roman" w:cs="Times New Roman"/>
          <w:bCs/>
          <w:lang w:val="sr-Latn-ME"/>
        </w:rPr>
        <w:t>kakvim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gastrointestinaln</w:t>
      </w:r>
      <w:r w:rsidR="002A5358" w:rsidRPr="007819CB">
        <w:rPr>
          <w:rFonts w:ascii="Times New Roman" w:eastAsia="Times New Roman" w:hAnsi="Times New Roman" w:cs="Times New Roman"/>
          <w:bCs/>
          <w:lang w:val="sr-Latn-ME"/>
        </w:rPr>
        <w:t>im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krvarenj</w:t>
      </w:r>
      <w:r w:rsidR="002A5358" w:rsidRPr="007819CB">
        <w:rPr>
          <w:rFonts w:ascii="Times New Roman" w:eastAsia="Times New Roman" w:hAnsi="Times New Roman" w:cs="Times New Roman"/>
          <w:bCs/>
          <w:lang w:val="sr-Latn-ME"/>
        </w:rPr>
        <w:t>em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ulceracij</w:t>
      </w:r>
      <w:r w:rsidR="002A5358" w:rsidRPr="007819CB">
        <w:rPr>
          <w:rFonts w:ascii="Times New Roman" w:eastAsia="Times New Roman" w:hAnsi="Times New Roman" w:cs="Times New Roman"/>
          <w:bCs/>
          <w:lang w:val="sr-Latn-ME"/>
        </w:rPr>
        <w:t>om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ili perforacij</w:t>
      </w:r>
      <w:r w:rsidR="002A5358" w:rsidRPr="007819CB">
        <w:rPr>
          <w:rFonts w:ascii="Times New Roman" w:eastAsia="Times New Roman" w:hAnsi="Times New Roman" w:cs="Times New Roman"/>
          <w:bCs/>
          <w:lang w:val="sr-Latn-ME"/>
        </w:rPr>
        <w:t>om u anamnezi</w:t>
      </w:r>
      <w:r w:rsidR="00100C3A" w:rsidRPr="007819CB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13DDC06F" w14:textId="0B02574B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ind w:left="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>- pacijenti sa hroničnom dispepsijom</w:t>
      </w:r>
      <w:r w:rsidR="00100C3A" w:rsidRPr="007819CB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3D2C260F" w14:textId="362ED46E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ind w:left="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- pacijenti sa drugim aktivnim krvarenjem ili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poremećajima</w:t>
      </w:r>
      <w:proofErr w:type="spellEnd"/>
      <w:r w:rsidR="002A5358" w:rsidRPr="007819CB">
        <w:rPr>
          <w:rFonts w:ascii="Times New Roman" w:eastAsia="Times New Roman" w:hAnsi="Times New Roman" w:cs="Times New Roman"/>
          <w:bCs/>
          <w:lang w:val="sr-Latn-ME"/>
        </w:rPr>
        <w:t xml:space="preserve"> krvarenja</w:t>
      </w:r>
      <w:r w:rsidR="00100C3A" w:rsidRPr="007819CB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61BCEF14" w14:textId="6584EEFF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ind w:left="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- pacijenti sa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Crohn</w:t>
      </w:r>
      <w:proofErr w:type="spellEnd"/>
      <w:r w:rsidR="005E734C" w:rsidRPr="007819CB">
        <w:rPr>
          <w:rFonts w:ascii="Times New Roman" w:eastAsia="Times New Roman" w:hAnsi="Times New Roman" w:cs="Times New Roman"/>
          <w:bCs/>
          <w:lang w:val="sr-Latn-ME"/>
        </w:rPr>
        <w:t>-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ovom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bolešću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ili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ulceroznim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kolitisom</w:t>
      </w:r>
      <w:r w:rsidR="005E734C" w:rsidRPr="007819CB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282CC61B" w14:textId="37D1965D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ind w:left="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- pacijenti sa teškom srčanom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insuficijencijom</w:t>
      </w:r>
      <w:proofErr w:type="spellEnd"/>
      <w:r w:rsidR="005E734C" w:rsidRPr="007819CB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58B8CC9A" w14:textId="79DF5B6B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ind w:left="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lastRenderedPageBreak/>
        <w:t>- pacijenti sa um</w:t>
      </w:r>
      <w:r w:rsidR="005E734C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erenom do teškom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disfunkcijom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6F4817" w:rsidRPr="007819CB">
        <w:rPr>
          <w:rFonts w:ascii="Times New Roman" w:eastAsia="Times New Roman" w:hAnsi="Times New Roman" w:cs="Times New Roman"/>
          <w:bCs/>
          <w:lang w:val="sr-Latn-ME"/>
        </w:rPr>
        <w:t xml:space="preserve">bubrega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(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klirens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kreatinina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≤</w:t>
      </w:r>
      <w:r w:rsidR="005E734C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59 ml/min)</w:t>
      </w:r>
      <w:r w:rsidR="005E734C" w:rsidRPr="007819CB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448E2522" w14:textId="5C07EFB3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ind w:left="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- pacijenti sa teško </w:t>
      </w:r>
      <w:r w:rsidR="006F4817" w:rsidRPr="007819CB">
        <w:rPr>
          <w:rFonts w:ascii="Times New Roman" w:eastAsia="Times New Roman" w:hAnsi="Times New Roman" w:cs="Times New Roman"/>
          <w:bCs/>
          <w:lang w:val="sr-Latn-ME"/>
        </w:rPr>
        <w:t>oštećenom funkcijom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jetre (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Child-Pugh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s</w:t>
      </w:r>
      <w:r w:rsidR="006F4817" w:rsidRPr="007819CB">
        <w:rPr>
          <w:rFonts w:ascii="Times New Roman" w:eastAsia="Times New Roman" w:hAnsi="Times New Roman" w:cs="Times New Roman"/>
          <w:bCs/>
          <w:lang w:val="sr-Latn-ME"/>
        </w:rPr>
        <w:t>kor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10-15)</w:t>
      </w:r>
      <w:r w:rsidR="00795256" w:rsidRPr="007819CB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1C33667D" w14:textId="4C04B2D8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ind w:left="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r w:rsidR="00C8482B" w:rsidRPr="007819CB">
        <w:rPr>
          <w:rFonts w:ascii="Times New Roman" w:eastAsia="Times New Roman" w:hAnsi="Times New Roman" w:cs="Times New Roman"/>
          <w:bCs/>
          <w:lang w:val="sr-Latn-ME"/>
        </w:rPr>
        <w:t xml:space="preserve">kod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pacijen</w:t>
      </w:r>
      <w:r w:rsidR="00C8482B" w:rsidRPr="007819CB">
        <w:rPr>
          <w:rFonts w:ascii="Times New Roman" w:eastAsia="Times New Roman" w:hAnsi="Times New Roman" w:cs="Times New Roman"/>
          <w:bCs/>
          <w:lang w:val="sr-Latn-ME"/>
        </w:rPr>
        <w:t>ata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sa hemoragi</w:t>
      </w:r>
      <w:r w:rsidR="00C8482B" w:rsidRPr="007819CB">
        <w:rPr>
          <w:rFonts w:ascii="Times New Roman" w:eastAsia="Times New Roman" w:hAnsi="Times New Roman" w:cs="Times New Roman"/>
          <w:bCs/>
          <w:lang w:val="sr-Latn-ME"/>
        </w:rPr>
        <w:t>čnom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dijatezom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 drugim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poremećajima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koagulacije</w:t>
      </w:r>
      <w:r w:rsidR="00795256" w:rsidRPr="007819CB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7AEF9AC7" w14:textId="06ACBCB3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ind w:left="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- pacijenti sa teškom dehidracijom (uzrokovanoj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povraćanjem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>, dijarejom ili nedovoljnim unosom tečnosti)</w:t>
      </w:r>
      <w:r w:rsidR="00795256" w:rsidRPr="007819CB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5511CE89" w14:textId="59FAF4A1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ind w:left="144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- tokom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trećeg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trimestra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trudnoće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r w:rsidR="003927BA" w:rsidRPr="007819CB">
        <w:rPr>
          <w:rFonts w:ascii="Times New Roman" w:eastAsia="Times New Roman" w:hAnsi="Times New Roman" w:cs="Times New Roman"/>
          <w:bCs/>
          <w:lang w:val="sr-Latn-ME"/>
        </w:rPr>
        <w:t>perioda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dojenja (</w:t>
      </w:r>
      <w:r w:rsidR="00795256" w:rsidRPr="007819CB">
        <w:rPr>
          <w:rFonts w:ascii="Times New Roman" w:eastAsia="Times New Roman" w:hAnsi="Times New Roman" w:cs="Times New Roman"/>
          <w:bCs/>
          <w:lang w:val="sr-Latn-ME"/>
        </w:rPr>
        <w:t>pogledati dio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4.6).</w:t>
      </w:r>
    </w:p>
    <w:p w14:paraId="272D3C8E" w14:textId="77777777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</w:p>
    <w:p w14:paraId="1C5BFD2D" w14:textId="7E973E3C" w:rsidR="00532916" w:rsidRPr="007819CB" w:rsidRDefault="0079525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Lijek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Dexketoprofen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Kalceks</w:t>
      </w:r>
      <w:proofErr w:type="spellEnd"/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 xml:space="preserve"> je kontraindikovan za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spinalnu </w:t>
      </w:r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>prim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>enu (</w:t>
      </w:r>
      <w:proofErr w:type="spellStart"/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>intratekalno</w:t>
      </w:r>
      <w:proofErr w:type="spellEnd"/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 xml:space="preserve"> ili </w:t>
      </w:r>
      <w:proofErr w:type="spellStart"/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>epiduralno</w:t>
      </w:r>
      <w:proofErr w:type="spellEnd"/>
      <w:r w:rsidR="00B77B98" w:rsidRPr="007819CB">
        <w:rPr>
          <w:rFonts w:ascii="Times New Roman" w:eastAsia="Times New Roman" w:hAnsi="Times New Roman" w:cs="Times New Roman"/>
          <w:bCs/>
          <w:lang w:val="sr-Latn-ME"/>
        </w:rPr>
        <w:t>) zbog sadržaja etanola.</w:t>
      </w:r>
    </w:p>
    <w:p w14:paraId="0694431A" w14:textId="77777777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5EBB08F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4.4. </w:t>
      </w: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ab/>
        <w:t>Posebna upozorenja i mjere opreza pri upotrebi lijeka</w:t>
      </w:r>
    </w:p>
    <w:p w14:paraId="7DE12F8B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4EAE6042" w14:textId="5113CA49" w:rsidR="00B77B98" w:rsidRPr="007819CB" w:rsidRDefault="00453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>Potrebna je pažljiva primjena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kod pacijenata sa alergijski</w:t>
      </w:r>
      <w:r w:rsidR="00AC4C72" w:rsidRPr="007819CB">
        <w:rPr>
          <w:rFonts w:ascii="Times New Roman" w:eastAsia="Times New Roman" w:hAnsi="Times New Roman" w:cs="Times New Roman"/>
          <w:lang w:val="sr-Latn-ME"/>
        </w:rPr>
        <w:t>m stanjima u anamnezi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>.</w:t>
      </w:r>
    </w:p>
    <w:p w14:paraId="77460116" w14:textId="27AA761C" w:rsidR="00B77B98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>Treba izb</w:t>
      </w:r>
      <w:r w:rsidR="002D0CDD" w:rsidRPr="007819CB">
        <w:rPr>
          <w:rFonts w:ascii="Times New Roman" w:eastAsia="Times New Roman" w:hAnsi="Times New Roman" w:cs="Times New Roman"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lang w:val="sr-Latn-ME"/>
        </w:rPr>
        <w:t>egavati istovremenu prim</w:t>
      </w:r>
      <w:r w:rsidR="002D0CDD" w:rsidRPr="007819CB">
        <w:rPr>
          <w:rFonts w:ascii="Times New Roman" w:eastAsia="Times New Roman" w:hAnsi="Times New Roman" w:cs="Times New Roman"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enu </w:t>
      </w:r>
      <w:r w:rsidR="002D0CDD" w:rsidRPr="007819CB">
        <w:rPr>
          <w:rFonts w:ascii="Times New Roman" w:eastAsia="Times New Roman" w:hAnsi="Times New Roman" w:cs="Times New Roman"/>
          <w:lang w:val="sr-Latn-ME"/>
        </w:rPr>
        <w:t xml:space="preserve">lijeka </w:t>
      </w:r>
      <w:proofErr w:type="spellStart"/>
      <w:r w:rsidR="002D0CDD" w:rsidRPr="007819CB">
        <w:rPr>
          <w:rFonts w:ascii="Times New Roman" w:eastAsia="Times New Roman" w:hAnsi="Times New Roman" w:cs="Times New Roman"/>
          <w:lang w:val="sr-Latn-ME"/>
        </w:rPr>
        <w:t>Dexketoprofen</w:t>
      </w:r>
      <w:proofErr w:type="spellEnd"/>
      <w:r w:rsidR="002D0CDD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2D0CDD" w:rsidRPr="007819CB">
        <w:rPr>
          <w:rFonts w:ascii="Times New Roman" w:eastAsia="Times New Roman" w:hAnsi="Times New Roman" w:cs="Times New Roman"/>
          <w:lang w:val="sr-Latn-ME"/>
        </w:rPr>
        <w:t>Kalceks</w:t>
      </w:r>
      <w:proofErr w:type="spellEnd"/>
      <w:r w:rsidR="002D0CDD" w:rsidRPr="007819CB">
        <w:rPr>
          <w:rFonts w:ascii="Times New Roman" w:eastAsia="Times New Roman" w:hAnsi="Times New Roman" w:cs="Times New Roman"/>
          <w:lang w:val="sr-Latn-ME"/>
        </w:rPr>
        <w:t xml:space="preserve"> s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a drugim NSAIL,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uključujući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selektivne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inhibitore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ciklooksigenaze-2.</w:t>
      </w:r>
    </w:p>
    <w:p w14:paraId="6BB17AE0" w14:textId="4DE8184C" w:rsidR="00B77B98" w:rsidRPr="007819CB" w:rsidRDefault="00AC4C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>Pojava n</w:t>
      </w:r>
      <w:r w:rsidR="007458C5" w:rsidRPr="007819CB">
        <w:rPr>
          <w:rFonts w:ascii="Times New Roman" w:eastAsia="Times New Roman" w:hAnsi="Times New Roman" w:cs="Times New Roman"/>
          <w:lang w:val="sr-Latn-ME"/>
        </w:rPr>
        <w:t>eželjen</w:t>
      </w:r>
      <w:r w:rsidRPr="007819CB">
        <w:rPr>
          <w:rFonts w:ascii="Times New Roman" w:eastAsia="Times New Roman" w:hAnsi="Times New Roman" w:cs="Times New Roman"/>
          <w:lang w:val="sr-Latn-ME"/>
        </w:rPr>
        <w:t>ih</w:t>
      </w:r>
      <w:r w:rsidR="007458C5" w:rsidRPr="007819CB">
        <w:rPr>
          <w:rFonts w:ascii="Times New Roman" w:eastAsia="Times New Roman" w:hAnsi="Times New Roman" w:cs="Times New Roman"/>
          <w:lang w:val="sr-Latn-ME"/>
        </w:rPr>
        <w:t xml:space="preserve"> dejstv</w:t>
      </w:r>
      <w:r w:rsidRPr="007819CB">
        <w:rPr>
          <w:rFonts w:ascii="Times New Roman" w:eastAsia="Times New Roman" w:hAnsi="Times New Roman" w:cs="Times New Roman"/>
          <w:lang w:val="sr-Latn-ME"/>
        </w:rPr>
        <w:t>a</w:t>
      </w:r>
      <w:r w:rsidR="007458C5" w:rsidRPr="007819CB">
        <w:rPr>
          <w:rFonts w:ascii="Times New Roman" w:eastAsia="Times New Roman" w:hAnsi="Times New Roman" w:cs="Times New Roman"/>
          <w:lang w:val="sr-Latn-ME"/>
        </w:rPr>
        <w:t xml:space="preserve"> mo</w:t>
      </w:r>
      <w:r w:rsidRPr="007819CB">
        <w:rPr>
          <w:rFonts w:ascii="Times New Roman" w:eastAsia="Times New Roman" w:hAnsi="Times New Roman" w:cs="Times New Roman"/>
          <w:lang w:val="sr-Latn-ME"/>
        </w:rPr>
        <w:t>že</w:t>
      </w:r>
      <w:r w:rsidR="007458C5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da bude minimizirana </w:t>
      </w:r>
      <w:r w:rsidR="007458C5" w:rsidRPr="007819CB">
        <w:rPr>
          <w:rFonts w:ascii="Times New Roman" w:eastAsia="Times New Roman" w:hAnsi="Times New Roman" w:cs="Times New Roman"/>
          <w:lang w:val="sr-Latn-ME"/>
        </w:rPr>
        <w:t>upotrebom naj</w:t>
      </w:r>
      <w:r w:rsidR="008E3FB8" w:rsidRPr="007819CB">
        <w:rPr>
          <w:rFonts w:ascii="Times New Roman" w:eastAsia="Times New Roman" w:hAnsi="Times New Roman" w:cs="Times New Roman"/>
          <w:lang w:val="sr-Latn-ME"/>
        </w:rPr>
        <w:t>manje</w:t>
      </w:r>
      <w:r w:rsidR="007458C5" w:rsidRPr="007819CB">
        <w:rPr>
          <w:rFonts w:ascii="Times New Roman" w:eastAsia="Times New Roman" w:hAnsi="Times New Roman" w:cs="Times New Roman"/>
          <w:lang w:val="sr-Latn-ME"/>
        </w:rPr>
        <w:t xml:space="preserve"> efektivne doze </w:t>
      </w:r>
      <w:r w:rsidR="008E3FB8" w:rsidRPr="007819CB">
        <w:rPr>
          <w:rFonts w:ascii="Times New Roman" w:eastAsia="Times New Roman" w:hAnsi="Times New Roman" w:cs="Times New Roman"/>
          <w:lang w:val="sr-Latn-ME"/>
        </w:rPr>
        <w:t xml:space="preserve">za </w:t>
      </w:r>
      <w:proofErr w:type="spellStart"/>
      <w:r w:rsidR="007458C5" w:rsidRPr="007819CB">
        <w:rPr>
          <w:rFonts w:ascii="Times New Roman" w:eastAsia="Times New Roman" w:hAnsi="Times New Roman" w:cs="Times New Roman"/>
          <w:lang w:val="sr-Latn-ME"/>
        </w:rPr>
        <w:t>najkrać</w:t>
      </w:r>
      <w:r w:rsidR="008E3FB8" w:rsidRPr="007819CB">
        <w:rPr>
          <w:rFonts w:ascii="Times New Roman" w:eastAsia="Times New Roman" w:hAnsi="Times New Roman" w:cs="Times New Roman"/>
          <w:lang w:val="sr-Latn-ME"/>
        </w:rPr>
        <w:t>i</w:t>
      </w:r>
      <w:proofErr w:type="spellEnd"/>
      <w:r w:rsidR="007458C5" w:rsidRPr="007819CB">
        <w:rPr>
          <w:rFonts w:ascii="Times New Roman" w:eastAsia="Times New Roman" w:hAnsi="Times New Roman" w:cs="Times New Roman"/>
          <w:lang w:val="sr-Latn-ME"/>
        </w:rPr>
        <w:t xml:space="preserve"> period </w:t>
      </w:r>
      <w:r w:rsidR="008E3FB8" w:rsidRPr="007819CB">
        <w:rPr>
          <w:rFonts w:ascii="Times New Roman" w:eastAsia="Times New Roman" w:hAnsi="Times New Roman" w:cs="Times New Roman"/>
          <w:lang w:val="sr-Latn-ME"/>
        </w:rPr>
        <w:t>potreban</w:t>
      </w:r>
      <w:r w:rsidR="007458C5" w:rsidRPr="007819CB">
        <w:rPr>
          <w:rFonts w:ascii="Times New Roman" w:eastAsia="Times New Roman" w:hAnsi="Times New Roman" w:cs="Times New Roman"/>
          <w:lang w:val="sr-Latn-ME"/>
        </w:rPr>
        <w:t xml:space="preserve"> za kontrolu simptoma 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>(</w:t>
      </w:r>
      <w:r w:rsidR="00F17D05" w:rsidRPr="007819CB">
        <w:rPr>
          <w:rFonts w:ascii="Times New Roman" w:eastAsia="Times New Roman" w:hAnsi="Times New Roman" w:cs="Times New Roman"/>
          <w:lang w:val="sr-Latn-ME"/>
        </w:rPr>
        <w:t>pogledati dio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4.2 i gastrointestinaln</w:t>
      </w:r>
      <w:r w:rsidR="008E3FB8" w:rsidRPr="007819CB">
        <w:rPr>
          <w:rFonts w:ascii="Times New Roman" w:eastAsia="Times New Roman" w:hAnsi="Times New Roman" w:cs="Times New Roman"/>
          <w:lang w:val="sr-Latn-ME"/>
        </w:rPr>
        <w:t>i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i </w:t>
      </w:r>
      <w:proofErr w:type="spellStart"/>
      <w:r w:rsidR="00B77B98" w:rsidRPr="007819CB">
        <w:rPr>
          <w:rFonts w:ascii="Times New Roman" w:eastAsia="Times New Roman" w:hAnsi="Times New Roman" w:cs="Times New Roman"/>
          <w:lang w:val="sr-Latn-ME"/>
        </w:rPr>
        <w:t>kardiovaskularn</w:t>
      </w:r>
      <w:r w:rsidR="008E3FB8" w:rsidRPr="007819CB">
        <w:rPr>
          <w:rFonts w:ascii="Times New Roman" w:eastAsia="Times New Roman" w:hAnsi="Times New Roman" w:cs="Times New Roman"/>
          <w:lang w:val="sr-Latn-ME"/>
        </w:rPr>
        <w:t>i</w:t>
      </w:r>
      <w:proofErr w:type="spellEnd"/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rizik u nastavku</w:t>
      </w:r>
      <w:r w:rsidR="008E3FB8" w:rsidRPr="007819CB">
        <w:rPr>
          <w:rFonts w:ascii="Times New Roman" w:eastAsia="Times New Roman" w:hAnsi="Times New Roman" w:cs="Times New Roman"/>
          <w:lang w:val="sr-Latn-ME"/>
        </w:rPr>
        <w:t xml:space="preserve"> teksta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>).</w:t>
      </w:r>
    </w:p>
    <w:p w14:paraId="12C3DCE9" w14:textId="77777777" w:rsidR="00B77B98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7EFEA218" w14:textId="496311A4" w:rsidR="00B77B98" w:rsidRPr="007819CB" w:rsidRDefault="00392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>Gastrointestinalna bezbjednost</w:t>
      </w:r>
    </w:p>
    <w:p w14:paraId="62F27D9C" w14:textId="6627E9E4" w:rsidR="00B937B8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Gastrointestinalno krvarenje,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ulceracij</w:t>
      </w:r>
      <w:r w:rsidR="00747819" w:rsidRPr="007819CB">
        <w:rPr>
          <w:rFonts w:ascii="Times New Roman" w:eastAsia="Times New Roman" w:hAnsi="Times New Roman" w:cs="Times New Roman"/>
          <w:lang w:val="sr-Latn-ME"/>
        </w:rPr>
        <w:t>e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ili perforacij</w:t>
      </w:r>
      <w:r w:rsidR="00747819" w:rsidRPr="007819CB">
        <w:rPr>
          <w:rFonts w:ascii="Times New Roman" w:eastAsia="Times New Roman" w:hAnsi="Times New Roman" w:cs="Times New Roman"/>
          <w:lang w:val="sr-Latn-ME"/>
        </w:rPr>
        <w:t>e</w:t>
      </w:r>
      <w:r w:rsidR="00103D0C" w:rsidRPr="007819CB">
        <w:rPr>
          <w:rFonts w:ascii="Times New Roman" w:eastAsia="Times New Roman" w:hAnsi="Times New Roman" w:cs="Times New Roman"/>
          <w:lang w:val="sr-Latn-ME"/>
        </w:rPr>
        <w:t>,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koj</w:t>
      </w:r>
      <w:r w:rsidR="00747819" w:rsidRPr="007819CB">
        <w:rPr>
          <w:rFonts w:ascii="Times New Roman" w:eastAsia="Times New Roman" w:hAnsi="Times New Roman" w:cs="Times New Roman"/>
          <w:lang w:val="sr-Latn-ME"/>
        </w:rPr>
        <w:t>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mogu biti </w:t>
      </w:r>
      <w:r w:rsidR="00747819" w:rsidRPr="007819CB">
        <w:rPr>
          <w:rFonts w:ascii="Times New Roman" w:eastAsia="Times New Roman" w:hAnsi="Times New Roman" w:cs="Times New Roman"/>
          <w:lang w:val="sr-Latn-ME"/>
        </w:rPr>
        <w:t>sa smrtnim ishodom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, </w:t>
      </w:r>
      <w:r w:rsidR="00747819" w:rsidRPr="007819CB">
        <w:rPr>
          <w:rFonts w:ascii="Times New Roman" w:eastAsia="Times New Roman" w:hAnsi="Times New Roman" w:cs="Times New Roman"/>
          <w:lang w:val="sr-Latn-ME"/>
        </w:rPr>
        <w:t xml:space="preserve">su </w:t>
      </w:r>
      <w:r w:rsidRPr="007819CB">
        <w:rPr>
          <w:rFonts w:ascii="Times New Roman" w:eastAsia="Times New Roman" w:hAnsi="Times New Roman" w:cs="Times New Roman"/>
          <w:lang w:val="sr-Latn-ME"/>
        </w:rPr>
        <w:t>prijavljen</w:t>
      </w:r>
      <w:r w:rsidR="00747819" w:rsidRPr="007819CB">
        <w:rPr>
          <w:rFonts w:ascii="Times New Roman" w:eastAsia="Times New Roman" w:hAnsi="Times New Roman" w:cs="Times New Roman"/>
          <w:lang w:val="sr-Latn-ME"/>
        </w:rPr>
        <w:t>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436A5E" w:rsidRPr="007819CB">
        <w:rPr>
          <w:rFonts w:ascii="Times New Roman" w:eastAsia="Times New Roman" w:hAnsi="Times New Roman" w:cs="Times New Roman"/>
          <w:lang w:val="sr-Latn-ME"/>
        </w:rPr>
        <w:t>kod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sv</w:t>
      </w:r>
      <w:r w:rsidR="00436A5E" w:rsidRPr="007819CB">
        <w:rPr>
          <w:rFonts w:ascii="Times New Roman" w:eastAsia="Times New Roman" w:hAnsi="Times New Roman" w:cs="Times New Roman"/>
          <w:lang w:val="sr-Latn-ME"/>
        </w:rPr>
        <w:t>ih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NSAIL</w:t>
      </w:r>
      <w:r w:rsidR="00436A5E" w:rsidRPr="007819CB">
        <w:rPr>
          <w:rFonts w:ascii="Times New Roman" w:eastAsia="Times New Roman" w:hAnsi="Times New Roman" w:cs="Times New Roman"/>
          <w:lang w:val="sr-Latn-ME"/>
        </w:rPr>
        <w:t xml:space="preserve"> u bilo kom trenutku tokom liječenja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, sa ili bez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upozoravajućih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simptoma ili </w:t>
      </w:r>
      <w:r w:rsidR="00436A5E" w:rsidRPr="007819CB">
        <w:rPr>
          <w:rFonts w:ascii="Times New Roman" w:eastAsia="Times New Roman" w:hAnsi="Times New Roman" w:cs="Times New Roman"/>
          <w:lang w:val="sr-Latn-ME"/>
        </w:rPr>
        <w:t>bez prethodni</w:t>
      </w:r>
      <w:r w:rsidR="005465AC" w:rsidRPr="007819CB">
        <w:rPr>
          <w:rFonts w:ascii="Times New Roman" w:eastAsia="Times New Roman" w:hAnsi="Times New Roman" w:cs="Times New Roman"/>
          <w:lang w:val="sr-Latn-ME"/>
        </w:rPr>
        <w:t xml:space="preserve">h 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gastrointestinalnih </w:t>
      </w:r>
      <w:r w:rsidR="00E9323B" w:rsidRPr="007819CB">
        <w:rPr>
          <w:rFonts w:ascii="Times New Roman" w:eastAsia="Times New Roman" w:hAnsi="Times New Roman" w:cs="Times New Roman"/>
          <w:lang w:val="sr-Latn-ME"/>
        </w:rPr>
        <w:t>problema u anamnezi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. </w:t>
      </w:r>
      <w:r w:rsidR="00E9323B" w:rsidRPr="007819CB">
        <w:rPr>
          <w:rFonts w:ascii="Times New Roman" w:eastAsia="Times New Roman" w:hAnsi="Times New Roman" w:cs="Times New Roman"/>
          <w:lang w:val="sr-Latn-ME"/>
        </w:rPr>
        <w:t>Ako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dođe do </w:t>
      </w:r>
      <w:r w:rsidR="00E9323B" w:rsidRPr="007819CB">
        <w:rPr>
          <w:rFonts w:ascii="Times New Roman" w:eastAsia="Times New Roman" w:hAnsi="Times New Roman" w:cs="Times New Roman"/>
          <w:lang w:val="sr-Latn-ME"/>
        </w:rPr>
        <w:t xml:space="preserve">pojave </w:t>
      </w:r>
      <w:r w:rsidRPr="007819CB">
        <w:rPr>
          <w:rFonts w:ascii="Times New Roman" w:eastAsia="Times New Roman" w:hAnsi="Times New Roman" w:cs="Times New Roman"/>
          <w:lang w:val="sr-Latn-ME"/>
        </w:rPr>
        <w:t>gastrointestinaln</w:t>
      </w:r>
      <w:r w:rsidR="00E9323B" w:rsidRPr="007819CB">
        <w:rPr>
          <w:rFonts w:ascii="Times New Roman" w:eastAsia="Times New Roman" w:hAnsi="Times New Roman" w:cs="Times New Roman"/>
          <w:lang w:val="sr-Latn-ME"/>
        </w:rPr>
        <w:t>ih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krvarenja ili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ulceracij</w:t>
      </w:r>
      <w:r w:rsidR="00E9323B" w:rsidRPr="007819CB">
        <w:rPr>
          <w:rFonts w:ascii="Times New Roman" w:eastAsia="Times New Roman" w:hAnsi="Times New Roman" w:cs="Times New Roman"/>
          <w:lang w:val="sr-Latn-ME"/>
        </w:rPr>
        <w:t>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kod pacijenata koji primaju </w:t>
      </w:r>
      <w:r w:rsidR="000B3945" w:rsidRPr="007819CB">
        <w:rPr>
          <w:rFonts w:ascii="Times New Roman" w:eastAsia="Times New Roman" w:hAnsi="Times New Roman" w:cs="Times New Roman"/>
          <w:lang w:val="sr-Latn-ME"/>
        </w:rPr>
        <w:t xml:space="preserve">lijek </w:t>
      </w:r>
      <w:proofErr w:type="spellStart"/>
      <w:r w:rsidR="000B3945" w:rsidRPr="007819CB">
        <w:rPr>
          <w:rFonts w:ascii="Times New Roman" w:eastAsia="Times New Roman" w:hAnsi="Times New Roman" w:cs="Times New Roman"/>
          <w:lang w:val="sr-Latn-ME"/>
        </w:rPr>
        <w:t>Dexketoprofen</w:t>
      </w:r>
      <w:proofErr w:type="spellEnd"/>
      <w:r w:rsidR="000B3945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0B3945" w:rsidRPr="007819CB">
        <w:rPr>
          <w:rFonts w:ascii="Times New Roman" w:eastAsia="Times New Roman" w:hAnsi="Times New Roman" w:cs="Times New Roman"/>
          <w:lang w:val="sr-Latn-ME"/>
        </w:rPr>
        <w:t>Kalceks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>, l</w:t>
      </w:r>
      <w:r w:rsidR="000B3945" w:rsidRPr="007819CB">
        <w:rPr>
          <w:rFonts w:ascii="Times New Roman" w:eastAsia="Times New Roman" w:hAnsi="Times New Roman" w:cs="Times New Roman"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ečenje treba odmah </w:t>
      </w:r>
      <w:r w:rsidR="00E9323B" w:rsidRPr="007819CB">
        <w:rPr>
          <w:rFonts w:ascii="Times New Roman" w:eastAsia="Times New Roman" w:hAnsi="Times New Roman" w:cs="Times New Roman"/>
          <w:lang w:val="sr-Latn-ME"/>
        </w:rPr>
        <w:t>obustaviti</w:t>
      </w:r>
      <w:r w:rsidRPr="007819CB">
        <w:rPr>
          <w:rFonts w:ascii="Times New Roman" w:eastAsia="Times New Roman" w:hAnsi="Times New Roman" w:cs="Times New Roman"/>
          <w:lang w:val="sr-Latn-ME"/>
        </w:rPr>
        <w:t>.</w:t>
      </w:r>
    </w:p>
    <w:p w14:paraId="58CD915F" w14:textId="77777777" w:rsidR="002C181F" w:rsidRPr="007819CB" w:rsidRDefault="002C1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7B382DD" w14:textId="77777777" w:rsidR="00E21843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>Rizik od gastrointestinaln</w:t>
      </w:r>
      <w:r w:rsidR="00E9323B" w:rsidRPr="007819CB">
        <w:rPr>
          <w:rFonts w:ascii="Times New Roman" w:eastAsia="Times New Roman" w:hAnsi="Times New Roman" w:cs="Times New Roman"/>
          <w:lang w:val="sr-Latn-ME"/>
        </w:rPr>
        <w:t>ih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krvarenja,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ulceracij</w:t>
      </w:r>
      <w:r w:rsidR="00E9323B" w:rsidRPr="007819CB">
        <w:rPr>
          <w:rFonts w:ascii="Times New Roman" w:eastAsia="Times New Roman" w:hAnsi="Times New Roman" w:cs="Times New Roman"/>
          <w:lang w:val="sr-Latn-ME"/>
        </w:rPr>
        <w:t>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ili perforacij</w:t>
      </w:r>
      <w:r w:rsidR="00E9323B" w:rsidRPr="007819CB">
        <w:rPr>
          <w:rFonts w:ascii="Times New Roman" w:eastAsia="Times New Roman" w:hAnsi="Times New Roman" w:cs="Times New Roman"/>
          <w:lang w:val="sr-Latn-ME"/>
        </w:rPr>
        <w:t>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je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veći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E9323B" w:rsidRPr="007819CB">
        <w:rPr>
          <w:rFonts w:ascii="Times New Roman" w:eastAsia="Times New Roman" w:hAnsi="Times New Roman" w:cs="Times New Roman"/>
          <w:lang w:val="sr-Latn-ME"/>
        </w:rPr>
        <w:t>sa povećavanjem doze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NSAIL, kod pacijenata sa </w:t>
      </w:r>
      <w:proofErr w:type="spellStart"/>
      <w:r w:rsidR="00726272" w:rsidRPr="007819CB">
        <w:rPr>
          <w:rFonts w:ascii="Times New Roman" w:eastAsia="Times New Roman" w:hAnsi="Times New Roman" w:cs="Times New Roman"/>
          <w:lang w:val="sr-Latn-ME"/>
        </w:rPr>
        <w:t>ul</w:t>
      </w:r>
      <w:r w:rsidR="00524322" w:rsidRPr="007819CB">
        <w:rPr>
          <w:rFonts w:ascii="Times New Roman" w:eastAsia="Times New Roman" w:hAnsi="Times New Roman" w:cs="Times New Roman"/>
          <w:lang w:val="sr-Latn-ME"/>
        </w:rPr>
        <w:t>cera</w:t>
      </w:r>
      <w:proofErr w:type="spellEnd"/>
      <w:r w:rsidR="00726272" w:rsidRPr="007819CB">
        <w:rPr>
          <w:rFonts w:ascii="Times New Roman" w:eastAsia="Times New Roman" w:hAnsi="Times New Roman" w:cs="Times New Roman"/>
          <w:lang w:val="sr-Latn-ME"/>
        </w:rPr>
        <w:t xml:space="preserve"> u anamnezi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, posebno ako </w:t>
      </w:r>
      <w:r w:rsidR="00524322" w:rsidRPr="007819CB">
        <w:rPr>
          <w:rFonts w:ascii="Times New Roman" w:eastAsia="Times New Roman" w:hAnsi="Times New Roman" w:cs="Times New Roman"/>
          <w:lang w:val="sr-Latn-ME"/>
        </w:rPr>
        <w:t>su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524322" w:rsidRPr="007819CB">
        <w:rPr>
          <w:rFonts w:ascii="Times New Roman" w:eastAsia="Times New Roman" w:hAnsi="Times New Roman" w:cs="Times New Roman"/>
          <w:lang w:val="sr-Latn-ME"/>
        </w:rPr>
        <w:t>komplikovani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krvarenj</w:t>
      </w:r>
      <w:r w:rsidR="00524322" w:rsidRPr="007819CB">
        <w:rPr>
          <w:rFonts w:ascii="Times New Roman" w:eastAsia="Times New Roman" w:hAnsi="Times New Roman" w:cs="Times New Roman"/>
          <w:lang w:val="sr-Latn-ME"/>
        </w:rPr>
        <w:t>ima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ili perforacij</w:t>
      </w:r>
      <w:r w:rsidR="00524322" w:rsidRPr="007819CB">
        <w:rPr>
          <w:rFonts w:ascii="Times New Roman" w:eastAsia="Times New Roman" w:hAnsi="Times New Roman" w:cs="Times New Roman"/>
          <w:lang w:val="sr-Latn-ME"/>
        </w:rPr>
        <w:t>a</w:t>
      </w:r>
      <w:r w:rsidRPr="007819CB">
        <w:rPr>
          <w:rFonts w:ascii="Times New Roman" w:eastAsia="Times New Roman" w:hAnsi="Times New Roman" w:cs="Times New Roman"/>
          <w:lang w:val="sr-Latn-ME"/>
        </w:rPr>
        <w:t>m</w:t>
      </w:r>
      <w:r w:rsidR="00524322" w:rsidRPr="007819CB">
        <w:rPr>
          <w:rFonts w:ascii="Times New Roman" w:eastAsia="Times New Roman" w:hAnsi="Times New Roman" w:cs="Times New Roman"/>
          <w:lang w:val="sr-Latn-ME"/>
        </w:rPr>
        <w:t>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(</w:t>
      </w:r>
      <w:r w:rsidR="00433DE1" w:rsidRPr="007819CB">
        <w:rPr>
          <w:rFonts w:ascii="Times New Roman" w:eastAsia="Times New Roman" w:hAnsi="Times New Roman" w:cs="Times New Roman"/>
          <w:lang w:val="sr-Latn-ME"/>
        </w:rPr>
        <w:t>pogledati dio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4.3), i</w:t>
      </w:r>
      <w:r w:rsidR="00E21843" w:rsidRPr="007819CB">
        <w:rPr>
          <w:rFonts w:ascii="Times New Roman" w:eastAsia="Times New Roman" w:hAnsi="Times New Roman" w:cs="Times New Roman"/>
          <w:lang w:val="sr-Latn-ME"/>
        </w:rPr>
        <w:t xml:space="preserve"> pogotovo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kod starijih osoba.</w:t>
      </w:r>
    </w:p>
    <w:p w14:paraId="18AF9505" w14:textId="450EC07A" w:rsidR="00B77B98" w:rsidRPr="007819CB" w:rsidRDefault="00D32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>K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od starijih osoba </w:t>
      </w:r>
      <w:r w:rsidR="00E21843" w:rsidRPr="007819CB">
        <w:rPr>
          <w:rFonts w:ascii="Times New Roman" w:eastAsia="Times New Roman" w:hAnsi="Times New Roman" w:cs="Times New Roman"/>
          <w:lang w:val="sr-Latn-ME"/>
        </w:rPr>
        <w:t>je povećana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učestalost neželjenih </w:t>
      </w:r>
      <w:r w:rsidR="00E21843" w:rsidRPr="007819CB">
        <w:rPr>
          <w:rFonts w:ascii="Times New Roman" w:eastAsia="Times New Roman" w:hAnsi="Times New Roman" w:cs="Times New Roman"/>
          <w:lang w:val="sr-Latn-ME"/>
        </w:rPr>
        <w:t>reakcija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NSAIL posebno gastrointestinaln</w:t>
      </w:r>
      <w:r w:rsidR="00E21843" w:rsidRPr="007819CB">
        <w:rPr>
          <w:rFonts w:ascii="Times New Roman" w:eastAsia="Times New Roman" w:hAnsi="Times New Roman" w:cs="Times New Roman"/>
          <w:lang w:val="sr-Latn-ME"/>
        </w:rPr>
        <w:t>ih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krvarenja i perforacij</w:t>
      </w:r>
      <w:r w:rsidR="00E21843" w:rsidRPr="007819CB">
        <w:rPr>
          <w:rFonts w:ascii="Times New Roman" w:eastAsia="Times New Roman" w:hAnsi="Times New Roman" w:cs="Times New Roman"/>
          <w:lang w:val="sr-Latn-ME"/>
        </w:rPr>
        <w:t>a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koje mogu biti </w:t>
      </w:r>
      <w:r w:rsidR="00E21843" w:rsidRPr="007819CB">
        <w:rPr>
          <w:rFonts w:ascii="Times New Roman" w:eastAsia="Times New Roman" w:hAnsi="Times New Roman" w:cs="Times New Roman"/>
          <w:lang w:val="sr-Latn-ME"/>
        </w:rPr>
        <w:t>sa smrtnim ishodom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(</w:t>
      </w:r>
      <w:r w:rsidRPr="007819CB">
        <w:rPr>
          <w:rFonts w:ascii="Times New Roman" w:eastAsia="Times New Roman" w:hAnsi="Times New Roman" w:cs="Times New Roman"/>
          <w:lang w:val="sr-Latn-ME"/>
        </w:rPr>
        <w:t>pogledati dio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4.2). Ovi pacijenti treba da započnu terapiju sa naj</w:t>
      </w:r>
      <w:r w:rsidR="000270C8" w:rsidRPr="007819CB">
        <w:rPr>
          <w:rFonts w:ascii="Times New Roman" w:eastAsia="Times New Roman" w:hAnsi="Times New Roman" w:cs="Times New Roman"/>
          <w:lang w:val="sr-Latn-ME"/>
        </w:rPr>
        <w:t>manjom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B77B98" w:rsidRPr="007819CB">
        <w:rPr>
          <w:rFonts w:ascii="Times New Roman" w:eastAsia="Times New Roman" w:hAnsi="Times New Roman" w:cs="Times New Roman"/>
          <w:lang w:val="sr-Latn-ME"/>
        </w:rPr>
        <w:t>mogućom</w:t>
      </w:r>
      <w:proofErr w:type="spellEnd"/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dozom.</w:t>
      </w:r>
    </w:p>
    <w:p w14:paraId="425388D6" w14:textId="77777777" w:rsidR="00F70450" w:rsidRPr="007819CB" w:rsidRDefault="00F7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96B5398" w14:textId="77777777" w:rsidR="00F70450" w:rsidRPr="007819CB" w:rsidRDefault="00F704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>NSAIL bi trebalo davati sa velikom pažnjom pacijentima sa gastrointestinalnim oboljenjima u anamnezi (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ulcerozni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kolitis,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Chron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>-ova bolest) jer se njihovo stanje može pogoršati (pogledati dio 4.8).</w:t>
      </w:r>
    </w:p>
    <w:p w14:paraId="22F499EA" w14:textId="04B2C63A" w:rsidR="00B77B98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3B29BE2C" w14:textId="7B9B7601" w:rsidR="00490A7C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Kao i kod svih NSAIL, </w:t>
      </w:r>
      <w:r w:rsidR="000270C8" w:rsidRPr="007819CB">
        <w:rPr>
          <w:rFonts w:ascii="Times New Roman" w:eastAsia="Times New Roman" w:hAnsi="Times New Roman" w:cs="Times New Roman"/>
          <w:lang w:val="sr-Latn-ME"/>
        </w:rPr>
        <w:t xml:space="preserve">mora se pažljivo informisati o svakom </w:t>
      </w:r>
      <w:proofErr w:type="spellStart"/>
      <w:r w:rsidR="000270C8" w:rsidRPr="007819CB">
        <w:rPr>
          <w:rFonts w:ascii="Times New Roman" w:eastAsia="Times New Roman" w:hAnsi="Times New Roman" w:cs="Times New Roman"/>
          <w:lang w:val="sr-Latn-ME"/>
        </w:rPr>
        <w:t>anamnestičkom</w:t>
      </w:r>
      <w:proofErr w:type="spellEnd"/>
      <w:r w:rsidR="000270C8" w:rsidRPr="007819CB">
        <w:rPr>
          <w:rFonts w:ascii="Times New Roman" w:eastAsia="Times New Roman" w:hAnsi="Times New Roman" w:cs="Times New Roman"/>
          <w:lang w:val="sr-Latn-ME"/>
        </w:rPr>
        <w:t xml:space="preserve"> podatku o</w:t>
      </w:r>
      <w:r w:rsidR="00F46DAF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ezofagitis</w:t>
      </w:r>
      <w:r w:rsidR="000270C8" w:rsidRPr="007819CB">
        <w:rPr>
          <w:rFonts w:ascii="Times New Roman" w:eastAsia="Times New Roman" w:hAnsi="Times New Roman" w:cs="Times New Roman"/>
          <w:lang w:val="sr-Latn-ME"/>
        </w:rPr>
        <w:t>u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>, gastritis</w:t>
      </w:r>
      <w:r w:rsidR="000270C8" w:rsidRPr="007819CB">
        <w:rPr>
          <w:rFonts w:ascii="Times New Roman" w:eastAsia="Times New Roman" w:hAnsi="Times New Roman" w:cs="Times New Roman"/>
          <w:lang w:val="sr-Latn-ME"/>
        </w:rPr>
        <w:t>u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i/ili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peptič</w:t>
      </w:r>
      <w:r w:rsidR="000270C8" w:rsidRPr="007819CB">
        <w:rPr>
          <w:rFonts w:ascii="Times New Roman" w:eastAsia="Times New Roman" w:hAnsi="Times New Roman" w:cs="Times New Roman"/>
          <w:lang w:val="sr-Latn-ME"/>
        </w:rPr>
        <w:t>kom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ulkus</w:t>
      </w:r>
      <w:r w:rsidR="004558CE" w:rsidRPr="007819CB">
        <w:rPr>
          <w:rFonts w:ascii="Times New Roman" w:eastAsia="Times New Roman" w:hAnsi="Times New Roman" w:cs="Times New Roman"/>
          <w:lang w:val="sr-Latn-ME"/>
        </w:rPr>
        <w:t>u</w:t>
      </w:r>
      <w:proofErr w:type="spellEnd"/>
      <w:r w:rsidR="00F46DAF" w:rsidRPr="007819CB">
        <w:rPr>
          <w:rFonts w:ascii="Times New Roman" w:eastAsia="Times New Roman" w:hAnsi="Times New Roman" w:cs="Times New Roman"/>
          <w:lang w:val="sr-Latn-ME"/>
        </w:rPr>
        <w:t xml:space="preserve"> u </w:t>
      </w:r>
      <w:r w:rsidR="004558CE" w:rsidRPr="007819CB">
        <w:rPr>
          <w:rFonts w:ascii="Times New Roman" w:eastAsia="Times New Roman" w:hAnsi="Times New Roman" w:cs="Times New Roman"/>
          <w:lang w:val="sr-Latn-ME"/>
        </w:rPr>
        <w:t>cilju potvrde njihovog potpunog izl</w:t>
      </w:r>
      <w:r w:rsidR="00787D8D" w:rsidRPr="007819CB">
        <w:rPr>
          <w:rFonts w:ascii="Times New Roman" w:eastAsia="Times New Roman" w:hAnsi="Times New Roman" w:cs="Times New Roman"/>
          <w:lang w:val="sr-Latn-ME"/>
        </w:rPr>
        <w:t>i</w:t>
      </w:r>
      <w:r w:rsidR="004558CE" w:rsidRPr="007819CB">
        <w:rPr>
          <w:rFonts w:ascii="Times New Roman" w:eastAsia="Times New Roman" w:hAnsi="Times New Roman" w:cs="Times New Roman"/>
          <w:lang w:val="sr-Latn-ME"/>
        </w:rPr>
        <w:t>je</w:t>
      </w:r>
      <w:r w:rsidR="00787D8D" w:rsidRPr="007819CB">
        <w:rPr>
          <w:rFonts w:ascii="Times New Roman" w:eastAsia="Times New Roman" w:hAnsi="Times New Roman" w:cs="Times New Roman"/>
          <w:lang w:val="sr-Latn-ME"/>
        </w:rPr>
        <w:t>č</w:t>
      </w:r>
      <w:r w:rsidR="004558CE" w:rsidRPr="007819CB">
        <w:rPr>
          <w:rFonts w:ascii="Times New Roman" w:eastAsia="Times New Roman" w:hAnsi="Times New Roman" w:cs="Times New Roman"/>
          <w:lang w:val="sr-Latn-ME"/>
        </w:rPr>
        <w:t>enja</w:t>
      </w:r>
      <w:r w:rsidR="00392C8E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7819CB">
        <w:rPr>
          <w:rFonts w:ascii="Times New Roman" w:eastAsia="Times New Roman" w:hAnsi="Times New Roman" w:cs="Times New Roman"/>
          <w:lang w:val="sr-Latn-ME"/>
        </w:rPr>
        <w:t>pr</w:t>
      </w:r>
      <w:r w:rsidR="00681856" w:rsidRPr="007819CB">
        <w:rPr>
          <w:rFonts w:ascii="Times New Roman" w:eastAsia="Times New Roman" w:hAnsi="Times New Roman" w:cs="Times New Roman"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e </w:t>
      </w:r>
      <w:r w:rsidR="00392C8E" w:rsidRPr="007819CB">
        <w:rPr>
          <w:rFonts w:ascii="Times New Roman" w:eastAsia="Times New Roman" w:hAnsi="Times New Roman" w:cs="Times New Roman"/>
          <w:lang w:val="sr-Latn-ME"/>
        </w:rPr>
        <w:t>za</w:t>
      </w:r>
      <w:r w:rsidRPr="007819CB">
        <w:rPr>
          <w:rFonts w:ascii="Times New Roman" w:eastAsia="Times New Roman" w:hAnsi="Times New Roman" w:cs="Times New Roman"/>
          <w:lang w:val="sr-Latn-ME"/>
        </w:rPr>
        <w:t>poč</w:t>
      </w:r>
      <w:r w:rsidR="00392C8E" w:rsidRPr="007819CB">
        <w:rPr>
          <w:rFonts w:ascii="Times New Roman" w:eastAsia="Times New Roman" w:hAnsi="Times New Roman" w:cs="Times New Roman"/>
          <w:lang w:val="sr-Latn-ME"/>
        </w:rPr>
        <w:t>injanja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l</w:t>
      </w:r>
      <w:r w:rsidR="00681856" w:rsidRPr="007819CB">
        <w:rPr>
          <w:rFonts w:ascii="Times New Roman" w:eastAsia="Times New Roman" w:hAnsi="Times New Roman" w:cs="Times New Roman"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ečenja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deksketoprofen</w:t>
      </w:r>
      <w:proofErr w:type="spellEnd"/>
      <w:r w:rsidR="00F70450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F70450" w:rsidRPr="007819CB">
        <w:rPr>
          <w:rFonts w:ascii="Times New Roman" w:eastAsia="Times New Roman" w:hAnsi="Times New Roman" w:cs="Times New Roman"/>
          <w:lang w:val="sr-Latn-ME"/>
        </w:rPr>
        <w:t>trometamolom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. </w:t>
      </w:r>
      <w:r w:rsidR="005D24AA" w:rsidRPr="007819CB">
        <w:rPr>
          <w:rFonts w:ascii="Times New Roman" w:eastAsia="Times New Roman" w:hAnsi="Times New Roman" w:cs="Times New Roman"/>
          <w:lang w:val="sr-Latn-ME"/>
        </w:rPr>
        <w:t>Kod p</w:t>
      </w:r>
      <w:r w:rsidRPr="007819CB">
        <w:rPr>
          <w:rFonts w:ascii="Times New Roman" w:eastAsia="Times New Roman" w:hAnsi="Times New Roman" w:cs="Times New Roman"/>
          <w:lang w:val="sr-Latn-ME"/>
        </w:rPr>
        <w:t>acijen</w:t>
      </w:r>
      <w:r w:rsidR="005D24AA" w:rsidRPr="007819CB">
        <w:rPr>
          <w:rFonts w:ascii="Times New Roman" w:eastAsia="Times New Roman" w:hAnsi="Times New Roman" w:cs="Times New Roman"/>
          <w:lang w:val="sr-Latn-ME"/>
        </w:rPr>
        <w:t>a</w:t>
      </w:r>
      <w:r w:rsidRPr="007819CB">
        <w:rPr>
          <w:rFonts w:ascii="Times New Roman" w:eastAsia="Times New Roman" w:hAnsi="Times New Roman" w:cs="Times New Roman"/>
          <w:lang w:val="sr-Latn-ME"/>
        </w:rPr>
        <w:t>t</w:t>
      </w:r>
      <w:r w:rsidR="005D24AA" w:rsidRPr="007819CB">
        <w:rPr>
          <w:rFonts w:ascii="Times New Roman" w:eastAsia="Times New Roman" w:hAnsi="Times New Roman" w:cs="Times New Roman"/>
          <w:lang w:val="sr-Latn-ME"/>
        </w:rPr>
        <w:t>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sa gastrointestinalnim simptomima ili gastrointestinalni</w:t>
      </w:r>
      <w:r w:rsidR="005D24AA" w:rsidRPr="007819CB">
        <w:rPr>
          <w:rFonts w:ascii="Times New Roman" w:eastAsia="Times New Roman" w:hAnsi="Times New Roman" w:cs="Times New Roman"/>
          <w:lang w:val="sr-Latn-ME"/>
        </w:rPr>
        <w:t>m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5D24AA" w:rsidRPr="007819CB">
        <w:rPr>
          <w:rFonts w:ascii="Times New Roman" w:eastAsia="Times New Roman" w:hAnsi="Times New Roman" w:cs="Times New Roman"/>
          <w:lang w:val="sr-Latn-ME"/>
        </w:rPr>
        <w:t>oboljenjem u anamnezi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treba </w:t>
      </w:r>
      <w:r w:rsidR="00E90073" w:rsidRPr="007819CB">
        <w:rPr>
          <w:rFonts w:ascii="Times New Roman" w:eastAsia="Times New Roman" w:hAnsi="Times New Roman" w:cs="Times New Roman"/>
          <w:lang w:val="sr-Latn-ME"/>
        </w:rPr>
        <w:t xml:space="preserve">pažljivo 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pratiti </w:t>
      </w:r>
      <w:r w:rsidR="00E90073" w:rsidRPr="007819CB">
        <w:rPr>
          <w:rFonts w:ascii="Times New Roman" w:eastAsia="Times New Roman" w:hAnsi="Times New Roman" w:cs="Times New Roman"/>
          <w:lang w:val="sr-Latn-ME"/>
        </w:rPr>
        <w:t>pojavu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gastrointestinalnih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poremećaja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>, posebno gastrointestinalnog krvarenja.</w:t>
      </w:r>
    </w:p>
    <w:p w14:paraId="792B3969" w14:textId="1FF70D37" w:rsidR="00207B47" w:rsidRPr="007819CB" w:rsidRDefault="00122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Kombinovanu </w:t>
      </w:r>
      <w:r w:rsidR="00F70450" w:rsidRPr="007819CB">
        <w:rPr>
          <w:rFonts w:ascii="Times New Roman" w:eastAsia="Times New Roman" w:hAnsi="Times New Roman" w:cs="Times New Roman"/>
          <w:lang w:val="sr-Latn-ME"/>
        </w:rPr>
        <w:t>terapiju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sa </w:t>
      </w:r>
      <w:proofErr w:type="spellStart"/>
      <w:r w:rsidR="003841E4" w:rsidRPr="007819CB">
        <w:rPr>
          <w:rFonts w:ascii="Times New Roman" w:eastAsia="Times New Roman" w:hAnsi="Times New Roman" w:cs="Times New Roman"/>
          <w:lang w:val="sr-Latn-ME"/>
        </w:rPr>
        <w:t>protektivnim</w:t>
      </w:r>
      <w:proofErr w:type="spellEnd"/>
      <w:r w:rsidR="003841E4" w:rsidRPr="007819CB">
        <w:rPr>
          <w:rFonts w:ascii="Times New Roman" w:eastAsia="Times New Roman" w:hAnsi="Times New Roman" w:cs="Times New Roman"/>
          <w:lang w:val="sr-Latn-ME"/>
        </w:rPr>
        <w:t xml:space="preserve"> ljekovima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(npr.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misoprostol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ili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inhibitori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protonske pumpe)</w:t>
      </w:r>
      <w:r w:rsidR="003841E4" w:rsidRPr="007819CB">
        <w:rPr>
          <w:rFonts w:ascii="Times New Roman" w:eastAsia="Times New Roman" w:hAnsi="Times New Roman" w:cs="Times New Roman"/>
          <w:lang w:val="sr-Latn-ME"/>
        </w:rPr>
        <w:t xml:space="preserve"> bi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treba</w:t>
      </w:r>
      <w:r w:rsidR="003841E4" w:rsidRPr="007819CB">
        <w:rPr>
          <w:rFonts w:ascii="Times New Roman" w:eastAsia="Times New Roman" w:hAnsi="Times New Roman" w:cs="Times New Roman"/>
          <w:lang w:val="sr-Latn-ME"/>
        </w:rPr>
        <w:t>lo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razmotriti za ov</w:t>
      </w:r>
      <w:r w:rsidR="003841E4" w:rsidRPr="007819CB">
        <w:rPr>
          <w:rFonts w:ascii="Times New Roman" w:eastAsia="Times New Roman" w:hAnsi="Times New Roman" w:cs="Times New Roman"/>
          <w:lang w:val="sr-Latn-ME"/>
        </w:rPr>
        <w:t>u grupu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pacijen</w:t>
      </w:r>
      <w:r w:rsidR="003841E4" w:rsidRPr="007819CB">
        <w:rPr>
          <w:rFonts w:ascii="Times New Roman" w:eastAsia="Times New Roman" w:hAnsi="Times New Roman" w:cs="Times New Roman"/>
          <w:lang w:val="sr-Latn-ME"/>
        </w:rPr>
        <w:t>a</w:t>
      </w:r>
      <w:r w:rsidRPr="007819CB">
        <w:rPr>
          <w:rFonts w:ascii="Times New Roman" w:eastAsia="Times New Roman" w:hAnsi="Times New Roman" w:cs="Times New Roman"/>
          <w:lang w:val="sr-Latn-ME"/>
        </w:rPr>
        <w:t>t</w:t>
      </w:r>
      <w:r w:rsidR="003841E4" w:rsidRPr="007819CB">
        <w:rPr>
          <w:rFonts w:ascii="Times New Roman" w:eastAsia="Times New Roman" w:hAnsi="Times New Roman" w:cs="Times New Roman"/>
          <w:lang w:val="sr-Latn-ME"/>
        </w:rPr>
        <w:t>a</w:t>
      </w:r>
      <w:r w:rsidRPr="007819CB">
        <w:rPr>
          <w:rFonts w:ascii="Times New Roman" w:eastAsia="Times New Roman" w:hAnsi="Times New Roman" w:cs="Times New Roman"/>
          <w:lang w:val="sr-Latn-ME"/>
        </w:rPr>
        <w:t>, i</w:t>
      </w:r>
      <w:r w:rsidR="003841E4" w:rsidRPr="007819CB">
        <w:rPr>
          <w:rFonts w:ascii="Times New Roman" w:eastAsia="Times New Roman" w:hAnsi="Times New Roman" w:cs="Times New Roman"/>
          <w:lang w:val="sr-Latn-ME"/>
        </w:rPr>
        <w:t xml:space="preserve"> takođe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za pacijente koji </w:t>
      </w:r>
      <w:r w:rsidR="00C65E49" w:rsidRPr="007819CB">
        <w:rPr>
          <w:rFonts w:ascii="Times New Roman" w:eastAsia="Times New Roman" w:hAnsi="Times New Roman" w:cs="Times New Roman"/>
          <w:lang w:val="sr-Latn-ME"/>
        </w:rPr>
        <w:t xml:space="preserve"> koriste </w:t>
      </w:r>
      <w:r w:rsidRPr="007819CB">
        <w:rPr>
          <w:rFonts w:ascii="Times New Roman" w:eastAsia="Times New Roman" w:hAnsi="Times New Roman" w:cs="Times New Roman"/>
          <w:lang w:val="sr-Latn-ME"/>
        </w:rPr>
        <w:t>nisk</w:t>
      </w:r>
      <w:r w:rsidR="00C65E49" w:rsidRPr="007819CB">
        <w:rPr>
          <w:rFonts w:ascii="Times New Roman" w:eastAsia="Times New Roman" w:hAnsi="Times New Roman" w:cs="Times New Roman"/>
          <w:lang w:val="sr-Latn-ME"/>
        </w:rPr>
        <w:t>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doz</w:t>
      </w:r>
      <w:r w:rsidR="00C65E49" w:rsidRPr="007819CB">
        <w:rPr>
          <w:rFonts w:ascii="Times New Roman" w:eastAsia="Times New Roman" w:hAnsi="Times New Roman" w:cs="Times New Roman"/>
          <w:lang w:val="sr-Latn-ME"/>
        </w:rPr>
        <w:t>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acetilsalicilne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kiseline ili drugih l</w:t>
      </w:r>
      <w:r w:rsidR="00A44B93" w:rsidRPr="007819CB">
        <w:rPr>
          <w:rFonts w:ascii="Times New Roman" w:eastAsia="Times New Roman" w:hAnsi="Times New Roman" w:cs="Times New Roman"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ekova koji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poveća</w:t>
      </w:r>
      <w:r w:rsidR="00207B47" w:rsidRPr="007819CB">
        <w:rPr>
          <w:rFonts w:ascii="Times New Roman" w:eastAsia="Times New Roman" w:hAnsi="Times New Roman" w:cs="Times New Roman"/>
          <w:lang w:val="sr-Latn-ME"/>
        </w:rPr>
        <w:t>vaju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gastrointestinalni rizik (</w:t>
      </w:r>
      <w:r w:rsidR="00A44B93" w:rsidRPr="007819CB">
        <w:rPr>
          <w:rFonts w:ascii="Times New Roman" w:eastAsia="Times New Roman" w:hAnsi="Times New Roman" w:cs="Times New Roman"/>
          <w:lang w:val="sr-Latn-ME"/>
        </w:rPr>
        <w:t xml:space="preserve">pogledati </w:t>
      </w:r>
      <w:r w:rsidR="00207B47" w:rsidRPr="007819CB">
        <w:rPr>
          <w:rFonts w:ascii="Times New Roman" w:eastAsia="Times New Roman" w:hAnsi="Times New Roman" w:cs="Times New Roman"/>
          <w:lang w:val="sr-Latn-ME"/>
        </w:rPr>
        <w:t>tekst u nastavku</w:t>
      </w:r>
      <w:r w:rsidR="00A44B93" w:rsidRPr="007819CB">
        <w:rPr>
          <w:rFonts w:ascii="Times New Roman" w:eastAsia="Times New Roman" w:hAnsi="Times New Roman" w:cs="Times New Roman"/>
          <w:lang w:val="sr-Latn-ME"/>
        </w:rPr>
        <w:t xml:space="preserve"> i dio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4.5).</w:t>
      </w:r>
    </w:p>
    <w:p w14:paraId="79215D61" w14:textId="40DDF2FA" w:rsidR="006402DF" w:rsidRPr="007819CB" w:rsidRDefault="00640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>Pacijent</w:t>
      </w:r>
      <w:r w:rsidR="00207B47" w:rsidRPr="007819CB">
        <w:rPr>
          <w:rFonts w:ascii="Times New Roman" w:eastAsia="Times New Roman" w:hAnsi="Times New Roman" w:cs="Times New Roman"/>
          <w:lang w:val="sr-Latn-ME"/>
        </w:rPr>
        <w:t>i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sa </w:t>
      </w:r>
      <w:r w:rsidR="00F70450" w:rsidRPr="007819CB">
        <w:rPr>
          <w:rFonts w:ascii="Times New Roman" w:eastAsia="Times New Roman" w:hAnsi="Times New Roman" w:cs="Times New Roman"/>
          <w:lang w:val="sr-Latn-ME"/>
        </w:rPr>
        <w:t xml:space="preserve">podacima o </w:t>
      </w:r>
      <w:r w:rsidRPr="007819CB">
        <w:rPr>
          <w:rFonts w:ascii="Times New Roman" w:eastAsia="Times New Roman" w:hAnsi="Times New Roman" w:cs="Times New Roman"/>
          <w:lang w:val="sr-Latn-ME"/>
        </w:rPr>
        <w:t>gastrointestinaln</w:t>
      </w:r>
      <w:r w:rsidR="00F70450" w:rsidRPr="007819CB">
        <w:rPr>
          <w:rFonts w:ascii="Times New Roman" w:eastAsia="Times New Roman" w:hAnsi="Times New Roman" w:cs="Times New Roman"/>
          <w:lang w:val="sr-Latn-ME"/>
        </w:rPr>
        <w:t>oj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F70450" w:rsidRPr="007819CB">
        <w:rPr>
          <w:rFonts w:ascii="Times New Roman" w:eastAsia="Times New Roman" w:hAnsi="Times New Roman" w:cs="Times New Roman"/>
          <w:lang w:val="sr-Latn-ME"/>
        </w:rPr>
        <w:t>toksičnosti</w:t>
      </w:r>
      <w:r w:rsidR="00207B47" w:rsidRPr="007819CB">
        <w:rPr>
          <w:rFonts w:ascii="Times New Roman" w:eastAsia="Times New Roman" w:hAnsi="Times New Roman" w:cs="Times New Roman"/>
          <w:lang w:val="sr-Latn-ME"/>
        </w:rPr>
        <w:t xml:space="preserve"> u anamnezi</w:t>
      </w:r>
      <w:r w:rsidRPr="007819CB">
        <w:rPr>
          <w:rFonts w:ascii="Times New Roman" w:eastAsia="Times New Roman" w:hAnsi="Times New Roman" w:cs="Times New Roman"/>
          <w:lang w:val="sr-Latn-ME"/>
        </w:rPr>
        <w:t>, posebno starij</w:t>
      </w:r>
      <w:r w:rsidR="00207B47" w:rsidRPr="007819CB">
        <w:rPr>
          <w:rFonts w:ascii="Times New Roman" w:eastAsia="Times New Roman" w:hAnsi="Times New Roman" w:cs="Times New Roman"/>
          <w:lang w:val="sr-Latn-ME"/>
        </w:rPr>
        <w:t>i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, </w:t>
      </w:r>
      <w:r w:rsidR="001F7AAF" w:rsidRPr="007819CB">
        <w:rPr>
          <w:rFonts w:ascii="Times New Roman" w:eastAsia="Times New Roman" w:hAnsi="Times New Roman" w:cs="Times New Roman"/>
          <w:lang w:val="sr-Latn-ME"/>
        </w:rPr>
        <w:t>moraju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da prijave </w:t>
      </w:r>
      <w:r w:rsidR="001F7AAF" w:rsidRPr="007819CB">
        <w:rPr>
          <w:rFonts w:ascii="Times New Roman" w:eastAsia="Times New Roman" w:hAnsi="Times New Roman" w:cs="Times New Roman"/>
          <w:lang w:val="sr-Latn-ME"/>
        </w:rPr>
        <w:t>bilo koje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ne</w:t>
      </w:r>
      <w:r w:rsidR="001F7AAF" w:rsidRPr="007819CB">
        <w:rPr>
          <w:rFonts w:ascii="Times New Roman" w:eastAsia="Times New Roman" w:hAnsi="Times New Roman" w:cs="Times New Roman"/>
          <w:lang w:val="sr-Latn-ME"/>
        </w:rPr>
        <w:t>uobičajene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abdominalne simptome (</w:t>
      </w:r>
      <w:r w:rsidR="001F7AAF" w:rsidRPr="007819CB">
        <w:rPr>
          <w:rFonts w:ascii="Times New Roman" w:eastAsia="Times New Roman" w:hAnsi="Times New Roman" w:cs="Times New Roman"/>
          <w:lang w:val="sr-Latn-ME"/>
        </w:rPr>
        <w:t>posebno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gastrointestinaln</w:t>
      </w:r>
      <w:r w:rsidR="001F7AAF" w:rsidRPr="007819CB">
        <w:rPr>
          <w:rFonts w:ascii="Times New Roman" w:eastAsia="Times New Roman" w:hAnsi="Times New Roman" w:cs="Times New Roman"/>
          <w:lang w:val="sr-Latn-ME"/>
        </w:rPr>
        <w:t>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krvarenj</w:t>
      </w:r>
      <w:r w:rsidR="001F7AAF" w:rsidRPr="007819CB">
        <w:rPr>
          <w:rFonts w:ascii="Times New Roman" w:eastAsia="Times New Roman" w:hAnsi="Times New Roman" w:cs="Times New Roman"/>
          <w:lang w:val="sr-Latn-ME"/>
        </w:rPr>
        <w:t>a</w:t>
      </w:r>
      <w:r w:rsidRPr="007819CB">
        <w:rPr>
          <w:rFonts w:ascii="Times New Roman" w:eastAsia="Times New Roman" w:hAnsi="Times New Roman" w:cs="Times New Roman"/>
          <w:lang w:val="sr-Latn-ME"/>
        </w:rPr>
        <w:t>), po</w:t>
      </w:r>
      <w:r w:rsidR="001F7AAF" w:rsidRPr="007819CB">
        <w:rPr>
          <w:rFonts w:ascii="Times New Roman" w:eastAsia="Times New Roman" w:hAnsi="Times New Roman" w:cs="Times New Roman"/>
          <w:lang w:val="sr-Latn-ME"/>
        </w:rPr>
        <w:t>g</w:t>
      </w:r>
      <w:r w:rsidR="00A43B02" w:rsidRPr="007819CB">
        <w:rPr>
          <w:rFonts w:ascii="Times New Roman" w:eastAsia="Times New Roman" w:hAnsi="Times New Roman" w:cs="Times New Roman"/>
          <w:lang w:val="sr-Latn-ME"/>
        </w:rPr>
        <w:t>otovo na početku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liječenja.</w:t>
      </w:r>
    </w:p>
    <w:p w14:paraId="10083C57" w14:textId="77777777" w:rsidR="006402DF" w:rsidRPr="007819CB" w:rsidRDefault="00640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2093D573" w14:textId="4C3FF6CF" w:rsidR="00F21823" w:rsidRPr="007819CB" w:rsidRDefault="007B1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>Posebna pažnja</w:t>
      </w:r>
      <w:r w:rsidR="006402DF" w:rsidRPr="007819CB">
        <w:rPr>
          <w:rFonts w:ascii="Times New Roman" w:eastAsia="Times New Roman" w:hAnsi="Times New Roman" w:cs="Times New Roman"/>
          <w:lang w:val="sr-Latn-ME"/>
        </w:rPr>
        <w:t xml:space="preserve"> se savjetuje kod pacijenata koji istovremeno </w:t>
      </w:r>
      <w:r w:rsidR="00E22637" w:rsidRPr="007819CB">
        <w:rPr>
          <w:rFonts w:ascii="Times New Roman" w:eastAsia="Times New Roman" w:hAnsi="Times New Roman" w:cs="Times New Roman"/>
          <w:lang w:val="sr-Latn-ME"/>
        </w:rPr>
        <w:t>koriste</w:t>
      </w:r>
      <w:r w:rsidR="006402DF" w:rsidRPr="007819CB">
        <w:rPr>
          <w:rFonts w:ascii="Times New Roman" w:eastAsia="Times New Roman" w:hAnsi="Times New Roman" w:cs="Times New Roman"/>
          <w:lang w:val="sr-Latn-ME"/>
        </w:rPr>
        <w:t xml:space="preserve"> ljekove koji </w:t>
      </w:r>
      <w:proofErr w:type="spellStart"/>
      <w:r w:rsidR="006402DF" w:rsidRPr="007819CB">
        <w:rPr>
          <w:rFonts w:ascii="Times New Roman" w:eastAsia="Times New Roman" w:hAnsi="Times New Roman" w:cs="Times New Roman"/>
          <w:lang w:val="sr-Latn-ME"/>
        </w:rPr>
        <w:t>poveća</w:t>
      </w:r>
      <w:r w:rsidR="00E22637" w:rsidRPr="007819CB">
        <w:rPr>
          <w:rFonts w:ascii="Times New Roman" w:eastAsia="Times New Roman" w:hAnsi="Times New Roman" w:cs="Times New Roman"/>
          <w:lang w:val="sr-Latn-ME"/>
        </w:rPr>
        <w:t>vaju</w:t>
      </w:r>
      <w:proofErr w:type="spellEnd"/>
      <w:r w:rsidR="006402DF" w:rsidRPr="007819CB">
        <w:rPr>
          <w:rFonts w:ascii="Times New Roman" w:eastAsia="Times New Roman" w:hAnsi="Times New Roman" w:cs="Times New Roman"/>
          <w:lang w:val="sr-Latn-ME"/>
        </w:rPr>
        <w:t xml:space="preserve"> rizik od </w:t>
      </w:r>
      <w:proofErr w:type="spellStart"/>
      <w:r w:rsidR="006402DF" w:rsidRPr="007819CB">
        <w:rPr>
          <w:rFonts w:ascii="Times New Roman" w:eastAsia="Times New Roman" w:hAnsi="Times New Roman" w:cs="Times New Roman"/>
          <w:lang w:val="sr-Latn-ME"/>
        </w:rPr>
        <w:t>ulceracij</w:t>
      </w:r>
      <w:r w:rsidR="00E22637" w:rsidRPr="007819CB">
        <w:rPr>
          <w:rFonts w:ascii="Times New Roman" w:eastAsia="Times New Roman" w:hAnsi="Times New Roman" w:cs="Times New Roman"/>
          <w:lang w:val="sr-Latn-ME"/>
        </w:rPr>
        <w:t>a</w:t>
      </w:r>
      <w:proofErr w:type="spellEnd"/>
      <w:r w:rsidR="006402DF" w:rsidRPr="007819CB">
        <w:rPr>
          <w:rFonts w:ascii="Times New Roman" w:eastAsia="Times New Roman" w:hAnsi="Times New Roman" w:cs="Times New Roman"/>
          <w:lang w:val="sr-Latn-ME"/>
        </w:rPr>
        <w:t xml:space="preserve"> ili krvarenja, kao što su oralni </w:t>
      </w:r>
      <w:proofErr w:type="spellStart"/>
      <w:r w:rsidR="006402DF" w:rsidRPr="007819CB">
        <w:rPr>
          <w:rFonts w:ascii="Times New Roman" w:eastAsia="Times New Roman" w:hAnsi="Times New Roman" w:cs="Times New Roman"/>
          <w:lang w:val="sr-Latn-ME"/>
        </w:rPr>
        <w:t>kortikosteroidi</w:t>
      </w:r>
      <w:proofErr w:type="spellEnd"/>
      <w:r w:rsidR="006402DF" w:rsidRPr="007819CB">
        <w:rPr>
          <w:rFonts w:ascii="Times New Roman" w:eastAsia="Times New Roman" w:hAnsi="Times New Roman" w:cs="Times New Roman"/>
          <w:lang w:val="sr-Latn-ME"/>
        </w:rPr>
        <w:t xml:space="preserve">, </w:t>
      </w:r>
      <w:proofErr w:type="spellStart"/>
      <w:r w:rsidR="006402DF" w:rsidRPr="007819CB">
        <w:rPr>
          <w:rFonts w:ascii="Times New Roman" w:eastAsia="Times New Roman" w:hAnsi="Times New Roman" w:cs="Times New Roman"/>
          <w:lang w:val="sr-Latn-ME"/>
        </w:rPr>
        <w:t>antikoagulansi</w:t>
      </w:r>
      <w:proofErr w:type="spellEnd"/>
      <w:r w:rsidR="006402DF" w:rsidRPr="007819CB">
        <w:rPr>
          <w:rFonts w:ascii="Times New Roman" w:eastAsia="Times New Roman" w:hAnsi="Times New Roman" w:cs="Times New Roman"/>
          <w:lang w:val="sr-Latn-ME"/>
        </w:rPr>
        <w:t xml:space="preserve"> kao što </w:t>
      </w:r>
      <w:r w:rsidR="00170F39" w:rsidRPr="007819CB">
        <w:rPr>
          <w:rFonts w:ascii="Times New Roman" w:eastAsia="Times New Roman" w:hAnsi="Times New Roman" w:cs="Times New Roman"/>
          <w:lang w:val="sr-Latn-ME"/>
        </w:rPr>
        <w:t>je</w:t>
      </w:r>
      <w:r w:rsidR="006402DF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6402DF" w:rsidRPr="007819CB">
        <w:rPr>
          <w:rFonts w:ascii="Times New Roman" w:eastAsia="Times New Roman" w:hAnsi="Times New Roman" w:cs="Times New Roman"/>
          <w:lang w:val="sr-Latn-ME"/>
        </w:rPr>
        <w:t>varfarin</w:t>
      </w:r>
      <w:proofErr w:type="spellEnd"/>
      <w:r w:rsidR="006402DF" w:rsidRPr="007819CB">
        <w:rPr>
          <w:rFonts w:ascii="Times New Roman" w:eastAsia="Times New Roman" w:hAnsi="Times New Roman" w:cs="Times New Roman"/>
          <w:lang w:val="sr-Latn-ME"/>
        </w:rPr>
        <w:t xml:space="preserve">, selektivni </w:t>
      </w:r>
      <w:proofErr w:type="spellStart"/>
      <w:r w:rsidR="006402DF" w:rsidRPr="007819CB">
        <w:rPr>
          <w:rFonts w:ascii="Times New Roman" w:eastAsia="Times New Roman" w:hAnsi="Times New Roman" w:cs="Times New Roman"/>
          <w:lang w:val="sr-Latn-ME"/>
        </w:rPr>
        <w:t>inhibitori</w:t>
      </w:r>
      <w:proofErr w:type="spellEnd"/>
      <w:r w:rsidR="006402DF" w:rsidRPr="007819CB">
        <w:rPr>
          <w:rFonts w:ascii="Times New Roman" w:eastAsia="Times New Roman" w:hAnsi="Times New Roman" w:cs="Times New Roman"/>
          <w:lang w:val="sr-Latn-ME"/>
        </w:rPr>
        <w:t xml:space="preserve"> ponovnog preuzimanja </w:t>
      </w:r>
      <w:proofErr w:type="spellStart"/>
      <w:r w:rsidR="006402DF" w:rsidRPr="007819CB">
        <w:rPr>
          <w:rFonts w:ascii="Times New Roman" w:eastAsia="Times New Roman" w:hAnsi="Times New Roman" w:cs="Times New Roman"/>
          <w:lang w:val="sr-Latn-ME"/>
        </w:rPr>
        <w:t>serotonina</w:t>
      </w:r>
      <w:proofErr w:type="spellEnd"/>
      <w:r w:rsidR="006402DF" w:rsidRPr="007819CB">
        <w:rPr>
          <w:rFonts w:ascii="Times New Roman" w:eastAsia="Times New Roman" w:hAnsi="Times New Roman" w:cs="Times New Roman"/>
          <w:lang w:val="sr-Latn-ME"/>
        </w:rPr>
        <w:t xml:space="preserve"> ili </w:t>
      </w:r>
      <w:proofErr w:type="spellStart"/>
      <w:r w:rsidR="006402DF" w:rsidRPr="007819CB">
        <w:rPr>
          <w:rFonts w:ascii="Times New Roman" w:eastAsia="Times New Roman" w:hAnsi="Times New Roman" w:cs="Times New Roman"/>
          <w:lang w:val="sr-Latn-ME"/>
        </w:rPr>
        <w:t>antitrombocitni</w:t>
      </w:r>
      <w:proofErr w:type="spellEnd"/>
      <w:r w:rsidR="006402DF" w:rsidRPr="007819CB">
        <w:rPr>
          <w:rFonts w:ascii="Times New Roman" w:eastAsia="Times New Roman" w:hAnsi="Times New Roman" w:cs="Times New Roman"/>
          <w:lang w:val="sr-Latn-ME"/>
        </w:rPr>
        <w:t xml:space="preserve"> ljekovi </w:t>
      </w:r>
      <w:r w:rsidR="00F70450" w:rsidRPr="007819CB">
        <w:rPr>
          <w:rFonts w:ascii="Times New Roman" w:eastAsia="Times New Roman" w:hAnsi="Times New Roman" w:cs="Times New Roman"/>
          <w:lang w:val="sr-Latn-ME"/>
        </w:rPr>
        <w:t>(kao što je aspirin)</w:t>
      </w:r>
      <w:r w:rsidR="006402DF" w:rsidRPr="007819CB">
        <w:rPr>
          <w:rFonts w:ascii="Times New Roman" w:eastAsia="Times New Roman" w:hAnsi="Times New Roman" w:cs="Times New Roman"/>
          <w:lang w:val="sr-Latn-ME"/>
        </w:rPr>
        <w:t xml:space="preserve"> (pogledati dio 4.5).</w:t>
      </w:r>
    </w:p>
    <w:p w14:paraId="745921BA" w14:textId="77777777" w:rsidR="006402DF" w:rsidRPr="007819CB" w:rsidRDefault="00640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C9F29A0" w14:textId="1FCA1AD1" w:rsidR="00B77B98" w:rsidRPr="007819CB" w:rsidRDefault="005F5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proofErr w:type="spellStart"/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>Renalna</w:t>
      </w:r>
      <w:proofErr w:type="spellEnd"/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 b</w:t>
      </w:r>
      <w:r w:rsidR="00B77B98" w:rsidRPr="007819CB">
        <w:rPr>
          <w:rFonts w:ascii="Times New Roman" w:eastAsia="Times New Roman" w:hAnsi="Times New Roman" w:cs="Times New Roman"/>
          <w:b/>
          <w:bCs/>
          <w:lang w:val="sr-Latn-ME"/>
        </w:rPr>
        <w:t>ezb</w:t>
      </w:r>
      <w:r w:rsidR="006402DF" w:rsidRPr="007819CB">
        <w:rPr>
          <w:rFonts w:ascii="Times New Roman" w:eastAsia="Times New Roman" w:hAnsi="Times New Roman" w:cs="Times New Roman"/>
          <w:b/>
          <w:bCs/>
          <w:lang w:val="sr-Latn-ME"/>
        </w:rPr>
        <w:t>j</w:t>
      </w:r>
      <w:r w:rsidR="00B77B98" w:rsidRPr="007819CB">
        <w:rPr>
          <w:rFonts w:ascii="Times New Roman" w:eastAsia="Times New Roman" w:hAnsi="Times New Roman" w:cs="Times New Roman"/>
          <w:b/>
          <w:bCs/>
          <w:lang w:val="sr-Latn-ME"/>
        </w:rPr>
        <w:t>ednost</w:t>
      </w:r>
    </w:p>
    <w:p w14:paraId="5970A72B" w14:textId="2F23E547" w:rsidR="00DF353F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Potreban je oprez kod pacijenata sa </w:t>
      </w:r>
      <w:r w:rsidR="00962638" w:rsidRPr="007819CB">
        <w:rPr>
          <w:rFonts w:ascii="Times New Roman" w:eastAsia="Times New Roman" w:hAnsi="Times New Roman" w:cs="Times New Roman"/>
          <w:lang w:val="sr-Latn-ME"/>
        </w:rPr>
        <w:t>poreme</w:t>
      </w:r>
      <w:r w:rsidR="002E5D43" w:rsidRPr="007819CB">
        <w:rPr>
          <w:rFonts w:ascii="Times New Roman" w:eastAsia="Times New Roman" w:hAnsi="Times New Roman" w:cs="Times New Roman"/>
          <w:lang w:val="sr-Latn-ME"/>
        </w:rPr>
        <w:t>ć</w:t>
      </w:r>
      <w:r w:rsidR="00962638" w:rsidRPr="007819CB">
        <w:rPr>
          <w:rFonts w:ascii="Times New Roman" w:eastAsia="Times New Roman" w:hAnsi="Times New Roman" w:cs="Times New Roman"/>
          <w:lang w:val="sr-Latn-ME"/>
        </w:rPr>
        <w:t>enom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funkcijom bubrega. Kod </w:t>
      </w:r>
      <w:r w:rsidR="00962638" w:rsidRPr="007819CB">
        <w:rPr>
          <w:rFonts w:ascii="Times New Roman" w:eastAsia="Times New Roman" w:hAnsi="Times New Roman" w:cs="Times New Roman"/>
          <w:lang w:val="sr-Latn-ME"/>
        </w:rPr>
        <w:t>tih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pacijenata</w:t>
      </w:r>
      <w:r w:rsidR="002E5D43" w:rsidRPr="007819CB">
        <w:rPr>
          <w:rFonts w:ascii="Times New Roman" w:eastAsia="Times New Roman" w:hAnsi="Times New Roman" w:cs="Times New Roman"/>
          <w:lang w:val="sr-Latn-ME"/>
        </w:rPr>
        <w:t>,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962638" w:rsidRPr="007819CB">
        <w:rPr>
          <w:rFonts w:ascii="Times New Roman" w:eastAsia="Times New Roman" w:hAnsi="Times New Roman" w:cs="Times New Roman"/>
          <w:lang w:val="sr-Latn-ME"/>
        </w:rPr>
        <w:t>primjena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NSAIL može dovesti do pogoršanja bubrežne funkcije, zadržavanja tečnosti i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edema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. </w:t>
      </w:r>
      <w:r w:rsidR="009E0EDC" w:rsidRPr="007819CB">
        <w:rPr>
          <w:rFonts w:ascii="Times New Roman" w:eastAsia="Times New Roman" w:hAnsi="Times New Roman" w:cs="Times New Roman"/>
          <w:lang w:val="sr-Latn-ME"/>
        </w:rPr>
        <w:t>P</w:t>
      </w:r>
      <w:r w:rsidRPr="007819CB">
        <w:rPr>
          <w:rFonts w:ascii="Times New Roman" w:eastAsia="Times New Roman" w:hAnsi="Times New Roman" w:cs="Times New Roman"/>
          <w:lang w:val="sr-Latn-ME"/>
        </w:rPr>
        <w:t>otreban</w:t>
      </w:r>
      <w:r w:rsidR="009E0EDC" w:rsidRPr="007819CB">
        <w:rPr>
          <w:rFonts w:ascii="Times New Roman" w:eastAsia="Times New Roman" w:hAnsi="Times New Roman" w:cs="Times New Roman"/>
          <w:lang w:val="sr-Latn-ME"/>
        </w:rPr>
        <w:t xml:space="preserve"> je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oprez </w:t>
      </w:r>
      <w:r w:rsidR="009E0EDC" w:rsidRPr="007819CB">
        <w:rPr>
          <w:rFonts w:ascii="Times New Roman" w:eastAsia="Times New Roman" w:hAnsi="Times New Roman" w:cs="Times New Roman"/>
          <w:lang w:val="sr-Latn-ME"/>
        </w:rPr>
        <w:t xml:space="preserve">i 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kod pacijenata koji primaju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diuretike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ili kod kojih može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doći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do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hipovolemije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, zbog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povećanog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rizika od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nefrotoksičnosti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>.</w:t>
      </w:r>
    </w:p>
    <w:p w14:paraId="31851D5E" w14:textId="160B06F7" w:rsidR="00B77B98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>Tokom l</w:t>
      </w:r>
      <w:r w:rsidR="00D15C21" w:rsidRPr="007819CB">
        <w:rPr>
          <w:rFonts w:ascii="Times New Roman" w:eastAsia="Times New Roman" w:hAnsi="Times New Roman" w:cs="Times New Roman"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ečenja potrebno je </w:t>
      </w:r>
      <w:r w:rsidR="00EE2565" w:rsidRPr="007819CB">
        <w:rPr>
          <w:rFonts w:ascii="Times New Roman" w:eastAsia="Times New Roman" w:hAnsi="Times New Roman" w:cs="Times New Roman"/>
          <w:lang w:val="sr-Latn-ME"/>
        </w:rPr>
        <w:t>osigurati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adekvatan unos tečnosti kako bi se </w:t>
      </w:r>
      <w:r w:rsidR="00EE2565" w:rsidRPr="007819CB">
        <w:rPr>
          <w:rFonts w:ascii="Times New Roman" w:eastAsia="Times New Roman" w:hAnsi="Times New Roman" w:cs="Times New Roman"/>
          <w:lang w:val="sr-Latn-ME"/>
        </w:rPr>
        <w:t>prevenirala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dehidracija i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mogućnost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p</w:t>
      </w:r>
      <w:r w:rsidR="00624529" w:rsidRPr="007819CB">
        <w:rPr>
          <w:rFonts w:ascii="Times New Roman" w:eastAsia="Times New Roman" w:hAnsi="Times New Roman" w:cs="Times New Roman"/>
          <w:lang w:val="sr-Latn-ME"/>
        </w:rPr>
        <w:t>ridružene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povećane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bubrežne toksičnosti.</w:t>
      </w:r>
    </w:p>
    <w:p w14:paraId="4D949F2A" w14:textId="09480C4F" w:rsidR="00004EA6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Kao i </w:t>
      </w:r>
      <w:r w:rsidR="00DF353F" w:rsidRPr="007819CB">
        <w:rPr>
          <w:rFonts w:ascii="Times New Roman" w:eastAsia="Times New Roman" w:hAnsi="Times New Roman" w:cs="Times New Roman"/>
          <w:lang w:val="sr-Latn-ME"/>
        </w:rPr>
        <w:t>kod drugih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NSAIL, može</w:t>
      </w:r>
      <w:r w:rsidR="00DF353F" w:rsidRPr="007819CB">
        <w:rPr>
          <w:rFonts w:ascii="Times New Roman" w:eastAsia="Times New Roman" w:hAnsi="Times New Roman" w:cs="Times New Roman"/>
          <w:lang w:val="sr-Latn-ME"/>
        </w:rPr>
        <w:t xml:space="preserve"> doći do porasta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DF353F" w:rsidRPr="007819CB">
        <w:rPr>
          <w:rFonts w:ascii="Times New Roman" w:eastAsia="Times New Roman" w:hAnsi="Times New Roman" w:cs="Times New Roman"/>
          <w:lang w:val="sr-Latn-ME"/>
        </w:rPr>
        <w:t>koncentracije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uree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i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kreatinina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u plazmi. Kao i </w:t>
      </w:r>
      <w:r w:rsidR="00DF353F" w:rsidRPr="007819CB">
        <w:rPr>
          <w:rFonts w:ascii="Times New Roman" w:eastAsia="Times New Roman" w:hAnsi="Times New Roman" w:cs="Times New Roman"/>
          <w:lang w:val="sr-Latn-ME"/>
        </w:rPr>
        <w:t xml:space="preserve">kod </w:t>
      </w:r>
      <w:r w:rsidRPr="007819CB">
        <w:rPr>
          <w:rFonts w:ascii="Times New Roman" w:eastAsia="Times New Roman" w:hAnsi="Times New Roman" w:cs="Times New Roman"/>
          <w:lang w:val="sr-Latn-ME"/>
        </w:rPr>
        <w:t>drugi</w:t>
      </w:r>
      <w:r w:rsidR="00DF353F" w:rsidRPr="007819CB">
        <w:rPr>
          <w:rFonts w:ascii="Times New Roman" w:eastAsia="Times New Roman" w:hAnsi="Times New Roman" w:cs="Times New Roman"/>
          <w:lang w:val="sr-Latn-ME"/>
        </w:rPr>
        <w:t>h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inhibitor</w:t>
      </w:r>
      <w:r w:rsidR="00DF353F" w:rsidRPr="007819CB">
        <w:rPr>
          <w:rFonts w:ascii="Times New Roman" w:eastAsia="Times New Roman" w:hAnsi="Times New Roman" w:cs="Times New Roman"/>
          <w:lang w:val="sr-Latn-ME"/>
        </w:rPr>
        <w:t>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sinteze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prostaglandina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>,</w:t>
      </w:r>
      <w:r w:rsidR="00DF353F" w:rsidRPr="007819CB">
        <w:rPr>
          <w:rFonts w:ascii="Times New Roman" w:eastAsia="Times New Roman" w:hAnsi="Times New Roman" w:cs="Times New Roman"/>
          <w:lang w:val="sr-Latn-ME"/>
        </w:rPr>
        <w:t xml:space="preserve"> taj porast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može biti povezan sa </w:t>
      </w:r>
      <w:r w:rsidR="00DF353F" w:rsidRPr="007819CB">
        <w:rPr>
          <w:rFonts w:ascii="Times New Roman" w:eastAsia="Times New Roman" w:hAnsi="Times New Roman" w:cs="Times New Roman"/>
          <w:lang w:val="sr-Latn-ME"/>
        </w:rPr>
        <w:t xml:space="preserve">pojavom </w:t>
      </w:r>
      <w:r w:rsidRPr="007819CB">
        <w:rPr>
          <w:rFonts w:ascii="Times New Roman" w:eastAsia="Times New Roman" w:hAnsi="Times New Roman" w:cs="Times New Roman"/>
          <w:lang w:val="sr-Latn-ME"/>
        </w:rPr>
        <w:t>neželjeni</w:t>
      </w:r>
      <w:r w:rsidR="00DF353F" w:rsidRPr="007819CB">
        <w:rPr>
          <w:rFonts w:ascii="Times New Roman" w:eastAsia="Times New Roman" w:hAnsi="Times New Roman" w:cs="Times New Roman"/>
          <w:lang w:val="sr-Latn-ME"/>
        </w:rPr>
        <w:t>h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B5709F" w:rsidRPr="007819CB">
        <w:rPr>
          <w:rFonts w:ascii="Times New Roman" w:eastAsia="Times New Roman" w:hAnsi="Times New Roman" w:cs="Times New Roman"/>
          <w:lang w:val="sr-Latn-ME"/>
        </w:rPr>
        <w:t>dejst</w:t>
      </w:r>
      <w:r w:rsidR="00DF353F" w:rsidRPr="007819CB">
        <w:rPr>
          <w:rFonts w:ascii="Times New Roman" w:eastAsia="Times New Roman" w:hAnsi="Times New Roman" w:cs="Times New Roman"/>
          <w:lang w:val="sr-Latn-ME"/>
        </w:rPr>
        <w:t>va lijeka</w:t>
      </w:r>
      <w:r w:rsidR="00B628B9" w:rsidRPr="007819CB">
        <w:rPr>
          <w:rFonts w:ascii="Times New Roman" w:eastAsia="Times New Roman" w:hAnsi="Times New Roman" w:cs="Times New Roman"/>
          <w:lang w:val="sr-Latn-ME"/>
        </w:rPr>
        <w:t xml:space="preserve"> na </w:t>
      </w:r>
      <w:r w:rsidR="004F78A2" w:rsidRPr="007819CB">
        <w:rPr>
          <w:rFonts w:ascii="Times New Roman" w:eastAsia="Times New Roman" w:hAnsi="Times New Roman" w:cs="Times New Roman"/>
          <w:lang w:val="sr-Latn-ME"/>
        </w:rPr>
        <w:t>bubrežni</w:t>
      </w:r>
      <w:r w:rsidR="009B218A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9B218A" w:rsidRPr="007819CB">
        <w:rPr>
          <w:rFonts w:ascii="Times New Roman" w:eastAsia="Times New Roman" w:hAnsi="Times New Roman" w:cs="Times New Roman"/>
          <w:lang w:val="sr-Latn-ME"/>
        </w:rPr>
        <w:lastRenderedPageBreak/>
        <w:t>sistem što može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dovesti do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glomerularnog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nefritisa,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intersticijalnog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nefritisa, </w:t>
      </w:r>
      <w:r w:rsidR="009B218A" w:rsidRPr="007819CB">
        <w:rPr>
          <w:rFonts w:ascii="Times New Roman" w:eastAsia="Times New Roman" w:hAnsi="Times New Roman" w:cs="Times New Roman"/>
          <w:lang w:val="sr-Latn-ME"/>
        </w:rPr>
        <w:t>bubrežne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papilarne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nekroze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,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nefrot</w:t>
      </w:r>
      <w:r w:rsidR="00004EA6" w:rsidRPr="007819CB">
        <w:rPr>
          <w:rFonts w:ascii="Times New Roman" w:eastAsia="Times New Roman" w:hAnsi="Times New Roman" w:cs="Times New Roman"/>
          <w:lang w:val="sr-Latn-ME"/>
        </w:rPr>
        <w:t>ičnog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sindroma i akutne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insuficijencije</w:t>
      </w:r>
      <w:proofErr w:type="spellEnd"/>
      <w:r w:rsidR="00004EA6" w:rsidRPr="007819CB">
        <w:rPr>
          <w:rFonts w:ascii="Times New Roman" w:eastAsia="Times New Roman" w:hAnsi="Times New Roman" w:cs="Times New Roman"/>
          <w:lang w:val="sr-Latn-ME"/>
        </w:rPr>
        <w:t xml:space="preserve"> bubrega</w:t>
      </w:r>
      <w:r w:rsidRPr="007819CB">
        <w:rPr>
          <w:rFonts w:ascii="Times New Roman" w:eastAsia="Times New Roman" w:hAnsi="Times New Roman" w:cs="Times New Roman"/>
          <w:lang w:val="sr-Latn-ME"/>
        </w:rPr>
        <w:t>.</w:t>
      </w:r>
    </w:p>
    <w:p w14:paraId="3C79A991" w14:textId="72F88D93" w:rsidR="00B77B98" w:rsidRPr="007819CB" w:rsidRDefault="0001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Kod starijih pacijenata </w:t>
      </w:r>
      <w:r w:rsidR="00004EA6" w:rsidRPr="007819CB">
        <w:rPr>
          <w:rFonts w:ascii="Times New Roman" w:eastAsia="Times New Roman" w:hAnsi="Times New Roman" w:cs="Times New Roman"/>
          <w:lang w:val="sr-Latn-ME"/>
        </w:rPr>
        <w:t xml:space="preserve">je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v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>eća</w:t>
      </w:r>
      <w:proofErr w:type="spellEnd"/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B77B98" w:rsidRPr="007819CB">
        <w:rPr>
          <w:rFonts w:ascii="Times New Roman" w:eastAsia="Times New Roman" w:hAnsi="Times New Roman" w:cs="Times New Roman"/>
          <w:lang w:val="sr-Latn-ME"/>
        </w:rPr>
        <w:t>v</w:t>
      </w:r>
      <w:r w:rsidR="00D15C21" w:rsidRPr="007819CB">
        <w:rPr>
          <w:rFonts w:ascii="Times New Roman" w:eastAsia="Times New Roman" w:hAnsi="Times New Roman" w:cs="Times New Roman"/>
          <w:lang w:val="sr-Latn-ME"/>
        </w:rPr>
        <w:t>j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>erovatnoća</w:t>
      </w:r>
      <w:proofErr w:type="spellEnd"/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da ima</w:t>
      </w:r>
      <w:r w:rsidRPr="007819CB">
        <w:rPr>
          <w:rFonts w:ascii="Times New Roman" w:eastAsia="Times New Roman" w:hAnsi="Times New Roman" w:cs="Times New Roman"/>
          <w:lang w:val="sr-Latn-ME"/>
        </w:rPr>
        <w:t>ju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74343D" w:rsidRPr="007819CB">
        <w:rPr>
          <w:rFonts w:ascii="Times New Roman" w:eastAsia="Times New Roman" w:hAnsi="Times New Roman" w:cs="Times New Roman"/>
          <w:lang w:val="sr-Latn-ME"/>
        </w:rPr>
        <w:t xml:space="preserve">oštećenu 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>bubre</w:t>
      </w:r>
      <w:r w:rsidRPr="007819CB">
        <w:rPr>
          <w:rFonts w:ascii="Times New Roman" w:eastAsia="Times New Roman" w:hAnsi="Times New Roman" w:cs="Times New Roman"/>
          <w:lang w:val="sr-Latn-ME"/>
        </w:rPr>
        <w:t>žn</w:t>
      </w:r>
      <w:r w:rsidR="0074343D" w:rsidRPr="007819CB">
        <w:rPr>
          <w:rFonts w:ascii="Times New Roman" w:eastAsia="Times New Roman" w:hAnsi="Times New Roman" w:cs="Times New Roman"/>
          <w:lang w:val="sr-Latn-ME"/>
        </w:rPr>
        <w:t>u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funkcij</w:t>
      </w:r>
      <w:r w:rsidR="0074343D" w:rsidRPr="007819CB">
        <w:rPr>
          <w:rFonts w:ascii="Times New Roman" w:eastAsia="Times New Roman" w:hAnsi="Times New Roman" w:cs="Times New Roman"/>
          <w:lang w:val="sr-Latn-ME"/>
        </w:rPr>
        <w:t>u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(</w:t>
      </w:r>
      <w:r w:rsidR="00D15C21" w:rsidRPr="007819CB">
        <w:rPr>
          <w:rFonts w:ascii="Times New Roman" w:eastAsia="Times New Roman" w:hAnsi="Times New Roman" w:cs="Times New Roman"/>
          <w:lang w:val="sr-Latn-ME"/>
        </w:rPr>
        <w:t>pogledati dio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4.2).</w:t>
      </w:r>
    </w:p>
    <w:p w14:paraId="226B031C" w14:textId="77777777" w:rsidR="00B77B98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7E62FE11" w14:textId="58BBDB4A" w:rsidR="00B77B98" w:rsidRPr="007819CB" w:rsidRDefault="00743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proofErr w:type="spellStart"/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>Hepatička</w:t>
      </w:r>
      <w:proofErr w:type="spellEnd"/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 b</w:t>
      </w:r>
      <w:r w:rsidR="00B77B98" w:rsidRPr="007819CB">
        <w:rPr>
          <w:rFonts w:ascii="Times New Roman" w:eastAsia="Times New Roman" w:hAnsi="Times New Roman" w:cs="Times New Roman"/>
          <w:b/>
          <w:bCs/>
          <w:lang w:val="sr-Latn-ME"/>
        </w:rPr>
        <w:t>ezb</w:t>
      </w:r>
      <w:r w:rsidR="00B43BB0" w:rsidRPr="007819CB">
        <w:rPr>
          <w:rFonts w:ascii="Times New Roman" w:eastAsia="Times New Roman" w:hAnsi="Times New Roman" w:cs="Times New Roman"/>
          <w:b/>
          <w:bCs/>
          <w:lang w:val="sr-Latn-ME"/>
        </w:rPr>
        <w:t>j</w:t>
      </w:r>
      <w:r w:rsidR="00B77B98" w:rsidRPr="007819CB">
        <w:rPr>
          <w:rFonts w:ascii="Times New Roman" w:eastAsia="Times New Roman" w:hAnsi="Times New Roman" w:cs="Times New Roman"/>
          <w:b/>
          <w:bCs/>
          <w:lang w:val="sr-Latn-ME"/>
        </w:rPr>
        <w:t>ednost</w:t>
      </w:r>
    </w:p>
    <w:p w14:paraId="36B9DB85" w14:textId="60C6DAD3" w:rsidR="00B77B98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Potreban je oprez kod pacijenata sa </w:t>
      </w:r>
      <w:r w:rsidR="00D22176" w:rsidRPr="007819CB">
        <w:rPr>
          <w:rFonts w:ascii="Times New Roman" w:eastAsia="Times New Roman" w:hAnsi="Times New Roman" w:cs="Times New Roman"/>
          <w:lang w:val="sr-Latn-ME"/>
        </w:rPr>
        <w:t>poremećenom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funkcijom jetre.</w:t>
      </w:r>
      <w:r w:rsidR="002E5D43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Kao i </w:t>
      </w:r>
      <w:r w:rsidR="00D22176" w:rsidRPr="007819CB">
        <w:rPr>
          <w:rFonts w:ascii="Times New Roman" w:eastAsia="Times New Roman" w:hAnsi="Times New Roman" w:cs="Times New Roman"/>
          <w:lang w:val="sr-Latn-ME"/>
        </w:rPr>
        <w:t>kod dr</w:t>
      </w:r>
      <w:r w:rsidR="002E5D43" w:rsidRPr="007819CB">
        <w:rPr>
          <w:rFonts w:ascii="Times New Roman" w:eastAsia="Times New Roman" w:hAnsi="Times New Roman" w:cs="Times New Roman"/>
          <w:lang w:val="sr-Latn-ME"/>
        </w:rPr>
        <w:t>u</w:t>
      </w:r>
      <w:r w:rsidR="00D22176" w:rsidRPr="007819CB">
        <w:rPr>
          <w:rFonts w:ascii="Times New Roman" w:eastAsia="Times New Roman" w:hAnsi="Times New Roman" w:cs="Times New Roman"/>
          <w:lang w:val="sr-Latn-ME"/>
        </w:rPr>
        <w:t>g</w:t>
      </w:r>
      <w:r w:rsidR="002E5D43" w:rsidRPr="007819CB">
        <w:rPr>
          <w:rFonts w:ascii="Times New Roman" w:eastAsia="Times New Roman" w:hAnsi="Times New Roman" w:cs="Times New Roman"/>
          <w:lang w:val="sr-Latn-ME"/>
        </w:rPr>
        <w:t>i</w:t>
      </w:r>
      <w:r w:rsidR="00D22176" w:rsidRPr="007819CB">
        <w:rPr>
          <w:rFonts w:ascii="Times New Roman" w:eastAsia="Times New Roman" w:hAnsi="Times New Roman" w:cs="Times New Roman"/>
          <w:lang w:val="sr-Latn-ME"/>
        </w:rPr>
        <w:t>h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NSAIL,</w:t>
      </w:r>
      <w:r w:rsidR="00D22176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D22176" w:rsidRPr="007819CB">
        <w:rPr>
          <w:rFonts w:ascii="Times New Roman" w:eastAsia="Times New Roman" w:hAnsi="Times New Roman" w:cs="Times New Roman"/>
          <w:lang w:val="sr-Latn-ME"/>
        </w:rPr>
        <w:t>deksketoprofen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može </w:t>
      </w:r>
      <w:r w:rsidR="00D22176" w:rsidRPr="007819CB">
        <w:rPr>
          <w:rFonts w:ascii="Times New Roman" w:eastAsia="Times New Roman" w:hAnsi="Times New Roman" w:cs="Times New Roman"/>
          <w:lang w:val="sr-Latn-ME"/>
        </w:rPr>
        <w:t>uzrokovati blago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prolazno</w:t>
      </w:r>
      <w:r w:rsidR="00D22176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povećanje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D22176" w:rsidRPr="007819CB">
        <w:rPr>
          <w:rFonts w:ascii="Times New Roman" w:eastAsia="Times New Roman" w:hAnsi="Times New Roman" w:cs="Times New Roman"/>
          <w:lang w:val="sr-Latn-ME"/>
        </w:rPr>
        <w:t>pojedinih jetrinih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parametara</w:t>
      </w:r>
      <w:r w:rsidR="00DD4C7E" w:rsidRPr="007819CB">
        <w:rPr>
          <w:rFonts w:ascii="Times New Roman" w:eastAsia="Times New Roman" w:hAnsi="Times New Roman" w:cs="Times New Roman"/>
          <w:lang w:val="sr-Latn-ME"/>
        </w:rPr>
        <w:t>, tako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i značaj</w:t>
      </w:r>
      <w:r w:rsidR="00DD4C7E" w:rsidRPr="007819CB">
        <w:rPr>
          <w:rFonts w:ascii="Times New Roman" w:eastAsia="Times New Roman" w:hAnsi="Times New Roman" w:cs="Times New Roman"/>
          <w:lang w:val="sr-Latn-ME"/>
        </w:rPr>
        <w:t>an poras</w:t>
      </w:r>
      <w:r w:rsidR="00174454" w:rsidRPr="007819CB">
        <w:rPr>
          <w:rFonts w:ascii="Times New Roman" w:eastAsia="Times New Roman" w:hAnsi="Times New Roman" w:cs="Times New Roman"/>
          <w:lang w:val="sr-Latn-ME"/>
        </w:rPr>
        <w:t>t</w:t>
      </w:r>
      <w:r w:rsidR="00BF0817" w:rsidRPr="007819CB">
        <w:rPr>
          <w:rFonts w:ascii="Times New Roman" w:eastAsia="Times New Roman" w:hAnsi="Times New Roman" w:cs="Times New Roman"/>
          <w:lang w:val="sr-Latn-ME"/>
        </w:rPr>
        <w:t xml:space="preserve"> vrijednosti enzima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AST i ALT. U slučaju značajnog po</w:t>
      </w:r>
      <w:r w:rsidR="00BF0817" w:rsidRPr="007819CB">
        <w:rPr>
          <w:rFonts w:ascii="Times New Roman" w:eastAsia="Times New Roman" w:hAnsi="Times New Roman" w:cs="Times New Roman"/>
          <w:lang w:val="sr-Latn-ME"/>
        </w:rPr>
        <w:t>rasta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283B4A" w:rsidRPr="007819CB">
        <w:rPr>
          <w:rFonts w:ascii="Times New Roman" w:eastAsia="Times New Roman" w:hAnsi="Times New Roman" w:cs="Times New Roman"/>
          <w:lang w:val="sr-Latn-ME"/>
        </w:rPr>
        <w:t>ovih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parametara </w:t>
      </w:r>
      <w:r w:rsidR="008E725A" w:rsidRPr="007819CB">
        <w:rPr>
          <w:rFonts w:ascii="Times New Roman" w:eastAsia="Times New Roman" w:hAnsi="Times New Roman" w:cs="Times New Roman"/>
          <w:lang w:val="sr-Latn-ME"/>
        </w:rPr>
        <w:t>liječenje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se mora </w:t>
      </w:r>
      <w:r w:rsidR="00D9462E" w:rsidRPr="007819CB">
        <w:rPr>
          <w:rFonts w:ascii="Times New Roman" w:eastAsia="Times New Roman" w:hAnsi="Times New Roman" w:cs="Times New Roman"/>
          <w:lang w:val="sr-Latn-ME"/>
        </w:rPr>
        <w:t>obustaviti</w:t>
      </w:r>
      <w:r w:rsidRPr="007819CB">
        <w:rPr>
          <w:rFonts w:ascii="Times New Roman" w:eastAsia="Times New Roman" w:hAnsi="Times New Roman" w:cs="Times New Roman"/>
          <w:lang w:val="sr-Latn-ME"/>
        </w:rPr>
        <w:t>.</w:t>
      </w:r>
    </w:p>
    <w:p w14:paraId="2AE49858" w14:textId="68E26A89" w:rsidR="00B77B98" w:rsidRPr="007819CB" w:rsidRDefault="00F62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Kod starijih pacijenata </w:t>
      </w:r>
      <w:r w:rsidR="00D9462E" w:rsidRPr="007819CB">
        <w:rPr>
          <w:rFonts w:ascii="Times New Roman" w:eastAsia="Times New Roman" w:hAnsi="Times New Roman" w:cs="Times New Roman"/>
          <w:lang w:val="sr-Latn-ME"/>
        </w:rPr>
        <w:t xml:space="preserve">je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v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>eća</w:t>
      </w:r>
      <w:proofErr w:type="spellEnd"/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B77B98" w:rsidRPr="007819CB">
        <w:rPr>
          <w:rFonts w:ascii="Times New Roman" w:eastAsia="Times New Roman" w:hAnsi="Times New Roman" w:cs="Times New Roman"/>
          <w:lang w:val="sr-Latn-ME"/>
        </w:rPr>
        <w:t>v</w:t>
      </w:r>
      <w:r w:rsidR="00641EFE" w:rsidRPr="007819CB">
        <w:rPr>
          <w:rFonts w:ascii="Times New Roman" w:eastAsia="Times New Roman" w:hAnsi="Times New Roman" w:cs="Times New Roman"/>
          <w:lang w:val="sr-Latn-ME"/>
        </w:rPr>
        <w:t>j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>erovatnoća</w:t>
      </w:r>
      <w:proofErr w:type="spellEnd"/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da </w:t>
      </w:r>
      <w:r w:rsidR="00C91AF5" w:rsidRPr="007819CB">
        <w:rPr>
          <w:rFonts w:ascii="Times New Roman" w:eastAsia="Times New Roman" w:hAnsi="Times New Roman" w:cs="Times New Roman"/>
          <w:lang w:val="sr-Latn-ME"/>
        </w:rPr>
        <w:t xml:space="preserve">imaju </w:t>
      </w:r>
      <w:r w:rsidR="00D9462E" w:rsidRPr="007819CB">
        <w:rPr>
          <w:rFonts w:ascii="Times New Roman" w:eastAsia="Times New Roman" w:hAnsi="Times New Roman" w:cs="Times New Roman"/>
          <w:lang w:val="sr-Latn-ME"/>
        </w:rPr>
        <w:t>oštećenu</w:t>
      </w:r>
      <w:r w:rsidR="00641EFE" w:rsidRPr="007819CB">
        <w:rPr>
          <w:rFonts w:ascii="Times New Roman" w:eastAsia="Times New Roman" w:hAnsi="Times New Roman" w:cs="Times New Roman"/>
          <w:lang w:val="sr-Latn-ME"/>
        </w:rPr>
        <w:t xml:space="preserve"> funkcije 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>jetre (</w:t>
      </w:r>
      <w:r w:rsidR="00641EFE" w:rsidRPr="007819CB">
        <w:rPr>
          <w:rFonts w:ascii="Times New Roman" w:eastAsia="Times New Roman" w:hAnsi="Times New Roman" w:cs="Times New Roman"/>
          <w:lang w:val="sr-Latn-ME"/>
        </w:rPr>
        <w:t>pogledati dio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4.2).</w:t>
      </w:r>
    </w:p>
    <w:p w14:paraId="242DAEC3" w14:textId="77777777" w:rsidR="00B77B98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CDA454F" w14:textId="1DC9B340" w:rsidR="00B77B98" w:rsidRPr="007819CB" w:rsidRDefault="00D94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proofErr w:type="spellStart"/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>K</w:t>
      </w:r>
      <w:r w:rsidR="00B77B98" w:rsidRPr="007819CB">
        <w:rPr>
          <w:rFonts w:ascii="Times New Roman" w:eastAsia="Times New Roman" w:hAnsi="Times New Roman" w:cs="Times New Roman"/>
          <w:b/>
          <w:bCs/>
          <w:lang w:val="sr-Latn-ME"/>
        </w:rPr>
        <w:t>ardiovaskularn</w:t>
      </w: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>a</w:t>
      </w:r>
      <w:proofErr w:type="spellEnd"/>
      <w:r w:rsidR="00B77B98"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 i </w:t>
      </w:r>
      <w:proofErr w:type="spellStart"/>
      <w:r w:rsidR="00B77B98" w:rsidRPr="007819CB">
        <w:rPr>
          <w:rFonts w:ascii="Times New Roman" w:eastAsia="Times New Roman" w:hAnsi="Times New Roman" w:cs="Times New Roman"/>
          <w:b/>
          <w:bCs/>
          <w:lang w:val="sr-Latn-ME"/>
        </w:rPr>
        <w:t>cerebrovaskularn</w:t>
      </w: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>a</w:t>
      </w:r>
      <w:proofErr w:type="spellEnd"/>
      <w:r w:rsidR="00B77B98"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 </w:t>
      </w: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>bezbjednost</w:t>
      </w:r>
    </w:p>
    <w:p w14:paraId="5CA1E4AE" w14:textId="7DB7C835" w:rsidR="00B77B98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>Kod pacijenata sa hipertenzijom i/ili blag</w:t>
      </w:r>
      <w:r w:rsidR="00D9462E" w:rsidRPr="007819CB">
        <w:rPr>
          <w:rFonts w:ascii="Times New Roman" w:eastAsia="Times New Roman" w:hAnsi="Times New Roman" w:cs="Times New Roman"/>
          <w:lang w:val="sr-Latn-ME"/>
        </w:rPr>
        <w:t>om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do um</w:t>
      </w:r>
      <w:r w:rsidR="00D9462E" w:rsidRPr="007819CB">
        <w:rPr>
          <w:rFonts w:ascii="Times New Roman" w:eastAsia="Times New Roman" w:hAnsi="Times New Roman" w:cs="Times New Roman"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lang w:val="sr-Latn-ME"/>
        </w:rPr>
        <w:t>eren</w:t>
      </w:r>
      <w:r w:rsidR="00474E8D" w:rsidRPr="007819CB">
        <w:rPr>
          <w:rFonts w:ascii="Times New Roman" w:eastAsia="Times New Roman" w:hAnsi="Times New Roman" w:cs="Times New Roman"/>
          <w:lang w:val="sr-Latn-ME"/>
        </w:rPr>
        <w:t xml:space="preserve">om </w:t>
      </w:r>
      <w:proofErr w:type="spellStart"/>
      <w:r w:rsidR="00474E8D" w:rsidRPr="007819CB">
        <w:rPr>
          <w:rFonts w:ascii="Times New Roman" w:eastAsia="Times New Roman" w:hAnsi="Times New Roman" w:cs="Times New Roman"/>
          <w:lang w:val="sr-Latn-ME"/>
        </w:rPr>
        <w:t>kongestivnom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srčan</w:t>
      </w:r>
      <w:r w:rsidR="00474E8D" w:rsidRPr="007819CB">
        <w:rPr>
          <w:rFonts w:ascii="Times New Roman" w:eastAsia="Times New Roman" w:hAnsi="Times New Roman" w:cs="Times New Roman"/>
          <w:lang w:val="sr-Latn-ME"/>
        </w:rPr>
        <w:t>om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insuficijencij</w:t>
      </w:r>
      <w:r w:rsidR="00474E8D" w:rsidRPr="007819CB">
        <w:rPr>
          <w:rFonts w:ascii="Times New Roman" w:eastAsia="Times New Roman" w:hAnsi="Times New Roman" w:cs="Times New Roman"/>
          <w:lang w:val="sr-Latn-ME"/>
        </w:rPr>
        <w:t>om</w:t>
      </w:r>
      <w:proofErr w:type="spellEnd"/>
      <w:r w:rsidR="00474E8D" w:rsidRPr="007819CB">
        <w:rPr>
          <w:rFonts w:ascii="Times New Roman" w:eastAsia="Times New Roman" w:hAnsi="Times New Roman" w:cs="Times New Roman"/>
          <w:lang w:val="sr-Latn-ME"/>
        </w:rPr>
        <w:t xml:space="preserve"> u anamnezi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potrebn</w:t>
      </w:r>
      <w:r w:rsidR="00860FB7" w:rsidRPr="007819CB">
        <w:rPr>
          <w:rFonts w:ascii="Times New Roman" w:eastAsia="Times New Roman" w:hAnsi="Times New Roman" w:cs="Times New Roman"/>
          <w:lang w:val="sr-Latn-ME"/>
        </w:rPr>
        <w:t>i su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odgovarajuć</w:t>
      </w:r>
      <w:r w:rsidR="00EC4DFE" w:rsidRPr="007819CB">
        <w:rPr>
          <w:rFonts w:ascii="Times New Roman" w:eastAsia="Times New Roman" w:hAnsi="Times New Roman" w:cs="Times New Roman"/>
          <w:lang w:val="sr-Latn-ME"/>
        </w:rPr>
        <w:t>i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EC4DFE" w:rsidRPr="007819CB">
        <w:rPr>
          <w:rFonts w:ascii="Times New Roman" w:eastAsia="Times New Roman" w:hAnsi="Times New Roman" w:cs="Times New Roman"/>
          <w:lang w:val="sr-Latn-ME"/>
        </w:rPr>
        <w:t>nadzor</w:t>
      </w:r>
      <w:r w:rsidR="00860FB7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7819CB">
        <w:rPr>
          <w:rFonts w:ascii="Times New Roman" w:eastAsia="Times New Roman" w:hAnsi="Times New Roman" w:cs="Times New Roman"/>
          <w:lang w:val="sr-Latn-ME"/>
        </w:rPr>
        <w:t>i sav</w:t>
      </w:r>
      <w:r w:rsidR="00860FB7" w:rsidRPr="007819CB">
        <w:rPr>
          <w:rFonts w:ascii="Times New Roman" w:eastAsia="Times New Roman" w:hAnsi="Times New Roman" w:cs="Times New Roman"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lang w:val="sr-Latn-ME"/>
        </w:rPr>
        <w:t>etovanje. Posebn</w:t>
      </w:r>
      <w:r w:rsidR="00311606" w:rsidRPr="007819CB">
        <w:rPr>
          <w:rFonts w:ascii="Times New Roman" w:eastAsia="Times New Roman" w:hAnsi="Times New Roman" w:cs="Times New Roman"/>
          <w:lang w:val="sr-Latn-ME"/>
        </w:rPr>
        <w:t>u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311606" w:rsidRPr="007819CB">
        <w:rPr>
          <w:rFonts w:ascii="Times New Roman" w:eastAsia="Times New Roman" w:hAnsi="Times New Roman" w:cs="Times New Roman"/>
          <w:lang w:val="sr-Latn-ME"/>
        </w:rPr>
        <w:t>pažnju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324F58" w:rsidRPr="007819CB">
        <w:rPr>
          <w:rFonts w:ascii="Times New Roman" w:eastAsia="Times New Roman" w:hAnsi="Times New Roman" w:cs="Times New Roman"/>
          <w:lang w:val="sr-Latn-ME"/>
        </w:rPr>
        <w:t>bi trebalo obratiti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kod pacijenata sa srčani</w:t>
      </w:r>
      <w:r w:rsidR="00A5031E" w:rsidRPr="007819CB">
        <w:rPr>
          <w:rFonts w:ascii="Times New Roman" w:eastAsia="Times New Roman" w:hAnsi="Times New Roman" w:cs="Times New Roman"/>
          <w:lang w:val="sr-Latn-ME"/>
        </w:rPr>
        <w:t>m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oboljenj</w:t>
      </w:r>
      <w:r w:rsidR="00A5031E" w:rsidRPr="007819CB">
        <w:rPr>
          <w:rFonts w:ascii="Times New Roman" w:eastAsia="Times New Roman" w:hAnsi="Times New Roman" w:cs="Times New Roman"/>
          <w:lang w:val="sr-Latn-ME"/>
        </w:rPr>
        <w:t>ima u anamnezi</w:t>
      </w:r>
      <w:r w:rsidRPr="007819CB">
        <w:rPr>
          <w:rFonts w:ascii="Times New Roman" w:eastAsia="Times New Roman" w:hAnsi="Times New Roman" w:cs="Times New Roman"/>
          <w:lang w:val="sr-Latn-ME"/>
        </w:rPr>
        <w:t>, po</w:t>
      </w:r>
      <w:r w:rsidR="00A5031E" w:rsidRPr="007819CB">
        <w:rPr>
          <w:rFonts w:ascii="Times New Roman" w:eastAsia="Times New Roman" w:hAnsi="Times New Roman" w:cs="Times New Roman"/>
          <w:lang w:val="sr-Latn-ME"/>
        </w:rPr>
        <w:t>gotovo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kod </w:t>
      </w:r>
      <w:r w:rsidR="00A5031E" w:rsidRPr="007819CB">
        <w:rPr>
          <w:rFonts w:ascii="Times New Roman" w:eastAsia="Times New Roman" w:hAnsi="Times New Roman" w:cs="Times New Roman"/>
          <w:lang w:val="sr-Latn-ME"/>
        </w:rPr>
        <w:t>pacijenata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koji su imali epizode ​​srčane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insuficijencije</w:t>
      </w:r>
      <w:proofErr w:type="spellEnd"/>
      <w:r w:rsidR="00A5031E" w:rsidRPr="007819CB">
        <w:rPr>
          <w:rFonts w:ascii="Times New Roman" w:eastAsia="Times New Roman" w:hAnsi="Times New Roman" w:cs="Times New Roman"/>
          <w:lang w:val="sr-Latn-ME"/>
        </w:rPr>
        <w:t xml:space="preserve"> zato što postoji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povećan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rizik od </w:t>
      </w:r>
      <w:r w:rsidR="00F553E9" w:rsidRPr="007819CB">
        <w:rPr>
          <w:rFonts w:ascii="Times New Roman" w:eastAsia="Times New Roman" w:hAnsi="Times New Roman" w:cs="Times New Roman"/>
          <w:lang w:val="sr-Latn-ME"/>
        </w:rPr>
        <w:t xml:space="preserve">ponovnog izazivanja 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srčane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insuficijencije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>.</w:t>
      </w:r>
    </w:p>
    <w:p w14:paraId="49CEC027" w14:textId="77777777" w:rsidR="00B77B98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1BAE62F3" w14:textId="696EF924" w:rsidR="00B77B98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>Kliničk</w:t>
      </w:r>
      <w:r w:rsidR="00C05A77" w:rsidRPr="007819CB">
        <w:rPr>
          <w:rFonts w:ascii="Times New Roman" w:eastAsia="Times New Roman" w:hAnsi="Times New Roman" w:cs="Times New Roman"/>
          <w:lang w:val="sr-Latn-ME"/>
        </w:rPr>
        <w:t>e studije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i epidemiološk</w:t>
      </w:r>
      <w:r w:rsidR="00C05A77" w:rsidRPr="007819CB">
        <w:rPr>
          <w:rFonts w:ascii="Times New Roman" w:eastAsia="Times New Roman" w:hAnsi="Times New Roman" w:cs="Times New Roman"/>
          <w:lang w:val="sr-Latn-ME"/>
        </w:rPr>
        <w:t>e studije</w:t>
      </w:r>
      <w:r w:rsidR="006E0B83" w:rsidRPr="007819CB">
        <w:rPr>
          <w:rFonts w:ascii="Times New Roman" w:eastAsia="Times New Roman" w:hAnsi="Times New Roman" w:cs="Times New Roman"/>
          <w:lang w:val="sr-Latn-ME"/>
        </w:rPr>
        <w:t xml:space="preserve"> su sugerisale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da </w:t>
      </w:r>
      <w:r w:rsidR="006E0B83" w:rsidRPr="007819CB">
        <w:rPr>
          <w:rFonts w:ascii="Times New Roman" w:eastAsia="Times New Roman" w:hAnsi="Times New Roman" w:cs="Times New Roman"/>
          <w:lang w:val="sr-Latn-ME"/>
        </w:rPr>
        <w:t>neki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NSAIL</w:t>
      </w:r>
      <w:r w:rsidR="00EC4DFE" w:rsidRPr="007819CB">
        <w:rPr>
          <w:rFonts w:ascii="Times New Roman" w:eastAsia="Times New Roman" w:hAnsi="Times New Roman" w:cs="Times New Roman"/>
          <w:lang w:val="sr-Latn-ME"/>
        </w:rPr>
        <w:t>,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posebno u visokim dozama i</w:t>
      </w:r>
      <w:r w:rsidR="006E0B83" w:rsidRPr="007819CB">
        <w:rPr>
          <w:rFonts w:ascii="Times New Roman" w:eastAsia="Times New Roman" w:hAnsi="Times New Roman" w:cs="Times New Roman"/>
          <w:lang w:val="sr-Latn-ME"/>
        </w:rPr>
        <w:t xml:space="preserve"> u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dugotraj</w:t>
      </w:r>
      <w:r w:rsidR="00A905AD" w:rsidRPr="007819CB">
        <w:rPr>
          <w:rFonts w:ascii="Times New Roman" w:eastAsia="Times New Roman" w:hAnsi="Times New Roman" w:cs="Times New Roman"/>
          <w:lang w:val="sr-Latn-ME"/>
        </w:rPr>
        <w:t>noj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A905AD" w:rsidRPr="007819CB">
        <w:rPr>
          <w:rFonts w:ascii="Times New Roman" w:eastAsia="Times New Roman" w:hAnsi="Times New Roman" w:cs="Times New Roman"/>
          <w:lang w:val="sr-Latn-ME"/>
        </w:rPr>
        <w:t>terapiji</w:t>
      </w:r>
      <w:r w:rsidR="00EC4DFE" w:rsidRPr="007819CB">
        <w:rPr>
          <w:rFonts w:ascii="Times New Roman" w:eastAsia="Times New Roman" w:hAnsi="Times New Roman" w:cs="Times New Roman"/>
          <w:lang w:val="sr-Latn-ME"/>
        </w:rPr>
        <w:t>,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mo</w:t>
      </w:r>
      <w:r w:rsidR="00A905AD" w:rsidRPr="007819CB">
        <w:rPr>
          <w:rFonts w:ascii="Times New Roman" w:eastAsia="Times New Roman" w:hAnsi="Times New Roman" w:cs="Times New Roman"/>
          <w:lang w:val="sr-Latn-ME"/>
        </w:rPr>
        <w:t>gu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biti povezan</w:t>
      </w:r>
      <w:r w:rsidR="00A905AD" w:rsidRPr="007819CB">
        <w:rPr>
          <w:rFonts w:ascii="Times New Roman" w:eastAsia="Times New Roman" w:hAnsi="Times New Roman" w:cs="Times New Roman"/>
          <w:lang w:val="sr-Latn-ME"/>
        </w:rPr>
        <w:t>i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sa </w:t>
      </w:r>
      <w:r w:rsidR="00A905AD" w:rsidRPr="007819CB">
        <w:rPr>
          <w:rFonts w:ascii="Times New Roman" w:eastAsia="Times New Roman" w:hAnsi="Times New Roman" w:cs="Times New Roman"/>
          <w:lang w:val="sr-Latn-ME"/>
        </w:rPr>
        <w:t>malim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povećanim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rizikom od arterijsk</w:t>
      </w:r>
      <w:r w:rsidR="00A905AD" w:rsidRPr="007819CB">
        <w:rPr>
          <w:rFonts w:ascii="Times New Roman" w:eastAsia="Times New Roman" w:hAnsi="Times New Roman" w:cs="Times New Roman"/>
          <w:lang w:val="sr-Latn-ME"/>
        </w:rPr>
        <w:t>og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tromboti</w:t>
      </w:r>
      <w:r w:rsidR="00485ABC" w:rsidRPr="007819CB">
        <w:rPr>
          <w:rFonts w:ascii="Times New Roman" w:eastAsia="Times New Roman" w:hAnsi="Times New Roman" w:cs="Times New Roman"/>
          <w:lang w:val="sr-Latn-ME"/>
        </w:rPr>
        <w:t>čkog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485ABC" w:rsidRPr="007819CB">
        <w:rPr>
          <w:rFonts w:ascii="Times New Roman" w:eastAsia="Times New Roman" w:hAnsi="Times New Roman" w:cs="Times New Roman"/>
          <w:lang w:val="sr-Latn-ME"/>
        </w:rPr>
        <w:t>efekta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(na prim</w:t>
      </w:r>
      <w:r w:rsidR="00485ABC" w:rsidRPr="007819CB">
        <w:rPr>
          <w:rFonts w:ascii="Times New Roman" w:eastAsia="Times New Roman" w:hAnsi="Times New Roman" w:cs="Times New Roman"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er infarkt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miokarda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ili moždani udar). N</w:t>
      </w:r>
      <w:r w:rsidR="00485ABC" w:rsidRPr="007819CB">
        <w:rPr>
          <w:rFonts w:ascii="Times New Roman" w:eastAsia="Times New Roman" w:hAnsi="Times New Roman" w:cs="Times New Roman"/>
          <w:lang w:val="sr-Latn-ME"/>
        </w:rPr>
        <w:t>e postoji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dovoljno podataka da bi se isključi</w:t>
      </w:r>
      <w:r w:rsidR="00485ABC" w:rsidRPr="007819CB">
        <w:rPr>
          <w:rFonts w:ascii="Times New Roman" w:eastAsia="Times New Roman" w:hAnsi="Times New Roman" w:cs="Times New Roman"/>
          <w:lang w:val="sr-Latn-ME"/>
        </w:rPr>
        <w:t>lo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tak</w:t>
      </w:r>
      <w:r w:rsidR="005B10A7" w:rsidRPr="007819CB">
        <w:rPr>
          <w:rFonts w:ascii="Times New Roman" w:eastAsia="Times New Roman" w:hAnsi="Times New Roman" w:cs="Times New Roman"/>
          <w:lang w:val="sr-Latn-ME"/>
        </w:rPr>
        <w:t>vo djelovanje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deksketoprofen</w:t>
      </w:r>
      <w:proofErr w:type="spellEnd"/>
      <w:r w:rsidR="00EC4DFE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EC4DFE" w:rsidRPr="007819CB">
        <w:rPr>
          <w:rFonts w:ascii="Times New Roman" w:eastAsia="Times New Roman" w:hAnsi="Times New Roman" w:cs="Times New Roman"/>
          <w:lang w:val="sr-Latn-ME"/>
        </w:rPr>
        <w:t>trometamola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>.</w:t>
      </w:r>
    </w:p>
    <w:p w14:paraId="0C16C265" w14:textId="77777777" w:rsidR="00B77B98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602C666B" w14:textId="6158B6EA" w:rsidR="00B77B98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>Pacijent</w:t>
      </w:r>
      <w:r w:rsidR="005B10A7" w:rsidRPr="007819CB">
        <w:rPr>
          <w:rFonts w:ascii="Times New Roman" w:eastAsia="Times New Roman" w:hAnsi="Times New Roman" w:cs="Times New Roman"/>
          <w:lang w:val="sr-Latn-ME"/>
        </w:rPr>
        <w:t>i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sa nekontrolisanom hipertenzijom,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kongestivnom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srčanom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insuficijencijom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>, u</w:t>
      </w:r>
      <w:r w:rsidR="005B10A7" w:rsidRPr="007819CB">
        <w:rPr>
          <w:rFonts w:ascii="Times New Roman" w:eastAsia="Times New Roman" w:hAnsi="Times New Roman" w:cs="Times New Roman"/>
          <w:lang w:val="sr-Latn-ME"/>
        </w:rPr>
        <w:t>stanovljenim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ishemijsk</w:t>
      </w:r>
      <w:r w:rsidR="005B10A7" w:rsidRPr="007819CB">
        <w:rPr>
          <w:rFonts w:ascii="Times New Roman" w:eastAsia="Times New Roman" w:hAnsi="Times New Roman" w:cs="Times New Roman"/>
          <w:lang w:val="sr-Latn-ME"/>
        </w:rPr>
        <w:t>i</w:t>
      </w:r>
      <w:r w:rsidRPr="007819CB">
        <w:rPr>
          <w:rFonts w:ascii="Times New Roman" w:eastAsia="Times New Roman" w:hAnsi="Times New Roman" w:cs="Times New Roman"/>
          <w:lang w:val="sr-Latn-ME"/>
        </w:rPr>
        <w:t>m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5B10A7" w:rsidRPr="007819CB">
        <w:rPr>
          <w:rFonts w:ascii="Times New Roman" w:eastAsia="Times New Roman" w:hAnsi="Times New Roman" w:cs="Times New Roman"/>
          <w:lang w:val="sr-Latn-ME"/>
        </w:rPr>
        <w:t>oboljenjem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srca, perifern</w:t>
      </w:r>
      <w:r w:rsidR="00710DC7" w:rsidRPr="007819CB">
        <w:rPr>
          <w:rFonts w:ascii="Times New Roman" w:eastAsia="Times New Roman" w:hAnsi="Times New Roman" w:cs="Times New Roman"/>
          <w:lang w:val="sr-Latn-ME"/>
        </w:rPr>
        <w:t>om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art</w:t>
      </w:r>
      <w:r w:rsidR="00710DC7" w:rsidRPr="007819CB">
        <w:rPr>
          <w:rFonts w:ascii="Times New Roman" w:eastAsia="Times New Roman" w:hAnsi="Times New Roman" w:cs="Times New Roman"/>
          <w:lang w:val="sr-Latn-ME"/>
        </w:rPr>
        <w:t>erijskom bolešću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i/ili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cerebrovaskularnom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bolešću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0D70A3" w:rsidRPr="007819CB">
        <w:rPr>
          <w:rFonts w:ascii="Times New Roman" w:eastAsia="Times New Roman" w:hAnsi="Times New Roman" w:cs="Times New Roman"/>
          <w:lang w:val="sr-Latn-ME"/>
        </w:rPr>
        <w:t xml:space="preserve">bi </w:t>
      </w:r>
      <w:r w:rsidRPr="007819CB">
        <w:rPr>
          <w:rFonts w:ascii="Times New Roman" w:eastAsia="Times New Roman" w:hAnsi="Times New Roman" w:cs="Times New Roman"/>
          <w:lang w:val="sr-Latn-ME"/>
        </w:rPr>
        <w:t>treba</w:t>
      </w:r>
      <w:r w:rsidR="000D70A3" w:rsidRPr="007819CB">
        <w:rPr>
          <w:rFonts w:ascii="Times New Roman" w:eastAsia="Times New Roman" w:hAnsi="Times New Roman" w:cs="Times New Roman"/>
          <w:lang w:val="sr-Latn-ME"/>
        </w:rPr>
        <w:t>lo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0D70A3" w:rsidRPr="007819CB">
        <w:rPr>
          <w:rFonts w:ascii="Times New Roman" w:eastAsia="Times New Roman" w:hAnsi="Times New Roman" w:cs="Times New Roman"/>
          <w:lang w:val="sr-Latn-ME"/>
        </w:rPr>
        <w:t>da koriste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deksketoprofen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EC4DFE" w:rsidRPr="007819CB">
        <w:rPr>
          <w:rFonts w:ascii="Times New Roman" w:eastAsia="Times New Roman" w:hAnsi="Times New Roman" w:cs="Times New Roman"/>
          <w:lang w:val="sr-Latn-ME"/>
        </w:rPr>
        <w:t>trometamol</w:t>
      </w:r>
      <w:proofErr w:type="spellEnd"/>
      <w:r w:rsidR="00EC4DFE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samo nakon pažljivog razmatranja. </w:t>
      </w:r>
      <w:r w:rsidR="000D70A3" w:rsidRPr="007819CB">
        <w:rPr>
          <w:rFonts w:ascii="Times New Roman" w:eastAsia="Times New Roman" w:hAnsi="Times New Roman" w:cs="Times New Roman"/>
          <w:lang w:val="sr-Latn-ME"/>
        </w:rPr>
        <w:t>Slično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razmatranje </w:t>
      </w:r>
      <w:r w:rsidR="000D70A3" w:rsidRPr="007819CB">
        <w:rPr>
          <w:rFonts w:ascii="Times New Roman" w:eastAsia="Times New Roman" w:hAnsi="Times New Roman" w:cs="Times New Roman"/>
          <w:lang w:val="sr-Latn-ME"/>
        </w:rPr>
        <w:t>treba da bude sprovedeno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pr</w:t>
      </w:r>
      <w:r w:rsidR="000D70A3" w:rsidRPr="007819CB">
        <w:rPr>
          <w:rFonts w:ascii="Times New Roman" w:eastAsia="Times New Roman" w:hAnsi="Times New Roman" w:cs="Times New Roman"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e </w:t>
      </w:r>
      <w:r w:rsidR="000D70A3" w:rsidRPr="007819CB">
        <w:rPr>
          <w:rFonts w:ascii="Times New Roman" w:eastAsia="Times New Roman" w:hAnsi="Times New Roman" w:cs="Times New Roman"/>
          <w:lang w:val="sr-Latn-ME"/>
        </w:rPr>
        <w:t>za</w:t>
      </w:r>
      <w:r w:rsidRPr="007819CB">
        <w:rPr>
          <w:rFonts w:ascii="Times New Roman" w:eastAsia="Times New Roman" w:hAnsi="Times New Roman" w:cs="Times New Roman"/>
          <w:lang w:val="sr-Latn-ME"/>
        </w:rPr>
        <w:t>poč</w:t>
      </w:r>
      <w:r w:rsidR="000D70A3" w:rsidRPr="007819CB">
        <w:rPr>
          <w:rFonts w:ascii="Times New Roman" w:eastAsia="Times New Roman" w:hAnsi="Times New Roman" w:cs="Times New Roman"/>
          <w:lang w:val="sr-Latn-ME"/>
        </w:rPr>
        <w:t>injanja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dugotrajn</w:t>
      </w:r>
      <w:r w:rsidR="000D70A3" w:rsidRPr="007819CB">
        <w:rPr>
          <w:rFonts w:ascii="Times New Roman" w:eastAsia="Times New Roman" w:hAnsi="Times New Roman" w:cs="Times New Roman"/>
          <w:lang w:val="sr-Latn-ME"/>
        </w:rPr>
        <w:t>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0D70A3" w:rsidRPr="007819CB">
        <w:rPr>
          <w:rFonts w:ascii="Times New Roman" w:eastAsia="Times New Roman" w:hAnsi="Times New Roman" w:cs="Times New Roman"/>
          <w:lang w:val="sr-Latn-ME"/>
        </w:rPr>
        <w:t>terapije kod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pacijenata sa rizik</w:t>
      </w:r>
      <w:r w:rsidR="00EC4DFE" w:rsidRPr="007819CB">
        <w:rPr>
          <w:rFonts w:ascii="Times New Roman" w:eastAsia="Times New Roman" w:hAnsi="Times New Roman" w:cs="Times New Roman"/>
          <w:lang w:val="sr-Latn-ME"/>
        </w:rPr>
        <w:t xml:space="preserve"> faktorom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za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kardiovaskularn</w:t>
      </w:r>
      <w:r w:rsidR="000D70A3" w:rsidRPr="007819CB">
        <w:rPr>
          <w:rFonts w:ascii="Times New Roman" w:eastAsia="Times New Roman" w:hAnsi="Times New Roman" w:cs="Times New Roman"/>
          <w:lang w:val="sr-Latn-ME"/>
        </w:rPr>
        <w:t>ih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0D70A3" w:rsidRPr="007819CB">
        <w:rPr>
          <w:rFonts w:ascii="Times New Roman" w:eastAsia="Times New Roman" w:hAnsi="Times New Roman" w:cs="Times New Roman"/>
          <w:lang w:val="sr-Latn-ME"/>
        </w:rPr>
        <w:t>oboljenja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(npr. hipertenzija,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hiperlipidemija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>, dijabetes, pušenje).</w:t>
      </w:r>
    </w:p>
    <w:p w14:paraId="22620CE3" w14:textId="77777777" w:rsidR="00B77B98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2695172A" w14:textId="236E0ADF" w:rsidR="00B77B98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Svi neselektivni NSAIL mogu inhibirati agregaciju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trombocita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i produžiti vr</w:t>
      </w:r>
      <w:r w:rsidR="000D70A3" w:rsidRPr="007819CB">
        <w:rPr>
          <w:rFonts w:ascii="Times New Roman" w:eastAsia="Times New Roman" w:hAnsi="Times New Roman" w:cs="Times New Roman"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eme krvarenja </w:t>
      </w:r>
      <w:r w:rsidR="00ED3C83" w:rsidRPr="007819CB">
        <w:rPr>
          <w:rFonts w:ascii="Times New Roman" w:eastAsia="Times New Roman" w:hAnsi="Times New Roman" w:cs="Times New Roman"/>
          <w:lang w:val="sr-Latn-ME"/>
        </w:rPr>
        <w:t>putem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inhibi</w:t>
      </w:r>
      <w:r w:rsidR="00ED3C83" w:rsidRPr="007819CB">
        <w:rPr>
          <w:rFonts w:ascii="Times New Roman" w:eastAsia="Times New Roman" w:hAnsi="Times New Roman" w:cs="Times New Roman"/>
          <w:lang w:val="sr-Latn-ME"/>
        </w:rPr>
        <w:t>cije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sintez</w:t>
      </w:r>
      <w:r w:rsidR="00ED3C83" w:rsidRPr="007819CB">
        <w:rPr>
          <w:rFonts w:ascii="Times New Roman" w:eastAsia="Times New Roman" w:hAnsi="Times New Roman" w:cs="Times New Roman"/>
          <w:lang w:val="sr-Latn-ME"/>
        </w:rPr>
        <w:t>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prostaglandina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. U kontrolisanim kliničkim ispitivanjima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prim</w:t>
      </w:r>
      <w:r w:rsidR="00223317" w:rsidRPr="007819CB">
        <w:rPr>
          <w:rFonts w:ascii="Times New Roman" w:eastAsia="Times New Roman" w:hAnsi="Times New Roman" w:cs="Times New Roman"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lang w:val="sr-Latn-ME"/>
        </w:rPr>
        <w:t>ećena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je istovremena prim</w:t>
      </w:r>
      <w:r w:rsidR="00223317" w:rsidRPr="007819CB">
        <w:rPr>
          <w:rFonts w:ascii="Times New Roman" w:eastAsia="Times New Roman" w:hAnsi="Times New Roman" w:cs="Times New Roman"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ena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deksketoprofen</w:t>
      </w:r>
      <w:proofErr w:type="spellEnd"/>
      <w:r w:rsidR="00674623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674623" w:rsidRPr="007819CB">
        <w:rPr>
          <w:rFonts w:ascii="Times New Roman" w:eastAsia="Times New Roman" w:hAnsi="Times New Roman" w:cs="Times New Roman"/>
          <w:lang w:val="sr-Latn-ME"/>
        </w:rPr>
        <w:t>trometamola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i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profilaktičkih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doza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niskomolekularnog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heparina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u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postoperativnom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periodu i nije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prim</w:t>
      </w:r>
      <w:r w:rsidR="008731AE" w:rsidRPr="007819CB">
        <w:rPr>
          <w:rFonts w:ascii="Times New Roman" w:eastAsia="Times New Roman" w:hAnsi="Times New Roman" w:cs="Times New Roman"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lang w:val="sr-Latn-ME"/>
        </w:rPr>
        <w:t>ećen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uticaj na parametre koagulacije. Međutim, pacijente koji primaju l</w:t>
      </w:r>
      <w:r w:rsidR="008731AE" w:rsidRPr="007819CB">
        <w:rPr>
          <w:rFonts w:ascii="Times New Roman" w:eastAsia="Times New Roman" w:hAnsi="Times New Roman" w:cs="Times New Roman"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ekove koji </w:t>
      </w:r>
      <w:r w:rsidR="00B671AD" w:rsidRPr="007819CB">
        <w:rPr>
          <w:rFonts w:ascii="Times New Roman" w:eastAsia="Times New Roman" w:hAnsi="Times New Roman" w:cs="Times New Roman"/>
          <w:lang w:val="sr-Latn-ME"/>
        </w:rPr>
        <w:t>ometaju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hemostazu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, kao što su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varfarin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, drugi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kumarini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ili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heparin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, treba pažljivo pratiti kada se koristi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deksketoprofen</w:t>
      </w:r>
      <w:proofErr w:type="spellEnd"/>
      <w:r w:rsidR="00674623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674623" w:rsidRPr="007819CB">
        <w:rPr>
          <w:rFonts w:ascii="Times New Roman" w:eastAsia="Times New Roman" w:hAnsi="Times New Roman" w:cs="Times New Roman"/>
          <w:lang w:val="sr-Latn-ME"/>
        </w:rPr>
        <w:t>trometamol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(</w:t>
      </w:r>
      <w:r w:rsidR="008731AE" w:rsidRPr="007819CB">
        <w:rPr>
          <w:rFonts w:ascii="Times New Roman" w:eastAsia="Times New Roman" w:hAnsi="Times New Roman" w:cs="Times New Roman"/>
          <w:lang w:val="sr-Latn-ME"/>
        </w:rPr>
        <w:t>pogledati dio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4.5).</w:t>
      </w:r>
    </w:p>
    <w:p w14:paraId="40A670A9" w14:textId="77777777" w:rsidR="00B77B98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4EAD5123" w14:textId="4FA3DB03" w:rsidR="00B77B98" w:rsidRPr="007819CB" w:rsidRDefault="00393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Kod starijih pacijenata je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v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>eća</w:t>
      </w:r>
      <w:proofErr w:type="spellEnd"/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B77B98" w:rsidRPr="007819CB">
        <w:rPr>
          <w:rFonts w:ascii="Times New Roman" w:eastAsia="Times New Roman" w:hAnsi="Times New Roman" w:cs="Times New Roman"/>
          <w:lang w:val="sr-Latn-ME"/>
        </w:rPr>
        <w:t>v</w:t>
      </w:r>
      <w:r w:rsidRPr="007819CB">
        <w:rPr>
          <w:rFonts w:ascii="Times New Roman" w:eastAsia="Times New Roman" w:hAnsi="Times New Roman" w:cs="Times New Roman"/>
          <w:lang w:val="sr-Latn-ME"/>
        </w:rPr>
        <w:t>j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>erovatnoća</w:t>
      </w:r>
      <w:proofErr w:type="spellEnd"/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da im</w:t>
      </w:r>
      <w:r w:rsidRPr="007819CB">
        <w:rPr>
          <w:rFonts w:ascii="Times New Roman" w:eastAsia="Times New Roman" w:hAnsi="Times New Roman" w:cs="Times New Roman"/>
          <w:lang w:val="sr-Latn-ME"/>
        </w:rPr>
        <w:t>aju oslabljenu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B77B98" w:rsidRPr="007819CB">
        <w:rPr>
          <w:rFonts w:ascii="Times New Roman" w:eastAsia="Times New Roman" w:hAnsi="Times New Roman" w:cs="Times New Roman"/>
          <w:lang w:val="sr-Latn-ME"/>
        </w:rPr>
        <w:t>kardiovaskularnu</w:t>
      </w:r>
      <w:proofErr w:type="spellEnd"/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funkciju (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pogledati dio 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>4.2).</w:t>
      </w:r>
    </w:p>
    <w:p w14:paraId="71ADF058" w14:textId="77777777" w:rsidR="00B77B98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6F242E7" w14:textId="3A2EB975" w:rsidR="00B77B98" w:rsidRPr="007819CB" w:rsidRDefault="00393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>Reakcije na koži</w:t>
      </w:r>
    </w:p>
    <w:p w14:paraId="71C11305" w14:textId="598CDE08" w:rsidR="00DC248B" w:rsidRPr="007819CB" w:rsidRDefault="00DC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Ozbiljne reakcije na koži (neke od njih sa smrtnim ishodom), uključujući,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eksfolijativni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dermatitis,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Stevens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>-Johnson</w:t>
      </w:r>
      <w:r w:rsidR="00EF6659" w:rsidRPr="007819CB">
        <w:rPr>
          <w:rFonts w:ascii="Times New Roman" w:eastAsia="Times New Roman" w:hAnsi="Times New Roman" w:cs="Times New Roman"/>
          <w:lang w:val="sr-Latn-ME"/>
        </w:rPr>
        <w:t>-ov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sindrom i toksičnu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epidermalnu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nekrolizu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>, su veoma rijetko prijavljivane u vezi sa upotrebom NSAIL. Pacijenti su u povećanom riziku od ovih reakcija na početku terapije</w:t>
      </w:r>
      <w:r w:rsidR="00674623" w:rsidRPr="007819CB">
        <w:rPr>
          <w:rFonts w:ascii="Times New Roman" w:eastAsia="Times New Roman" w:hAnsi="Times New Roman" w:cs="Times New Roman"/>
          <w:lang w:val="sr-Latn-ME"/>
        </w:rPr>
        <w:t>.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674623" w:rsidRPr="007819CB">
        <w:rPr>
          <w:rFonts w:ascii="Times New Roman" w:eastAsia="Times New Roman" w:hAnsi="Times New Roman" w:cs="Times New Roman"/>
          <w:lang w:val="sr-Latn-ME"/>
        </w:rPr>
        <w:t>N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ajviše ovih reakcija se dešava tokom prvog mjeseca terapije. Treba prekinuti primjenu lijeka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</w:t>
      </w:r>
      <w:r w:rsidR="00632634" w:rsidRPr="007819CB">
        <w:rPr>
          <w:rFonts w:ascii="Times New Roman" w:eastAsia="Times New Roman" w:hAnsi="Times New Roman" w:cs="Times New Roman"/>
          <w:lang w:val="sr-Latn-ME"/>
        </w:rPr>
        <w:t>xketoprofen</w:t>
      </w:r>
      <w:proofErr w:type="spellEnd"/>
      <w:r w:rsidR="00632634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632634" w:rsidRPr="007819CB">
        <w:rPr>
          <w:rFonts w:ascii="Times New Roman" w:eastAsia="Times New Roman" w:hAnsi="Times New Roman" w:cs="Times New Roman"/>
          <w:lang w:val="sr-Latn-ME"/>
        </w:rPr>
        <w:t>Kalceks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kod prve pojave znakova svraba na koži, oštećenja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sluznica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ili bilo kojih drugih znakova preosjetljivosti.</w:t>
      </w:r>
    </w:p>
    <w:p w14:paraId="0C2ECB66" w14:textId="6EF88FDD" w:rsidR="000736CD" w:rsidRPr="007819CB" w:rsidRDefault="00073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0AAD263" w14:textId="77777777" w:rsidR="000736CD" w:rsidRPr="007819CB" w:rsidRDefault="00073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Latn-ME"/>
        </w:rPr>
      </w:pPr>
      <w:r w:rsidRPr="007819CB">
        <w:rPr>
          <w:rFonts w:ascii="Times New Roman" w:eastAsia="Times New Roman" w:hAnsi="Times New Roman" w:cs="Times New Roman"/>
          <w:b/>
          <w:lang w:val="sr-Latn-ME"/>
        </w:rPr>
        <w:t>Prikrivanje simptoma osnovnih infekcija</w:t>
      </w:r>
    </w:p>
    <w:p w14:paraId="50B416BB" w14:textId="6FE7C26C" w:rsidR="000736CD" w:rsidRPr="007819CB" w:rsidRDefault="00D3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</w:t>
      </w:r>
      <w:r w:rsidR="0014009D" w:rsidRPr="007819CB">
        <w:rPr>
          <w:rFonts w:ascii="Times New Roman" w:eastAsia="Times New Roman" w:hAnsi="Times New Roman" w:cs="Times New Roman"/>
          <w:lang w:val="sr-Latn-ME"/>
        </w:rPr>
        <w:t>ks</w:t>
      </w:r>
      <w:r w:rsidRPr="007819CB">
        <w:rPr>
          <w:rFonts w:ascii="Times New Roman" w:eastAsia="Times New Roman" w:hAnsi="Times New Roman" w:cs="Times New Roman"/>
          <w:lang w:val="sr-Latn-ME"/>
        </w:rPr>
        <w:t>ketoprofen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0736CD" w:rsidRPr="007819CB">
        <w:rPr>
          <w:rFonts w:ascii="Times New Roman" w:eastAsia="Times New Roman" w:hAnsi="Times New Roman" w:cs="Times New Roman"/>
          <w:lang w:val="sr-Latn-ME"/>
        </w:rPr>
        <w:t>može prikriti simptome infekcije, što može od</w:t>
      </w:r>
      <w:r w:rsidR="0014009D" w:rsidRPr="007819CB">
        <w:rPr>
          <w:rFonts w:ascii="Times New Roman" w:eastAsia="Times New Roman" w:hAnsi="Times New Roman" w:cs="Times New Roman"/>
          <w:lang w:val="sr-Latn-ME"/>
        </w:rPr>
        <w:t>ložiti</w:t>
      </w:r>
      <w:r w:rsidR="000736CD" w:rsidRPr="007819CB">
        <w:rPr>
          <w:rFonts w:ascii="Times New Roman" w:eastAsia="Times New Roman" w:hAnsi="Times New Roman" w:cs="Times New Roman"/>
          <w:lang w:val="sr-Latn-ME"/>
        </w:rPr>
        <w:t xml:space="preserve"> početak odgovarajućeg liječenja</w:t>
      </w:r>
      <w:r w:rsidR="0014009D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0736CD" w:rsidRPr="007819CB">
        <w:rPr>
          <w:rFonts w:ascii="Times New Roman" w:eastAsia="Times New Roman" w:hAnsi="Times New Roman" w:cs="Times New Roman"/>
          <w:lang w:val="sr-Latn-ME"/>
        </w:rPr>
        <w:t xml:space="preserve">i tako dovesti do pogoršanja ishoda infekcije. To je </w:t>
      </w:r>
      <w:r w:rsidR="0014009D" w:rsidRPr="007819CB">
        <w:rPr>
          <w:rFonts w:ascii="Times New Roman" w:eastAsia="Times New Roman" w:hAnsi="Times New Roman" w:cs="Times New Roman"/>
          <w:lang w:val="sr-Latn-ME"/>
        </w:rPr>
        <w:t>primijećeno</w:t>
      </w:r>
      <w:r w:rsidR="000736CD" w:rsidRPr="007819CB">
        <w:rPr>
          <w:rFonts w:ascii="Times New Roman" w:eastAsia="Times New Roman" w:hAnsi="Times New Roman" w:cs="Times New Roman"/>
          <w:lang w:val="sr-Latn-ME"/>
        </w:rPr>
        <w:t xml:space="preserve"> kod vanbolnički stečene </w:t>
      </w:r>
      <w:proofErr w:type="spellStart"/>
      <w:r w:rsidR="000736CD" w:rsidRPr="007819CB">
        <w:rPr>
          <w:rFonts w:ascii="Times New Roman" w:eastAsia="Times New Roman" w:hAnsi="Times New Roman" w:cs="Times New Roman"/>
          <w:lang w:val="sr-Latn-ME"/>
        </w:rPr>
        <w:t>bakterijske</w:t>
      </w:r>
      <w:proofErr w:type="spellEnd"/>
      <w:r w:rsidR="0014009D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0736CD" w:rsidRPr="007819CB">
        <w:rPr>
          <w:rFonts w:ascii="Times New Roman" w:eastAsia="Times New Roman" w:hAnsi="Times New Roman" w:cs="Times New Roman"/>
          <w:lang w:val="sr-Latn-ME"/>
        </w:rPr>
        <w:t xml:space="preserve">upale pluća i </w:t>
      </w:r>
      <w:proofErr w:type="spellStart"/>
      <w:r w:rsidR="000736CD" w:rsidRPr="007819CB">
        <w:rPr>
          <w:rFonts w:ascii="Times New Roman" w:eastAsia="Times New Roman" w:hAnsi="Times New Roman" w:cs="Times New Roman"/>
          <w:lang w:val="sr-Latn-ME"/>
        </w:rPr>
        <w:t>bakterijskih</w:t>
      </w:r>
      <w:proofErr w:type="spellEnd"/>
      <w:r w:rsidR="000736CD" w:rsidRPr="007819CB">
        <w:rPr>
          <w:rFonts w:ascii="Times New Roman" w:eastAsia="Times New Roman" w:hAnsi="Times New Roman" w:cs="Times New Roman"/>
          <w:lang w:val="sr-Latn-ME"/>
        </w:rPr>
        <w:t xml:space="preserve"> komplikacija povezanih s</w:t>
      </w:r>
      <w:r w:rsidR="0014009D" w:rsidRPr="007819CB">
        <w:rPr>
          <w:rFonts w:ascii="Times New Roman" w:eastAsia="Times New Roman" w:hAnsi="Times New Roman" w:cs="Times New Roman"/>
          <w:lang w:val="sr-Latn-ME"/>
        </w:rPr>
        <w:t>a</w:t>
      </w:r>
      <w:r w:rsidR="000736CD" w:rsidRPr="007819CB">
        <w:rPr>
          <w:rFonts w:ascii="Times New Roman" w:eastAsia="Times New Roman" w:hAnsi="Times New Roman" w:cs="Times New Roman"/>
          <w:lang w:val="sr-Latn-ME"/>
        </w:rPr>
        <w:t xml:space="preserve"> varičelama. Kada se ovaj lijek primjenjuje za</w:t>
      </w:r>
      <w:r w:rsidR="0014009D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0736CD" w:rsidRPr="007819CB">
        <w:rPr>
          <w:rFonts w:ascii="Times New Roman" w:eastAsia="Times New Roman" w:hAnsi="Times New Roman" w:cs="Times New Roman"/>
          <w:lang w:val="sr-Latn-ME"/>
        </w:rPr>
        <w:t>ublažavanje bolova povezanih sa infekcijom, preporučuje se praćenje infekcije. U vanbolničkim</w:t>
      </w:r>
      <w:r w:rsidR="0014009D" w:rsidRPr="007819CB">
        <w:rPr>
          <w:rFonts w:ascii="Times New Roman" w:eastAsia="Times New Roman" w:hAnsi="Times New Roman" w:cs="Times New Roman"/>
          <w:lang w:val="sr-Latn-ME"/>
        </w:rPr>
        <w:t xml:space="preserve"> uslovima</w:t>
      </w:r>
      <w:r w:rsidR="000736CD" w:rsidRPr="007819CB">
        <w:rPr>
          <w:rFonts w:ascii="Times New Roman" w:eastAsia="Times New Roman" w:hAnsi="Times New Roman" w:cs="Times New Roman"/>
          <w:lang w:val="sr-Latn-ME"/>
        </w:rPr>
        <w:t xml:space="preserve"> pacijent bi se trebao obratiti ljekaru ako simptomi </w:t>
      </w:r>
      <w:proofErr w:type="spellStart"/>
      <w:r w:rsidR="000736CD" w:rsidRPr="007819CB">
        <w:rPr>
          <w:rFonts w:ascii="Times New Roman" w:eastAsia="Times New Roman" w:hAnsi="Times New Roman" w:cs="Times New Roman"/>
          <w:lang w:val="sr-Latn-ME"/>
        </w:rPr>
        <w:t>perzistiraju</w:t>
      </w:r>
      <w:proofErr w:type="spellEnd"/>
      <w:r w:rsidR="000736CD" w:rsidRPr="007819CB">
        <w:rPr>
          <w:rFonts w:ascii="Times New Roman" w:eastAsia="Times New Roman" w:hAnsi="Times New Roman" w:cs="Times New Roman"/>
          <w:lang w:val="sr-Latn-ME"/>
        </w:rPr>
        <w:t xml:space="preserve"> ili se pogoršavaju.</w:t>
      </w:r>
    </w:p>
    <w:p w14:paraId="59DFC987" w14:textId="080BAB66" w:rsidR="00B77B98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9431CE0" w14:textId="77777777" w:rsidR="00B77B98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>Ostale informacije</w:t>
      </w:r>
    </w:p>
    <w:p w14:paraId="1EB7BF9A" w14:textId="722D5543" w:rsidR="00B77B98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>Poseban oprez je potreban kod pacijenata:</w:t>
      </w:r>
    </w:p>
    <w:p w14:paraId="0A3E4519" w14:textId="7CE1C202" w:rsidR="00B77B98" w:rsidRPr="007819CB" w:rsidRDefault="00B77B98">
      <w:pPr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- sa </w:t>
      </w:r>
      <w:proofErr w:type="spellStart"/>
      <w:r w:rsidR="008F3BF7" w:rsidRPr="007819CB">
        <w:rPr>
          <w:rFonts w:ascii="Times New Roman" w:eastAsia="Times New Roman" w:hAnsi="Times New Roman" w:cs="Times New Roman"/>
          <w:lang w:val="sr-Latn-ME"/>
        </w:rPr>
        <w:t>kongenitalnim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poremećajem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metabolizma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porfirina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(npr. akutna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intermitentna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porfirija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>)</w:t>
      </w:r>
      <w:r w:rsidR="008F3BF7" w:rsidRPr="007819CB">
        <w:rPr>
          <w:rFonts w:ascii="Times New Roman" w:eastAsia="Times New Roman" w:hAnsi="Times New Roman" w:cs="Times New Roman"/>
          <w:lang w:val="sr-Latn-ME"/>
        </w:rPr>
        <w:t>;</w:t>
      </w:r>
    </w:p>
    <w:p w14:paraId="11ED94DF" w14:textId="7BDCCE1E" w:rsidR="00B77B98" w:rsidRPr="007819CB" w:rsidRDefault="00B77B98">
      <w:pPr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>- sa dehidracijom</w:t>
      </w:r>
      <w:r w:rsidR="008F3BF7" w:rsidRPr="007819CB">
        <w:rPr>
          <w:rFonts w:ascii="Times New Roman" w:eastAsia="Times New Roman" w:hAnsi="Times New Roman" w:cs="Times New Roman"/>
          <w:lang w:val="sr-Latn-ME"/>
        </w:rPr>
        <w:t>;</w:t>
      </w:r>
    </w:p>
    <w:p w14:paraId="6274D8BF" w14:textId="1A7EAD6C" w:rsidR="00B77B98" w:rsidRPr="007819CB" w:rsidRDefault="00B77B98">
      <w:pPr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>- odmah nakon velik</w:t>
      </w:r>
      <w:r w:rsidR="008F3BF7" w:rsidRPr="007819CB">
        <w:rPr>
          <w:rFonts w:ascii="Times New Roman" w:eastAsia="Times New Roman" w:hAnsi="Times New Roman" w:cs="Times New Roman"/>
          <w:lang w:val="sr-Latn-ME"/>
        </w:rPr>
        <w:t>og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oper</w:t>
      </w:r>
      <w:r w:rsidR="008F3BF7" w:rsidRPr="007819CB">
        <w:rPr>
          <w:rFonts w:ascii="Times New Roman" w:eastAsia="Times New Roman" w:hAnsi="Times New Roman" w:cs="Times New Roman"/>
          <w:lang w:val="sr-Latn-ME"/>
        </w:rPr>
        <w:t>ativnog zahvata</w:t>
      </w:r>
      <w:r w:rsidRPr="007819CB">
        <w:rPr>
          <w:rFonts w:ascii="Times New Roman" w:eastAsia="Times New Roman" w:hAnsi="Times New Roman" w:cs="Times New Roman"/>
          <w:lang w:val="sr-Latn-ME"/>
        </w:rPr>
        <w:t>.</w:t>
      </w:r>
    </w:p>
    <w:p w14:paraId="08B18468" w14:textId="2B9B8DB9" w:rsidR="00C16C7F" w:rsidRPr="007819CB" w:rsidRDefault="00C16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lastRenderedPageBreak/>
        <w:t xml:space="preserve">Ako ljekar smatra da je neophodna dugotrajna terapija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deksketoprofenom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>, funkcija jetre i bubrega kao i krvna slika treba redovno da se provjeravaju.</w:t>
      </w:r>
    </w:p>
    <w:p w14:paraId="7D4E7DE1" w14:textId="77777777" w:rsidR="00C16C7F" w:rsidRPr="007819CB" w:rsidRDefault="00C16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B51E43B" w14:textId="4ED91B21" w:rsidR="00B77B98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>U veoma r</w:t>
      </w:r>
      <w:r w:rsidR="00674623" w:rsidRPr="007819CB">
        <w:rPr>
          <w:rFonts w:ascii="Times New Roman" w:eastAsia="Times New Roman" w:hAnsi="Times New Roman" w:cs="Times New Roman"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lang w:val="sr-Latn-ME"/>
        </w:rPr>
        <w:t>etkim slučajevima</w:t>
      </w:r>
      <w:r w:rsidR="00CB1E26" w:rsidRPr="007819CB">
        <w:rPr>
          <w:rFonts w:ascii="Times New Roman" w:eastAsia="Times New Roman" w:hAnsi="Times New Roman" w:cs="Times New Roman"/>
          <w:lang w:val="sr-Latn-ME"/>
        </w:rPr>
        <w:t xml:space="preserve"> su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prijavljene teške akutne reakcije preos</w:t>
      </w:r>
      <w:r w:rsidR="00CB1E26" w:rsidRPr="007819CB">
        <w:rPr>
          <w:rFonts w:ascii="Times New Roman" w:eastAsia="Times New Roman" w:hAnsi="Times New Roman" w:cs="Times New Roman"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etljivosti (npr.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anafilaktički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šok). L</w:t>
      </w:r>
      <w:r w:rsidR="00CB1E26" w:rsidRPr="007819CB">
        <w:rPr>
          <w:rFonts w:ascii="Times New Roman" w:eastAsia="Times New Roman" w:hAnsi="Times New Roman" w:cs="Times New Roman"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ečenje se mora prekinuti kod </w:t>
      </w:r>
      <w:r w:rsidR="00CB1E26" w:rsidRPr="007819CB">
        <w:rPr>
          <w:rFonts w:ascii="Times New Roman" w:eastAsia="Times New Roman" w:hAnsi="Times New Roman" w:cs="Times New Roman"/>
          <w:lang w:val="sr-Latn-ME"/>
        </w:rPr>
        <w:t xml:space="preserve">pojave </w:t>
      </w:r>
      <w:r w:rsidRPr="007819CB">
        <w:rPr>
          <w:rFonts w:ascii="Times New Roman" w:eastAsia="Times New Roman" w:hAnsi="Times New Roman" w:cs="Times New Roman"/>
          <w:lang w:val="sr-Latn-ME"/>
        </w:rPr>
        <w:t>prvih znakova teških reakcija preos</w:t>
      </w:r>
      <w:r w:rsidR="00CB1E26" w:rsidRPr="007819CB">
        <w:rPr>
          <w:rFonts w:ascii="Times New Roman" w:eastAsia="Times New Roman" w:hAnsi="Times New Roman" w:cs="Times New Roman"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lang w:val="sr-Latn-ME"/>
        </w:rPr>
        <w:t>etljivosti nakon uzimanja</w:t>
      </w:r>
      <w:r w:rsidR="00CB1E26" w:rsidRPr="007819CB">
        <w:rPr>
          <w:rFonts w:ascii="Times New Roman" w:eastAsia="Times New Roman" w:hAnsi="Times New Roman" w:cs="Times New Roman"/>
          <w:lang w:val="sr-Latn-ME"/>
        </w:rPr>
        <w:t xml:space="preserve"> lijeka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CB1E26" w:rsidRPr="007819CB">
        <w:rPr>
          <w:rFonts w:ascii="Times New Roman" w:eastAsia="Times New Roman" w:hAnsi="Times New Roman" w:cs="Times New Roman"/>
          <w:lang w:val="sr-Latn-ME"/>
        </w:rPr>
        <w:t>Dexketoprofen</w:t>
      </w:r>
      <w:proofErr w:type="spellEnd"/>
      <w:r w:rsidR="00CB1E26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CB1E26" w:rsidRPr="007819CB">
        <w:rPr>
          <w:rFonts w:ascii="Times New Roman" w:eastAsia="Times New Roman" w:hAnsi="Times New Roman" w:cs="Times New Roman"/>
          <w:lang w:val="sr-Latn-ME"/>
        </w:rPr>
        <w:t>Kalceks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. </w:t>
      </w:r>
      <w:r w:rsidR="00E649E3" w:rsidRPr="007819CB">
        <w:rPr>
          <w:rFonts w:ascii="Times New Roman" w:eastAsia="Times New Roman" w:hAnsi="Times New Roman" w:cs="Times New Roman"/>
          <w:lang w:val="sr-Latn-ME"/>
        </w:rPr>
        <w:t>U zavisnosti od simptoma, ljekar s</w:t>
      </w:r>
      <w:r w:rsidRPr="007819CB">
        <w:rPr>
          <w:rFonts w:ascii="Times New Roman" w:eastAsia="Times New Roman" w:hAnsi="Times New Roman" w:cs="Times New Roman"/>
          <w:lang w:val="sr-Latn-ME"/>
        </w:rPr>
        <w:t>pecijali</w:t>
      </w:r>
      <w:r w:rsidR="00E649E3" w:rsidRPr="007819CB">
        <w:rPr>
          <w:rFonts w:ascii="Times New Roman" w:eastAsia="Times New Roman" w:hAnsi="Times New Roman" w:cs="Times New Roman"/>
          <w:lang w:val="sr-Latn-ME"/>
        </w:rPr>
        <w:t>sta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mora</w:t>
      </w:r>
      <w:r w:rsidR="00E649E3" w:rsidRPr="007819CB">
        <w:rPr>
          <w:rFonts w:ascii="Times New Roman" w:eastAsia="Times New Roman" w:hAnsi="Times New Roman" w:cs="Times New Roman"/>
          <w:lang w:val="sr-Latn-ME"/>
        </w:rPr>
        <w:t xml:space="preserve"> da inicira</w:t>
      </w:r>
      <w:r w:rsidR="00792FE8" w:rsidRPr="007819CB">
        <w:rPr>
          <w:rFonts w:ascii="Times New Roman" w:eastAsia="Times New Roman" w:hAnsi="Times New Roman" w:cs="Times New Roman"/>
          <w:lang w:val="sr-Latn-ME"/>
        </w:rPr>
        <w:t xml:space="preserve"> pr</w:t>
      </w:r>
      <w:r w:rsidR="00674623" w:rsidRPr="007819CB">
        <w:rPr>
          <w:rFonts w:ascii="Times New Roman" w:eastAsia="Times New Roman" w:hAnsi="Times New Roman" w:cs="Times New Roman"/>
          <w:lang w:val="sr-Latn-ME"/>
        </w:rPr>
        <w:t>u</w:t>
      </w:r>
      <w:r w:rsidR="00792FE8" w:rsidRPr="007819CB">
        <w:rPr>
          <w:rFonts w:ascii="Times New Roman" w:eastAsia="Times New Roman" w:hAnsi="Times New Roman" w:cs="Times New Roman"/>
          <w:lang w:val="sr-Latn-ME"/>
        </w:rPr>
        <w:t>žanje stručne medicinske pomoći</w:t>
      </w:r>
      <w:r w:rsidRPr="007819CB">
        <w:rPr>
          <w:rFonts w:ascii="Times New Roman" w:eastAsia="Times New Roman" w:hAnsi="Times New Roman" w:cs="Times New Roman"/>
          <w:lang w:val="sr-Latn-ME"/>
        </w:rPr>
        <w:t>.</w:t>
      </w:r>
    </w:p>
    <w:p w14:paraId="6FAD95AE" w14:textId="77777777" w:rsidR="00B77B98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5C687829" w14:textId="77777777" w:rsidR="00674623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Pacijenti sa astmom u kombinaciji sa hroničnim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rinitisom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, hroničnim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sinusitisom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i/ili nazalnom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polipozom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imaju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veći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rizik od alergije na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acetilsalicilnu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kiselinu i/ili NSAIL u </w:t>
      </w:r>
      <w:r w:rsidR="00F545B1" w:rsidRPr="007819CB">
        <w:rPr>
          <w:rFonts w:ascii="Times New Roman" w:eastAsia="Times New Roman" w:hAnsi="Times New Roman" w:cs="Times New Roman"/>
          <w:lang w:val="sr-Latn-ME"/>
        </w:rPr>
        <w:t>odnosu na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F545B1" w:rsidRPr="007819CB">
        <w:rPr>
          <w:rFonts w:ascii="Times New Roman" w:eastAsia="Times New Roman" w:hAnsi="Times New Roman" w:cs="Times New Roman"/>
          <w:lang w:val="sr-Latn-ME"/>
        </w:rPr>
        <w:t>ostalu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populacij</w:t>
      </w:r>
      <w:r w:rsidR="00F545B1" w:rsidRPr="007819CB">
        <w:rPr>
          <w:rFonts w:ascii="Times New Roman" w:eastAsia="Times New Roman" w:hAnsi="Times New Roman" w:cs="Times New Roman"/>
          <w:lang w:val="sr-Latn-ME"/>
        </w:rPr>
        <w:t>u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. </w:t>
      </w:r>
    </w:p>
    <w:p w14:paraId="0F0E710D" w14:textId="15C25CA2" w:rsidR="00B77B98" w:rsidRPr="007819CB" w:rsidRDefault="00F54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>Primjena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ovog l</w:t>
      </w:r>
      <w:r w:rsidRPr="007819CB">
        <w:rPr>
          <w:rFonts w:ascii="Times New Roman" w:eastAsia="Times New Roman" w:hAnsi="Times New Roman" w:cs="Times New Roman"/>
          <w:lang w:val="sr-Latn-ME"/>
        </w:rPr>
        <w:t>ij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eka može </w:t>
      </w:r>
      <w:r w:rsidRPr="007819CB">
        <w:rPr>
          <w:rFonts w:ascii="Times New Roman" w:eastAsia="Times New Roman" w:hAnsi="Times New Roman" w:cs="Times New Roman"/>
          <w:lang w:val="sr-Latn-ME"/>
        </w:rPr>
        <w:t>prouzrokovati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napade astme ili </w:t>
      </w:r>
      <w:proofErr w:type="spellStart"/>
      <w:r w:rsidR="00B77B98" w:rsidRPr="007819CB">
        <w:rPr>
          <w:rFonts w:ascii="Times New Roman" w:eastAsia="Times New Roman" w:hAnsi="Times New Roman" w:cs="Times New Roman"/>
          <w:lang w:val="sr-Latn-ME"/>
        </w:rPr>
        <w:t>bronhospazam</w:t>
      </w:r>
      <w:proofErr w:type="spellEnd"/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, </w:t>
      </w:r>
      <w:r w:rsidRPr="007819CB">
        <w:rPr>
          <w:rFonts w:ascii="Times New Roman" w:eastAsia="Times New Roman" w:hAnsi="Times New Roman" w:cs="Times New Roman"/>
          <w:lang w:val="sr-Latn-ME"/>
        </w:rPr>
        <w:t>naročito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kod </w:t>
      </w:r>
      <w:r w:rsidRPr="007819CB">
        <w:rPr>
          <w:rFonts w:ascii="Times New Roman" w:eastAsia="Times New Roman" w:hAnsi="Times New Roman" w:cs="Times New Roman"/>
          <w:lang w:val="sr-Latn-ME"/>
        </w:rPr>
        <w:t>osoba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koji su alergičn</w:t>
      </w:r>
      <w:r w:rsidRPr="007819CB">
        <w:rPr>
          <w:rFonts w:ascii="Times New Roman" w:eastAsia="Times New Roman" w:hAnsi="Times New Roman" w:cs="Times New Roman"/>
          <w:lang w:val="sr-Latn-ME"/>
        </w:rPr>
        <w:t>e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na </w:t>
      </w:r>
      <w:proofErr w:type="spellStart"/>
      <w:r w:rsidR="00B77B98" w:rsidRPr="007819CB">
        <w:rPr>
          <w:rFonts w:ascii="Times New Roman" w:eastAsia="Times New Roman" w:hAnsi="Times New Roman" w:cs="Times New Roman"/>
          <w:lang w:val="sr-Latn-ME"/>
        </w:rPr>
        <w:t>acetilsalicilnu</w:t>
      </w:r>
      <w:proofErr w:type="spellEnd"/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kiselinu ili NSAIL (</w:t>
      </w:r>
      <w:r w:rsidRPr="007819CB">
        <w:rPr>
          <w:rFonts w:ascii="Times New Roman" w:eastAsia="Times New Roman" w:hAnsi="Times New Roman" w:cs="Times New Roman"/>
          <w:lang w:val="sr-Latn-ME"/>
        </w:rPr>
        <w:t>pogledati dio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4.3).</w:t>
      </w:r>
    </w:p>
    <w:p w14:paraId="6B81B569" w14:textId="77777777" w:rsidR="00B77B98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40B7C46" w14:textId="07C7F176" w:rsidR="00B77B98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Izuzetno, </w:t>
      </w:r>
      <w:r w:rsidR="00F545B1" w:rsidRPr="007819CB">
        <w:rPr>
          <w:rFonts w:ascii="Times New Roman" w:eastAsia="Times New Roman" w:hAnsi="Times New Roman" w:cs="Times New Roman"/>
          <w:lang w:val="sr-Latn-ME"/>
        </w:rPr>
        <w:t>varičela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može </w:t>
      </w:r>
      <w:r w:rsidR="00BF46E1" w:rsidRPr="007819CB">
        <w:rPr>
          <w:rFonts w:ascii="Times New Roman" w:eastAsia="Times New Roman" w:hAnsi="Times New Roman" w:cs="Times New Roman"/>
          <w:lang w:val="sr-Latn-ME"/>
        </w:rPr>
        <w:t>biti uzrok pojave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ozbiljn</w:t>
      </w:r>
      <w:r w:rsidR="00BF46E1" w:rsidRPr="007819CB">
        <w:rPr>
          <w:rFonts w:ascii="Times New Roman" w:eastAsia="Times New Roman" w:hAnsi="Times New Roman" w:cs="Times New Roman"/>
          <w:lang w:val="sr-Latn-ME"/>
        </w:rPr>
        <w:t>ih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infektiv</w:t>
      </w:r>
      <w:r w:rsidR="00BF46E1" w:rsidRPr="007819CB">
        <w:rPr>
          <w:rFonts w:ascii="Times New Roman" w:eastAsia="Times New Roman" w:hAnsi="Times New Roman" w:cs="Times New Roman"/>
          <w:lang w:val="sr-Latn-ME"/>
        </w:rPr>
        <w:t>nih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komplikacij</w:t>
      </w:r>
      <w:r w:rsidR="00BF46E1" w:rsidRPr="007819CB">
        <w:rPr>
          <w:rFonts w:ascii="Times New Roman" w:eastAsia="Times New Roman" w:hAnsi="Times New Roman" w:cs="Times New Roman"/>
          <w:lang w:val="sr-Latn-ME"/>
        </w:rPr>
        <w:t>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kož</w:t>
      </w:r>
      <w:r w:rsidR="00BF46E1" w:rsidRPr="007819CB">
        <w:rPr>
          <w:rFonts w:ascii="Times New Roman" w:eastAsia="Times New Roman" w:hAnsi="Times New Roman" w:cs="Times New Roman"/>
          <w:lang w:val="sr-Latn-ME"/>
        </w:rPr>
        <w:t>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i mek</w:t>
      </w:r>
      <w:r w:rsidR="00BF46E1" w:rsidRPr="007819CB">
        <w:rPr>
          <w:rFonts w:ascii="Times New Roman" w:eastAsia="Times New Roman" w:hAnsi="Times New Roman" w:cs="Times New Roman"/>
          <w:lang w:val="sr-Latn-ME"/>
        </w:rPr>
        <w:t>ih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tkiva. </w:t>
      </w:r>
      <w:r w:rsidR="00BF46E1" w:rsidRPr="007819CB">
        <w:rPr>
          <w:rFonts w:ascii="Times New Roman" w:eastAsia="Times New Roman" w:hAnsi="Times New Roman" w:cs="Times New Roman"/>
          <w:lang w:val="sr-Latn-ME"/>
        </w:rPr>
        <w:t>Za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sad se ne može isključiti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mogućnost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da NSAIL doprinose pogoršanju </w:t>
      </w:r>
      <w:r w:rsidR="00BF46E1" w:rsidRPr="007819CB">
        <w:rPr>
          <w:rFonts w:ascii="Times New Roman" w:eastAsia="Times New Roman" w:hAnsi="Times New Roman" w:cs="Times New Roman"/>
          <w:lang w:val="sr-Latn-ME"/>
        </w:rPr>
        <w:t xml:space="preserve">tih </w:t>
      </w:r>
      <w:r w:rsidRPr="007819CB">
        <w:rPr>
          <w:rFonts w:ascii="Times New Roman" w:eastAsia="Times New Roman" w:hAnsi="Times New Roman" w:cs="Times New Roman"/>
          <w:lang w:val="sr-Latn-ME"/>
        </w:rPr>
        <w:t>infekcij</w:t>
      </w:r>
      <w:r w:rsidR="00BF46E1" w:rsidRPr="007819CB">
        <w:rPr>
          <w:rFonts w:ascii="Times New Roman" w:eastAsia="Times New Roman" w:hAnsi="Times New Roman" w:cs="Times New Roman"/>
          <w:lang w:val="sr-Latn-ME"/>
        </w:rPr>
        <w:t>a</w:t>
      </w:r>
      <w:r w:rsidRPr="007819CB">
        <w:rPr>
          <w:rFonts w:ascii="Times New Roman" w:eastAsia="Times New Roman" w:hAnsi="Times New Roman" w:cs="Times New Roman"/>
          <w:lang w:val="sr-Latn-ME"/>
        </w:rPr>
        <w:t>. Z</w:t>
      </w:r>
      <w:r w:rsidR="00BF46E1" w:rsidRPr="007819CB">
        <w:rPr>
          <w:rFonts w:ascii="Times New Roman" w:eastAsia="Times New Roman" w:hAnsi="Times New Roman" w:cs="Times New Roman"/>
          <w:lang w:val="sr-Latn-ME"/>
        </w:rPr>
        <w:t>ato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se sav</w:t>
      </w:r>
      <w:r w:rsidR="00BF46E1" w:rsidRPr="007819CB">
        <w:rPr>
          <w:rFonts w:ascii="Times New Roman" w:eastAsia="Times New Roman" w:hAnsi="Times New Roman" w:cs="Times New Roman"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lang w:val="sr-Latn-ME"/>
        </w:rPr>
        <w:t>etuje izb</w:t>
      </w:r>
      <w:r w:rsidR="00C438B7" w:rsidRPr="007819CB">
        <w:rPr>
          <w:rFonts w:ascii="Times New Roman" w:eastAsia="Times New Roman" w:hAnsi="Times New Roman" w:cs="Times New Roman"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egavanje </w:t>
      </w:r>
      <w:r w:rsidR="00C438B7" w:rsidRPr="007819CB">
        <w:rPr>
          <w:rFonts w:ascii="Times New Roman" w:eastAsia="Times New Roman" w:hAnsi="Times New Roman" w:cs="Times New Roman"/>
          <w:lang w:val="sr-Latn-ME"/>
        </w:rPr>
        <w:t xml:space="preserve">primjene lijeka </w:t>
      </w:r>
      <w:proofErr w:type="spellStart"/>
      <w:r w:rsidR="00C438B7" w:rsidRPr="007819CB">
        <w:rPr>
          <w:rFonts w:ascii="Times New Roman" w:eastAsia="Times New Roman" w:hAnsi="Times New Roman" w:cs="Times New Roman"/>
          <w:lang w:val="sr-Latn-ME"/>
        </w:rPr>
        <w:t>Dexketoprofen</w:t>
      </w:r>
      <w:proofErr w:type="spellEnd"/>
      <w:r w:rsidR="00C438B7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C438B7" w:rsidRPr="007819CB">
        <w:rPr>
          <w:rFonts w:ascii="Times New Roman" w:eastAsia="Times New Roman" w:hAnsi="Times New Roman" w:cs="Times New Roman"/>
          <w:lang w:val="sr-Latn-ME"/>
        </w:rPr>
        <w:t>Kalceks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u slučaju v</w:t>
      </w:r>
      <w:r w:rsidR="00B86095" w:rsidRPr="007819CB">
        <w:rPr>
          <w:rFonts w:ascii="Times New Roman" w:eastAsia="Times New Roman" w:hAnsi="Times New Roman" w:cs="Times New Roman"/>
          <w:lang w:val="sr-Latn-ME"/>
        </w:rPr>
        <w:t>aričele</w:t>
      </w:r>
      <w:r w:rsidRPr="007819CB">
        <w:rPr>
          <w:rFonts w:ascii="Times New Roman" w:eastAsia="Times New Roman" w:hAnsi="Times New Roman" w:cs="Times New Roman"/>
          <w:lang w:val="sr-Latn-ME"/>
        </w:rPr>
        <w:t>.</w:t>
      </w:r>
    </w:p>
    <w:p w14:paraId="07AB514A" w14:textId="77777777" w:rsidR="00B77B98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525A3EC7" w14:textId="30C4C366" w:rsidR="00B77B98" w:rsidRPr="007819CB" w:rsidRDefault="00B86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Lijek </w:t>
      </w:r>
      <w:proofErr w:type="spellStart"/>
      <w:r w:rsidR="00F30981" w:rsidRPr="007819CB">
        <w:rPr>
          <w:rFonts w:ascii="Times New Roman" w:eastAsia="Times New Roman" w:hAnsi="Times New Roman" w:cs="Times New Roman"/>
          <w:lang w:val="sr-Latn-ME"/>
        </w:rPr>
        <w:t>Dexketoprofen</w:t>
      </w:r>
      <w:proofErr w:type="spellEnd"/>
      <w:r w:rsidR="00F30981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F30981" w:rsidRPr="007819CB">
        <w:rPr>
          <w:rFonts w:ascii="Times New Roman" w:eastAsia="Times New Roman" w:hAnsi="Times New Roman" w:cs="Times New Roman"/>
          <w:lang w:val="sr-Latn-ME"/>
        </w:rPr>
        <w:t>Kalceks</w:t>
      </w:r>
      <w:proofErr w:type="spellEnd"/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treba davati </w:t>
      </w:r>
      <w:r w:rsidR="00F30981" w:rsidRPr="007819CB">
        <w:rPr>
          <w:rFonts w:ascii="Times New Roman" w:eastAsia="Times New Roman" w:hAnsi="Times New Roman" w:cs="Times New Roman"/>
          <w:lang w:val="sr-Latn-ME"/>
        </w:rPr>
        <w:t>uz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oprez pacijentima koji </w:t>
      </w:r>
      <w:r w:rsidR="00F30981" w:rsidRPr="007819CB">
        <w:rPr>
          <w:rFonts w:ascii="Times New Roman" w:eastAsia="Times New Roman" w:hAnsi="Times New Roman" w:cs="Times New Roman"/>
          <w:lang w:val="sr-Latn-ME"/>
        </w:rPr>
        <w:t>boluju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od</w:t>
      </w:r>
      <w:r w:rsidR="004D721C" w:rsidRPr="007819CB">
        <w:rPr>
          <w:rFonts w:ascii="Times New Roman" w:eastAsia="Times New Roman" w:hAnsi="Times New Roman" w:cs="Times New Roman"/>
          <w:lang w:val="sr-Latn-ME"/>
        </w:rPr>
        <w:t xml:space="preserve"> poremećaja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B77B98" w:rsidRPr="007819CB">
        <w:rPr>
          <w:rFonts w:ascii="Times New Roman" w:eastAsia="Times New Roman" w:hAnsi="Times New Roman" w:cs="Times New Roman"/>
          <w:lang w:val="sr-Latn-ME"/>
        </w:rPr>
        <w:t>hematopo</w:t>
      </w:r>
      <w:r w:rsidR="001640A7" w:rsidRPr="007819CB">
        <w:rPr>
          <w:rFonts w:ascii="Times New Roman" w:eastAsia="Times New Roman" w:hAnsi="Times New Roman" w:cs="Times New Roman"/>
          <w:lang w:val="sr-Latn-ME"/>
        </w:rPr>
        <w:t>eze</w:t>
      </w:r>
      <w:proofErr w:type="spellEnd"/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, sistemskog </w:t>
      </w:r>
      <w:proofErr w:type="spellStart"/>
      <w:r w:rsidR="00B77B98" w:rsidRPr="007819CB">
        <w:rPr>
          <w:rFonts w:ascii="Times New Roman" w:eastAsia="Times New Roman" w:hAnsi="Times New Roman" w:cs="Times New Roman"/>
          <w:lang w:val="sr-Latn-ME"/>
        </w:rPr>
        <w:t>eritematoznog</w:t>
      </w:r>
      <w:proofErr w:type="spellEnd"/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B77B98" w:rsidRPr="007819CB">
        <w:rPr>
          <w:rFonts w:ascii="Times New Roman" w:eastAsia="Times New Roman" w:hAnsi="Times New Roman" w:cs="Times New Roman"/>
          <w:lang w:val="sr-Latn-ME"/>
        </w:rPr>
        <w:t>lupusa</w:t>
      </w:r>
      <w:proofErr w:type="spellEnd"/>
      <w:r w:rsidR="00B77B98" w:rsidRPr="007819CB">
        <w:rPr>
          <w:rFonts w:ascii="Times New Roman" w:eastAsia="Times New Roman" w:hAnsi="Times New Roman" w:cs="Times New Roman"/>
          <w:lang w:val="sr-Latn-ME"/>
        </w:rPr>
        <w:t xml:space="preserve"> ili m</w:t>
      </w:r>
      <w:r w:rsidR="001640A7" w:rsidRPr="007819CB">
        <w:rPr>
          <w:rFonts w:ascii="Times New Roman" w:eastAsia="Times New Roman" w:hAnsi="Times New Roman" w:cs="Times New Roman"/>
          <w:lang w:val="sr-Latn-ME"/>
        </w:rPr>
        <w:t>j</w:t>
      </w:r>
      <w:r w:rsidR="00B77B98" w:rsidRPr="007819CB">
        <w:rPr>
          <w:rFonts w:ascii="Times New Roman" w:eastAsia="Times New Roman" w:hAnsi="Times New Roman" w:cs="Times New Roman"/>
          <w:lang w:val="sr-Latn-ME"/>
        </w:rPr>
        <w:t>ešovite bolesti vezivnog tkiva.</w:t>
      </w:r>
    </w:p>
    <w:p w14:paraId="6B27294A" w14:textId="77777777" w:rsidR="00B77B98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5867E348" w14:textId="291A9535" w:rsidR="00B77B98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Kao i drugi NSAIL,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deksketoprofen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može </w:t>
      </w:r>
      <w:r w:rsidR="00D30E28" w:rsidRPr="007819CB">
        <w:rPr>
          <w:rFonts w:ascii="Times New Roman" w:eastAsia="Times New Roman" w:hAnsi="Times New Roman" w:cs="Times New Roman"/>
          <w:lang w:val="sr-Latn-ME"/>
        </w:rPr>
        <w:t xml:space="preserve">prikriti 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simptome </w:t>
      </w:r>
      <w:r w:rsidR="001640A7" w:rsidRPr="007819CB">
        <w:rPr>
          <w:rFonts w:ascii="Times New Roman" w:eastAsia="Times New Roman" w:hAnsi="Times New Roman" w:cs="Times New Roman"/>
          <w:lang w:val="sr-Latn-ME"/>
        </w:rPr>
        <w:t>infektivnih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bolesti. U izolovanim slučajevima opisano je pogoršanje infekcija mekih tkiva, vremenski povezano sa </w:t>
      </w:r>
      <w:r w:rsidR="00372A13" w:rsidRPr="007819CB">
        <w:rPr>
          <w:rFonts w:ascii="Times New Roman" w:eastAsia="Times New Roman" w:hAnsi="Times New Roman" w:cs="Times New Roman"/>
          <w:lang w:val="sr-Latn-ME"/>
        </w:rPr>
        <w:t>primjenom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NSAIL. </w:t>
      </w:r>
      <w:r w:rsidR="00674623" w:rsidRPr="007819CB">
        <w:rPr>
          <w:rFonts w:ascii="Times New Roman" w:eastAsia="Times New Roman" w:hAnsi="Times New Roman" w:cs="Times New Roman"/>
          <w:lang w:val="sr-Latn-ME"/>
        </w:rPr>
        <w:t>Stoga, p</w:t>
      </w:r>
      <w:r w:rsidRPr="007819CB">
        <w:rPr>
          <w:rFonts w:ascii="Times New Roman" w:eastAsia="Times New Roman" w:hAnsi="Times New Roman" w:cs="Times New Roman"/>
          <w:lang w:val="sr-Latn-ME"/>
        </w:rPr>
        <w:t>acijentima se sav</w:t>
      </w:r>
      <w:r w:rsidR="00E139FD" w:rsidRPr="007819CB">
        <w:rPr>
          <w:rFonts w:ascii="Times New Roman" w:eastAsia="Times New Roman" w:hAnsi="Times New Roman" w:cs="Times New Roman"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lang w:val="sr-Latn-ME"/>
        </w:rPr>
        <w:t>etuje da odmah kontaktiraju svog l</w:t>
      </w:r>
      <w:r w:rsidR="00E139FD" w:rsidRPr="007819CB">
        <w:rPr>
          <w:rFonts w:ascii="Times New Roman" w:eastAsia="Times New Roman" w:hAnsi="Times New Roman" w:cs="Times New Roman"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lang w:val="sr-Latn-ME"/>
        </w:rPr>
        <w:t>ekara ako se tokom l</w:t>
      </w:r>
      <w:r w:rsidR="00E139FD" w:rsidRPr="007819CB">
        <w:rPr>
          <w:rFonts w:ascii="Times New Roman" w:eastAsia="Times New Roman" w:hAnsi="Times New Roman" w:cs="Times New Roman"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ečenja pojave ili pogoršaju znaci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bakterijske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infekcije.</w:t>
      </w:r>
    </w:p>
    <w:p w14:paraId="24873479" w14:textId="2FD0EC71" w:rsidR="00B77B98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C04A6E0" w14:textId="2C71F43A" w:rsidR="00CA3A42" w:rsidRPr="007819CB" w:rsidRDefault="00CA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Deksketoprofen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trometamol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, kao i drugi NSAIL, može smanjiti plodnost kod žena, tako da se ne preporučuje ženama koje planiraju da zatrudne. Kod žena koje imaju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poteškoća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sa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začećem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ili su podvrgnute ispitivanju neplodnosti, treba razmotriti prekid uzimanja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deksketoprofen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trometamola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.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Deksketoprofen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se ne smije koristiti u prvom i drugom trom</w:t>
      </w:r>
      <w:r w:rsidR="00674623" w:rsidRPr="007819CB">
        <w:rPr>
          <w:rFonts w:ascii="Times New Roman" w:eastAsia="Times New Roman" w:hAnsi="Times New Roman" w:cs="Times New Roman"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esečju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trudnoće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>, osim ako je to apsolutno neophodno.</w:t>
      </w:r>
    </w:p>
    <w:p w14:paraId="4495A0D8" w14:textId="77777777" w:rsidR="00CA3A42" w:rsidRPr="007819CB" w:rsidRDefault="00CA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33E8B67" w14:textId="77777777" w:rsidR="00CA3A42" w:rsidRPr="007819CB" w:rsidRDefault="00CA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7819CB">
        <w:rPr>
          <w:rFonts w:ascii="Times New Roman" w:eastAsia="Times New Roman" w:hAnsi="Times New Roman" w:cs="Times New Roman"/>
          <w:u w:val="single"/>
          <w:lang w:val="sr-Latn-ME"/>
        </w:rPr>
        <w:t>Pedijatrijska populacija</w:t>
      </w:r>
    </w:p>
    <w:p w14:paraId="7C3D7DF5" w14:textId="5346402B" w:rsidR="00CA3A42" w:rsidRPr="007819CB" w:rsidRDefault="00CA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>Bezbjedna upotreba kod djece i adolescenata nije utvrđena.</w:t>
      </w:r>
    </w:p>
    <w:p w14:paraId="4CF307D1" w14:textId="77777777" w:rsidR="00CA3A42" w:rsidRPr="007819CB" w:rsidRDefault="00CA3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1F4CE56" w14:textId="50BFD93A" w:rsidR="00B77B98" w:rsidRPr="007819CB" w:rsidRDefault="00674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7819CB">
        <w:rPr>
          <w:rFonts w:ascii="Times New Roman" w:eastAsia="Times New Roman" w:hAnsi="Times New Roman" w:cs="Times New Roman"/>
          <w:u w:val="single"/>
          <w:lang w:val="sr-Latn-ME"/>
        </w:rPr>
        <w:t>Pomoćne supstance</w:t>
      </w:r>
    </w:p>
    <w:p w14:paraId="154BEFF3" w14:textId="1438AC1F" w:rsidR="003D65FF" w:rsidRPr="007819CB" w:rsidRDefault="003D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Svaka ampula lijeka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Dexketoprofen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Kalceks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sadrži 200 mg etanola što </w:t>
      </w:r>
      <w:r w:rsidR="00674623" w:rsidRPr="007819CB">
        <w:rPr>
          <w:rFonts w:ascii="Times New Roman" w:eastAsia="Times New Roman" w:hAnsi="Times New Roman" w:cs="Times New Roman"/>
          <w:lang w:val="sr-Latn-ME"/>
        </w:rPr>
        <w:t>odgovara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5 ml piva ili 2.08 ml vina.</w:t>
      </w:r>
    </w:p>
    <w:p w14:paraId="1D410583" w14:textId="77777777" w:rsidR="003D65FF" w:rsidRPr="007819CB" w:rsidRDefault="003D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>Štetno za one koji pate od alkoholizma.</w:t>
      </w:r>
    </w:p>
    <w:p w14:paraId="627D29F6" w14:textId="1F75F90E" w:rsidR="003D65FF" w:rsidRPr="007819CB" w:rsidRDefault="003D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>Ovo treba uzeti u obzir kod trudnica ili dojilja, djece i visoko riz</w:t>
      </w:r>
      <w:r w:rsidR="0014009D" w:rsidRPr="007819CB">
        <w:rPr>
          <w:rFonts w:ascii="Times New Roman" w:eastAsia="Times New Roman" w:hAnsi="Times New Roman" w:cs="Times New Roman"/>
          <w:lang w:val="sr-Latn-ME"/>
        </w:rPr>
        <w:t>i</w:t>
      </w:r>
      <w:r w:rsidRPr="007819CB">
        <w:rPr>
          <w:rFonts w:ascii="Times New Roman" w:eastAsia="Times New Roman" w:hAnsi="Times New Roman" w:cs="Times New Roman"/>
          <w:lang w:val="sr-Latn-ME"/>
        </w:rPr>
        <w:t>čnih grupa kao što su pacijenti sa oboljenjem jetre ili epilepsijom.</w:t>
      </w:r>
    </w:p>
    <w:p w14:paraId="0C076300" w14:textId="77777777" w:rsidR="00674623" w:rsidRPr="007819CB" w:rsidRDefault="00674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D04C52A" w14:textId="48E4C932" w:rsidR="003D65FF" w:rsidRPr="007819CB" w:rsidRDefault="003D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Ovaj lijek sadrži manje od 1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mmol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natrijuma (23 mg) po dozi, što je u suštini „bez natrijuma“.</w:t>
      </w:r>
    </w:p>
    <w:p w14:paraId="697A0011" w14:textId="469589FC" w:rsidR="00B77B98" w:rsidRPr="007819CB" w:rsidRDefault="00B77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407D536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4.5. </w:t>
      </w: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ab/>
        <w:t>Interakcije sa drugim ljekovima i druge vrste interakcija</w:t>
      </w:r>
    </w:p>
    <w:p w14:paraId="0B8B3BE8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86EFC99" w14:textId="5D2FECB7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Sl</w:t>
      </w:r>
      <w:r w:rsidR="0077083A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edeće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interakcije se </w:t>
      </w:r>
      <w:r w:rsidR="0037386F" w:rsidRPr="007819CB">
        <w:rPr>
          <w:rFonts w:ascii="Times New Roman" w:eastAsia="Times New Roman" w:hAnsi="Times New Roman" w:cs="Times New Roman"/>
          <w:bCs/>
          <w:lang w:val="sr-Latn-ME"/>
        </w:rPr>
        <w:t xml:space="preserve">generalno odnose na sve </w:t>
      </w:r>
      <w:proofErr w:type="spellStart"/>
      <w:r w:rsidR="0037386F" w:rsidRPr="007819CB">
        <w:rPr>
          <w:rFonts w:ascii="Times New Roman" w:eastAsia="Times New Roman" w:hAnsi="Times New Roman" w:cs="Times New Roman"/>
          <w:bCs/>
          <w:lang w:val="sr-Latn-ME"/>
        </w:rPr>
        <w:t>nesteroidne</w:t>
      </w:r>
      <w:proofErr w:type="spellEnd"/>
      <w:r w:rsidR="0037386F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37386F" w:rsidRPr="007819CB">
        <w:rPr>
          <w:rFonts w:ascii="Times New Roman" w:eastAsia="Times New Roman" w:hAnsi="Times New Roman" w:cs="Times New Roman"/>
          <w:bCs/>
          <w:lang w:val="sr-Latn-ME"/>
        </w:rPr>
        <w:t>antiinflamatorne</w:t>
      </w:r>
      <w:proofErr w:type="spellEnd"/>
      <w:r w:rsidR="0037386F" w:rsidRPr="007819CB">
        <w:rPr>
          <w:rFonts w:ascii="Times New Roman" w:eastAsia="Times New Roman" w:hAnsi="Times New Roman" w:cs="Times New Roman"/>
          <w:bCs/>
          <w:lang w:val="sr-Latn-ME"/>
        </w:rPr>
        <w:t xml:space="preserve"> ljekove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37386F" w:rsidRPr="007819CB">
        <w:rPr>
          <w:rFonts w:ascii="Times New Roman" w:eastAsia="Times New Roman" w:hAnsi="Times New Roman" w:cs="Times New Roman"/>
          <w:bCs/>
          <w:lang w:val="sr-Latn-ME"/>
        </w:rPr>
        <w:t>(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NSAIL</w:t>
      </w:r>
      <w:r w:rsidR="0037386F" w:rsidRPr="007819CB">
        <w:rPr>
          <w:rFonts w:ascii="Times New Roman" w:eastAsia="Times New Roman" w:hAnsi="Times New Roman" w:cs="Times New Roman"/>
          <w:bCs/>
          <w:lang w:val="sr-Latn-ME"/>
        </w:rPr>
        <w:t>)</w:t>
      </w:r>
      <w:r w:rsidR="00B21FDE" w:rsidRPr="007819CB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24DD38C0" w14:textId="77777777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</w:p>
    <w:p w14:paraId="55D6D5F2" w14:textId="77777777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>Kombinacije koje se ne preporučuju:</w:t>
      </w:r>
    </w:p>
    <w:p w14:paraId="3390B487" w14:textId="1298FEF3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- Drugi NSAIL,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uključujući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F94734" w:rsidRPr="007819CB">
        <w:rPr>
          <w:rFonts w:ascii="Times New Roman" w:eastAsia="Times New Roman" w:hAnsi="Times New Roman" w:cs="Times New Roman"/>
          <w:bCs/>
          <w:lang w:val="sr-Latn-ME"/>
        </w:rPr>
        <w:t xml:space="preserve">i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visoke doze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salicilata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(</w:t>
      </w:r>
      <w:r w:rsidR="00B21FDE" w:rsidRPr="007819CB">
        <w:rPr>
          <w:rFonts w:ascii="Times New Roman" w:eastAsia="Times New Roman" w:hAnsi="Times New Roman" w:cs="Times New Roman"/>
          <w:bCs/>
          <w:lang w:val="sr-Latn-ME"/>
        </w:rPr>
        <w:t>≥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3 g/dan): istovremena </w:t>
      </w:r>
      <w:r w:rsidR="009514E3" w:rsidRPr="007819CB">
        <w:rPr>
          <w:rFonts w:ascii="Times New Roman" w:eastAsia="Times New Roman" w:hAnsi="Times New Roman" w:cs="Times New Roman"/>
          <w:bCs/>
          <w:lang w:val="sr-Latn-ME"/>
        </w:rPr>
        <w:t>primjena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nekoliko NSAIL može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povećati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rizik od gastrointestinalnih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ulkusa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 krvarenja zbog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sinergističkog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d</w:t>
      </w:r>
      <w:r w:rsidR="009514E3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elovanja</w:t>
      </w:r>
      <w:r w:rsidR="00701563" w:rsidRPr="007819CB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78B8754B" w14:textId="7BDAE259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Antikoagulansi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>: NSAIL mogu po</w:t>
      </w:r>
      <w:r w:rsidR="009514E3" w:rsidRPr="007819CB">
        <w:rPr>
          <w:rFonts w:ascii="Times New Roman" w:eastAsia="Times New Roman" w:hAnsi="Times New Roman" w:cs="Times New Roman"/>
          <w:bCs/>
          <w:lang w:val="sr-Latn-ME"/>
        </w:rPr>
        <w:t>većati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efekat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antikoagulansa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, kao što je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varfarin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(</w:t>
      </w:r>
      <w:r w:rsidR="009514E3" w:rsidRPr="007819CB">
        <w:rPr>
          <w:rFonts w:ascii="Times New Roman" w:eastAsia="Times New Roman" w:hAnsi="Times New Roman" w:cs="Times New Roman"/>
          <w:bCs/>
          <w:lang w:val="sr-Latn-ME"/>
        </w:rPr>
        <w:t>pogledati dio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4.4), z</w:t>
      </w:r>
      <w:r w:rsidR="00D00B1A" w:rsidRPr="007819CB">
        <w:rPr>
          <w:rFonts w:ascii="Times New Roman" w:eastAsia="Times New Roman" w:hAnsi="Times New Roman" w:cs="Times New Roman"/>
          <w:bCs/>
          <w:lang w:val="sr-Latn-ME"/>
        </w:rPr>
        <w:t xml:space="preserve">ato što se </w:t>
      </w:r>
      <w:proofErr w:type="spellStart"/>
      <w:r w:rsidR="00D00B1A" w:rsidRPr="007819CB">
        <w:rPr>
          <w:rFonts w:ascii="Times New Roman" w:eastAsia="Times New Roman" w:hAnsi="Times New Roman" w:cs="Times New Roman"/>
          <w:bCs/>
          <w:lang w:val="sr-Latn-ME"/>
        </w:rPr>
        <w:t>deksketoprofen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D00B1A" w:rsidRPr="007819CB">
        <w:rPr>
          <w:rFonts w:ascii="Times New Roman" w:eastAsia="Times New Roman" w:hAnsi="Times New Roman" w:cs="Times New Roman"/>
          <w:bCs/>
          <w:lang w:val="sr-Latn-ME"/>
        </w:rPr>
        <w:t>u visokom stepenu vezuje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za proteine plazme, inhibi</w:t>
      </w:r>
      <w:r w:rsidR="00D00B1A" w:rsidRPr="007819CB">
        <w:rPr>
          <w:rFonts w:ascii="Times New Roman" w:eastAsia="Times New Roman" w:hAnsi="Times New Roman" w:cs="Times New Roman"/>
          <w:bCs/>
          <w:lang w:val="sr-Latn-ME"/>
        </w:rPr>
        <w:t>ra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funkcij</w:t>
      </w:r>
      <w:r w:rsidR="00D00B1A" w:rsidRPr="007819CB">
        <w:rPr>
          <w:rFonts w:ascii="Times New Roman" w:eastAsia="Times New Roman" w:hAnsi="Times New Roman" w:cs="Times New Roman"/>
          <w:bCs/>
          <w:lang w:val="sr-Latn-ME"/>
        </w:rPr>
        <w:t>u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trombocita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ošteć</w:t>
      </w:r>
      <w:r w:rsidR="005E1DE5" w:rsidRPr="007819CB">
        <w:rPr>
          <w:rFonts w:ascii="Times New Roman" w:eastAsia="Times New Roman" w:hAnsi="Times New Roman" w:cs="Times New Roman"/>
          <w:bCs/>
          <w:lang w:val="sr-Latn-ME"/>
        </w:rPr>
        <w:t>uje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gastr</w:t>
      </w:r>
      <w:r w:rsidR="005E1DE5" w:rsidRPr="007819CB">
        <w:rPr>
          <w:rFonts w:ascii="Times New Roman" w:eastAsia="Times New Roman" w:hAnsi="Times New Roman" w:cs="Times New Roman"/>
          <w:bCs/>
          <w:lang w:val="sr-Latn-ME"/>
        </w:rPr>
        <w:t>ointestinalnu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5E1DE5" w:rsidRPr="007819CB">
        <w:rPr>
          <w:rFonts w:ascii="Times New Roman" w:eastAsia="Times New Roman" w:hAnsi="Times New Roman" w:cs="Times New Roman"/>
          <w:bCs/>
          <w:lang w:val="sr-Latn-ME"/>
        </w:rPr>
        <w:t>mukozu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. Ako se ova kombinacija ne može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izb</w:t>
      </w:r>
      <w:r w:rsidR="005E1DE5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eći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r w:rsidR="005E1DE5" w:rsidRPr="007819CB">
        <w:rPr>
          <w:rFonts w:ascii="Times New Roman" w:eastAsia="Times New Roman" w:hAnsi="Times New Roman" w:cs="Times New Roman"/>
          <w:bCs/>
          <w:lang w:val="sr-Latn-ME"/>
        </w:rPr>
        <w:t>preporučuje se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pažljivo kliničko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praćenje</w:t>
      </w:r>
      <w:proofErr w:type="spellEnd"/>
      <w:r w:rsidR="003D3EB5" w:rsidRPr="007819CB">
        <w:rPr>
          <w:rFonts w:ascii="Times New Roman" w:eastAsia="Times New Roman" w:hAnsi="Times New Roman" w:cs="Times New Roman"/>
          <w:bCs/>
          <w:lang w:val="sr-Latn-ME"/>
        </w:rPr>
        <w:t xml:space="preserve"> stanj</w:t>
      </w:r>
      <w:r w:rsidR="00D308D4" w:rsidRPr="007819CB">
        <w:rPr>
          <w:rFonts w:ascii="Times New Roman" w:eastAsia="Times New Roman" w:hAnsi="Times New Roman" w:cs="Times New Roman"/>
          <w:bCs/>
          <w:lang w:val="sr-Latn-ME"/>
        </w:rPr>
        <w:t>a</w:t>
      </w:r>
      <w:r w:rsidR="003D3EB5" w:rsidRPr="007819CB">
        <w:rPr>
          <w:rFonts w:ascii="Times New Roman" w:eastAsia="Times New Roman" w:hAnsi="Times New Roman" w:cs="Times New Roman"/>
          <w:bCs/>
          <w:lang w:val="sr-Latn-ME"/>
        </w:rPr>
        <w:t xml:space="preserve"> pacijenta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r w:rsidR="00B21FDE" w:rsidRPr="007819CB">
        <w:rPr>
          <w:rFonts w:ascii="Times New Roman" w:eastAsia="Times New Roman" w:hAnsi="Times New Roman" w:cs="Times New Roman"/>
          <w:bCs/>
          <w:lang w:val="sr-Latn-ME"/>
        </w:rPr>
        <w:t>kontrola laboratorijskih nalaza</w:t>
      </w:r>
      <w:r w:rsidR="00701563" w:rsidRPr="007819CB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4D09E0B7" w14:textId="172A7735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Heparini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: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povećan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rizik od </w:t>
      </w:r>
      <w:r w:rsidR="003D3EB5" w:rsidRPr="007819CB">
        <w:rPr>
          <w:rFonts w:ascii="Times New Roman" w:eastAsia="Times New Roman" w:hAnsi="Times New Roman" w:cs="Times New Roman"/>
          <w:bCs/>
          <w:lang w:val="sr-Latn-ME"/>
        </w:rPr>
        <w:t>hemoragije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(zbog inhibicije funkcije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trombocita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oštećenja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gastro</w:t>
      </w:r>
      <w:r w:rsidR="003D3EB5" w:rsidRPr="007819CB">
        <w:rPr>
          <w:rFonts w:ascii="Times New Roman" w:eastAsia="Times New Roman" w:hAnsi="Times New Roman" w:cs="Times New Roman"/>
          <w:bCs/>
          <w:lang w:val="sr-Latn-ME"/>
        </w:rPr>
        <w:t xml:space="preserve">intestinalne </w:t>
      </w:r>
      <w:proofErr w:type="spellStart"/>
      <w:r w:rsidR="003D3EB5" w:rsidRPr="007819CB">
        <w:rPr>
          <w:rFonts w:ascii="Times New Roman" w:eastAsia="Times New Roman" w:hAnsi="Times New Roman" w:cs="Times New Roman"/>
          <w:bCs/>
          <w:lang w:val="sr-Latn-ME"/>
        </w:rPr>
        <w:t>mukoze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). Ako se ova kombinacija ne može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izb</w:t>
      </w:r>
      <w:r w:rsidR="003D3EB5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eći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r w:rsidR="001A667C" w:rsidRPr="007819CB">
        <w:rPr>
          <w:rFonts w:ascii="Times New Roman" w:eastAsia="Times New Roman" w:hAnsi="Times New Roman" w:cs="Times New Roman"/>
          <w:bCs/>
          <w:lang w:val="sr-Latn-ME"/>
        </w:rPr>
        <w:t>preporučuje se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pažljivo kliničko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praćenje</w:t>
      </w:r>
      <w:proofErr w:type="spellEnd"/>
      <w:r w:rsidR="005E6B0B" w:rsidRPr="007819CB">
        <w:rPr>
          <w:rFonts w:ascii="Times New Roman" w:eastAsia="Times New Roman" w:hAnsi="Times New Roman" w:cs="Times New Roman"/>
          <w:bCs/>
          <w:lang w:val="sr-Latn-ME"/>
        </w:rPr>
        <w:t xml:space="preserve"> stanj</w:t>
      </w:r>
      <w:r w:rsidR="00D308D4" w:rsidRPr="007819CB">
        <w:rPr>
          <w:rFonts w:ascii="Times New Roman" w:eastAsia="Times New Roman" w:hAnsi="Times New Roman" w:cs="Times New Roman"/>
          <w:bCs/>
          <w:lang w:val="sr-Latn-ME"/>
        </w:rPr>
        <w:t>a</w:t>
      </w:r>
      <w:r w:rsidR="005E6B0B" w:rsidRPr="007819CB">
        <w:rPr>
          <w:rFonts w:ascii="Times New Roman" w:eastAsia="Times New Roman" w:hAnsi="Times New Roman" w:cs="Times New Roman"/>
          <w:bCs/>
          <w:lang w:val="sr-Latn-ME"/>
        </w:rPr>
        <w:t xml:space="preserve"> pacijenata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r w:rsidR="00B21FDE" w:rsidRPr="007819CB">
        <w:rPr>
          <w:rFonts w:ascii="Times New Roman" w:eastAsia="Times New Roman" w:hAnsi="Times New Roman" w:cs="Times New Roman"/>
          <w:bCs/>
          <w:lang w:val="sr-Latn-ME"/>
        </w:rPr>
        <w:t>kontrola laboratorijskih nalaza</w:t>
      </w:r>
      <w:r w:rsidR="00701563" w:rsidRPr="007819CB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5AFA410E" w14:textId="12DB56EB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lastRenderedPageBreak/>
        <w:t xml:space="preserve">-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Kortikosteroidi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: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povećan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rizik od gastrointestinalnih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ulceracija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 krvarenja (</w:t>
      </w:r>
      <w:r w:rsidR="00701563" w:rsidRPr="007819CB">
        <w:rPr>
          <w:rFonts w:ascii="Times New Roman" w:eastAsia="Times New Roman" w:hAnsi="Times New Roman" w:cs="Times New Roman"/>
          <w:bCs/>
          <w:lang w:val="sr-Latn-ME"/>
        </w:rPr>
        <w:t>pogledati dio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4.4)</w:t>
      </w:r>
      <w:r w:rsidR="00701563" w:rsidRPr="007819CB">
        <w:rPr>
          <w:rFonts w:ascii="Times New Roman" w:eastAsia="Times New Roman" w:hAnsi="Times New Roman" w:cs="Times New Roman"/>
          <w:bCs/>
          <w:lang w:val="sr-Latn-ME"/>
        </w:rPr>
        <w:t>;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</w:p>
    <w:p w14:paraId="570CE861" w14:textId="7BC5333F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>- Litijum (</w:t>
      </w:r>
      <w:r w:rsidR="00701563" w:rsidRPr="007819CB">
        <w:rPr>
          <w:rFonts w:ascii="Times New Roman" w:eastAsia="Times New Roman" w:hAnsi="Times New Roman" w:cs="Times New Roman"/>
          <w:bCs/>
          <w:lang w:val="sr-Latn-ME"/>
        </w:rPr>
        <w:t xml:space="preserve">efekat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opisan </w:t>
      </w:r>
      <w:r w:rsidR="0077478A" w:rsidRPr="007819CB">
        <w:rPr>
          <w:rFonts w:ascii="Times New Roman" w:eastAsia="Times New Roman" w:hAnsi="Times New Roman" w:cs="Times New Roman"/>
          <w:bCs/>
          <w:lang w:val="sr-Latn-ME"/>
        </w:rPr>
        <w:t>kod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nekoliko NSAIL): NSAIL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povećavaju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77478A" w:rsidRPr="007819CB">
        <w:rPr>
          <w:rFonts w:ascii="Times New Roman" w:eastAsia="Times New Roman" w:hAnsi="Times New Roman" w:cs="Times New Roman"/>
          <w:bCs/>
          <w:lang w:val="sr-Latn-ME"/>
        </w:rPr>
        <w:t>koncentraciju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litijuma u ​​krvi koj</w:t>
      </w:r>
      <w:r w:rsidR="0077478A" w:rsidRPr="007819CB">
        <w:rPr>
          <w:rFonts w:ascii="Times New Roman" w:eastAsia="Times New Roman" w:hAnsi="Times New Roman" w:cs="Times New Roman"/>
          <w:bCs/>
          <w:lang w:val="sr-Latn-ME"/>
        </w:rPr>
        <w:t>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može dosti</w:t>
      </w:r>
      <w:r w:rsidR="0077478A" w:rsidRPr="007819CB">
        <w:rPr>
          <w:rFonts w:ascii="Times New Roman" w:eastAsia="Times New Roman" w:hAnsi="Times New Roman" w:cs="Times New Roman"/>
          <w:bCs/>
          <w:lang w:val="sr-Latn-ME"/>
        </w:rPr>
        <w:t>ći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toksične vr</w:t>
      </w:r>
      <w:r w:rsidR="007F3DC4" w:rsidRPr="007819CB">
        <w:rPr>
          <w:rFonts w:ascii="Times New Roman" w:eastAsia="Times New Roman" w:hAnsi="Times New Roman" w:cs="Times New Roman"/>
          <w:bCs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ednosti (smanjeno izlučivanje litijuma). </w:t>
      </w:r>
      <w:r w:rsidR="007F3DC4" w:rsidRPr="007819CB">
        <w:rPr>
          <w:rFonts w:ascii="Times New Roman" w:eastAsia="Times New Roman" w:hAnsi="Times New Roman" w:cs="Times New Roman"/>
          <w:bCs/>
          <w:lang w:val="sr-Latn-ME"/>
        </w:rPr>
        <w:t>Zato se ovaj parametar mora kontrolisati tokom</w:t>
      </w:r>
      <w:r w:rsidR="00D13A8C" w:rsidRPr="007819CB">
        <w:rPr>
          <w:rFonts w:ascii="Times New Roman" w:eastAsia="Times New Roman" w:hAnsi="Times New Roman" w:cs="Times New Roman"/>
          <w:bCs/>
          <w:lang w:val="sr-Latn-ME"/>
        </w:rPr>
        <w:t xml:space="preserve"> uvođenja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, p</w:t>
      </w:r>
      <w:r w:rsidR="00D13A8C" w:rsidRPr="007819CB">
        <w:rPr>
          <w:rFonts w:ascii="Times New Roman" w:eastAsia="Times New Roman" w:hAnsi="Times New Roman" w:cs="Times New Roman"/>
          <w:bCs/>
          <w:lang w:val="sr-Latn-ME"/>
        </w:rPr>
        <w:t>odešavanja doze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r w:rsidR="00D13A8C" w:rsidRPr="007819CB">
        <w:rPr>
          <w:rFonts w:ascii="Times New Roman" w:eastAsia="Times New Roman" w:hAnsi="Times New Roman" w:cs="Times New Roman"/>
          <w:bCs/>
          <w:lang w:val="sr-Latn-ME"/>
        </w:rPr>
        <w:t>obustave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terapije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deksketoprofenom</w:t>
      </w:r>
      <w:proofErr w:type="spellEnd"/>
      <w:r w:rsidR="00D13A8C" w:rsidRPr="007819CB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00F323D7" w14:textId="37DD085B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Metotreksat</w:t>
      </w:r>
      <w:proofErr w:type="spellEnd"/>
      <w:r w:rsidR="00D13A8C" w:rsidRPr="007819CB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proofErr w:type="spellStart"/>
      <w:r w:rsidR="00D13A8C" w:rsidRPr="007819CB">
        <w:rPr>
          <w:rFonts w:ascii="Times New Roman" w:eastAsia="Times New Roman" w:hAnsi="Times New Roman" w:cs="Times New Roman"/>
          <w:bCs/>
          <w:lang w:val="sr-Latn-ME"/>
        </w:rPr>
        <w:t>primjenjen</w:t>
      </w:r>
      <w:proofErr w:type="spellEnd"/>
      <w:r w:rsidR="00D13A8C" w:rsidRPr="007819CB">
        <w:rPr>
          <w:rFonts w:ascii="Times New Roman" w:eastAsia="Times New Roman" w:hAnsi="Times New Roman" w:cs="Times New Roman"/>
          <w:bCs/>
          <w:lang w:val="sr-Latn-ME"/>
        </w:rPr>
        <w:t xml:space="preserve"> u dozama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od 15 mg/ned</w:t>
      </w:r>
      <w:r w:rsidR="00D13A8C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eljno i više: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povećana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hematološka toksičnost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metotreksata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usl</w:t>
      </w:r>
      <w:r w:rsidR="00D13A8C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ed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s</w:t>
      </w:r>
      <w:r w:rsidR="00D13A8C" w:rsidRPr="007819CB">
        <w:rPr>
          <w:rFonts w:ascii="Times New Roman" w:eastAsia="Times New Roman" w:hAnsi="Times New Roman" w:cs="Times New Roman"/>
          <w:bCs/>
          <w:lang w:val="sr-Latn-ME"/>
        </w:rPr>
        <w:t xml:space="preserve">niženja njegovog </w:t>
      </w:r>
      <w:proofErr w:type="spellStart"/>
      <w:r w:rsidR="00D13A8C" w:rsidRPr="007819CB">
        <w:rPr>
          <w:rFonts w:ascii="Times New Roman" w:eastAsia="Times New Roman" w:hAnsi="Times New Roman" w:cs="Times New Roman"/>
          <w:bCs/>
          <w:lang w:val="sr-Latn-ME"/>
        </w:rPr>
        <w:t>renalnog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klirensa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793C89" w:rsidRPr="007819CB">
        <w:rPr>
          <w:rFonts w:ascii="Times New Roman" w:eastAsia="Times New Roman" w:hAnsi="Times New Roman" w:cs="Times New Roman"/>
          <w:bCs/>
          <w:lang w:val="sr-Latn-ME"/>
        </w:rPr>
        <w:t>antiinflamatornim</w:t>
      </w:r>
      <w:proofErr w:type="spellEnd"/>
      <w:r w:rsidR="00793C89" w:rsidRPr="007819CB">
        <w:rPr>
          <w:rFonts w:ascii="Times New Roman" w:eastAsia="Times New Roman" w:hAnsi="Times New Roman" w:cs="Times New Roman"/>
          <w:bCs/>
          <w:lang w:val="sr-Latn-ME"/>
        </w:rPr>
        <w:t xml:space="preserve"> ljekovima generalno;</w:t>
      </w:r>
    </w:p>
    <w:p w14:paraId="59DAFC62" w14:textId="7F1FF2FC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Hidantoini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sulfonamidi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>: toksični efekti ovih l</w:t>
      </w:r>
      <w:r w:rsidR="00F73797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ekova mogu</w:t>
      </w:r>
      <w:r w:rsidR="00F73797" w:rsidRPr="007819CB">
        <w:rPr>
          <w:rFonts w:ascii="Times New Roman" w:eastAsia="Times New Roman" w:hAnsi="Times New Roman" w:cs="Times New Roman"/>
          <w:bCs/>
          <w:lang w:val="sr-Latn-ME"/>
        </w:rPr>
        <w:t xml:space="preserve"> biti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po</w:t>
      </w:r>
      <w:r w:rsidR="00F73797" w:rsidRPr="007819CB">
        <w:rPr>
          <w:rFonts w:ascii="Times New Roman" w:eastAsia="Times New Roman" w:hAnsi="Times New Roman" w:cs="Times New Roman"/>
          <w:bCs/>
          <w:lang w:val="sr-Latn-ME"/>
        </w:rPr>
        <w:t>jačani;</w:t>
      </w:r>
    </w:p>
    <w:p w14:paraId="2CE77016" w14:textId="77777777" w:rsidR="00B77B98" w:rsidRPr="007819CB" w:rsidRDefault="00B77B9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7260788" w14:textId="293F1720" w:rsidR="00567985" w:rsidRPr="007819CB" w:rsidRDefault="0056798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Kombinacije koje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zaht</w:t>
      </w:r>
      <w:r w:rsidR="00AE0968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evaju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oprez:</w:t>
      </w:r>
    </w:p>
    <w:p w14:paraId="1F024446" w14:textId="31734698" w:rsidR="00567985" w:rsidRPr="007819CB" w:rsidRDefault="0056798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Diuretici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, ACE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inhibitori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aminoglikozidni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antibiotici i antagonisti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angiotenzin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II</w:t>
      </w:r>
      <w:r w:rsidR="00AE0968" w:rsidRPr="007819CB">
        <w:rPr>
          <w:rFonts w:ascii="Times New Roman" w:eastAsia="Times New Roman" w:hAnsi="Times New Roman" w:cs="Times New Roman"/>
          <w:bCs/>
          <w:lang w:val="sr-Latn-ME"/>
        </w:rPr>
        <w:t xml:space="preserve"> receptora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: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deksketoprofen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može smanjiti efekat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diuretika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antihipertenziv</w:t>
      </w:r>
      <w:r w:rsidR="00BB6BEC" w:rsidRPr="007819CB">
        <w:rPr>
          <w:rFonts w:ascii="Times New Roman" w:eastAsia="Times New Roman" w:hAnsi="Times New Roman" w:cs="Times New Roman"/>
          <w:bCs/>
          <w:lang w:val="sr-Latn-ME"/>
        </w:rPr>
        <w:t>nih</w:t>
      </w:r>
      <w:proofErr w:type="spellEnd"/>
      <w:r w:rsidR="00BB6BEC" w:rsidRPr="007819CB">
        <w:rPr>
          <w:rFonts w:ascii="Times New Roman" w:eastAsia="Times New Roman" w:hAnsi="Times New Roman" w:cs="Times New Roman"/>
          <w:bCs/>
          <w:lang w:val="sr-Latn-ME"/>
        </w:rPr>
        <w:t xml:space="preserve"> ljekova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. Kod nekih pacijenata sa </w:t>
      </w:r>
      <w:r w:rsidR="00BB6BEC" w:rsidRPr="007819CB">
        <w:rPr>
          <w:rFonts w:ascii="Times New Roman" w:eastAsia="Times New Roman" w:hAnsi="Times New Roman" w:cs="Times New Roman"/>
          <w:bCs/>
          <w:lang w:val="sr-Latn-ME"/>
        </w:rPr>
        <w:t>naruš</w:t>
      </w:r>
      <w:r w:rsidR="00BC756A" w:rsidRPr="007819CB">
        <w:rPr>
          <w:rFonts w:ascii="Times New Roman" w:eastAsia="Times New Roman" w:hAnsi="Times New Roman" w:cs="Times New Roman"/>
          <w:bCs/>
          <w:lang w:val="sr-Latn-ME"/>
        </w:rPr>
        <w:t>enom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BC756A" w:rsidRPr="007819CB">
        <w:rPr>
          <w:rFonts w:ascii="Times New Roman" w:eastAsia="Times New Roman" w:hAnsi="Times New Roman" w:cs="Times New Roman"/>
          <w:bCs/>
          <w:lang w:val="sr-Latn-ME"/>
        </w:rPr>
        <w:t>renalnom</w:t>
      </w:r>
      <w:proofErr w:type="spellEnd"/>
      <w:r w:rsidR="00BC756A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funkcijom (npr. dehidrirani pacijenti ili stariji pacijenti sa </w:t>
      </w:r>
      <w:r w:rsidR="00BC756A" w:rsidRPr="007819CB">
        <w:rPr>
          <w:rFonts w:ascii="Times New Roman" w:eastAsia="Times New Roman" w:hAnsi="Times New Roman" w:cs="Times New Roman"/>
          <w:bCs/>
          <w:lang w:val="sr-Latn-ME"/>
        </w:rPr>
        <w:t xml:space="preserve">narušenom </w:t>
      </w:r>
      <w:proofErr w:type="spellStart"/>
      <w:r w:rsidR="00BC756A" w:rsidRPr="007819CB">
        <w:rPr>
          <w:rFonts w:ascii="Times New Roman" w:eastAsia="Times New Roman" w:hAnsi="Times New Roman" w:cs="Times New Roman"/>
          <w:bCs/>
          <w:lang w:val="sr-Latn-ME"/>
        </w:rPr>
        <w:t>renalnom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funkcijom), </w:t>
      </w:r>
      <w:r w:rsidR="00BC756A" w:rsidRPr="007819CB">
        <w:rPr>
          <w:rFonts w:ascii="Times New Roman" w:eastAsia="Times New Roman" w:hAnsi="Times New Roman" w:cs="Times New Roman"/>
          <w:bCs/>
          <w:lang w:val="sr-Latn-ME"/>
        </w:rPr>
        <w:t>kombinovana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upotreba l</w:t>
      </w:r>
      <w:r w:rsidR="00BC756A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ekova koji inhibiraju </w:t>
      </w:r>
      <w:r w:rsidR="00BC756A" w:rsidRPr="007819CB">
        <w:rPr>
          <w:rFonts w:ascii="Times New Roman" w:eastAsia="Times New Roman" w:hAnsi="Times New Roman" w:cs="Times New Roman"/>
          <w:bCs/>
          <w:lang w:val="sr-Latn-ME"/>
        </w:rPr>
        <w:t xml:space="preserve">enzim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ciklooksigenazu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 ACE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inhibitora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, antagonista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angiotenzin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II</w:t>
      </w:r>
      <w:r w:rsidR="006356C5" w:rsidRPr="007819CB">
        <w:rPr>
          <w:rFonts w:ascii="Times New Roman" w:eastAsia="Times New Roman" w:hAnsi="Times New Roman" w:cs="Times New Roman"/>
          <w:bCs/>
          <w:lang w:val="sr-Latn-ME"/>
        </w:rPr>
        <w:t xml:space="preserve"> receptora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ili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aminoglikozidnih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antibiotika može </w:t>
      </w:r>
      <w:r w:rsidR="006356C5" w:rsidRPr="007819CB">
        <w:rPr>
          <w:rFonts w:ascii="Times New Roman" w:eastAsia="Times New Roman" w:hAnsi="Times New Roman" w:cs="Times New Roman"/>
          <w:bCs/>
          <w:lang w:val="sr-Latn-ME"/>
        </w:rPr>
        <w:t xml:space="preserve">da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dove</w:t>
      </w:r>
      <w:r w:rsidR="006356C5" w:rsidRPr="007819CB">
        <w:rPr>
          <w:rFonts w:ascii="Times New Roman" w:eastAsia="Times New Roman" w:hAnsi="Times New Roman" w:cs="Times New Roman"/>
          <w:bCs/>
          <w:lang w:val="sr-Latn-ME"/>
        </w:rPr>
        <w:t>de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do daljeg pogoršanja </w:t>
      </w:r>
      <w:proofErr w:type="spellStart"/>
      <w:r w:rsidR="006356C5" w:rsidRPr="007819CB">
        <w:rPr>
          <w:rFonts w:ascii="Times New Roman" w:eastAsia="Times New Roman" w:hAnsi="Times New Roman" w:cs="Times New Roman"/>
          <w:bCs/>
          <w:lang w:val="sr-Latn-ME"/>
        </w:rPr>
        <w:t>renalne</w:t>
      </w:r>
      <w:proofErr w:type="spellEnd"/>
      <w:r w:rsidR="006356C5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funkcije, </w:t>
      </w:r>
      <w:r w:rsidR="000D163C" w:rsidRPr="007819CB">
        <w:rPr>
          <w:rFonts w:ascii="Times New Roman" w:eastAsia="Times New Roman" w:hAnsi="Times New Roman" w:cs="Times New Roman"/>
          <w:bCs/>
          <w:lang w:val="sr-Latn-ME"/>
        </w:rPr>
        <w:t>koje je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obično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reverzibiln</w:t>
      </w:r>
      <w:r w:rsidR="000D163C" w:rsidRPr="007819CB">
        <w:rPr>
          <w:rFonts w:ascii="Times New Roman" w:eastAsia="Times New Roman" w:hAnsi="Times New Roman" w:cs="Times New Roman"/>
          <w:bCs/>
          <w:lang w:val="sr-Latn-ME"/>
        </w:rPr>
        <w:t>o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. U slučaju </w:t>
      </w:r>
      <w:r w:rsidR="000D163C" w:rsidRPr="007819CB">
        <w:rPr>
          <w:rFonts w:ascii="Times New Roman" w:eastAsia="Times New Roman" w:hAnsi="Times New Roman" w:cs="Times New Roman"/>
          <w:bCs/>
          <w:lang w:val="sr-Latn-ME"/>
        </w:rPr>
        <w:t xml:space="preserve">da je propisana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kombinov</w:t>
      </w:r>
      <w:r w:rsidR="000D163C" w:rsidRPr="007819CB">
        <w:rPr>
          <w:rFonts w:ascii="Times New Roman" w:eastAsia="Times New Roman" w:hAnsi="Times New Roman" w:cs="Times New Roman"/>
          <w:bCs/>
          <w:lang w:val="sr-Latn-ME"/>
        </w:rPr>
        <w:t>ana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6E570A" w:rsidRPr="007819CB">
        <w:rPr>
          <w:rFonts w:ascii="Times New Roman" w:eastAsia="Times New Roman" w:hAnsi="Times New Roman" w:cs="Times New Roman"/>
          <w:bCs/>
          <w:lang w:val="sr-Latn-ME"/>
        </w:rPr>
        <w:t>upotreba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deksketoprofena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diuretika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r w:rsidR="006E570A" w:rsidRPr="007819CB">
        <w:rPr>
          <w:rFonts w:ascii="Times New Roman" w:eastAsia="Times New Roman" w:hAnsi="Times New Roman" w:cs="Times New Roman"/>
          <w:bCs/>
          <w:lang w:val="sr-Latn-ME"/>
        </w:rPr>
        <w:t xml:space="preserve">veoma je važno da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pacijent </w:t>
      </w:r>
      <w:r w:rsidR="00AE1115" w:rsidRPr="007819CB">
        <w:rPr>
          <w:rFonts w:ascii="Times New Roman" w:eastAsia="Times New Roman" w:hAnsi="Times New Roman" w:cs="Times New Roman"/>
          <w:bCs/>
          <w:lang w:val="sr-Latn-ME"/>
        </w:rPr>
        <w:t>nije de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hidriran</w:t>
      </w:r>
      <w:r w:rsidR="00AE1115" w:rsidRPr="007819CB">
        <w:rPr>
          <w:rFonts w:ascii="Times New Roman" w:eastAsia="Times New Roman" w:hAnsi="Times New Roman" w:cs="Times New Roman"/>
          <w:bCs/>
          <w:lang w:val="sr-Latn-ME"/>
        </w:rPr>
        <w:t xml:space="preserve"> i da se pažljivo prati </w:t>
      </w:r>
      <w:proofErr w:type="spellStart"/>
      <w:r w:rsidR="00AE1115" w:rsidRPr="007819CB">
        <w:rPr>
          <w:rFonts w:ascii="Times New Roman" w:eastAsia="Times New Roman" w:hAnsi="Times New Roman" w:cs="Times New Roman"/>
          <w:bCs/>
          <w:lang w:val="sr-Latn-ME"/>
        </w:rPr>
        <w:t>renalna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funkcija na početku l</w:t>
      </w:r>
      <w:r w:rsidR="00AE1115" w:rsidRPr="007819CB">
        <w:rPr>
          <w:rFonts w:ascii="Times New Roman" w:eastAsia="Times New Roman" w:hAnsi="Times New Roman" w:cs="Times New Roman"/>
          <w:bCs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ečenja (</w:t>
      </w:r>
      <w:r w:rsidR="00AE1115" w:rsidRPr="007819CB">
        <w:rPr>
          <w:rFonts w:ascii="Times New Roman" w:eastAsia="Times New Roman" w:hAnsi="Times New Roman" w:cs="Times New Roman"/>
          <w:bCs/>
          <w:lang w:val="sr-Latn-ME"/>
        </w:rPr>
        <w:t>pogledati dio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4.4)</w:t>
      </w:r>
      <w:r w:rsidR="000C41E7" w:rsidRPr="007819CB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29381618" w14:textId="7BAFBBCE" w:rsidR="00567985" w:rsidRPr="007819CB" w:rsidRDefault="0056798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Metotreksat</w:t>
      </w:r>
      <w:proofErr w:type="spellEnd"/>
      <w:r w:rsidR="000C41E7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0C41E7" w:rsidRPr="007819CB">
        <w:rPr>
          <w:rFonts w:ascii="Times New Roman" w:eastAsia="Times New Roman" w:hAnsi="Times New Roman" w:cs="Times New Roman"/>
          <w:bCs/>
          <w:lang w:val="sr-Latn-ME"/>
        </w:rPr>
        <w:t>primjenjen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u</w:t>
      </w:r>
      <w:r w:rsidR="004927EE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ma</w:t>
      </w:r>
      <w:r w:rsidR="004927EE" w:rsidRPr="007819CB">
        <w:rPr>
          <w:rFonts w:ascii="Times New Roman" w:eastAsia="Times New Roman" w:hAnsi="Times New Roman" w:cs="Times New Roman"/>
          <w:bCs/>
          <w:lang w:val="sr-Latn-ME"/>
        </w:rPr>
        <w:t>lim dozama, manjim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od 15 mg/ned</w:t>
      </w:r>
      <w:r w:rsidR="004927EE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eljno: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povećana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hematološka toksičnost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metotreksata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usl</w:t>
      </w:r>
      <w:r w:rsidR="004927EE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ed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s</w:t>
      </w:r>
      <w:r w:rsidR="00884CE4" w:rsidRPr="007819CB">
        <w:rPr>
          <w:rFonts w:ascii="Times New Roman" w:eastAsia="Times New Roman" w:hAnsi="Times New Roman" w:cs="Times New Roman"/>
          <w:bCs/>
          <w:lang w:val="sr-Latn-ME"/>
        </w:rPr>
        <w:t>niženja njegovog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884CE4" w:rsidRPr="007819CB">
        <w:rPr>
          <w:rFonts w:ascii="Times New Roman" w:eastAsia="Times New Roman" w:hAnsi="Times New Roman" w:cs="Times New Roman"/>
          <w:bCs/>
          <w:lang w:val="sr-Latn-ME"/>
        </w:rPr>
        <w:t>renalnog</w:t>
      </w:r>
      <w:proofErr w:type="spellEnd"/>
      <w:r w:rsidR="00884CE4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klirensa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antiinflamatornim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l</w:t>
      </w:r>
      <w:r w:rsidR="00884CE4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ekovima uopšte</w:t>
      </w:r>
      <w:r w:rsidR="00862BF5" w:rsidRPr="007819CB">
        <w:rPr>
          <w:rFonts w:ascii="Times New Roman" w:eastAsia="Times New Roman" w:hAnsi="Times New Roman" w:cs="Times New Roman"/>
          <w:bCs/>
          <w:lang w:val="sr-Latn-ME"/>
        </w:rPr>
        <w:t>no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. </w:t>
      </w:r>
      <w:r w:rsidR="00884CE4" w:rsidRPr="007819CB">
        <w:rPr>
          <w:rFonts w:ascii="Times New Roman" w:eastAsia="Times New Roman" w:hAnsi="Times New Roman" w:cs="Times New Roman"/>
          <w:bCs/>
          <w:lang w:val="sr-Latn-ME"/>
        </w:rPr>
        <w:t>Potrebna je n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ed</w:t>
      </w:r>
      <w:r w:rsidR="00884CE4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eljn</w:t>
      </w:r>
      <w:r w:rsidR="00884CE4" w:rsidRPr="007819CB">
        <w:rPr>
          <w:rFonts w:ascii="Times New Roman" w:eastAsia="Times New Roman" w:hAnsi="Times New Roman" w:cs="Times New Roman"/>
          <w:bCs/>
          <w:lang w:val="sr-Latn-ME"/>
        </w:rPr>
        <w:t>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kontrol</w:t>
      </w:r>
      <w:r w:rsidR="00884CE4" w:rsidRPr="007819CB">
        <w:rPr>
          <w:rFonts w:ascii="Times New Roman" w:eastAsia="Times New Roman" w:hAnsi="Times New Roman" w:cs="Times New Roman"/>
          <w:bCs/>
          <w:lang w:val="sr-Latn-ME"/>
        </w:rPr>
        <w:t>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krvne slike </w:t>
      </w:r>
      <w:r w:rsidR="00884CE4" w:rsidRPr="007819CB">
        <w:rPr>
          <w:rFonts w:ascii="Times New Roman" w:eastAsia="Times New Roman" w:hAnsi="Times New Roman" w:cs="Times New Roman"/>
          <w:bCs/>
          <w:lang w:val="sr-Latn-ME"/>
        </w:rPr>
        <w:t>i broja</w:t>
      </w:r>
      <w:r w:rsidR="007B7E94" w:rsidRPr="007819CB">
        <w:rPr>
          <w:rFonts w:ascii="Times New Roman" w:eastAsia="Times New Roman" w:hAnsi="Times New Roman" w:cs="Times New Roman"/>
          <w:bCs/>
          <w:lang w:val="sr-Latn-ME"/>
        </w:rPr>
        <w:t xml:space="preserve"> krvnih ćelija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tokom prvih ned</w:t>
      </w:r>
      <w:r w:rsidR="007B7E94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elja </w:t>
      </w:r>
      <w:r w:rsidR="007B7E94" w:rsidRPr="007819CB">
        <w:rPr>
          <w:rFonts w:ascii="Times New Roman" w:eastAsia="Times New Roman" w:hAnsi="Times New Roman" w:cs="Times New Roman"/>
          <w:bCs/>
          <w:lang w:val="sr-Latn-ME"/>
        </w:rPr>
        <w:t>terapije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ov</w:t>
      </w:r>
      <w:r w:rsidR="00D826D8" w:rsidRPr="007819CB">
        <w:rPr>
          <w:rFonts w:ascii="Times New Roman" w:eastAsia="Times New Roman" w:hAnsi="Times New Roman" w:cs="Times New Roman"/>
          <w:bCs/>
          <w:lang w:val="sr-Latn-ME"/>
        </w:rPr>
        <w:t>om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kombinacij</w:t>
      </w:r>
      <w:r w:rsidR="00D826D8" w:rsidRPr="007819CB">
        <w:rPr>
          <w:rFonts w:ascii="Times New Roman" w:eastAsia="Times New Roman" w:hAnsi="Times New Roman" w:cs="Times New Roman"/>
          <w:bCs/>
          <w:lang w:val="sr-Latn-ME"/>
        </w:rPr>
        <w:t>om. Potreban je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pojačan </w:t>
      </w:r>
      <w:r w:rsidR="00D826D8" w:rsidRPr="007819CB">
        <w:rPr>
          <w:rFonts w:ascii="Times New Roman" w:eastAsia="Times New Roman" w:hAnsi="Times New Roman" w:cs="Times New Roman"/>
          <w:bCs/>
          <w:lang w:val="sr-Latn-ME"/>
        </w:rPr>
        <w:t>nadzor u slučaju</w:t>
      </w:r>
      <w:r w:rsidR="00E935C0" w:rsidRPr="007819CB">
        <w:rPr>
          <w:rFonts w:ascii="Times New Roman" w:eastAsia="Times New Roman" w:hAnsi="Times New Roman" w:cs="Times New Roman"/>
          <w:bCs/>
          <w:lang w:val="sr-Latn-ME"/>
        </w:rPr>
        <w:t xml:space="preserve"> prisustva čak i blago oštećene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funkcije</w:t>
      </w:r>
      <w:r w:rsidR="00E935C0" w:rsidRPr="007819CB">
        <w:rPr>
          <w:rFonts w:ascii="Times New Roman" w:eastAsia="Times New Roman" w:hAnsi="Times New Roman" w:cs="Times New Roman"/>
          <w:bCs/>
          <w:lang w:val="sr-Latn-ME"/>
        </w:rPr>
        <w:t xml:space="preserve"> bubrega</w:t>
      </w:r>
      <w:r w:rsidR="007F2282" w:rsidRPr="007819CB">
        <w:rPr>
          <w:rFonts w:ascii="Times New Roman" w:eastAsia="Times New Roman" w:hAnsi="Times New Roman" w:cs="Times New Roman"/>
          <w:bCs/>
          <w:lang w:val="sr-Latn-ME"/>
        </w:rPr>
        <w:t>, kao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 kod starijih osoba</w:t>
      </w:r>
      <w:r w:rsidR="007F2282" w:rsidRPr="007819CB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0FCD9572" w14:textId="2DDA97B2" w:rsidR="00567985" w:rsidRPr="007819CB" w:rsidRDefault="0056798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Pentoksifilin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: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povećan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rizik od krvarenja. </w:t>
      </w:r>
      <w:r w:rsidR="007F2282" w:rsidRPr="007819CB">
        <w:rPr>
          <w:rFonts w:ascii="Times New Roman" w:eastAsia="Times New Roman" w:hAnsi="Times New Roman" w:cs="Times New Roman"/>
          <w:bCs/>
          <w:lang w:val="sr-Latn-ME"/>
        </w:rPr>
        <w:t xml:space="preserve">Neophodan je pojačan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kliničk</w:t>
      </w:r>
      <w:r w:rsidR="007F2282" w:rsidRPr="007819CB">
        <w:rPr>
          <w:rFonts w:ascii="Times New Roman" w:eastAsia="Times New Roman" w:hAnsi="Times New Roman" w:cs="Times New Roman"/>
          <w:bCs/>
          <w:lang w:val="sr-Latn-ME"/>
        </w:rPr>
        <w:t>i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7F2282" w:rsidRPr="007819CB">
        <w:rPr>
          <w:rFonts w:ascii="Times New Roman" w:eastAsia="Times New Roman" w:hAnsi="Times New Roman" w:cs="Times New Roman"/>
          <w:bCs/>
          <w:lang w:val="sr-Latn-ME"/>
        </w:rPr>
        <w:t xml:space="preserve"> nadzor i češća provjera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vreme</w:t>
      </w:r>
      <w:r w:rsidR="007F2282" w:rsidRPr="007819CB">
        <w:rPr>
          <w:rFonts w:ascii="Times New Roman" w:eastAsia="Times New Roman" w:hAnsi="Times New Roman" w:cs="Times New Roman"/>
          <w:bCs/>
          <w:lang w:val="sr-Latn-ME"/>
        </w:rPr>
        <w:t>na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k</w:t>
      </w:r>
      <w:r w:rsidR="007F2282" w:rsidRPr="007819CB">
        <w:rPr>
          <w:rFonts w:ascii="Times New Roman" w:eastAsia="Times New Roman" w:hAnsi="Times New Roman" w:cs="Times New Roman"/>
          <w:bCs/>
          <w:lang w:val="sr-Latn-ME"/>
        </w:rPr>
        <w:t>oagulacije;</w:t>
      </w:r>
    </w:p>
    <w:p w14:paraId="3A160D45" w14:textId="2E680518" w:rsidR="00567985" w:rsidRPr="007819CB" w:rsidRDefault="0056798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Zidovudin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: </w:t>
      </w:r>
      <w:r w:rsidR="007F2282" w:rsidRPr="007819CB">
        <w:rPr>
          <w:rFonts w:ascii="Times New Roman" w:eastAsia="Times New Roman" w:hAnsi="Times New Roman" w:cs="Times New Roman"/>
          <w:bCs/>
          <w:lang w:val="sr-Latn-ME"/>
        </w:rPr>
        <w:t xml:space="preserve">javlja se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rizik od po</w:t>
      </w:r>
      <w:r w:rsidR="007F2282" w:rsidRPr="007819CB">
        <w:rPr>
          <w:rFonts w:ascii="Times New Roman" w:eastAsia="Times New Roman" w:hAnsi="Times New Roman" w:cs="Times New Roman"/>
          <w:bCs/>
          <w:lang w:val="sr-Latn-ME"/>
        </w:rPr>
        <w:t>rasta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toksičnosti </w:t>
      </w:r>
      <w:r w:rsidR="00463030" w:rsidRPr="007819CB">
        <w:rPr>
          <w:rFonts w:ascii="Times New Roman" w:eastAsia="Times New Roman" w:hAnsi="Times New Roman" w:cs="Times New Roman"/>
          <w:bCs/>
          <w:lang w:val="sr-Latn-ME"/>
        </w:rPr>
        <w:t xml:space="preserve">na ćelije crvene krvne loze </w:t>
      </w:r>
      <w:proofErr w:type="spellStart"/>
      <w:r w:rsidR="00463030" w:rsidRPr="007819CB">
        <w:rPr>
          <w:rFonts w:ascii="Times New Roman" w:eastAsia="Times New Roman" w:hAnsi="Times New Roman" w:cs="Times New Roman"/>
          <w:bCs/>
          <w:lang w:val="sr-Latn-ME"/>
        </w:rPr>
        <w:t>usljed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de</w:t>
      </w:r>
      <w:r w:rsidR="00463030" w:rsidRPr="007819CB">
        <w:rPr>
          <w:rFonts w:ascii="Times New Roman" w:eastAsia="Times New Roman" w:hAnsi="Times New Roman" w:cs="Times New Roman"/>
          <w:bCs/>
          <w:lang w:val="sr-Latn-ME"/>
        </w:rPr>
        <w:t>jstva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na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retikulocite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r w:rsidR="00463030" w:rsidRPr="007819CB">
        <w:rPr>
          <w:rFonts w:ascii="Times New Roman" w:eastAsia="Times New Roman" w:hAnsi="Times New Roman" w:cs="Times New Roman"/>
          <w:bCs/>
          <w:lang w:val="sr-Latn-ME"/>
        </w:rPr>
        <w:t>sa pojavom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teške anemije ned</w:t>
      </w:r>
      <w:r w:rsidR="00A53331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elju dana </w:t>
      </w:r>
      <w:r w:rsidR="00A53331" w:rsidRPr="007819CB">
        <w:rPr>
          <w:rFonts w:ascii="Times New Roman" w:eastAsia="Times New Roman" w:hAnsi="Times New Roman" w:cs="Times New Roman"/>
          <w:bCs/>
          <w:lang w:val="sr-Latn-ME"/>
        </w:rPr>
        <w:t>poslije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početka </w:t>
      </w:r>
      <w:r w:rsidR="00A53331" w:rsidRPr="007819CB">
        <w:rPr>
          <w:rFonts w:ascii="Times New Roman" w:eastAsia="Times New Roman" w:hAnsi="Times New Roman" w:cs="Times New Roman"/>
          <w:bCs/>
          <w:lang w:val="sr-Latn-ME"/>
        </w:rPr>
        <w:t>primjene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NSAIL. </w:t>
      </w:r>
      <w:r w:rsidR="00A53331" w:rsidRPr="007819CB">
        <w:rPr>
          <w:rFonts w:ascii="Times New Roman" w:eastAsia="Times New Roman" w:hAnsi="Times New Roman" w:cs="Times New Roman"/>
          <w:bCs/>
          <w:lang w:val="sr-Latn-ME"/>
        </w:rPr>
        <w:t>Neophodna je provjera broja</w:t>
      </w:r>
      <w:r w:rsidR="003D4A11" w:rsidRPr="007819CB">
        <w:rPr>
          <w:rFonts w:ascii="Times New Roman" w:eastAsia="Times New Roman" w:hAnsi="Times New Roman" w:cs="Times New Roman"/>
          <w:bCs/>
          <w:lang w:val="sr-Latn-ME"/>
        </w:rPr>
        <w:t xml:space="preserve"> krvnih zrnaca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retikulocita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jednu do dv</w:t>
      </w:r>
      <w:r w:rsidR="003D4A11" w:rsidRPr="007819CB">
        <w:rPr>
          <w:rFonts w:ascii="Times New Roman" w:eastAsia="Times New Roman" w:hAnsi="Times New Roman" w:cs="Times New Roman"/>
          <w:bCs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 ned</w:t>
      </w:r>
      <w:r w:rsidR="003D4A11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elje </w:t>
      </w:r>
      <w:r w:rsidR="008242AC" w:rsidRPr="007819CB">
        <w:rPr>
          <w:rFonts w:ascii="Times New Roman" w:eastAsia="Times New Roman" w:hAnsi="Times New Roman" w:cs="Times New Roman"/>
          <w:bCs/>
          <w:lang w:val="sr-Latn-ME"/>
        </w:rPr>
        <w:t>od započinjanja terapije sa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NSAIL</w:t>
      </w:r>
      <w:r w:rsidR="008242AC" w:rsidRPr="007819CB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040EE824" w14:textId="70B093EC" w:rsidR="00B77B98" w:rsidRPr="007819CB" w:rsidRDefault="0056798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proofErr w:type="spellStart"/>
      <w:r w:rsidR="00862BF5" w:rsidRPr="007819CB">
        <w:rPr>
          <w:rFonts w:ascii="Times New Roman" w:eastAsia="Times New Roman" w:hAnsi="Times New Roman" w:cs="Times New Roman"/>
          <w:bCs/>
          <w:lang w:val="sr-Latn-ME"/>
        </w:rPr>
        <w:t>S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ulfonilure</w:t>
      </w:r>
      <w:r w:rsidR="00862BF5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>: NSAIL mogu pojača</w:t>
      </w:r>
      <w:r w:rsidR="0008030B" w:rsidRPr="007819CB">
        <w:rPr>
          <w:rFonts w:ascii="Times New Roman" w:eastAsia="Times New Roman" w:hAnsi="Times New Roman" w:cs="Times New Roman"/>
          <w:bCs/>
          <w:lang w:val="sr-Latn-ME"/>
        </w:rPr>
        <w:t>ti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hipoglikemijski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efekat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sulfonilure</w:t>
      </w:r>
      <w:r w:rsidR="00862BF5" w:rsidRPr="007819CB">
        <w:rPr>
          <w:rFonts w:ascii="Times New Roman" w:eastAsia="Times New Roman" w:hAnsi="Times New Roman" w:cs="Times New Roman"/>
          <w:bCs/>
          <w:lang w:val="sr-Latn-ME"/>
        </w:rPr>
        <w:t>ja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istiskuju</w:t>
      </w:r>
      <w:r w:rsidR="00763185" w:rsidRPr="007819CB">
        <w:rPr>
          <w:rFonts w:ascii="Times New Roman" w:eastAsia="Times New Roman" w:hAnsi="Times New Roman" w:cs="Times New Roman"/>
          <w:bCs/>
          <w:lang w:val="sr-Latn-ME"/>
        </w:rPr>
        <w:t>ći ih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sa m</w:t>
      </w:r>
      <w:r w:rsidR="00763185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esta vezivanja </w:t>
      </w:r>
      <w:r w:rsidR="00763185" w:rsidRPr="007819CB">
        <w:rPr>
          <w:rFonts w:ascii="Times New Roman" w:eastAsia="Times New Roman" w:hAnsi="Times New Roman" w:cs="Times New Roman"/>
          <w:bCs/>
          <w:lang w:val="sr-Latn-ME"/>
        </w:rPr>
        <w:t>na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protein</w:t>
      </w:r>
      <w:r w:rsidR="00763185" w:rsidRPr="007819CB">
        <w:rPr>
          <w:rFonts w:ascii="Times New Roman" w:eastAsia="Times New Roman" w:hAnsi="Times New Roman" w:cs="Times New Roman"/>
          <w:bCs/>
          <w:lang w:val="sr-Latn-ME"/>
        </w:rPr>
        <w:t>ima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plazme.</w:t>
      </w:r>
    </w:p>
    <w:p w14:paraId="7E2A1B37" w14:textId="77777777" w:rsidR="00567985" w:rsidRPr="007819CB" w:rsidRDefault="0056798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7B70076" w14:textId="77777777" w:rsidR="00567985" w:rsidRPr="007819CB" w:rsidRDefault="0056798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>Kombinacije koje treba uzeti u obzir:</w:t>
      </w:r>
    </w:p>
    <w:p w14:paraId="66B9BDF3" w14:textId="532BDDEE" w:rsidR="00567985" w:rsidRPr="007819CB" w:rsidRDefault="0056798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>- Beta-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blokatori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: </w:t>
      </w:r>
      <w:r w:rsidR="00232BCD" w:rsidRPr="007819CB">
        <w:rPr>
          <w:rFonts w:ascii="Times New Roman" w:eastAsia="Times New Roman" w:hAnsi="Times New Roman" w:cs="Times New Roman"/>
          <w:bCs/>
          <w:lang w:val="sr-Latn-ME"/>
        </w:rPr>
        <w:t>terapija</w:t>
      </w:r>
      <w:r w:rsidR="00862BF5" w:rsidRPr="007819CB">
        <w:rPr>
          <w:rFonts w:ascii="Times New Roman" w:eastAsia="Times New Roman" w:hAnsi="Times New Roman" w:cs="Times New Roman"/>
          <w:bCs/>
          <w:lang w:val="sr-Latn-ME"/>
        </w:rPr>
        <w:t xml:space="preserve"> sa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NSAIL može smanjiti njihov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antihipertenzivni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efekat </w:t>
      </w:r>
      <w:r w:rsidR="00232BCD" w:rsidRPr="007819CB">
        <w:rPr>
          <w:rFonts w:ascii="Times New Roman" w:eastAsia="Times New Roman" w:hAnsi="Times New Roman" w:cs="Times New Roman"/>
          <w:bCs/>
          <w:lang w:val="sr-Latn-ME"/>
        </w:rPr>
        <w:t>putem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inhibicije sinteze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prostaglandina</w:t>
      </w:r>
      <w:proofErr w:type="spellEnd"/>
      <w:r w:rsidR="00D308D4" w:rsidRPr="007819CB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1BBA580B" w14:textId="2CD2277C" w:rsidR="00567985" w:rsidRPr="007819CB" w:rsidRDefault="0056798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Ciklosporin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takrolimus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>:</w:t>
      </w:r>
      <w:r w:rsidR="00232BCD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726C8D" w:rsidRPr="007819CB">
        <w:rPr>
          <w:rFonts w:ascii="Times New Roman" w:eastAsia="Times New Roman" w:hAnsi="Times New Roman" w:cs="Times New Roman"/>
          <w:bCs/>
          <w:lang w:val="sr-Latn-ME"/>
        </w:rPr>
        <w:t>NSAIL mogu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F36B52" w:rsidRPr="007819CB">
        <w:rPr>
          <w:rFonts w:ascii="Times New Roman" w:eastAsia="Times New Roman" w:hAnsi="Times New Roman" w:cs="Times New Roman"/>
          <w:bCs/>
          <w:lang w:val="sr-Latn-ME"/>
        </w:rPr>
        <w:t xml:space="preserve">povećati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nefrotoksičnost</w:t>
      </w:r>
      <w:proofErr w:type="spellEnd"/>
      <w:r w:rsidR="000162D2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0162D2" w:rsidRPr="007819CB">
        <w:rPr>
          <w:rFonts w:ascii="Times New Roman" w:eastAsia="Times New Roman" w:hAnsi="Times New Roman" w:cs="Times New Roman"/>
          <w:bCs/>
          <w:lang w:val="sr-Latn-ME"/>
        </w:rPr>
        <w:t>preko</w:t>
      </w:r>
      <w:proofErr w:type="spellEnd"/>
      <w:r w:rsidR="000162D2" w:rsidRPr="007819CB">
        <w:rPr>
          <w:rFonts w:ascii="Times New Roman" w:eastAsia="Times New Roman" w:hAnsi="Times New Roman" w:cs="Times New Roman"/>
          <w:bCs/>
          <w:lang w:val="sr-Latn-ME"/>
        </w:rPr>
        <w:t xml:space="preserve"> efekata posredovanih </w:t>
      </w:r>
      <w:proofErr w:type="spellStart"/>
      <w:r w:rsidR="000162D2" w:rsidRPr="007819CB">
        <w:rPr>
          <w:rFonts w:ascii="Times New Roman" w:eastAsia="Times New Roman" w:hAnsi="Times New Roman" w:cs="Times New Roman"/>
          <w:bCs/>
          <w:lang w:val="sr-Latn-ME"/>
        </w:rPr>
        <w:t>renalnim</w:t>
      </w:r>
      <w:proofErr w:type="spellEnd"/>
      <w:r w:rsidR="000162D2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0162D2" w:rsidRPr="007819CB">
        <w:rPr>
          <w:rFonts w:ascii="Times New Roman" w:eastAsia="Times New Roman" w:hAnsi="Times New Roman" w:cs="Times New Roman"/>
          <w:bCs/>
          <w:lang w:val="sr-Latn-ME"/>
        </w:rPr>
        <w:t>prostaglandinom</w:t>
      </w:r>
      <w:proofErr w:type="spellEnd"/>
      <w:r w:rsidR="000162D2" w:rsidRPr="007819CB">
        <w:rPr>
          <w:rFonts w:ascii="Times New Roman" w:eastAsia="Times New Roman" w:hAnsi="Times New Roman" w:cs="Times New Roman"/>
          <w:bCs/>
          <w:lang w:val="sr-Latn-ME"/>
        </w:rPr>
        <w:t>.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Tokom kombinovanog l</w:t>
      </w:r>
      <w:r w:rsidR="000162D2" w:rsidRPr="007819CB">
        <w:rPr>
          <w:rFonts w:ascii="Times New Roman" w:eastAsia="Times New Roman" w:hAnsi="Times New Roman" w:cs="Times New Roman"/>
          <w:bCs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ečenja </w:t>
      </w:r>
      <w:r w:rsidR="000162D2" w:rsidRPr="007819CB">
        <w:rPr>
          <w:rFonts w:ascii="Times New Roman" w:eastAsia="Times New Roman" w:hAnsi="Times New Roman" w:cs="Times New Roman"/>
          <w:bCs/>
          <w:lang w:val="sr-Latn-ME"/>
        </w:rPr>
        <w:t>mora se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pratiti</w:t>
      </w:r>
      <w:r w:rsidR="000162D2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0162D2" w:rsidRPr="007819CB">
        <w:rPr>
          <w:rFonts w:ascii="Times New Roman" w:eastAsia="Times New Roman" w:hAnsi="Times New Roman" w:cs="Times New Roman"/>
          <w:bCs/>
          <w:lang w:val="sr-Latn-ME"/>
        </w:rPr>
        <w:t>renalna</w:t>
      </w:r>
      <w:proofErr w:type="spellEnd"/>
      <w:r w:rsidR="000162D2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funkcija</w:t>
      </w:r>
      <w:r w:rsidR="000162D2" w:rsidRPr="007819CB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0FF22AB8" w14:textId="3EB01E0D" w:rsidR="00567985" w:rsidRPr="007819CB" w:rsidRDefault="0056798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Trombolitici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: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povećan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rizik od krvarenja</w:t>
      </w:r>
      <w:r w:rsidR="000162D2" w:rsidRPr="007819CB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195FEB26" w14:textId="69B75F4D" w:rsidR="00567985" w:rsidRPr="007819CB" w:rsidRDefault="0056798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proofErr w:type="spellStart"/>
      <w:r w:rsidR="00ED14D7" w:rsidRPr="007819CB">
        <w:rPr>
          <w:rFonts w:ascii="Times New Roman" w:eastAsia="Times New Roman" w:hAnsi="Times New Roman" w:cs="Times New Roman"/>
          <w:bCs/>
          <w:lang w:val="sr-Latn-ME"/>
        </w:rPr>
        <w:t>Inhibitori</w:t>
      </w:r>
      <w:proofErr w:type="spellEnd"/>
      <w:r w:rsidR="00ED14D7" w:rsidRPr="007819CB">
        <w:rPr>
          <w:rFonts w:ascii="Times New Roman" w:eastAsia="Times New Roman" w:hAnsi="Times New Roman" w:cs="Times New Roman"/>
          <w:bCs/>
          <w:lang w:val="sr-Latn-ME"/>
        </w:rPr>
        <w:t xml:space="preserve"> agregacije </w:t>
      </w:r>
      <w:proofErr w:type="spellStart"/>
      <w:r w:rsidR="00ED14D7" w:rsidRPr="007819CB">
        <w:rPr>
          <w:rFonts w:ascii="Times New Roman" w:eastAsia="Times New Roman" w:hAnsi="Times New Roman" w:cs="Times New Roman"/>
          <w:bCs/>
          <w:lang w:val="sr-Latn-ME"/>
        </w:rPr>
        <w:t>trombocita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 selektivni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inhibitori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ponovnog preuzimanja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serotonina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(SSRI):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povećan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rizik od gastrointestinalnog krvarenja (</w:t>
      </w:r>
      <w:r w:rsidR="00ED14D7" w:rsidRPr="007819CB">
        <w:rPr>
          <w:rFonts w:ascii="Times New Roman" w:eastAsia="Times New Roman" w:hAnsi="Times New Roman" w:cs="Times New Roman"/>
          <w:bCs/>
          <w:lang w:val="sr-Latn-ME"/>
        </w:rPr>
        <w:t>pogledati dio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4.4)</w:t>
      </w:r>
      <w:r w:rsidR="00ED14D7" w:rsidRPr="007819CB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4221DB52" w14:textId="21E5125C" w:rsidR="00567985" w:rsidRPr="007819CB" w:rsidRDefault="0056798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Probenecid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: koncentracije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deksketoprofena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u plazmi mogu </w:t>
      </w:r>
      <w:r w:rsidR="001E2021" w:rsidRPr="007819CB">
        <w:rPr>
          <w:rFonts w:ascii="Times New Roman" w:eastAsia="Times New Roman" w:hAnsi="Times New Roman" w:cs="Times New Roman"/>
          <w:bCs/>
          <w:lang w:val="sr-Latn-ME"/>
        </w:rPr>
        <w:t>biti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poveća</w:t>
      </w:r>
      <w:r w:rsidR="001E2021" w:rsidRPr="007819CB">
        <w:rPr>
          <w:rFonts w:ascii="Times New Roman" w:eastAsia="Times New Roman" w:hAnsi="Times New Roman" w:cs="Times New Roman"/>
          <w:bCs/>
          <w:lang w:val="sr-Latn-ME"/>
        </w:rPr>
        <w:t>ne</w:t>
      </w:r>
      <w:proofErr w:type="spellEnd"/>
      <w:r w:rsidR="001E2021" w:rsidRPr="007819CB">
        <w:rPr>
          <w:rFonts w:ascii="Times New Roman" w:eastAsia="Times New Roman" w:hAnsi="Times New Roman" w:cs="Times New Roman"/>
          <w:bCs/>
          <w:lang w:val="sr-Latn-ME"/>
        </w:rPr>
        <w:t>;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BB1EC8" w:rsidRPr="007819CB">
        <w:rPr>
          <w:rFonts w:ascii="Times New Roman" w:eastAsia="Times New Roman" w:hAnsi="Times New Roman" w:cs="Times New Roman"/>
          <w:bCs/>
          <w:lang w:val="sr-Latn-ME"/>
        </w:rPr>
        <w:t xml:space="preserve">ova interakcija može nastati </w:t>
      </w:r>
      <w:proofErr w:type="spellStart"/>
      <w:r w:rsidR="00BB1EC8" w:rsidRPr="007819CB">
        <w:rPr>
          <w:rFonts w:ascii="Times New Roman" w:eastAsia="Times New Roman" w:hAnsi="Times New Roman" w:cs="Times New Roman"/>
          <w:bCs/>
          <w:lang w:val="sr-Latn-ME"/>
        </w:rPr>
        <w:t>usljed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inhibitorn</w:t>
      </w:r>
      <w:r w:rsidR="0017408B" w:rsidRPr="007819CB">
        <w:rPr>
          <w:rFonts w:ascii="Times New Roman" w:eastAsia="Times New Roman" w:hAnsi="Times New Roman" w:cs="Times New Roman"/>
          <w:bCs/>
          <w:lang w:val="sr-Latn-ME"/>
        </w:rPr>
        <w:t>og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mehanizm</w:t>
      </w:r>
      <w:r w:rsidR="0017408B" w:rsidRPr="007819CB">
        <w:rPr>
          <w:rFonts w:ascii="Times New Roman" w:eastAsia="Times New Roman" w:hAnsi="Times New Roman" w:cs="Times New Roman"/>
          <w:bCs/>
          <w:lang w:val="sr-Latn-ME"/>
        </w:rPr>
        <w:t>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na m</w:t>
      </w:r>
      <w:r w:rsidR="0017408B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est</w:t>
      </w:r>
      <w:r w:rsidR="0017408B" w:rsidRPr="007819CB">
        <w:rPr>
          <w:rFonts w:ascii="Times New Roman" w:eastAsia="Times New Roman" w:hAnsi="Times New Roman" w:cs="Times New Roman"/>
          <w:bCs/>
          <w:lang w:val="sr-Latn-ME"/>
        </w:rPr>
        <w:t>u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17408B" w:rsidRPr="007819CB">
        <w:rPr>
          <w:rFonts w:ascii="Times New Roman" w:eastAsia="Times New Roman" w:hAnsi="Times New Roman" w:cs="Times New Roman"/>
          <w:bCs/>
          <w:lang w:val="sr-Latn-ME"/>
        </w:rPr>
        <w:t>renalne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tubularne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17408B" w:rsidRPr="007819CB">
        <w:rPr>
          <w:rFonts w:ascii="Times New Roman" w:eastAsia="Times New Roman" w:hAnsi="Times New Roman" w:cs="Times New Roman"/>
          <w:bCs/>
          <w:lang w:val="sr-Latn-ME"/>
        </w:rPr>
        <w:t>s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ekrecije i konjugacije</w:t>
      </w:r>
      <w:r w:rsidR="0017408B" w:rsidRPr="007819CB">
        <w:rPr>
          <w:rFonts w:ascii="Times New Roman" w:eastAsia="Times New Roman" w:hAnsi="Times New Roman" w:cs="Times New Roman"/>
          <w:bCs/>
          <w:lang w:val="sr-Latn-ME"/>
        </w:rPr>
        <w:t xml:space="preserve"> sa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glukuro</w:t>
      </w:r>
      <w:r w:rsidR="0017408B" w:rsidRPr="007819CB">
        <w:rPr>
          <w:rFonts w:ascii="Times New Roman" w:eastAsia="Times New Roman" w:hAnsi="Times New Roman" w:cs="Times New Roman"/>
          <w:bCs/>
          <w:lang w:val="sr-Latn-ME"/>
        </w:rPr>
        <w:t>nskom</w:t>
      </w:r>
      <w:proofErr w:type="spellEnd"/>
      <w:r w:rsidR="0017408B" w:rsidRPr="007819CB">
        <w:rPr>
          <w:rFonts w:ascii="Times New Roman" w:eastAsia="Times New Roman" w:hAnsi="Times New Roman" w:cs="Times New Roman"/>
          <w:bCs/>
          <w:lang w:val="sr-Latn-ME"/>
        </w:rPr>
        <w:t xml:space="preserve"> kiselinom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 zaht</w:t>
      </w:r>
      <w:r w:rsidR="00C1305B" w:rsidRPr="007819CB">
        <w:rPr>
          <w:rFonts w:ascii="Times New Roman" w:eastAsia="Times New Roman" w:hAnsi="Times New Roman" w:cs="Times New Roman"/>
          <w:bCs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eva </w:t>
      </w:r>
      <w:r w:rsidR="00C1305B" w:rsidRPr="007819CB">
        <w:rPr>
          <w:rFonts w:ascii="Times New Roman" w:eastAsia="Times New Roman" w:hAnsi="Times New Roman" w:cs="Times New Roman"/>
          <w:bCs/>
          <w:lang w:val="sr-Latn-ME"/>
        </w:rPr>
        <w:t>korigovanje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doze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deksketoprofena</w:t>
      </w:r>
      <w:proofErr w:type="spellEnd"/>
      <w:r w:rsidR="00C1305B" w:rsidRPr="007819CB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00E48355" w14:textId="110707A6" w:rsidR="00567985" w:rsidRPr="007819CB" w:rsidRDefault="0056798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proofErr w:type="spellStart"/>
      <w:r w:rsidR="00C1305B" w:rsidRPr="007819CB">
        <w:rPr>
          <w:rFonts w:ascii="Times New Roman" w:eastAsia="Times New Roman" w:hAnsi="Times New Roman" w:cs="Times New Roman"/>
          <w:bCs/>
          <w:lang w:val="sr-Latn-ME"/>
        </w:rPr>
        <w:t>Kardiotonični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glikozidi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>: NSAIL mog</w:t>
      </w:r>
      <w:r w:rsidR="00F5343A" w:rsidRPr="007819CB">
        <w:rPr>
          <w:rFonts w:ascii="Times New Roman" w:eastAsia="Times New Roman" w:hAnsi="Times New Roman" w:cs="Times New Roman"/>
          <w:bCs/>
          <w:lang w:val="sr-Latn-ME"/>
        </w:rPr>
        <w:t>u</w:t>
      </w:r>
      <w:r w:rsidR="00C1305B" w:rsidRPr="007819CB">
        <w:rPr>
          <w:rFonts w:ascii="Times New Roman" w:eastAsia="Times New Roman" w:hAnsi="Times New Roman" w:cs="Times New Roman"/>
          <w:bCs/>
          <w:lang w:val="sr-Latn-ME"/>
        </w:rPr>
        <w:t xml:space="preserve"> da doved</w:t>
      </w:r>
      <w:r w:rsidR="00F5343A" w:rsidRPr="007819CB">
        <w:rPr>
          <w:rFonts w:ascii="Times New Roman" w:eastAsia="Times New Roman" w:hAnsi="Times New Roman" w:cs="Times New Roman"/>
          <w:bCs/>
          <w:lang w:val="sr-Latn-ME"/>
        </w:rPr>
        <w:t>u</w:t>
      </w:r>
      <w:r w:rsidR="00C1305B" w:rsidRPr="007819CB">
        <w:rPr>
          <w:rFonts w:ascii="Times New Roman" w:eastAsia="Times New Roman" w:hAnsi="Times New Roman" w:cs="Times New Roman"/>
          <w:bCs/>
          <w:lang w:val="sr-Latn-ME"/>
        </w:rPr>
        <w:t xml:space="preserve"> do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poveća</w:t>
      </w:r>
      <w:r w:rsidR="00C1305B" w:rsidRPr="007819CB">
        <w:rPr>
          <w:rFonts w:ascii="Times New Roman" w:eastAsia="Times New Roman" w:hAnsi="Times New Roman" w:cs="Times New Roman"/>
          <w:bCs/>
          <w:lang w:val="sr-Latn-ME"/>
        </w:rPr>
        <w:t>nja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koncentracij</w:t>
      </w:r>
      <w:r w:rsidR="00C1305B" w:rsidRPr="007819CB">
        <w:rPr>
          <w:rFonts w:ascii="Times New Roman" w:eastAsia="Times New Roman" w:hAnsi="Times New Roman" w:cs="Times New Roman"/>
          <w:bCs/>
          <w:lang w:val="sr-Latn-ME"/>
        </w:rPr>
        <w:t xml:space="preserve">e </w:t>
      </w:r>
      <w:proofErr w:type="spellStart"/>
      <w:r w:rsidR="00C1305B" w:rsidRPr="007819CB">
        <w:rPr>
          <w:rFonts w:ascii="Times New Roman" w:eastAsia="Times New Roman" w:hAnsi="Times New Roman" w:cs="Times New Roman"/>
          <w:bCs/>
          <w:lang w:val="sr-Latn-ME"/>
        </w:rPr>
        <w:t>kardiotoničnih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glikozida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u plazmi</w:t>
      </w:r>
      <w:r w:rsidR="00C1305B" w:rsidRPr="007819CB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6130A7AD" w14:textId="2106CAA3" w:rsidR="00567985" w:rsidRPr="007819CB" w:rsidRDefault="0056798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Mifepriston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: </w:t>
      </w:r>
      <w:r w:rsidR="00C1305B" w:rsidRPr="007819CB">
        <w:rPr>
          <w:rFonts w:ascii="Times New Roman" w:eastAsia="Times New Roman" w:hAnsi="Times New Roman" w:cs="Times New Roman"/>
          <w:bCs/>
          <w:lang w:val="sr-Latn-ME"/>
        </w:rPr>
        <w:t>zbog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teo</w:t>
      </w:r>
      <w:r w:rsidR="00C1305B" w:rsidRPr="007819CB">
        <w:rPr>
          <w:rFonts w:ascii="Times New Roman" w:eastAsia="Times New Roman" w:hAnsi="Times New Roman" w:cs="Times New Roman"/>
          <w:bCs/>
          <w:lang w:val="sr-Latn-ME"/>
        </w:rPr>
        <w:t>rijske mogućnosti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da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inhibitori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C1305B" w:rsidRPr="007819CB">
        <w:rPr>
          <w:rFonts w:ascii="Times New Roman" w:eastAsia="Times New Roman" w:hAnsi="Times New Roman" w:cs="Times New Roman"/>
          <w:bCs/>
          <w:lang w:val="sr-Latn-ME"/>
        </w:rPr>
        <w:t>sinteze</w:t>
      </w:r>
      <w:r w:rsidR="00A32BFE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prostaglandin</w:t>
      </w:r>
      <w:r w:rsidR="00A32BFE" w:rsidRPr="007819CB">
        <w:rPr>
          <w:rFonts w:ascii="Times New Roman" w:eastAsia="Times New Roman" w:hAnsi="Times New Roman" w:cs="Times New Roman"/>
          <w:bCs/>
          <w:lang w:val="sr-Latn-ME"/>
        </w:rPr>
        <w:t>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mogu da</w:t>
      </w:r>
      <w:r w:rsidR="00A32BFE" w:rsidRPr="007819CB">
        <w:rPr>
          <w:rFonts w:ascii="Times New Roman" w:eastAsia="Times New Roman" w:hAnsi="Times New Roman" w:cs="Times New Roman"/>
          <w:bCs/>
          <w:lang w:val="sr-Latn-ME"/>
        </w:rPr>
        <w:t xml:space="preserve"> utiču na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efikasnost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mifepristona</w:t>
      </w:r>
      <w:proofErr w:type="spellEnd"/>
      <w:r w:rsidR="000A48C4" w:rsidRPr="007819CB">
        <w:rPr>
          <w:rFonts w:ascii="Times New Roman" w:eastAsia="Times New Roman" w:hAnsi="Times New Roman" w:cs="Times New Roman"/>
          <w:bCs/>
          <w:lang w:val="sr-Latn-ME"/>
        </w:rPr>
        <w:t>,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NSAIL </w:t>
      </w:r>
      <w:r w:rsidR="001B6547" w:rsidRPr="007819CB">
        <w:rPr>
          <w:rFonts w:ascii="Times New Roman" w:eastAsia="Times New Roman" w:hAnsi="Times New Roman" w:cs="Times New Roman"/>
          <w:bCs/>
          <w:lang w:val="sr-Latn-ME"/>
        </w:rPr>
        <w:t>ne treba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uzimati 8-12 dana nakon prim</w:t>
      </w:r>
      <w:r w:rsidR="001B6547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ene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mifepristona</w:t>
      </w:r>
      <w:proofErr w:type="spellEnd"/>
      <w:r w:rsidR="001B6547" w:rsidRPr="007819CB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229D7D74" w14:textId="54EDDDB5" w:rsidR="00567985" w:rsidRPr="007819CB" w:rsidRDefault="00F5343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proofErr w:type="spellStart"/>
      <w:r w:rsidR="00567985" w:rsidRPr="007819CB">
        <w:rPr>
          <w:rFonts w:ascii="Times New Roman" w:eastAsia="Times New Roman" w:hAnsi="Times New Roman" w:cs="Times New Roman"/>
          <w:bCs/>
          <w:lang w:val="sr-Latn-ME"/>
        </w:rPr>
        <w:t>Hinolonski</w:t>
      </w:r>
      <w:proofErr w:type="spellEnd"/>
      <w:r w:rsidR="00567985" w:rsidRPr="007819CB">
        <w:rPr>
          <w:rFonts w:ascii="Times New Roman" w:eastAsia="Times New Roman" w:hAnsi="Times New Roman" w:cs="Times New Roman"/>
          <w:bCs/>
          <w:lang w:val="sr-Latn-ME"/>
        </w:rPr>
        <w:t xml:space="preserve"> antibiotici: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podaci dobiveni</w:t>
      </w:r>
      <w:r w:rsidR="00567985" w:rsidRPr="007819CB">
        <w:rPr>
          <w:rFonts w:ascii="Times New Roman" w:eastAsia="Times New Roman" w:hAnsi="Times New Roman" w:cs="Times New Roman"/>
          <w:bCs/>
          <w:lang w:val="sr-Latn-ME"/>
        </w:rPr>
        <w:t xml:space="preserve"> na životinjama </w:t>
      </w:r>
      <w:r w:rsidR="00AC7A3C" w:rsidRPr="007819CB">
        <w:rPr>
          <w:rFonts w:ascii="Times New Roman" w:eastAsia="Times New Roman" w:hAnsi="Times New Roman" w:cs="Times New Roman"/>
          <w:bCs/>
          <w:lang w:val="sr-Latn-ME"/>
        </w:rPr>
        <w:t>ukazuju</w:t>
      </w:r>
      <w:r w:rsidR="00567985" w:rsidRPr="007819CB">
        <w:rPr>
          <w:rFonts w:ascii="Times New Roman" w:eastAsia="Times New Roman" w:hAnsi="Times New Roman" w:cs="Times New Roman"/>
          <w:bCs/>
          <w:lang w:val="sr-Latn-ME"/>
        </w:rPr>
        <w:t xml:space="preserve"> da </w:t>
      </w:r>
      <w:r w:rsidR="00AC7A3C" w:rsidRPr="007819CB">
        <w:rPr>
          <w:rFonts w:ascii="Times New Roman" w:eastAsia="Times New Roman" w:hAnsi="Times New Roman" w:cs="Times New Roman"/>
          <w:bCs/>
          <w:lang w:val="sr-Latn-ME"/>
        </w:rPr>
        <w:t xml:space="preserve">primjena </w:t>
      </w:r>
      <w:r w:rsidR="00567985" w:rsidRPr="007819CB">
        <w:rPr>
          <w:rFonts w:ascii="Times New Roman" w:eastAsia="Times New Roman" w:hAnsi="Times New Roman" w:cs="Times New Roman"/>
          <w:bCs/>
          <w:lang w:val="sr-Latn-ME"/>
        </w:rPr>
        <w:t>visok</w:t>
      </w:r>
      <w:r w:rsidR="00AC7A3C" w:rsidRPr="007819CB">
        <w:rPr>
          <w:rFonts w:ascii="Times New Roman" w:eastAsia="Times New Roman" w:hAnsi="Times New Roman" w:cs="Times New Roman"/>
          <w:bCs/>
          <w:lang w:val="sr-Latn-ME"/>
        </w:rPr>
        <w:t>ih</w:t>
      </w:r>
      <w:r w:rsidR="00567985" w:rsidRPr="007819CB">
        <w:rPr>
          <w:rFonts w:ascii="Times New Roman" w:eastAsia="Times New Roman" w:hAnsi="Times New Roman" w:cs="Times New Roman"/>
          <w:bCs/>
          <w:lang w:val="sr-Latn-ME"/>
        </w:rPr>
        <w:t xml:space="preserve"> doz</w:t>
      </w:r>
      <w:r w:rsidR="00AC7A3C" w:rsidRPr="007819CB">
        <w:rPr>
          <w:rFonts w:ascii="Times New Roman" w:eastAsia="Times New Roman" w:hAnsi="Times New Roman" w:cs="Times New Roman"/>
          <w:bCs/>
          <w:lang w:val="sr-Latn-ME"/>
        </w:rPr>
        <w:t>a</w:t>
      </w:r>
      <w:r w:rsidR="00567985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AC7A3C" w:rsidRPr="007819CB">
        <w:rPr>
          <w:rFonts w:ascii="Times New Roman" w:eastAsia="Times New Roman" w:hAnsi="Times New Roman" w:cs="Times New Roman"/>
          <w:bCs/>
          <w:lang w:val="sr-Latn-ME"/>
        </w:rPr>
        <w:t>h</w:t>
      </w:r>
      <w:r w:rsidR="00567985" w:rsidRPr="007819CB">
        <w:rPr>
          <w:rFonts w:ascii="Times New Roman" w:eastAsia="Times New Roman" w:hAnsi="Times New Roman" w:cs="Times New Roman"/>
          <w:bCs/>
          <w:lang w:val="sr-Latn-ME"/>
        </w:rPr>
        <w:t>ino</w:t>
      </w:r>
      <w:r w:rsidR="00AC7A3C" w:rsidRPr="007819CB">
        <w:rPr>
          <w:rFonts w:ascii="Times New Roman" w:eastAsia="Times New Roman" w:hAnsi="Times New Roman" w:cs="Times New Roman"/>
          <w:bCs/>
          <w:lang w:val="sr-Latn-ME"/>
        </w:rPr>
        <w:t>lonskih</w:t>
      </w:r>
      <w:proofErr w:type="spellEnd"/>
      <w:r w:rsidR="00AC7A3C" w:rsidRPr="007819CB">
        <w:rPr>
          <w:rFonts w:ascii="Times New Roman" w:eastAsia="Times New Roman" w:hAnsi="Times New Roman" w:cs="Times New Roman"/>
          <w:bCs/>
          <w:lang w:val="sr-Latn-ME"/>
        </w:rPr>
        <w:t xml:space="preserve"> antibiotika</w:t>
      </w:r>
      <w:r w:rsidR="00567985" w:rsidRPr="007819CB">
        <w:rPr>
          <w:rFonts w:ascii="Times New Roman" w:eastAsia="Times New Roman" w:hAnsi="Times New Roman" w:cs="Times New Roman"/>
          <w:bCs/>
          <w:lang w:val="sr-Latn-ME"/>
        </w:rPr>
        <w:t xml:space="preserve"> sa NSAIL </w:t>
      </w:r>
      <w:r w:rsidR="00AC7A3C" w:rsidRPr="007819CB">
        <w:rPr>
          <w:rFonts w:ascii="Times New Roman" w:eastAsia="Times New Roman" w:hAnsi="Times New Roman" w:cs="Times New Roman"/>
          <w:bCs/>
          <w:lang w:val="sr-Latn-ME"/>
        </w:rPr>
        <w:t>dovodi do</w:t>
      </w:r>
      <w:r w:rsidR="00567985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567985" w:rsidRPr="007819CB">
        <w:rPr>
          <w:rFonts w:ascii="Times New Roman" w:eastAsia="Times New Roman" w:hAnsi="Times New Roman" w:cs="Times New Roman"/>
          <w:bCs/>
          <w:lang w:val="sr-Latn-ME"/>
        </w:rPr>
        <w:t>poveća</w:t>
      </w:r>
      <w:r w:rsidR="00AC7A3C" w:rsidRPr="007819CB">
        <w:rPr>
          <w:rFonts w:ascii="Times New Roman" w:eastAsia="Times New Roman" w:hAnsi="Times New Roman" w:cs="Times New Roman"/>
          <w:bCs/>
          <w:lang w:val="sr-Latn-ME"/>
        </w:rPr>
        <w:t>nog</w:t>
      </w:r>
      <w:proofErr w:type="spellEnd"/>
      <w:r w:rsidR="00567985" w:rsidRPr="007819CB">
        <w:rPr>
          <w:rFonts w:ascii="Times New Roman" w:eastAsia="Times New Roman" w:hAnsi="Times New Roman" w:cs="Times New Roman"/>
          <w:bCs/>
          <w:lang w:val="sr-Latn-ME"/>
        </w:rPr>
        <w:t xml:space="preserve"> rizik</w:t>
      </w:r>
      <w:r w:rsidR="00AC7A3C" w:rsidRPr="007819CB">
        <w:rPr>
          <w:rFonts w:ascii="Times New Roman" w:eastAsia="Times New Roman" w:hAnsi="Times New Roman" w:cs="Times New Roman"/>
          <w:bCs/>
          <w:lang w:val="sr-Latn-ME"/>
        </w:rPr>
        <w:t>a</w:t>
      </w:r>
      <w:r w:rsidR="00567985" w:rsidRPr="007819CB">
        <w:rPr>
          <w:rFonts w:ascii="Times New Roman" w:eastAsia="Times New Roman" w:hAnsi="Times New Roman" w:cs="Times New Roman"/>
          <w:bCs/>
          <w:lang w:val="sr-Latn-ME"/>
        </w:rPr>
        <w:t xml:space="preserve"> od</w:t>
      </w:r>
      <w:r w:rsidR="00AC7A3C" w:rsidRPr="007819CB">
        <w:rPr>
          <w:rFonts w:ascii="Times New Roman" w:eastAsia="Times New Roman" w:hAnsi="Times New Roman" w:cs="Times New Roman"/>
          <w:bCs/>
          <w:lang w:val="sr-Latn-ME"/>
        </w:rPr>
        <w:t xml:space="preserve"> pojave</w:t>
      </w:r>
      <w:r w:rsidR="00567985" w:rsidRPr="007819CB">
        <w:rPr>
          <w:rFonts w:ascii="Times New Roman" w:eastAsia="Times New Roman" w:hAnsi="Times New Roman" w:cs="Times New Roman"/>
          <w:bCs/>
          <w:lang w:val="sr-Latn-ME"/>
        </w:rPr>
        <w:t xml:space="preserve"> konvulzija</w:t>
      </w:r>
      <w:r w:rsidR="00D308D4" w:rsidRPr="007819CB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4C355640" w14:textId="64C4AA77" w:rsidR="00D30E28" w:rsidRPr="007819CB" w:rsidRDefault="00D30E2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Tenofovir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: istovremena primjena sa NSAIL-om može povećati </w:t>
      </w:r>
      <w:r w:rsidR="00D308D4" w:rsidRPr="007819CB">
        <w:rPr>
          <w:rFonts w:ascii="Times New Roman" w:eastAsia="Times New Roman" w:hAnsi="Times New Roman" w:cs="Times New Roman"/>
          <w:bCs/>
          <w:lang w:val="sr-Latn-ME"/>
        </w:rPr>
        <w:t xml:space="preserve">nivo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ure</w:t>
      </w:r>
      <w:r w:rsidR="00D308D4" w:rsidRPr="007819CB">
        <w:rPr>
          <w:rFonts w:ascii="Times New Roman" w:eastAsia="Times New Roman" w:hAnsi="Times New Roman" w:cs="Times New Roman"/>
          <w:bCs/>
          <w:lang w:val="sr-Latn-ME"/>
        </w:rPr>
        <w:t>e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kreatinin</w:t>
      </w:r>
      <w:r w:rsidR="00D308D4" w:rsidRPr="007819CB">
        <w:rPr>
          <w:rFonts w:ascii="Times New Roman" w:eastAsia="Times New Roman" w:hAnsi="Times New Roman" w:cs="Times New Roman"/>
          <w:bCs/>
          <w:lang w:val="sr-Latn-ME"/>
        </w:rPr>
        <w:t>a</w:t>
      </w:r>
      <w:proofErr w:type="spellEnd"/>
      <w:r w:rsidR="00D308D4" w:rsidRPr="007819CB">
        <w:rPr>
          <w:rFonts w:ascii="Times New Roman" w:eastAsia="Times New Roman" w:hAnsi="Times New Roman" w:cs="Times New Roman"/>
          <w:bCs/>
          <w:lang w:val="sr-Latn-ME"/>
        </w:rPr>
        <w:t xml:space="preserve"> u plazmi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r w:rsidR="00D308D4" w:rsidRPr="007819CB">
        <w:rPr>
          <w:rFonts w:ascii="Times New Roman" w:eastAsia="Times New Roman" w:hAnsi="Times New Roman" w:cs="Times New Roman"/>
          <w:bCs/>
          <w:lang w:val="sr-Latn-ME"/>
        </w:rPr>
        <w:t xml:space="preserve">pa se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bubrežn</w:t>
      </w:r>
      <w:r w:rsidR="00D308D4" w:rsidRPr="007819CB">
        <w:rPr>
          <w:rFonts w:ascii="Times New Roman" w:eastAsia="Times New Roman" w:hAnsi="Times New Roman" w:cs="Times New Roman"/>
          <w:bCs/>
          <w:lang w:val="sr-Latn-ME"/>
        </w:rPr>
        <w:t xml:space="preserve">a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funkcij</w:t>
      </w:r>
      <w:r w:rsidR="00D308D4" w:rsidRPr="007819CB">
        <w:rPr>
          <w:rFonts w:ascii="Times New Roman" w:eastAsia="Times New Roman" w:hAnsi="Times New Roman" w:cs="Times New Roman"/>
          <w:bCs/>
          <w:lang w:val="sr-Latn-ME"/>
        </w:rPr>
        <w:t>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treba </w:t>
      </w:r>
      <w:r w:rsidR="00D308D4" w:rsidRPr="007819CB">
        <w:rPr>
          <w:rFonts w:ascii="Times New Roman" w:eastAsia="Times New Roman" w:hAnsi="Times New Roman" w:cs="Times New Roman"/>
          <w:bCs/>
          <w:lang w:val="sr-Latn-ME"/>
        </w:rPr>
        <w:t>pratiti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kako bi se kontroli</w:t>
      </w:r>
      <w:r w:rsidR="00D308D4" w:rsidRPr="007819CB">
        <w:rPr>
          <w:rFonts w:ascii="Times New Roman" w:eastAsia="Times New Roman" w:hAnsi="Times New Roman" w:cs="Times New Roman"/>
          <w:bCs/>
          <w:lang w:val="sr-Latn-ME"/>
        </w:rPr>
        <w:t>s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ao mogući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sinergijski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efekat na bubrežnu funkciju</w:t>
      </w:r>
      <w:r w:rsidR="00D308D4" w:rsidRPr="007819CB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23077E9F" w14:textId="477F4B51" w:rsidR="00D30E28" w:rsidRPr="007819CB" w:rsidRDefault="00D30E2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Deferasiroks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>: isto</w:t>
      </w:r>
      <w:r w:rsidR="0040144E" w:rsidRPr="007819CB">
        <w:rPr>
          <w:rFonts w:ascii="Times New Roman" w:eastAsia="Times New Roman" w:hAnsi="Times New Roman" w:cs="Times New Roman"/>
          <w:bCs/>
          <w:lang w:val="sr-Latn-ME"/>
        </w:rPr>
        <w:t>vremena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primjena s</w:t>
      </w:r>
      <w:r w:rsidR="0040144E" w:rsidRPr="007819CB">
        <w:rPr>
          <w:rFonts w:ascii="Times New Roman" w:eastAsia="Times New Roman" w:hAnsi="Times New Roman" w:cs="Times New Roman"/>
          <w:bCs/>
          <w:lang w:val="sr-Latn-ME"/>
        </w:rPr>
        <w:t>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NSAIL-ima može pov</w:t>
      </w:r>
      <w:r w:rsidR="0040144E" w:rsidRPr="007819CB">
        <w:rPr>
          <w:rFonts w:ascii="Times New Roman" w:eastAsia="Times New Roman" w:hAnsi="Times New Roman" w:cs="Times New Roman"/>
          <w:bCs/>
          <w:lang w:val="sr-Latn-ME"/>
        </w:rPr>
        <w:t xml:space="preserve">ećati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rizik </w:t>
      </w:r>
      <w:r w:rsidR="00D308D4" w:rsidRPr="007819CB">
        <w:rPr>
          <w:rFonts w:ascii="Times New Roman" w:eastAsia="Times New Roman" w:hAnsi="Times New Roman" w:cs="Times New Roman"/>
          <w:bCs/>
          <w:lang w:val="sr-Latn-ME"/>
        </w:rPr>
        <w:t xml:space="preserve">od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gastrointestinalne</w:t>
      </w:r>
      <w:r w:rsidR="0040144E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toksičnosti</w:t>
      </w:r>
      <w:r w:rsidR="00D308D4" w:rsidRPr="007819CB">
        <w:rPr>
          <w:rFonts w:ascii="Times New Roman" w:eastAsia="Times New Roman" w:hAnsi="Times New Roman" w:cs="Times New Roman"/>
          <w:bCs/>
          <w:lang w:val="sr-Latn-ME"/>
        </w:rPr>
        <w:t>;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Potrebno je </w:t>
      </w:r>
      <w:r w:rsidR="0040144E" w:rsidRPr="007819CB">
        <w:rPr>
          <w:rFonts w:ascii="Times New Roman" w:eastAsia="Times New Roman" w:hAnsi="Times New Roman" w:cs="Times New Roman"/>
          <w:bCs/>
          <w:lang w:val="sr-Latn-ME"/>
        </w:rPr>
        <w:t xml:space="preserve">strogo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kliničko praćenje kada se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deferasiroks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kombin</w:t>
      </w:r>
      <w:r w:rsidR="0040144E" w:rsidRPr="007819CB">
        <w:rPr>
          <w:rFonts w:ascii="Times New Roman" w:eastAsia="Times New Roman" w:hAnsi="Times New Roman" w:cs="Times New Roman"/>
          <w:bCs/>
          <w:lang w:val="sr-Latn-ME"/>
        </w:rPr>
        <w:t xml:space="preserve">uje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s</w:t>
      </w:r>
      <w:r w:rsidR="00D308D4" w:rsidRPr="007819CB">
        <w:rPr>
          <w:rFonts w:ascii="Times New Roman" w:eastAsia="Times New Roman" w:hAnsi="Times New Roman" w:cs="Times New Roman"/>
          <w:bCs/>
          <w:lang w:val="sr-Latn-ME"/>
        </w:rPr>
        <w:t>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D308D4" w:rsidRPr="007819CB">
        <w:rPr>
          <w:rFonts w:ascii="Times New Roman" w:eastAsia="Times New Roman" w:hAnsi="Times New Roman" w:cs="Times New Roman"/>
          <w:bCs/>
          <w:lang w:val="sr-Latn-ME"/>
        </w:rPr>
        <w:t>ovim</w:t>
      </w:r>
      <w:r w:rsidR="0040144E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ljekovima</w:t>
      </w:r>
      <w:r w:rsidR="00D308D4" w:rsidRPr="007819CB">
        <w:rPr>
          <w:rFonts w:ascii="Times New Roman" w:eastAsia="Times New Roman" w:hAnsi="Times New Roman" w:cs="Times New Roman"/>
          <w:bCs/>
          <w:lang w:val="sr-Latn-ME"/>
        </w:rPr>
        <w:t>;</w:t>
      </w:r>
    </w:p>
    <w:p w14:paraId="5FE7BF11" w14:textId="79792D93" w:rsidR="00D30E28" w:rsidRPr="007819CB" w:rsidRDefault="00D30E2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-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Pemetreksed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>: isto</w:t>
      </w:r>
      <w:r w:rsidR="0040144E" w:rsidRPr="007819CB">
        <w:rPr>
          <w:rFonts w:ascii="Times New Roman" w:eastAsia="Times New Roman" w:hAnsi="Times New Roman" w:cs="Times New Roman"/>
          <w:bCs/>
          <w:lang w:val="sr-Latn-ME"/>
        </w:rPr>
        <w:t xml:space="preserve">vremena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primjena s</w:t>
      </w:r>
      <w:r w:rsidR="0040144E" w:rsidRPr="007819CB">
        <w:rPr>
          <w:rFonts w:ascii="Times New Roman" w:eastAsia="Times New Roman" w:hAnsi="Times New Roman" w:cs="Times New Roman"/>
          <w:bCs/>
          <w:lang w:val="sr-Latn-ME"/>
        </w:rPr>
        <w:t>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NSAIL može smanjiti eliminaciju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pemetrekseda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r w:rsidR="001E3E9F" w:rsidRPr="007819CB">
        <w:rPr>
          <w:rFonts w:ascii="Times New Roman" w:eastAsia="Times New Roman" w:hAnsi="Times New Roman" w:cs="Times New Roman"/>
          <w:bCs/>
          <w:lang w:val="sr-Latn-ME"/>
        </w:rPr>
        <w:t>zato</w:t>
      </w:r>
      <w:r w:rsidR="0040144E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je potreban oprez kada se daju visoke doze NSAIL-a. </w:t>
      </w:r>
      <w:r w:rsidR="0040144E" w:rsidRPr="007819CB">
        <w:rPr>
          <w:rFonts w:ascii="Times New Roman" w:eastAsia="Times New Roman" w:hAnsi="Times New Roman" w:cs="Times New Roman"/>
          <w:bCs/>
          <w:lang w:val="sr-Latn-ME"/>
        </w:rPr>
        <w:t xml:space="preserve">Kod pacijenata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s blagom do umjerenom</w:t>
      </w:r>
      <w:r w:rsidR="0040144E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bubrežnom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insuficijencijom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(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klirens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kreatinina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od 45 do 79 ml/min), isto</w:t>
      </w:r>
      <w:r w:rsidR="0040144E" w:rsidRPr="007819CB">
        <w:rPr>
          <w:rFonts w:ascii="Times New Roman" w:eastAsia="Times New Roman" w:hAnsi="Times New Roman" w:cs="Times New Roman"/>
          <w:bCs/>
          <w:lang w:val="sr-Latn-ME"/>
        </w:rPr>
        <w:t xml:space="preserve">vremenu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primjenu</w:t>
      </w:r>
      <w:r w:rsidR="0040144E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pemetrekseda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s</w:t>
      </w:r>
      <w:r w:rsidR="0040144E" w:rsidRPr="007819CB">
        <w:rPr>
          <w:rFonts w:ascii="Times New Roman" w:eastAsia="Times New Roman" w:hAnsi="Times New Roman" w:cs="Times New Roman"/>
          <w:bCs/>
          <w:lang w:val="sr-Latn-ME"/>
        </w:rPr>
        <w:t>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dozama NSAIL-a treba izbjegavati 2 dana prije i 2 dana nakon primjene</w:t>
      </w:r>
      <w:r w:rsidR="0040144E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pemetrekseda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67D20ED9" w14:textId="325292BD" w:rsidR="004D3795" w:rsidRDefault="0056798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</w:p>
    <w:p w14:paraId="24D43CA5" w14:textId="77777777" w:rsidR="007819CB" w:rsidRPr="007819CB" w:rsidRDefault="007819CB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5B965F0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lastRenderedPageBreak/>
        <w:t xml:space="preserve">4.6. </w:t>
      </w: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ab/>
        <w:t>Plodnost, trudnoća i dojenje</w:t>
      </w:r>
    </w:p>
    <w:p w14:paraId="74887F54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F13F5E7" w14:textId="007AA642" w:rsidR="00567985" w:rsidRPr="007819CB" w:rsidRDefault="00D9758C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Lijek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Dexketoprofen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Kalceks</w:t>
      </w:r>
      <w:proofErr w:type="spellEnd"/>
      <w:r w:rsidR="00567985" w:rsidRPr="007819CB">
        <w:rPr>
          <w:rFonts w:ascii="Times New Roman" w:eastAsia="Times New Roman" w:hAnsi="Times New Roman" w:cs="Times New Roman"/>
          <w:lang w:val="sr-Latn-ME"/>
        </w:rPr>
        <w:t xml:space="preserve"> je kontraindikovan tokom </w:t>
      </w:r>
      <w:proofErr w:type="spellStart"/>
      <w:r w:rsidR="00567985" w:rsidRPr="007819CB">
        <w:rPr>
          <w:rFonts w:ascii="Times New Roman" w:eastAsia="Times New Roman" w:hAnsi="Times New Roman" w:cs="Times New Roman"/>
          <w:lang w:val="sr-Latn-ME"/>
        </w:rPr>
        <w:t>trećeg</w:t>
      </w:r>
      <w:proofErr w:type="spellEnd"/>
      <w:r w:rsidR="00567985" w:rsidRPr="007819CB">
        <w:rPr>
          <w:rFonts w:ascii="Times New Roman" w:eastAsia="Times New Roman" w:hAnsi="Times New Roman" w:cs="Times New Roman"/>
          <w:lang w:val="sr-Latn-ME"/>
        </w:rPr>
        <w:t xml:space="preserve"> trimestra </w:t>
      </w:r>
      <w:proofErr w:type="spellStart"/>
      <w:r w:rsidR="00567985" w:rsidRPr="007819CB">
        <w:rPr>
          <w:rFonts w:ascii="Times New Roman" w:eastAsia="Times New Roman" w:hAnsi="Times New Roman" w:cs="Times New Roman"/>
          <w:lang w:val="sr-Latn-ME"/>
        </w:rPr>
        <w:t>trudnoće</w:t>
      </w:r>
      <w:proofErr w:type="spellEnd"/>
      <w:r w:rsidR="00567985" w:rsidRPr="007819CB">
        <w:rPr>
          <w:rFonts w:ascii="Times New Roman" w:eastAsia="Times New Roman" w:hAnsi="Times New Roman" w:cs="Times New Roman"/>
          <w:lang w:val="sr-Latn-ME"/>
        </w:rPr>
        <w:t xml:space="preserve"> i </w:t>
      </w:r>
      <w:r w:rsidR="00796E9F" w:rsidRPr="007819CB">
        <w:rPr>
          <w:rFonts w:ascii="Times New Roman" w:eastAsia="Times New Roman" w:hAnsi="Times New Roman" w:cs="Times New Roman"/>
          <w:lang w:val="sr-Latn-ME"/>
        </w:rPr>
        <w:t xml:space="preserve">perioda </w:t>
      </w:r>
      <w:r w:rsidR="00567985" w:rsidRPr="007819CB">
        <w:rPr>
          <w:rFonts w:ascii="Times New Roman" w:eastAsia="Times New Roman" w:hAnsi="Times New Roman" w:cs="Times New Roman"/>
          <w:lang w:val="sr-Latn-ME"/>
        </w:rPr>
        <w:t>dojenja (</w:t>
      </w:r>
      <w:r w:rsidR="00796E9F" w:rsidRPr="007819CB">
        <w:rPr>
          <w:rFonts w:ascii="Times New Roman" w:eastAsia="Times New Roman" w:hAnsi="Times New Roman" w:cs="Times New Roman"/>
          <w:lang w:val="sr-Latn-ME"/>
        </w:rPr>
        <w:t>pogledati dio</w:t>
      </w:r>
      <w:r w:rsidR="00567985" w:rsidRPr="007819CB">
        <w:rPr>
          <w:rFonts w:ascii="Times New Roman" w:eastAsia="Times New Roman" w:hAnsi="Times New Roman" w:cs="Times New Roman"/>
          <w:lang w:val="sr-Latn-ME"/>
        </w:rPr>
        <w:t xml:space="preserve"> 4.3).</w:t>
      </w:r>
    </w:p>
    <w:p w14:paraId="6BCD8545" w14:textId="77777777" w:rsidR="00567985" w:rsidRPr="007819CB" w:rsidRDefault="0056798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467E86B3" w14:textId="77777777" w:rsidR="00567985" w:rsidRPr="007819CB" w:rsidRDefault="0056798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proofErr w:type="spellStart"/>
      <w:r w:rsidRPr="007819CB">
        <w:rPr>
          <w:rFonts w:ascii="Times New Roman" w:eastAsia="Times New Roman" w:hAnsi="Times New Roman" w:cs="Times New Roman"/>
          <w:u w:val="single"/>
          <w:lang w:val="sr-Latn-ME"/>
        </w:rPr>
        <w:t>Trudnoća</w:t>
      </w:r>
      <w:proofErr w:type="spellEnd"/>
    </w:p>
    <w:p w14:paraId="35726A3C" w14:textId="0DF616F4" w:rsidR="00F5343A" w:rsidRPr="007819CB" w:rsidRDefault="0056798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Inhibicija sinteze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prostaglandina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može negativno </w:t>
      </w:r>
      <w:r w:rsidR="00796E9F" w:rsidRPr="007819CB">
        <w:rPr>
          <w:rFonts w:ascii="Times New Roman" w:eastAsia="Times New Roman" w:hAnsi="Times New Roman" w:cs="Times New Roman"/>
          <w:lang w:val="sr-Latn-ME"/>
        </w:rPr>
        <w:t xml:space="preserve">da </w:t>
      </w:r>
      <w:r w:rsidRPr="007819CB">
        <w:rPr>
          <w:rFonts w:ascii="Times New Roman" w:eastAsia="Times New Roman" w:hAnsi="Times New Roman" w:cs="Times New Roman"/>
          <w:lang w:val="sr-Latn-ME"/>
        </w:rPr>
        <w:t>uti</w:t>
      </w:r>
      <w:r w:rsidR="00C511AA" w:rsidRPr="007819CB">
        <w:rPr>
          <w:rFonts w:ascii="Times New Roman" w:eastAsia="Times New Roman" w:hAnsi="Times New Roman" w:cs="Times New Roman"/>
          <w:lang w:val="sr-Latn-ME"/>
        </w:rPr>
        <w:t>če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na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trudnoću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i/ili </w:t>
      </w:r>
      <w:r w:rsidR="00C511AA" w:rsidRPr="007819CB">
        <w:rPr>
          <w:rFonts w:ascii="Times New Roman" w:eastAsia="Times New Roman" w:hAnsi="Times New Roman" w:cs="Times New Roman"/>
          <w:lang w:val="sr-Latn-ME"/>
        </w:rPr>
        <w:t xml:space="preserve">na </w:t>
      </w:r>
      <w:r w:rsidRPr="007819CB">
        <w:rPr>
          <w:rFonts w:ascii="Times New Roman" w:eastAsia="Times New Roman" w:hAnsi="Times New Roman" w:cs="Times New Roman"/>
          <w:lang w:val="sr-Latn-ME"/>
        </w:rPr>
        <w:t>embrio/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fet</w:t>
      </w:r>
      <w:r w:rsidR="00CA6C11" w:rsidRPr="007819CB">
        <w:rPr>
          <w:rFonts w:ascii="Times New Roman" w:eastAsia="Times New Roman" w:hAnsi="Times New Roman" w:cs="Times New Roman"/>
          <w:lang w:val="sr-Latn-ME"/>
        </w:rPr>
        <w:t>alni</w:t>
      </w:r>
      <w:proofErr w:type="spellEnd"/>
      <w:r w:rsidR="00CA6C11" w:rsidRPr="007819CB">
        <w:rPr>
          <w:rFonts w:ascii="Times New Roman" w:eastAsia="Times New Roman" w:hAnsi="Times New Roman" w:cs="Times New Roman"/>
          <w:lang w:val="sr-Latn-ME"/>
        </w:rPr>
        <w:t xml:space="preserve"> razvoj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. Podaci iz epidemioloških studija </w:t>
      </w:r>
      <w:r w:rsidR="00CA6C11" w:rsidRPr="007819CB">
        <w:rPr>
          <w:rFonts w:ascii="Times New Roman" w:eastAsia="Times New Roman" w:hAnsi="Times New Roman" w:cs="Times New Roman"/>
          <w:lang w:val="sr-Latn-ME"/>
        </w:rPr>
        <w:t xml:space="preserve">su povećali svijest </w:t>
      </w:r>
      <w:r w:rsidR="003F1D54" w:rsidRPr="007819CB">
        <w:rPr>
          <w:rFonts w:ascii="Times New Roman" w:eastAsia="Times New Roman" w:hAnsi="Times New Roman" w:cs="Times New Roman"/>
          <w:lang w:val="sr-Latn-ME"/>
        </w:rPr>
        <w:t>o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poveć</w:t>
      </w:r>
      <w:r w:rsidR="003F1D54" w:rsidRPr="007819CB">
        <w:rPr>
          <w:rFonts w:ascii="Times New Roman" w:eastAsia="Times New Roman" w:hAnsi="Times New Roman" w:cs="Times New Roman"/>
          <w:lang w:val="sr-Latn-ME"/>
        </w:rPr>
        <w:t>anom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rizik</w:t>
      </w:r>
      <w:r w:rsidR="003F1D54" w:rsidRPr="007819CB">
        <w:rPr>
          <w:rFonts w:ascii="Times New Roman" w:eastAsia="Times New Roman" w:hAnsi="Times New Roman" w:cs="Times New Roman"/>
          <w:lang w:val="sr-Latn-ME"/>
        </w:rPr>
        <w:t>u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od pobačaja</w:t>
      </w:r>
      <w:r w:rsidR="003F1D54" w:rsidRPr="007819CB">
        <w:rPr>
          <w:rFonts w:ascii="Times New Roman" w:eastAsia="Times New Roman" w:hAnsi="Times New Roman" w:cs="Times New Roman"/>
          <w:lang w:val="sr-Latn-ME"/>
        </w:rPr>
        <w:t>,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malformacija</w:t>
      </w:r>
      <w:proofErr w:type="spellEnd"/>
      <w:r w:rsidR="003F1D54" w:rsidRPr="007819CB">
        <w:rPr>
          <w:rFonts w:ascii="Times New Roman" w:eastAsia="Times New Roman" w:hAnsi="Times New Roman" w:cs="Times New Roman"/>
          <w:lang w:val="sr-Latn-ME"/>
        </w:rPr>
        <w:t xml:space="preserve"> srca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i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gastrošize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nakon upotrebe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inhibitora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sinteze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prostaglandina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u ranoj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trudnoći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. Apsolutni rizik od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kardiovaskularnih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malformacija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3F1D54" w:rsidRPr="007819CB">
        <w:rPr>
          <w:rFonts w:ascii="Times New Roman" w:eastAsia="Times New Roman" w:hAnsi="Times New Roman" w:cs="Times New Roman"/>
          <w:lang w:val="sr-Latn-ME"/>
        </w:rPr>
        <w:t>je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poveć</w:t>
      </w:r>
      <w:r w:rsidR="00232F21" w:rsidRPr="007819CB">
        <w:rPr>
          <w:rFonts w:ascii="Times New Roman" w:eastAsia="Times New Roman" w:hAnsi="Times New Roman" w:cs="Times New Roman"/>
          <w:lang w:val="sr-Latn-ME"/>
        </w:rPr>
        <w:t>an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sa</w:t>
      </w:r>
      <w:r w:rsidR="00F5343A" w:rsidRPr="007819CB">
        <w:rPr>
          <w:rFonts w:ascii="Times New Roman" w:eastAsia="Times New Roman" w:hAnsi="Times New Roman" w:cs="Times New Roman"/>
          <w:lang w:val="sr-Latn-ME"/>
        </w:rPr>
        <w:t xml:space="preserve"> manje od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1% na </w:t>
      </w:r>
      <w:r w:rsidR="00232F21" w:rsidRPr="007819CB">
        <w:rPr>
          <w:rFonts w:ascii="Times New Roman" w:eastAsia="Times New Roman" w:hAnsi="Times New Roman" w:cs="Times New Roman"/>
          <w:lang w:val="sr-Latn-ME"/>
        </w:rPr>
        <w:t>otprilike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1</w:t>
      </w:r>
      <w:r w:rsidR="00232F21" w:rsidRPr="007819CB">
        <w:rPr>
          <w:rFonts w:ascii="Times New Roman" w:eastAsia="Times New Roman" w:hAnsi="Times New Roman" w:cs="Times New Roman"/>
          <w:lang w:val="sr-Latn-ME"/>
        </w:rPr>
        <w:t>.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5%. </w:t>
      </w:r>
      <w:r w:rsidR="00232F21" w:rsidRPr="007819CB">
        <w:rPr>
          <w:rFonts w:ascii="Times New Roman" w:eastAsia="Times New Roman" w:hAnsi="Times New Roman" w:cs="Times New Roman"/>
          <w:lang w:val="sr-Latn-ME"/>
        </w:rPr>
        <w:t>Vjeruje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se da se rizik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povećava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sa </w:t>
      </w:r>
      <w:r w:rsidR="00232F21" w:rsidRPr="007819CB">
        <w:rPr>
          <w:rFonts w:ascii="Times New Roman" w:eastAsia="Times New Roman" w:hAnsi="Times New Roman" w:cs="Times New Roman"/>
          <w:lang w:val="sr-Latn-ME"/>
        </w:rPr>
        <w:t xml:space="preserve">povećanjem </w:t>
      </w:r>
      <w:r w:rsidRPr="007819CB">
        <w:rPr>
          <w:rFonts w:ascii="Times New Roman" w:eastAsia="Times New Roman" w:hAnsi="Times New Roman" w:cs="Times New Roman"/>
          <w:lang w:val="sr-Latn-ME"/>
        </w:rPr>
        <w:t>doz</w:t>
      </w:r>
      <w:r w:rsidR="00232F21" w:rsidRPr="007819CB">
        <w:rPr>
          <w:rFonts w:ascii="Times New Roman" w:eastAsia="Times New Roman" w:hAnsi="Times New Roman" w:cs="Times New Roman"/>
          <w:lang w:val="sr-Latn-ME"/>
        </w:rPr>
        <w:t>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i trajanjem l</w:t>
      </w:r>
      <w:r w:rsidR="00380028" w:rsidRPr="007819CB">
        <w:rPr>
          <w:rFonts w:ascii="Times New Roman" w:eastAsia="Times New Roman" w:hAnsi="Times New Roman" w:cs="Times New Roman"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lang w:val="sr-Latn-ME"/>
        </w:rPr>
        <w:t>ečenja. Kod životinja</w:t>
      </w:r>
      <w:r w:rsidR="00380028" w:rsidRPr="007819CB">
        <w:rPr>
          <w:rFonts w:ascii="Times New Roman" w:eastAsia="Times New Roman" w:hAnsi="Times New Roman" w:cs="Times New Roman"/>
          <w:lang w:val="sr-Latn-ME"/>
        </w:rPr>
        <w:t>,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380028" w:rsidRPr="007819CB">
        <w:rPr>
          <w:rFonts w:ascii="Times New Roman" w:eastAsia="Times New Roman" w:hAnsi="Times New Roman" w:cs="Times New Roman"/>
          <w:lang w:val="sr-Latn-ME"/>
        </w:rPr>
        <w:t xml:space="preserve">primjena </w:t>
      </w:r>
      <w:proofErr w:type="spellStart"/>
      <w:r w:rsidR="00380028" w:rsidRPr="007819CB">
        <w:rPr>
          <w:rFonts w:ascii="Times New Roman" w:eastAsia="Times New Roman" w:hAnsi="Times New Roman" w:cs="Times New Roman"/>
          <w:lang w:val="sr-Latn-ME"/>
        </w:rPr>
        <w:t>inhibitora</w:t>
      </w:r>
      <w:proofErr w:type="spellEnd"/>
      <w:r w:rsidR="00380028" w:rsidRPr="007819CB">
        <w:rPr>
          <w:rFonts w:ascii="Times New Roman" w:eastAsia="Times New Roman" w:hAnsi="Times New Roman" w:cs="Times New Roman"/>
          <w:lang w:val="sr-Latn-ME"/>
        </w:rPr>
        <w:t xml:space="preserve"> sinteze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prostaglandina</w:t>
      </w:r>
      <w:proofErr w:type="spellEnd"/>
      <w:r w:rsidR="00700DFA" w:rsidRPr="007819CB">
        <w:rPr>
          <w:rFonts w:ascii="Times New Roman" w:eastAsia="Times New Roman" w:hAnsi="Times New Roman" w:cs="Times New Roman"/>
          <w:lang w:val="sr-Latn-ME"/>
        </w:rPr>
        <w:t xml:space="preserve"> je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dovo</w:t>
      </w:r>
      <w:r w:rsidR="00700DFA" w:rsidRPr="007819CB">
        <w:rPr>
          <w:rFonts w:ascii="Times New Roman" w:eastAsia="Times New Roman" w:hAnsi="Times New Roman" w:cs="Times New Roman"/>
          <w:lang w:val="sr-Latn-ME"/>
        </w:rPr>
        <w:t>dila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do </w:t>
      </w:r>
      <w:proofErr w:type="spellStart"/>
      <w:r w:rsidR="00700DFA" w:rsidRPr="007819CB">
        <w:rPr>
          <w:rFonts w:ascii="Times New Roman" w:eastAsia="Times New Roman" w:hAnsi="Times New Roman" w:cs="Times New Roman"/>
          <w:lang w:val="sr-Latn-ME"/>
        </w:rPr>
        <w:t>pre</w:t>
      </w:r>
      <w:proofErr w:type="spellEnd"/>
      <w:r w:rsidR="00700DFA" w:rsidRPr="007819CB">
        <w:rPr>
          <w:rFonts w:ascii="Times New Roman" w:eastAsia="Times New Roman" w:hAnsi="Times New Roman" w:cs="Times New Roman"/>
          <w:lang w:val="sr-Latn-ME"/>
        </w:rPr>
        <w:t>-</w:t>
      </w:r>
      <w:r w:rsidR="000857EE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i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postimplantacionog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gubitka i </w:t>
      </w:r>
      <w:r w:rsidR="000857EE" w:rsidRPr="007819CB">
        <w:rPr>
          <w:rFonts w:ascii="Times New Roman" w:eastAsia="Times New Roman" w:hAnsi="Times New Roman" w:cs="Times New Roman"/>
          <w:lang w:val="sr-Latn-ME"/>
        </w:rPr>
        <w:t xml:space="preserve">povećanog </w:t>
      </w:r>
      <w:r w:rsidRPr="007819CB">
        <w:rPr>
          <w:rFonts w:ascii="Times New Roman" w:eastAsia="Times New Roman" w:hAnsi="Times New Roman" w:cs="Times New Roman"/>
          <w:lang w:val="sr-Latn-ME"/>
        </w:rPr>
        <w:t>embrio-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fetalnog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mortaliteta.</w:t>
      </w:r>
      <w:r w:rsidR="004C5668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9F754F" w:rsidRPr="007819CB">
        <w:rPr>
          <w:rFonts w:ascii="Times New Roman" w:eastAsia="Times New Roman" w:hAnsi="Times New Roman" w:cs="Times New Roman"/>
          <w:lang w:val="sr-Latn-ME"/>
        </w:rPr>
        <w:t xml:space="preserve">Kao dodatak, povećana </w:t>
      </w:r>
      <w:proofErr w:type="spellStart"/>
      <w:r w:rsidR="009F754F" w:rsidRPr="007819CB">
        <w:rPr>
          <w:rFonts w:ascii="Times New Roman" w:eastAsia="Times New Roman" w:hAnsi="Times New Roman" w:cs="Times New Roman"/>
          <w:lang w:val="sr-Latn-ME"/>
        </w:rPr>
        <w:t>incidenca</w:t>
      </w:r>
      <w:proofErr w:type="spellEnd"/>
      <w:r w:rsidR="009F754F" w:rsidRPr="007819CB">
        <w:rPr>
          <w:rFonts w:ascii="Times New Roman" w:eastAsia="Times New Roman" w:hAnsi="Times New Roman" w:cs="Times New Roman"/>
          <w:lang w:val="sr-Latn-ME"/>
        </w:rPr>
        <w:t xml:space="preserve"> različitih </w:t>
      </w:r>
      <w:proofErr w:type="spellStart"/>
      <w:r w:rsidR="009F754F" w:rsidRPr="007819CB">
        <w:rPr>
          <w:rFonts w:ascii="Times New Roman" w:eastAsia="Times New Roman" w:hAnsi="Times New Roman" w:cs="Times New Roman"/>
          <w:lang w:val="sr-Latn-ME"/>
        </w:rPr>
        <w:t>malformacija</w:t>
      </w:r>
      <w:proofErr w:type="spellEnd"/>
      <w:r w:rsidR="009F754F" w:rsidRPr="007819CB">
        <w:rPr>
          <w:rFonts w:ascii="Times New Roman" w:eastAsia="Times New Roman" w:hAnsi="Times New Roman" w:cs="Times New Roman"/>
          <w:lang w:val="sr-Latn-ME"/>
        </w:rPr>
        <w:t xml:space="preserve"> uključujući i </w:t>
      </w:r>
      <w:proofErr w:type="spellStart"/>
      <w:r w:rsidR="009F754F" w:rsidRPr="007819CB">
        <w:rPr>
          <w:rFonts w:ascii="Times New Roman" w:eastAsia="Times New Roman" w:hAnsi="Times New Roman" w:cs="Times New Roman"/>
          <w:lang w:val="sr-Latn-ME"/>
        </w:rPr>
        <w:t>kardiovaskularne</w:t>
      </w:r>
      <w:proofErr w:type="spellEnd"/>
      <w:r w:rsidR="009F754F" w:rsidRPr="007819CB">
        <w:rPr>
          <w:rFonts w:ascii="Times New Roman" w:eastAsia="Times New Roman" w:hAnsi="Times New Roman" w:cs="Times New Roman"/>
          <w:lang w:val="sr-Latn-ME"/>
        </w:rPr>
        <w:t xml:space="preserve">, su prijavljene kod životinja kojima su davani </w:t>
      </w:r>
      <w:proofErr w:type="spellStart"/>
      <w:r w:rsidR="009F754F" w:rsidRPr="007819CB">
        <w:rPr>
          <w:rFonts w:ascii="Times New Roman" w:eastAsia="Times New Roman" w:hAnsi="Times New Roman" w:cs="Times New Roman"/>
          <w:lang w:val="sr-Latn-ME"/>
        </w:rPr>
        <w:t>inhibitori</w:t>
      </w:r>
      <w:proofErr w:type="spellEnd"/>
      <w:r w:rsidR="009F754F" w:rsidRPr="007819CB">
        <w:rPr>
          <w:rFonts w:ascii="Times New Roman" w:eastAsia="Times New Roman" w:hAnsi="Times New Roman" w:cs="Times New Roman"/>
          <w:lang w:val="sr-Latn-ME"/>
        </w:rPr>
        <w:t xml:space="preserve"> sinteze </w:t>
      </w:r>
      <w:proofErr w:type="spellStart"/>
      <w:r w:rsidR="009F754F" w:rsidRPr="007819CB">
        <w:rPr>
          <w:rFonts w:ascii="Times New Roman" w:eastAsia="Times New Roman" w:hAnsi="Times New Roman" w:cs="Times New Roman"/>
          <w:lang w:val="sr-Latn-ME"/>
        </w:rPr>
        <w:t>prostaglandina</w:t>
      </w:r>
      <w:proofErr w:type="spellEnd"/>
      <w:r w:rsidR="009F754F" w:rsidRPr="007819CB">
        <w:rPr>
          <w:rFonts w:ascii="Times New Roman" w:eastAsia="Times New Roman" w:hAnsi="Times New Roman" w:cs="Times New Roman"/>
          <w:lang w:val="sr-Latn-ME"/>
        </w:rPr>
        <w:t xml:space="preserve"> tokom </w:t>
      </w:r>
      <w:proofErr w:type="spellStart"/>
      <w:r w:rsidR="009F754F" w:rsidRPr="007819CB">
        <w:rPr>
          <w:rFonts w:ascii="Times New Roman" w:eastAsia="Times New Roman" w:hAnsi="Times New Roman" w:cs="Times New Roman"/>
          <w:lang w:val="sr-Latn-ME"/>
        </w:rPr>
        <w:t>organogenog</w:t>
      </w:r>
      <w:proofErr w:type="spellEnd"/>
      <w:r w:rsidR="009F754F" w:rsidRPr="007819CB">
        <w:rPr>
          <w:rFonts w:ascii="Times New Roman" w:eastAsia="Times New Roman" w:hAnsi="Times New Roman" w:cs="Times New Roman"/>
          <w:lang w:val="sr-Latn-ME"/>
        </w:rPr>
        <w:t xml:space="preserve"> perioda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. </w:t>
      </w:r>
      <w:r w:rsidR="00F5343A" w:rsidRPr="007819CB">
        <w:rPr>
          <w:rFonts w:ascii="Times New Roman" w:eastAsia="Times New Roman" w:hAnsi="Times New Roman" w:cs="Times New Roman"/>
          <w:lang w:val="sr-Latn-ME"/>
        </w:rPr>
        <w:t xml:space="preserve">Tokom prvog i drugog trimestra </w:t>
      </w:r>
      <w:proofErr w:type="spellStart"/>
      <w:r w:rsidR="00F5343A" w:rsidRPr="007819CB">
        <w:rPr>
          <w:rFonts w:ascii="Times New Roman" w:eastAsia="Times New Roman" w:hAnsi="Times New Roman" w:cs="Times New Roman"/>
          <w:lang w:val="sr-Latn-ME"/>
        </w:rPr>
        <w:t>trudnoće</w:t>
      </w:r>
      <w:proofErr w:type="spellEnd"/>
      <w:r w:rsidR="00F5343A" w:rsidRPr="007819CB">
        <w:rPr>
          <w:rFonts w:ascii="Times New Roman" w:eastAsia="Times New Roman" w:hAnsi="Times New Roman" w:cs="Times New Roman"/>
          <w:lang w:val="sr-Latn-ME"/>
        </w:rPr>
        <w:t xml:space="preserve">, </w:t>
      </w:r>
      <w:proofErr w:type="spellStart"/>
      <w:r w:rsidR="00F5343A" w:rsidRPr="007819CB">
        <w:rPr>
          <w:rFonts w:ascii="Times New Roman" w:eastAsia="Times New Roman" w:hAnsi="Times New Roman" w:cs="Times New Roman"/>
          <w:lang w:val="sr-Latn-ME"/>
        </w:rPr>
        <w:t>deksketoprofen</w:t>
      </w:r>
      <w:proofErr w:type="spellEnd"/>
      <w:r w:rsidR="00F5343A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F5343A" w:rsidRPr="007819CB">
        <w:rPr>
          <w:rFonts w:ascii="Times New Roman" w:eastAsia="Times New Roman" w:hAnsi="Times New Roman" w:cs="Times New Roman"/>
          <w:lang w:val="sr-Latn-ME"/>
        </w:rPr>
        <w:t>trometamol</w:t>
      </w:r>
      <w:proofErr w:type="spellEnd"/>
      <w:r w:rsidR="00F5343A" w:rsidRPr="007819CB">
        <w:rPr>
          <w:rFonts w:ascii="Times New Roman" w:eastAsia="Times New Roman" w:hAnsi="Times New Roman" w:cs="Times New Roman"/>
          <w:lang w:val="sr-Latn-ME"/>
        </w:rPr>
        <w:t xml:space="preserve"> ne treba davati, ukoliko nije neophodna njegova primjena. Ukoliko se </w:t>
      </w:r>
      <w:proofErr w:type="spellStart"/>
      <w:r w:rsidR="00F5343A" w:rsidRPr="007819CB">
        <w:rPr>
          <w:rFonts w:ascii="Times New Roman" w:eastAsia="Times New Roman" w:hAnsi="Times New Roman" w:cs="Times New Roman"/>
          <w:lang w:val="sr-Latn-ME"/>
        </w:rPr>
        <w:t>deksketoprofen</w:t>
      </w:r>
      <w:proofErr w:type="spellEnd"/>
      <w:r w:rsidR="00F5343A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F5343A" w:rsidRPr="007819CB">
        <w:rPr>
          <w:rFonts w:ascii="Times New Roman" w:eastAsia="Times New Roman" w:hAnsi="Times New Roman" w:cs="Times New Roman"/>
          <w:lang w:val="sr-Latn-ME"/>
        </w:rPr>
        <w:t>trometamol</w:t>
      </w:r>
      <w:proofErr w:type="spellEnd"/>
      <w:r w:rsidR="00F5343A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F5343A" w:rsidRPr="007819CB">
        <w:rPr>
          <w:rFonts w:ascii="Times New Roman" w:eastAsia="Times New Roman" w:hAnsi="Times New Roman" w:cs="Times New Roman"/>
          <w:lang w:val="sr-Latn-ME"/>
        </w:rPr>
        <w:t>primijenjuje</w:t>
      </w:r>
      <w:proofErr w:type="spellEnd"/>
      <w:r w:rsidR="00F5343A" w:rsidRPr="007819CB">
        <w:rPr>
          <w:rFonts w:ascii="Times New Roman" w:eastAsia="Times New Roman" w:hAnsi="Times New Roman" w:cs="Times New Roman"/>
          <w:lang w:val="sr-Latn-ME"/>
        </w:rPr>
        <w:t xml:space="preserve"> kod žena koje planiraju trudnoći, ili tokom prvog i drugog trimestra </w:t>
      </w:r>
      <w:proofErr w:type="spellStart"/>
      <w:r w:rsidR="00F5343A" w:rsidRPr="007819CB">
        <w:rPr>
          <w:rFonts w:ascii="Times New Roman" w:eastAsia="Times New Roman" w:hAnsi="Times New Roman" w:cs="Times New Roman"/>
          <w:lang w:val="sr-Latn-ME"/>
        </w:rPr>
        <w:t>trudnoće</w:t>
      </w:r>
      <w:proofErr w:type="spellEnd"/>
      <w:r w:rsidR="00F5343A" w:rsidRPr="007819CB">
        <w:rPr>
          <w:rFonts w:ascii="Times New Roman" w:eastAsia="Times New Roman" w:hAnsi="Times New Roman" w:cs="Times New Roman"/>
          <w:lang w:val="sr-Latn-ME"/>
        </w:rPr>
        <w:t xml:space="preserve">, treba dati najnižu moguću dozu, tokom najkraćeg perioda neophodnog za liječenje. </w:t>
      </w:r>
    </w:p>
    <w:p w14:paraId="14A91769" w14:textId="77777777" w:rsidR="00567985" w:rsidRPr="007819CB" w:rsidRDefault="0056798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C53EE0B" w14:textId="2604629F" w:rsidR="00567985" w:rsidRPr="007819CB" w:rsidRDefault="0056798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Tokom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trećeg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trimestra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trudnoće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, svi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inhibitori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sinteze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prostaglandina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674E20" w:rsidRPr="007819CB">
        <w:rPr>
          <w:rFonts w:ascii="Times New Roman" w:eastAsia="Times New Roman" w:hAnsi="Times New Roman" w:cs="Times New Roman"/>
          <w:lang w:val="sr-Latn-ME"/>
        </w:rPr>
        <w:t>kod ploda mogu dovesti do</w:t>
      </w:r>
      <w:r w:rsidRPr="007819CB">
        <w:rPr>
          <w:rFonts w:ascii="Times New Roman" w:eastAsia="Times New Roman" w:hAnsi="Times New Roman" w:cs="Times New Roman"/>
          <w:lang w:val="sr-Latn-ME"/>
        </w:rPr>
        <w:t>:</w:t>
      </w:r>
    </w:p>
    <w:p w14:paraId="3AE02291" w14:textId="721AD000" w:rsidR="00567985" w:rsidRPr="007819CB" w:rsidRDefault="00567985">
      <w:pPr>
        <w:tabs>
          <w:tab w:val="left" w:pos="540"/>
          <w:tab w:val="left" w:pos="569"/>
        </w:tabs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-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kardiopulmonaln</w:t>
      </w:r>
      <w:r w:rsidR="00674E20" w:rsidRPr="007819CB">
        <w:rPr>
          <w:rFonts w:ascii="Times New Roman" w:eastAsia="Times New Roman" w:hAnsi="Times New Roman" w:cs="Times New Roman"/>
          <w:lang w:val="sr-Latn-ME"/>
        </w:rPr>
        <w:t>e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toksičnost</w:t>
      </w:r>
      <w:r w:rsidR="00674E20" w:rsidRPr="007819CB">
        <w:rPr>
          <w:rFonts w:ascii="Times New Roman" w:eastAsia="Times New Roman" w:hAnsi="Times New Roman" w:cs="Times New Roman"/>
          <w:lang w:val="sr-Latn-ME"/>
        </w:rPr>
        <w:t>i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(sa pr</w:t>
      </w:r>
      <w:r w:rsidR="008326A0" w:rsidRPr="007819CB">
        <w:rPr>
          <w:rFonts w:ascii="Times New Roman" w:eastAsia="Times New Roman" w:hAnsi="Times New Roman" w:cs="Times New Roman"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lang w:val="sr-Latn-ME"/>
        </w:rPr>
        <w:t>e</w:t>
      </w:r>
      <w:r w:rsidR="009944E8" w:rsidRPr="007819CB">
        <w:rPr>
          <w:rFonts w:ascii="Times New Roman" w:eastAsia="Times New Roman" w:hAnsi="Times New Roman" w:cs="Times New Roman"/>
          <w:lang w:val="sr-Latn-ME"/>
        </w:rPr>
        <w:t>vremenim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suž</w:t>
      </w:r>
      <w:r w:rsidR="009944E8" w:rsidRPr="007819CB">
        <w:rPr>
          <w:rFonts w:ascii="Times New Roman" w:eastAsia="Times New Roman" w:hAnsi="Times New Roman" w:cs="Times New Roman"/>
          <w:lang w:val="sr-Latn-ME"/>
        </w:rPr>
        <w:t>enjem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/zatvaranjem </w:t>
      </w:r>
      <w:proofErr w:type="spellStart"/>
      <w:r w:rsidRPr="007819CB">
        <w:rPr>
          <w:rFonts w:ascii="Times New Roman" w:eastAsia="Times New Roman" w:hAnsi="Times New Roman" w:cs="Times New Roman"/>
          <w:i/>
          <w:iCs/>
          <w:lang w:val="sr-Latn-ME"/>
        </w:rPr>
        <w:t>ductus</w:t>
      </w:r>
      <w:proofErr w:type="spellEnd"/>
      <w:r w:rsidRPr="007819CB">
        <w:rPr>
          <w:rFonts w:ascii="Times New Roman" w:eastAsia="Times New Roman" w:hAnsi="Times New Roman" w:cs="Times New Roman"/>
          <w:i/>
          <w:i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i/>
          <w:iCs/>
          <w:lang w:val="sr-Latn-ME"/>
        </w:rPr>
        <w:t>arteriosus</w:t>
      </w:r>
      <w:proofErr w:type="spellEnd"/>
      <w:r w:rsidR="009944E8" w:rsidRPr="007819CB">
        <w:rPr>
          <w:rFonts w:ascii="Times New Roman" w:eastAsia="Times New Roman" w:hAnsi="Times New Roman" w:cs="Times New Roman"/>
          <w:lang w:val="sr-Latn-ME"/>
        </w:rPr>
        <w:t>-a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i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plućnom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hipertenzijom);</w:t>
      </w:r>
    </w:p>
    <w:p w14:paraId="2B0A80A0" w14:textId="1455FFD9" w:rsidR="00567985" w:rsidRPr="007819CB" w:rsidRDefault="00567985">
      <w:pPr>
        <w:tabs>
          <w:tab w:val="left" w:pos="540"/>
          <w:tab w:val="left" w:pos="569"/>
        </w:tabs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- </w:t>
      </w:r>
      <w:proofErr w:type="spellStart"/>
      <w:r w:rsidR="008326A0" w:rsidRPr="007819CB">
        <w:rPr>
          <w:rFonts w:ascii="Times New Roman" w:eastAsia="Times New Roman" w:hAnsi="Times New Roman" w:cs="Times New Roman"/>
          <w:lang w:val="sr-Latn-ME"/>
        </w:rPr>
        <w:t>renaln</w:t>
      </w:r>
      <w:r w:rsidR="001E3E9F" w:rsidRPr="007819CB">
        <w:rPr>
          <w:rFonts w:ascii="Times New Roman" w:eastAsia="Times New Roman" w:hAnsi="Times New Roman" w:cs="Times New Roman"/>
          <w:lang w:val="sr-Latn-ME"/>
        </w:rPr>
        <w:t>u</w:t>
      </w:r>
      <w:proofErr w:type="spellEnd"/>
      <w:r w:rsidR="008326A0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8326A0" w:rsidRPr="007819CB">
        <w:rPr>
          <w:rFonts w:ascii="Times New Roman" w:eastAsia="Times New Roman" w:hAnsi="Times New Roman" w:cs="Times New Roman"/>
          <w:lang w:val="sr-Latn-ME"/>
        </w:rPr>
        <w:t>disfunkcij</w:t>
      </w:r>
      <w:r w:rsidR="001E3E9F" w:rsidRPr="007819CB">
        <w:rPr>
          <w:rFonts w:ascii="Times New Roman" w:eastAsia="Times New Roman" w:hAnsi="Times New Roman" w:cs="Times New Roman"/>
          <w:lang w:val="sr-Latn-ME"/>
        </w:rPr>
        <w:t>u</w:t>
      </w:r>
      <w:proofErr w:type="spellEnd"/>
      <w:r w:rsidR="008326A0" w:rsidRPr="007819CB">
        <w:rPr>
          <w:rFonts w:ascii="Times New Roman" w:eastAsia="Times New Roman" w:hAnsi="Times New Roman" w:cs="Times New Roman"/>
          <w:lang w:val="sr-Latn-ME"/>
        </w:rPr>
        <w:t xml:space="preserve">, koja može napredovati do bubrežne </w:t>
      </w:r>
      <w:proofErr w:type="spellStart"/>
      <w:r w:rsidR="008326A0" w:rsidRPr="007819CB">
        <w:rPr>
          <w:rFonts w:ascii="Times New Roman" w:eastAsia="Times New Roman" w:hAnsi="Times New Roman" w:cs="Times New Roman"/>
          <w:lang w:val="sr-Latn-ME"/>
        </w:rPr>
        <w:t>insuficijencije</w:t>
      </w:r>
      <w:proofErr w:type="spellEnd"/>
      <w:r w:rsidR="008326A0" w:rsidRPr="007819CB">
        <w:rPr>
          <w:rFonts w:ascii="Times New Roman" w:eastAsia="Times New Roman" w:hAnsi="Times New Roman" w:cs="Times New Roman"/>
          <w:lang w:val="sr-Latn-ME"/>
        </w:rPr>
        <w:t xml:space="preserve"> sa </w:t>
      </w:r>
      <w:proofErr w:type="spellStart"/>
      <w:r w:rsidR="008326A0" w:rsidRPr="007819CB">
        <w:rPr>
          <w:rFonts w:ascii="Times New Roman" w:eastAsia="Times New Roman" w:hAnsi="Times New Roman" w:cs="Times New Roman"/>
          <w:lang w:val="sr-Latn-ME"/>
        </w:rPr>
        <w:t>oligo-hidroamniozom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>;</w:t>
      </w:r>
    </w:p>
    <w:p w14:paraId="4CF541D5" w14:textId="6CC6290F" w:rsidR="00567985" w:rsidRPr="007819CB" w:rsidRDefault="009944E8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Kod </w:t>
      </w:r>
      <w:r w:rsidR="00567985" w:rsidRPr="007819CB">
        <w:rPr>
          <w:rFonts w:ascii="Times New Roman" w:eastAsia="Times New Roman" w:hAnsi="Times New Roman" w:cs="Times New Roman"/>
          <w:lang w:val="sr-Latn-ME"/>
        </w:rPr>
        <w:t>majk</w:t>
      </w:r>
      <w:r w:rsidRPr="007819CB">
        <w:rPr>
          <w:rFonts w:ascii="Times New Roman" w:eastAsia="Times New Roman" w:hAnsi="Times New Roman" w:cs="Times New Roman"/>
          <w:lang w:val="sr-Latn-ME"/>
        </w:rPr>
        <w:t>e</w:t>
      </w:r>
      <w:r w:rsidR="00567985" w:rsidRPr="007819CB">
        <w:rPr>
          <w:rFonts w:ascii="Times New Roman" w:eastAsia="Times New Roman" w:hAnsi="Times New Roman" w:cs="Times New Roman"/>
          <w:lang w:val="sr-Latn-ME"/>
        </w:rPr>
        <w:t xml:space="preserve"> i novorođenče</w:t>
      </w:r>
      <w:r w:rsidR="009A7416" w:rsidRPr="007819CB">
        <w:rPr>
          <w:rFonts w:ascii="Times New Roman" w:eastAsia="Times New Roman" w:hAnsi="Times New Roman" w:cs="Times New Roman"/>
          <w:lang w:val="sr-Latn-ME"/>
        </w:rPr>
        <w:t>ta,</w:t>
      </w:r>
      <w:r w:rsidR="00567985" w:rsidRPr="007819CB">
        <w:rPr>
          <w:rFonts w:ascii="Times New Roman" w:eastAsia="Times New Roman" w:hAnsi="Times New Roman" w:cs="Times New Roman"/>
          <w:lang w:val="sr-Latn-ME"/>
        </w:rPr>
        <w:t xml:space="preserve"> na kraju </w:t>
      </w:r>
      <w:proofErr w:type="spellStart"/>
      <w:r w:rsidR="00567985" w:rsidRPr="007819CB">
        <w:rPr>
          <w:rFonts w:ascii="Times New Roman" w:eastAsia="Times New Roman" w:hAnsi="Times New Roman" w:cs="Times New Roman"/>
          <w:lang w:val="sr-Latn-ME"/>
        </w:rPr>
        <w:t>trudnoće</w:t>
      </w:r>
      <w:proofErr w:type="spellEnd"/>
      <w:r w:rsidR="009A7416" w:rsidRPr="007819CB">
        <w:rPr>
          <w:rFonts w:ascii="Times New Roman" w:eastAsia="Times New Roman" w:hAnsi="Times New Roman" w:cs="Times New Roman"/>
          <w:lang w:val="sr-Latn-ME"/>
        </w:rPr>
        <w:t xml:space="preserve"> mogu dovesti do</w:t>
      </w:r>
      <w:r w:rsidR="00567985" w:rsidRPr="007819CB">
        <w:rPr>
          <w:rFonts w:ascii="Times New Roman" w:eastAsia="Times New Roman" w:hAnsi="Times New Roman" w:cs="Times New Roman"/>
          <w:lang w:val="sr-Latn-ME"/>
        </w:rPr>
        <w:t>:</w:t>
      </w:r>
    </w:p>
    <w:p w14:paraId="77EB5BB2" w14:textId="20DBBA96" w:rsidR="00567985" w:rsidRPr="007819CB" w:rsidRDefault="00567985">
      <w:pPr>
        <w:tabs>
          <w:tab w:val="left" w:pos="540"/>
          <w:tab w:val="left" w:pos="569"/>
        </w:tabs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-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moguće</w:t>
      </w:r>
      <w:r w:rsidR="009A7416" w:rsidRPr="007819CB">
        <w:rPr>
          <w:rFonts w:ascii="Times New Roman" w:eastAsia="Times New Roman" w:hAnsi="Times New Roman" w:cs="Times New Roman"/>
          <w:lang w:val="sr-Latn-ME"/>
        </w:rPr>
        <w:t>g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produženj</w:t>
      </w:r>
      <w:r w:rsidR="009A7416" w:rsidRPr="007819CB">
        <w:rPr>
          <w:rFonts w:ascii="Times New Roman" w:eastAsia="Times New Roman" w:hAnsi="Times New Roman" w:cs="Times New Roman"/>
          <w:lang w:val="sr-Latn-ME"/>
        </w:rPr>
        <w:t>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vremena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krvarenja, </w:t>
      </w:r>
      <w:proofErr w:type="spellStart"/>
      <w:r w:rsidR="009A7416" w:rsidRPr="007819CB">
        <w:rPr>
          <w:rFonts w:ascii="Times New Roman" w:eastAsia="Times New Roman" w:hAnsi="Times New Roman" w:cs="Times New Roman"/>
          <w:lang w:val="sr-Latn-ME"/>
        </w:rPr>
        <w:t>anti</w:t>
      </w:r>
      <w:r w:rsidRPr="007819CB">
        <w:rPr>
          <w:rFonts w:ascii="Times New Roman" w:eastAsia="Times New Roman" w:hAnsi="Times New Roman" w:cs="Times New Roman"/>
          <w:lang w:val="sr-Latn-ME"/>
        </w:rPr>
        <w:t>agregaci</w:t>
      </w:r>
      <w:r w:rsidR="007C6741" w:rsidRPr="007819CB">
        <w:rPr>
          <w:rFonts w:ascii="Times New Roman" w:eastAsia="Times New Roman" w:hAnsi="Times New Roman" w:cs="Times New Roman"/>
          <w:lang w:val="sr-Latn-ME"/>
        </w:rPr>
        <w:t>onog</w:t>
      </w:r>
      <w:proofErr w:type="spellEnd"/>
      <w:r w:rsidR="007C6741" w:rsidRPr="007819CB">
        <w:rPr>
          <w:rFonts w:ascii="Times New Roman" w:eastAsia="Times New Roman" w:hAnsi="Times New Roman" w:cs="Times New Roman"/>
          <w:lang w:val="sr-Latn-ME"/>
        </w:rPr>
        <w:t xml:space="preserve"> efekta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koji može </w:t>
      </w:r>
      <w:r w:rsidR="007C6741" w:rsidRPr="007819CB">
        <w:rPr>
          <w:rFonts w:ascii="Times New Roman" w:eastAsia="Times New Roman" w:hAnsi="Times New Roman" w:cs="Times New Roman"/>
          <w:lang w:val="sr-Latn-ME"/>
        </w:rPr>
        <w:t xml:space="preserve">da nastane čak i </w:t>
      </w:r>
      <w:r w:rsidRPr="007819CB">
        <w:rPr>
          <w:rFonts w:ascii="Times New Roman" w:eastAsia="Times New Roman" w:hAnsi="Times New Roman" w:cs="Times New Roman"/>
          <w:lang w:val="sr-Latn-ME"/>
        </w:rPr>
        <w:t>pri veoma malim dozama;</w:t>
      </w:r>
    </w:p>
    <w:p w14:paraId="1B29BB45" w14:textId="19C8DDE6" w:rsidR="00567985" w:rsidRPr="007819CB" w:rsidRDefault="00567985">
      <w:pPr>
        <w:tabs>
          <w:tab w:val="left" w:pos="540"/>
          <w:tab w:val="left" w:pos="569"/>
        </w:tabs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>- inhibicij</w:t>
      </w:r>
      <w:r w:rsidR="007C6741" w:rsidRPr="007819CB">
        <w:rPr>
          <w:rFonts w:ascii="Times New Roman" w:eastAsia="Times New Roman" w:hAnsi="Times New Roman" w:cs="Times New Roman"/>
          <w:lang w:val="sr-Latn-ME"/>
        </w:rPr>
        <w:t>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kontrakcij</w:t>
      </w:r>
      <w:r w:rsidR="007C6741" w:rsidRPr="007819CB">
        <w:rPr>
          <w:rFonts w:ascii="Times New Roman" w:eastAsia="Times New Roman" w:hAnsi="Times New Roman" w:cs="Times New Roman"/>
          <w:lang w:val="sr-Latn-ME"/>
        </w:rPr>
        <w:t>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7C6741" w:rsidRPr="007819CB">
        <w:rPr>
          <w:rFonts w:ascii="Times New Roman" w:eastAsia="Times New Roman" w:hAnsi="Times New Roman" w:cs="Times New Roman"/>
          <w:lang w:val="sr-Latn-ME"/>
        </w:rPr>
        <w:t>uterusa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, što </w:t>
      </w:r>
      <w:r w:rsidR="007C6741" w:rsidRPr="007819CB">
        <w:rPr>
          <w:rFonts w:ascii="Times New Roman" w:eastAsia="Times New Roman" w:hAnsi="Times New Roman" w:cs="Times New Roman"/>
          <w:lang w:val="sr-Latn-ME"/>
        </w:rPr>
        <w:t>re</w:t>
      </w:r>
      <w:r w:rsidR="000D6A91" w:rsidRPr="007819CB">
        <w:rPr>
          <w:rFonts w:ascii="Times New Roman" w:eastAsia="Times New Roman" w:hAnsi="Times New Roman" w:cs="Times New Roman"/>
          <w:lang w:val="sr-Latn-ME"/>
        </w:rPr>
        <w:t>zultuje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odložen</w:t>
      </w:r>
      <w:r w:rsidR="009168E9" w:rsidRPr="007819CB">
        <w:rPr>
          <w:rFonts w:ascii="Times New Roman" w:eastAsia="Times New Roman" w:hAnsi="Times New Roman" w:cs="Times New Roman"/>
          <w:lang w:val="sr-Latn-ME"/>
        </w:rPr>
        <w:t>im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ili produžen</w:t>
      </w:r>
      <w:r w:rsidR="009168E9" w:rsidRPr="007819CB">
        <w:rPr>
          <w:rFonts w:ascii="Times New Roman" w:eastAsia="Times New Roman" w:hAnsi="Times New Roman" w:cs="Times New Roman"/>
          <w:lang w:val="sr-Latn-ME"/>
        </w:rPr>
        <w:t>im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porođaj</w:t>
      </w:r>
      <w:r w:rsidR="009168E9" w:rsidRPr="007819CB">
        <w:rPr>
          <w:rFonts w:ascii="Times New Roman" w:eastAsia="Times New Roman" w:hAnsi="Times New Roman" w:cs="Times New Roman"/>
          <w:lang w:val="sr-Latn-ME"/>
        </w:rPr>
        <w:t>em</w:t>
      </w:r>
      <w:r w:rsidRPr="007819CB">
        <w:rPr>
          <w:rFonts w:ascii="Times New Roman" w:eastAsia="Times New Roman" w:hAnsi="Times New Roman" w:cs="Times New Roman"/>
          <w:lang w:val="sr-Latn-ME"/>
        </w:rPr>
        <w:t>.</w:t>
      </w:r>
    </w:p>
    <w:p w14:paraId="2B02066E" w14:textId="77777777" w:rsidR="00567985" w:rsidRPr="007819CB" w:rsidRDefault="0056798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07BD84ED" w14:textId="77777777" w:rsidR="00567985" w:rsidRPr="007819CB" w:rsidRDefault="0056798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7819CB">
        <w:rPr>
          <w:rFonts w:ascii="Times New Roman" w:eastAsia="Times New Roman" w:hAnsi="Times New Roman" w:cs="Times New Roman"/>
          <w:u w:val="single"/>
          <w:lang w:val="sr-Latn-ME"/>
        </w:rPr>
        <w:t>Dojenje</w:t>
      </w:r>
    </w:p>
    <w:p w14:paraId="0CA13F35" w14:textId="18CF4CDD" w:rsidR="00567985" w:rsidRPr="007819CB" w:rsidRDefault="0056798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Nije poznato da li se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deksketoprofen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izlučuje u majčino ml</w:t>
      </w:r>
      <w:r w:rsidR="009168E9" w:rsidRPr="007819CB">
        <w:rPr>
          <w:rFonts w:ascii="Times New Roman" w:eastAsia="Times New Roman" w:hAnsi="Times New Roman" w:cs="Times New Roman"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eko. </w:t>
      </w:r>
    </w:p>
    <w:p w14:paraId="21029631" w14:textId="77777777" w:rsidR="00567985" w:rsidRPr="007819CB" w:rsidRDefault="0056798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7B48A9A4" w14:textId="77777777" w:rsidR="00567985" w:rsidRPr="007819CB" w:rsidRDefault="0056798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7819CB">
        <w:rPr>
          <w:rFonts w:ascii="Times New Roman" w:eastAsia="Times New Roman" w:hAnsi="Times New Roman" w:cs="Times New Roman"/>
          <w:u w:val="single"/>
          <w:lang w:val="sr-Latn-ME"/>
        </w:rPr>
        <w:t>Plodnost</w:t>
      </w:r>
    </w:p>
    <w:p w14:paraId="6777077D" w14:textId="2A7B0A6B" w:rsidR="00567985" w:rsidRPr="007819CB" w:rsidRDefault="00A9006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Primjena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deksketoprofen</w:t>
      </w:r>
      <w:proofErr w:type="spellEnd"/>
      <w:r w:rsidR="008326A0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8326A0" w:rsidRPr="007819CB">
        <w:rPr>
          <w:rFonts w:ascii="Times New Roman" w:eastAsia="Times New Roman" w:hAnsi="Times New Roman" w:cs="Times New Roman"/>
          <w:lang w:val="sr-Latn-ME"/>
        </w:rPr>
        <w:t>trometamola</w:t>
      </w:r>
      <w:proofErr w:type="spellEnd"/>
      <w:r w:rsidR="00567985" w:rsidRPr="007819CB">
        <w:rPr>
          <w:rFonts w:ascii="Times New Roman" w:eastAsia="Times New Roman" w:hAnsi="Times New Roman" w:cs="Times New Roman"/>
          <w:lang w:val="sr-Latn-ME"/>
        </w:rPr>
        <w:t xml:space="preserve">, kao i drugih NSAIL, može smanjiti plodnost žena, pa se ne preporučuje ženama koje pokušavaju da zatrudne. 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Kod žena koje imaju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teškoća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sa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začećem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ili koje su podvrgnute ispitivanju uzroka st</w:t>
      </w:r>
      <w:r w:rsidR="008326A0" w:rsidRPr="007819CB">
        <w:rPr>
          <w:rFonts w:ascii="Times New Roman" w:eastAsia="Times New Roman" w:hAnsi="Times New Roman" w:cs="Times New Roman"/>
          <w:lang w:val="sr-Latn-ME"/>
        </w:rPr>
        <w:t>e</w:t>
      </w:r>
      <w:r w:rsidRPr="007819CB">
        <w:rPr>
          <w:rFonts w:ascii="Times New Roman" w:eastAsia="Times New Roman" w:hAnsi="Times New Roman" w:cs="Times New Roman"/>
          <w:lang w:val="sr-Latn-ME"/>
        </w:rPr>
        <w:t>riliteta, treba</w:t>
      </w:r>
      <w:r w:rsidR="00567985" w:rsidRPr="007819CB">
        <w:rPr>
          <w:rFonts w:ascii="Times New Roman" w:eastAsia="Times New Roman" w:hAnsi="Times New Roman" w:cs="Times New Roman"/>
          <w:lang w:val="sr-Latn-ME"/>
        </w:rPr>
        <w:t xml:space="preserve"> razmotriti prekid </w:t>
      </w:r>
      <w:r w:rsidR="00D301E7" w:rsidRPr="007819CB">
        <w:rPr>
          <w:rFonts w:ascii="Times New Roman" w:eastAsia="Times New Roman" w:hAnsi="Times New Roman" w:cs="Times New Roman"/>
          <w:lang w:val="sr-Latn-ME"/>
        </w:rPr>
        <w:t>primjene</w:t>
      </w:r>
      <w:r w:rsidR="00567985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567985" w:rsidRPr="007819CB">
        <w:rPr>
          <w:rFonts w:ascii="Times New Roman" w:eastAsia="Times New Roman" w:hAnsi="Times New Roman" w:cs="Times New Roman"/>
          <w:lang w:val="sr-Latn-ME"/>
        </w:rPr>
        <w:t>deksketoprofen</w:t>
      </w:r>
      <w:proofErr w:type="spellEnd"/>
      <w:r w:rsidR="008326A0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8326A0" w:rsidRPr="007819CB">
        <w:rPr>
          <w:rFonts w:ascii="Times New Roman" w:eastAsia="Times New Roman" w:hAnsi="Times New Roman" w:cs="Times New Roman"/>
          <w:lang w:val="sr-Latn-ME"/>
        </w:rPr>
        <w:t>trometamola</w:t>
      </w:r>
      <w:proofErr w:type="spellEnd"/>
      <w:r w:rsidR="00567985" w:rsidRPr="007819CB">
        <w:rPr>
          <w:rFonts w:ascii="Times New Roman" w:eastAsia="Times New Roman" w:hAnsi="Times New Roman" w:cs="Times New Roman"/>
          <w:lang w:val="sr-Latn-ME"/>
        </w:rPr>
        <w:t>.</w:t>
      </w:r>
    </w:p>
    <w:p w14:paraId="4CBEB7CC" w14:textId="77777777" w:rsidR="00567985" w:rsidRPr="007819CB" w:rsidRDefault="0056798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603FCB7" w14:textId="44F2B3EB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4.7. </w:t>
      </w: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ab/>
        <w:t>Uticaj na sposobnost upravljanja vozilima i rukovanje mašinama</w:t>
      </w:r>
    </w:p>
    <w:p w14:paraId="364A6B74" w14:textId="77777777" w:rsidR="00567985" w:rsidRPr="007819CB" w:rsidRDefault="0056798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202DC5D" w14:textId="46772EEB" w:rsidR="00930311" w:rsidRPr="007819CB" w:rsidRDefault="00F4680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Lijek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Dexketoprofen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Kalceks</w:t>
      </w:r>
      <w:proofErr w:type="spellEnd"/>
      <w:r w:rsidR="00567985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2B2B3A" w:rsidRPr="007819CB">
        <w:rPr>
          <w:rFonts w:ascii="Times New Roman" w:eastAsia="Times New Roman" w:hAnsi="Times New Roman" w:cs="Times New Roman"/>
          <w:lang w:val="sr-Latn-ME"/>
        </w:rPr>
        <w:t>ima blag do umjeren uticaj na sposobnost vožnje ili rukovanja mašinama uslijed moguće pojave vrtoglavice</w:t>
      </w:r>
      <w:r w:rsidR="000E40E5" w:rsidRPr="007819CB">
        <w:rPr>
          <w:rFonts w:ascii="Times New Roman" w:eastAsia="Times New Roman" w:hAnsi="Times New Roman" w:cs="Times New Roman"/>
          <w:lang w:val="sr-Latn-ME"/>
        </w:rPr>
        <w:t xml:space="preserve"> i</w:t>
      </w:r>
      <w:r w:rsidR="008326A0" w:rsidRPr="007819CB">
        <w:rPr>
          <w:rFonts w:ascii="Times New Roman" w:eastAsia="Times New Roman" w:hAnsi="Times New Roman" w:cs="Times New Roman"/>
          <w:lang w:val="sr-Latn-ME"/>
        </w:rPr>
        <w:t>li</w:t>
      </w:r>
      <w:r w:rsidR="002B2B3A" w:rsidRPr="007819CB">
        <w:rPr>
          <w:rFonts w:ascii="Times New Roman" w:eastAsia="Times New Roman" w:hAnsi="Times New Roman" w:cs="Times New Roman"/>
          <w:lang w:val="sr-Latn-ME"/>
        </w:rPr>
        <w:t xml:space="preserve"> pospanosti</w:t>
      </w:r>
      <w:r w:rsidR="000E40E5" w:rsidRPr="007819CB">
        <w:rPr>
          <w:rFonts w:ascii="Times New Roman" w:eastAsia="Times New Roman" w:hAnsi="Times New Roman" w:cs="Times New Roman"/>
          <w:lang w:val="sr-Latn-ME"/>
        </w:rPr>
        <w:t>.</w:t>
      </w:r>
    </w:p>
    <w:p w14:paraId="4DE17763" w14:textId="77777777" w:rsidR="004D3795" w:rsidRPr="007819CB" w:rsidRDefault="004D379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2B1BD17" w14:textId="77777777" w:rsidR="00930311" w:rsidRPr="007819CB" w:rsidRDefault="00930311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4.8. </w:t>
      </w: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ab/>
        <w:t>Neželjena dejstva</w:t>
      </w:r>
    </w:p>
    <w:p w14:paraId="17AFE862" w14:textId="77777777" w:rsidR="00930311" w:rsidRPr="007819CB" w:rsidRDefault="00930311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F1978D5" w14:textId="63380DEC" w:rsidR="00567985" w:rsidRPr="007819CB" w:rsidRDefault="00C414E4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Neželjeni događaji prijavljeni tokom kliničkih studija, koji su moguće povezani sa primjenom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deksketoprofen</w:t>
      </w:r>
      <w:proofErr w:type="spellEnd"/>
      <w:r w:rsidR="008326A0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8326A0" w:rsidRPr="007819CB">
        <w:rPr>
          <w:rFonts w:ascii="Times New Roman" w:eastAsia="Times New Roman" w:hAnsi="Times New Roman" w:cs="Times New Roman"/>
          <w:lang w:val="sr-Latn-ME"/>
        </w:rPr>
        <w:t>trometamola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>, kao i</w:t>
      </w:r>
      <w:r w:rsidR="004D2551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7819CB">
        <w:rPr>
          <w:rFonts w:ascii="Times New Roman" w:eastAsia="Times New Roman" w:hAnsi="Times New Roman" w:cs="Times New Roman"/>
          <w:lang w:val="sr-Latn-ME"/>
        </w:rPr>
        <w:t>neželjene reakcije primijećene nakon stavljanja u promet, navedene su u tabeli u nastavku i klasifikovane po sistemu organa i učestalosti:</w:t>
      </w:r>
    </w:p>
    <w:p w14:paraId="124F508A" w14:textId="77777777" w:rsidR="00A47E50" w:rsidRPr="007819CB" w:rsidRDefault="00A47E50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1216542" w14:textId="77777777" w:rsidR="003E1E46" w:rsidRPr="007819CB" w:rsidRDefault="003E1E46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tbl>
      <w:tblPr>
        <w:tblW w:w="10253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1273"/>
        <w:gridCol w:w="1701"/>
        <w:gridCol w:w="1890"/>
        <w:gridCol w:w="2250"/>
        <w:gridCol w:w="893"/>
      </w:tblGrid>
      <w:tr w:rsidR="00A47E50" w:rsidRPr="007819CB" w14:paraId="0FC5C941" w14:textId="77777777" w:rsidTr="00CA6645">
        <w:trPr>
          <w:trHeight w:val="266"/>
        </w:trPr>
        <w:tc>
          <w:tcPr>
            <w:tcW w:w="2246" w:type="dxa"/>
            <w:tcBorders>
              <w:bottom w:val="nil"/>
            </w:tcBorders>
          </w:tcPr>
          <w:p w14:paraId="3207E3EB" w14:textId="5F7CCBE5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Sistem organa</w:t>
            </w:r>
          </w:p>
        </w:tc>
        <w:tc>
          <w:tcPr>
            <w:tcW w:w="1273" w:type="dxa"/>
            <w:tcBorders>
              <w:bottom w:val="nil"/>
            </w:tcBorders>
          </w:tcPr>
          <w:p w14:paraId="73BF7194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Često</w:t>
            </w:r>
          </w:p>
        </w:tc>
        <w:tc>
          <w:tcPr>
            <w:tcW w:w="1701" w:type="dxa"/>
            <w:tcBorders>
              <w:bottom w:val="nil"/>
            </w:tcBorders>
          </w:tcPr>
          <w:p w14:paraId="12753859" w14:textId="349E0D36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Povremeno</w:t>
            </w:r>
          </w:p>
        </w:tc>
        <w:tc>
          <w:tcPr>
            <w:tcW w:w="1890" w:type="dxa"/>
            <w:tcBorders>
              <w:bottom w:val="nil"/>
            </w:tcBorders>
          </w:tcPr>
          <w:p w14:paraId="35FF724B" w14:textId="18FB8C12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Rijetko</w:t>
            </w:r>
          </w:p>
        </w:tc>
        <w:tc>
          <w:tcPr>
            <w:tcW w:w="2250" w:type="dxa"/>
            <w:tcBorders>
              <w:bottom w:val="nil"/>
            </w:tcBorders>
          </w:tcPr>
          <w:p w14:paraId="23D0776C" w14:textId="32984D26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Veoma rijetko</w:t>
            </w:r>
          </w:p>
        </w:tc>
        <w:tc>
          <w:tcPr>
            <w:tcW w:w="893" w:type="dxa"/>
            <w:vMerge w:val="restart"/>
            <w:tcBorders>
              <w:top w:val="nil"/>
              <w:bottom w:val="nil"/>
              <w:right w:val="nil"/>
            </w:tcBorders>
          </w:tcPr>
          <w:p w14:paraId="0F822B5A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28426318" w14:textId="77777777" w:rsidTr="00CA6645">
        <w:trPr>
          <w:trHeight w:val="259"/>
        </w:trPr>
        <w:tc>
          <w:tcPr>
            <w:tcW w:w="2246" w:type="dxa"/>
            <w:tcBorders>
              <w:top w:val="nil"/>
              <w:bottom w:val="nil"/>
            </w:tcBorders>
          </w:tcPr>
          <w:p w14:paraId="31C686E0" w14:textId="6AB9FF53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2831050F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(≥1/100 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B9BE770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(≥1/1000 i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270AAF79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(≥1/10 000 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5FFA6B21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(&lt;1/10 000)</w:t>
            </w:r>
          </w:p>
        </w:tc>
        <w:tc>
          <w:tcPr>
            <w:tcW w:w="893" w:type="dxa"/>
            <w:vMerge/>
            <w:tcBorders>
              <w:top w:val="nil"/>
              <w:bottom w:val="nil"/>
              <w:right w:val="nil"/>
            </w:tcBorders>
          </w:tcPr>
          <w:p w14:paraId="24ECB758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399965E2" w14:textId="77777777" w:rsidTr="00CA6645">
        <w:trPr>
          <w:trHeight w:val="251"/>
        </w:trPr>
        <w:tc>
          <w:tcPr>
            <w:tcW w:w="2246" w:type="dxa"/>
            <w:tcBorders>
              <w:top w:val="nil"/>
            </w:tcBorders>
          </w:tcPr>
          <w:p w14:paraId="15E04512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57C6839A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&lt;1/10)</w:t>
            </w:r>
          </w:p>
        </w:tc>
        <w:tc>
          <w:tcPr>
            <w:tcW w:w="1701" w:type="dxa"/>
            <w:tcBorders>
              <w:top w:val="nil"/>
            </w:tcBorders>
          </w:tcPr>
          <w:p w14:paraId="75B39065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&lt;1/100)</w:t>
            </w:r>
          </w:p>
        </w:tc>
        <w:tc>
          <w:tcPr>
            <w:tcW w:w="1890" w:type="dxa"/>
            <w:tcBorders>
              <w:top w:val="nil"/>
            </w:tcBorders>
          </w:tcPr>
          <w:p w14:paraId="04B770A6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&lt;1/1000)</w:t>
            </w:r>
          </w:p>
        </w:tc>
        <w:tc>
          <w:tcPr>
            <w:tcW w:w="2250" w:type="dxa"/>
            <w:tcBorders>
              <w:top w:val="nil"/>
            </w:tcBorders>
          </w:tcPr>
          <w:p w14:paraId="0C6950D2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893" w:type="dxa"/>
            <w:vMerge/>
            <w:tcBorders>
              <w:top w:val="nil"/>
              <w:bottom w:val="nil"/>
              <w:right w:val="nil"/>
            </w:tcBorders>
          </w:tcPr>
          <w:p w14:paraId="3F4E4AD3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64C0280D" w14:textId="77777777" w:rsidTr="00CA6645">
        <w:trPr>
          <w:trHeight w:val="263"/>
        </w:trPr>
        <w:tc>
          <w:tcPr>
            <w:tcW w:w="2246" w:type="dxa"/>
            <w:tcBorders>
              <w:bottom w:val="nil"/>
            </w:tcBorders>
          </w:tcPr>
          <w:p w14:paraId="4CE651CA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Poremećaji</w:t>
            </w:r>
          </w:p>
        </w:tc>
        <w:tc>
          <w:tcPr>
            <w:tcW w:w="1273" w:type="dxa"/>
            <w:tcBorders>
              <w:bottom w:val="nil"/>
            </w:tcBorders>
          </w:tcPr>
          <w:p w14:paraId="3ADC7F2F" w14:textId="787AF71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38080EE2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Anemija</w:t>
            </w:r>
          </w:p>
        </w:tc>
        <w:tc>
          <w:tcPr>
            <w:tcW w:w="1890" w:type="dxa"/>
            <w:tcBorders>
              <w:bottom w:val="nil"/>
            </w:tcBorders>
          </w:tcPr>
          <w:p w14:paraId="282FC1A7" w14:textId="20661DD3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4B24FD6F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Neutropenija</w:t>
            </w:r>
            <w:proofErr w:type="spellEnd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,</w:t>
            </w:r>
          </w:p>
        </w:tc>
        <w:tc>
          <w:tcPr>
            <w:tcW w:w="893" w:type="dxa"/>
            <w:vMerge/>
            <w:tcBorders>
              <w:top w:val="nil"/>
              <w:bottom w:val="nil"/>
              <w:right w:val="nil"/>
            </w:tcBorders>
          </w:tcPr>
          <w:p w14:paraId="651B5607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2D39D0E2" w14:textId="77777777" w:rsidTr="00CA6645">
        <w:trPr>
          <w:trHeight w:val="261"/>
        </w:trPr>
        <w:tc>
          <w:tcPr>
            <w:tcW w:w="2246" w:type="dxa"/>
            <w:tcBorders>
              <w:top w:val="nil"/>
              <w:bottom w:val="nil"/>
            </w:tcBorders>
          </w:tcPr>
          <w:p w14:paraId="3ACD6EF0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krvi i limfnog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7625BC75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0BBDB74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61DEA9DC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36274A05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trombocitopenija</w:t>
            </w:r>
            <w:proofErr w:type="spellEnd"/>
          </w:p>
        </w:tc>
        <w:tc>
          <w:tcPr>
            <w:tcW w:w="893" w:type="dxa"/>
            <w:vMerge/>
            <w:tcBorders>
              <w:top w:val="nil"/>
              <w:bottom w:val="nil"/>
              <w:right w:val="nil"/>
            </w:tcBorders>
          </w:tcPr>
          <w:p w14:paraId="1C4F6747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3F112012" w14:textId="77777777" w:rsidTr="00CA6645">
        <w:trPr>
          <w:trHeight w:val="251"/>
        </w:trPr>
        <w:tc>
          <w:tcPr>
            <w:tcW w:w="2246" w:type="dxa"/>
            <w:tcBorders>
              <w:top w:val="nil"/>
            </w:tcBorders>
          </w:tcPr>
          <w:p w14:paraId="1E0F2986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sistema</w:t>
            </w:r>
          </w:p>
        </w:tc>
        <w:tc>
          <w:tcPr>
            <w:tcW w:w="1273" w:type="dxa"/>
            <w:tcBorders>
              <w:top w:val="nil"/>
            </w:tcBorders>
          </w:tcPr>
          <w:p w14:paraId="46B8AEBB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614067D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3949B8FC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14:paraId="5C4A71A3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893" w:type="dxa"/>
            <w:vMerge/>
            <w:tcBorders>
              <w:top w:val="nil"/>
              <w:bottom w:val="nil"/>
              <w:right w:val="nil"/>
            </w:tcBorders>
          </w:tcPr>
          <w:p w14:paraId="2EF66F1B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13BF7E40" w14:textId="77777777" w:rsidTr="00CA6645">
        <w:trPr>
          <w:trHeight w:val="263"/>
        </w:trPr>
        <w:tc>
          <w:tcPr>
            <w:tcW w:w="2246" w:type="dxa"/>
            <w:tcBorders>
              <w:bottom w:val="nil"/>
            </w:tcBorders>
          </w:tcPr>
          <w:p w14:paraId="0F083466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Poremećaji</w:t>
            </w:r>
          </w:p>
        </w:tc>
        <w:tc>
          <w:tcPr>
            <w:tcW w:w="1273" w:type="dxa"/>
            <w:tcBorders>
              <w:bottom w:val="nil"/>
            </w:tcBorders>
          </w:tcPr>
          <w:p w14:paraId="48CEE912" w14:textId="0892F3DC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44D04456" w14:textId="08A1E7FC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04DA6732" w14:textId="66A19400" w:rsidR="00A47E50" w:rsidRPr="007819CB" w:rsidRDefault="0075499A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Edem</w:t>
            </w:r>
            <w:proofErr w:type="spellEnd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 xml:space="preserve"> </w:t>
            </w: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laringsa</w:t>
            </w:r>
            <w:proofErr w:type="spellEnd"/>
          </w:p>
        </w:tc>
        <w:tc>
          <w:tcPr>
            <w:tcW w:w="2250" w:type="dxa"/>
            <w:tcBorders>
              <w:bottom w:val="nil"/>
            </w:tcBorders>
          </w:tcPr>
          <w:p w14:paraId="49B5955F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Anafilaktička</w:t>
            </w:r>
            <w:proofErr w:type="spellEnd"/>
          </w:p>
        </w:tc>
        <w:tc>
          <w:tcPr>
            <w:tcW w:w="893" w:type="dxa"/>
            <w:vMerge/>
            <w:tcBorders>
              <w:top w:val="nil"/>
              <w:bottom w:val="nil"/>
              <w:right w:val="nil"/>
            </w:tcBorders>
          </w:tcPr>
          <w:p w14:paraId="56303DCB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2490B6A4" w14:textId="77777777" w:rsidTr="00CA6645">
        <w:trPr>
          <w:trHeight w:val="259"/>
        </w:trPr>
        <w:tc>
          <w:tcPr>
            <w:tcW w:w="2246" w:type="dxa"/>
            <w:tcBorders>
              <w:top w:val="nil"/>
              <w:bottom w:val="nil"/>
            </w:tcBorders>
          </w:tcPr>
          <w:p w14:paraId="345B0723" w14:textId="464D76B4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lastRenderedPageBreak/>
              <w:t>imuno</w:t>
            </w:r>
            <w:r w:rsidR="008326A0"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g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232D91CC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63F0EE9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C2BC547" w14:textId="4219D0D2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163C1D52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reakcija,</w:t>
            </w:r>
          </w:p>
        </w:tc>
        <w:tc>
          <w:tcPr>
            <w:tcW w:w="893" w:type="dxa"/>
            <w:vMerge/>
            <w:tcBorders>
              <w:top w:val="nil"/>
              <w:bottom w:val="nil"/>
              <w:right w:val="nil"/>
            </w:tcBorders>
          </w:tcPr>
          <w:p w14:paraId="1B3D952E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52E03708" w14:textId="77777777" w:rsidTr="00CA6645">
        <w:trPr>
          <w:trHeight w:val="259"/>
        </w:trPr>
        <w:tc>
          <w:tcPr>
            <w:tcW w:w="2246" w:type="dxa"/>
            <w:tcBorders>
              <w:top w:val="nil"/>
              <w:bottom w:val="nil"/>
            </w:tcBorders>
          </w:tcPr>
          <w:p w14:paraId="5EBB7C81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sistema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59A45347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01BB2A6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11A13458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7061C39F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uključujući</w:t>
            </w:r>
          </w:p>
        </w:tc>
        <w:tc>
          <w:tcPr>
            <w:tcW w:w="893" w:type="dxa"/>
            <w:vMerge/>
            <w:tcBorders>
              <w:top w:val="nil"/>
              <w:bottom w:val="nil"/>
              <w:right w:val="nil"/>
            </w:tcBorders>
          </w:tcPr>
          <w:p w14:paraId="719A98AE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544AC6E9" w14:textId="77777777" w:rsidTr="00CA6645">
        <w:trPr>
          <w:trHeight w:val="254"/>
        </w:trPr>
        <w:tc>
          <w:tcPr>
            <w:tcW w:w="2246" w:type="dxa"/>
            <w:tcBorders>
              <w:top w:val="nil"/>
            </w:tcBorders>
          </w:tcPr>
          <w:p w14:paraId="7EAC166D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2AE562B6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D08B78F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1276C1D1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14:paraId="70F632BC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anafilaktički</w:t>
            </w:r>
            <w:proofErr w:type="spellEnd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 xml:space="preserve"> šok</w:t>
            </w:r>
          </w:p>
        </w:tc>
        <w:tc>
          <w:tcPr>
            <w:tcW w:w="893" w:type="dxa"/>
            <w:vMerge/>
            <w:tcBorders>
              <w:top w:val="nil"/>
              <w:bottom w:val="nil"/>
              <w:right w:val="nil"/>
            </w:tcBorders>
          </w:tcPr>
          <w:p w14:paraId="30053EE6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3A99285A" w14:textId="77777777" w:rsidTr="00CA6645">
        <w:trPr>
          <w:trHeight w:val="263"/>
        </w:trPr>
        <w:tc>
          <w:tcPr>
            <w:tcW w:w="2246" w:type="dxa"/>
            <w:tcBorders>
              <w:bottom w:val="nil"/>
            </w:tcBorders>
          </w:tcPr>
          <w:p w14:paraId="53BDABD0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Poremećaji</w:t>
            </w:r>
          </w:p>
        </w:tc>
        <w:tc>
          <w:tcPr>
            <w:tcW w:w="1273" w:type="dxa"/>
            <w:tcBorders>
              <w:bottom w:val="nil"/>
            </w:tcBorders>
          </w:tcPr>
          <w:p w14:paraId="2E753C3B" w14:textId="24CFAE29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62946BF6" w14:textId="4E591B68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72FEB5F9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Hiperglikemija</w:t>
            </w:r>
            <w:proofErr w:type="spellEnd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,</w:t>
            </w:r>
          </w:p>
        </w:tc>
        <w:tc>
          <w:tcPr>
            <w:tcW w:w="2250" w:type="dxa"/>
            <w:tcBorders>
              <w:bottom w:val="nil"/>
            </w:tcBorders>
          </w:tcPr>
          <w:p w14:paraId="30980A18" w14:textId="4B7D4DAE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893" w:type="dxa"/>
            <w:vMerge/>
            <w:tcBorders>
              <w:top w:val="nil"/>
              <w:bottom w:val="nil"/>
              <w:right w:val="nil"/>
            </w:tcBorders>
          </w:tcPr>
          <w:p w14:paraId="53C7FF47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3C6D3F8F" w14:textId="77777777" w:rsidTr="00CA6645">
        <w:trPr>
          <w:trHeight w:val="259"/>
        </w:trPr>
        <w:tc>
          <w:tcPr>
            <w:tcW w:w="2246" w:type="dxa"/>
            <w:tcBorders>
              <w:top w:val="nil"/>
              <w:bottom w:val="nil"/>
            </w:tcBorders>
          </w:tcPr>
          <w:p w14:paraId="20ADCB34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metabolizma i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465960CF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DE3B3A6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36FC7F6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hipoglikemija</w:t>
            </w:r>
            <w:proofErr w:type="spellEnd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,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02570E80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893" w:type="dxa"/>
            <w:vMerge/>
            <w:tcBorders>
              <w:top w:val="nil"/>
              <w:bottom w:val="nil"/>
              <w:right w:val="nil"/>
            </w:tcBorders>
          </w:tcPr>
          <w:p w14:paraId="60D3E7B7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1F14C63D" w14:textId="77777777" w:rsidTr="00CA6645">
        <w:trPr>
          <w:trHeight w:val="259"/>
        </w:trPr>
        <w:tc>
          <w:tcPr>
            <w:tcW w:w="2246" w:type="dxa"/>
            <w:tcBorders>
              <w:top w:val="nil"/>
              <w:bottom w:val="nil"/>
            </w:tcBorders>
          </w:tcPr>
          <w:p w14:paraId="462C26E4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ishrane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26DCDFC8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281C52A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47759700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hipertrigliceride</w:t>
            </w:r>
            <w:proofErr w:type="spellEnd"/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052EC46E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893" w:type="dxa"/>
            <w:vMerge/>
            <w:tcBorders>
              <w:top w:val="nil"/>
              <w:bottom w:val="nil"/>
              <w:right w:val="nil"/>
            </w:tcBorders>
          </w:tcPr>
          <w:p w14:paraId="6E3269E1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1E08AF37" w14:textId="77777777" w:rsidTr="00CA6645">
        <w:trPr>
          <w:trHeight w:val="254"/>
        </w:trPr>
        <w:tc>
          <w:tcPr>
            <w:tcW w:w="2246" w:type="dxa"/>
            <w:tcBorders>
              <w:top w:val="nil"/>
            </w:tcBorders>
          </w:tcPr>
          <w:p w14:paraId="7B05E268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2BCB9E3A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D81E705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3B887D63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 xml:space="preserve">mija, </w:t>
            </w: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anoreksija</w:t>
            </w:r>
            <w:proofErr w:type="spellEnd"/>
          </w:p>
        </w:tc>
        <w:tc>
          <w:tcPr>
            <w:tcW w:w="2250" w:type="dxa"/>
            <w:tcBorders>
              <w:top w:val="nil"/>
            </w:tcBorders>
          </w:tcPr>
          <w:p w14:paraId="7E3F1F3F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893" w:type="dxa"/>
            <w:vMerge/>
            <w:tcBorders>
              <w:top w:val="nil"/>
              <w:bottom w:val="nil"/>
              <w:right w:val="nil"/>
            </w:tcBorders>
          </w:tcPr>
          <w:p w14:paraId="569E9D62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5ED87225" w14:textId="77777777" w:rsidTr="00CA6645">
        <w:trPr>
          <w:trHeight w:val="266"/>
        </w:trPr>
        <w:tc>
          <w:tcPr>
            <w:tcW w:w="2246" w:type="dxa"/>
            <w:tcBorders>
              <w:bottom w:val="nil"/>
            </w:tcBorders>
          </w:tcPr>
          <w:p w14:paraId="4E369910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Psihijatrijski</w:t>
            </w:r>
          </w:p>
        </w:tc>
        <w:tc>
          <w:tcPr>
            <w:tcW w:w="1273" w:type="dxa"/>
            <w:tcBorders>
              <w:bottom w:val="nil"/>
            </w:tcBorders>
          </w:tcPr>
          <w:p w14:paraId="1F9ACA9D" w14:textId="2119F171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105BADAC" w14:textId="70409DFF" w:rsidR="00A47E50" w:rsidRPr="007819CB" w:rsidRDefault="0075499A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Insomnija</w:t>
            </w:r>
            <w:proofErr w:type="spellEnd"/>
          </w:p>
        </w:tc>
        <w:tc>
          <w:tcPr>
            <w:tcW w:w="1890" w:type="dxa"/>
            <w:tcBorders>
              <w:bottom w:val="nil"/>
            </w:tcBorders>
          </w:tcPr>
          <w:p w14:paraId="282261A6" w14:textId="7B503EBC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4A08DFB1" w14:textId="5083A576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893" w:type="dxa"/>
            <w:vMerge/>
            <w:tcBorders>
              <w:top w:val="nil"/>
              <w:bottom w:val="nil"/>
              <w:right w:val="nil"/>
            </w:tcBorders>
          </w:tcPr>
          <w:p w14:paraId="517A6097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6EEC4235" w14:textId="77777777" w:rsidTr="00CA6645">
        <w:trPr>
          <w:trHeight w:val="251"/>
        </w:trPr>
        <w:tc>
          <w:tcPr>
            <w:tcW w:w="2246" w:type="dxa"/>
            <w:tcBorders>
              <w:top w:val="nil"/>
            </w:tcBorders>
          </w:tcPr>
          <w:p w14:paraId="309FE7DC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poremećaji</w:t>
            </w:r>
          </w:p>
        </w:tc>
        <w:tc>
          <w:tcPr>
            <w:tcW w:w="1273" w:type="dxa"/>
            <w:tcBorders>
              <w:top w:val="nil"/>
            </w:tcBorders>
          </w:tcPr>
          <w:p w14:paraId="018EA46A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846208B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155B4A85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14:paraId="6A467CF9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893" w:type="dxa"/>
            <w:vMerge/>
            <w:tcBorders>
              <w:top w:val="nil"/>
              <w:bottom w:val="nil"/>
              <w:right w:val="nil"/>
            </w:tcBorders>
          </w:tcPr>
          <w:p w14:paraId="2D354030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35ABA1F6" w14:textId="77777777" w:rsidTr="00CA6645">
        <w:trPr>
          <w:trHeight w:val="263"/>
        </w:trPr>
        <w:tc>
          <w:tcPr>
            <w:tcW w:w="2246" w:type="dxa"/>
            <w:tcBorders>
              <w:bottom w:val="nil"/>
            </w:tcBorders>
          </w:tcPr>
          <w:p w14:paraId="78B4E41C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Poremećaji</w:t>
            </w:r>
          </w:p>
        </w:tc>
        <w:tc>
          <w:tcPr>
            <w:tcW w:w="1273" w:type="dxa"/>
            <w:tcBorders>
              <w:bottom w:val="nil"/>
            </w:tcBorders>
          </w:tcPr>
          <w:p w14:paraId="4EA005ED" w14:textId="656F80BF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6C102365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Glavobolja,</w:t>
            </w:r>
          </w:p>
        </w:tc>
        <w:tc>
          <w:tcPr>
            <w:tcW w:w="1890" w:type="dxa"/>
            <w:tcBorders>
              <w:bottom w:val="nil"/>
            </w:tcBorders>
          </w:tcPr>
          <w:p w14:paraId="422AD2C7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Parestezije</w:t>
            </w:r>
            <w:proofErr w:type="spellEnd"/>
            <w:r w:rsidRPr="007819CB">
              <w:rPr>
                <w:rFonts w:ascii="Times New Roman" w:eastAsia="Times New Roman" w:hAnsi="Times New Roman" w:cs="Times New Roman"/>
                <w:bCs/>
                <w:iCs/>
                <w:lang w:val="sr-Latn-ME"/>
              </w:rPr>
              <w:t>,</w:t>
            </w:r>
          </w:p>
        </w:tc>
        <w:tc>
          <w:tcPr>
            <w:tcW w:w="2250" w:type="dxa"/>
            <w:tcBorders>
              <w:bottom w:val="nil"/>
            </w:tcBorders>
          </w:tcPr>
          <w:p w14:paraId="7FE4E425" w14:textId="01AB1A46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893" w:type="dxa"/>
            <w:vMerge/>
            <w:tcBorders>
              <w:top w:val="nil"/>
              <w:bottom w:val="nil"/>
              <w:right w:val="nil"/>
            </w:tcBorders>
          </w:tcPr>
          <w:p w14:paraId="0B116711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385AC4EB" w14:textId="77777777" w:rsidTr="00CA6645">
        <w:trPr>
          <w:trHeight w:val="259"/>
        </w:trPr>
        <w:tc>
          <w:tcPr>
            <w:tcW w:w="2246" w:type="dxa"/>
            <w:tcBorders>
              <w:top w:val="nil"/>
              <w:bottom w:val="nil"/>
            </w:tcBorders>
          </w:tcPr>
          <w:p w14:paraId="14712958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nervnog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544BD9AD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CEAB156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vrtoglavica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2A23B3C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sinkopa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34C7448A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893" w:type="dxa"/>
            <w:vMerge/>
            <w:tcBorders>
              <w:top w:val="nil"/>
              <w:bottom w:val="nil"/>
              <w:right w:val="nil"/>
            </w:tcBorders>
          </w:tcPr>
          <w:p w14:paraId="5B9D3082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27933CF5" w14:textId="77777777" w:rsidTr="00CA6645">
        <w:trPr>
          <w:trHeight w:val="254"/>
        </w:trPr>
        <w:tc>
          <w:tcPr>
            <w:tcW w:w="2246" w:type="dxa"/>
            <w:tcBorders>
              <w:top w:val="nil"/>
            </w:tcBorders>
          </w:tcPr>
          <w:p w14:paraId="0D412F1C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sistema</w:t>
            </w:r>
          </w:p>
        </w:tc>
        <w:tc>
          <w:tcPr>
            <w:tcW w:w="1273" w:type="dxa"/>
            <w:tcBorders>
              <w:top w:val="nil"/>
            </w:tcBorders>
          </w:tcPr>
          <w:p w14:paraId="18B90071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C52BC88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somnolencija</w:t>
            </w:r>
            <w:proofErr w:type="spellEnd"/>
          </w:p>
        </w:tc>
        <w:tc>
          <w:tcPr>
            <w:tcW w:w="1890" w:type="dxa"/>
            <w:tcBorders>
              <w:top w:val="nil"/>
            </w:tcBorders>
          </w:tcPr>
          <w:p w14:paraId="5D1759D6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14:paraId="63DE5BEE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893" w:type="dxa"/>
            <w:vMerge/>
            <w:tcBorders>
              <w:top w:val="nil"/>
              <w:bottom w:val="nil"/>
              <w:right w:val="nil"/>
            </w:tcBorders>
          </w:tcPr>
          <w:p w14:paraId="64799698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4812B2BC" w14:textId="77777777" w:rsidTr="00CA6645">
        <w:trPr>
          <w:trHeight w:val="263"/>
        </w:trPr>
        <w:tc>
          <w:tcPr>
            <w:tcW w:w="2246" w:type="dxa"/>
            <w:tcBorders>
              <w:bottom w:val="nil"/>
            </w:tcBorders>
          </w:tcPr>
          <w:p w14:paraId="56964085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Poremećaji oka</w:t>
            </w:r>
          </w:p>
        </w:tc>
        <w:tc>
          <w:tcPr>
            <w:tcW w:w="1273" w:type="dxa"/>
            <w:tcBorders>
              <w:bottom w:val="nil"/>
            </w:tcBorders>
          </w:tcPr>
          <w:p w14:paraId="5D360D06" w14:textId="1C1B9EB6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7D9E8FCB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Zamagljen</w:t>
            </w:r>
          </w:p>
        </w:tc>
        <w:tc>
          <w:tcPr>
            <w:tcW w:w="1890" w:type="dxa"/>
            <w:tcBorders>
              <w:bottom w:val="nil"/>
            </w:tcBorders>
          </w:tcPr>
          <w:p w14:paraId="46FF5F2C" w14:textId="6AA47732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14:paraId="4DF301B6" w14:textId="427DAA28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893" w:type="dxa"/>
            <w:vMerge/>
            <w:tcBorders>
              <w:top w:val="nil"/>
              <w:bottom w:val="nil"/>
              <w:right w:val="nil"/>
            </w:tcBorders>
          </w:tcPr>
          <w:p w14:paraId="7E957E14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31E815D8" w14:textId="77777777" w:rsidTr="00CA6645">
        <w:trPr>
          <w:trHeight w:val="254"/>
        </w:trPr>
        <w:tc>
          <w:tcPr>
            <w:tcW w:w="2246" w:type="dxa"/>
            <w:tcBorders>
              <w:top w:val="nil"/>
            </w:tcBorders>
          </w:tcPr>
          <w:p w14:paraId="105FBEAD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4422A74C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078EE26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vid</w:t>
            </w:r>
          </w:p>
        </w:tc>
        <w:tc>
          <w:tcPr>
            <w:tcW w:w="1890" w:type="dxa"/>
            <w:tcBorders>
              <w:top w:val="nil"/>
            </w:tcBorders>
          </w:tcPr>
          <w:p w14:paraId="3A54CB9F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14:paraId="621465DB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893" w:type="dxa"/>
            <w:vMerge/>
            <w:tcBorders>
              <w:top w:val="nil"/>
              <w:bottom w:val="nil"/>
              <w:right w:val="nil"/>
            </w:tcBorders>
          </w:tcPr>
          <w:p w14:paraId="439478B8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20205814" w14:textId="77777777" w:rsidTr="00CA6645">
        <w:trPr>
          <w:gridAfter w:val="1"/>
          <w:wAfter w:w="893" w:type="dxa"/>
          <w:trHeight w:val="266"/>
        </w:trPr>
        <w:tc>
          <w:tcPr>
            <w:tcW w:w="2246" w:type="dxa"/>
            <w:tcBorders>
              <w:bottom w:val="nil"/>
            </w:tcBorders>
          </w:tcPr>
          <w:p w14:paraId="16DEC974" w14:textId="1ADF4923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 xml:space="preserve">Poremećaji </w:t>
            </w:r>
            <w:r w:rsidR="006A5E65"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uha i labirinta</w:t>
            </w:r>
          </w:p>
        </w:tc>
        <w:tc>
          <w:tcPr>
            <w:tcW w:w="1273" w:type="dxa"/>
            <w:tcBorders>
              <w:bottom w:val="nil"/>
            </w:tcBorders>
          </w:tcPr>
          <w:p w14:paraId="7BE33211" w14:textId="69F59712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5604A897" w14:textId="0DB185E1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0BC490C9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Tinitus</w:t>
            </w:r>
            <w:proofErr w:type="spellEnd"/>
          </w:p>
        </w:tc>
        <w:tc>
          <w:tcPr>
            <w:tcW w:w="2250" w:type="dxa"/>
            <w:tcBorders>
              <w:bottom w:val="nil"/>
            </w:tcBorders>
          </w:tcPr>
          <w:p w14:paraId="0EF32007" w14:textId="6E69B146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0501E85E" w14:textId="77777777" w:rsidTr="00CA6645">
        <w:trPr>
          <w:gridAfter w:val="1"/>
          <w:wAfter w:w="893" w:type="dxa"/>
          <w:trHeight w:val="251"/>
        </w:trPr>
        <w:tc>
          <w:tcPr>
            <w:tcW w:w="2246" w:type="dxa"/>
            <w:tcBorders>
              <w:top w:val="nil"/>
            </w:tcBorders>
          </w:tcPr>
          <w:p w14:paraId="13DFBF33" w14:textId="2B1951BC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09B6C965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458CE34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1DEB88AB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14:paraId="6FE6D18C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3A98F555" w14:textId="77777777" w:rsidTr="00CA6645">
        <w:trPr>
          <w:gridAfter w:val="1"/>
          <w:wAfter w:w="893" w:type="dxa"/>
          <w:trHeight w:val="263"/>
        </w:trPr>
        <w:tc>
          <w:tcPr>
            <w:tcW w:w="2246" w:type="dxa"/>
            <w:tcBorders>
              <w:bottom w:val="nil"/>
            </w:tcBorders>
          </w:tcPr>
          <w:p w14:paraId="353BFF0B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Srčani</w:t>
            </w:r>
          </w:p>
        </w:tc>
        <w:tc>
          <w:tcPr>
            <w:tcW w:w="1273" w:type="dxa"/>
            <w:tcBorders>
              <w:bottom w:val="nil"/>
            </w:tcBorders>
          </w:tcPr>
          <w:p w14:paraId="59B418DE" w14:textId="67C2AE88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6D2AEE9D" w14:textId="32AE8B06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2310E171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Ekstrasistole</w:t>
            </w:r>
            <w:proofErr w:type="spellEnd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,</w:t>
            </w:r>
          </w:p>
        </w:tc>
        <w:tc>
          <w:tcPr>
            <w:tcW w:w="2250" w:type="dxa"/>
            <w:tcBorders>
              <w:bottom w:val="nil"/>
            </w:tcBorders>
          </w:tcPr>
          <w:p w14:paraId="59A56ED0" w14:textId="6D182311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5E42C28E" w14:textId="77777777" w:rsidTr="00CA6645">
        <w:trPr>
          <w:gridAfter w:val="1"/>
          <w:wAfter w:w="893" w:type="dxa"/>
          <w:trHeight w:val="254"/>
        </w:trPr>
        <w:tc>
          <w:tcPr>
            <w:tcW w:w="2246" w:type="dxa"/>
            <w:tcBorders>
              <w:top w:val="nil"/>
            </w:tcBorders>
          </w:tcPr>
          <w:p w14:paraId="19089A91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poremećaji</w:t>
            </w:r>
          </w:p>
        </w:tc>
        <w:tc>
          <w:tcPr>
            <w:tcW w:w="1273" w:type="dxa"/>
            <w:tcBorders>
              <w:top w:val="nil"/>
            </w:tcBorders>
          </w:tcPr>
          <w:p w14:paraId="7A1E7A99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E523C2F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33DBD9FA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tahikardija</w:t>
            </w:r>
          </w:p>
        </w:tc>
        <w:tc>
          <w:tcPr>
            <w:tcW w:w="2250" w:type="dxa"/>
            <w:tcBorders>
              <w:top w:val="nil"/>
            </w:tcBorders>
          </w:tcPr>
          <w:p w14:paraId="14460BE3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31C00DB9" w14:textId="77777777" w:rsidTr="00CA6645">
        <w:trPr>
          <w:gridAfter w:val="1"/>
          <w:wAfter w:w="893" w:type="dxa"/>
          <w:trHeight w:val="263"/>
        </w:trPr>
        <w:tc>
          <w:tcPr>
            <w:tcW w:w="2246" w:type="dxa"/>
            <w:tcBorders>
              <w:bottom w:val="nil"/>
            </w:tcBorders>
          </w:tcPr>
          <w:p w14:paraId="422E992D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14:paraId="10B73A27" w14:textId="520644BA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603EA5BC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Hipotenzija</w:t>
            </w:r>
            <w:proofErr w:type="spellEnd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,</w:t>
            </w:r>
          </w:p>
        </w:tc>
        <w:tc>
          <w:tcPr>
            <w:tcW w:w="1890" w:type="dxa"/>
            <w:tcBorders>
              <w:bottom w:val="nil"/>
            </w:tcBorders>
          </w:tcPr>
          <w:p w14:paraId="5E6906A5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Hipertenzija,</w:t>
            </w:r>
          </w:p>
        </w:tc>
        <w:tc>
          <w:tcPr>
            <w:tcW w:w="2250" w:type="dxa"/>
            <w:tcBorders>
              <w:bottom w:val="nil"/>
            </w:tcBorders>
          </w:tcPr>
          <w:p w14:paraId="7E30D09D" w14:textId="55876FA8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39DC89AA" w14:textId="77777777" w:rsidTr="00CA6645">
        <w:trPr>
          <w:gridAfter w:val="1"/>
          <w:wAfter w:w="893" w:type="dxa"/>
          <w:trHeight w:val="259"/>
        </w:trPr>
        <w:tc>
          <w:tcPr>
            <w:tcW w:w="2246" w:type="dxa"/>
            <w:tcBorders>
              <w:top w:val="nil"/>
              <w:bottom w:val="nil"/>
            </w:tcBorders>
          </w:tcPr>
          <w:p w14:paraId="2FDB4142" w14:textId="1387620A" w:rsidR="00A47E50" w:rsidRPr="007819CB" w:rsidRDefault="008326A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Vaskularni p</w:t>
            </w:r>
            <w:r w:rsidR="00A47E50"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oremećaji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09634CA8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1808E0A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navale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7BD5FAA2" w14:textId="4BC8CCBC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p</w:t>
            </w:r>
            <w:r w:rsidR="00AF72A6" w:rsidRPr="007819CB">
              <w:rPr>
                <w:rFonts w:ascii="Times New Roman" w:eastAsia="Times New Roman" w:hAnsi="Times New Roman" w:cs="Times New Roman"/>
                <w:lang w:val="sr-Latn-ME"/>
              </w:rPr>
              <w:t>eriferni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5AFD135C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62DBF78D" w14:textId="77777777" w:rsidTr="00CA6645">
        <w:trPr>
          <w:gridAfter w:val="1"/>
          <w:wAfter w:w="893" w:type="dxa"/>
          <w:trHeight w:val="254"/>
        </w:trPr>
        <w:tc>
          <w:tcPr>
            <w:tcW w:w="2246" w:type="dxa"/>
            <w:tcBorders>
              <w:top w:val="nil"/>
            </w:tcBorders>
          </w:tcPr>
          <w:p w14:paraId="5C99FF0B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1ADA435B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256C549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crvenila</w:t>
            </w:r>
          </w:p>
        </w:tc>
        <w:tc>
          <w:tcPr>
            <w:tcW w:w="1890" w:type="dxa"/>
            <w:tcBorders>
              <w:top w:val="nil"/>
            </w:tcBorders>
          </w:tcPr>
          <w:p w14:paraId="15DB6973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tromboflebitis</w:t>
            </w:r>
            <w:proofErr w:type="spellEnd"/>
          </w:p>
        </w:tc>
        <w:tc>
          <w:tcPr>
            <w:tcW w:w="2250" w:type="dxa"/>
            <w:tcBorders>
              <w:top w:val="nil"/>
            </w:tcBorders>
          </w:tcPr>
          <w:p w14:paraId="1D6911C8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0D499B47" w14:textId="77777777" w:rsidTr="00CA6645">
        <w:trPr>
          <w:gridAfter w:val="1"/>
          <w:wAfter w:w="893" w:type="dxa"/>
          <w:trHeight w:val="263"/>
        </w:trPr>
        <w:tc>
          <w:tcPr>
            <w:tcW w:w="2246" w:type="dxa"/>
            <w:vMerge w:val="restart"/>
          </w:tcPr>
          <w:p w14:paraId="2BB4CA85" w14:textId="052E3C76" w:rsidR="00A47E50" w:rsidRPr="007819CB" w:rsidRDefault="004516F6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R</w:t>
            </w:r>
            <w:r w:rsidR="00A47E50"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espiratn</w:t>
            </w: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i</w:t>
            </w:r>
            <w:proofErr w:type="spellEnd"/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 xml:space="preserve">, torakalni i </w:t>
            </w:r>
            <w:proofErr w:type="spellStart"/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medijastnalni</w:t>
            </w:r>
            <w:proofErr w:type="spellEnd"/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 xml:space="preserve"> poremećaji</w:t>
            </w:r>
            <w:r w:rsidR="00A47E50"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 xml:space="preserve"> </w:t>
            </w:r>
          </w:p>
        </w:tc>
        <w:tc>
          <w:tcPr>
            <w:tcW w:w="1273" w:type="dxa"/>
            <w:tcBorders>
              <w:bottom w:val="nil"/>
            </w:tcBorders>
          </w:tcPr>
          <w:p w14:paraId="51CA122D" w14:textId="71631D7D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50283B96" w14:textId="026F3269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3282D145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Bradipneja</w:t>
            </w:r>
            <w:proofErr w:type="spellEnd"/>
          </w:p>
        </w:tc>
        <w:tc>
          <w:tcPr>
            <w:tcW w:w="2250" w:type="dxa"/>
            <w:tcBorders>
              <w:bottom w:val="nil"/>
            </w:tcBorders>
          </w:tcPr>
          <w:p w14:paraId="5FA30D7F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Bronhospazam</w:t>
            </w:r>
            <w:proofErr w:type="spellEnd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,</w:t>
            </w:r>
          </w:p>
        </w:tc>
      </w:tr>
      <w:tr w:rsidR="00A47E50" w:rsidRPr="007819CB" w14:paraId="6E234B6D" w14:textId="77777777" w:rsidTr="00CA6645">
        <w:trPr>
          <w:gridAfter w:val="1"/>
          <w:wAfter w:w="893" w:type="dxa"/>
          <w:trHeight w:val="261"/>
        </w:trPr>
        <w:tc>
          <w:tcPr>
            <w:tcW w:w="2246" w:type="dxa"/>
            <w:vMerge/>
          </w:tcPr>
          <w:p w14:paraId="5BD6B9F9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57A974B9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AEFD34C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7D89C846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29D51214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dispneja</w:t>
            </w:r>
            <w:proofErr w:type="spellEnd"/>
          </w:p>
        </w:tc>
      </w:tr>
      <w:tr w:rsidR="00A47E50" w:rsidRPr="007819CB" w14:paraId="3B78712A" w14:textId="77777777" w:rsidTr="00CA6645">
        <w:trPr>
          <w:gridAfter w:val="1"/>
          <w:wAfter w:w="893" w:type="dxa"/>
          <w:trHeight w:val="263"/>
        </w:trPr>
        <w:tc>
          <w:tcPr>
            <w:tcW w:w="2246" w:type="dxa"/>
            <w:tcBorders>
              <w:bottom w:val="nil"/>
            </w:tcBorders>
          </w:tcPr>
          <w:p w14:paraId="018C5090" w14:textId="67AC1D0E" w:rsidR="00A47E50" w:rsidRPr="007819CB" w:rsidRDefault="003862FA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Gastrointestinalni p</w:t>
            </w:r>
            <w:r w:rsidR="00A47E50"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oremećaji</w:t>
            </w:r>
          </w:p>
        </w:tc>
        <w:tc>
          <w:tcPr>
            <w:tcW w:w="1273" w:type="dxa"/>
            <w:tcBorders>
              <w:bottom w:val="nil"/>
            </w:tcBorders>
          </w:tcPr>
          <w:p w14:paraId="7EFB4CB2" w14:textId="4550986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Mučnina,</w:t>
            </w:r>
            <w:r w:rsidR="003862FA" w:rsidRPr="007819CB">
              <w:rPr>
                <w:rFonts w:ascii="Times New Roman" w:eastAsia="Times New Roman" w:hAnsi="Times New Roman" w:cs="Times New Roman"/>
                <w:lang w:val="sr-Latn-ME"/>
              </w:rPr>
              <w:t xml:space="preserve"> povraćanje</w:t>
            </w:r>
          </w:p>
        </w:tc>
        <w:tc>
          <w:tcPr>
            <w:tcW w:w="1701" w:type="dxa"/>
            <w:tcBorders>
              <w:bottom w:val="nil"/>
            </w:tcBorders>
          </w:tcPr>
          <w:p w14:paraId="09BA4533" w14:textId="62FEDBBB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Abdominaln</w:t>
            </w:r>
            <w:r w:rsidR="003862FA" w:rsidRPr="007819CB">
              <w:rPr>
                <w:rFonts w:ascii="Times New Roman" w:eastAsia="Times New Roman" w:hAnsi="Times New Roman" w:cs="Times New Roman"/>
                <w:lang w:val="sr-Latn-ME"/>
              </w:rPr>
              <w:t>i bol, dispepsija, proliv</w:t>
            </w:r>
            <w:r w:rsidR="00C96370" w:rsidRPr="007819CB">
              <w:rPr>
                <w:rFonts w:ascii="Times New Roman" w:eastAsia="Times New Roman" w:hAnsi="Times New Roman" w:cs="Times New Roman"/>
                <w:lang w:val="sr-Latn-ME"/>
              </w:rPr>
              <w:t xml:space="preserve">, konstipacija, </w:t>
            </w:r>
            <w:proofErr w:type="spellStart"/>
            <w:r w:rsidR="00C96370" w:rsidRPr="007819CB">
              <w:rPr>
                <w:rFonts w:ascii="Times New Roman" w:eastAsia="Times New Roman" w:hAnsi="Times New Roman" w:cs="Times New Roman"/>
                <w:lang w:val="sr-Latn-ME"/>
              </w:rPr>
              <w:t>hematemeza</w:t>
            </w:r>
            <w:proofErr w:type="spellEnd"/>
            <w:r w:rsidR="00C96370" w:rsidRPr="007819CB">
              <w:rPr>
                <w:rFonts w:ascii="Times New Roman" w:eastAsia="Times New Roman" w:hAnsi="Times New Roman" w:cs="Times New Roman"/>
                <w:lang w:val="sr-Latn-ME"/>
              </w:rPr>
              <w:t>, suva usta</w:t>
            </w:r>
          </w:p>
        </w:tc>
        <w:tc>
          <w:tcPr>
            <w:tcW w:w="1890" w:type="dxa"/>
            <w:tcBorders>
              <w:bottom w:val="nil"/>
            </w:tcBorders>
          </w:tcPr>
          <w:p w14:paraId="49FD7032" w14:textId="020446AA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Peptički</w:t>
            </w:r>
            <w:proofErr w:type="spellEnd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 xml:space="preserve"> </w:t>
            </w: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ulkus</w:t>
            </w:r>
            <w:proofErr w:type="spellEnd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,</w:t>
            </w:r>
            <w:r w:rsidR="00C96370" w:rsidRPr="007819CB">
              <w:rPr>
                <w:rFonts w:ascii="Times New Roman" w:eastAsia="Times New Roman" w:hAnsi="Times New Roman" w:cs="Times New Roman"/>
                <w:lang w:val="sr-Latn-ME"/>
              </w:rPr>
              <w:t xml:space="preserve"> krvarenje iz </w:t>
            </w:r>
            <w:proofErr w:type="spellStart"/>
            <w:r w:rsidR="00C96370" w:rsidRPr="007819CB">
              <w:rPr>
                <w:rFonts w:ascii="Times New Roman" w:eastAsia="Times New Roman" w:hAnsi="Times New Roman" w:cs="Times New Roman"/>
                <w:lang w:val="sr-Latn-ME"/>
              </w:rPr>
              <w:t>peptičkog</w:t>
            </w:r>
            <w:proofErr w:type="spellEnd"/>
            <w:r w:rsidR="00C96370" w:rsidRPr="007819CB">
              <w:rPr>
                <w:rFonts w:ascii="Times New Roman" w:eastAsia="Times New Roman" w:hAnsi="Times New Roman" w:cs="Times New Roman"/>
                <w:lang w:val="sr-Latn-ME"/>
              </w:rPr>
              <w:t xml:space="preserve"> </w:t>
            </w:r>
            <w:proofErr w:type="spellStart"/>
            <w:r w:rsidR="00C96370" w:rsidRPr="007819CB">
              <w:rPr>
                <w:rFonts w:ascii="Times New Roman" w:eastAsia="Times New Roman" w:hAnsi="Times New Roman" w:cs="Times New Roman"/>
                <w:lang w:val="sr-Latn-ME"/>
              </w:rPr>
              <w:t>ulkusa</w:t>
            </w:r>
            <w:proofErr w:type="spellEnd"/>
            <w:r w:rsidR="00C96370" w:rsidRPr="007819CB">
              <w:rPr>
                <w:rFonts w:ascii="Times New Roman" w:eastAsia="Times New Roman" w:hAnsi="Times New Roman" w:cs="Times New Roman"/>
                <w:lang w:val="sr-Latn-ME"/>
              </w:rPr>
              <w:t xml:space="preserve"> ili perforacija </w:t>
            </w:r>
            <w:proofErr w:type="spellStart"/>
            <w:r w:rsidR="00C96370" w:rsidRPr="007819CB">
              <w:rPr>
                <w:rFonts w:ascii="Times New Roman" w:eastAsia="Times New Roman" w:hAnsi="Times New Roman" w:cs="Times New Roman"/>
                <w:lang w:val="sr-Latn-ME"/>
              </w:rPr>
              <w:t>peptičkog</w:t>
            </w:r>
            <w:proofErr w:type="spellEnd"/>
            <w:r w:rsidR="00C96370" w:rsidRPr="007819CB">
              <w:rPr>
                <w:rFonts w:ascii="Times New Roman" w:eastAsia="Times New Roman" w:hAnsi="Times New Roman" w:cs="Times New Roman"/>
                <w:lang w:val="sr-Latn-ME"/>
              </w:rPr>
              <w:t xml:space="preserve"> </w:t>
            </w:r>
            <w:proofErr w:type="spellStart"/>
            <w:r w:rsidR="00C96370" w:rsidRPr="007819CB">
              <w:rPr>
                <w:rFonts w:ascii="Times New Roman" w:eastAsia="Times New Roman" w:hAnsi="Times New Roman" w:cs="Times New Roman"/>
                <w:lang w:val="sr-Latn-ME"/>
              </w:rPr>
              <w:t>ulkusa</w:t>
            </w:r>
            <w:proofErr w:type="spellEnd"/>
            <w:r w:rsidR="00C96370" w:rsidRPr="007819CB">
              <w:rPr>
                <w:rFonts w:ascii="Times New Roman" w:eastAsia="Times New Roman" w:hAnsi="Times New Roman" w:cs="Times New Roman"/>
                <w:lang w:val="sr-Latn-ME"/>
              </w:rPr>
              <w:t xml:space="preserve"> (pogledati dio 4.4)</w:t>
            </w:r>
          </w:p>
        </w:tc>
        <w:tc>
          <w:tcPr>
            <w:tcW w:w="2250" w:type="dxa"/>
            <w:tcBorders>
              <w:bottom w:val="nil"/>
            </w:tcBorders>
          </w:tcPr>
          <w:p w14:paraId="1AC6109F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Pankreatitis</w:t>
            </w:r>
            <w:proofErr w:type="spellEnd"/>
          </w:p>
        </w:tc>
      </w:tr>
      <w:tr w:rsidR="00A47E50" w:rsidRPr="007819CB" w14:paraId="774C82E8" w14:textId="77777777" w:rsidTr="00CA6645">
        <w:trPr>
          <w:gridAfter w:val="1"/>
          <w:wAfter w:w="893" w:type="dxa"/>
          <w:trHeight w:val="263"/>
        </w:trPr>
        <w:tc>
          <w:tcPr>
            <w:tcW w:w="2246" w:type="dxa"/>
            <w:tcBorders>
              <w:bottom w:val="nil"/>
            </w:tcBorders>
          </w:tcPr>
          <w:p w14:paraId="0187D0AE" w14:textId="33F9B633" w:rsidR="00A47E50" w:rsidRPr="007819CB" w:rsidRDefault="00C9637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Hepatobilijarni</w:t>
            </w:r>
            <w:proofErr w:type="spellEnd"/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 xml:space="preserve"> p</w:t>
            </w:r>
            <w:r w:rsidR="00A47E50"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oremećaji</w:t>
            </w:r>
          </w:p>
        </w:tc>
        <w:tc>
          <w:tcPr>
            <w:tcW w:w="1273" w:type="dxa"/>
            <w:tcBorders>
              <w:bottom w:val="nil"/>
            </w:tcBorders>
          </w:tcPr>
          <w:p w14:paraId="525D551D" w14:textId="7EED8C21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61971253" w14:textId="17EB307A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07AFBB85" w14:textId="77777777" w:rsidR="00AF72A6" w:rsidRPr="007819CB" w:rsidRDefault="00AF72A6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 xml:space="preserve">Hepatitis, </w:t>
            </w:r>
          </w:p>
          <w:p w14:paraId="7BA6E8D1" w14:textId="2365CE64" w:rsidR="00A47E50" w:rsidRPr="007819CB" w:rsidRDefault="00AF72A6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žutica</w:t>
            </w:r>
          </w:p>
        </w:tc>
        <w:tc>
          <w:tcPr>
            <w:tcW w:w="2250" w:type="dxa"/>
            <w:tcBorders>
              <w:bottom w:val="nil"/>
            </w:tcBorders>
          </w:tcPr>
          <w:p w14:paraId="4D3EA4FE" w14:textId="13AB8AD4" w:rsidR="00A47E50" w:rsidRPr="007819CB" w:rsidRDefault="00AF72A6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Hepatocelularna</w:t>
            </w:r>
            <w:proofErr w:type="spellEnd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 xml:space="preserve"> oštećenja</w:t>
            </w:r>
            <w:r w:rsidRPr="007819CB" w:rsidDel="00AF72A6">
              <w:rPr>
                <w:rFonts w:ascii="Times New Roman" w:eastAsia="Times New Roman" w:hAnsi="Times New Roman" w:cs="Times New Roman"/>
                <w:lang w:val="sr-Latn-ME"/>
              </w:rPr>
              <w:t xml:space="preserve"> </w:t>
            </w:r>
          </w:p>
        </w:tc>
      </w:tr>
      <w:tr w:rsidR="00A47E50" w:rsidRPr="007819CB" w14:paraId="6C45A1B3" w14:textId="77777777" w:rsidTr="00CA6645">
        <w:trPr>
          <w:gridAfter w:val="1"/>
          <w:wAfter w:w="893" w:type="dxa"/>
          <w:trHeight w:val="254"/>
        </w:trPr>
        <w:tc>
          <w:tcPr>
            <w:tcW w:w="2246" w:type="dxa"/>
            <w:tcBorders>
              <w:top w:val="nil"/>
            </w:tcBorders>
          </w:tcPr>
          <w:p w14:paraId="4D46E7EE" w14:textId="19EB6D43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343C73CC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E3326E3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5B679AC5" w14:textId="7B0A6E01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14:paraId="30A95C45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05159387" w14:textId="77777777" w:rsidTr="00CA6645">
        <w:trPr>
          <w:gridAfter w:val="1"/>
          <w:wAfter w:w="893" w:type="dxa"/>
          <w:trHeight w:val="263"/>
        </w:trPr>
        <w:tc>
          <w:tcPr>
            <w:tcW w:w="2246" w:type="dxa"/>
            <w:tcBorders>
              <w:bottom w:val="nil"/>
            </w:tcBorders>
          </w:tcPr>
          <w:p w14:paraId="465939AD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Poremećaji</w:t>
            </w:r>
          </w:p>
        </w:tc>
        <w:tc>
          <w:tcPr>
            <w:tcW w:w="1273" w:type="dxa"/>
            <w:tcBorders>
              <w:bottom w:val="nil"/>
            </w:tcBorders>
          </w:tcPr>
          <w:p w14:paraId="6806802E" w14:textId="36F998D8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5C7058D9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Dermatitis,</w:t>
            </w:r>
          </w:p>
        </w:tc>
        <w:tc>
          <w:tcPr>
            <w:tcW w:w="1890" w:type="dxa"/>
            <w:tcBorders>
              <w:bottom w:val="nil"/>
            </w:tcBorders>
          </w:tcPr>
          <w:p w14:paraId="5D0D6B80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Urtikarija, akne</w:t>
            </w:r>
          </w:p>
        </w:tc>
        <w:tc>
          <w:tcPr>
            <w:tcW w:w="2250" w:type="dxa"/>
            <w:tcBorders>
              <w:bottom w:val="nil"/>
            </w:tcBorders>
          </w:tcPr>
          <w:p w14:paraId="66E1F234" w14:textId="4204E46A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Stevens</w:t>
            </w:r>
            <w:proofErr w:type="spellEnd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-Johnson</w:t>
            </w:r>
            <w:r w:rsidR="00C96370" w:rsidRPr="007819CB">
              <w:rPr>
                <w:rFonts w:ascii="Times New Roman" w:eastAsia="Times New Roman" w:hAnsi="Times New Roman" w:cs="Times New Roman"/>
                <w:lang w:val="sr-Latn-ME"/>
              </w:rPr>
              <w:t>-</w:t>
            </w: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ov</w:t>
            </w:r>
          </w:p>
        </w:tc>
      </w:tr>
      <w:tr w:rsidR="00A47E50" w:rsidRPr="007819CB" w14:paraId="1F3D0966" w14:textId="77777777" w:rsidTr="00CA6645">
        <w:trPr>
          <w:gridAfter w:val="1"/>
          <w:wAfter w:w="893" w:type="dxa"/>
          <w:trHeight w:val="259"/>
        </w:trPr>
        <w:tc>
          <w:tcPr>
            <w:tcW w:w="2246" w:type="dxa"/>
            <w:tcBorders>
              <w:top w:val="nil"/>
              <w:bottom w:val="nil"/>
            </w:tcBorders>
          </w:tcPr>
          <w:p w14:paraId="27C96555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kože i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744125B3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2502A3C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pruritus</w:t>
            </w:r>
            <w:proofErr w:type="spellEnd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,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870E9FB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7ECD2623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sindrom, toksična</w:t>
            </w:r>
          </w:p>
        </w:tc>
      </w:tr>
      <w:tr w:rsidR="00A47E50" w:rsidRPr="007819CB" w14:paraId="348FF3F0" w14:textId="77777777" w:rsidTr="00CA6645">
        <w:trPr>
          <w:gridAfter w:val="1"/>
          <w:wAfter w:w="893" w:type="dxa"/>
          <w:trHeight w:val="259"/>
        </w:trPr>
        <w:tc>
          <w:tcPr>
            <w:tcW w:w="2246" w:type="dxa"/>
            <w:tcBorders>
              <w:top w:val="nil"/>
              <w:bottom w:val="nil"/>
            </w:tcBorders>
          </w:tcPr>
          <w:p w14:paraId="039E4B20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potkožnog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6AB4BF86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3245AA9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osip,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14B6DD37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465135F6" w14:textId="327904B9" w:rsidR="00A47E50" w:rsidRPr="007819CB" w:rsidRDefault="00C9637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e</w:t>
            </w:r>
            <w:r w:rsidR="00A47E50" w:rsidRPr="007819CB">
              <w:rPr>
                <w:rFonts w:ascii="Times New Roman" w:eastAsia="Times New Roman" w:hAnsi="Times New Roman" w:cs="Times New Roman"/>
                <w:lang w:val="sr-Latn-ME"/>
              </w:rPr>
              <w:t>pidermalna</w:t>
            </w:r>
            <w:proofErr w:type="spellEnd"/>
          </w:p>
        </w:tc>
      </w:tr>
      <w:tr w:rsidR="00A47E50" w:rsidRPr="007819CB" w14:paraId="0F778C9F" w14:textId="77777777" w:rsidTr="00CA6645">
        <w:trPr>
          <w:gridAfter w:val="1"/>
          <w:wAfter w:w="893" w:type="dxa"/>
          <w:trHeight w:val="259"/>
        </w:trPr>
        <w:tc>
          <w:tcPr>
            <w:tcW w:w="2246" w:type="dxa"/>
            <w:tcBorders>
              <w:top w:val="nil"/>
              <w:bottom w:val="nil"/>
            </w:tcBorders>
          </w:tcPr>
          <w:p w14:paraId="118E024D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tkiva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0FFAFBB9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A97A114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pojačano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160B50F0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4B2CC467" w14:textId="00E6C26B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nekroliza</w:t>
            </w:r>
            <w:proofErr w:type="spellEnd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 xml:space="preserve"> (</w:t>
            </w: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Lyel</w:t>
            </w:r>
            <w:r w:rsidR="00AF72A6" w:rsidRPr="007819CB">
              <w:rPr>
                <w:rFonts w:ascii="Times New Roman" w:eastAsia="Times New Roman" w:hAnsi="Times New Roman" w:cs="Times New Roman"/>
                <w:lang w:val="sr-Latn-ME"/>
              </w:rPr>
              <w:t>l’s</w:t>
            </w:r>
            <w:proofErr w:type="spellEnd"/>
            <w:r w:rsidR="00C96370" w:rsidRPr="007819CB">
              <w:rPr>
                <w:rFonts w:ascii="Times New Roman" w:eastAsia="Times New Roman" w:hAnsi="Times New Roman" w:cs="Times New Roman"/>
                <w:lang w:val="sr-Latn-ME"/>
              </w:rPr>
              <w:t>-</w:t>
            </w: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ov</w:t>
            </w:r>
          </w:p>
        </w:tc>
      </w:tr>
      <w:tr w:rsidR="00A47E50" w:rsidRPr="007819CB" w14:paraId="05CA2381" w14:textId="77777777" w:rsidTr="00CA6645">
        <w:trPr>
          <w:gridAfter w:val="1"/>
          <w:wAfter w:w="893" w:type="dxa"/>
          <w:trHeight w:val="256"/>
        </w:trPr>
        <w:tc>
          <w:tcPr>
            <w:tcW w:w="2246" w:type="dxa"/>
            <w:tcBorders>
              <w:top w:val="nil"/>
              <w:bottom w:val="nil"/>
            </w:tcBorders>
          </w:tcPr>
          <w:p w14:paraId="785A6422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3EC06B48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6E0779A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znojenje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1C5955F8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2A43CADC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sindrom),</w:t>
            </w:r>
          </w:p>
        </w:tc>
      </w:tr>
      <w:tr w:rsidR="00A47E50" w:rsidRPr="007819CB" w14:paraId="7A5E6482" w14:textId="77777777" w:rsidTr="00CA6645">
        <w:trPr>
          <w:gridAfter w:val="1"/>
          <w:wAfter w:w="893" w:type="dxa"/>
          <w:trHeight w:val="259"/>
        </w:trPr>
        <w:tc>
          <w:tcPr>
            <w:tcW w:w="2246" w:type="dxa"/>
            <w:tcBorders>
              <w:top w:val="nil"/>
              <w:bottom w:val="nil"/>
            </w:tcBorders>
          </w:tcPr>
          <w:p w14:paraId="36C0CD94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1D9B65B5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D999A68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38C576D3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0A6C5DFD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angoioedem</w:t>
            </w:r>
            <w:proofErr w:type="spellEnd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,</w:t>
            </w:r>
          </w:p>
        </w:tc>
      </w:tr>
      <w:tr w:rsidR="00A47E50" w:rsidRPr="007819CB" w14:paraId="69448B6B" w14:textId="77777777" w:rsidTr="00CA6645">
        <w:trPr>
          <w:gridAfter w:val="1"/>
          <w:wAfter w:w="893" w:type="dxa"/>
          <w:trHeight w:val="259"/>
        </w:trPr>
        <w:tc>
          <w:tcPr>
            <w:tcW w:w="2246" w:type="dxa"/>
            <w:tcBorders>
              <w:top w:val="nil"/>
              <w:bottom w:val="nil"/>
            </w:tcBorders>
          </w:tcPr>
          <w:p w14:paraId="1242D8DF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2986B06A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F2A9E56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11091C31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258B3A33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edem</w:t>
            </w:r>
            <w:proofErr w:type="spellEnd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 xml:space="preserve"> lica,</w:t>
            </w:r>
          </w:p>
        </w:tc>
      </w:tr>
      <w:tr w:rsidR="00A47E50" w:rsidRPr="007819CB" w14:paraId="564E02C5" w14:textId="77777777" w:rsidTr="00CA6645">
        <w:trPr>
          <w:gridAfter w:val="1"/>
          <w:wAfter w:w="893" w:type="dxa"/>
          <w:trHeight w:val="259"/>
        </w:trPr>
        <w:tc>
          <w:tcPr>
            <w:tcW w:w="2246" w:type="dxa"/>
            <w:tcBorders>
              <w:top w:val="nil"/>
              <w:bottom w:val="nil"/>
            </w:tcBorders>
          </w:tcPr>
          <w:p w14:paraId="05A5805C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3939FFE5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11AD00F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7CAC7715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7F616433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fotosenzitivna</w:t>
            </w:r>
            <w:proofErr w:type="spellEnd"/>
          </w:p>
        </w:tc>
      </w:tr>
      <w:tr w:rsidR="00A47E50" w:rsidRPr="007819CB" w14:paraId="65F21A2F" w14:textId="77777777" w:rsidTr="00CA6645">
        <w:trPr>
          <w:gridAfter w:val="1"/>
          <w:wAfter w:w="893" w:type="dxa"/>
          <w:trHeight w:val="256"/>
        </w:trPr>
        <w:tc>
          <w:tcPr>
            <w:tcW w:w="2246" w:type="dxa"/>
            <w:tcBorders>
              <w:top w:val="nil"/>
            </w:tcBorders>
          </w:tcPr>
          <w:p w14:paraId="09CD1E5B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1D1233EC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E5E9450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6D6CA803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14:paraId="7C766AF4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reakcija</w:t>
            </w:r>
          </w:p>
        </w:tc>
      </w:tr>
      <w:tr w:rsidR="00A47E50" w:rsidRPr="007819CB" w14:paraId="20563163" w14:textId="77777777" w:rsidTr="00CA6645">
        <w:trPr>
          <w:gridAfter w:val="1"/>
          <w:wAfter w:w="893" w:type="dxa"/>
          <w:trHeight w:val="263"/>
        </w:trPr>
        <w:tc>
          <w:tcPr>
            <w:tcW w:w="2246" w:type="dxa"/>
            <w:tcBorders>
              <w:bottom w:val="nil"/>
            </w:tcBorders>
          </w:tcPr>
          <w:p w14:paraId="13E36D8B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Poremećaji</w:t>
            </w:r>
          </w:p>
        </w:tc>
        <w:tc>
          <w:tcPr>
            <w:tcW w:w="1273" w:type="dxa"/>
            <w:tcBorders>
              <w:bottom w:val="nil"/>
            </w:tcBorders>
          </w:tcPr>
          <w:p w14:paraId="16EE39A0" w14:textId="2069684B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4C257795" w14:textId="06D2C636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54695B68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Ukočenost</w:t>
            </w:r>
          </w:p>
        </w:tc>
        <w:tc>
          <w:tcPr>
            <w:tcW w:w="2250" w:type="dxa"/>
            <w:tcBorders>
              <w:bottom w:val="nil"/>
            </w:tcBorders>
          </w:tcPr>
          <w:p w14:paraId="68E47B2C" w14:textId="5F0ACB99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41708EFC" w14:textId="77777777" w:rsidTr="00CA6645">
        <w:trPr>
          <w:gridAfter w:val="1"/>
          <w:wAfter w:w="893" w:type="dxa"/>
          <w:trHeight w:val="259"/>
        </w:trPr>
        <w:tc>
          <w:tcPr>
            <w:tcW w:w="2246" w:type="dxa"/>
            <w:tcBorders>
              <w:top w:val="nil"/>
              <w:bottom w:val="nil"/>
            </w:tcBorders>
          </w:tcPr>
          <w:p w14:paraId="25B153BF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mišićno-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1EE68361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C4AF489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3293EC82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mišića,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6FE50EAA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169F04D7" w14:textId="77777777" w:rsidTr="00CA6645">
        <w:trPr>
          <w:gridAfter w:val="1"/>
          <w:wAfter w:w="893" w:type="dxa"/>
          <w:trHeight w:val="259"/>
        </w:trPr>
        <w:tc>
          <w:tcPr>
            <w:tcW w:w="2246" w:type="dxa"/>
            <w:tcBorders>
              <w:top w:val="nil"/>
              <w:bottom w:val="nil"/>
            </w:tcBorders>
          </w:tcPr>
          <w:p w14:paraId="162A43DF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koštanog i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6E7A922F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F46FC8C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11538138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ukočenost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4B910CA5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17727EAA" w14:textId="77777777" w:rsidTr="00CA6645">
        <w:trPr>
          <w:gridAfter w:val="1"/>
          <w:wAfter w:w="893" w:type="dxa"/>
          <w:trHeight w:val="259"/>
        </w:trPr>
        <w:tc>
          <w:tcPr>
            <w:tcW w:w="2246" w:type="dxa"/>
            <w:tcBorders>
              <w:top w:val="nil"/>
              <w:bottom w:val="nil"/>
            </w:tcBorders>
          </w:tcPr>
          <w:p w14:paraId="6D8958FC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vezivnog tkiva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4927B42E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33833A3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6E21AF68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zglobova, bol u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1D5315A8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1AB0C813" w14:textId="77777777" w:rsidTr="00CA6645">
        <w:trPr>
          <w:gridAfter w:val="1"/>
          <w:wAfter w:w="893" w:type="dxa"/>
          <w:trHeight w:val="254"/>
        </w:trPr>
        <w:tc>
          <w:tcPr>
            <w:tcW w:w="2246" w:type="dxa"/>
            <w:tcBorders>
              <w:top w:val="nil"/>
            </w:tcBorders>
          </w:tcPr>
          <w:p w14:paraId="1E71EED1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13E37E1A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9696B70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7C4B5FCE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leđima</w:t>
            </w:r>
          </w:p>
        </w:tc>
        <w:tc>
          <w:tcPr>
            <w:tcW w:w="2250" w:type="dxa"/>
            <w:tcBorders>
              <w:top w:val="nil"/>
            </w:tcBorders>
          </w:tcPr>
          <w:p w14:paraId="72A763E9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1320DE1B" w14:textId="77777777" w:rsidTr="00CA6645">
        <w:trPr>
          <w:gridAfter w:val="1"/>
          <w:wAfter w:w="893" w:type="dxa"/>
          <w:trHeight w:val="263"/>
        </w:trPr>
        <w:tc>
          <w:tcPr>
            <w:tcW w:w="2246" w:type="dxa"/>
            <w:tcBorders>
              <w:bottom w:val="nil"/>
            </w:tcBorders>
          </w:tcPr>
          <w:p w14:paraId="0AF84012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Poremećaji</w:t>
            </w:r>
          </w:p>
        </w:tc>
        <w:tc>
          <w:tcPr>
            <w:tcW w:w="1273" w:type="dxa"/>
            <w:tcBorders>
              <w:bottom w:val="nil"/>
            </w:tcBorders>
          </w:tcPr>
          <w:p w14:paraId="70BEAABC" w14:textId="3C319F73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5DA8D0FA" w14:textId="56BEC3B6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3065E934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Akutno</w:t>
            </w:r>
          </w:p>
        </w:tc>
        <w:tc>
          <w:tcPr>
            <w:tcW w:w="2250" w:type="dxa"/>
            <w:tcBorders>
              <w:bottom w:val="nil"/>
            </w:tcBorders>
          </w:tcPr>
          <w:p w14:paraId="50B03653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Nefritis ili</w:t>
            </w:r>
          </w:p>
        </w:tc>
      </w:tr>
      <w:tr w:rsidR="00A47E50" w:rsidRPr="007819CB" w14:paraId="42174BDD" w14:textId="77777777" w:rsidTr="00CA6645">
        <w:trPr>
          <w:gridAfter w:val="1"/>
          <w:wAfter w:w="893" w:type="dxa"/>
          <w:trHeight w:val="259"/>
        </w:trPr>
        <w:tc>
          <w:tcPr>
            <w:tcW w:w="2246" w:type="dxa"/>
            <w:tcBorders>
              <w:top w:val="nil"/>
              <w:bottom w:val="nil"/>
            </w:tcBorders>
          </w:tcPr>
          <w:p w14:paraId="6EF55E04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bubrega i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56249FBC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610D8DF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F5CBA3A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zatajenje</w:t>
            </w:r>
            <w:proofErr w:type="spellEnd"/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03612D66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nefrotski</w:t>
            </w:r>
            <w:proofErr w:type="spellEnd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 xml:space="preserve"> sindrom</w:t>
            </w:r>
          </w:p>
        </w:tc>
      </w:tr>
      <w:tr w:rsidR="00A47E50" w:rsidRPr="007819CB" w14:paraId="5FCC0E9A" w14:textId="77777777" w:rsidTr="00CA6645">
        <w:trPr>
          <w:gridAfter w:val="1"/>
          <w:wAfter w:w="893" w:type="dxa"/>
          <w:trHeight w:val="259"/>
        </w:trPr>
        <w:tc>
          <w:tcPr>
            <w:tcW w:w="2246" w:type="dxa"/>
            <w:tcBorders>
              <w:top w:val="nil"/>
              <w:bottom w:val="nil"/>
            </w:tcBorders>
          </w:tcPr>
          <w:p w14:paraId="12C644C4" w14:textId="341950EB" w:rsidR="00A47E50" w:rsidRPr="007819CB" w:rsidRDefault="00D80775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u</w:t>
            </w:r>
            <w:r w:rsidR="00354DF6"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rinarnog</w:t>
            </w:r>
            <w:proofErr w:type="spellEnd"/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5B48C0C2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117BD1A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6BE5421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bubrega,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5EAE4CFA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228B7AB8" w14:textId="77777777" w:rsidTr="00CA6645">
        <w:trPr>
          <w:gridAfter w:val="1"/>
          <w:wAfter w:w="893" w:type="dxa"/>
          <w:trHeight w:val="259"/>
        </w:trPr>
        <w:tc>
          <w:tcPr>
            <w:tcW w:w="2246" w:type="dxa"/>
            <w:tcBorders>
              <w:top w:val="nil"/>
              <w:bottom w:val="nil"/>
            </w:tcBorders>
          </w:tcPr>
          <w:p w14:paraId="3259067C" w14:textId="63BF2048" w:rsidR="00A47E50" w:rsidRPr="007819CB" w:rsidRDefault="00D80775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s</w:t>
            </w:r>
            <w:r w:rsidR="00354DF6"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istema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1C5A830A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761CEC1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E459DD3" w14:textId="6F66FB26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poliurija</w:t>
            </w:r>
            <w:proofErr w:type="spellEnd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, bol</w:t>
            </w:r>
            <w:r w:rsidR="00AF72A6" w:rsidRPr="007819CB">
              <w:rPr>
                <w:rFonts w:ascii="Times New Roman" w:eastAsia="Times New Roman" w:hAnsi="Times New Roman" w:cs="Times New Roman"/>
                <w:lang w:val="sr-Latn-ME"/>
              </w:rPr>
              <w:t xml:space="preserve"> u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2FC48E15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184E29D3" w14:textId="77777777" w:rsidTr="00CA6645">
        <w:trPr>
          <w:gridAfter w:val="1"/>
          <w:wAfter w:w="893" w:type="dxa"/>
          <w:trHeight w:val="256"/>
        </w:trPr>
        <w:tc>
          <w:tcPr>
            <w:tcW w:w="2246" w:type="dxa"/>
            <w:tcBorders>
              <w:top w:val="nil"/>
              <w:bottom w:val="nil"/>
            </w:tcBorders>
          </w:tcPr>
          <w:p w14:paraId="5BEFBC6F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171CD521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8290E8E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6A2046EF" w14:textId="5CBDDF6F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bubre</w:t>
            </w:r>
            <w:r w:rsidR="00AF72A6" w:rsidRPr="007819CB">
              <w:rPr>
                <w:rFonts w:ascii="Times New Roman" w:eastAsia="Times New Roman" w:hAnsi="Times New Roman" w:cs="Times New Roman"/>
                <w:lang w:val="sr-Latn-ME"/>
              </w:rPr>
              <w:t>zima</w:t>
            </w: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,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734E277F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745AD203" w14:textId="77777777" w:rsidTr="00CA6645">
        <w:trPr>
          <w:gridAfter w:val="1"/>
          <w:wAfter w:w="893" w:type="dxa"/>
          <w:trHeight w:val="259"/>
        </w:trPr>
        <w:tc>
          <w:tcPr>
            <w:tcW w:w="2246" w:type="dxa"/>
            <w:tcBorders>
              <w:top w:val="nil"/>
              <w:bottom w:val="nil"/>
            </w:tcBorders>
          </w:tcPr>
          <w:p w14:paraId="09A752B5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731C8F11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9A96A8D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636961F0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ketonurija</w:t>
            </w:r>
            <w:proofErr w:type="spellEnd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,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5CDF0F4D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795CA768" w14:textId="77777777" w:rsidTr="00CA6645">
        <w:trPr>
          <w:gridAfter w:val="1"/>
          <w:wAfter w:w="893" w:type="dxa"/>
          <w:trHeight w:val="256"/>
        </w:trPr>
        <w:tc>
          <w:tcPr>
            <w:tcW w:w="2246" w:type="dxa"/>
            <w:tcBorders>
              <w:top w:val="nil"/>
            </w:tcBorders>
          </w:tcPr>
          <w:p w14:paraId="5B37C383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05544D56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E27A06E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21425AAE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proofErr w:type="spellStart"/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proteinurija</w:t>
            </w:r>
            <w:proofErr w:type="spellEnd"/>
          </w:p>
        </w:tc>
        <w:tc>
          <w:tcPr>
            <w:tcW w:w="2250" w:type="dxa"/>
            <w:tcBorders>
              <w:top w:val="nil"/>
            </w:tcBorders>
          </w:tcPr>
          <w:p w14:paraId="099D79F7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3EF8485E" w14:textId="77777777" w:rsidTr="00CA6645">
        <w:trPr>
          <w:gridAfter w:val="1"/>
          <w:wAfter w:w="893" w:type="dxa"/>
          <w:trHeight w:val="263"/>
        </w:trPr>
        <w:tc>
          <w:tcPr>
            <w:tcW w:w="2246" w:type="dxa"/>
            <w:tcBorders>
              <w:bottom w:val="nil"/>
            </w:tcBorders>
          </w:tcPr>
          <w:p w14:paraId="728F4733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Poremećaji</w:t>
            </w:r>
          </w:p>
        </w:tc>
        <w:tc>
          <w:tcPr>
            <w:tcW w:w="1273" w:type="dxa"/>
            <w:tcBorders>
              <w:bottom w:val="nil"/>
            </w:tcBorders>
          </w:tcPr>
          <w:p w14:paraId="7DAB6AA2" w14:textId="7B317E43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3426B37A" w14:textId="34C5C17C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4BC01514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Poremećaji</w:t>
            </w:r>
          </w:p>
        </w:tc>
        <w:tc>
          <w:tcPr>
            <w:tcW w:w="2250" w:type="dxa"/>
            <w:tcBorders>
              <w:bottom w:val="nil"/>
            </w:tcBorders>
          </w:tcPr>
          <w:p w14:paraId="22F57E3A" w14:textId="219C7051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799FAD63" w14:textId="77777777" w:rsidTr="00CA6645">
        <w:trPr>
          <w:gridAfter w:val="1"/>
          <w:wAfter w:w="893" w:type="dxa"/>
          <w:trHeight w:val="259"/>
        </w:trPr>
        <w:tc>
          <w:tcPr>
            <w:tcW w:w="2246" w:type="dxa"/>
            <w:tcBorders>
              <w:top w:val="nil"/>
              <w:bottom w:val="nil"/>
            </w:tcBorders>
          </w:tcPr>
          <w:p w14:paraId="55FD1B0F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reproduktivnog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6A03F147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44C2109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679C33DA" w14:textId="1318974B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menstrua</w:t>
            </w:r>
            <w:r w:rsidR="00354DF6" w:rsidRPr="007819CB">
              <w:rPr>
                <w:rFonts w:ascii="Times New Roman" w:eastAsia="Times New Roman" w:hAnsi="Times New Roman" w:cs="Times New Roman"/>
                <w:lang w:val="sr-Latn-ME"/>
              </w:rPr>
              <w:t>lnog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6E7E2D60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1210F27B" w14:textId="77777777" w:rsidTr="00CA6645">
        <w:trPr>
          <w:gridAfter w:val="1"/>
          <w:wAfter w:w="893" w:type="dxa"/>
          <w:trHeight w:val="259"/>
        </w:trPr>
        <w:tc>
          <w:tcPr>
            <w:tcW w:w="2246" w:type="dxa"/>
            <w:tcBorders>
              <w:top w:val="nil"/>
              <w:bottom w:val="nil"/>
            </w:tcBorders>
          </w:tcPr>
          <w:p w14:paraId="7DCBB65B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b/>
                <w:lang w:val="sr-Latn-ME"/>
              </w:rPr>
              <w:t>sistema i dojki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0B1FC9F5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D936A15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7B599CAA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ciklusa,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37DC1B52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181BE988" w14:textId="77777777" w:rsidTr="00CA6645">
        <w:trPr>
          <w:gridAfter w:val="1"/>
          <w:wAfter w:w="893" w:type="dxa"/>
          <w:trHeight w:val="257"/>
        </w:trPr>
        <w:tc>
          <w:tcPr>
            <w:tcW w:w="2246" w:type="dxa"/>
            <w:tcBorders>
              <w:top w:val="nil"/>
              <w:bottom w:val="nil"/>
            </w:tcBorders>
          </w:tcPr>
          <w:p w14:paraId="2F331C6C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56D61680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E2A2056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61277C66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poremećaji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42DC4A51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76D2E7A1" w14:textId="77777777" w:rsidTr="00CA6645">
        <w:trPr>
          <w:gridAfter w:val="1"/>
          <w:wAfter w:w="893" w:type="dxa"/>
          <w:trHeight w:val="256"/>
        </w:trPr>
        <w:tc>
          <w:tcPr>
            <w:tcW w:w="2246" w:type="dxa"/>
            <w:tcBorders>
              <w:top w:val="nil"/>
            </w:tcBorders>
          </w:tcPr>
          <w:p w14:paraId="01DAD3A9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42F6B849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E08A3B7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7C7D49C4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  <w:r w:rsidRPr="007819CB">
              <w:rPr>
                <w:rFonts w:ascii="Times New Roman" w:eastAsia="Times New Roman" w:hAnsi="Times New Roman" w:cs="Times New Roman"/>
                <w:lang w:val="sr-Latn-ME"/>
              </w:rPr>
              <w:t>prostate</w:t>
            </w:r>
          </w:p>
        </w:tc>
        <w:tc>
          <w:tcPr>
            <w:tcW w:w="2250" w:type="dxa"/>
            <w:tcBorders>
              <w:top w:val="nil"/>
            </w:tcBorders>
          </w:tcPr>
          <w:p w14:paraId="6D83DD6F" w14:textId="77777777" w:rsidR="00A47E50" w:rsidRPr="007819CB" w:rsidRDefault="00A47E50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  <w:tr w:rsidR="00A47E50" w:rsidRPr="007819CB" w14:paraId="3E1E2792" w14:textId="77777777" w:rsidTr="00CA6645">
        <w:trPr>
          <w:trHeight w:val="2031"/>
        </w:trPr>
        <w:tc>
          <w:tcPr>
            <w:tcW w:w="102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42"/>
              <w:gridCol w:w="1260"/>
              <w:gridCol w:w="1710"/>
              <w:gridCol w:w="1890"/>
              <w:gridCol w:w="2250"/>
            </w:tblGrid>
            <w:tr w:rsidR="00A47E50" w:rsidRPr="007819CB" w14:paraId="65BCCAAC" w14:textId="77777777" w:rsidTr="00A47E50">
              <w:trPr>
                <w:trHeight w:val="2099"/>
              </w:trPr>
              <w:tc>
                <w:tcPr>
                  <w:tcW w:w="2242" w:type="dxa"/>
                </w:tcPr>
                <w:p w14:paraId="140CF285" w14:textId="25D0784E" w:rsidR="00A47E50" w:rsidRPr="007819CB" w:rsidRDefault="00A47E50" w:rsidP="0097782B">
                  <w:pPr>
                    <w:tabs>
                      <w:tab w:val="left" w:pos="540"/>
                      <w:tab w:val="left" w:pos="567"/>
                    </w:tabs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val="sr-Latn-ME"/>
                    </w:rPr>
                  </w:pPr>
                  <w:r w:rsidRPr="007819CB">
                    <w:rPr>
                      <w:rFonts w:ascii="Times New Roman" w:eastAsia="Times New Roman" w:hAnsi="Times New Roman" w:cs="Times New Roman"/>
                      <w:b/>
                      <w:bCs/>
                      <w:lang w:val="sr-Latn-ME"/>
                    </w:rPr>
                    <w:t xml:space="preserve">Opšti </w:t>
                  </w:r>
                  <w:proofErr w:type="spellStart"/>
                  <w:r w:rsidRPr="007819CB">
                    <w:rPr>
                      <w:rFonts w:ascii="Times New Roman" w:eastAsia="Times New Roman" w:hAnsi="Times New Roman" w:cs="Times New Roman"/>
                      <w:b/>
                      <w:bCs/>
                      <w:lang w:val="sr-Latn-ME"/>
                    </w:rPr>
                    <w:t>poremećaji</w:t>
                  </w:r>
                  <w:proofErr w:type="spellEnd"/>
                  <w:r w:rsidRPr="007819CB">
                    <w:rPr>
                      <w:rFonts w:ascii="Times New Roman" w:eastAsia="Times New Roman" w:hAnsi="Times New Roman" w:cs="Times New Roman"/>
                      <w:b/>
                      <w:bCs/>
                      <w:lang w:val="sr-Latn-ME"/>
                    </w:rPr>
                    <w:t xml:space="preserve"> i </w:t>
                  </w:r>
                  <w:r w:rsidR="00CA6645" w:rsidRPr="007819CB">
                    <w:rPr>
                      <w:rFonts w:ascii="Times New Roman" w:eastAsia="Times New Roman" w:hAnsi="Times New Roman" w:cs="Times New Roman"/>
                      <w:b/>
                      <w:bCs/>
                      <w:lang w:val="sr-Latn-ME"/>
                    </w:rPr>
                    <w:t>reakcije</w:t>
                  </w:r>
                  <w:r w:rsidRPr="007819CB">
                    <w:rPr>
                      <w:rFonts w:ascii="Times New Roman" w:eastAsia="Times New Roman" w:hAnsi="Times New Roman" w:cs="Times New Roman"/>
                      <w:b/>
                      <w:bCs/>
                      <w:lang w:val="sr-Latn-ME"/>
                    </w:rPr>
                    <w:t xml:space="preserve"> na m</w:t>
                  </w:r>
                  <w:r w:rsidR="00CA6645" w:rsidRPr="007819CB">
                    <w:rPr>
                      <w:rFonts w:ascii="Times New Roman" w:eastAsia="Times New Roman" w:hAnsi="Times New Roman" w:cs="Times New Roman"/>
                      <w:b/>
                      <w:bCs/>
                      <w:lang w:val="sr-Latn-ME"/>
                    </w:rPr>
                    <w:t>j</w:t>
                  </w:r>
                  <w:r w:rsidRPr="007819CB">
                    <w:rPr>
                      <w:rFonts w:ascii="Times New Roman" w:eastAsia="Times New Roman" w:hAnsi="Times New Roman" w:cs="Times New Roman"/>
                      <w:b/>
                      <w:bCs/>
                      <w:lang w:val="sr-Latn-ME"/>
                    </w:rPr>
                    <w:t>estu prim</w:t>
                  </w:r>
                  <w:r w:rsidR="00CA6645" w:rsidRPr="007819CB">
                    <w:rPr>
                      <w:rFonts w:ascii="Times New Roman" w:eastAsia="Times New Roman" w:hAnsi="Times New Roman" w:cs="Times New Roman"/>
                      <w:b/>
                      <w:bCs/>
                      <w:lang w:val="sr-Latn-ME"/>
                    </w:rPr>
                    <w:t>j</w:t>
                  </w:r>
                  <w:r w:rsidRPr="007819CB">
                    <w:rPr>
                      <w:rFonts w:ascii="Times New Roman" w:eastAsia="Times New Roman" w:hAnsi="Times New Roman" w:cs="Times New Roman"/>
                      <w:b/>
                      <w:bCs/>
                      <w:lang w:val="sr-Latn-ME"/>
                    </w:rPr>
                    <w:t>ene</w:t>
                  </w:r>
                </w:p>
              </w:tc>
              <w:tc>
                <w:tcPr>
                  <w:tcW w:w="1260" w:type="dxa"/>
                </w:tcPr>
                <w:p w14:paraId="4FC08280" w14:textId="440118E6" w:rsidR="00A47E50" w:rsidRPr="007819CB" w:rsidRDefault="00A47E50">
                  <w:pPr>
                    <w:tabs>
                      <w:tab w:val="left" w:pos="540"/>
                      <w:tab w:val="left" w:pos="567"/>
                    </w:tabs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/>
                    </w:rPr>
                  </w:pPr>
                  <w:r w:rsidRPr="007819CB">
                    <w:rPr>
                      <w:rFonts w:ascii="Times New Roman" w:eastAsia="Times New Roman" w:hAnsi="Times New Roman" w:cs="Times New Roman"/>
                      <w:lang w:val="sr-Latn-ME"/>
                    </w:rPr>
                    <w:t>Bol na m</w:t>
                  </w:r>
                  <w:r w:rsidR="00D80775" w:rsidRPr="007819CB">
                    <w:rPr>
                      <w:rFonts w:ascii="Times New Roman" w:eastAsia="Times New Roman" w:hAnsi="Times New Roman" w:cs="Times New Roman"/>
                      <w:lang w:val="sr-Latn-ME"/>
                    </w:rPr>
                    <w:t>j</w:t>
                  </w:r>
                  <w:r w:rsidRPr="007819CB">
                    <w:rPr>
                      <w:rFonts w:ascii="Times New Roman" w:eastAsia="Times New Roman" w:hAnsi="Times New Roman" w:cs="Times New Roman"/>
                      <w:lang w:val="sr-Latn-ME"/>
                    </w:rPr>
                    <w:t>estu injekcije, reakcija na m</w:t>
                  </w:r>
                  <w:r w:rsidR="00D80775" w:rsidRPr="007819CB">
                    <w:rPr>
                      <w:rFonts w:ascii="Times New Roman" w:eastAsia="Times New Roman" w:hAnsi="Times New Roman" w:cs="Times New Roman"/>
                      <w:lang w:val="sr-Latn-ME"/>
                    </w:rPr>
                    <w:t>j</w:t>
                  </w:r>
                  <w:r w:rsidRPr="007819CB">
                    <w:rPr>
                      <w:rFonts w:ascii="Times New Roman" w:eastAsia="Times New Roman" w:hAnsi="Times New Roman" w:cs="Times New Roman"/>
                      <w:lang w:val="sr-Latn-ME"/>
                    </w:rPr>
                    <w:t xml:space="preserve">estu injekcije, </w:t>
                  </w:r>
                  <w:proofErr w:type="spellStart"/>
                  <w:r w:rsidRPr="007819CB">
                    <w:rPr>
                      <w:rFonts w:ascii="Times New Roman" w:eastAsia="Times New Roman" w:hAnsi="Times New Roman" w:cs="Times New Roman"/>
                      <w:lang w:val="sr-Latn-ME"/>
                    </w:rPr>
                    <w:t>uključujući</w:t>
                  </w:r>
                  <w:proofErr w:type="spellEnd"/>
                  <w:r w:rsidRPr="007819CB">
                    <w:rPr>
                      <w:rFonts w:ascii="Times New Roman" w:eastAsia="Times New Roman" w:hAnsi="Times New Roman" w:cs="Times New Roman"/>
                      <w:lang w:val="sr-Latn-ME"/>
                    </w:rPr>
                    <w:t xml:space="preserve"> upalu, modrice ili krvarenje</w:t>
                  </w:r>
                </w:p>
              </w:tc>
              <w:tc>
                <w:tcPr>
                  <w:tcW w:w="1710" w:type="dxa"/>
                </w:tcPr>
                <w:p w14:paraId="275B4C75" w14:textId="1529C158" w:rsidR="00A47E50" w:rsidRPr="007819CB" w:rsidRDefault="00A47E50">
                  <w:pPr>
                    <w:tabs>
                      <w:tab w:val="left" w:pos="540"/>
                      <w:tab w:val="left" w:pos="567"/>
                    </w:tabs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/>
                    </w:rPr>
                  </w:pPr>
                  <w:proofErr w:type="spellStart"/>
                  <w:r w:rsidRPr="007819CB">
                    <w:rPr>
                      <w:rFonts w:ascii="Times New Roman" w:eastAsia="Times New Roman" w:hAnsi="Times New Roman" w:cs="Times New Roman"/>
                      <w:lang w:val="sr-Latn-ME"/>
                    </w:rPr>
                    <w:t>Pireksija</w:t>
                  </w:r>
                  <w:proofErr w:type="spellEnd"/>
                  <w:r w:rsidRPr="007819CB">
                    <w:rPr>
                      <w:rFonts w:ascii="Times New Roman" w:eastAsia="Times New Roman" w:hAnsi="Times New Roman" w:cs="Times New Roman"/>
                      <w:lang w:val="sr-Latn-ME"/>
                    </w:rPr>
                    <w:t xml:space="preserve">, umor, bol, </w:t>
                  </w:r>
                  <w:proofErr w:type="spellStart"/>
                  <w:r w:rsidRPr="007819CB">
                    <w:rPr>
                      <w:rFonts w:ascii="Times New Roman" w:eastAsia="Times New Roman" w:hAnsi="Times New Roman" w:cs="Times New Roman"/>
                      <w:lang w:val="sr-Latn-ME"/>
                    </w:rPr>
                    <w:t>os</w:t>
                  </w:r>
                  <w:r w:rsidR="00D80775" w:rsidRPr="007819CB">
                    <w:rPr>
                      <w:rFonts w:ascii="Times New Roman" w:eastAsia="Times New Roman" w:hAnsi="Times New Roman" w:cs="Times New Roman"/>
                      <w:lang w:val="sr-Latn-ME"/>
                    </w:rPr>
                    <w:t>j</w:t>
                  </w:r>
                  <w:r w:rsidRPr="007819CB">
                    <w:rPr>
                      <w:rFonts w:ascii="Times New Roman" w:eastAsia="Times New Roman" w:hAnsi="Times New Roman" w:cs="Times New Roman"/>
                      <w:lang w:val="sr-Latn-ME"/>
                    </w:rPr>
                    <w:t>ećaj</w:t>
                  </w:r>
                  <w:proofErr w:type="spellEnd"/>
                  <w:r w:rsidRPr="007819CB">
                    <w:rPr>
                      <w:rFonts w:ascii="Times New Roman" w:eastAsia="Times New Roman" w:hAnsi="Times New Roman" w:cs="Times New Roman"/>
                      <w:lang w:val="sr-Latn-ME"/>
                    </w:rPr>
                    <w:t xml:space="preserve"> </w:t>
                  </w:r>
                  <w:proofErr w:type="spellStart"/>
                  <w:r w:rsidRPr="007819CB">
                    <w:rPr>
                      <w:rFonts w:ascii="Times New Roman" w:eastAsia="Times New Roman" w:hAnsi="Times New Roman" w:cs="Times New Roman"/>
                      <w:lang w:val="sr-Latn-ME"/>
                    </w:rPr>
                    <w:t>hladnoće</w:t>
                  </w:r>
                  <w:proofErr w:type="spellEnd"/>
                  <w:r w:rsidRPr="007819CB">
                    <w:rPr>
                      <w:rFonts w:ascii="Times New Roman" w:eastAsia="Times New Roman" w:hAnsi="Times New Roman" w:cs="Times New Roman"/>
                      <w:lang w:val="sr-Latn-ME"/>
                    </w:rPr>
                    <w:t xml:space="preserve"> </w:t>
                  </w:r>
                </w:p>
              </w:tc>
              <w:tc>
                <w:tcPr>
                  <w:tcW w:w="1890" w:type="dxa"/>
                </w:tcPr>
                <w:p w14:paraId="7490E3D1" w14:textId="2CDAA327" w:rsidR="00A47E50" w:rsidRPr="007819CB" w:rsidRDefault="00AF72A6">
                  <w:pPr>
                    <w:tabs>
                      <w:tab w:val="left" w:pos="540"/>
                      <w:tab w:val="left" w:pos="567"/>
                    </w:tabs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/>
                    </w:rPr>
                  </w:pPr>
                  <w:proofErr w:type="spellStart"/>
                  <w:r w:rsidRPr="007819CB">
                    <w:rPr>
                      <w:rFonts w:ascii="Times New Roman" w:eastAsia="Times New Roman" w:hAnsi="Times New Roman" w:cs="Times New Roman"/>
                      <w:lang w:val="sr-Latn-ME"/>
                    </w:rPr>
                    <w:t>Rigor</w:t>
                  </w:r>
                  <w:proofErr w:type="spellEnd"/>
                  <w:r w:rsidRPr="007819CB">
                    <w:rPr>
                      <w:rFonts w:ascii="Times New Roman" w:eastAsia="Times New Roman" w:hAnsi="Times New Roman" w:cs="Times New Roman"/>
                      <w:lang w:val="sr-Latn-ME"/>
                    </w:rPr>
                    <w:t xml:space="preserve">, periferni </w:t>
                  </w:r>
                  <w:proofErr w:type="spellStart"/>
                  <w:r w:rsidRPr="007819CB">
                    <w:rPr>
                      <w:rFonts w:ascii="Times New Roman" w:eastAsia="Times New Roman" w:hAnsi="Times New Roman" w:cs="Times New Roman"/>
                      <w:lang w:val="sr-Latn-ME"/>
                    </w:rPr>
                    <w:t>edem</w:t>
                  </w:r>
                  <w:proofErr w:type="spellEnd"/>
                </w:p>
              </w:tc>
              <w:tc>
                <w:tcPr>
                  <w:tcW w:w="2250" w:type="dxa"/>
                </w:tcPr>
                <w:p w14:paraId="7580B56B" w14:textId="77777777" w:rsidR="00A47E50" w:rsidRPr="007819CB" w:rsidRDefault="00A47E50">
                  <w:pPr>
                    <w:tabs>
                      <w:tab w:val="left" w:pos="540"/>
                      <w:tab w:val="left" w:pos="567"/>
                    </w:tabs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/>
                    </w:rPr>
                  </w:pPr>
                </w:p>
              </w:tc>
            </w:tr>
            <w:tr w:rsidR="00A47E50" w:rsidRPr="007819CB" w14:paraId="405D7852" w14:textId="77777777" w:rsidTr="00A47E50">
              <w:trPr>
                <w:trHeight w:val="467"/>
              </w:trPr>
              <w:tc>
                <w:tcPr>
                  <w:tcW w:w="2242" w:type="dxa"/>
                </w:tcPr>
                <w:p w14:paraId="16B80B9E" w14:textId="3982F93A" w:rsidR="00A47E50" w:rsidRPr="007819CB" w:rsidRDefault="00A47E50" w:rsidP="0097782B">
                  <w:pPr>
                    <w:tabs>
                      <w:tab w:val="left" w:pos="540"/>
                      <w:tab w:val="left" w:pos="567"/>
                    </w:tabs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val="sr-Latn-ME"/>
                    </w:rPr>
                  </w:pPr>
                  <w:r w:rsidRPr="007819CB">
                    <w:rPr>
                      <w:rFonts w:ascii="Times New Roman" w:eastAsia="Times New Roman" w:hAnsi="Times New Roman" w:cs="Times New Roman"/>
                      <w:b/>
                      <w:bCs/>
                      <w:lang w:val="sr-Latn-ME"/>
                    </w:rPr>
                    <w:t>Is</w:t>
                  </w:r>
                  <w:r w:rsidR="00CA6645" w:rsidRPr="007819CB">
                    <w:rPr>
                      <w:rFonts w:ascii="Times New Roman" w:eastAsia="Times New Roman" w:hAnsi="Times New Roman" w:cs="Times New Roman"/>
                      <w:b/>
                      <w:bCs/>
                      <w:lang w:val="sr-Latn-ME"/>
                    </w:rPr>
                    <w:t>pitivanja</w:t>
                  </w:r>
                  <w:r w:rsidRPr="007819CB">
                    <w:rPr>
                      <w:rFonts w:ascii="Times New Roman" w:eastAsia="Times New Roman" w:hAnsi="Times New Roman" w:cs="Times New Roman"/>
                      <w:b/>
                      <w:bCs/>
                      <w:lang w:val="sr-Latn-ME"/>
                    </w:rPr>
                    <w:t xml:space="preserve"> </w:t>
                  </w:r>
                </w:p>
              </w:tc>
              <w:tc>
                <w:tcPr>
                  <w:tcW w:w="1260" w:type="dxa"/>
                </w:tcPr>
                <w:p w14:paraId="2DA26BCA" w14:textId="77777777" w:rsidR="00A47E50" w:rsidRPr="007819CB" w:rsidRDefault="00A47E50">
                  <w:pPr>
                    <w:tabs>
                      <w:tab w:val="left" w:pos="540"/>
                      <w:tab w:val="left" w:pos="567"/>
                    </w:tabs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/>
                    </w:rPr>
                  </w:pPr>
                </w:p>
              </w:tc>
              <w:tc>
                <w:tcPr>
                  <w:tcW w:w="1710" w:type="dxa"/>
                </w:tcPr>
                <w:p w14:paraId="4B0DF17C" w14:textId="77777777" w:rsidR="00A47E50" w:rsidRPr="007819CB" w:rsidRDefault="00A47E50">
                  <w:pPr>
                    <w:tabs>
                      <w:tab w:val="left" w:pos="540"/>
                      <w:tab w:val="left" w:pos="567"/>
                    </w:tabs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/>
                    </w:rPr>
                  </w:pPr>
                </w:p>
              </w:tc>
              <w:tc>
                <w:tcPr>
                  <w:tcW w:w="1890" w:type="dxa"/>
                </w:tcPr>
                <w:p w14:paraId="70F5F85D" w14:textId="77777777" w:rsidR="00A47E50" w:rsidRPr="007819CB" w:rsidRDefault="00A47E50">
                  <w:pPr>
                    <w:tabs>
                      <w:tab w:val="left" w:pos="540"/>
                      <w:tab w:val="left" w:pos="567"/>
                    </w:tabs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/>
                    </w:rPr>
                  </w:pPr>
                  <w:proofErr w:type="spellStart"/>
                  <w:r w:rsidRPr="007819CB">
                    <w:rPr>
                      <w:rFonts w:ascii="Times New Roman" w:eastAsia="Times New Roman" w:hAnsi="Times New Roman" w:cs="Times New Roman"/>
                      <w:lang w:val="sr-Latn-ME"/>
                    </w:rPr>
                    <w:t>Abnormlni</w:t>
                  </w:r>
                  <w:proofErr w:type="spellEnd"/>
                  <w:r w:rsidRPr="007819CB">
                    <w:rPr>
                      <w:rFonts w:ascii="Times New Roman" w:eastAsia="Times New Roman" w:hAnsi="Times New Roman" w:cs="Times New Roman"/>
                      <w:lang w:val="sr-Latn-ME"/>
                    </w:rPr>
                    <w:t xml:space="preserve"> test funkcije jetre </w:t>
                  </w:r>
                </w:p>
              </w:tc>
              <w:tc>
                <w:tcPr>
                  <w:tcW w:w="2250" w:type="dxa"/>
                </w:tcPr>
                <w:p w14:paraId="2745EB38" w14:textId="77777777" w:rsidR="00A47E50" w:rsidRPr="007819CB" w:rsidRDefault="00A47E50">
                  <w:pPr>
                    <w:tabs>
                      <w:tab w:val="left" w:pos="540"/>
                      <w:tab w:val="left" w:pos="567"/>
                    </w:tabs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lang w:val="sr-Latn-ME"/>
                    </w:rPr>
                  </w:pPr>
                </w:p>
              </w:tc>
            </w:tr>
          </w:tbl>
          <w:p w14:paraId="5CDDA55F" w14:textId="77777777" w:rsidR="00A47E50" w:rsidRPr="007819CB" w:rsidRDefault="00A47E50" w:rsidP="0097782B">
            <w:pPr>
              <w:tabs>
                <w:tab w:val="left" w:pos="540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Latn-ME"/>
              </w:rPr>
            </w:pPr>
          </w:p>
        </w:tc>
      </w:tr>
    </w:tbl>
    <w:p w14:paraId="2462CB8D" w14:textId="77777777" w:rsidR="00CA6645" w:rsidRPr="007819CB" w:rsidRDefault="00CA6645" w:rsidP="0097782B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75F27DB" w14:textId="7D4952EE" w:rsidR="00D267DB" w:rsidRPr="007819CB" w:rsidRDefault="00AF72A6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Gastrointestinalni: </w:t>
      </w:r>
      <w:r w:rsidR="00D267DB" w:rsidRPr="007819CB">
        <w:rPr>
          <w:rFonts w:ascii="Times New Roman" w:eastAsia="Times New Roman" w:hAnsi="Times New Roman" w:cs="Times New Roman"/>
          <w:lang w:val="sr-Latn-ME"/>
        </w:rPr>
        <w:t>Najčešće primijećeni neželjeni događaji su gastrointestinaln</w:t>
      </w:r>
      <w:r w:rsidRPr="007819CB">
        <w:rPr>
          <w:rFonts w:ascii="Times New Roman" w:eastAsia="Times New Roman" w:hAnsi="Times New Roman" w:cs="Times New Roman"/>
          <w:lang w:val="sr-Latn-ME"/>
        </w:rPr>
        <w:t>e</w:t>
      </w:r>
      <w:r w:rsidR="00D267DB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7819CB">
        <w:rPr>
          <w:rFonts w:ascii="Times New Roman" w:eastAsia="Times New Roman" w:hAnsi="Times New Roman" w:cs="Times New Roman"/>
          <w:lang w:val="sr-Latn-ME"/>
        </w:rPr>
        <w:t>prirode</w:t>
      </w:r>
      <w:r w:rsidR="00D267DB" w:rsidRPr="007819CB">
        <w:rPr>
          <w:rFonts w:ascii="Times New Roman" w:eastAsia="Times New Roman" w:hAnsi="Times New Roman" w:cs="Times New Roman"/>
          <w:lang w:val="sr-Latn-ME"/>
        </w:rPr>
        <w:t xml:space="preserve">. </w:t>
      </w:r>
      <w:proofErr w:type="spellStart"/>
      <w:r w:rsidR="00D267DB" w:rsidRPr="007819CB">
        <w:rPr>
          <w:rFonts w:ascii="Times New Roman" w:eastAsia="Times New Roman" w:hAnsi="Times New Roman" w:cs="Times New Roman"/>
          <w:lang w:val="sr-Latn-ME"/>
        </w:rPr>
        <w:t>Peptički</w:t>
      </w:r>
      <w:proofErr w:type="spellEnd"/>
      <w:r w:rsidR="00D267DB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D267DB" w:rsidRPr="007819CB">
        <w:rPr>
          <w:rFonts w:ascii="Times New Roman" w:eastAsia="Times New Roman" w:hAnsi="Times New Roman" w:cs="Times New Roman"/>
          <w:lang w:val="sr-Latn-ME"/>
        </w:rPr>
        <w:t>ulkusi</w:t>
      </w:r>
      <w:proofErr w:type="spellEnd"/>
      <w:r w:rsidR="00D267DB" w:rsidRPr="007819CB">
        <w:rPr>
          <w:rFonts w:ascii="Times New Roman" w:eastAsia="Times New Roman" w:hAnsi="Times New Roman" w:cs="Times New Roman"/>
          <w:lang w:val="sr-Latn-ME"/>
        </w:rPr>
        <w:t>, perforacije ili gastrointestinalno krvarenje, ponekad sa smrtnim ishodom, mogu nastati pogotovo kod starijih pacijenata (</w:t>
      </w:r>
      <w:r w:rsidR="0026176C" w:rsidRPr="007819CB">
        <w:rPr>
          <w:rFonts w:ascii="Times New Roman" w:eastAsia="Times New Roman" w:hAnsi="Times New Roman" w:cs="Times New Roman"/>
          <w:lang w:val="sr-Latn-ME"/>
        </w:rPr>
        <w:t>pogledati</w:t>
      </w:r>
      <w:r w:rsidR="00D267DB" w:rsidRPr="007819CB">
        <w:rPr>
          <w:rFonts w:ascii="Times New Roman" w:eastAsia="Times New Roman" w:hAnsi="Times New Roman" w:cs="Times New Roman"/>
          <w:lang w:val="sr-Latn-ME"/>
        </w:rPr>
        <w:t xml:space="preserve"> dio 4.4). Mučnina, povraćanje, dijareja, flatulencija, konstipacija, dispepsija, abdominalni bol, </w:t>
      </w:r>
      <w:proofErr w:type="spellStart"/>
      <w:r w:rsidR="00D267DB" w:rsidRPr="007819CB">
        <w:rPr>
          <w:rFonts w:ascii="Times New Roman" w:eastAsia="Times New Roman" w:hAnsi="Times New Roman" w:cs="Times New Roman"/>
          <w:lang w:val="sr-Latn-ME"/>
        </w:rPr>
        <w:t>melena</w:t>
      </w:r>
      <w:proofErr w:type="spellEnd"/>
      <w:r w:rsidR="00D267DB" w:rsidRPr="007819CB">
        <w:rPr>
          <w:rFonts w:ascii="Times New Roman" w:eastAsia="Times New Roman" w:hAnsi="Times New Roman" w:cs="Times New Roman"/>
          <w:lang w:val="sr-Latn-ME"/>
        </w:rPr>
        <w:t xml:space="preserve">, </w:t>
      </w:r>
      <w:proofErr w:type="spellStart"/>
      <w:r w:rsidR="00D267DB" w:rsidRPr="007819CB">
        <w:rPr>
          <w:rFonts w:ascii="Times New Roman" w:eastAsia="Times New Roman" w:hAnsi="Times New Roman" w:cs="Times New Roman"/>
          <w:lang w:val="sr-Latn-ME"/>
        </w:rPr>
        <w:t>hematemeza</w:t>
      </w:r>
      <w:proofErr w:type="spellEnd"/>
      <w:r w:rsidR="00D267DB" w:rsidRPr="007819CB">
        <w:rPr>
          <w:rFonts w:ascii="Times New Roman" w:eastAsia="Times New Roman" w:hAnsi="Times New Roman" w:cs="Times New Roman"/>
          <w:lang w:val="sr-Latn-ME"/>
        </w:rPr>
        <w:t xml:space="preserve">, </w:t>
      </w:r>
      <w:proofErr w:type="spellStart"/>
      <w:r w:rsidR="00D267DB" w:rsidRPr="007819CB">
        <w:rPr>
          <w:rFonts w:ascii="Times New Roman" w:eastAsia="Times New Roman" w:hAnsi="Times New Roman" w:cs="Times New Roman"/>
          <w:lang w:val="sr-Latn-ME"/>
        </w:rPr>
        <w:t>ulcerozni</w:t>
      </w:r>
      <w:proofErr w:type="spellEnd"/>
      <w:r w:rsidR="00D267DB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D267DB" w:rsidRPr="007819CB">
        <w:rPr>
          <w:rFonts w:ascii="Times New Roman" w:eastAsia="Times New Roman" w:hAnsi="Times New Roman" w:cs="Times New Roman"/>
          <w:lang w:val="sr-Latn-ME"/>
        </w:rPr>
        <w:t>stomatitis</w:t>
      </w:r>
      <w:proofErr w:type="spellEnd"/>
      <w:r w:rsidR="00D267DB" w:rsidRPr="007819CB">
        <w:rPr>
          <w:rFonts w:ascii="Times New Roman" w:eastAsia="Times New Roman" w:hAnsi="Times New Roman" w:cs="Times New Roman"/>
          <w:lang w:val="sr-Latn-ME"/>
        </w:rPr>
        <w:t xml:space="preserve">, </w:t>
      </w:r>
      <w:proofErr w:type="spellStart"/>
      <w:r w:rsidR="00D267DB" w:rsidRPr="007819CB">
        <w:rPr>
          <w:rFonts w:ascii="Times New Roman" w:eastAsia="Times New Roman" w:hAnsi="Times New Roman" w:cs="Times New Roman"/>
          <w:lang w:val="sr-Latn-ME"/>
        </w:rPr>
        <w:t>egzacerbacija</w:t>
      </w:r>
      <w:proofErr w:type="spellEnd"/>
      <w:r w:rsidR="00D267DB" w:rsidRPr="007819CB">
        <w:rPr>
          <w:rFonts w:ascii="Times New Roman" w:eastAsia="Times New Roman" w:hAnsi="Times New Roman" w:cs="Times New Roman"/>
          <w:lang w:val="sr-Latn-ME"/>
        </w:rPr>
        <w:t xml:space="preserve"> kolitisa i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Chron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>-ove</w:t>
      </w:r>
      <w:r w:rsidR="00D267DB" w:rsidRPr="007819CB">
        <w:rPr>
          <w:rFonts w:ascii="Times New Roman" w:eastAsia="Times New Roman" w:hAnsi="Times New Roman" w:cs="Times New Roman"/>
          <w:lang w:val="sr-Latn-ME"/>
        </w:rPr>
        <w:t xml:space="preserve"> bolesti (</w:t>
      </w:r>
      <w:r w:rsidR="0026176C" w:rsidRPr="007819CB">
        <w:rPr>
          <w:rFonts w:ascii="Times New Roman" w:eastAsia="Times New Roman" w:hAnsi="Times New Roman" w:cs="Times New Roman"/>
          <w:lang w:val="sr-Latn-ME"/>
        </w:rPr>
        <w:t>pogledati</w:t>
      </w:r>
      <w:r w:rsidR="00D267DB" w:rsidRPr="007819CB">
        <w:rPr>
          <w:rFonts w:ascii="Times New Roman" w:eastAsia="Times New Roman" w:hAnsi="Times New Roman" w:cs="Times New Roman"/>
          <w:lang w:val="sr-Latn-ME"/>
        </w:rPr>
        <w:t xml:space="preserve"> dio 4.4) su </w:t>
      </w:r>
      <w:r w:rsidRPr="007819CB">
        <w:rPr>
          <w:rFonts w:ascii="Times New Roman" w:eastAsia="Times New Roman" w:hAnsi="Times New Roman" w:cs="Times New Roman"/>
          <w:lang w:val="sr-Latn-ME"/>
        </w:rPr>
        <w:t>zabilježeni</w:t>
      </w:r>
      <w:r w:rsidR="00D267DB" w:rsidRPr="007819CB">
        <w:rPr>
          <w:rFonts w:ascii="Times New Roman" w:eastAsia="Times New Roman" w:hAnsi="Times New Roman" w:cs="Times New Roman"/>
          <w:lang w:val="sr-Latn-ME"/>
        </w:rPr>
        <w:t xml:space="preserve"> nakon primjene lijeka. 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S manjom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učetalošću</w:t>
      </w:r>
      <w:proofErr w:type="spellEnd"/>
      <w:r w:rsidR="00D267DB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7819CB">
        <w:rPr>
          <w:rFonts w:ascii="Times New Roman" w:eastAsia="Times New Roman" w:hAnsi="Times New Roman" w:cs="Times New Roman"/>
          <w:lang w:val="sr-Latn-ME"/>
        </w:rPr>
        <w:t>je zabilježen</w:t>
      </w:r>
      <w:r w:rsidR="00D267DB" w:rsidRPr="007819CB">
        <w:rPr>
          <w:rFonts w:ascii="Times New Roman" w:eastAsia="Times New Roman" w:hAnsi="Times New Roman" w:cs="Times New Roman"/>
          <w:lang w:val="sr-Latn-ME"/>
        </w:rPr>
        <w:t xml:space="preserve"> gastritis.</w:t>
      </w:r>
    </w:p>
    <w:p w14:paraId="35E069DB" w14:textId="77777777" w:rsidR="00D267DB" w:rsidRPr="007819CB" w:rsidRDefault="00D267DB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Edem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, hipertenzija i srčana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insuficijencija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su prijavljeni nakon primjene NSAIL terapije.</w:t>
      </w:r>
    </w:p>
    <w:p w14:paraId="7D49C275" w14:textId="77777777" w:rsidR="00D267DB" w:rsidRPr="007819CB" w:rsidRDefault="00D267DB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1B602C9" w14:textId="00FF7498" w:rsidR="00D267DB" w:rsidRPr="007819CB" w:rsidRDefault="00D267DB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Kao i kod drugih NSAIL mogu nastati sljedeća neželjena dejstva i to: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aseptički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meningitis, koji se može javiti kod pacijenata sa sistemskim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eritematoznim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lupusom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ili bolestima vezivnog tkiva;</w:t>
      </w:r>
      <w:r w:rsidR="00AF72A6" w:rsidRPr="007819CB">
        <w:rPr>
          <w:rFonts w:ascii="Times New Roman" w:eastAsia="Times New Roman" w:hAnsi="Times New Roman" w:cs="Times New Roman"/>
          <w:lang w:val="sr-Latn-ME"/>
        </w:rPr>
        <w:t xml:space="preserve"> i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hematološke reakcije (purpura,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aplastična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i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hemolitička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anemija, rijetko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agranulocitoza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i medularna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hipoplazija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>).</w:t>
      </w:r>
    </w:p>
    <w:p w14:paraId="0E958B4D" w14:textId="77777777" w:rsidR="00D267DB" w:rsidRPr="007819CB" w:rsidRDefault="00D267DB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A0DB7E1" w14:textId="67ADE1F6" w:rsidR="00D267DB" w:rsidRPr="007819CB" w:rsidRDefault="00D267DB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Bulozne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reakacije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uključujući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Stevens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Johnson</w:t>
      </w:r>
      <w:r w:rsidR="00AF72A6" w:rsidRPr="007819CB">
        <w:rPr>
          <w:rFonts w:ascii="Times New Roman" w:eastAsia="Times New Roman" w:hAnsi="Times New Roman" w:cs="Times New Roman"/>
          <w:lang w:val="sr-Latn-ME"/>
        </w:rPr>
        <w:t>-ov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sindrom i toksičn</w:t>
      </w:r>
      <w:r w:rsidR="00072AF0" w:rsidRPr="007819CB">
        <w:rPr>
          <w:rFonts w:ascii="Times New Roman" w:eastAsia="Times New Roman" w:hAnsi="Times New Roman" w:cs="Times New Roman"/>
          <w:lang w:val="sr-Latn-ME"/>
        </w:rPr>
        <w:t>u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epidermaln</w:t>
      </w:r>
      <w:r w:rsidR="00072AF0" w:rsidRPr="007819CB">
        <w:rPr>
          <w:rFonts w:ascii="Times New Roman" w:eastAsia="Times New Roman" w:hAnsi="Times New Roman" w:cs="Times New Roman"/>
          <w:lang w:val="sr-Latn-ME"/>
        </w:rPr>
        <w:t>u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nekroliz</w:t>
      </w:r>
      <w:r w:rsidR="00072AF0" w:rsidRPr="007819CB">
        <w:rPr>
          <w:rFonts w:ascii="Times New Roman" w:eastAsia="Times New Roman" w:hAnsi="Times New Roman" w:cs="Times New Roman"/>
          <w:lang w:val="sr-Latn-ME"/>
        </w:rPr>
        <w:t>u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(veoma rijetko).</w:t>
      </w:r>
    </w:p>
    <w:p w14:paraId="1B540157" w14:textId="77777777" w:rsidR="00D267DB" w:rsidRPr="007819CB" w:rsidRDefault="00D267DB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A903247" w14:textId="0604837F" w:rsidR="00567985" w:rsidRPr="007819CB" w:rsidRDefault="00D267DB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Kliničke studije i epidemiološki podaci sugerišu da upotreba nekih NSAIL (posebno u visokim dozama i u dugotrajnoj terapiji) može biti povezana sa malim povećanjem rizika od arterijskih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trombotičkih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događaja (na primjer infarkt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miokarda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ili </w:t>
      </w:r>
      <w:r w:rsidR="00072AF0" w:rsidRPr="007819CB">
        <w:rPr>
          <w:rFonts w:ascii="Times New Roman" w:eastAsia="Times New Roman" w:hAnsi="Times New Roman" w:cs="Times New Roman"/>
          <w:lang w:val="sr-Latn-ME"/>
        </w:rPr>
        <w:t>moždani udar</w:t>
      </w:r>
      <w:r w:rsidRPr="007819CB">
        <w:rPr>
          <w:rFonts w:ascii="Times New Roman" w:eastAsia="Times New Roman" w:hAnsi="Times New Roman" w:cs="Times New Roman"/>
          <w:lang w:val="sr-Latn-ME"/>
        </w:rPr>
        <w:t>) (</w:t>
      </w:r>
      <w:r w:rsidR="001C4064" w:rsidRPr="007819CB">
        <w:rPr>
          <w:rFonts w:ascii="Times New Roman" w:eastAsia="Times New Roman" w:hAnsi="Times New Roman" w:cs="Times New Roman"/>
          <w:lang w:val="sr-Latn-ME"/>
        </w:rPr>
        <w:t>pogledati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dio 4.4).</w:t>
      </w:r>
    </w:p>
    <w:p w14:paraId="6376D2DB" w14:textId="77777777" w:rsidR="004D3795" w:rsidRPr="007819CB" w:rsidRDefault="004D3795">
      <w:pPr>
        <w:widowControl w:val="0"/>
        <w:autoSpaceDE w:val="0"/>
        <w:autoSpaceDN w:val="0"/>
        <w:spacing w:before="4" w:after="0" w:line="237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10A62A2" w14:textId="05B421E8" w:rsidR="00930311" w:rsidRPr="007819CB" w:rsidRDefault="00930311">
      <w:pPr>
        <w:spacing w:after="200" w:line="276" w:lineRule="auto"/>
        <w:jc w:val="both"/>
        <w:rPr>
          <w:rFonts w:ascii="Times New Roman" w:eastAsia="Calibri" w:hAnsi="Times New Roman" w:cs="Times New Roman"/>
          <w:u w:val="single"/>
          <w:lang w:val="sr-Latn-ME"/>
        </w:rPr>
      </w:pPr>
      <w:r w:rsidRPr="007819CB">
        <w:rPr>
          <w:rFonts w:ascii="Times New Roman" w:eastAsia="Calibri" w:hAnsi="Times New Roman" w:cs="Times New Roman"/>
          <w:u w:val="single"/>
          <w:lang w:val="sr-Latn-ME"/>
        </w:rPr>
        <w:t>Prijavljivanje sumnji na neželjena dejstva</w:t>
      </w:r>
    </w:p>
    <w:p w14:paraId="3676E314" w14:textId="77777777" w:rsidR="00930311" w:rsidRPr="007819CB" w:rsidRDefault="00930311">
      <w:pPr>
        <w:spacing w:after="20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7819CB">
        <w:rPr>
          <w:rFonts w:ascii="Times New Roman" w:eastAsia="Calibri" w:hAnsi="Times New Roman" w:cs="Times New Roman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 (CInMED):</w:t>
      </w:r>
    </w:p>
    <w:p w14:paraId="09F2446B" w14:textId="77777777" w:rsidR="00930311" w:rsidRPr="007819CB" w:rsidRDefault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7819CB">
        <w:rPr>
          <w:rFonts w:ascii="Times New Roman" w:eastAsia="Calibri" w:hAnsi="Times New Roman" w:cs="Times New Roman"/>
          <w:lang w:val="sr-Latn-ME"/>
        </w:rPr>
        <w:t xml:space="preserve">Institut za ljekove i medicinska sredstva </w:t>
      </w:r>
    </w:p>
    <w:p w14:paraId="2E3781A8" w14:textId="77777777" w:rsidR="00930311" w:rsidRPr="007819CB" w:rsidRDefault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7819CB">
        <w:rPr>
          <w:rFonts w:ascii="Times New Roman" w:eastAsia="Calibri" w:hAnsi="Times New Roman" w:cs="Times New Roman"/>
          <w:lang w:val="sr-Latn-ME"/>
        </w:rPr>
        <w:t xml:space="preserve">Odjeljenje za </w:t>
      </w:r>
      <w:proofErr w:type="spellStart"/>
      <w:r w:rsidRPr="007819CB">
        <w:rPr>
          <w:rFonts w:ascii="Times New Roman" w:eastAsia="Calibri" w:hAnsi="Times New Roman" w:cs="Times New Roman"/>
          <w:lang w:val="sr-Latn-ME"/>
        </w:rPr>
        <w:t>farmakovigilancu</w:t>
      </w:r>
      <w:proofErr w:type="spellEnd"/>
    </w:p>
    <w:p w14:paraId="2275DA22" w14:textId="77777777" w:rsidR="00930311" w:rsidRPr="007819CB" w:rsidRDefault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7819CB">
        <w:rPr>
          <w:rFonts w:ascii="Times New Roman" w:eastAsia="Calibri" w:hAnsi="Times New Roman" w:cs="Times New Roman"/>
          <w:lang w:val="sr-Latn-ME"/>
        </w:rPr>
        <w:t>Bulevar Ivana Crnojevića 64a, 81000 Podgorica</w:t>
      </w:r>
    </w:p>
    <w:p w14:paraId="1E3E0480" w14:textId="77777777" w:rsidR="00930311" w:rsidRPr="007819CB" w:rsidRDefault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4C3F542D" w14:textId="77777777" w:rsidR="00930311" w:rsidRPr="007819CB" w:rsidRDefault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7819CB">
        <w:rPr>
          <w:rFonts w:ascii="Times New Roman" w:eastAsia="Calibri" w:hAnsi="Times New Roman" w:cs="Times New Roman"/>
          <w:lang w:val="sr-Latn-ME"/>
        </w:rPr>
        <w:t>tel: +382 (0) 20 310 280</w:t>
      </w:r>
    </w:p>
    <w:p w14:paraId="348D2C99" w14:textId="77777777" w:rsidR="00930311" w:rsidRPr="007819CB" w:rsidRDefault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proofErr w:type="spellStart"/>
      <w:r w:rsidRPr="007819CB">
        <w:rPr>
          <w:rFonts w:ascii="Times New Roman" w:eastAsia="Calibri" w:hAnsi="Times New Roman" w:cs="Times New Roman"/>
          <w:lang w:val="sr-Latn-ME"/>
        </w:rPr>
        <w:t>fax</w:t>
      </w:r>
      <w:proofErr w:type="spellEnd"/>
      <w:r w:rsidRPr="007819CB">
        <w:rPr>
          <w:rFonts w:ascii="Times New Roman" w:eastAsia="Calibri" w:hAnsi="Times New Roman" w:cs="Times New Roman"/>
          <w:lang w:val="sr-Latn-ME"/>
        </w:rPr>
        <w:t>: +382 (0) 20 310 581</w:t>
      </w:r>
    </w:p>
    <w:p w14:paraId="26F4B2CA" w14:textId="77777777" w:rsidR="00930311" w:rsidRPr="007819CB" w:rsidRDefault="000E0B96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hyperlink r:id="rId8" w:history="1">
        <w:r w:rsidR="00930311" w:rsidRPr="007819CB">
          <w:rPr>
            <w:rStyle w:val="Hyperlink"/>
            <w:rFonts w:ascii="Times New Roman" w:eastAsia="Calibri" w:hAnsi="Times New Roman" w:cs="Times New Roman"/>
            <w:color w:val="0563C1"/>
            <w:lang w:val="sr-Latn-ME"/>
          </w:rPr>
          <w:t>www.cinmed.me</w:t>
        </w:r>
      </w:hyperlink>
    </w:p>
    <w:p w14:paraId="147BB49F" w14:textId="77777777" w:rsidR="00930311" w:rsidRPr="007819CB" w:rsidRDefault="000E0B96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u w:val="single"/>
          <w:lang w:val="sr-Latn-ME"/>
        </w:rPr>
      </w:pPr>
      <w:hyperlink r:id="rId9" w:history="1">
        <w:r w:rsidR="00930311" w:rsidRPr="007819CB">
          <w:rPr>
            <w:rStyle w:val="Hyperlink"/>
            <w:rFonts w:ascii="Times New Roman" w:eastAsia="Calibri" w:hAnsi="Times New Roman" w:cs="Times New Roman"/>
            <w:color w:val="0563C1"/>
            <w:lang w:val="sr-Latn-ME"/>
          </w:rPr>
          <w:t>nezeljenadejstva@cinmed.me</w:t>
        </w:r>
      </w:hyperlink>
    </w:p>
    <w:p w14:paraId="68CCE4F1" w14:textId="77777777" w:rsidR="00930311" w:rsidRPr="007819CB" w:rsidRDefault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7819CB">
        <w:rPr>
          <w:rFonts w:ascii="Times New Roman" w:eastAsia="Calibri" w:hAnsi="Times New Roman" w:cs="Times New Roman"/>
          <w:lang w:val="sr-Latn-ME"/>
        </w:rPr>
        <w:t>putem IS zdravstvene zaštite</w:t>
      </w:r>
    </w:p>
    <w:p w14:paraId="0493B28B" w14:textId="77777777" w:rsidR="009A7C03" w:rsidRPr="007819CB" w:rsidRDefault="009A7C0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QR kod za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online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prijavu sumnje na neželjeno dejstvo lijeka:</w:t>
      </w:r>
    </w:p>
    <w:p w14:paraId="313541C8" w14:textId="77777777" w:rsidR="009A7C03" w:rsidRPr="007819CB" w:rsidRDefault="009A7C0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32973D7" w14:textId="77777777" w:rsidR="009A7C03" w:rsidRPr="007819CB" w:rsidRDefault="009A7C0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noProof/>
          <w:lang w:val="sr-Latn-ME"/>
        </w:rPr>
        <w:lastRenderedPageBreak/>
        <w:drawing>
          <wp:inline distT="0" distB="0" distL="0" distR="0" wp14:anchorId="484DE54F" wp14:editId="6F62D83F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7DFB3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CCD89F3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4.9. </w:t>
      </w: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ab/>
      </w:r>
      <w:proofErr w:type="spellStart"/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>Predoziranje</w:t>
      </w:r>
      <w:proofErr w:type="spellEnd"/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 </w:t>
      </w:r>
    </w:p>
    <w:p w14:paraId="24322AC3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3258E1C4" w14:textId="6589CF65" w:rsidR="00DE71D2" w:rsidRPr="007819CB" w:rsidRDefault="00072AF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Nije poznata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s</w:t>
      </w:r>
      <w:r w:rsidR="00DE71D2" w:rsidRPr="007819CB">
        <w:rPr>
          <w:rFonts w:ascii="Times New Roman" w:eastAsia="Times New Roman" w:hAnsi="Times New Roman" w:cs="Times New Roman"/>
          <w:lang w:val="sr-Latn-ME"/>
        </w:rPr>
        <w:t>imptom</w:t>
      </w:r>
      <w:r w:rsidRPr="007819CB">
        <w:rPr>
          <w:rFonts w:ascii="Times New Roman" w:eastAsia="Times New Roman" w:hAnsi="Times New Roman" w:cs="Times New Roman"/>
          <w:lang w:val="sr-Latn-ME"/>
        </w:rPr>
        <w:t>atologija</w:t>
      </w:r>
      <w:proofErr w:type="spellEnd"/>
      <w:r w:rsidR="00DE71D2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nakon </w:t>
      </w:r>
      <w:proofErr w:type="spellStart"/>
      <w:r w:rsidR="00DE71D2" w:rsidRPr="007819CB">
        <w:rPr>
          <w:rFonts w:ascii="Times New Roman" w:eastAsia="Times New Roman" w:hAnsi="Times New Roman" w:cs="Times New Roman"/>
          <w:lang w:val="sr-Latn-ME"/>
        </w:rPr>
        <w:t>predoziranja</w:t>
      </w:r>
      <w:proofErr w:type="spellEnd"/>
      <w:r w:rsidR="00DE71D2" w:rsidRPr="007819CB">
        <w:rPr>
          <w:rFonts w:ascii="Times New Roman" w:eastAsia="Times New Roman" w:hAnsi="Times New Roman" w:cs="Times New Roman"/>
          <w:lang w:val="sr-Latn-ME"/>
        </w:rPr>
        <w:t xml:space="preserve">. Slični ljekovi izazivaju gastrointestinalne (povraćanje, </w:t>
      </w:r>
      <w:proofErr w:type="spellStart"/>
      <w:r w:rsidR="00DE71D2" w:rsidRPr="007819CB">
        <w:rPr>
          <w:rFonts w:ascii="Times New Roman" w:eastAsia="Times New Roman" w:hAnsi="Times New Roman" w:cs="Times New Roman"/>
          <w:lang w:val="sr-Latn-ME"/>
        </w:rPr>
        <w:t>anoreksija</w:t>
      </w:r>
      <w:proofErr w:type="spellEnd"/>
      <w:r w:rsidR="00DE71D2" w:rsidRPr="007819CB">
        <w:rPr>
          <w:rFonts w:ascii="Times New Roman" w:eastAsia="Times New Roman" w:hAnsi="Times New Roman" w:cs="Times New Roman"/>
          <w:lang w:val="sr-Latn-ME"/>
        </w:rPr>
        <w:t>, bol u stomaku) i neurološke poremećaje (pospanost, vrtoglavica,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dezorijentisanost,</w:t>
      </w:r>
      <w:r w:rsidR="00DE71D2" w:rsidRPr="007819CB">
        <w:rPr>
          <w:rFonts w:ascii="Times New Roman" w:eastAsia="Times New Roman" w:hAnsi="Times New Roman" w:cs="Times New Roman"/>
          <w:lang w:val="sr-Latn-ME"/>
        </w:rPr>
        <w:t xml:space="preserve"> glavobolja).</w:t>
      </w:r>
    </w:p>
    <w:p w14:paraId="43D7A920" w14:textId="3256C536" w:rsidR="00DE71D2" w:rsidRPr="007819CB" w:rsidRDefault="00DE71D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>Kod slučajnog ili prekomjernog unošenja</w:t>
      </w:r>
      <w:r w:rsidR="00072AF0" w:rsidRPr="007819CB">
        <w:rPr>
          <w:rFonts w:ascii="Times New Roman" w:eastAsia="Times New Roman" w:hAnsi="Times New Roman" w:cs="Times New Roman"/>
          <w:lang w:val="sr-Latn-ME"/>
        </w:rPr>
        <w:t xml:space="preserve"> ili primjene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, neophodno je odmah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primjeniti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simptomatsku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terapiju u skladu sa pacijentovim kliničkim stanjem. </w:t>
      </w:r>
    </w:p>
    <w:p w14:paraId="437FF9E8" w14:textId="77777777" w:rsidR="00DE71D2" w:rsidRPr="007819CB" w:rsidRDefault="00DE71D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19F728A" w14:textId="1FA3057C" w:rsidR="00DE71D2" w:rsidRPr="007819CB" w:rsidRDefault="00DE71D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Deksketoprofen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trometamol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se može ukloniti dijalizom.</w:t>
      </w:r>
    </w:p>
    <w:p w14:paraId="6CECC1F5" w14:textId="53A4428B" w:rsidR="00DE71D2" w:rsidRDefault="00DE71D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F99A423" w14:textId="77777777" w:rsidR="007819CB" w:rsidRPr="007819CB" w:rsidRDefault="007819CB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9A5C98B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5. </w:t>
      </w: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ab/>
        <w:t>FARMAKOLOŠKI PODACI</w:t>
      </w:r>
    </w:p>
    <w:p w14:paraId="7831B2E2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5A87CB1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5.1. </w:t>
      </w: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ab/>
      </w:r>
      <w:proofErr w:type="spellStart"/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>Farmakodinamski</w:t>
      </w:r>
      <w:proofErr w:type="spellEnd"/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 podaci</w:t>
      </w:r>
    </w:p>
    <w:p w14:paraId="4BC45E0E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47590B10" w14:textId="4741CF58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Farmakoterapijska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grupa: </w:t>
      </w:r>
      <w:r w:rsidR="00567985" w:rsidRPr="007819CB">
        <w:rPr>
          <w:rFonts w:ascii="Times New Roman" w:eastAsia="Times New Roman" w:hAnsi="Times New Roman" w:cs="Times New Roman"/>
          <w:bCs/>
          <w:lang w:val="sr-Latn-ME"/>
        </w:rPr>
        <w:t xml:space="preserve">Preparati sa </w:t>
      </w:r>
      <w:proofErr w:type="spellStart"/>
      <w:r w:rsidR="00567985" w:rsidRPr="007819CB">
        <w:rPr>
          <w:rFonts w:ascii="Times New Roman" w:eastAsia="Times New Roman" w:hAnsi="Times New Roman" w:cs="Times New Roman"/>
          <w:bCs/>
          <w:lang w:val="sr-Latn-ME"/>
        </w:rPr>
        <w:t>antiinflamatornim</w:t>
      </w:r>
      <w:proofErr w:type="spellEnd"/>
      <w:r w:rsidR="00567985" w:rsidRPr="007819CB"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proofErr w:type="spellStart"/>
      <w:r w:rsidR="00567985" w:rsidRPr="007819CB">
        <w:rPr>
          <w:rFonts w:ascii="Times New Roman" w:eastAsia="Times New Roman" w:hAnsi="Times New Roman" w:cs="Times New Roman"/>
          <w:bCs/>
          <w:lang w:val="sr-Latn-ME"/>
        </w:rPr>
        <w:t>antireumatskim</w:t>
      </w:r>
      <w:proofErr w:type="spellEnd"/>
      <w:r w:rsidR="00567985" w:rsidRPr="007819CB">
        <w:rPr>
          <w:rFonts w:ascii="Times New Roman" w:eastAsia="Times New Roman" w:hAnsi="Times New Roman" w:cs="Times New Roman"/>
          <w:bCs/>
          <w:lang w:val="sr-Latn-ME"/>
        </w:rPr>
        <w:t xml:space="preserve"> dejstvom, derivati </w:t>
      </w:r>
      <w:proofErr w:type="spellStart"/>
      <w:r w:rsidR="00567985" w:rsidRPr="007819CB">
        <w:rPr>
          <w:rFonts w:ascii="Times New Roman" w:eastAsia="Times New Roman" w:hAnsi="Times New Roman" w:cs="Times New Roman"/>
          <w:bCs/>
          <w:lang w:val="sr-Latn-ME"/>
        </w:rPr>
        <w:t>propionske</w:t>
      </w:r>
      <w:proofErr w:type="spellEnd"/>
      <w:r w:rsidR="00567985" w:rsidRPr="007819CB">
        <w:rPr>
          <w:rFonts w:ascii="Times New Roman" w:eastAsia="Times New Roman" w:hAnsi="Times New Roman" w:cs="Times New Roman"/>
          <w:bCs/>
          <w:lang w:val="sr-Latn-ME"/>
        </w:rPr>
        <w:t xml:space="preserve"> kiseline</w:t>
      </w:r>
    </w:p>
    <w:p w14:paraId="34AEFD3E" w14:textId="77777777" w:rsidR="00FC3AD9" w:rsidRPr="007819CB" w:rsidRDefault="00FC3AD9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E0A45B2" w14:textId="346F80DA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>ATC kod:</w:t>
      </w:r>
      <w:r w:rsidR="00567985" w:rsidRPr="007819CB">
        <w:rPr>
          <w:rFonts w:ascii="Times New Roman" w:hAnsi="Times New Roman" w:cs="Times New Roman"/>
          <w:lang w:val="sr-Latn-ME"/>
        </w:rPr>
        <w:t xml:space="preserve"> </w:t>
      </w:r>
      <w:r w:rsidR="00567985" w:rsidRPr="007819CB">
        <w:rPr>
          <w:rFonts w:ascii="Times New Roman" w:eastAsia="Times New Roman" w:hAnsi="Times New Roman" w:cs="Times New Roman"/>
          <w:bCs/>
          <w:lang w:val="sr-Latn-ME"/>
        </w:rPr>
        <w:t>M01AE17</w:t>
      </w:r>
    </w:p>
    <w:p w14:paraId="7FB0CFDC" w14:textId="77777777" w:rsidR="00045CB9" w:rsidRPr="007819CB" w:rsidRDefault="00045CB9">
      <w:pPr>
        <w:widowControl w:val="0"/>
        <w:autoSpaceDE w:val="0"/>
        <w:autoSpaceDN w:val="0"/>
        <w:spacing w:after="0" w:line="237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75F9B4D8" w14:textId="72E63B71" w:rsidR="00CB7431" w:rsidRPr="007819CB" w:rsidRDefault="00CB7431">
      <w:pPr>
        <w:widowControl w:val="0"/>
        <w:autoSpaceDE w:val="0"/>
        <w:autoSpaceDN w:val="0"/>
        <w:spacing w:after="0" w:line="237" w:lineRule="auto"/>
        <w:jc w:val="both"/>
        <w:rPr>
          <w:rFonts w:ascii="Times New Roman" w:eastAsia="Times New Roman" w:hAnsi="Times New Roman" w:cs="Times New Roman"/>
          <w:lang w:val="sr-Latn-ME"/>
        </w:rPr>
      </w:pP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Deksketoprofen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trometamol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je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trometaminska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so S-(+)-2-(3-benzoilfenil)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propionske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kiseline, sa analgetičkim,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antiinflamatornim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i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antipiretičkim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svojstvima, koja pripada grupi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nesteroidnih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antiinflamatornih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ljekova</w:t>
      </w:r>
      <w:r w:rsidR="005505CB" w:rsidRPr="007819CB">
        <w:rPr>
          <w:rFonts w:ascii="Times New Roman" w:eastAsia="Times New Roman" w:hAnsi="Times New Roman" w:cs="Times New Roman"/>
          <w:lang w:val="sr-Latn-ME"/>
        </w:rPr>
        <w:t xml:space="preserve">, derivata </w:t>
      </w:r>
      <w:proofErr w:type="spellStart"/>
      <w:r w:rsidR="005505CB" w:rsidRPr="007819CB">
        <w:rPr>
          <w:rFonts w:ascii="Times New Roman" w:eastAsia="Times New Roman" w:hAnsi="Times New Roman" w:cs="Times New Roman"/>
          <w:lang w:val="sr-Latn-ME"/>
        </w:rPr>
        <w:t>propionske</w:t>
      </w:r>
      <w:proofErr w:type="spellEnd"/>
      <w:r w:rsidR="005505CB" w:rsidRPr="007819CB">
        <w:rPr>
          <w:rFonts w:ascii="Times New Roman" w:eastAsia="Times New Roman" w:hAnsi="Times New Roman" w:cs="Times New Roman"/>
          <w:lang w:val="sr-Latn-ME"/>
        </w:rPr>
        <w:t xml:space="preserve"> kiseline</w:t>
      </w:r>
      <w:r w:rsidRPr="007819CB">
        <w:rPr>
          <w:rFonts w:ascii="Times New Roman" w:eastAsia="Times New Roman" w:hAnsi="Times New Roman" w:cs="Times New Roman"/>
          <w:lang w:val="sr-Latn-ME"/>
        </w:rPr>
        <w:t>.</w:t>
      </w:r>
    </w:p>
    <w:p w14:paraId="7EC44400" w14:textId="77777777" w:rsidR="00CB7431" w:rsidRPr="007819CB" w:rsidRDefault="00CB7431">
      <w:pPr>
        <w:widowControl w:val="0"/>
        <w:autoSpaceDE w:val="0"/>
        <w:autoSpaceDN w:val="0"/>
        <w:spacing w:after="0" w:line="237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325F75BA" w14:textId="54CEE395" w:rsidR="005505CB" w:rsidRPr="007819CB" w:rsidRDefault="005505CB">
      <w:pPr>
        <w:widowControl w:val="0"/>
        <w:autoSpaceDE w:val="0"/>
        <w:autoSpaceDN w:val="0"/>
        <w:spacing w:after="0" w:line="237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7819CB">
        <w:rPr>
          <w:rFonts w:ascii="Times New Roman" w:eastAsia="Times New Roman" w:hAnsi="Times New Roman" w:cs="Times New Roman"/>
          <w:u w:val="single"/>
          <w:lang w:val="sr-Latn-ME"/>
        </w:rPr>
        <w:t>Mehanizam dejstva</w:t>
      </w:r>
    </w:p>
    <w:p w14:paraId="74E0F69E" w14:textId="0C8D024B" w:rsidR="00045CB9" w:rsidRPr="007819CB" w:rsidRDefault="00045CB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Mehanizam dejstva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nesteroidnih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antiinflamatornih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ljekova je povezan sa redukcijom sinteze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prostaglandina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putem inhibicije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ciklooksigenazog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puta.</w:t>
      </w:r>
      <w:r w:rsidR="008C1320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Specifično, postoji inhibicija transformacije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arahidonske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kiseline u ciklične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endoperokside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, PGG2 i PGH2, koji produkuju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prostaglandine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PGE1, PGE2, PGF2α i PGD2 kao i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prostaciklin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PGI2 i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tromboksane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(TxA2 i TxB2). Pored toga, inhibicija sinteze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prostaglandina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može uticati na 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druge medijatore inflamacije kao što su </w:t>
      </w:r>
      <w:r w:rsidR="005505CB" w:rsidRPr="007819CB">
        <w:rPr>
          <w:rFonts w:ascii="Times New Roman" w:eastAsia="Times New Roman" w:hAnsi="Times New Roman" w:cs="Times New Roman"/>
          <w:lang w:val="sr-Latn-ME"/>
        </w:rPr>
        <w:t>k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inini,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uzrokujući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indirektno dejstvo koje bi bilo aditivno direktnom dejstvu.</w:t>
      </w:r>
    </w:p>
    <w:p w14:paraId="756205E7" w14:textId="77777777" w:rsidR="00045CB9" w:rsidRPr="007819CB" w:rsidRDefault="00045CB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C896E85" w14:textId="77777777" w:rsidR="00045CB9" w:rsidRPr="007819CB" w:rsidRDefault="00045CB9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proofErr w:type="spellStart"/>
      <w:r w:rsidRPr="007819CB">
        <w:rPr>
          <w:rFonts w:ascii="Times New Roman" w:eastAsia="Times New Roman" w:hAnsi="Times New Roman" w:cs="Times New Roman"/>
          <w:u w:val="single"/>
          <w:lang w:val="sr-Latn-ME"/>
        </w:rPr>
        <w:t>Farmakodinamski</w:t>
      </w:r>
      <w:proofErr w:type="spellEnd"/>
      <w:r w:rsidRPr="007819CB">
        <w:rPr>
          <w:rFonts w:ascii="Times New Roman" w:eastAsia="Times New Roman" w:hAnsi="Times New Roman" w:cs="Times New Roman"/>
          <w:u w:val="single"/>
          <w:lang w:val="sr-Latn-ME"/>
        </w:rPr>
        <w:t xml:space="preserve"> efekti</w:t>
      </w:r>
    </w:p>
    <w:p w14:paraId="75B73FF5" w14:textId="77777777" w:rsidR="00045CB9" w:rsidRPr="007819CB" w:rsidRDefault="00045CB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Deksketoprofen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se pokazao kao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inhibitor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aktivnosti COX-1 i COX-2 kod eksperimentalnih životinja i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ljudi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>.</w:t>
      </w:r>
    </w:p>
    <w:p w14:paraId="121D877A" w14:textId="77777777" w:rsidR="00045CB9" w:rsidRPr="007819CB" w:rsidRDefault="00045CB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1E31556" w14:textId="5E449329" w:rsidR="00045CB9" w:rsidRPr="007819CB" w:rsidRDefault="00045CB9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7819CB">
        <w:rPr>
          <w:rFonts w:ascii="Times New Roman" w:eastAsia="Times New Roman" w:hAnsi="Times New Roman" w:cs="Times New Roman"/>
          <w:u w:val="single"/>
          <w:lang w:val="sr-Latn-ME"/>
        </w:rPr>
        <w:t>Klinička efikasnost i bezb</w:t>
      </w:r>
      <w:r w:rsidR="005505CB" w:rsidRPr="007819CB">
        <w:rPr>
          <w:rFonts w:ascii="Times New Roman" w:eastAsia="Times New Roman" w:hAnsi="Times New Roman" w:cs="Times New Roman"/>
          <w:u w:val="single"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u w:val="single"/>
          <w:lang w:val="sr-Latn-ME"/>
        </w:rPr>
        <w:t>ednost</w:t>
      </w:r>
    </w:p>
    <w:p w14:paraId="50D86C26" w14:textId="77777777" w:rsidR="00F632FC" w:rsidRPr="007819CB" w:rsidRDefault="00045CB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Kliničke studije sprovedene na nekoliko modela bola su pokazale efikasnu analgetsku aktivnost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deksketoprofen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trometamola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. </w:t>
      </w:r>
    </w:p>
    <w:p w14:paraId="0AAACE65" w14:textId="77777777" w:rsidR="00F632FC" w:rsidRPr="007819CB" w:rsidRDefault="00F632F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A548C07" w14:textId="189DB43E" w:rsidR="00F632FC" w:rsidRPr="007819CB" w:rsidRDefault="00F632FC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Analgetska efikasnost intramuskularnog i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intravenskog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deksketoprofen</w:t>
      </w:r>
      <w:proofErr w:type="spellEnd"/>
      <w:r w:rsidR="004509CD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4509CD" w:rsidRPr="007819CB">
        <w:rPr>
          <w:rFonts w:ascii="Times New Roman" w:eastAsia="Times New Roman" w:hAnsi="Times New Roman" w:cs="Times New Roman"/>
          <w:lang w:val="sr-Latn-ME"/>
        </w:rPr>
        <w:t>trometamola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u liječenju umjerenog do jakog bola testirana je na nekoliko modela hirurškog bola (ortopedska i ginekološka/abdominalna hirurgija),</w:t>
      </w:r>
      <w:r w:rsidR="00912C24" w:rsidRPr="007819CB">
        <w:rPr>
          <w:rFonts w:ascii="Times New Roman" w:eastAsia="Times New Roman" w:hAnsi="Times New Roman" w:cs="Times New Roman"/>
          <w:lang w:val="sr-Latn-ME"/>
        </w:rPr>
        <w:t xml:space="preserve"> kao i kod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muskuloskeletnog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bola (model akutnog bola u donjem d</w:t>
      </w:r>
      <w:r w:rsidR="00C46E28" w:rsidRPr="007819CB">
        <w:rPr>
          <w:rFonts w:ascii="Times New Roman" w:eastAsia="Times New Roman" w:hAnsi="Times New Roman" w:cs="Times New Roman"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lang w:val="sr-Latn-ME"/>
        </w:rPr>
        <w:t>elu leđa) i bubrežne kolike.</w:t>
      </w:r>
    </w:p>
    <w:p w14:paraId="176C335B" w14:textId="77777777" w:rsidR="00912C24" w:rsidRPr="007819CB" w:rsidRDefault="00912C2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22172D0" w14:textId="7B08B09B" w:rsidR="00C46E28" w:rsidRPr="007819CB" w:rsidRDefault="00C46E2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U sprovedenim testovima, početak analgetičkog efekta je bio brz, a maksimalni analgetički efekat je postignut tokom prvih 45 minuta nakon primjene. Trajanje analgetičkog efekta nakon primjene 50 mg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deksketoprofena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je obično 8 sati.</w:t>
      </w:r>
    </w:p>
    <w:p w14:paraId="255BA3AD" w14:textId="4BDDA88D" w:rsidR="00277FC2" w:rsidRPr="007819CB" w:rsidRDefault="00277FC2">
      <w:pPr>
        <w:widowControl w:val="0"/>
        <w:autoSpaceDE w:val="0"/>
        <w:autoSpaceDN w:val="0"/>
        <w:spacing w:after="0" w:line="237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C3380B1" w14:textId="777B23B1" w:rsidR="004D3795" w:rsidRPr="007819CB" w:rsidRDefault="00277FC2">
      <w:pPr>
        <w:widowControl w:val="0"/>
        <w:autoSpaceDE w:val="0"/>
        <w:autoSpaceDN w:val="0"/>
        <w:spacing w:after="0" w:line="237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>Kliničk</w:t>
      </w:r>
      <w:r w:rsidR="00C46E28" w:rsidRPr="007819CB">
        <w:rPr>
          <w:rFonts w:ascii="Times New Roman" w:eastAsia="Times New Roman" w:hAnsi="Times New Roman" w:cs="Times New Roman"/>
          <w:lang w:val="sr-Latn-ME"/>
        </w:rPr>
        <w:t>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C46E28" w:rsidRPr="007819CB">
        <w:rPr>
          <w:rFonts w:ascii="Times New Roman" w:eastAsia="Times New Roman" w:hAnsi="Times New Roman" w:cs="Times New Roman"/>
          <w:lang w:val="sr-Latn-ME"/>
        </w:rPr>
        <w:t>studije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l</w:t>
      </w:r>
      <w:r w:rsidR="00C46E28" w:rsidRPr="007819CB">
        <w:rPr>
          <w:rFonts w:ascii="Times New Roman" w:eastAsia="Times New Roman" w:hAnsi="Times New Roman" w:cs="Times New Roman"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lang w:val="sr-Latn-ME"/>
        </w:rPr>
        <w:t>ečenj</w:t>
      </w:r>
      <w:r w:rsidR="000729A5" w:rsidRPr="007819CB">
        <w:rPr>
          <w:rFonts w:ascii="Times New Roman" w:eastAsia="Times New Roman" w:hAnsi="Times New Roman" w:cs="Times New Roman"/>
          <w:lang w:val="sr-Latn-ME"/>
        </w:rPr>
        <w:t>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postoperativnog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bola pokazal</w:t>
      </w:r>
      <w:r w:rsidR="00150FF1" w:rsidRPr="007819CB">
        <w:rPr>
          <w:rFonts w:ascii="Times New Roman" w:eastAsia="Times New Roman" w:hAnsi="Times New Roman" w:cs="Times New Roman"/>
          <w:lang w:val="sr-Latn-ME"/>
        </w:rPr>
        <w:t>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su da prim</w:t>
      </w:r>
      <w:r w:rsidR="00150FF1" w:rsidRPr="007819CB">
        <w:rPr>
          <w:rFonts w:ascii="Times New Roman" w:eastAsia="Times New Roman" w:hAnsi="Times New Roman" w:cs="Times New Roman"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ena </w:t>
      </w:r>
      <w:r w:rsidR="00150FF1" w:rsidRPr="007819CB">
        <w:rPr>
          <w:rFonts w:ascii="Times New Roman" w:eastAsia="Times New Roman" w:hAnsi="Times New Roman" w:cs="Times New Roman"/>
          <w:lang w:val="sr-Latn-ME"/>
        </w:rPr>
        <w:t xml:space="preserve">lijeka </w:t>
      </w:r>
      <w:proofErr w:type="spellStart"/>
      <w:r w:rsidR="00150FF1" w:rsidRPr="007819CB">
        <w:rPr>
          <w:rFonts w:ascii="Times New Roman" w:eastAsia="Times New Roman" w:hAnsi="Times New Roman" w:cs="Times New Roman"/>
          <w:lang w:val="sr-Latn-ME"/>
        </w:rPr>
        <w:t>Dexketoprofen</w:t>
      </w:r>
      <w:proofErr w:type="spellEnd"/>
      <w:r w:rsidR="00150FF1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150FF1" w:rsidRPr="007819CB">
        <w:rPr>
          <w:rFonts w:ascii="Times New Roman" w:eastAsia="Times New Roman" w:hAnsi="Times New Roman" w:cs="Times New Roman"/>
          <w:lang w:val="sr-Latn-ME"/>
        </w:rPr>
        <w:t>Kalceks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u kombinaciji sa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opioidima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značajno smanjuje potrošnju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opioida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. U </w:t>
      </w:r>
      <w:r w:rsidR="00BC0187" w:rsidRPr="007819CB">
        <w:rPr>
          <w:rFonts w:ascii="Times New Roman" w:eastAsia="Times New Roman" w:hAnsi="Times New Roman" w:cs="Times New Roman"/>
          <w:lang w:val="sr-Latn-ME"/>
        </w:rPr>
        <w:t>studijama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postoperativnog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bola u kojima su </w:t>
      </w:r>
      <w:r w:rsidRPr="007819CB">
        <w:rPr>
          <w:rFonts w:ascii="Times New Roman" w:eastAsia="Times New Roman" w:hAnsi="Times New Roman" w:cs="Times New Roman"/>
          <w:lang w:val="sr-Latn-ME"/>
        </w:rPr>
        <w:lastRenderedPageBreak/>
        <w:t xml:space="preserve">pacijenti </w:t>
      </w:r>
      <w:r w:rsidR="00BC0187" w:rsidRPr="007819CB">
        <w:rPr>
          <w:rFonts w:ascii="Times New Roman" w:eastAsia="Times New Roman" w:hAnsi="Times New Roman" w:cs="Times New Roman"/>
          <w:lang w:val="sr-Latn-ME"/>
        </w:rPr>
        <w:t>dobijali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morfi</w:t>
      </w:r>
      <w:r w:rsidR="00B30869" w:rsidRPr="007819CB">
        <w:rPr>
          <w:rFonts w:ascii="Times New Roman" w:eastAsia="Times New Roman" w:hAnsi="Times New Roman" w:cs="Times New Roman"/>
          <w:lang w:val="sr-Latn-ME"/>
        </w:rPr>
        <w:t>n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preko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aparata za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analgeziju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koju kontroliše pacijent, pacijentima koji su l</w:t>
      </w:r>
      <w:r w:rsidR="00BC0187" w:rsidRPr="007819CB">
        <w:rPr>
          <w:rFonts w:ascii="Times New Roman" w:eastAsia="Times New Roman" w:hAnsi="Times New Roman" w:cs="Times New Roman"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ečeni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deksketoprofenom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bilo je potrebno znatno manje morfi</w:t>
      </w:r>
      <w:r w:rsidR="00B30869" w:rsidRPr="007819CB">
        <w:rPr>
          <w:rFonts w:ascii="Times New Roman" w:eastAsia="Times New Roman" w:hAnsi="Times New Roman" w:cs="Times New Roman"/>
          <w:lang w:val="sr-Latn-ME"/>
        </w:rPr>
        <w:t>na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(</w:t>
      </w:r>
      <w:r w:rsidR="00F84962" w:rsidRPr="007819CB">
        <w:rPr>
          <w:rFonts w:ascii="Times New Roman" w:eastAsia="Times New Roman" w:hAnsi="Times New Roman" w:cs="Times New Roman"/>
          <w:lang w:val="sr-Latn-ME"/>
        </w:rPr>
        <w:t xml:space="preserve">između 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30 do 45% manje) nego pacijentima u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placebo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grupi.</w:t>
      </w:r>
    </w:p>
    <w:p w14:paraId="4CCAFDDE" w14:textId="77777777" w:rsidR="00781AA4" w:rsidRPr="007819CB" w:rsidRDefault="00781A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</w:p>
    <w:p w14:paraId="2CD94B2B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5.2. </w:t>
      </w: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ab/>
      </w:r>
      <w:proofErr w:type="spellStart"/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>Farmakokinetički</w:t>
      </w:r>
      <w:proofErr w:type="spellEnd"/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 podaci</w:t>
      </w:r>
    </w:p>
    <w:p w14:paraId="2FFDD996" w14:textId="77777777" w:rsidR="00277FC2" w:rsidRPr="007819CB" w:rsidRDefault="00277FC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8482F56" w14:textId="3E26DAA3" w:rsidR="00277FC2" w:rsidRPr="007819CB" w:rsidRDefault="0024610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proofErr w:type="spellStart"/>
      <w:r w:rsidRPr="007819CB">
        <w:rPr>
          <w:rFonts w:ascii="Times New Roman" w:eastAsia="Times New Roman" w:hAnsi="Times New Roman" w:cs="Times New Roman"/>
          <w:bCs/>
          <w:u w:val="single"/>
          <w:lang w:val="sr-Latn-ME"/>
        </w:rPr>
        <w:t>Re</w:t>
      </w:r>
      <w:r w:rsidR="00277FC2" w:rsidRPr="007819CB">
        <w:rPr>
          <w:rFonts w:ascii="Times New Roman" w:eastAsia="Times New Roman" w:hAnsi="Times New Roman" w:cs="Times New Roman"/>
          <w:bCs/>
          <w:u w:val="single"/>
          <w:lang w:val="sr-Latn-ME"/>
        </w:rPr>
        <w:t>psorpcija</w:t>
      </w:r>
      <w:proofErr w:type="spellEnd"/>
    </w:p>
    <w:p w14:paraId="544CBC86" w14:textId="0FBB7EF4" w:rsidR="00277FC2" w:rsidRPr="007819CB" w:rsidRDefault="00277FC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>Nakon intramuskularne prim</w:t>
      </w:r>
      <w:r w:rsidR="0024610E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ene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deksketoprofen</w:t>
      </w:r>
      <w:proofErr w:type="spellEnd"/>
      <w:r w:rsidR="0024610E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trometamola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, maksimalne koncentracije kod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ljudi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se postižu za 20 minuta (od 10 do 45 minuta). Pokazalo se da je površina ispod kri</w:t>
      </w:r>
      <w:r w:rsidR="007D04E5" w:rsidRPr="007819CB">
        <w:rPr>
          <w:rFonts w:ascii="Times New Roman" w:eastAsia="Times New Roman" w:hAnsi="Times New Roman" w:cs="Times New Roman"/>
          <w:bCs/>
          <w:lang w:val="sr-Latn-ME"/>
        </w:rPr>
        <w:t>ve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nakon intramuskularne i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intravenske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prim</w:t>
      </w:r>
      <w:r w:rsidR="007D04E5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ene pojedinačne doze od 25 do 50 mg</w:t>
      </w:r>
      <w:r w:rsidR="007D04E5" w:rsidRPr="007819CB">
        <w:rPr>
          <w:rFonts w:ascii="Times New Roman" w:eastAsia="Times New Roman" w:hAnsi="Times New Roman" w:cs="Times New Roman"/>
          <w:bCs/>
          <w:lang w:val="sr-Latn-ME"/>
        </w:rPr>
        <w:t>,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proporcionalna dozi.</w:t>
      </w:r>
    </w:p>
    <w:p w14:paraId="1EE9490F" w14:textId="77777777" w:rsidR="00277FC2" w:rsidRPr="007819CB" w:rsidRDefault="00277FC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</w:p>
    <w:p w14:paraId="76A478E5" w14:textId="77777777" w:rsidR="00277FC2" w:rsidRPr="007819CB" w:rsidRDefault="00277FC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u w:val="single"/>
          <w:lang w:val="sr-Latn-ME"/>
        </w:rPr>
        <w:t>Distribucija</w:t>
      </w:r>
    </w:p>
    <w:p w14:paraId="1EBEEF17" w14:textId="4B177880" w:rsidR="00277FC2" w:rsidRPr="007819CB" w:rsidRDefault="00277FC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>Kao i kod drugih l</w:t>
      </w:r>
      <w:r w:rsidR="007D04E5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ekova </w:t>
      </w:r>
      <w:r w:rsidR="001237B0" w:rsidRPr="007819CB">
        <w:rPr>
          <w:rFonts w:ascii="Times New Roman" w:eastAsia="Times New Roman" w:hAnsi="Times New Roman" w:cs="Times New Roman"/>
          <w:bCs/>
          <w:lang w:val="sr-Latn-ME"/>
        </w:rPr>
        <w:t xml:space="preserve">sa visokim stepenom vezivanja za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proteine plazme (99%), njegov volumen distribucije</w:t>
      </w:r>
      <w:r w:rsidR="00472939" w:rsidRPr="007819CB">
        <w:rPr>
          <w:rFonts w:ascii="Times New Roman" w:eastAsia="Times New Roman" w:hAnsi="Times New Roman" w:cs="Times New Roman"/>
          <w:bCs/>
          <w:lang w:val="sr-Latn-ME"/>
        </w:rPr>
        <w:t xml:space="preserve"> ima srednju vrijednosti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manj</w:t>
      </w:r>
      <w:r w:rsidR="00472939" w:rsidRPr="007819CB">
        <w:rPr>
          <w:rFonts w:ascii="Times New Roman" w:eastAsia="Times New Roman" w:hAnsi="Times New Roman" w:cs="Times New Roman"/>
          <w:bCs/>
          <w:lang w:val="sr-Latn-ME"/>
        </w:rPr>
        <w:t>u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od 0</w:t>
      </w:r>
      <w:r w:rsidR="007D04E5" w:rsidRPr="007819CB">
        <w:rPr>
          <w:rFonts w:ascii="Times New Roman" w:eastAsia="Times New Roman" w:hAnsi="Times New Roman" w:cs="Times New Roman"/>
          <w:bCs/>
          <w:lang w:val="sr-Latn-ME"/>
        </w:rPr>
        <w:t>.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25 l/kg. Poluvr</w:t>
      </w:r>
      <w:r w:rsidR="007D04E5" w:rsidRPr="007819CB">
        <w:rPr>
          <w:rFonts w:ascii="Times New Roman" w:eastAsia="Times New Roman" w:hAnsi="Times New Roman" w:cs="Times New Roman"/>
          <w:bCs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eme distribucije je oko 0</w:t>
      </w:r>
      <w:r w:rsidR="007D04E5" w:rsidRPr="007819CB">
        <w:rPr>
          <w:rFonts w:ascii="Times New Roman" w:eastAsia="Times New Roman" w:hAnsi="Times New Roman" w:cs="Times New Roman"/>
          <w:bCs/>
          <w:lang w:val="sr-Latn-ME"/>
        </w:rPr>
        <w:t>.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35 sati, dok je poluvr</w:t>
      </w:r>
      <w:r w:rsidR="007D04E5" w:rsidRPr="007819CB">
        <w:rPr>
          <w:rFonts w:ascii="Times New Roman" w:eastAsia="Times New Roman" w:hAnsi="Times New Roman" w:cs="Times New Roman"/>
          <w:bCs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eme eliminacije bilo od 1 do 2</w:t>
      </w:r>
      <w:r w:rsidR="007D04E5" w:rsidRPr="007819CB">
        <w:rPr>
          <w:rFonts w:ascii="Times New Roman" w:eastAsia="Times New Roman" w:hAnsi="Times New Roman" w:cs="Times New Roman"/>
          <w:bCs/>
          <w:lang w:val="sr-Latn-ME"/>
        </w:rPr>
        <w:t>.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7 sati.</w:t>
      </w:r>
    </w:p>
    <w:p w14:paraId="1DE70F9D" w14:textId="63D818AD" w:rsidR="00277FC2" w:rsidRPr="007819CB" w:rsidRDefault="00277FC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U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farmakokinetičkim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studijama sa </w:t>
      </w:r>
      <w:r w:rsidR="00072BF9" w:rsidRPr="007819CB">
        <w:rPr>
          <w:rFonts w:ascii="Times New Roman" w:eastAsia="Times New Roman" w:hAnsi="Times New Roman" w:cs="Times New Roman"/>
          <w:bCs/>
          <w:lang w:val="sr-Latn-ME"/>
        </w:rPr>
        <w:t>ponovljenim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d</w:t>
      </w:r>
      <w:r w:rsidR="00072BF9" w:rsidRPr="007819CB">
        <w:rPr>
          <w:rFonts w:ascii="Times New Roman" w:eastAsia="Times New Roman" w:hAnsi="Times New Roman" w:cs="Times New Roman"/>
          <w:bCs/>
          <w:lang w:val="sr-Latn-ME"/>
        </w:rPr>
        <w:t>oziranjem lijeka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,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prim</w:t>
      </w:r>
      <w:r w:rsidR="007D04E5" w:rsidRPr="007819CB">
        <w:rPr>
          <w:rFonts w:ascii="Times New Roman" w:eastAsia="Times New Roman" w:hAnsi="Times New Roman" w:cs="Times New Roman"/>
          <w:bCs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ećeno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je da se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C</w:t>
      </w:r>
      <w:r w:rsidRPr="007819CB">
        <w:rPr>
          <w:rFonts w:ascii="Times New Roman" w:eastAsia="Times New Roman" w:hAnsi="Times New Roman" w:cs="Times New Roman"/>
          <w:bCs/>
          <w:vertAlign w:val="subscript"/>
          <w:lang w:val="sr-Latn-ME"/>
        </w:rPr>
        <w:t>ma</w:t>
      </w:r>
      <w:r w:rsidR="007D04E5" w:rsidRPr="007819CB">
        <w:rPr>
          <w:rFonts w:ascii="Times New Roman" w:eastAsia="Times New Roman" w:hAnsi="Times New Roman" w:cs="Times New Roman"/>
          <w:bCs/>
          <w:vertAlign w:val="subscript"/>
          <w:lang w:val="sr-Latn-ME"/>
        </w:rPr>
        <w:t>x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r w:rsidR="007D04E5" w:rsidRPr="007819CB">
        <w:rPr>
          <w:rFonts w:ascii="Times New Roman" w:eastAsia="Times New Roman" w:hAnsi="Times New Roman" w:cs="Times New Roman"/>
          <w:bCs/>
          <w:lang w:val="sr-Latn-ME"/>
        </w:rPr>
        <w:t>PIK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E731B5" w:rsidRPr="007819CB">
        <w:rPr>
          <w:rFonts w:ascii="Times New Roman" w:eastAsia="Times New Roman" w:hAnsi="Times New Roman" w:cs="Times New Roman"/>
          <w:bCs/>
          <w:lang w:val="sr-Latn-ME"/>
        </w:rPr>
        <w:t>nakon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posl</w:t>
      </w:r>
      <w:r w:rsidR="0014454C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ednje intramuskularne ili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intravenske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prim</w:t>
      </w:r>
      <w:r w:rsidR="007D04E5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ene ne razlikuju od onih nakon </w:t>
      </w:r>
      <w:r w:rsidR="00AA496D" w:rsidRPr="007819CB">
        <w:rPr>
          <w:rFonts w:ascii="Times New Roman" w:eastAsia="Times New Roman" w:hAnsi="Times New Roman" w:cs="Times New Roman"/>
          <w:bCs/>
          <w:lang w:val="sr-Latn-ME"/>
        </w:rPr>
        <w:t>pojedinačne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doze, što </w:t>
      </w:r>
      <w:r w:rsidR="00AB662F" w:rsidRPr="007819CB">
        <w:rPr>
          <w:rFonts w:ascii="Times New Roman" w:eastAsia="Times New Roman" w:hAnsi="Times New Roman" w:cs="Times New Roman"/>
          <w:bCs/>
          <w:lang w:val="sr-Latn-ME"/>
        </w:rPr>
        <w:t>pokazuje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da ne</w:t>
      </w:r>
      <w:r w:rsidR="00AB662F" w:rsidRPr="007819CB">
        <w:rPr>
          <w:rFonts w:ascii="Times New Roman" w:eastAsia="Times New Roman" w:hAnsi="Times New Roman" w:cs="Times New Roman"/>
          <w:bCs/>
          <w:lang w:val="sr-Latn-ME"/>
        </w:rPr>
        <w:t>ma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akumulacije l</w:t>
      </w:r>
      <w:r w:rsidR="007D04E5" w:rsidRPr="007819CB">
        <w:rPr>
          <w:rFonts w:ascii="Times New Roman" w:eastAsia="Times New Roman" w:hAnsi="Times New Roman" w:cs="Times New Roman"/>
          <w:bCs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eka.</w:t>
      </w:r>
    </w:p>
    <w:p w14:paraId="444EADBC" w14:textId="77777777" w:rsidR="00277FC2" w:rsidRPr="007819CB" w:rsidRDefault="00277FC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</w:p>
    <w:p w14:paraId="196BEBE0" w14:textId="77777777" w:rsidR="00277FC2" w:rsidRPr="007819CB" w:rsidRDefault="00277FC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proofErr w:type="spellStart"/>
      <w:r w:rsidRPr="007819CB">
        <w:rPr>
          <w:rFonts w:ascii="Times New Roman" w:eastAsia="Times New Roman" w:hAnsi="Times New Roman" w:cs="Times New Roman"/>
          <w:bCs/>
          <w:u w:val="single"/>
          <w:lang w:val="sr-Latn-ME"/>
        </w:rPr>
        <w:t>Biotransformacija</w:t>
      </w:r>
      <w:proofErr w:type="spellEnd"/>
      <w:r w:rsidRPr="007819CB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 i eliminacija</w:t>
      </w:r>
    </w:p>
    <w:p w14:paraId="5C44BD66" w14:textId="4611D190" w:rsidR="00277FC2" w:rsidRPr="007819CB" w:rsidRDefault="00277FC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>Nakon prim</w:t>
      </w:r>
      <w:r w:rsidR="0014454C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ene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deksketoprofen</w:t>
      </w:r>
      <w:proofErr w:type="spellEnd"/>
      <w:r w:rsidR="0014454C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trometamola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, u urinu </w:t>
      </w:r>
      <w:r w:rsidR="00EB6F38" w:rsidRPr="007819CB">
        <w:rPr>
          <w:rFonts w:ascii="Times New Roman" w:eastAsia="Times New Roman" w:hAnsi="Times New Roman" w:cs="Times New Roman"/>
          <w:bCs/>
          <w:lang w:val="sr-Latn-ME"/>
        </w:rPr>
        <w:t>je detektovan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samo S-(+)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enantiomer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, što pokazuje da </w:t>
      </w:r>
      <w:r w:rsidR="00AB662F" w:rsidRPr="007819CB">
        <w:rPr>
          <w:rFonts w:ascii="Times New Roman" w:eastAsia="Times New Roman" w:hAnsi="Times New Roman" w:cs="Times New Roman"/>
          <w:bCs/>
          <w:lang w:val="sr-Latn-ME"/>
        </w:rPr>
        <w:t xml:space="preserve">kod </w:t>
      </w:r>
      <w:proofErr w:type="spellStart"/>
      <w:r w:rsidR="00AB662F" w:rsidRPr="007819CB">
        <w:rPr>
          <w:rFonts w:ascii="Times New Roman" w:eastAsia="Times New Roman" w:hAnsi="Times New Roman" w:cs="Times New Roman"/>
          <w:bCs/>
          <w:lang w:val="sr-Latn-ME"/>
        </w:rPr>
        <w:t>ljudi</w:t>
      </w:r>
      <w:proofErr w:type="spellEnd"/>
      <w:r w:rsidR="00AB662F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nema konverzije u R-(-)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enantiomer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5422E7C4" w14:textId="77777777" w:rsidR="00277FC2" w:rsidRPr="007819CB" w:rsidRDefault="00277FC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Glavni put eliminacije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deksketoprofena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je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glukuronidacija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>, a zatim izlučivanje putem bubrega.</w:t>
      </w:r>
    </w:p>
    <w:p w14:paraId="5A2231C1" w14:textId="77777777" w:rsidR="00277FC2" w:rsidRPr="007819CB" w:rsidRDefault="00277FC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</w:p>
    <w:p w14:paraId="6CDB9400" w14:textId="77777777" w:rsidR="00277FC2" w:rsidRPr="007819CB" w:rsidRDefault="00277FC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u w:val="single"/>
          <w:lang w:val="sr-Latn-ME"/>
        </w:rPr>
        <w:t>Starije osobe</w:t>
      </w:r>
    </w:p>
    <w:p w14:paraId="27258A63" w14:textId="5C6B2C16" w:rsidR="00930311" w:rsidRPr="007819CB" w:rsidRDefault="00277FC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Kod zdravih starijih osoba (65 godina i </w:t>
      </w:r>
      <w:r w:rsidR="009F411F" w:rsidRPr="007819CB">
        <w:rPr>
          <w:rFonts w:ascii="Times New Roman" w:eastAsia="Times New Roman" w:hAnsi="Times New Roman" w:cs="Times New Roman"/>
          <w:bCs/>
          <w:lang w:val="sr-Latn-ME"/>
        </w:rPr>
        <w:t>starijih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), izloženost l</w:t>
      </w:r>
      <w:r w:rsidR="009F411F" w:rsidRPr="007819CB">
        <w:rPr>
          <w:rFonts w:ascii="Times New Roman" w:eastAsia="Times New Roman" w:hAnsi="Times New Roman" w:cs="Times New Roman"/>
          <w:bCs/>
          <w:lang w:val="sr-Latn-ME"/>
        </w:rPr>
        <w:t>ijeku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nakon jednokrat</w:t>
      </w:r>
      <w:r w:rsidR="009F411F" w:rsidRPr="007819CB">
        <w:rPr>
          <w:rFonts w:ascii="Times New Roman" w:eastAsia="Times New Roman" w:hAnsi="Times New Roman" w:cs="Times New Roman"/>
          <w:bCs/>
          <w:lang w:val="sr-Latn-ME"/>
        </w:rPr>
        <w:t>nih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 ponovljen</w:t>
      </w:r>
      <w:r w:rsidR="009F411F" w:rsidRPr="007819CB">
        <w:rPr>
          <w:rFonts w:ascii="Times New Roman" w:eastAsia="Times New Roman" w:hAnsi="Times New Roman" w:cs="Times New Roman"/>
          <w:bCs/>
          <w:lang w:val="sr-Latn-ME"/>
        </w:rPr>
        <w:t>ih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oraln</w:t>
      </w:r>
      <w:r w:rsidR="009F411F" w:rsidRPr="007819CB">
        <w:rPr>
          <w:rFonts w:ascii="Times New Roman" w:eastAsia="Times New Roman" w:hAnsi="Times New Roman" w:cs="Times New Roman"/>
          <w:bCs/>
          <w:lang w:val="sr-Latn-ME"/>
        </w:rPr>
        <w:t>ih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doz</w:t>
      </w:r>
      <w:r w:rsidR="009F411F" w:rsidRPr="007819CB">
        <w:rPr>
          <w:rFonts w:ascii="Times New Roman" w:eastAsia="Times New Roman" w:hAnsi="Times New Roman" w:cs="Times New Roman"/>
          <w:bCs/>
          <w:lang w:val="sr-Latn-ME"/>
        </w:rPr>
        <w:t>a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značajno</w:t>
      </w:r>
      <w:r w:rsidR="009F411F" w:rsidRPr="007819CB">
        <w:rPr>
          <w:rFonts w:ascii="Times New Roman" w:eastAsia="Times New Roman" w:hAnsi="Times New Roman" w:cs="Times New Roman"/>
          <w:bCs/>
          <w:lang w:val="sr-Latn-ME"/>
        </w:rPr>
        <w:t xml:space="preserve"> je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veća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nego kod mladih dobrovoljaca (do 55%), dok nema statistički značajne razlike u </w:t>
      </w:r>
      <w:r w:rsidR="0014454C" w:rsidRPr="007819CB">
        <w:rPr>
          <w:rFonts w:ascii="Times New Roman" w:eastAsia="Times New Roman" w:hAnsi="Times New Roman" w:cs="Times New Roman"/>
          <w:bCs/>
          <w:lang w:val="sr-Latn-ME"/>
        </w:rPr>
        <w:t>maksimalnim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koncentracijama i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vremenu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do dostizanja </w:t>
      </w:r>
      <w:r w:rsidR="0014454C" w:rsidRPr="007819CB">
        <w:rPr>
          <w:rFonts w:ascii="Times New Roman" w:eastAsia="Times New Roman" w:hAnsi="Times New Roman" w:cs="Times New Roman"/>
          <w:bCs/>
          <w:lang w:val="sr-Latn-ME"/>
        </w:rPr>
        <w:t>maksimalnih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koncentracija. Poluvr</w:t>
      </w:r>
      <w:r w:rsidR="0014454C" w:rsidRPr="007819CB">
        <w:rPr>
          <w:rFonts w:ascii="Times New Roman" w:eastAsia="Times New Roman" w:hAnsi="Times New Roman" w:cs="Times New Roman"/>
          <w:bCs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eme eliminacije je produženo nakon </w:t>
      </w:r>
      <w:r w:rsidR="009F411F" w:rsidRPr="007819CB">
        <w:rPr>
          <w:rFonts w:ascii="Times New Roman" w:eastAsia="Times New Roman" w:hAnsi="Times New Roman" w:cs="Times New Roman"/>
          <w:bCs/>
          <w:lang w:val="sr-Latn-ME"/>
        </w:rPr>
        <w:t>jednokratnih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 ponovljenih doza (do 48%), a ukupni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klirens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je smanjen.</w:t>
      </w:r>
    </w:p>
    <w:p w14:paraId="3FC2E978" w14:textId="77777777" w:rsidR="00781AA4" w:rsidRPr="007819CB" w:rsidRDefault="00781AA4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1090BA6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5.3. </w:t>
      </w: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ab/>
      </w:r>
      <w:proofErr w:type="spellStart"/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>Pretklinički</w:t>
      </w:r>
      <w:proofErr w:type="spellEnd"/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 podaci o bezbjednosti </w:t>
      </w:r>
    </w:p>
    <w:p w14:paraId="0310DA91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FDBEAA3" w14:textId="77C6F9B8" w:rsidR="00277FC2" w:rsidRPr="007819CB" w:rsidRDefault="0064188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Pretklinički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podaci ni</w:t>
      </w:r>
      <w:r w:rsidR="00F43884" w:rsidRPr="007819CB">
        <w:rPr>
          <w:rFonts w:ascii="Times New Roman" w:eastAsia="Times New Roman" w:hAnsi="Times New Roman" w:cs="Times New Roman"/>
          <w:bCs/>
          <w:lang w:val="sr-Latn-ME"/>
        </w:rPr>
        <w:t>je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su otkrili poseban rizik po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ljude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na osnovu konvencionalnih studija farmakološke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bezbijednosti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, toksičnosti ponovljenih doza,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genotoksičnosti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, reproduktivne toksičnosti ili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imunofarmakoloških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ispitivanja. Studije hronične toksičnosti sprovedene na miševima i majmunima pokazuju nivo doze</w:t>
      </w:r>
      <w:r w:rsidR="004C0E59" w:rsidRPr="007819CB">
        <w:rPr>
          <w:rFonts w:ascii="Times New Roman" w:eastAsia="Times New Roman" w:hAnsi="Times New Roman" w:cs="Times New Roman"/>
          <w:bCs/>
          <w:lang w:val="sr-Latn-ME"/>
        </w:rPr>
        <w:t xml:space="preserve"> od 3 mg/kg/dan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bez neželjenih dejstava. </w:t>
      </w:r>
      <w:r w:rsidR="00D62870" w:rsidRPr="007819CB">
        <w:rPr>
          <w:rFonts w:ascii="Times New Roman" w:eastAsia="Times New Roman" w:hAnsi="Times New Roman" w:cs="Times New Roman"/>
          <w:bCs/>
          <w:lang w:val="sr-Latn-ME"/>
        </w:rPr>
        <w:t>Glavni neželjeni efekt</w:t>
      </w:r>
      <w:r w:rsidR="00816103" w:rsidRPr="007819CB">
        <w:rPr>
          <w:rFonts w:ascii="Times New Roman" w:eastAsia="Times New Roman" w:hAnsi="Times New Roman" w:cs="Times New Roman"/>
          <w:bCs/>
          <w:lang w:val="sr-Latn-ME"/>
        </w:rPr>
        <w:t>i</w:t>
      </w:r>
      <w:r w:rsidR="00D62870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D62870" w:rsidRPr="007819CB">
        <w:rPr>
          <w:rFonts w:ascii="Times New Roman" w:eastAsia="Times New Roman" w:hAnsi="Times New Roman" w:cs="Times New Roman"/>
          <w:bCs/>
          <w:lang w:val="sr-Latn-ME"/>
        </w:rPr>
        <w:t>primijećen</w:t>
      </w:r>
      <w:r w:rsidR="00816103" w:rsidRPr="007819CB">
        <w:rPr>
          <w:rFonts w:ascii="Times New Roman" w:eastAsia="Times New Roman" w:hAnsi="Times New Roman" w:cs="Times New Roman"/>
          <w:bCs/>
          <w:lang w:val="sr-Latn-ME"/>
        </w:rPr>
        <w:t>i</w:t>
      </w:r>
      <w:proofErr w:type="spellEnd"/>
      <w:r w:rsidR="00D62870" w:rsidRPr="007819CB">
        <w:rPr>
          <w:rFonts w:ascii="Times New Roman" w:eastAsia="Times New Roman" w:hAnsi="Times New Roman" w:cs="Times New Roman"/>
          <w:bCs/>
          <w:lang w:val="sr-Latn-ME"/>
        </w:rPr>
        <w:t xml:space="preserve"> pri visokim dozama </w:t>
      </w:r>
      <w:r w:rsidR="00816103" w:rsidRPr="007819CB">
        <w:rPr>
          <w:rFonts w:ascii="Times New Roman" w:eastAsia="Times New Roman" w:hAnsi="Times New Roman" w:cs="Times New Roman"/>
          <w:bCs/>
          <w:lang w:val="sr-Latn-ME"/>
        </w:rPr>
        <w:t>su</w:t>
      </w:r>
      <w:r w:rsidR="00D62870" w:rsidRPr="007819CB">
        <w:rPr>
          <w:rFonts w:ascii="Times New Roman" w:eastAsia="Times New Roman" w:hAnsi="Times New Roman" w:cs="Times New Roman"/>
          <w:bCs/>
          <w:lang w:val="sr-Latn-ME"/>
        </w:rPr>
        <w:t xml:space="preserve"> gastrointestinalne erozije i čirevi </w:t>
      </w:r>
      <w:r w:rsidR="00816103" w:rsidRPr="007819CB">
        <w:rPr>
          <w:rFonts w:ascii="Times New Roman" w:eastAsia="Times New Roman" w:hAnsi="Times New Roman" w:cs="Times New Roman"/>
          <w:bCs/>
          <w:lang w:val="sr-Latn-ME"/>
        </w:rPr>
        <w:t>koji su</w:t>
      </w:r>
      <w:r w:rsidR="00D62870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D62870" w:rsidRPr="007819CB">
        <w:rPr>
          <w:rFonts w:ascii="Times New Roman" w:eastAsia="Times New Roman" w:hAnsi="Times New Roman" w:cs="Times New Roman"/>
          <w:bCs/>
          <w:lang w:val="sr-Latn-ME"/>
        </w:rPr>
        <w:t>doz</w:t>
      </w:r>
      <w:r w:rsidR="00816103" w:rsidRPr="007819CB">
        <w:rPr>
          <w:rFonts w:ascii="Times New Roman" w:eastAsia="Times New Roman" w:hAnsi="Times New Roman" w:cs="Times New Roman"/>
          <w:bCs/>
          <w:lang w:val="sr-Latn-ME"/>
        </w:rPr>
        <w:t>no</w:t>
      </w:r>
      <w:proofErr w:type="spellEnd"/>
      <w:r w:rsidR="00816103" w:rsidRPr="007819CB">
        <w:rPr>
          <w:rFonts w:ascii="Times New Roman" w:eastAsia="Times New Roman" w:hAnsi="Times New Roman" w:cs="Times New Roman"/>
          <w:bCs/>
          <w:lang w:val="sr-Latn-ME"/>
        </w:rPr>
        <w:t xml:space="preserve"> zavisni</w:t>
      </w:r>
      <w:r w:rsidR="00D62870" w:rsidRPr="007819CB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1C4C853C" w14:textId="4244E0ED" w:rsidR="00FD5C9F" w:rsidRPr="007819CB" w:rsidRDefault="00277FC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>Kao što je utvrđeno za c</w:t>
      </w:r>
      <w:r w:rsidR="00816103" w:rsidRPr="007819CB">
        <w:rPr>
          <w:rFonts w:ascii="Times New Roman" w:eastAsia="Times New Roman" w:hAnsi="Times New Roman" w:cs="Times New Roman"/>
          <w:bCs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elu </w:t>
      </w:r>
      <w:r w:rsidR="00984F47" w:rsidRPr="007819CB">
        <w:rPr>
          <w:rFonts w:ascii="Times New Roman" w:eastAsia="Times New Roman" w:hAnsi="Times New Roman" w:cs="Times New Roman"/>
          <w:bCs/>
          <w:lang w:val="sr-Latn-ME"/>
        </w:rPr>
        <w:t>farmakol</w:t>
      </w:r>
      <w:r w:rsidR="00F82767" w:rsidRPr="007819CB">
        <w:rPr>
          <w:rFonts w:ascii="Times New Roman" w:eastAsia="Times New Roman" w:hAnsi="Times New Roman" w:cs="Times New Roman"/>
          <w:bCs/>
          <w:lang w:val="sr-Latn-ME"/>
        </w:rPr>
        <w:t>o</w:t>
      </w:r>
      <w:r w:rsidR="00984F47" w:rsidRPr="007819CB">
        <w:rPr>
          <w:rFonts w:ascii="Times New Roman" w:eastAsia="Times New Roman" w:hAnsi="Times New Roman" w:cs="Times New Roman"/>
          <w:bCs/>
          <w:lang w:val="sr-Latn-ME"/>
        </w:rPr>
        <w:t xml:space="preserve">šku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grupu NSAIL,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deksketoprofen</w:t>
      </w:r>
      <w:proofErr w:type="spellEnd"/>
      <w:r w:rsidR="00984F47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="00984F47" w:rsidRPr="007819CB">
        <w:rPr>
          <w:rFonts w:ascii="Times New Roman" w:eastAsia="Times New Roman" w:hAnsi="Times New Roman" w:cs="Times New Roman"/>
          <w:bCs/>
          <w:lang w:val="sr-Latn-ME"/>
        </w:rPr>
        <w:t>trometamol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može dovesti do prom</w:t>
      </w:r>
      <w:r w:rsidR="00816103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ena u </w:t>
      </w:r>
      <w:r w:rsidR="00816103" w:rsidRPr="007819CB">
        <w:rPr>
          <w:rFonts w:ascii="Times New Roman" w:eastAsia="Times New Roman" w:hAnsi="Times New Roman" w:cs="Times New Roman"/>
          <w:bCs/>
          <w:lang w:val="sr-Latn-ME"/>
        </w:rPr>
        <w:t>embrio-</w:t>
      </w:r>
      <w:proofErr w:type="spellStart"/>
      <w:r w:rsidR="00816103" w:rsidRPr="007819CB">
        <w:rPr>
          <w:rFonts w:ascii="Times New Roman" w:eastAsia="Times New Roman" w:hAnsi="Times New Roman" w:cs="Times New Roman"/>
          <w:bCs/>
          <w:lang w:val="sr-Latn-ME"/>
        </w:rPr>
        <w:t>fetalnom</w:t>
      </w:r>
      <w:proofErr w:type="spellEnd"/>
      <w:r w:rsidR="00816103"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preživljavanju na životinjskim modelima,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d</w:t>
      </w:r>
      <w:r w:rsidR="00816103" w:rsidRPr="007819CB">
        <w:rPr>
          <w:rFonts w:ascii="Times New Roman" w:eastAsia="Times New Roman" w:hAnsi="Times New Roman" w:cs="Times New Roman"/>
          <w:bCs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elujući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indirektno na gastrointestinalnu toksičnost kod trudnica i direktno na razvoj fetusa.</w:t>
      </w:r>
    </w:p>
    <w:p w14:paraId="59F45FDB" w14:textId="06673DAB" w:rsidR="004D3795" w:rsidRPr="007819CB" w:rsidRDefault="004D379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1B5836A" w14:textId="77777777" w:rsidR="008B02A9" w:rsidRPr="007819CB" w:rsidRDefault="008B02A9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AF26585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6. </w:t>
      </w: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ab/>
        <w:t>FARMACEUTSKI PODACI</w:t>
      </w:r>
    </w:p>
    <w:p w14:paraId="602D5F9A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7B9914E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6.1. </w:t>
      </w: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ab/>
        <w:t>Lista pomoćnih supstanci (</w:t>
      </w:r>
      <w:proofErr w:type="spellStart"/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>ekscipijenasa</w:t>
      </w:r>
      <w:proofErr w:type="spellEnd"/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>)</w:t>
      </w:r>
    </w:p>
    <w:p w14:paraId="087BFD52" w14:textId="77777777" w:rsidR="004D3795" w:rsidRPr="007819CB" w:rsidRDefault="004D379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9597F2B" w14:textId="77777777" w:rsidR="00277FC2" w:rsidRPr="007819CB" w:rsidRDefault="00277FC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>Natrijum hlorid</w:t>
      </w:r>
    </w:p>
    <w:p w14:paraId="297092BA" w14:textId="77777777" w:rsidR="00277FC2" w:rsidRPr="007819CB" w:rsidRDefault="00277FC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>Etanol (96 %)</w:t>
      </w:r>
    </w:p>
    <w:p w14:paraId="5EB9B7F2" w14:textId="2E615717" w:rsidR="00277FC2" w:rsidRPr="007819CB" w:rsidRDefault="00277FC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Natrijum hidroksid (za podešavanje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pH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vr</w:t>
      </w:r>
      <w:r w:rsidR="00816103" w:rsidRPr="007819CB">
        <w:rPr>
          <w:rFonts w:ascii="Times New Roman" w:eastAsia="Times New Roman" w:hAnsi="Times New Roman" w:cs="Times New Roman"/>
          <w:bCs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ednosti)</w:t>
      </w:r>
    </w:p>
    <w:p w14:paraId="08F31509" w14:textId="15D2989B" w:rsidR="00161D99" w:rsidRPr="007819CB" w:rsidRDefault="00277FC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>Voda za injekcije</w:t>
      </w:r>
    </w:p>
    <w:p w14:paraId="712D7AEC" w14:textId="77777777" w:rsidR="00277FC2" w:rsidRPr="007819CB" w:rsidRDefault="00277FC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D675FF0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6.2. </w:t>
      </w: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ab/>
        <w:t>Inkompatibilnosti</w:t>
      </w:r>
    </w:p>
    <w:p w14:paraId="61D8687B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5C3F5A10" w14:textId="5A350C9D" w:rsidR="00277FC2" w:rsidRPr="007819CB" w:rsidRDefault="00951A9B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Lijek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Dexketoprofen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Kalceks</w:t>
      </w:r>
      <w:proofErr w:type="spellEnd"/>
      <w:r w:rsidR="00277FC2" w:rsidRPr="007819CB">
        <w:rPr>
          <w:rFonts w:ascii="Times New Roman" w:eastAsia="Times New Roman" w:hAnsi="Times New Roman" w:cs="Times New Roman"/>
          <w:lang w:val="sr-Latn-ME"/>
        </w:rPr>
        <w:t xml:space="preserve"> ne sm</w:t>
      </w:r>
      <w:r w:rsidRPr="007819CB">
        <w:rPr>
          <w:rFonts w:ascii="Times New Roman" w:eastAsia="Times New Roman" w:hAnsi="Times New Roman" w:cs="Times New Roman"/>
          <w:lang w:val="sr-Latn-ME"/>
        </w:rPr>
        <w:t>ij</w:t>
      </w:r>
      <w:r w:rsidR="00277FC2" w:rsidRPr="007819CB">
        <w:rPr>
          <w:rFonts w:ascii="Times New Roman" w:eastAsia="Times New Roman" w:hAnsi="Times New Roman" w:cs="Times New Roman"/>
          <w:lang w:val="sr-Latn-ME"/>
        </w:rPr>
        <w:t>e se m</w:t>
      </w:r>
      <w:r w:rsidRPr="007819CB">
        <w:rPr>
          <w:rFonts w:ascii="Times New Roman" w:eastAsia="Times New Roman" w:hAnsi="Times New Roman" w:cs="Times New Roman"/>
          <w:lang w:val="sr-Latn-ME"/>
        </w:rPr>
        <w:t>ij</w:t>
      </w:r>
      <w:r w:rsidR="00277FC2" w:rsidRPr="007819CB">
        <w:rPr>
          <w:rFonts w:ascii="Times New Roman" w:eastAsia="Times New Roman" w:hAnsi="Times New Roman" w:cs="Times New Roman"/>
          <w:lang w:val="sr-Latn-ME"/>
        </w:rPr>
        <w:t>ešati u malo</w:t>
      </w:r>
      <w:r w:rsidR="004B4CC5" w:rsidRPr="007819CB">
        <w:rPr>
          <w:rFonts w:ascii="Times New Roman" w:eastAsia="Times New Roman" w:hAnsi="Times New Roman" w:cs="Times New Roman"/>
          <w:lang w:val="sr-Latn-ME"/>
        </w:rPr>
        <w:t>m volumenu</w:t>
      </w:r>
      <w:r w:rsidR="00277FC2" w:rsidRPr="007819CB">
        <w:rPr>
          <w:rFonts w:ascii="Times New Roman" w:eastAsia="Times New Roman" w:hAnsi="Times New Roman" w:cs="Times New Roman"/>
          <w:lang w:val="sr-Latn-ME"/>
        </w:rPr>
        <w:t xml:space="preserve"> (npr. u špricu) sa rastvorima </w:t>
      </w:r>
      <w:proofErr w:type="spellStart"/>
      <w:r w:rsidR="00277FC2" w:rsidRPr="007819CB">
        <w:rPr>
          <w:rFonts w:ascii="Times New Roman" w:eastAsia="Times New Roman" w:hAnsi="Times New Roman" w:cs="Times New Roman"/>
          <w:lang w:val="sr-Latn-ME"/>
        </w:rPr>
        <w:t>dopamina</w:t>
      </w:r>
      <w:proofErr w:type="spellEnd"/>
      <w:r w:rsidR="00277FC2" w:rsidRPr="007819CB">
        <w:rPr>
          <w:rFonts w:ascii="Times New Roman" w:eastAsia="Times New Roman" w:hAnsi="Times New Roman" w:cs="Times New Roman"/>
          <w:lang w:val="sr-Latn-ME"/>
        </w:rPr>
        <w:t xml:space="preserve">, </w:t>
      </w:r>
      <w:proofErr w:type="spellStart"/>
      <w:r w:rsidR="00277FC2" w:rsidRPr="007819CB">
        <w:rPr>
          <w:rFonts w:ascii="Times New Roman" w:eastAsia="Times New Roman" w:hAnsi="Times New Roman" w:cs="Times New Roman"/>
          <w:lang w:val="sr-Latn-ME"/>
        </w:rPr>
        <w:t>prometazina</w:t>
      </w:r>
      <w:proofErr w:type="spellEnd"/>
      <w:r w:rsidR="00277FC2" w:rsidRPr="007819CB">
        <w:rPr>
          <w:rFonts w:ascii="Times New Roman" w:eastAsia="Times New Roman" w:hAnsi="Times New Roman" w:cs="Times New Roman"/>
          <w:lang w:val="sr-Latn-ME"/>
        </w:rPr>
        <w:t xml:space="preserve">, </w:t>
      </w:r>
      <w:proofErr w:type="spellStart"/>
      <w:r w:rsidR="00277FC2" w:rsidRPr="007819CB">
        <w:rPr>
          <w:rFonts w:ascii="Times New Roman" w:eastAsia="Times New Roman" w:hAnsi="Times New Roman" w:cs="Times New Roman"/>
          <w:lang w:val="sr-Latn-ME"/>
        </w:rPr>
        <w:t>pentazocina</w:t>
      </w:r>
      <w:proofErr w:type="spellEnd"/>
      <w:r w:rsidR="00277FC2" w:rsidRPr="007819CB">
        <w:rPr>
          <w:rFonts w:ascii="Times New Roman" w:eastAsia="Times New Roman" w:hAnsi="Times New Roman" w:cs="Times New Roman"/>
          <w:lang w:val="sr-Latn-ME"/>
        </w:rPr>
        <w:t xml:space="preserve">, </w:t>
      </w:r>
      <w:proofErr w:type="spellStart"/>
      <w:r w:rsidR="00277FC2" w:rsidRPr="007819CB">
        <w:rPr>
          <w:rFonts w:ascii="Times New Roman" w:eastAsia="Times New Roman" w:hAnsi="Times New Roman" w:cs="Times New Roman"/>
          <w:lang w:val="sr-Latn-ME"/>
        </w:rPr>
        <w:t>petidina</w:t>
      </w:r>
      <w:proofErr w:type="spellEnd"/>
      <w:r w:rsidR="00277FC2" w:rsidRPr="007819CB">
        <w:rPr>
          <w:rFonts w:ascii="Times New Roman" w:eastAsia="Times New Roman" w:hAnsi="Times New Roman" w:cs="Times New Roman"/>
          <w:lang w:val="sr-Latn-ME"/>
        </w:rPr>
        <w:t xml:space="preserve"> ili </w:t>
      </w:r>
      <w:proofErr w:type="spellStart"/>
      <w:r w:rsidR="00277FC2" w:rsidRPr="007819CB">
        <w:rPr>
          <w:rFonts w:ascii="Times New Roman" w:eastAsia="Times New Roman" w:hAnsi="Times New Roman" w:cs="Times New Roman"/>
          <w:lang w:val="sr-Latn-ME"/>
        </w:rPr>
        <w:t>hidroksizina</w:t>
      </w:r>
      <w:proofErr w:type="spellEnd"/>
      <w:r w:rsidR="00277FC2" w:rsidRPr="007819CB">
        <w:rPr>
          <w:rFonts w:ascii="Times New Roman" w:eastAsia="Times New Roman" w:hAnsi="Times New Roman" w:cs="Times New Roman"/>
          <w:lang w:val="sr-Latn-ME"/>
        </w:rPr>
        <w:t xml:space="preserve">, jer </w:t>
      </w:r>
      <w:proofErr w:type="spellStart"/>
      <w:r w:rsidR="00277FC2" w:rsidRPr="007819CB">
        <w:rPr>
          <w:rFonts w:ascii="Times New Roman" w:eastAsia="Times New Roman" w:hAnsi="Times New Roman" w:cs="Times New Roman"/>
          <w:lang w:val="sr-Latn-ME"/>
        </w:rPr>
        <w:t>će</w:t>
      </w:r>
      <w:proofErr w:type="spellEnd"/>
      <w:r w:rsidR="00277FC2" w:rsidRPr="007819CB">
        <w:rPr>
          <w:rFonts w:ascii="Times New Roman" w:eastAsia="Times New Roman" w:hAnsi="Times New Roman" w:cs="Times New Roman"/>
          <w:lang w:val="sr-Latn-ME"/>
        </w:rPr>
        <w:t xml:space="preserve"> to dovesti do </w:t>
      </w:r>
      <w:proofErr w:type="spellStart"/>
      <w:r w:rsidR="00277FC2" w:rsidRPr="007819CB">
        <w:rPr>
          <w:rFonts w:ascii="Times New Roman" w:eastAsia="Times New Roman" w:hAnsi="Times New Roman" w:cs="Times New Roman"/>
          <w:lang w:val="sr-Latn-ME"/>
        </w:rPr>
        <w:t>precipitacije</w:t>
      </w:r>
      <w:proofErr w:type="spellEnd"/>
      <w:r w:rsidR="00277FC2" w:rsidRPr="007819CB">
        <w:rPr>
          <w:rFonts w:ascii="Times New Roman" w:eastAsia="Times New Roman" w:hAnsi="Times New Roman" w:cs="Times New Roman"/>
          <w:lang w:val="sr-Latn-ME"/>
        </w:rPr>
        <w:t xml:space="preserve"> rastvora.</w:t>
      </w:r>
    </w:p>
    <w:p w14:paraId="056F0D4E" w14:textId="0797451C" w:rsidR="00277FC2" w:rsidRPr="007819CB" w:rsidRDefault="00277FC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lastRenderedPageBreak/>
        <w:t xml:space="preserve">Razblaženi rastvor za infuziju, koji se priprema kao što je opisano u </w:t>
      </w:r>
      <w:r w:rsidR="004B4CC5" w:rsidRPr="007819CB">
        <w:rPr>
          <w:rFonts w:ascii="Times New Roman" w:eastAsia="Times New Roman" w:hAnsi="Times New Roman" w:cs="Times New Roman"/>
          <w:lang w:val="sr-Latn-ME"/>
        </w:rPr>
        <w:t>dijelu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6.6</w:t>
      </w:r>
      <w:r w:rsidR="007819CB">
        <w:rPr>
          <w:rFonts w:ascii="Times New Roman" w:eastAsia="Times New Roman" w:hAnsi="Times New Roman" w:cs="Times New Roman"/>
          <w:lang w:val="sr-Latn-ME"/>
        </w:rPr>
        <w:t xml:space="preserve">. </w:t>
      </w:r>
      <w:r w:rsidRPr="007819CB">
        <w:rPr>
          <w:rFonts w:ascii="Times New Roman" w:eastAsia="Times New Roman" w:hAnsi="Times New Roman" w:cs="Times New Roman"/>
          <w:lang w:val="sr-Latn-ME"/>
        </w:rPr>
        <w:t>ne treba m</w:t>
      </w:r>
      <w:r w:rsidR="004B4CC5" w:rsidRPr="007819CB">
        <w:rPr>
          <w:rFonts w:ascii="Times New Roman" w:eastAsia="Times New Roman" w:hAnsi="Times New Roman" w:cs="Times New Roman"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ešati sa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prometazinom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ili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pentazocinom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>.</w:t>
      </w:r>
    </w:p>
    <w:p w14:paraId="7AADEB15" w14:textId="77777777" w:rsidR="008B02A9" w:rsidRPr="007819CB" w:rsidRDefault="008B02A9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1F6224E" w14:textId="7EE6E361" w:rsidR="00DD0013" w:rsidRPr="007819CB" w:rsidRDefault="00277FC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>Ovaj l</w:t>
      </w:r>
      <w:r w:rsidR="004B4CC5" w:rsidRPr="007819CB">
        <w:rPr>
          <w:rFonts w:ascii="Times New Roman" w:eastAsia="Times New Roman" w:hAnsi="Times New Roman" w:cs="Times New Roman"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lang w:val="sr-Latn-ME"/>
        </w:rPr>
        <w:t>ek se ne sm</w:t>
      </w:r>
      <w:r w:rsidR="004B4CC5" w:rsidRPr="007819CB">
        <w:rPr>
          <w:rFonts w:ascii="Times New Roman" w:eastAsia="Times New Roman" w:hAnsi="Times New Roman" w:cs="Times New Roman"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lang w:val="sr-Latn-ME"/>
        </w:rPr>
        <w:t>e m</w:t>
      </w:r>
      <w:r w:rsidR="00FC6EEC" w:rsidRPr="007819CB">
        <w:rPr>
          <w:rFonts w:ascii="Times New Roman" w:eastAsia="Times New Roman" w:hAnsi="Times New Roman" w:cs="Times New Roman"/>
          <w:lang w:val="sr-Latn-ME"/>
        </w:rPr>
        <w:t>i</w:t>
      </w:r>
      <w:r w:rsidR="004B4CC5" w:rsidRPr="007819CB">
        <w:rPr>
          <w:rFonts w:ascii="Times New Roman" w:eastAsia="Times New Roman" w:hAnsi="Times New Roman" w:cs="Times New Roman"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lang w:val="sr-Latn-ME"/>
        </w:rPr>
        <w:t>ešati sa drugim l</w:t>
      </w:r>
      <w:r w:rsidR="00FC6EEC" w:rsidRPr="007819CB">
        <w:rPr>
          <w:rFonts w:ascii="Times New Roman" w:eastAsia="Times New Roman" w:hAnsi="Times New Roman" w:cs="Times New Roman"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lang w:val="sr-Latn-ME"/>
        </w:rPr>
        <w:t>ekovima osim onih navedenih u</w:t>
      </w:r>
      <w:r w:rsidR="00FC6EEC" w:rsidRPr="007819CB">
        <w:rPr>
          <w:rFonts w:ascii="Times New Roman" w:eastAsia="Times New Roman" w:hAnsi="Times New Roman" w:cs="Times New Roman"/>
          <w:lang w:val="sr-Latn-ME"/>
        </w:rPr>
        <w:t xml:space="preserve"> dijelu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6.6.</w:t>
      </w:r>
    </w:p>
    <w:p w14:paraId="6070C116" w14:textId="77777777" w:rsidR="00277FC2" w:rsidRPr="007819CB" w:rsidRDefault="00277FC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5B32DF17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>6.3.</w:t>
      </w: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ab/>
        <w:t>Rok upotrebe</w:t>
      </w:r>
    </w:p>
    <w:p w14:paraId="49A56526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C10B2AA" w14:textId="2115B291" w:rsidR="00277FC2" w:rsidRPr="007819CB" w:rsidRDefault="00277FC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>5 godina.</w:t>
      </w:r>
    </w:p>
    <w:p w14:paraId="30002601" w14:textId="77777777" w:rsidR="006A5F9F" w:rsidRPr="007819CB" w:rsidRDefault="006A5F9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26253DFC" w14:textId="5A53BB59" w:rsidR="00CA5B01" w:rsidRPr="007819CB" w:rsidRDefault="00CA5B0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>Hemijska i fizička stabilnost lijeka dokazana</w:t>
      </w:r>
      <w:r w:rsidR="0037669C" w:rsidRPr="007819CB">
        <w:rPr>
          <w:rFonts w:ascii="Times New Roman" w:eastAsia="Times New Roman" w:hAnsi="Times New Roman" w:cs="Times New Roman"/>
          <w:lang w:val="sr-Latn-ME"/>
        </w:rPr>
        <w:t xml:space="preserve"> je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u rastvoru 0.9 % natrijum hlorida, 5 % glukoze i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Ringerovog</w:t>
      </w:r>
      <w:proofErr w:type="spellEnd"/>
      <w:r w:rsidR="00862108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862108" w:rsidRPr="007819CB">
        <w:rPr>
          <w:rFonts w:ascii="Times New Roman" w:eastAsia="Times New Roman" w:hAnsi="Times New Roman" w:cs="Times New Roman"/>
          <w:lang w:val="sr-Latn-ME"/>
        </w:rPr>
        <w:t>laktatnog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rastvora tokom 18 sati na </w:t>
      </w:r>
      <w:proofErr w:type="spellStart"/>
      <w:r w:rsidR="00862108" w:rsidRPr="007819CB">
        <w:rPr>
          <w:rFonts w:ascii="Times New Roman" w:eastAsia="Times New Roman" w:hAnsi="Times New Roman" w:cs="Times New Roman"/>
          <w:lang w:val="sr-Latn-ME"/>
        </w:rPr>
        <w:t>tempearturi</w:t>
      </w:r>
      <w:proofErr w:type="spellEnd"/>
      <w:r w:rsidR="00862108" w:rsidRPr="007819CB">
        <w:rPr>
          <w:rFonts w:ascii="Times New Roman" w:eastAsia="Times New Roman" w:hAnsi="Times New Roman" w:cs="Times New Roman"/>
          <w:lang w:val="sr-Latn-ME"/>
        </w:rPr>
        <w:t xml:space="preserve"> od 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25°C i na </w:t>
      </w:r>
      <w:r w:rsidR="00862108" w:rsidRPr="007819CB">
        <w:rPr>
          <w:rFonts w:ascii="Times New Roman" w:eastAsia="Times New Roman" w:hAnsi="Times New Roman" w:cs="Times New Roman"/>
          <w:lang w:val="sr-Latn-ME"/>
        </w:rPr>
        <w:t xml:space="preserve">temperaturi od </w:t>
      </w:r>
      <w:r w:rsidRPr="007819CB">
        <w:rPr>
          <w:rFonts w:ascii="Times New Roman" w:eastAsia="Times New Roman" w:hAnsi="Times New Roman" w:cs="Times New Roman"/>
          <w:lang w:val="sr-Latn-ME"/>
        </w:rPr>
        <w:t>2</w:t>
      </w:r>
      <w:r w:rsidR="00862108" w:rsidRPr="007819CB">
        <w:rPr>
          <w:rFonts w:ascii="Times New Roman" w:eastAsia="Times New Roman" w:hAnsi="Times New Roman" w:cs="Times New Roman"/>
          <w:lang w:val="sr-Latn-ME"/>
        </w:rPr>
        <w:t xml:space="preserve">℃ </w:t>
      </w:r>
      <w:r w:rsidRPr="007819CB">
        <w:rPr>
          <w:rFonts w:ascii="Times New Roman" w:eastAsia="Times New Roman" w:hAnsi="Times New Roman" w:cs="Times New Roman"/>
          <w:lang w:val="sr-Latn-ME"/>
        </w:rPr>
        <w:t>-</w:t>
      </w:r>
      <w:r w:rsidR="00862108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7819CB">
        <w:rPr>
          <w:rFonts w:ascii="Times New Roman" w:eastAsia="Times New Roman" w:hAnsi="Times New Roman" w:cs="Times New Roman"/>
          <w:lang w:val="sr-Latn-ME"/>
        </w:rPr>
        <w:t>8</w:t>
      </w:r>
      <w:bookmarkStart w:id="0" w:name="_Hlk163749482"/>
      <w:r w:rsidRPr="007819CB">
        <w:rPr>
          <w:rFonts w:ascii="Times New Roman" w:eastAsia="Times New Roman" w:hAnsi="Times New Roman" w:cs="Times New Roman"/>
          <w:lang w:val="sr-Latn-ME"/>
        </w:rPr>
        <w:t>℃</w:t>
      </w:r>
      <w:bookmarkEnd w:id="0"/>
      <w:r w:rsidRPr="007819CB">
        <w:rPr>
          <w:rFonts w:ascii="Times New Roman" w:eastAsia="Times New Roman" w:hAnsi="Times New Roman" w:cs="Times New Roman"/>
          <w:lang w:val="sr-Latn-ME"/>
        </w:rPr>
        <w:t xml:space="preserve">, pod uslovom da je adekvatno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zaštićen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od dnevne svjetlosti.</w:t>
      </w:r>
    </w:p>
    <w:p w14:paraId="23FE1CFA" w14:textId="77777777" w:rsidR="0038406A" w:rsidRPr="007819CB" w:rsidRDefault="0038406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38CEC68" w14:textId="573FC907" w:rsidR="00DD0013" w:rsidRPr="007819CB" w:rsidRDefault="00CA5B0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Sa mikrobiološke tačke gledišta, osim ako metoda otvaranja/razblaživanja </w:t>
      </w:r>
      <w:r w:rsidR="00862108" w:rsidRPr="007819CB">
        <w:rPr>
          <w:rFonts w:ascii="Times New Roman" w:eastAsia="Times New Roman" w:hAnsi="Times New Roman" w:cs="Times New Roman"/>
          <w:lang w:val="sr-Latn-ME"/>
        </w:rPr>
        <w:t xml:space="preserve">ne </w:t>
      </w:r>
      <w:r w:rsidRPr="007819CB">
        <w:rPr>
          <w:rFonts w:ascii="Times New Roman" w:eastAsia="Times New Roman" w:hAnsi="Times New Roman" w:cs="Times New Roman"/>
          <w:lang w:val="sr-Latn-ME"/>
        </w:rPr>
        <w:t>isključuje rizik od mikrobiološke kontaminacije, proizvod treba odmah upotrijebiti. Ako se ne upotrijebi odmah, vrijeme i uslovi čuvanja su odgovornost korisnika.</w:t>
      </w:r>
    </w:p>
    <w:p w14:paraId="0E154757" w14:textId="77777777" w:rsidR="00CA5B01" w:rsidRPr="007819CB" w:rsidRDefault="00CA5B0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50EFDEDC" w14:textId="4537AA5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6.4. </w:t>
      </w: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ab/>
        <w:t>Posebne mjere upozorenja pri čuvanju lijeka</w:t>
      </w:r>
    </w:p>
    <w:p w14:paraId="25BD7B6E" w14:textId="77777777" w:rsidR="00277FC2" w:rsidRPr="007819CB" w:rsidRDefault="00277FC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EC6BFE2" w14:textId="01C99781" w:rsidR="00277FC2" w:rsidRPr="007819CB" w:rsidRDefault="00277FC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>Ovaj l</w:t>
      </w:r>
      <w:r w:rsidR="00CA5B01" w:rsidRPr="007819CB">
        <w:rPr>
          <w:rFonts w:ascii="Times New Roman" w:eastAsia="Times New Roman" w:hAnsi="Times New Roman" w:cs="Times New Roman"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lang w:val="sr-Latn-ME"/>
        </w:rPr>
        <w:t>ek ne zaht</w:t>
      </w:r>
      <w:r w:rsidR="00CA5B01" w:rsidRPr="007819CB">
        <w:rPr>
          <w:rFonts w:ascii="Times New Roman" w:eastAsia="Times New Roman" w:hAnsi="Times New Roman" w:cs="Times New Roman"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eva posebne temperaturne uslove </w:t>
      </w:r>
      <w:r w:rsidR="00CA5B01" w:rsidRPr="007819CB">
        <w:rPr>
          <w:rFonts w:ascii="Times New Roman" w:eastAsia="Times New Roman" w:hAnsi="Times New Roman" w:cs="Times New Roman"/>
          <w:lang w:val="sr-Latn-ME"/>
        </w:rPr>
        <w:t>čuvanja</w:t>
      </w:r>
      <w:r w:rsidRPr="007819CB">
        <w:rPr>
          <w:rFonts w:ascii="Times New Roman" w:eastAsia="Times New Roman" w:hAnsi="Times New Roman" w:cs="Times New Roman"/>
          <w:lang w:val="sr-Latn-ME"/>
        </w:rPr>
        <w:t>.</w:t>
      </w:r>
    </w:p>
    <w:p w14:paraId="59BC3AC9" w14:textId="0C2F3D56" w:rsidR="00277FC2" w:rsidRPr="007819CB" w:rsidRDefault="00277FC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>Čuvati u originalnom pakovanju radi zaštite od sv</w:t>
      </w:r>
      <w:r w:rsidR="00CA5B01" w:rsidRPr="007819CB">
        <w:rPr>
          <w:rFonts w:ascii="Times New Roman" w:eastAsia="Times New Roman" w:hAnsi="Times New Roman" w:cs="Times New Roman"/>
          <w:lang w:val="sr-Latn-ME"/>
        </w:rPr>
        <w:t>j</w:t>
      </w:r>
      <w:r w:rsidRPr="007819CB">
        <w:rPr>
          <w:rFonts w:ascii="Times New Roman" w:eastAsia="Times New Roman" w:hAnsi="Times New Roman" w:cs="Times New Roman"/>
          <w:lang w:val="sr-Latn-ME"/>
        </w:rPr>
        <w:t>etlosti. Nemojte zamrzavati.</w:t>
      </w:r>
    </w:p>
    <w:p w14:paraId="25280A43" w14:textId="77777777" w:rsidR="00277FC2" w:rsidRPr="007819CB" w:rsidRDefault="00277FC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038E9D22" w14:textId="259615E9" w:rsidR="00E31B8B" w:rsidRPr="007819CB" w:rsidRDefault="00277FC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Za uslove </w:t>
      </w:r>
      <w:r w:rsidR="00CA5B01" w:rsidRPr="007819CB">
        <w:rPr>
          <w:rFonts w:ascii="Times New Roman" w:eastAsia="Times New Roman" w:hAnsi="Times New Roman" w:cs="Times New Roman"/>
          <w:lang w:val="sr-Latn-ME"/>
        </w:rPr>
        <w:t>čuvanja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nakon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razblaženja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l</w:t>
      </w:r>
      <w:r w:rsidR="00C53589" w:rsidRPr="007819CB">
        <w:rPr>
          <w:rFonts w:ascii="Times New Roman" w:eastAsia="Times New Roman" w:hAnsi="Times New Roman" w:cs="Times New Roman"/>
          <w:lang w:val="sr-Latn-ME"/>
        </w:rPr>
        <w:t>ij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eka, </w:t>
      </w:r>
      <w:r w:rsidR="00C53589" w:rsidRPr="007819CB">
        <w:rPr>
          <w:rFonts w:ascii="Times New Roman" w:eastAsia="Times New Roman" w:hAnsi="Times New Roman" w:cs="Times New Roman"/>
          <w:lang w:val="sr-Latn-ME"/>
        </w:rPr>
        <w:t>pogledati dio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6.3.</w:t>
      </w:r>
    </w:p>
    <w:p w14:paraId="49699972" w14:textId="77777777" w:rsidR="00DD0013" w:rsidRPr="007819CB" w:rsidRDefault="00DD0013">
      <w:pPr>
        <w:tabs>
          <w:tab w:val="left" w:pos="56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sr-Latn-ME"/>
        </w:rPr>
      </w:pPr>
    </w:p>
    <w:p w14:paraId="604C1829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6.5. </w:t>
      </w: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ab/>
        <w:t>Vrsta i sadržaj pakovanja</w:t>
      </w:r>
    </w:p>
    <w:p w14:paraId="6247CB90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5E61F3FC" w14:textId="6BFE39E7" w:rsidR="00A2101C" w:rsidRPr="007819CB" w:rsidRDefault="0038406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>Unutrašnje pakovanje je a</w:t>
      </w:r>
      <w:r w:rsidR="00A2101C" w:rsidRPr="007819CB">
        <w:rPr>
          <w:rFonts w:ascii="Times New Roman" w:eastAsia="Times New Roman" w:hAnsi="Times New Roman" w:cs="Times New Roman"/>
          <w:bCs/>
          <w:lang w:val="sr-Latn-ME"/>
        </w:rPr>
        <w:t>mpul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a</w:t>
      </w:r>
      <w:r w:rsidR="00A2101C" w:rsidRPr="007819CB">
        <w:rPr>
          <w:rFonts w:ascii="Times New Roman" w:eastAsia="Times New Roman" w:hAnsi="Times New Roman" w:cs="Times New Roman"/>
          <w:bCs/>
          <w:lang w:val="sr-Latn-ME"/>
        </w:rPr>
        <w:t xml:space="preserve"> od </w:t>
      </w:r>
      <w:proofErr w:type="spellStart"/>
      <w:r w:rsidR="00A2101C" w:rsidRPr="007819CB">
        <w:rPr>
          <w:rFonts w:ascii="Times New Roman" w:eastAsia="Times New Roman" w:hAnsi="Times New Roman" w:cs="Times New Roman"/>
          <w:bCs/>
          <w:lang w:val="sr-Latn-ME"/>
        </w:rPr>
        <w:t>ćilibarnog</w:t>
      </w:r>
      <w:proofErr w:type="spellEnd"/>
      <w:r w:rsidR="00A2101C" w:rsidRPr="007819CB">
        <w:rPr>
          <w:rFonts w:ascii="Times New Roman" w:eastAsia="Times New Roman" w:hAnsi="Times New Roman" w:cs="Times New Roman"/>
          <w:bCs/>
          <w:lang w:val="sr-Latn-ME"/>
        </w:rPr>
        <w:t xml:space="preserve"> stakla tipa I od 2 ml.</w:t>
      </w:r>
    </w:p>
    <w:p w14:paraId="522687DE" w14:textId="13004EB4" w:rsidR="00F65F54" w:rsidRPr="007819CB" w:rsidRDefault="00F65F54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>Spolja</w:t>
      </w:r>
      <w:r w:rsidR="00862108" w:rsidRPr="007819CB">
        <w:rPr>
          <w:rFonts w:ascii="Times New Roman" w:eastAsia="Times New Roman" w:hAnsi="Times New Roman" w:cs="Times New Roman"/>
          <w:bCs/>
          <w:lang w:val="sr-Latn-ME"/>
        </w:rPr>
        <w:t>š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>nje pakovanje</w:t>
      </w:r>
      <w:r w:rsidR="0038406A" w:rsidRPr="007819CB">
        <w:rPr>
          <w:rFonts w:ascii="Times New Roman" w:eastAsia="Times New Roman" w:hAnsi="Times New Roman" w:cs="Times New Roman"/>
          <w:bCs/>
          <w:lang w:val="sr-Latn-ME"/>
        </w:rPr>
        <w:t xml:space="preserve"> je</w:t>
      </w: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složiva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kartonska kutija u kojoj se nalaze 10 ampula i Uputstvo za lijek.</w:t>
      </w:r>
    </w:p>
    <w:p w14:paraId="645E245F" w14:textId="77777777" w:rsidR="00F65F54" w:rsidRPr="007819CB" w:rsidRDefault="00F65F54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F92E2A2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6.6. </w:t>
      </w: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Posebne mjere opreza pri odlaganju materijala koji treba odbaciti nakon primjene lijeka (i druga uputstva za rukovanje lijekom)  </w:t>
      </w:r>
    </w:p>
    <w:p w14:paraId="010D42F0" w14:textId="77777777" w:rsidR="00930311" w:rsidRPr="007819CB" w:rsidRDefault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9830ADF" w14:textId="77777777" w:rsidR="00C103C8" w:rsidRPr="007819CB" w:rsidRDefault="00C103C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Pokazalo se da je lijek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Dexketoprofen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Kalceks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kompatibilan ako se miješa u malim volumenima (npr. u špricu) sa injekcionim rastvorima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heparina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,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lidokaina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>, morfina i teofilina.</w:t>
      </w:r>
    </w:p>
    <w:p w14:paraId="1344FB29" w14:textId="77777777" w:rsidR="00C103C8" w:rsidRPr="007819CB" w:rsidRDefault="00C103C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CA7B429" w14:textId="0DD80591" w:rsidR="00493FB4" w:rsidRPr="007819CB" w:rsidRDefault="00501F5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Za primjenu kao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intravenska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infuzija: sadržaj jedne ampule (2 ml) lijeka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Dexketoprofen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Kalceks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treba razblažiti u</w:t>
      </w:r>
      <w:r w:rsidR="00670181" w:rsidRPr="007819CB">
        <w:rPr>
          <w:rFonts w:ascii="Times New Roman" w:eastAsia="Times New Roman" w:hAnsi="Times New Roman" w:cs="Times New Roman"/>
          <w:lang w:val="sr-Latn-ME"/>
        </w:rPr>
        <w:t xml:space="preserve"> volumenu od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30 do 100 ml 0.9% natrijum hlorid</w:t>
      </w:r>
      <w:r w:rsidR="00ED08FE" w:rsidRPr="007819CB">
        <w:rPr>
          <w:rFonts w:ascii="Times New Roman" w:eastAsia="Times New Roman" w:hAnsi="Times New Roman" w:cs="Times New Roman"/>
          <w:lang w:val="sr-Latn-ME"/>
        </w:rPr>
        <w:t>om</w:t>
      </w:r>
      <w:r w:rsidRPr="007819CB">
        <w:rPr>
          <w:rFonts w:ascii="Times New Roman" w:eastAsia="Times New Roman" w:hAnsi="Times New Roman" w:cs="Times New Roman"/>
          <w:lang w:val="sr-Latn-ME"/>
        </w:rPr>
        <w:t>, 5% glukoz</w:t>
      </w:r>
      <w:r w:rsidR="00ED08FE" w:rsidRPr="007819CB">
        <w:rPr>
          <w:rFonts w:ascii="Times New Roman" w:eastAsia="Times New Roman" w:hAnsi="Times New Roman" w:cs="Times New Roman"/>
          <w:lang w:val="sr-Latn-ME"/>
        </w:rPr>
        <w:t>om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ili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Ringerov</w:t>
      </w:r>
      <w:r w:rsidR="00ED08FE" w:rsidRPr="007819CB">
        <w:rPr>
          <w:rFonts w:ascii="Times New Roman" w:eastAsia="Times New Roman" w:hAnsi="Times New Roman" w:cs="Times New Roman"/>
          <w:lang w:val="sr-Latn-ME"/>
        </w:rPr>
        <w:t>im</w:t>
      </w:r>
      <w:proofErr w:type="spellEnd"/>
      <w:r w:rsidR="00862108"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862108" w:rsidRPr="007819CB">
        <w:rPr>
          <w:rFonts w:ascii="Times New Roman" w:eastAsia="Times New Roman" w:hAnsi="Times New Roman" w:cs="Times New Roman"/>
          <w:lang w:val="sr-Latn-ME"/>
        </w:rPr>
        <w:t>laktatnim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rastvor</w:t>
      </w:r>
      <w:r w:rsidR="00ED08FE" w:rsidRPr="007819CB">
        <w:rPr>
          <w:rFonts w:ascii="Times New Roman" w:eastAsia="Times New Roman" w:hAnsi="Times New Roman" w:cs="Times New Roman"/>
          <w:lang w:val="sr-Latn-ME"/>
        </w:rPr>
        <w:t>om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. </w:t>
      </w:r>
      <w:r w:rsidR="00493FB4" w:rsidRPr="007819CB">
        <w:rPr>
          <w:rFonts w:ascii="Times New Roman" w:eastAsia="Times New Roman" w:hAnsi="Times New Roman" w:cs="Times New Roman"/>
          <w:lang w:val="sr-Latn-ME"/>
        </w:rPr>
        <w:t>Rastvor treba razblažiti u aseptičnim uslovima i zaštititi od dnevne svjetlosti (pogledati dio 6.3). R</w:t>
      </w:r>
      <w:r w:rsidR="00264DB4" w:rsidRPr="007819CB">
        <w:rPr>
          <w:rFonts w:ascii="Times New Roman" w:eastAsia="Times New Roman" w:hAnsi="Times New Roman" w:cs="Times New Roman"/>
          <w:lang w:val="sr-Latn-ME"/>
        </w:rPr>
        <w:t>azblaženi r</w:t>
      </w:r>
      <w:r w:rsidR="00493FB4" w:rsidRPr="007819CB">
        <w:rPr>
          <w:rFonts w:ascii="Times New Roman" w:eastAsia="Times New Roman" w:hAnsi="Times New Roman" w:cs="Times New Roman"/>
          <w:lang w:val="sr-Latn-ME"/>
        </w:rPr>
        <w:t xml:space="preserve">astvor je bistar rastvor. </w:t>
      </w:r>
    </w:p>
    <w:p w14:paraId="5C510F1E" w14:textId="77777777" w:rsidR="00493FB4" w:rsidRPr="007819CB" w:rsidRDefault="00493FB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8880E0D" w14:textId="63328945" w:rsidR="00501F59" w:rsidRPr="007819CB" w:rsidRDefault="00493FB4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Pokazalo se da je lijek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Dexketoprofen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Kalceks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razblažen u volumenu od 100 ml 0.9% natrijum hloridom ili 5% rastvorom glukoze, kompatibilan sa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sljedećim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r w:rsidR="00341BE1" w:rsidRPr="007819CB">
        <w:rPr>
          <w:rFonts w:ascii="Times New Roman" w:eastAsia="Times New Roman" w:hAnsi="Times New Roman" w:cs="Times New Roman"/>
          <w:lang w:val="sr-Latn-ME"/>
        </w:rPr>
        <w:t>ljekovima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: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dopamin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,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heparin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,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hidroksizin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,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lidokain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, morfin,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petidin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i teofilin.</w:t>
      </w:r>
    </w:p>
    <w:p w14:paraId="6B04A12B" w14:textId="77777777" w:rsidR="00C610B6" w:rsidRPr="007819CB" w:rsidRDefault="00C610B6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26F72BE2" w14:textId="5E7A5F53" w:rsidR="00C103C8" w:rsidRPr="007819CB" w:rsidRDefault="00C103C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Nije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primijećena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="0038406A" w:rsidRPr="007819CB">
        <w:rPr>
          <w:rFonts w:ascii="Times New Roman" w:eastAsia="Times New Roman" w:hAnsi="Times New Roman" w:cs="Times New Roman"/>
          <w:lang w:val="sr-Latn-ME"/>
        </w:rPr>
        <w:t>ad</w:t>
      </w:r>
      <w:r w:rsidRPr="007819CB">
        <w:rPr>
          <w:rFonts w:ascii="Times New Roman" w:eastAsia="Times New Roman" w:hAnsi="Times New Roman" w:cs="Times New Roman"/>
          <w:lang w:val="sr-Latn-ME"/>
        </w:rPr>
        <w:t>sorpcija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aktivne supstance kada se razblaženi rastvor lijeka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Dexketoprofen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Kalceks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čuva u plastičnim kesama ili kada je pribor za primjenu napravljen od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etilvinilacetata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(EVA), celuloznog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propionata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(CP),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polietilena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niske gustine (LDPE) i polivinil hlorida (PVC).</w:t>
      </w:r>
    </w:p>
    <w:p w14:paraId="46CDA5C0" w14:textId="77777777" w:rsidR="009F640F" w:rsidRPr="007819CB" w:rsidRDefault="009F640F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6B05D02" w14:textId="35B71556" w:rsidR="00341BE1" w:rsidRPr="007819CB" w:rsidRDefault="009F640F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 xml:space="preserve">Lijek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Dexketoprofen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lang w:val="sr-Latn-ME"/>
        </w:rPr>
        <w:t>Kalceks</w:t>
      </w:r>
      <w:proofErr w:type="spellEnd"/>
      <w:r w:rsidRPr="007819CB">
        <w:rPr>
          <w:rFonts w:ascii="Times New Roman" w:eastAsia="Times New Roman" w:hAnsi="Times New Roman" w:cs="Times New Roman"/>
          <w:lang w:val="sr-Latn-ME"/>
        </w:rPr>
        <w:t xml:space="preserve"> je</w:t>
      </w:r>
      <w:r w:rsidR="0038406A" w:rsidRPr="007819CB">
        <w:rPr>
          <w:rFonts w:ascii="Times New Roman" w:eastAsia="Times New Roman" w:hAnsi="Times New Roman" w:cs="Times New Roman"/>
          <w:lang w:val="sr-Latn-ME"/>
        </w:rPr>
        <w:t xml:space="preserve"> namijenjen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samo za jednokratnu upotrebu i svu neiskorišćenu količinu rastvora</w:t>
      </w:r>
      <w:r w:rsidR="0038406A" w:rsidRPr="007819CB">
        <w:rPr>
          <w:rFonts w:ascii="Times New Roman" w:eastAsia="Times New Roman" w:hAnsi="Times New Roman" w:cs="Times New Roman"/>
          <w:lang w:val="sr-Latn-ME"/>
        </w:rPr>
        <w:t xml:space="preserve"> lijeka</w:t>
      </w:r>
      <w:r w:rsidRPr="007819CB">
        <w:rPr>
          <w:rFonts w:ascii="Times New Roman" w:eastAsia="Times New Roman" w:hAnsi="Times New Roman" w:cs="Times New Roman"/>
          <w:lang w:val="sr-Latn-ME"/>
        </w:rPr>
        <w:t xml:space="preserve"> treba baciti.</w:t>
      </w:r>
      <w:r w:rsidR="00084D88" w:rsidRPr="007819CB">
        <w:rPr>
          <w:rFonts w:ascii="Times New Roman" w:hAnsi="Times New Roman" w:cs="Times New Roman"/>
          <w:lang w:val="sr-Latn-ME"/>
        </w:rPr>
        <w:t xml:space="preserve"> </w:t>
      </w:r>
      <w:r w:rsidR="00F2510F" w:rsidRPr="007819CB">
        <w:rPr>
          <w:rFonts w:ascii="Times New Roman" w:hAnsi="Times New Roman" w:cs="Times New Roman"/>
          <w:lang w:val="sr-Latn-ME"/>
        </w:rPr>
        <w:t xml:space="preserve">Prije </w:t>
      </w:r>
      <w:r w:rsidR="009B007A" w:rsidRPr="007819CB">
        <w:rPr>
          <w:rFonts w:ascii="Times New Roman" w:hAnsi="Times New Roman" w:cs="Times New Roman"/>
          <w:lang w:val="sr-Latn-ME"/>
        </w:rPr>
        <w:t>primjene</w:t>
      </w:r>
      <w:r w:rsidR="006214A8" w:rsidRPr="007819CB">
        <w:rPr>
          <w:rFonts w:ascii="Times New Roman" w:hAnsi="Times New Roman" w:cs="Times New Roman"/>
          <w:lang w:val="sr-Latn-ME"/>
        </w:rPr>
        <w:t>,</w:t>
      </w:r>
      <w:r w:rsidR="009B007A" w:rsidRPr="007819CB">
        <w:rPr>
          <w:rFonts w:ascii="Times New Roman" w:hAnsi="Times New Roman" w:cs="Times New Roman"/>
          <w:lang w:val="sr-Latn-ME"/>
        </w:rPr>
        <w:t xml:space="preserve"> rastvor treba vizuelno pr</w:t>
      </w:r>
      <w:r w:rsidR="0038406A" w:rsidRPr="007819CB">
        <w:rPr>
          <w:rFonts w:ascii="Times New Roman" w:hAnsi="Times New Roman" w:cs="Times New Roman"/>
          <w:lang w:val="sr-Latn-ME"/>
        </w:rPr>
        <w:t>egledati</w:t>
      </w:r>
      <w:r w:rsidR="009B007A" w:rsidRPr="007819CB">
        <w:rPr>
          <w:rFonts w:ascii="Times New Roman" w:hAnsi="Times New Roman" w:cs="Times New Roman"/>
          <w:lang w:val="sr-Latn-ME"/>
        </w:rPr>
        <w:t xml:space="preserve"> kako</w:t>
      </w:r>
      <w:r w:rsidR="006214A8" w:rsidRPr="007819CB">
        <w:rPr>
          <w:rFonts w:ascii="Times New Roman" w:hAnsi="Times New Roman" w:cs="Times New Roman"/>
          <w:lang w:val="sr-Latn-ME"/>
        </w:rPr>
        <w:t xml:space="preserve"> bi bili </w:t>
      </w:r>
      <w:r w:rsidR="007819CB">
        <w:rPr>
          <w:rFonts w:ascii="Times New Roman" w:hAnsi="Times New Roman" w:cs="Times New Roman"/>
          <w:lang w:val="sr-Latn-ME"/>
        </w:rPr>
        <w:t>sigurni da je bistar i bezbojan;</w:t>
      </w:r>
      <w:r w:rsidR="006214A8" w:rsidRPr="007819CB">
        <w:rPr>
          <w:rFonts w:ascii="Times New Roman" w:hAnsi="Times New Roman" w:cs="Times New Roman"/>
          <w:lang w:val="sr-Latn-ME"/>
        </w:rPr>
        <w:t xml:space="preserve"> </w:t>
      </w:r>
      <w:r w:rsidR="006214A8" w:rsidRPr="007819CB">
        <w:rPr>
          <w:rFonts w:ascii="Times New Roman" w:eastAsia="Times New Roman" w:hAnsi="Times New Roman" w:cs="Times New Roman"/>
          <w:lang w:val="sr-Latn-ME"/>
        </w:rPr>
        <w:t>n</w:t>
      </w:r>
      <w:r w:rsidR="00084D88" w:rsidRPr="007819CB">
        <w:rPr>
          <w:rFonts w:ascii="Times New Roman" w:eastAsia="Times New Roman" w:hAnsi="Times New Roman" w:cs="Times New Roman"/>
          <w:lang w:val="sr-Latn-ME"/>
        </w:rPr>
        <w:t>emojte koristiti ovaj lijek ako primijetite</w:t>
      </w:r>
      <w:r w:rsidR="006214A8" w:rsidRPr="007819CB">
        <w:rPr>
          <w:rFonts w:ascii="Times New Roman" w:eastAsia="Times New Roman" w:hAnsi="Times New Roman" w:cs="Times New Roman"/>
          <w:lang w:val="sr-Latn-ME"/>
        </w:rPr>
        <w:t xml:space="preserve"> čestice</w:t>
      </w:r>
      <w:r w:rsidR="00084D88" w:rsidRPr="007819CB">
        <w:rPr>
          <w:rFonts w:ascii="Times New Roman" w:eastAsia="Times New Roman" w:hAnsi="Times New Roman" w:cs="Times New Roman"/>
          <w:lang w:val="sr-Latn-ME"/>
        </w:rPr>
        <w:t>.</w:t>
      </w:r>
    </w:p>
    <w:p w14:paraId="4905F27D" w14:textId="77777777" w:rsidR="00341BE1" w:rsidRPr="007819CB" w:rsidRDefault="00341BE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B7D423A" w14:textId="5715B310" w:rsidR="00DD0013" w:rsidRPr="007819CB" w:rsidRDefault="00876B0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819CB">
        <w:rPr>
          <w:rFonts w:ascii="Times New Roman" w:eastAsia="Times New Roman" w:hAnsi="Times New Roman" w:cs="Times New Roman"/>
          <w:lang w:val="sr-Latn-ME"/>
        </w:rPr>
        <w:t>Svu neiskorišćenu količinu lijeka ili otpadnog materijala nakon njegove upotrebe treba ukloniti u skladu sa važećim propisima.</w:t>
      </w:r>
    </w:p>
    <w:p w14:paraId="62FD2429" w14:textId="77777777" w:rsidR="00DD0013" w:rsidRPr="007819CB" w:rsidRDefault="00DD0013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07DF42DA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lastRenderedPageBreak/>
        <w:t xml:space="preserve">7. </w:t>
      </w: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NOSILAC DOZVOLE </w:t>
      </w:r>
    </w:p>
    <w:p w14:paraId="1B145DB2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ab/>
      </w:r>
    </w:p>
    <w:p w14:paraId="11FB2661" w14:textId="0BCFA8F0" w:rsidR="00205799" w:rsidRPr="007819CB" w:rsidRDefault="00205799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Rhei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Life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d.o.o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>. Beograd – DIO STRANOG DRUŠTVA PODGORICA</w:t>
      </w:r>
    </w:p>
    <w:p w14:paraId="6AFC0BC3" w14:textId="3C80B57C" w:rsidR="00205799" w:rsidRPr="007819CB" w:rsidRDefault="00205799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Vladike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Visariona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proofErr w:type="spellStart"/>
      <w:r w:rsidRPr="007819CB">
        <w:rPr>
          <w:rFonts w:ascii="Times New Roman" w:eastAsia="Times New Roman" w:hAnsi="Times New Roman" w:cs="Times New Roman"/>
          <w:bCs/>
          <w:lang w:val="sr-Latn-ME"/>
        </w:rPr>
        <w:t>Bori</w:t>
      </w:r>
      <w:r w:rsidR="006214A8" w:rsidRPr="007819CB">
        <w:rPr>
          <w:rFonts w:ascii="Times New Roman" w:eastAsia="Times New Roman" w:hAnsi="Times New Roman" w:cs="Times New Roman"/>
          <w:bCs/>
          <w:lang w:val="sr-Latn-ME"/>
        </w:rPr>
        <w:t>lovića</w:t>
      </w:r>
      <w:proofErr w:type="spellEnd"/>
      <w:r w:rsidRPr="007819CB">
        <w:rPr>
          <w:rFonts w:ascii="Times New Roman" w:eastAsia="Times New Roman" w:hAnsi="Times New Roman" w:cs="Times New Roman"/>
          <w:bCs/>
          <w:lang w:val="sr-Latn-ME"/>
        </w:rPr>
        <w:t xml:space="preserve"> br. 10</w:t>
      </w:r>
    </w:p>
    <w:p w14:paraId="333644EB" w14:textId="21487F43" w:rsidR="00930311" w:rsidRPr="007819CB" w:rsidRDefault="00205799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>81 000 Podgorica, Crna Gora</w:t>
      </w:r>
    </w:p>
    <w:p w14:paraId="43FEBED7" w14:textId="4667B958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43E4DDF" w14:textId="77777777" w:rsidR="0038406A" w:rsidRPr="007819CB" w:rsidRDefault="0038406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EEC2549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8. </w:t>
      </w: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ab/>
        <w:t>BROJ DOZVOLE ZA STAVLJANJE LIJEKA U PROMET</w:t>
      </w:r>
    </w:p>
    <w:p w14:paraId="645F1990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C5AAB6D" w14:textId="54F8036A" w:rsidR="0038406A" w:rsidRPr="007819CB" w:rsidRDefault="007819CB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>2030/24/4386 - 6448</w:t>
      </w:r>
    </w:p>
    <w:p w14:paraId="2198D9A2" w14:textId="338E32C4" w:rsidR="00945270" w:rsidRPr="007819CB" w:rsidRDefault="0094527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B6F1590" w14:textId="77777777" w:rsidR="00945270" w:rsidRPr="007819CB" w:rsidRDefault="0094527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304876B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9. </w:t>
      </w: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ab/>
        <w:t>DATUM PRVE DOZVOLE/ OBNOVE DOZVOLE ZA STAVLJANJE LIJEKA U PROMET</w:t>
      </w:r>
    </w:p>
    <w:p w14:paraId="1FCBF8F4" w14:textId="77777777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0236B35" w14:textId="058269D0" w:rsidR="00945270" w:rsidRPr="007819CB" w:rsidRDefault="007819CB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Cs/>
          <w:lang w:val="sr-Latn-ME"/>
        </w:rPr>
        <w:t>30.08.2024. godine</w:t>
      </w:r>
    </w:p>
    <w:p w14:paraId="6D2C4A00" w14:textId="59FF3BC7" w:rsidR="0038406A" w:rsidRDefault="0038406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FA5368F" w14:textId="77777777" w:rsidR="007819CB" w:rsidRPr="007819CB" w:rsidRDefault="007819CB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17D9A5F" w14:textId="63F39929" w:rsidR="00930311" w:rsidRPr="007819CB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 xml:space="preserve">10. </w:t>
      </w:r>
      <w:r w:rsidRPr="007819CB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DATUM  REVIZIJE TEKSTA </w:t>
      </w:r>
    </w:p>
    <w:p w14:paraId="1347B60E" w14:textId="1DCA8033" w:rsidR="005A04D0" w:rsidRPr="007819CB" w:rsidRDefault="005A04D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3800F0E4" w14:textId="32378762" w:rsidR="00651BFF" w:rsidRPr="007819CB" w:rsidRDefault="007819CB" w:rsidP="00D469C8">
      <w:pPr>
        <w:jc w:val="both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Avgust, 2024. godine</w:t>
      </w:r>
      <w:bookmarkStart w:id="1" w:name="_GoBack"/>
      <w:bookmarkEnd w:id="1"/>
    </w:p>
    <w:sectPr w:rsidR="00651BFF" w:rsidRPr="007819CB" w:rsidSect="009E6E43">
      <w:footerReference w:type="default" r:id="rId12"/>
      <w:type w:val="continuous"/>
      <w:pgSz w:w="11909" w:h="16834" w:code="9"/>
      <w:pgMar w:top="1440" w:right="1080" w:bottom="1440" w:left="1080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8B491" w14:textId="77777777" w:rsidR="000E0B96" w:rsidRDefault="000E0B96" w:rsidP="00E31B8B">
      <w:pPr>
        <w:spacing w:after="0" w:line="240" w:lineRule="auto"/>
      </w:pPr>
      <w:r>
        <w:separator/>
      </w:r>
    </w:p>
  </w:endnote>
  <w:endnote w:type="continuationSeparator" w:id="0">
    <w:p w14:paraId="2824CD90" w14:textId="77777777" w:rsidR="000E0B96" w:rsidRDefault="000E0B96" w:rsidP="00E31B8B">
      <w:pPr>
        <w:spacing w:after="0" w:line="240" w:lineRule="auto"/>
      </w:pPr>
      <w:r>
        <w:continuationSeparator/>
      </w:r>
    </w:p>
  </w:endnote>
  <w:endnote w:type="continuationNotice" w:id="1">
    <w:p w14:paraId="318095E2" w14:textId="77777777" w:rsidR="000E0B96" w:rsidRDefault="000E0B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52288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5089A2" w14:textId="784C1379" w:rsidR="00767963" w:rsidRDefault="00767963">
            <w:pPr>
              <w:pStyle w:val="Footer"/>
              <w:jc w:val="center"/>
            </w:pPr>
            <w:r w:rsidRPr="00E31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7819C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13</w:t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E31B8B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7819C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13</w:t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5B00418" w14:textId="77777777" w:rsidR="00767963" w:rsidRDefault="00767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88C84" w14:textId="77777777" w:rsidR="000E0B96" w:rsidRDefault="000E0B96" w:rsidP="00E31B8B">
      <w:pPr>
        <w:spacing w:after="0" w:line="240" w:lineRule="auto"/>
      </w:pPr>
      <w:r>
        <w:separator/>
      </w:r>
    </w:p>
  </w:footnote>
  <w:footnote w:type="continuationSeparator" w:id="0">
    <w:p w14:paraId="7A379BF5" w14:textId="77777777" w:rsidR="000E0B96" w:rsidRDefault="000E0B96" w:rsidP="00E31B8B">
      <w:pPr>
        <w:spacing w:after="0" w:line="240" w:lineRule="auto"/>
      </w:pPr>
      <w:r>
        <w:continuationSeparator/>
      </w:r>
    </w:p>
  </w:footnote>
  <w:footnote w:type="continuationNotice" w:id="1">
    <w:p w14:paraId="024C94B3" w14:textId="77777777" w:rsidR="000E0B96" w:rsidRDefault="000E0B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41EAC"/>
    <w:multiLevelType w:val="hybridMultilevel"/>
    <w:tmpl w:val="EE084814"/>
    <w:lvl w:ilvl="0" w:tplc="09FC8B8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1A1837"/>
    <w:multiLevelType w:val="hybridMultilevel"/>
    <w:tmpl w:val="705AA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11"/>
    <w:rsid w:val="00001D80"/>
    <w:rsid w:val="00004EA6"/>
    <w:rsid w:val="0001195B"/>
    <w:rsid w:val="00012070"/>
    <w:rsid w:val="00012662"/>
    <w:rsid w:val="00012C68"/>
    <w:rsid w:val="000135DA"/>
    <w:rsid w:val="00013C4A"/>
    <w:rsid w:val="00016085"/>
    <w:rsid w:val="0001628F"/>
    <w:rsid w:val="000162D2"/>
    <w:rsid w:val="00021FFE"/>
    <w:rsid w:val="000248FF"/>
    <w:rsid w:val="000270C8"/>
    <w:rsid w:val="000275F3"/>
    <w:rsid w:val="00031542"/>
    <w:rsid w:val="00032AF6"/>
    <w:rsid w:val="00035691"/>
    <w:rsid w:val="00037922"/>
    <w:rsid w:val="00037930"/>
    <w:rsid w:val="00037C09"/>
    <w:rsid w:val="00041B19"/>
    <w:rsid w:val="00043F36"/>
    <w:rsid w:val="00043F8F"/>
    <w:rsid w:val="00044584"/>
    <w:rsid w:val="00045CB9"/>
    <w:rsid w:val="00047AF7"/>
    <w:rsid w:val="00053777"/>
    <w:rsid w:val="000543EC"/>
    <w:rsid w:val="00054676"/>
    <w:rsid w:val="000559B5"/>
    <w:rsid w:val="00055E04"/>
    <w:rsid w:val="00057838"/>
    <w:rsid w:val="00061088"/>
    <w:rsid w:val="000620D0"/>
    <w:rsid w:val="00063EDD"/>
    <w:rsid w:val="00063F0F"/>
    <w:rsid w:val="00064435"/>
    <w:rsid w:val="000646D0"/>
    <w:rsid w:val="00065FCF"/>
    <w:rsid w:val="00071182"/>
    <w:rsid w:val="00071657"/>
    <w:rsid w:val="000729A5"/>
    <w:rsid w:val="00072AF0"/>
    <w:rsid w:val="00072BF9"/>
    <w:rsid w:val="000736CD"/>
    <w:rsid w:val="00073CA0"/>
    <w:rsid w:val="000755F2"/>
    <w:rsid w:val="00076F27"/>
    <w:rsid w:val="0008030B"/>
    <w:rsid w:val="00080434"/>
    <w:rsid w:val="00084D88"/>
    <w:rsid w:val="00085535"/>
    <w:rsid w:val="000857EE"/>
    <w:rsid w:val="0008683D"/>
    <w:rsid w:val="0009195C"/>
    <w:rsid w:val="0009768A"/>
    <w:rsid w:val="00097A22"/>
    <w:rsid w:val="00097B36"/>
    <w:rsid w:val="000A48C4"/>
    <w:rsid w:val="000A6BF3"/>
    <w:rsid w:val="000A7D1D"/>
    <w:rsid w:val="000B3945"/>
    <w:rsid w:val="000B3F66"/>
    <w:rsid w:val="000B6DA8"/>
    <w:rsid w:val="000C10ED"/>
    <w:rsid w:val="000C41E7"/>
    <w:rsid w:val="000C6ABE"/>
    <w:rsid w:val="000C74F2"/>
    <w:rsid w:val="000D163C"/>
    <w:rsid w:val="000D197F"/>
    <w:rsid w:val="000D21FE"/>
    <w:rsid w:val="000D488D"/>
    <w:rsid w:val="000D4BDF"/>
    <w:rsid w:val="000D5272"/>
    <w:rsid w:val="000D6A91"/>
    <w:rsid w:val="000D70A3"/>
    <w:rsid w:val="000E063B"/>
    <w:rsid w:val="000E0B96"/>
    <w:rsid w:val="000E40E5"/>
    <w:rsid w:val="000E51E1"/>
    <w:rsid w:val="000E55A9"/>
    <w:rsid w:val="000F0456"/>
    <w:rsid w:val="000F1162"/>
    <w:rsid w:val="000F46F5"/>
    <w:rsid w:val="00100C3A"/>
    <w:rsid w:val="00103D0C"/>
    <w:rsid w:val="00107283"/>
    <w:rsid w:val="00110175"/>
    <w:rsid w:val="00111BAE"/>
    <w:rsid w:val="001130CD"/>
    <w:rsid w:val="00115B12"/>
    <w:rsid w:val="00122778"/>
    <w:rsid w:val="00123556"/>
    <w:rsid w:val="001237B0"/>
    <w:rsid w:val="00135405"/>
    <w:rsid w:val="00136CAA"/>
    <w:rsid w:val="0014009D"/>
    <w:rsid w:val="001413FE"/>
    <w:rsid w:val="00142113"/>
    <w:rsid w:val="00143A84"/>
    <w:rsid w:val="00143FDE"/>
    <w:rsid w:val="0014454C"/>
    <w:rsid w:val="00144D64"/>
    <w:rsid w:val="001454EF"/>
    <w:rsid w:val="00150FF1"/>
    <w:rsid w:val="00152569"/>
    <w:rsid w:val="00160A7E"/>
    <w:rsid w:val="00161D99"/>
    <w:rsid w:val="001640A7"/>
    <w:rsid w:val="001644DF"/>
    <w:rsid w:val="00166D1B"/>
    <w:rsid w:val="00170F39"/>
    <w:rsid w:val="0017408B"/>
    <w:rsid w:val="00174454"/>
    <w:rsid w:val="001755CE"/>
    <w:rsid w:val="00175681"/>
    <w:rsid w:val="00180D2D"/>
    <w:rsid w:val="001818DA"/>
    <w:rsid w:val="00183547"/>
    <w:rsid w:val="0019251E"/>
    <w:rsid w:val="0019316A"/>
    <w:rsid w:val="00194FD6"/>
    <w:rsid w:val="001A2694"/>
    <w:rsid w:val="001A4A64"/>
    <w:rsid w:val="001A623A"/>
    <w:rsid w:val="001A667C"/>
    <w:rsid w:val="001A737A"/>
    <w:rsid w:val="001B28B0"/>
    <w:rsid w:val="001B3001"/>
    <w:rsid w:val="001B36E4"/>
    <w:rsid w:val="001B3FFF"/>
    <w:rsid w:val="001B6547"/>
    <w:rsid w:val="001C4064"/>
    <w:rsid w:val="001C7B29"/>
    <w:rsid w:val="001D0A1B"/>
    <w:rsid w:val="001D1AD6"/>
    <w:rsid w:val="001D3456"/>
    <w:rsid w:val="001D62D0"/>
    <w:rsid w:val="001D7339"/>
    <w:rsid w:val="001E2021"/>
    <w:rsid w:val="001E2AD9"/>
    <w:rsid w:val="001E3E9F"/>
    <w:rsid w:val="001E3F16"/>
    <w:rsid w:val="001E74C9"/>
    <w:rsid w:val="001F399D"/>
    <w:rsid w:val="001F64F5"/>
    <w:rsid w:val="001F7AAF"/>
    <w:rsid w:val="001F7E30"/>
    <w:rsid w:val="002012B7"/>
    <w:rsid w:val="0020256F"/>
    <w:rsid w:val="00205799"/>
    <w:rsid w:val="00207B47"/>
    <w:rsid w:val="00210C66"/>
    <w:rsid w:val="00216901"/>
    <w:rsid w:val="00216BDC"/>
    <w:rsid w:val="00223317"/>
    <w:rsid w:val="002253DF"/>
    <w:rsid w:val="002278B3"/>
    <w:rsid w:val="00232BCD"/>
    <w:rsid w:val="00232F21"/>
    <w:rsid w:val="00236E27"/>
    <w:rsid w:val="002429D2"/>
    <w:rsid w:val="00243544"/>
    <w:rsid w:val="002439A3"/>
    <w:rsid w:val="00244099"/>
    <w:rsid w:val="0024610E"/>
    <w:rsid w:val="0025083C"/>
    <w:rsid w:val="00251045"/>
    <w:rsid w:val="00260420"/>
    <w:rsid w:val="0026176C"/>
    <w:rsid w:val="00261F64"/>
    <w:rsid w:val="002645B5"/>
    <w:rsid w:val="002647E5"/>
    <w:rsid w:val="00264DB4"/>
    <w:rsid w:val="0027285B"/>
    <w:rsid w:val="00274BEA"/>
    <w:rsid w:val="00275F7A"/>
    <w:rsid w:val="00277FC2"/>
    <w:rsid w:val="00283B4A"/>
    <w:rsid w:val="00284631"/>
    <w:rsid w:val="0028630C"/>
    <w:rsid w:val="00291788"/>
    <w:rsid w:val="00291A2B"/>
    <w:rsid w:val="00291F06"/>
    <w:rsid w:val="00295C17"/>
    <w:rsid w:val="002A0ABD"/>
    <w:rsid w:val="002A3092"/>
    <w:rsid w:val="002A46ED"/>
    <w:rsid w:val="002A5358"/>
    <w:rsid w:val="002A6C07"/>
    <w:rsid w:val="002A71C8"/>
    <w:rsid w:val="002A7CD6"/>
    <w:rsid w:val="002B2114"/>
    <w:rsid w:val="002B2B3A"/>
    <w:rsid w:val="002B760E"/>
    <w:rsid w:val="002C181F"/>
    <w:rsid w:val="002C2C18"/>
    <w:rsid w:val="002C54B7"/>
    <w:rsid w:val="002C77BD"/>
    <w:rsid w:val="002C785B"/>
    <w:rsid w:val="002D0CDD"/>
    <w:rsid w:val="002E062A"/>
    <w:rsid w:val="002E0941"/>
    <w:rsid w:val="002E1F2B"/>
    <w:rsid w:val="002E3EAA"/>
    <w:rsid w:val="002E4D80"/>
    <w:rsid w:val="002E5711"/>
    <w:rsid w:val="002E5C87"/>
    <w:rsid w:val="002E5D43"/>
    <w:rsid w:val="00300A0B"/>
    <w:rsid w:val="00302F61"/>
    <w:rsid w:val="00303839"/>
    <w:rsid w:val="00303C66"/>
    <w:rsid w:val="00304770"/>
    <w:rsid w:val="003049DE"/>
    <w:rsid w:val="00306C6E"/>
    <w:rsid w:val="00311606"/>
    <w:rsid w:val="00314916"/>
    <w:rsid w:val="00315D97"/>
    <w:rsid w:val="00316AC0"/>
    <w:rsid w:val="003209C9"/>
    <w:rsid w:val="00324F58"/>
    <w:rsid w:val="0032741D"/>
    <w:rsid w:val="00335090"/>
    <w:rsid w:val="0034015B"/>
    <w:rsid w:val="00341BE1"/>
    <w:rsid w:val="00342440"/>
    <w:rsid w:val="00342540"/>
    <w:rsid w:val="00343839"/>
    <w:rsid w:val="0034449E"/>
    <w:rsid w:val="003457B8"/>
    <w:rsid w:val="00346913"/>
    <w:rsid w:val="00347E97"/>
    <w:rsid w:val="00347F08"/>
    <w:rsid w:val="00354398"/>
    <w:rsid w:val="00354DF6"/>
    <w:rsid w:val="00355612"/>
    <w:rsid w:val="00357327"/>
    <w:rsid w:val="00360DF5"/>
    <w:rsid w:val="0036158D"/>
    <w:rsid w:val="00363750"/>
    <w:rsid w:val="00365947"/>
    <w:rsid w:val="00365C9D"/>
    <w:rsid w:val="00372A13"/>
    <w:rsid w:val="0037386F"/>
    <w:rsid w:val="0037669C"/>
    <w:rsid w:val="00377E76"/>
    <w:rsid w:val="00380028"/>
    <w:rsid w:val="00380EE5"/>
    <w:rsid w:val="0038406A"/>
    <w:rsid w:val="003841E4"/>
    <w:rsid w:val="003851A1"/>
    <w:rsid w:val="0038603C"/>
    <w:rsid w:val="003862FA"/>
    <w:rsid w:val="00390A3F"/>
    <w:rsid w:val="003927BA"/>
    <w:rsid w:val="00392C8E"/>
    <w:rsid w:val="0039396F"/>
    <w:rsid w:val="00393C6C"/>
    <w:rsid w:val="003948C4"/>
    <w:rsid w:val="00395DE3"/>
    <w:rsid w:val="0039655A"/>
    <w:rsid w:val="0039723B"/>
    <w:rsid w:val="003B0492"/>
    <w:rsid w:val="003C023B"/>
    <w:rsid w:val="003C5510"/>
    <w:rsid w:val="003C6D83"/>
    <w:rsid w:val="003D0539"/>
    <w:rsid w:val="003D27A6"/>
    <w:rsid w:val="003D3EB5"/>
    <w:rsid w:val="003D4A11"/>
    <w:rsid w:val="003D65FF"/>
    <w:rsid w:val="003E135A"/>
    <w:rsid w:val="003E1E46"/>
    <w:rsid w:val="003E4A4B"/>
    <w:rsid w:val="003E682F"/>
    <w:rsid w:val="003F1D54"/>
    <w:rsid w:val="003F23A9"/>
    <w:rsid w:val="003F582F"/>
    <w:rsid w:val="003F6174"/>
    <w:rsid w:val="003F6672"/>
    <w:rsid w:val="0040144E"/>
    <w:rsid w:val="004022C3"/>
    <w:rsid w:val="00406D04"/>
    <w:rsid w:val="004112E0"/>
    <w:rsid w:val="004114E2"/>
    <w:rsid w:val="004117B2"/>
    <w:rsid w:val="004167F7"/>
    <w:rsid w:val="00416861"/>
    <w:rsid w:val="004231CA"/>
    <w:rsid w:val="004251B3"/>
    <w:rsid w:val="00426C01"/>
    <w:rsid w:val="00427100"/>
    <w:rsid w:val="004271F7"/>
    <w:rsid w:val="00430352"/>
    <w:rsid w:val="00433DE1"/>
    <w:rsid w:val="00433F7D"/>
    <w:rsid w:val="0043422D"/>
    <w:rsid w:val="00435155"/>
    <w:rsid w:val="00436A5E"/>
    <w:rsid w:val="004509CD"/>
    <w:rsid w:val="004516F6"/>
    <w:rsid w:val="004538B3"/>
    <w:rsid w:val="00455621"/>
    <w:rsid w:val="004558CE"/>
    <w:rsid w:val="00463030"/>
    <w:rsid w:val="00470F41"/>
    <w:rsid w:val="00472939"/>
    <w:rsid w:val="00472BEA"/>
    <w:rsid w:val="0047342A"/>
    <w:rsid w:val="004744A5"/>
    <w:rsid w:val="00474E8D"/>
    <w:rsid w:val="00485ABC"/>
    <w:rsid w:val="0048653C"/>
    <w:rsid w:val="00490583"/>
    <w:rsid w:val="00490A7C"/>
    <w:rsid w:val="00491C84"/>
    <w:rsid w:val="004927EE"/>
    <w:rsid w:val="004935B3"/>
    <w:rsid w:val="004939A9"/>
    <w:rsid w:val="00493FB4"/>
    <w:rsid w:val="004A6F98"/>
    <w:rsid w:val="004B4CC5"/>
    <w:rsid w:val="004B6B8C"/>
    <w:rsid w:val="004C0E59"/>
    <w:rsid w:val="004C32BD"/>
    <w:rsid w:val="004C3B2E"/>
    <w:rsid w:val="004C5668"/>
    <w:rsid w:val="004C7897"/>
    <w:rsid w:val="004D0324"/>
    <w:rsid w:val="004D1337"/>
    <w:rsid w:val="004D2551"/>
    <w:rsid w:val="004D3795"/>
    <w:rsid w:val="004D3898"/>
    <w:rsid w:val="004D721C"/>
    <w:rsid w:val="004E4E39"/>
    <w:rsid w:val="004E6F9F"/>
    <w:rsid w:val="004F249B"/>
    <w:rsid w:val="004F78A2"/>
    <w:rsid w:val="00501F59"/>
    <w:rsid w:val="00510FF0"/>
    <w:rsid w:val="00511B8C"/>
    <w:rsid w:val="00513B06"/>
    <w:rsid w:val="005154C0"/>
    <w:rsid w:val="00515902"/>
    <w:rsid w:val="0052115E"/>
    <w:rsid w:val="005217B3"/>
    <w:rsid w:val="00521BCE"/>
    <w:rsid w:val="00524322"/>
    <w:rsid w:val="00524E7B"/>
    <w:rsid w:val="00525B92"/>
    <w:rsid w:val="005277B4"/>
    <w:rsid w:val="00530A6B"/>
    <w:rsid w:val="005315CC"/>
    <w:rsid w:val="00532916"/>
    <w:rsid w:val="00534AA1"/>
    <w:rsid w:val="005372C8"/>
    <w:rsid w:val="005426DD"/>
    <w:rsid w:val="00543394"/>
    <w:rsid w:val="00543C12"/>
    <w:rsid w:val="005465AC"/>
    <w:rsid w:val="005505CB"/>
    <w:rsid w:val="005540D2"/>
    <w:rsid w:val="00555F6E"/>
    <w:rsid w:val="00562E2C"/>
    <w:rsid w:val="00563055"/>
    <w:rsid w:val="005639AC"/>
    <w:rsid w:val="00565263"/>
    <w:rsid w:val="0056609C"/>
    <w:rsid w:val="00567985"/>
    <w:rsid w:val="00570135"/>
    <w:rsid w:val="00570955"/>
    <w:rsid w:val="00573A06"/>
    <w:rsid w:val="005771C0"/>
    <w:rsid w:val="00584CBD"/>
    <w:rsid w:val="00592AB9"/>
    <w:rsid w:val="005A04D0"/>
    <w:rsid w:val="005A0DD3"/>
    <w:rsid w:val="005A443C"/>
    <w:rsid w:val="005B10A7"/>
    <w:rsid w:val="005B61E7"/>
    <w:rsid w:val="005B75EF"/>
    <w:rsid w:val="005B7C62"/>
    <w:rsid w:val="005B7DF7"/>
    <w:rsid w:val="005C11A6"/>
    <w:rsid w:val="005C4751"/>
    <w:rsid w:val="005D24AA"/>
    <w:rsid w:val="005D47ED"/>
    <w:rsid w:val="005D480E"/>
    <w:rsid w:val="005D55DE"/>
    <w:rsid w:val="005D7A98"/>
    <w:rsid w:val="005E1DE5"/>
    <w:rsid w:val="005E4278"/>
    <w:rsid w:val="005E6B0B"/>
    <w:rsid w:val="005E734C"/>
    <w:rsid w:val="005E7EC5"/>
    <w:rsid w:val="005F05AA"/>
    <w:rsid w:val="005F0B0B"/>
    <w:rsid w:val="005F2304"/>
    <w:rsid w:val="005F3BB3"/>
    <w:rsid w:val="005F414A"/>
    <w:rsid w:val="005F4EC5"/>
    <w:rsid w:val="005F4FEA"/>
    <w:rsid w:val="005F5799"/>
    <w:rsid w:val="005F5919"/>
    <w:rsid w:val="005F6D77"/>
    <w:rsid w:val="006002B9"/>
    <w:rsid w:val="006031C2"/>
    <w:rsid w:val="00603952"/>
    <w:rsid w:val="006214A8"/>
    <w:rsid w:val="00621955"/>
    <w:rsid w:val="00624529"/>
    <w:rsid w:val="00624D86"/>
    <w:rsid w:val="0063034D"/>
    <w:rsid w:val="00632634"/>
    <w:rsid w:val="00634342"/>
    <w:rsid w:val="006353F7"/>
    <w:rsid w:val="006356C5"/>
    <w:rsid w:val="00637DCB"/>
    <w:rsid w:val="006402DF"/>
    <w:rsid w:val="0064188A"/>
    <w:rsid w:val="00641EFE"/>
    <w:rsid w:val="006425BC"/>
    <w:rsid w:val="0064286A"/>
    <w:rsid w:val="00644CE4"/>
    <w:rsid w:val="006463F6"/>
    <w:rsid w:val="00651749"/>
    <w:rsid w:val="00651BFF"/>
    <w:rsid w:val="006568C2"/>
    <w:rsid w:val="00657898"/>
    <w:rsid w:val="00660ED7"/>
    <w:rsid w:val="00663851"/>
    <w:rsid w:val="00666318"/>
    <w:rsid w:val="00670181"/>
    <w:rsid w:val="00673B9B"/>
    <w:rsid w:val="00674623"/>
    <w:rsid w:val="00674E20"/>
    <w:rsid w:val="00677118"/>
    <w:rsid w:val="00677B81"/>
    <w:rsid w:val="00677D89"/>
    <w:rsid w:val="00681856"/>
    <w:rsid w:val="00681EEF"/>
    <w:rsid w:val="0068784D"/>
    <w:rsid w:val="0069144B"/>
    <w:rsid w:val="00691FB6"/>
    <w:rsid w:val="00697F9F"/>
    <w:rsid w:val="006A12BA"/>
    <w:rsid w:val="006A29FD"/>
    <w:rsid w:val="006A2AAF"/>
    <w:rsid w:val="006A2B37"/>
    <w:rsid w:val="006A5E65"/>
    <w:rsid w:val="006A5F9F"/>
    <w:rsid w:val="006A7A38"/>
    <w:rsid w:val="006A7F14"/>
    <w:rsid w:val="006B0FF5"/>
    <w:rsid w:val="006B39B3"/>
    <w:rsid w:val="006B66FA"/>
    <w:rsid w:val="006C54EA"/>
    <w:rsid w:val="006C5E3A"/>
    <w:rsid w:val="006D35ED"/>
    <w:rsid w:val="006D47BD"/>
    <w:rsid w:val="006D660A"/>
    <w:rsid w:val="006E0B83"/>
    <w:rsid w:val="006E16C6"/>
    <w:rsid w:val="006E42C4"/>
    <w:rsid w:val="006E570A"/>
    <w:rsid w:val="006F04FD"/>
    <w:rsid w:val="006F1DB2"/>
    <w:rsid w:val="006F4817"/>
    <w:rsid w:val="00700DFA"/>
    <w:rsid w:val="00701136"/>
    <w:rsid w:val="00701563"/>
    <w:rsid w:val="00702054"/>
    <w:rsid w:val="007074C5"/>
    <w:rsid w:val="00710DC7"/>
    <w:rsid w:val="00713DD1"/>
    <w:rsid w:val="0071423A"/>
    <w:rsid w:val="007218C4"/>
    <w:rsid w:val="00722D76"/>
    <w:rsid w:val="00726272"/>
    <w:rsid w:val="00726C8D"/>
    <w:rsid w:val="00730D86"/>
    <w:rsid w:val="00733F22"/>
    <w:rsid w:val="00734279"/>
    <w:rsid w:val="0074343D"/>
    <w:rsid w:val="007458C5"/>
    <w:rsid w:val="00746181"/>
    <w:rsid w:val="00746404"/>
    <w:rsid w:val="00747819"/>
    <w:rsid w:val="0075499A"/>
    <w:rsid w:val="007562E5"/>
    <w:rsid w:val="007575A5"/>
    <w:rsid w:val="0076048E"/>
    <w:rsid w:val="00761568"/>
    <w:rsid w:val="0076252E"/>
    <w:rsid w:val="00763185"/>
    <w:rsid w:val="00767963"/>
    <w:rsid w:val="0077083A"/>
    <w:rsid w:val="00770D7A"/>
    <w:rsid w:val="0077152D"/>
    <w:rsid w:val="00771788"/>
    <w:rsid w:val="007725F9"/>
    <w:rsid w:val="0077384C"/>
    <w:rsid w:val="00773F2D"/>
    <w:rsid w:val="0077478A"/>
    <w:rsid w:val="00775259"/>
    <w:rsid w:val="007819CB"/>
    <w:rsid w:val="00781AA4"/>
    <w:rsid w:val="00783AED"/>
    <w:rsid w:val="00787D8D"/>
    <w:rsid w:val="00790232"/>
    <w:rsid w:val="00792FE8"/>
    <w:rsid w:val="00793C89"/>
    <w:rsid w:val="00795256"/>
    <w:rsid w:val="00796A01"/>
    <w:rsid w:val="00796E9F"/>
    <w:rsid w:val="007A1CC9"/>
    <w:rsid w:val="007B1E78"/>
    <w:rsid w:val="007B7E94"/>
    <w:rsid w:val="007C0185"/>
    <w:rsid w:val="007C15B5"/>
    <w:rsid w:val="007C2A0C"/>
    <w:rsid w:val="007C45CF"/>
    <w:rsid w:val="007C5B42"/>
    <w:rsid w:val="007C6741"/>
    <w:rsid w:val="007C6788"/>
    <w:rsid w:val="007D04E5"/>
    <w:rsid w:val="007E0A04"/>
    <w:rsid w:val="007E0EDF"/>
    <w:rsid w:val="007E51E8"/>
    <w:rsid w:val="007F2282"/>
    <w:rsid w:val="007F2384"/>
    <w:rsid w:val="007F2683"/>
    <w:rsid w:val="007F3DC4"/>
    <w:rsid w:val="007F3F17"/>
    <w:rsid w:val="007F6C10"/>
    <w:rsid w:val="007F7DD9"/>
    <w:rsid w:val="00807683"/>
    <w:rsid w:val="00816103"/>
    <w:rsid w:val="00822E24"/>
    <w:rsid w:val="00823DDB"/>
    <w:rsid w:val="008242AC"/>
    <w:rsid w:val="00826067"/>
    <w:rsid w:val="008268FB"/>
    <w:rsid w:val="00830C03"/>
    <w:rsid w:val="00830C5B"/>
    <w:rsid w:val="0083176B"/>
    <w:rsid w:val="008326A0"/>
    <w:rsid w:val="00833519"/>
    <w:rsid w:val="0083399D"/>
    <w:rsid w:val="0084131E"/>
    <w:rsid w:val="00841D2F"/>
    <w:rsid w:val="00842FBA"/>
    <w:rsid w:val="00844D81"/>
    <w:rsid w:val="00846A19"/>
    <w:rsid w:val="00850655"/>
    <w:rsid w:val="008541C3"/>
    <w:rsid w:val="008605DF"/>
    <w:rsid w:val="00860FB7"/>
    <w:rsid w:val="00861A2B"/>
    <w:rsid w:val="00862108"/>
    <w:rsid w:val="008629ED"/>
    <w:rsid w:val="00862BF5"/>
    <w:rsid w:val="00867EB7"/>
    <w:rsid w:val="008731AE"/>
    <w:rsid w:val="00875B74"/>
    <w:rsid w:val="00876B0D"/>
    <w:rsid w:val="0087756F"/>
    <w:rsid w:val="00882ED1"/>
    <w:rsid w:val="00884CE4"/>
    <w:rsid w:val="00887EC6"/>
    <w:rsid w:val="00893F9C"/>
    <w:rsid w:val="008964EA"/>
    <w:rsid w:val="00897096"/>
    <w:rsid w:val="008A0090"/>
    <w:rsid w:val="008A0F28"/>
    <w:rsid w:val="008A1362"/>
    <w:rsid w:val="008A70A0"/>
    <w:rsid w:val="008B0221"/>
    <w:rsid w:val="008B02A9"/>
    <w:rsid w:val="008B0392"/>
    <w:rsid w:val="008B0A71"/>
    <w:rsid w:val="008B1AAE"/>
    <w:rsid w:val="008B234B"/>
    <w:rsid w:val="008B535C"/>
    <w:rsid w:val="008C1320"/>
    <w:rsid w:val="008D1E23"/>
    <w:rsid w:val="008D5CDA"/>
    <w:rsid w:val="008D7386"/>
    <w:rsid w:val="008E0307"/>
    <w:rsid w:val="008E3FB8"/>
    <w:rsid w:val="008E725A"/>
    <w:rsid w:val="008E79A8"/>
    <w:rsid w:val="008F0431"/>
    <w:rsid w:val="008F3BF7"/>
    <w:rsid w:val="0090081F"/>
    <w:rsid w:val="00902BDC"/>
    <w:rsid w:val="009051D5"/>
    <w:rsid w:val="00906FC6"/>
    <w:rsid w:val="00907968"/>
    <w:rsid w:val="009115DD"/>
    <w:rsid w:val="00911D13"/>
    <w:rsid w:val="0091227A"/>
    <w:rsid w:val="00912C24"/>
    <w:rsid w:val="009168E9"/>
    <w:rsid w:val="00930311"/>
    <w:rsid w:val="00934F84"/>
    <w:rsid w:val="00944394"/>
    <w:rsid w:val="00945270"/>
    <w:rsid w:val="009478FD"/>
    <w:rsid w:val="009500F0"/>
    <w:rsid w:val="0095042B"/>
    <w:rsid w:val="0095086B"/>
    <w:rsid w:val="009511C6"/>
    <w:rsid w:val="009514E3"/>
    <w:rsid w:val="00951A9B"/>
    <w:rsid w:val="00962106"/>
    <w:rsid w:val="00962638"/>
    <w:rsid w:val="00963B8A"/>
    <w:rsid w:val="00966ABB"/>
    <w:rsid w:val="0097033C"/>
    <w:rsid w:val="0097566C"/>
    <w:rsid w:val="009772B8"/>
    <w:rsid w:val="0097782B"/>
    <w:rsid w:val="00980217"/>
    <w:rsid w:val="00984F47"/>
    <w:rsid w:val="0098603F"/>
    <w:rsid w:val="00986E1E"/>
    <w:rsid w:val="00987970"/>
    <w:rsid w:val="00990D1D"/>
    <w:rsid w:val="009944E8"/>
    <w:rsid w:val="00997556"/>
    <w:rsid w:val="00997AC9"/>
    <w:rsid w:val="009A1AB2"/>
    <w:rsid w:val="009A5BBC"/>
    <w:rsid w:val="009A62C0"/>
    <w:rsid w:val="009A6B84"/>
    <w:rsid w:val="009A7416"/>
    <w:rsid w:val="009A7C03"/>
    <w:rsid w:val="009B007A"/>
    <w:rsid w:val="009B218A"/>
    <w:rsid w:val="009B35A7"/>
    <w:rsid w:val="009B4804"/>
    <w:rsid w:val="009B556C"/>
    <w:rsid w:val="009B7FBA"/>
    <w:rsid w:val="009C0198"/>
    <w:rsid w:val="009C4FD7"/>
    <w:rsid w:val="009C57E2"/>
    <w:rsid w:val="009C609D"/>
    <w:rsid w:val="009D19E7"/>
    <w:rsid w:val="009D5044"/>
    <w:rsid w:val="009E0EDC"/>
    <w:rsid w:val="009E2BB4"/>
    <w:rsid w:val="009E4435"/>
    <w:rsid w:val="009E4F30"/>
    <w:rsid w:val="009E657A"/>
    <w:rsid w:val="009E6B8F"/>
    <w:rsid w:val="009E6E43"/>
    <w:rsid w:val="009E781F"/>
    <w:rsid w:val="009F1DD6"/>
    <w:rsid w:val="009F2962"/>
    <w:rsid w:val="009F2E2B"/>
    <w:rsid w:val="009F411F"/>
    <w:rsid w:val="009F640F"/>
    <w:rsid w:val="009F754F"/>
    <w:rsid w:val="00A10505"/>
    <w:rsid w:val="00A11A97"/>
    <w:rsid w:val="00A11C22"/>
    <w:rsid w:val="00A2101C"/>
    <w:rsid w:val="00A2307E"/>
    <w:rsid w:val="00A255FB"/>
    <w:rsid w:val="00A3071F"/>
    <w:rsid w:val="00A32BFE"/>
    <w:rsid w:val="00A33F29"/>
    <w:rsid w:val="00A43B02"/>
    <w:rsid w:val="00A44B93"/>
    <w:rsid w:val="00A45E19"/>
    <w:rsid w:val="00A46826"/>
    <w:rsid w:val="00A46C45"/>
    <w:rsid w:val="00A4701B"/>
    <w:rsid w:val="00A4707E"/>
    <w:rsid w:val="00A47E50"/>
    <w:rsid w:val="00A5031E"/>
    <w:rsid w:val="00A50A44"/>
    <w:rsid w:val="00A53331"/>
    <w:rsid w:val="00A710A6"/>
    <w:rsid w:val="00A7124D"/>
    <w:rsid w:val="00A71F7C"/>
    <w:rsid w:val="00A77BE7"/>
    <w:rsid w:val="00A815B3"/>
    <w:rsid w:val="00A85B27"/>
    <w:rsid w:val="00A86B56"/>
    <w:rsid w:val="00A90061"/>
    <w:rsid w:val="00A905AD"/>
    <w:rsid w:val="00A94274"/>
    <w:rsid w:val="00A96484"/>
    <w:rsid w:val="00AA496D"/>
    <w:rsid w:val="00AA57A8"/>
    <w:rsid w:val="00AA7AAD"/>
    <w:rsid w:val="00AB3515"/>
    <w:rsid w:val="00AB4393"/>
    <w:rsid w:val="00AB662F"/>
    <w:rsid w:val="00AB7DDF"/>
    <w:rsid w:val="00AC1736"/>
    <w:rsid w:val="00AC2493"/>
    <w:rsid w:val="00AC4ABD"/>
    <w:rsid w:val="00AC4C72"/>
    <w:rsid w:val="00AC7208"/>
    <w:rsid w:val="00AC7A3C"/>
    <w:rsid w:val="00AD0A04"/>
    <w:rsid w:val="00AD2BCA"/>
    <w:rsid w:val="00AD60C4"/>
    <w:rsid w:val="00AD6B6F"/>
    <w:rsid w:val="00AD7698"/>
    <w:rsid w:val="00AE0968"/>
    <w:rsid w:val="00AE1115"/>
    <w:rsid w:val="00AE19F1"/>
    <w:rsid w:val="00AE6D7A"/>
    <w:rsid w:val="00AE77A2"/>
    <w:rsid w:val="00AF0644"/>
    <w:rsid w:val="00AF0978"/>
    <w:rsid w:val="00AF3124"/>
    <w:rsid w:val="00AF3B76"/>
    <w:rsid w:val="00AF5814"/>
    <w:rsid w:val="00AF72A6"/>
    <w:rsid w:val="00B0143F"/>
    <w:rsid w:val="00B027AE"/>
    <w:rsid w:val="00B03AEE"/>
    <w:rsid w:val="00B077ED"/>
    <w:rsid w:val="00B110D4"/>
    <w:rsid w:val="00B12959"/>
    <w:rsid w:val="00B17E25"/>
    <w:rsid w:val="00B21F9A"/>
    <w:rsid w:val="00B21FDE"/>
    <w:rsid w:val="00B22025"/>
    <w:rsid w:val="00B221A5"/>
    <w:rsid w:val="00B224AC"/>
    <w:rsid w:val="00B260F3"/>
    <w:rsid w:val="00B30869"/>
    <w:rsid w:val="00B360C9"/>
    <w:rsid w:val="00B365D0"/>
    <w:rsid w:val="00B417E0"/>
    <w:rsid w:val="00B43BB0"/>
    <w:rsid w:val="00B47183"/>
    <w:rsid w:val="00B508E2"/>
    <w:rsid w:val="00B511C4"/>
    <w:rsid w:val="00B5709F"/>
    <w:rsid w:val="00B60522"/>
    <w:rsid w:val="00B628B9"/>
    <w:rsid w:val="00B671AD"/>
    <w:rsid w:val="00B75428"/>
    <w:rsid w:val="00B77B98"/>
    <w:rsid w:val="00B86095"/>
    <w:rsid w:val="00B862D6"/>
    <w:rsid w:val="00B937B8"/>
    <w:rsid w:val="00BA1E9F"/>
    <w:rsid w:val="00BA30CD"/>
    <w:rsid w:val="00BA3F31"/>
    <w:rsid w:val="00BA6617"/>
    <w:rsid w:val="00BA7044"/>
    <w:rsid w:val="00BB0427"/>
    <w:rsid w:val="00BB1EC8"/>
    <w:rsid w:val="00BB5DF0"/>
    <w:rsid w:val="00BB6BEC"/>
    <w:rsid w:val="00BC0187"/>
    <w:rsid w:val="00BC079D"/>
    <w:rsid w:val="00BC12F3"/>
    <w:rsid w:val="00BC34C4"/>
    <w:rsid w:val="00BC60E0"/>
    <w:rsid w:val="00BC67D4"/>
    <w:rsid w:val="00BC756A"/>
    <w:rsid w:val="00BD640A"/>
    <w:rsid w:val="00BE0393"/>
    <w:rsid w:val="00BE28E6"/>
    <w:rsid w:val="00BE4202"/>
    <w:rsid w:val="00BE7E68"/>
    <w:rsid w:val="00BF0817"/>
    <w:rsid w:val="00BF1284"/>
    <w:rsid w:val="00BF1DCE"/>
    <w:rsid w:val="00BF2D66"/>
    <w:rsid w:val="00BF46E1"/>
    <w:rsid w:val="00BF5310"/>
    <w:rsid w:val="00BF5ADC"/>
    <w:rsid w:val="00BF708B"/>
    <w:rsid w:val="00BF7CDD"/>
    <w:rsid w:val="00C05A77"/>
    <w:rsid w:val="00C06FE5"/>
    <w:rsid w:val="00C103C8"/>
    <w:rsid w:val="00C1088F"/>
    <w:rsid w:val="00C112CD"/>
    <w:rsid w:val="00C1305B"/>
    <w:rsid w:val="00C16C7F"/>
    <w:rsid w:val="00C17956"/>
    <w:rsid w:val="00C21EB4"/>
    <w:rsid w:val="00C22F1E"/>
    <w:rsid w:val="00C23DE2"/>
    <w:rsid w:val="00C24BB3"/>
    <w:rsid w:val="00C24EDE"/>
    <w:rsid w:val="00C32520"/>
    <w:rsid w:val="00C340E2"/>
    <w:rsid w:val="00C40B71"/>
    <w:rsid w:val="00C414E4"/>
    <w:rsid w:val="00C438B7"/>
    <w:rsid w:val="00C46E28"/>
    <w:rsid w:val="00C511AA"/>
    <w:rsid w:val="00C53589"/>
    <w:rsid w:val="00C5536F"/>
    <w:rsid w:val="00C555AA"/>
    <w:rsid w:val="00C55866"/>
    <w:rsid w:val="00C606FA"/>
    <w:rsid w:val="00C610B6"/>
    <w:rsid w:val="00C61D89"/>
    <w:rsid w:val="00C632D8"/>
    <w:rsid w:val="00C65E49"/>
    <w:rsid w:val="00C70AC2"/>
    <w:rsid w:val="00C73173"/>
    <w:rsid w:val="00C734F5"/>
    <w:rsid w:val="00C8459D"/>
    <w:rsid w:val="00C8482B"/>
    <w:rsid w:val="00C87063"/>
    <w:rsid w:val="00C90436"/>
    <w:rsid w:val="00C91751"/>
    <w:rsid w:val="00C91AF5"/>
    <w:rsid w:val="00C93A9C"/>
    <w:rsid w:val="00C96370"/>
    <w:rsid w:val="00C96EDA"/>
    <w:rsid w:val="00CA27FB"/>
    <w:rsid w:val="00CA3A42"/>
    <w:rsid w:val="00CA4EBC"/>
    <w:rsid w:val="00CA5B01"/>
    <w:rsid w:val="00CA6645"/>
    <w:rsid w:val="00CA6C11"/>
    <w:rsid w:val="00CA6F35"/>
    <w:rsid w:val="00CB1891"/>
    <w:rsid w:val="00CB1E26"/>
    <w:rsid w:val="00CB48A6"/>
    <w:rsid w:val="00CB6073"/>
    <w:rsid w:val="00CB7431"/>
    <w:rsid w:val="00CC47AB"/>
    <w:rsid w:val="00CD65EF"/>
    <w:rsid w:val="00CD7169"/>
    <w:rsid w:val="00CE0056"/>
    <w:rsid w:val="00CE3F39"/>
    <w:rsid w:val="00CE4158"/>
    <w:rsid w:val="00CE4B32"/>
    <w:rsid w:val="00CF5E93"/>
    <w:rsid w:val="00D00B1A"/>
    <w:rsid w:val="00D01D46"/>
    <w:rsid w:val="00D03877"/>
    <w:rsid w:val="00D053F4"/>
    <w:rsid w:val="00D0675B"/>
    <w:rsid w:val="00D06829"/>
    <w:rsid w:val="00D06B32"/>
    <w:rsid w:val="00D10126"/>
    <w:rsid w:val="00D11D16"/>
    <w:rsid w:val="00D134CF"/>
    <w:rsid w:val="00D13A8C"/>
    <w:rsid w:val="00D1421A"/>
    <w:rsid w:val="00D154F5"/>
    <w:rsid w:val="00D15C21"/>
    <w:rsid w:val="00D16C8C"/>
    <w:rsid w:val="00D22176"/>
    <w:rsid w:val="00D2536F"/>
    <w:rsid w:val="00D267DB"/>
    <w:rsid w:val="00D274BF"/>
    <w:rsid w:val="00D27898"/>
    <w:rsid w:val="00D301E7"/>
    <w:rsid w:val="00D308D4"/>
    <w:rsid w:val="00D30E28"/>
    <w:rsid w:val="00D313A8"/>
    <w:rsid w:val="00D32F53"/>
    <w:rsid w:val="00D3566F"/>
    <w:rsid w:val="00D35C5F"/>
    <w:rsid w:val="00D43172"/>
    <w:rsid w:val="00D469C8"/>
    <w:rsid w:val="00D47192"/>
    <w:rsid w:val="00D50787"/>
    <w:rsid w:val="00D51BCD"/>
    <w:rsid w:val="00D53BAF"/>
    <w:rsid w:val="00D55053"/>
    <w:rsid w:val="00D5656B"/>
    <w:rsid w:val="00D57E8B"/>
    <w:rsid w:val="00D6018C"/>
    <w:rsid w:val="00D62870"/>
    <w:rsid w:val="00D63035"/>
    <w:rsid w:val="00D632DE"/>
    <w:rsid w:val="00D658FB"/>
    <w:rsid w:val="00D65ABF"/>
    <w:rsid w:val="00D70942"/>
    <w:rsid w:val="00D7382E"/>
    <w:rsid w:val="00D7469D"/>
    <w:rsid w:val="00D74A4D"/>
    <w:rsid w:val="00D772E5"/>
    <w:rsid w:val="00D80775"/>
    <w:rsid w:val="00D826D8"/>
    <w:rsid w:val="00D86339"/>
    <w:rsid w:val="00D9462E"/>
    <w:rsid w:val="00D950AA"/>
    <w:rsid w:val="00D95955"/>
    <w:rsid w:val="00D9758C"/>
    <w:rsid w:val="00DA1A06"/>
    <w:rsid w:val="00DA27B2"/>
    <w:rsid w:val="00DB0F47"/>
    <w:rsid w:val="00DB112B"/>
    <w:rsid w:val="00DB204D"/>
    <w:rsid w:val="00DB4241"/>
    <w:rsid w:val="00DB551B"/>
    <w:rsid w:val="00DB5D95"/>
    <w:rsid w:val="00DB732D"/>
    <w:rsid w:val="00DC248B"/>
    <w:rsid w:val="00DC5ECC"/>
    <w:rsid w:val="00DC7213"/>
    <w:rsid w:val="00DC76FD"/>
    <w:rsid w:val="00DD0013"/>
    <w:rsid w:val="00DD3293"/>
    <w:rsid w:val="00DD4C7E"/>
    <w:rsid w:val="00DD7D2A"/>
    <w:rsid w:val="00DE3E12"/>
    <w:rsid w:val="00DE5454"/>
    <w:rsid w:val="00DE6DFC"/>
    <w:rsid w:val="00DE71D2"/>
    <w:rsid w:val="00DF353F"/>
    <w:rsid w:val="00E04658"/>
    <w:rsid w:val="00E068C3"/>
    <w:rsid w:val="00E070F9"/>
    <w:rsid w:val="00E11C93"/>
    <w:rsid w:val="00E139FD"/>
    <w:rsid w:val="00E21843"/>
    <w:rsid w:val="00E21B5D"/>
    <w:rsid w:val="00E22637"/>
    <w:rsid w:val="00E24855"/>
    <w:rsid w:val="00E26918"/>
    <w:rsid w:val="00E300E4"/>
    <w:rsid w:val="00E31853"/>
    <w:rsid w:val="00E31B8B"/>
    <w:rsid w:val="00E35993"/>
    <w:rsid w:val="00E44205"/>
    <w:rsid w:val="00E5050E"/>
    <w:rsid w:val="00E51920"/>
    <w:rsid w:val="00E530C6"/>
    <w:rsid w:val="00E649E3"/>
    <w:rsid w:val="00E714A4"/>
    <w:rsid w:val="00E731B5"/>
    <w:rsid w:val="00E7389B"/>
    <w:rsid w:val="00E75943"/>
    <w:rsid w:val="00E8001F"/>
    <w:rsid w:val="00E80783"/>
    <w:rsid w:val="00E83993"/>
    <w:rsid w:val="00E90073"/>
    <w:rsid w:val="00E905A9"/>
    <w:rsid w:val="00E91E9D"/>
    <w:rsid w:val="00E92C53"/>
    <w:rsid w:val="00E9323B"/>
    <w:rsid w:val="00E9340F"/>
    <w:rsid w:val="00E935C0"/>
    <w:rsid w:val="00E93FF0"/>
    <w:rsid w:val="00E94D55"/>
    <w:rsid w:val="00E96783"/>
    <w:rsid w:val="00E96E8E"/>
    <w:rsid w:val="00EB4D22"/>
    <w:rsid w:val="00EB5B01"/>
    <w:rsid w:val="00EB5C25"/>
    <w:rsid w:val="00EB6F38"/>
    <w:rsid w:val="00EC0A60"/>
    <w:rsid w:val="00EC0C16"/>
    <w:rsid w:val="00EC4DFE"/>
    <w:rsid w:val="00EC6C61"/>
    <w:rsid w:val="00ED08FE"/>
    <w:rsid w:val="00ED14D7"/>
    <w:rsid w:val="00ED2599"/>
    <w:rsid w:val="00ED37E4"/>
    <w:rsid w:val="00ED3C83"/>
    <w:rsid w:val="00ED7A10"/>
    <w:rsid w:val="00EE0BF0"/>
    <w:rsid w:val="00EE0F23"/>
    <w:rsid w:val="00EE2565"/>
    <w:rsid w:val="00EE3E31"/>
    <w:rsid w:val="00EF1DB4"/>
    <w:rsid w:val="00EF4802"/>
    <w:rsid w:val="00EF6659"/>
    <w:rsid w:val="00F02C4F"/>
    <w:rsid w:val="00F113ED"/>
    <w:rsid w:val="00F129AD"/>
    <w:rsid w:val="00F13225"/>
    <w:rsid w:val="00F13765"/>
    <w:rsid w:val="00F17D05"/>
    <w:rsid w:val="00F2051F"/>
    <w:rsid w:val="00F20708"/>
    <w:rsid w:val="00F21823"/>
    <w:rsid w:val="00F22F33"/>
    <w:rsid w:val="00F2510F"/>
    <w:rsid w:val="00F25915"/>
    <w:rsid w:val="00F271B2"/>
    <w:rsid w:val="00F30981"/>
    <w:rsid w:val="00F36B52"/>
    <w:rsid w:val="00F40F85"/>
    <w:rsid w:val="00F42438"/>
    <w:rsid w:val="00F4348E"/>
    <w:rsid w:val="00F43884"/>
    <w:rsid w:val="00F46801"/>
    <w:rsid w:val="00F46DAF"/>
    <w:rsid w:val="00F47F6D"/>
    <w:rsid w:val="00F514CB"/>
    <w:rsid w:val="00F5343A"/>
    <w:rsid w:val="00F545B1"/>
    <w:rsid w:val="00F553E9"/>
    <w:rsid w:val="00F553F3"/>
    <w:rsid w:val="00F62896"/>
    <w:rsid w:val="00F632FC"/>
    <w:rsid w:val="00F64561"/>
    <w:rsid w:val="00F64CEA"/>
    <w:rsid w:val="00F64EFC"/>
    <w:rsid w:val="00F65F54"/>
    <w:rsid w:val="00F670AC"/>
    <w:rsid w:val="00F67800"/>
    <w:rsid w:val="00F70450"/>
    <w:rsid w:val="00F71E1C"/>
    <w:rsid w:val="00F73797"/>
    <w:rsid w:val="00F75A8E"/>
    <w:rsid w:val="00F81E1B"/>
    <w:rsid w:val="00F82767"/>
    <w:rsid w:val="00F84962"/>
    <w:rsid w:val="00F8674D"/>
    <w:rsid w:val="00F94734"/>
    <w:rsid w:val="00FA1CB9"/>
    <w:rsid w:val="00FA3490"/>
    <w:rsid w:val="00FA4A89"/>
    <w:rsid w:val="00FA5860"/>
    <w:rsid w:val="00FB0AA6"/>
    <w:rsid w:val="00FB22E0"/>
    <w:rsid w:val="00FB27C7"/>
    <w:rsid w:val="00FB2E2C"/>
    <w:rsid w:val="00FB3BE8"/>
    <w:rsid w:val="00FC2B0F"/>
    <w:rsid w:val="00FC3AD9"/>
    <w:rsid w:val="00FC5ACE"/>
    <w:rsid w:val="00FC6EEC"/>
    <w:rsid w:val="00FD0849"/>
    <w:rsid w:val="00FD5C9F"/>
    <w:rsid w:val="00FD683B"/>
    <w:rsid w:val="00FD7096"/>
    <w:rsid w:val="00FE65E7"/>
    <w:rsid w:val="00FF2B4B"/>
    <w:rsid w:val="00FF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DEB0F"/>
  <w15:chartTrackingRefBased/>
  <w15:docId w15:val="{54588D87-986E-43C8-80C8-3C65B174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31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03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1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B8B"/>
  </w:style>
  <w:style w:type="paragraph" w:styleId="Footer">
    <w:name w:val="footer"/>
    <w:basedOn w:val="Normal"/>
    <w:link w:val="FooterChar"/>
    <w:uiPriority w:val="99"/>
    <w:unhideWhenUsed/>
    <w:rsid w:val="00E31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B8B"/>
  </w:style>
  <w:style w:type="table" w:styleId="TableGrid">
    <w:name w:val="Table Grid"/>
    <w:basedOn w:val="TableNormal"/>
    <w:uiPriority w:val="39"/>
    <w:rsid w:val="00194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755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55F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4D37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3795"/>
  </w:style>
  <w:style w:type="table" w:customStyle="1" w:styleId="TableGrid0">
    <w:name w:val="TableGrid"/>
    <w:rsid w:val="00567985"/>
    <w:pPr>
      <w:spacing w:after="0" w:line="240" w:lineRule="auto"/>
    </w:pPr>
    <w:rPr>
      <w:rFonts w:asciiTheme="minorHAnsi" w:eastAsiaTheme="minorEastAsia" w:hAnsiTheme="minorHAnsi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0120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AD66C-3178-4B1B-9D9E-78F292931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5524</Words>
  <Characters>31491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Jovana Jovanovic</cp:lastModifiedBy>
  <cp:revision>3</cp:revision>
  <dcterms:created xsi:type="dcterms:W3CDTF">2024-08-30T06:13:00Z</dcterms:created>
  <dcterms:modified xsi:type="dcterms:W3CDTF">2024-08-30T06:27:00Z</dcterms:modified>
</cp:coreProperties>
</file>