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6B955" w14:textId="77777777" w:rsidR="001A5518" w:rsidRDefault="001A5518" w:rsidP="007E21A6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4FD0C473" w14:textId="77777777" w:rsidR="00F91C7B" w:rsidRPr="00786071" w:rsidRDefault="00F91C7B" w:rsidP="007E21A6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170D5010" w14:textId="49E91987" w:rsidR="002510A5" w:rsidRPr="002510A5" w:rsidRDefault="002510A5" w:rsidP="008B21F3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74C538F2" w14:textId="77777777" w:rsidR="002510A5" w:rsidRPr="002510A5" w:rsidRDefault="002510A5" w:rsidP="007E21A6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5EBE081F" w14:textId="77777777" w:rsidR="00C37FD7" w:rsidRPr="00786071" w:rsidRDefault="00C37FD7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B4A7629" w14:textId="77777777" w:rsidR="00411B4B" w:rsidRPr="00786071" w:rsidRDefault="00411B4B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32A3E820" w14:textId="77777777" w:rsidR="00EC2532" w:rsidRPr="00786071" w:rsidRDefault="00EC2532" w:rsidP="007E21A6">
      <w:pPr>
        <w:jc w:val="both"/>
        <w:rPr>
          <w:sz w:val="22"/>
          <w:szCs w:val="22"/>
          <w:lang w:val="pl-PL"/>
        </w:rPr>
      </w:pPr>
    </w:p>
    <w:p w14:paraId="7FAF7F57" w14:textId="4873E09E" w:rsidR="0069427C" w:rsidRPr="0069427C" w:rsidRDefault="0069427C" w:rsidP="007E21A6">
      <w:pPr>
        <w:jc w:val="both"/>
        <w:rPr>
          <w:sz w:val="22"/>
          <w:szCs w:val="22"/>
          <w:lang w:val="en-GB"/>
        </w:rPr>
      </w:pPr>
      <w:r w:rsidRPr="0069427C">
        <w:rPr>
          <w:sz w:val="22"/>
          <w:szCs w:val="22"/>
          <w:lang w:val="en-GB"/>
        </w:rPr>
        <w:t>CRYSVITA, 10 mg</w:t>
      </w:r>
      <w:r w:rsidR="00F11866">
        <w:rPr>
          <w:sz w:val="22"/>
          <w:szCs w:val="22"/>
          <w:lang w:val="en-GB"/>
        </w:rPr>
        <w:t>,</w:t>
      </w:r>
      <w:r w:rsidRPr="0069427C">
        <w:rPr>
          <w:sz w:val="22"/>
          <w:szCs w:val="22"/>
          <w:lang w:val="en-GB"/>
        </w:rPr>
        <w:t xml:space="preserve"> rastvor za injekciju</w:t>
      </w:r>
    </w:p>
    <w:p w14:paraId="0AB51D27" w14:textId="77777777" w:rsidR="0069427C" w:rsidRPr="0069427C" w:rsidRDefault="0069427C" w:rsidP="007E21A6">
      <w:pPr>
        <w:jc w:val="both"/>
        <w:rPr>
          <w:sz w:val="22"/>
          <w:szCs w:val="22"/>
          <w:lang w:val="en-GB"/>
        </w:rPr>
      </w:pPr>
    </w:p>
    <w:p w14:paraId="612C0E0C" w14:textId="7817012D" w:rsidR="0069427C" w:rsidRPr="0069427C" w:rsidRDefault="0069427C" w:rsidP="007E21A6">
      <w:pPr>
        <w:jc w:val="both"/>
        <w:rPr>
          <w:sz w:val="22"/>
          <w:szCs w:val="22"/>
          <w:lang w:val="en-GB"/>
        </w:rPr>
      </w:pPr>
      <w:r w:rsidRPr="0069427C">
        <w:rPr>
          <w:sz w:val="22"/>
          <w:szCs w:val="22"/>
          <w:lang w:val="en-GB"/>
        </w:rPr>
        <w:t>CRYSVITA, 20 mg</w:t>
      </w:r>
      <w:r w:rsidR="00F11866">
        <w:rPr>
          <w:sz w:val="22"/>
          <w:szCs w:val="22"/>
          <w:lang w:val="en-GB"/>
        </w:rPr>
        <w:t>,</w:t>
      </w:r>
      <w:r w:rsidRPr="0069427C">
        <w:rPr>
          <w:sz w:val="22"/>
          <w:szCs w:val="22"/>
          <w:lang w:val="en-GB"/>
        </w:rPr>
        <w:t xml:space="preserve"> rastvor za injekciju </w:t>
      </w:r>
    </w:p>
    <w:p w14:paraId="7223DAFE" w14:textId="77777777" w:rsidR="0069427C" w:rsidRPr="0069427C" w:rsidRDefault="0069427C" w:rsidP="007E21A6">
      <w:pPr>
        <w:jc w:val="both"/>
        <w:rPr>
          <w:sz w:val="22"/>
          <w:szCs w:val="22"/>
          <w:lang w:val="en-GB"/>
        </w:rPr>
      </w:pPr>
    </w:p>
    <w:p w14:paraId="67B9D8C3" w14:textId="5F10195A" w:rsidR="00C741A9" w:rsidRDefault="0069427C" w:rsidP="007E21A6">
      <w:pPr>
        <w:jc w:val="both"/>
        <w:rPr>
          <w:sz w:val="22"/>
          <w:szCs w:val="22"/>
          <w:lang w:val="en-GB"/>
        </w:rPr>
      </w:pPr>
      <w:r w:rsidRPr="0069427C">
        <w:rPr>
          <w:sz w:val="22"/>
          <w:szCs w:val="22"/>
          <w:lang w:val="en-GB"/>
        </w:rPr>
        <w:t>CRYSVITA, 30 mg</w:t>
      </w:r>
      <w:r w:rsidR="00F11866">
        <w:rPr>
          <w:sz w:val="22"/>
          <w:szCs w:val="22"/>
          <w:lang w:val="en-GB"/>
        </w:rPr>
        <w:t>,</w:t>
      </w:r>
      <w:r w:rsidRPr="0069427C">
        <w:rPr>
          <w:sz w:val="22"/>
          <w:szCs w:val="22"/>
          <w:lang w:val="en-GB"/>
        </w:rPr>
        <w:t xml:space="preserve"> rastvor za injekciju</w:t>
      </w:r>
    </w:p>
    <w:p w14:paraId="1212CC00" w14:textId="77777777" w:rsidR="0069427C" w:rsidRDefault="0069427C" w:rsidP="007E21A6">
      <w:pPr>
        <w:jc w:val="both"/>
        <w:rPr>
          <w:bCs/>
          <w:sz w:val="22"/>
          <w:szCs w:val="22"/>
          <w:lang w:val="sv-SE"/>
        </w:rPr>
      </w:pPr>
    </w:p>
    <w:p w14:paraId="0C170A19" w14:textId="110E747B" w:rsidR="006D20A5" w:rsidRPr="00786071" w:rsidRDefault="006D20A5" w:rsidP="007E21A6">
      <w:pPr>
        <w:jc w:val="both"/>
        <w:rPr>
          <w:sz w:val="22"/>
          <w:szCs w:val="22"/>
          <w:lang w:val="sr-Latn-CS"/>
        </w:rPr>
      </w:pPr>
      <w:r w:rsidRPr="00B66A70">
        <w:rPr>
          <w:sz w:val="22"/>
          <w:szCs w:val="22"/>
          <w:lang w:val="sv-SE"/>
        </w:rPr>
        <w:t>INN:</w:t>
      </w:r>
      <w:r w:rsidR="00E603E9">
        <w:rPr>
          <w:sz w:val="22"/>
          <w:szCs w:val="22"/>
          <w:lang w:val="sv-SE"/>
        </w:rPr>
        <w:t xml:space="preserve"> </w:t>
      </w:r>
      <w:r w:rsidR="00E603E9">
        <w:rPr>
          <w:sz w:val="22"/>
          <w:szCs w:val="22"/>
          <w:lang w:val="en-GB"/>
        </w:rPr>
        <w:t>b</w:t>
      </w:r>
      <w:r w:rsidR="00E603E9" w:rsidRPr="0069427C">
        <w:rPr>
          <w:sz w:val="22"/>
          <w:szCs w:val="22"/>
          <w:lang w:val="en-GB"/>
        </w:rPr>
        <w:t>urosumab</w:t>
      </w:r>
      <w:r w:rsidR="00E603E9" w:rsidDel="00E603E9">
        <w:rPr>
          <w:sz w:val="22"/>
          <w:szCs w:val="22"/>
          <w:lang w:val="sv-SE"/>
        </w:rPr>
        <w:t xml:space="preserve"> </w:t>
      </w:r>
    </w:p>
    <w:p w14:paraId="6AEB0844" w14:textId="77777777" w:rsidR="006D20A5" w:rsidRPr="00786071" w:rsidRDefault="006D20A5" w:rsidP="007E21A6">
      <w:pPr>
        <w:jc w:val="both"/>
        <w:rPr>
          <w:bCs/>
          <w:sz w:val="22"/>
          <w:szCs w:val="22"/>
          <w:lang w:val="sv-SE"/>
        </w:rPr>
      </w:pPr>
    </w:p>
    <w:p w14:paraId="55A918D4" w14:textId="77777777" w:rsidR="00530BD7" w:rsidRPr="00786071" w:rsidRDefault="00530BD7" w:rsidP="007E21A6">
      <w:pPr>
        <w:jc w:val="both"/>
        <w:rPr>
          <w:bCs/>
          <w:sz w:val="22"/>
          <w:szCs w:val="22"/>
          <w:lang w:val="sv-SE"/>
        </w:rPr>
      </w:pPr>
    </w:p>
    <w:p w14:paraId="532A6E3B" w14:textId="77777777" w:rsidR="00411B4B" w:rsidRPr="00786071" w:rsidRDefault="00411B4B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14:paraId="5A3CEED1" w14:textId="77777777" w:rsidR="00C741A9" w:rsidRDefault="00C741A9" w:rsidP="007E21A6">
      <w:pPr>
        <w:jc w:val="both"/>
        <w:rPr>
          <w:sz w:val="22"/>
          <w:szCs w:val="22"/>
          <w:lang w:val="sr-Latn-RS"/>
        </w:rPr>
      </w:pPr>
    </w:p>
    <w:p w14:paraId="1579D188" w14:textId="77777777" w:rsidR="0069427C" w:rsidRPr="0069427C" w:rsidRDefault="0069427C" w:rsidP="007E21A6">
      <w:pPr>
        <w:jc w:val="both"/>
        <w:rPr>
          <w:sz w:val="22"/>
          <w:szCs w:val="22"/>
          <w:u w:val="single"/>
          <w:lang w:val="en-GB"/>
        </w:rPr>
      </w:pPr>
      <w:r w:rsidRPr="0069427C">
        <w:rPr>
          <w:sz w:val="22"/>
          <w:szCs w:val="22"/>
          <w:u w:val="single"/>
          <w:lang w:val="en-GB"/>
        </w:rPr>
        <w:t>CRYSVITA, 10 mg, rastvor za injekciju</w:t>
      </w:r>
    </w:p>
    <w:p w14:paraId="7D67F909" w14:textId="7297415C" w:rsidR="0069427C" w:rsidRPr="0069427C" w:rsidRDefault="0069427C" w:rsidP="007E21A6">
      <w:pPr>
        <w:jc w:val="both"/>
        <w:rPr>
          <w:sz w:val="22"/>
          <w:szCs w:val="22"/>
          <w:lang w:val="en-GB"/>
        </w:rPr>
      </w:pPr>
      <w:r w:rsidRPr="0069427C">
        <w:rPr>
          <w:sz w:val="22"/>
          <w:szCs w:val="22"/>
          <w:lang w:val="en-GB"/>
        </w:rPr>
        <w:t>Svaka bočica sadrži 10 mg burosumaba u 1 m</w:t>
      </w:r>
      <w:r w:rsidR="00E603E9">
        <w:rPr>
          <w:sz w:val="22"/>
          <w:szCs w:val="22"/>
          <w:lang w:val="en-GB"/>
        </w:rPr>
        <w:t>l</w:t>
      </w:r>
      <w:r w:rsidRPr="0069427C">
        <w:rPr>
          <w:sz w:val="22"/>
          <w:szCs w:val="22"/>
          <w:lang w:val="en-GB"/>
        </w:rPr>
        <w:t xml:space="preserve"> rastvora.</w:t>
      </w:r>
    </w:p>
    <w:p w14:paraId="18C9DC09" w14:textId="77777777" w:rsidR="0069427C" w:rsidRPr="0069427C" w:rsidRDefault="0069427C" w:rsidP="007E21A6">
      <w:pPr>
        <w:jc w:val="both"/>
        <w:rPr>
          <w:sz w:val="22"/>
          <w:szCs w:val="22"/>
          <w:lang w:val="en-GB"/>
        </w:rPr>
      </w:pPr>
    </w:p>
    <w:p w14:paraId="130B1239" w14:textId="77777777" w:rsidR="0069427C" w:rsidRPr="0069427C" w:rsidRDefault="0069427C" w:rsidP="007E21A6">
      <w:pPr>
        <w:jc w:val="both"/>
        <w:rPr>
          <w:sz w:val="22"/>
          <w:szCs w:val="22"/>
          <w:lang w:val="en-GB"/>
        </w:rPr>
      </w:pPr>
      <w:r w:rsidRPr="0069427C">
        <w:rPr>
          <w:sz w:val="22"/>
          <w:szCs w:val="22"/>
          <w:u w:val="single"/>
          <w:lang w:val="en-GB"/>
        </w:rPr>
        <w:t xml:space="preserve">CRYSVITA, 20 mg, rastvor za injekciju </w:t>
      </w:r>
    </w:p>
    <w:p w14:paraId="2AC6DD17" w14:textId="2FB36CD8" w:rsidR="0069427C" w:rsidRPr="0069427C" w:rsidRDefault="0069427C" w:rsidP="007E21A6">
      <w:pPr>
        <w:jc w:val="both"/>
        <w:rPr>
          <w:sz w:val="22"/>
          <w:szCs w:val="22"/>
          <w:lang w:val="en-GB"/>
        </w:rPr>
      </w:pPr>
      <w:r w:rsidRPr="0069427C">
        <w:rPr>
          <w:sz w:val="22"/>
          <w:szCs w:val="22"/>
          <w:lang w:val="en-GB"/>
        </w:rPr>
        <w:t>Svaka bočica sadrži 20 mg burosumaba u 1 m</w:t>
      </w:r>
      <w:r w:rsidR="00E603E9">
        <w:rPr>
          <w:sz w:val="22"/>
          <w:szCs w:val="22"/>
          <w:lang w:val="en-GB"/>
        </w:rPr>
        <w:t>l</w:t>
      </w:r>
      <w:r w:rsidRPr="0069427C">
        <w:rPr>
          <w:sz w:val="22"/>
          <w:szCs w:val="22"/>
          <w:lang w:val="en-GB"/>
        </w:rPr>
        <w:t xml:space="preserve"> rastvora.</w:t>
      </w:r>
    </w:p>
    <w:p w14:paraId="2A1C80AA" w14:textId="77777777" w:rsidR="0069427C" w:rsidRPr="0069427C" w:rsidRDefault="0069427C" w:rsidP="007E21A6">
      <w:pPr>
        <w:jc w:val="both"/>
        <w:rPr>
          <w:sz w:val="22"/>
          <w:szCs w:val="22"/>
          <w:lang w:val="en-GB"/>
        </w:rPr>
      </w:pPr>
    </w:p>
    <w:p w14:paraId="2280D446" w14:textId="77777777" w:rsidR="0069427C" w:rsidRPr="0069427C" w:rsidRDefault="0069427C" w:rsidP="007E21A6">
      <w:pPr>
        <w:jc w:val="both"/>
        <w:rPr>
          <w:sz w:val="22"/>
          <w:szCs w:val="22"/>
          <w:lang w:val="en-GB"/>
        </w:rPr>
      </w:pPr>
      <w:r w:rsidRPr="0069427C">
        <w:rPr>
          <w:sz w:val="22"/>
          <w:szCs w:val="22"/>
          <w:u w:val="single"/>
          <w:lang w:val="en-GB"/>
        </w:rPr>
        <w:t>CRYSVITA, 30 mg, rastvor za injekciju</w:t>
      </w:r>
    </w:p>
    <w:p w14:paraId="435C4517" w14:textId="11636F37" w:rsidR="0069427C" w:rsidRPr="0069427C" w:rsidRDefault="0069427C" w:rsidP="007E21A6">
      <w:pPr>
        <w:jc w:val="both"/>
        <w:rPr>
          <w:sz w:val="22"/>
          <w:szCs w:val="22"/>
          <w:lang w:val="en-GB"/>
        </w:rPr>
      </w:pPr>
      <w:r w:rsidRPr="0069427C">
        <w:rPr>
          <w:sz w:val="22"/>
          <w:szCs w:val="22"/>
          <w:lang w:val="en-GB"/>
        </w:rPr>
        <w:t>Svaka bočica sadrži 30 mg burosumaba u 1 m</w:t>
      </w:r>
      <w:r w:rsidR="00E603E9">
        <w:rPr>
          <w:sz w:val="22"/>
          <w:szCs w:val="22"/>
          <w:lang w:val="en-GB"/>
        </w:rPr>
        <w:t>l</w:t>
      </w:r>
      <w:r w:rsidRPr="0069427C">
        <w:rPr>
          <w:sz w:val="22"/>
          <w:szCs w:val="22"/>
          <w:lang w:val="en-GB"/>
        </w:rPr>
        <w:t xml:space="preserve"> rastvora.</w:t>
      </w:r>
    </w:p>
    <w:p w14:paraId="45D35E05" w14:textId="77777777" w:rsidR="0069427C" w:rsidRPr="0069427C" w:rsidRDefault="0069427C" w:rsidP="007E21A6">
      <w:pPr>
        <w:jc w:val="both"/>
        <w:rPr>
          <w:sz w:val="22"/>
          <w:szCs w:val="22"/>
          <w:lang w:val="en-GB"/>
        </w:rPr>
      </w:pPr>
    </w:p>
    <w:p w14:paraId="73EB2FED" w14:textId="56532A1D" w:rsidR="0069427C" w:rsidRPr="0069427C" w:rsidRDefault="0069427C" w:rsidP="007E21A6">
      <w:pPr>
        <w:jc w:val="both"/>
        <w:rPr>
          <w:sz w:val="22"/>
          <w:szCs w:val="22"/>
          <w:lang w:val="en-GB"/>
        </w:rPr>
      </w:pPr>
      <w:r w:rsidRPr="0069427C">
        <w:rPr>
          <w:sz w:val="22"/>
          <w:szCs w:val="22"/>
          <w:lang w:val="en-GB"/>
        </w:rPr>
        <w:t>Burosumab je rekombinantno humano monoklonsko IgG1 antit</w:t>
      </w:r>
      <w:r w:rsidR="00267CD4">
        <w:rPr>
          <w:sz w:val="22"/>
          <w:szCs w:val="22"/>
          <w:lang w:val="en-GB"/>
        </w:rPr>
        <w:t>ij</w:t>
      </w:r>
      <w:r w:rsidRPr="0069427C">
        <w:rPr>
          <w:sz w:val="22"/>
          <w:szCs w:val="22"/>
          <w:lang w:val="en-GB"/>
        </w:rPr>
        <w:t xml:space="preserve">elo </w:t>
      </w:r>
      <w:proofErr w:type="gramStart"/>
      <w:r w:rsidRPr="0069427C">
        <w:rPr>
          <w:sz w:val="22"/>
          <w:szCs w:val="22"/>
          <w:lang w:val="en-GB"/>
        </w:rPr>
        <w:t>na</w:t>
      </w:r>
      <w:proofErr w:type="gramEnd"/>
      <w:r w:rsidRPr="0069427C">
        <w:rPr>
          <w:sz w:val="22"/>
          <w:szCs w:val="22"/>
          <w:lang w:val="en-GB"/>
        </w:rPr>
        <w:t xml:space="preserve"> FGF23, </w:t>
      </w:r>
      <w:r w:rsidR="00E603E9">
        <w:rPr>
          <w:sz w:val="22"/>
          <w:szCs w:val="22"/>
          <w:lang w:val="en-GB"/>
        </w:rPr>
        <w:t>koje se</w:t>
      </w:r>
      <w:r w:rsidRPr="0069427C">
        <w:rPr>
          <w:sz w:val="22"/>
          <w:szCs w:val="22"/>
          <w:lang w:val="en-GB"/>
        </w:rPr>
        <w:t xml:space="preserve"> proizv</w:t>
      </w:r>
      <w:r w:rsidR="00E603E9">
        <w:rPr>
          <w:sz w:val="22"/>
          <w:szCs w:val="22"/>
          <w:lang w:val="en-GB"/>
        </w:rPr>
        <w:t>odi</w:t>
      </w:r>
      <w:r w:rsidRPr="0069427C">
        <w:rPr>
          <w:sz w:val="22"/>
          <w:szCs w:val="22"/>
          <w:lang w:val="en-GB"/>
        </w:rPr>
        <w:t xml:space="preserve"> </w:t>
      </w:r>
      <w:r w:rsidR="00E603E9">
        <w:rPr>
          <w:sz w:val="22"/>
          <w:szCs w:val="22"/>
          <w:lang w:val="en-GB"/>
        </w:rPr>
        <w:t>u ć</w:t>
      </w:r>
      <w:r w:rsidR="00E603E9" w:rsidRPr="00E603E9">
        <w:rPr>
          <w:sz w:val="22"/>
          <w:szCs w:val="22"/>
          <w:lang w:val="en-GB"/>
        </w:rPr>
        <w:t xml:space="preserve">elijama jajnika kineskog hrčka (engl. </w:t>
      </w:r>
      <w:r w:rsidR="00E603E9" w:rsidRPr="007E21A6">
        <w:rPr>
          <w:i/>
          <w:sz w:val="22"/>
          <w:szCs w:val="22"/>
          <w:lang w:val="en-GB"/>
        </w:rPr>
        <w:t>Chinese hamster ovary</w:t>
      </w:r>
      <w:r w:rsidR="00E603E9" w:rsidRPr="00E603E9">
        <w:rPr>
          <w:sz w:val="22"/>
          <w:szCs w:val="22"/>
          <w:lang w:val="en-GB"/>
        </w:rPr>
        <w:t>) tehnologijom rekombinantne DNK</w:t>
      </w:r>
      <w:r w:rsidR="00E603E9" w:rsidRPr="00E603E9" w:rsidDel="00E603E9">
        <w:rPr>
          <w:sz w:val="22"/>
          <w:szCs w:val="22"/>
          <w:lang w:val="en-GB"/>
        </w:rPr>
        <w:t xml:space="preserve"> </w:t>
      </w:r>
    </w:p>
    <w:p w14:paraId="2144C34F" w14:textId="77777777" w:rsidR="00E603E9" w:rsidRDefault="00E603E9" w:rsidP="007E21A6">
      <w:pPr>
        <w:jc w:val="both"/>
        <w:rPr>
          <w:sz w:val="22"/>
          <w:szCs w:val="22"/>
          <w:u w:val="single"/>
          <w:lang w:val="en-GB"/>
        </w:rPr>
      </w:pPr>
    </w:p>
    <w:p w14:paraId="209A8FCF" w14:textId="03FFB6ED" w:rsidR="0069427C" w:rsidRPr="0069427C" w:rsidRDefault="0069427C" w:rsidP="007E21A6">
      <w:pPr>
        <w:jc w:val="both"/>
        <w:rPr>
          <w:sz w:val="22"/>
          <w:szCs w:val="22"/>
          <w:lang w:val="en-GB"/>
        </w:rPr>
      </w:pPr>
      <w:r w:rsidRPr="0069427C">
        <w:rPr>
          <w:sz w:val="22"/>
          <w:szCs w:val="22"/>
          <w:u w:val="single"/>
          <w:lang w:val="en-GB"/>
        </w:rPr>
        <w:t>Pomoćn</w:t>
      </w:r>
      <w:r w:rsidR="00E603E9">
        <w:rPr>
          <w:sz w:val="22"/>
          <w:szCs w:val="22"/>
          <w:u w:val="single"/>
          <w:lang w:val="en-GB"/>
        </w:rPr>
        <w:t>a</w:t>
      </w:r>
      <w:r w:rsidRPr="0069427C">
        <w:rPr>
          <w:sz w:val="22"/>
          <w:szCs w:val="22"/>
          <w:u w:val="single"/>
          <w:lang w:val="en-GB"/>
        </w:rPr>
        <w:t xml:space="preserve"> supstanc</w:t>
      </w:r>
      <w:r w:rsidR="00E603E9">
        <w:rPr>
          <w:sz w:val="22"/>
          <w:szCs w:val="22"/>
          <w:u w:val="single"/>
          <w:lang w:val="en-GB"/>
        </w:rPr>
        <w:t>a</w:t>
      </w:r>
      <w:r w:rsidRPr="0069427C">
        <w:rPr>
          <w:sz w:val="22"/>
          <w:szCs w:val="22"/>
          <w:u w:val="single"/>
          <w:lang w:val="en-GB"/>
        </w:rPr>
        <w:t xml:space="preserve"> </w:t>
      </w:r>
      <w:proofErr w:type="gramStart"/>
      <w:r w:rsidRPr="0069427C">
        <w:rPr>
          <w:sz w:val="22"/>
          <w:szCs w:val="22"/>
          <w:u w:val="single"/>
          <w:lang w:val="en-GB"/>
        </w:rPr>
        <w:t>sa</w:t>
      </w:r>
      <w:proofErr w:type="gramEnd"/>
      <w:r w:rsidRPr="0069427C">
        <w:rPr>
          <w:sz w:val="22"/>
          <w:szCs w:val="22"/>
          <w:u w:val="single"/>
          <w:lang w:val="en-GB"/>
        </w:rPr>
        <w:t xml:space="preserve"> poznatim dejstvom</w:t>
      </w:r>
      <w:r w:rsidR="00E603E9">
        <w:rPr>
          <w:sz w:val="22"/>
          <w:szCs w:val="22"/>
          <w:u w:val="single"/>
          <w:lang w:val="en-GB"/>
        </w:rPr>
        <w:t>:</w:t>
      </w:r>
    </w:p>
    <w:p w14:paraId="648BC3A6" w14:textId="77777777" w:rsidR="0069427C" w:rsidRPr="0069427C" w:rsidRDefault="0069427C" w:rsidP="007E21A6">
      <w:pPr>
        <w:jc w:val="both"/>
        <w:rPr>
          <w:sz w:val="22"/>
          <w:szCs w:val="22"/>
          <w:lang w:val="en-GB"/>
        </w:rPr>
      </w:pPr>
      <w:r w:rsidRPr="0069427C">
        <w:rPr>
          <w:sz w:val="22"/>
          <w:szCs w:val="22"/>
          <w:lang w:val="en-GB"/>
        </w:rPr>
        <w:t>Svaka bočica sadrži 45</w:t>
      </w:r>
      <w:proofErr w:type="gramStart"/>
      <w:r w:rsidRPr="0069427C">
        <w:rPr>
          <w:sz w:val="22"/>
          <w:szCs w:val="22"/>
          <w:lang w:val="en-GB"/>
        </w:rPr>
        <w:t>,91</w:t>
      </w:r>
      <w:proofErr w:type="gramEnd"/>
      <w:r w:rsidRPr="0069427C">
        <w:rPr>
          <w:sz w:val="22"/>
          <w:szCs w:val="22"/>
          <w:lang w:val="en-GB"/>
        </w:rPr>
        <w:t xml:space="preserve"> mg sorbitola.</w:t>
      </w:r>
    </w:p>
    <w:p w14:paraId="73270B36" w14:textId="77777777" w:rsidR="00C741A9" w:rsidRPr="00786071" w:rsidRDefault="00C741A9" w:rsidP="007E21A6">
      <w:pPr>
        <w:jc w:val="both"/>
        <w:rPr>
          <w:sz w:val="22"/>
          <w:szCs w:val="22"/>
          <w:lang w:val="sr-Latn-CS"/>
        </w:rPr>
      </w:pPr>
    </w:p>
    <w:p w14:paraId="5E687BB5" w14:textId="77777777" w:rsidR="0003793F" w:rsidRPr="00786071" w:rsidRDefault="0003793F" w:rsidP="007E21A6">
      <w:pPr>
        <w:jc w:val="both"/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695EC523" w14:textId="77777777" w:rsidR="0003793F" w:rsidRDefault="0003793F" w:rsidP="007E21A6">
      <w:pPr>
        <w:jc w:val="both"/>
        <w:rPr>
          <w:sz w:val="22"/>
          <w:szCs w:val="22"/>
          <w:lang w:val="sr-Latn-CS"/>
        </w:rPr>
      </w:pPr>
    </w:p>
    <w:p w14:paraId="73BDCF9D" w14:textId="77777777" w:rsidR="00C37FD7" w:rsidRPr="00786071" w:rsidRDefault="00C37FD7" w:rsidP="007E21A6">
      <w:pPr>
        <w:jc w:val="both"/>
        <w:rPr>
          <w:sz w:val="22"/>
          <w:szCs w:val="22"/>
          <w:lang w:val="sr-Latn-CS"/>
        </w:rPr>
      </w:pPr>
    </w:p>
    <w:p w14:paraId="53D2BC8F" w14:textId="77777777" w:rsidR="00411B4B" w:rsidRPr="00786071" w:rsidRDefault="00411B4B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3.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OBLIK</w:t>
      </w:r>
      <w:r w:rsidR="009F2D23" w:rsidRPr="00786071">
        <w:rPr>
          <w:b/>
          <w:bCs/>
          <w:sz w:val="22"/>
          <w:szCs w:val="22"/>
        </w:rPr>
        <w:t xml:space="preserve"> </w:t>
      </w:r>
    </w:p>
    <w:p w14:paraId="5698A3F9" w14:textId="77777777" w:rsidR="00411B4B" w:rsidRPr="00786071" w:rsidRDefault="00411B4B" w:rsidP="007E21A6">
      <w:pPr>
        <w:jc w:val="both"/>
        <w:rPr>
          <w:bCs/>
          <w:sz w:val="22"/>
          <w:szCs w:val="22"/>
          <w:lang w:val="sr-Latn-CS"/>
        </w:rPr>
      </w:pPr>
    </w:p>
    <w:p w14:paraId="64EF1D96" w14:textId="5B4AF631" w:rsidR="00C741A9" w:rsidRDefault="00E603E9" w:rsidP="007E21A6">
      <w:pPr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R</w:t>
      </w:r>
      <w:r w:rsidR="00C741A9" w:rsidRPr="00C741A9">
        <w:rPr>
          <w:bCs/>
          <w:sz w:val="22"/>
          <w:szCs w:val="22"/>
          <w:lang w:val="sr-Latn-RS"/>
        </w:rPr>
        <w:t>astvor za in</w:t>
      </w:r>
      <w:r>
        <w:rPr>
          <w:bCs/>
          <w:sz w:val="22"/>
          <w:szCs w:val="22"/>
          <w:lang w:val="sr-Latn-RS"/>
        </w:rPr>
        <w:t>jekciju</w:t>
      </w:r>
      <w:r w:rsidR="00C741A9" w:rsidRPr="00C741A9">
        <w:rPr>
          <w:bCs/>
          <w:sz w:val="22"/>
          <w:szCs w:val="22"/>
          <w:lang w:val="sr-Latn-RS"/>
        </w:rPr>
        <w:t>.</w:t>
      </w:r>
    </w:p>
    <w:p w14:paraId="5FF7AB80" w14:textId="77777777" w:rsidR="00E603E9" w:rsidRPr="00C741A9" w:rsidRDefault="00E603E9" w:rsidP="007E21A6">
      <w:pPr>
        <w:jc w:val="both"/>
        <w:rPr>
          <w:bCs/>
          <w:sz w:val="22"/>
          <w:szCs w:val="22"/>
        </w:rPr>
      </w:pPr>
    </w:p>
    <w:p w14:paraId="444EF815" w14:textId="65D3AD02" w:rsidR="00C741A9" w:rsidRPr="00C741A9" w:rsidRDefault="00C741A9" w:rsidP="007E21A6">
      <w:pPr>
        <w:jc w:val="both"/>
        <w:rPr>
          <w:bCs/>
          <w:sz w:val="22"/>
          <w:szCs w:val="22"/>
          <w:lang w:val="sr-Latn-RS"/>
        </w:rPr>
      </w:pPr>
      <w:r w:rsidRPr="00C741A9">
        <w:rPr>
          <w:bCs/>
          <w:sz w:val="22"/>
          <w:szCs w:val="22"/>
          <w:lang w:val="sr-Latn-RS"/>
        </w:rPr>
        <w:t>Bistar do blago opalescentan, bezboj</w:t>
      </w:r>
      <w:r w:rsidR="00E603E9">
        <w:rPr>
          <w:bCs/>
          <w:sz w:val="22"/>
          <w:szCs w:val="22"/>
          <w:lang w:val="sr-Latn-RS"/>
        </w:rPr>
        <w:t>an do svijetlo braonkasto-žućkasti</w:t>
      </w:r>
      <w:r w:rsidRPr="00C741A9">
        <w:rPr>
          <w:bCs/>
          <w:sz w:val="22"/>
          <w:szCs w:val="22"/>
          <w:lang w:val="sr-Latn-RS"/>
        </w:rPr>
        <w:t xml:space="preserve"> rastvor.</w:t>
      </w:r>
    </w:p>
    <w:p w14:paraId="38D7621F" w14:textId="297CC961" w:rsidR="00EC2532" w:rsidRDefault="00EC2532" w:rsidP="007E21A6">
      <w:pPr>
        <w:jc w:val="both"/>
        <w:rPr>
          <w:bCs/>
          <w:sz w:val="22"/>
          <w:szCs w:val="22"/>
          <w:lang w:val="sr-Latn-CS"/>
        </w:rPr>
      </w:pPr>
    </w:p>
    <w:p w14:paraId="33466754" w14:textId="77777777" w:rsidR="00E603E9" w:rsidRPr="00786071" w:rsidRDefault="00E603E9" w:rsidP="007E21A6">
      <w:pPr>
        <w:jc w:val="both"/>
        <w:rPr>
          <w:bCs/>
          <w:sz w:val="22"/>
          <w:szCs w:val="22"/>
          <w:lang w:val="sr-Latn-CS"/>
        </w:rPr>
      </w:pPr>
    </w:p>
    <w:p w14:paraId="39DC10DC" w14:textId="77777777" w:rsidR="00411B4B" w:rsidRPr="00786071" w:rsidRDefault="00411B4B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KLINIČKI PODACI</w:t>
      </w:r>
    </w:p>
    <w:p w14:paraId="4A7F9A58" w14:textId="77777777" w:rsidR="00CD6F02" w:rsidRPr="00786071" w:rsidRDefault="00CD6F02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C50F451" w14:textId="77777777" w:rsidR="00411B4B" w:rsidRPr="00786071" w:rsidRDefault="00411B4B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Terapijske indikacije</w:t>
      </w:r>
    </w:p>
    <w:p w14:paraId="4CEAB639" w14:textId="77777777" w:rsidR="00C741A9" w:rsidRDefault="00C741A9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2C982DD" w14:textId="5E9D30E4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bookmarkStart w:id="0" w:name="_Hlk41380362"/>
      <w:r w:rsidRPr="00267CD4">
        <w:rPr>
          <w:bCs/>
          <w:sz w:val="22"/>
          <w:szCs w:val="22"/>
          <w:lang w:val="en-GB"/>
        </w:rPr>
        <w:t>L</w:t>
      </w:r>
      <w:r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ek CRYSVITA je indikovan za l</w:t>
      </w:r>
      <w:r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ečenje X-vezane hipofosfatemije kod d</w:t>
      </w:r>
      <w:r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ece i adolescenata uzrasta </w:t>
      </w:r>
      <w:proofErr w:type="gramStart"/>
      <w:r w:rsidRPr="00267CD4">
        <w:rPr>
          <w:bCs/>
          <w:sz w:val="22"/>
          <w:szCs w:val="22"/>
          <w:lang w:val="en-GB"/>
        </w:rPr>
        <w:t>od</w:t>
      </w:r>
      <w:proofErr w:type="gramEnd"/>
      <w:r w:rsidRPr="00267CD4">
        <w:rPr>
          <w:bCs/>
          <w:sz w:val="22"/>
          <w:szCs w:val="22"/>
          <w:lang w:val="en-GB"/>
        </w:rPr>
        <w:t xml:space="preserve"> 1 do 17 godina sa radiografski dokazanom bolešću kostiju, i kod odraslih.</w:t>
      </w:r>
      <w:bookmarkEnd w:id="0"/>
    </w:p>
    <w:p w14:paraId="27AE277C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5F2D99A9" w14:textId="4FFF5BAD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L</w:t>
      </w:r>
      <w:r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ek CRYSVITA indikovan je kod d</w:t>
      </w:r>
      <w:r w:rsidR="00B111F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ece i adolescenata uzrasta </w:t>
      </w:r>
      <w:proofErr w:type="gramStart"/>
      <w:r w:rsidRPr="00267CD4">
        <w:rPr>
          <w:bCs/>
          <w:sz w:val="22"/>
          <w:szCs w:val="22"/>
          <w:lang w:val="en-GB"/>
        </w:rPr>
        <w:t>od</w:t>
      </w:r>
      <w:proofErr w:type="gramEnd"/>
      <w:r w:rsidRPr="00267CD4">
        <w:rPr>
          <w:bCs/>
          <w:sz w:val="22"/>
          <w:szCs w:val="22"/>
          <w:lang w:val="en-GB"/>
        </w:rPr>
        <w:t xml:space="preserve"> 1 do 17 godina i kod odraslih za l</w:t>
      </w:r>
      <w:r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ečenje hipofosfatemije povezane sa FGF23 kod tumorom indukovane osteomalacije povezane sa mezenhimalnim tumorima koji dovode do fosfaturije, a ne mogu se odstraniti kurativnom resekcijom ili lokalizovati.</w:t>
      </w:r>
    </w:p>
    <w:p w14:paraId="11E19F1D" w14:textId="235F4869" w:rsidR="00C741A9" w:rsidRDefault="00C741A9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969BB97" w14:textId="0084ADD6" w:rsidR="00DC14FF" w:rsidRDefault="00DC14FF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D0D9021" w14:textId="77777777" w:rsidR="00DC14FF" w:rsidRPr="00C741A9" w:rsidRDefault="00DC14FF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241B856" w14:textId="77777777" w:rsidR="00411B4B" w:rsidRPr="00786071" w:rsidRDefault="00411B4B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 xml:space="preserve">4.2.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Doziranje i način primjene</w:t>
      </w:r>
    </w:p>
    <w:p w14:paraId="352715F0" w14:textId="77777777" w:rsidR="00EA495F" w:rsidRDefault="00EA495F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6E794A0" w14:textId="1EC255EE" w:rsid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L</w:t>
      </w:r>
      <w:r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ečenje treba da inicira l</w:t>
      </w:r>
      <w:r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ekar </w:t>
      </w:r>
      <w:proofErr w:type="gramStart"/>
      <w:r w:rsidRPr="00267CD4">
        <w:rPr>
          <w:bCs/>
          <w:sz w:val="22"/>
          <w:szCs w:val="22"/>
          <w:lang w:val="en-GB"/>
        </w:rPr>
        <w:t>sa</w:t>
      </w:r>
      <w:proofErr w:type="gramEnd"/>
      <w:r w:rsidRPr="00267CD4">
        <w:rPr>
          <w:bCs/>
          <w:sz w:val="22"/>
          <w:szCs w:val="22"/>
          <w:lang w:val="en-GB"/>
        </w:rPr>
        <w:t xml:space="preserve"> iskustvom u l</w:t>
      </w:r>
      <w:r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ečenju pacijenata sa metaboličkim bolestima kostiju.</w:t>
      </w:r>
    </w:p>
    <w:p w14:paraId="20675E60" w14:textId="77777777" w:rsidR="008B21F3" w:rsidRPr="00267CD4" w:rsidRDefault="008B21F3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3D3D8F1F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267CD4">
        <w:rPr>
          <w:bCs/>
          <w:sz w:val="22"/>
          <w:szCs w:val="22"/>
          <w:u w:val="single"/>
          <w:lang w:val="en-GB"/>
        </w:rPr>
        <w:t>Doziranje</w:t>
      </w:r>
    </w:p>
    <w:p w14:paraId="7DA87FA9" w14:textId="06AE5F8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Peroralnu prim</w:t>
      </w:r>
      <w:r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enu fosfata i aktivnih analoga vitamina D (npr. kalcitriol) treba prekinuti </w:t>
      </w:r>
      <w:proofErr w:type="gramStart"/>
      <w:r w:rsidRPr="00267CD4">
        <w:rPr>
          <w:bCs/>
          <w:sz w:val="22"/>
          <w:szCs w:val="22"/>
          <w:lang w:val="en-GB"/>
        </w:rPr>
        <w:t>1</w:t>
      </w:r>
      <w:proofErr w:type="gramEnd"/>
      <w:r w:rsidRPr="00267CD4">
        <w:rPr>
          <w:bCs/>
          <w:sz w:val="22"/>
          <w:szCs w:val="22"/>
          <w:lang w:val="en-GB"/>
        </w:rPr>
        <w:t xml:space="preserve"> ned</w:t>
      </w:r>
      <w:r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elju pr</w:t>
      </w:r>
      <w:r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 započinjanja l</w:t>
      </w:r>
      <w:r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 xml:space="preserve">ečenja. </w:t>
      </w:r>
      <w:bookmarkStart w:id="1" w:name="_Hlk5180694"/>
      <w:proofErr w:type="gramStart"/>
      <w:r w:rsidRPr="00267CD4">
        <w:rPr>
          <w:bCs/>
          <w:sz w:val="22"/>
          <w:szCs w:val="22"/>
          <w:lang w:val="en-GB"/>
        </w:rPr>
        <w:t>Sa</w:t>
      </w:r>
      <w:proofErr w:type="gramEnd"/>
      <w:r w:rsidRPr="00267CD4">
        <w:rPr>
          <w:bCs/>
          <w:sz w:val="22"/>
          <w:szCs w:val="22"/>
          <w:lang w:val="en-GB"/>
        </w:rPr>
        <w:t xml:space="preserve"> zam</w:t>
      </w:r>
      <w:r w:rsidR="000D4045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enom ili nadoknadom vitamina D oblicima koji </w:t>
      </w:r>
      <w:r w:rsidR="00CA6382">
        <w:rPr>
          <w:bCs/>
          <w:sz w:val="22"/>
          <w:szCs w:val="22"/>
          <w:lang w:val="en-GB"/>
        </w:rPr>
        <w:t>nisu</w:t>
      </w:r>
      <w:r w:rsidRPr="00267CD4">
        <w:rPr>
          <w:bCs/>
          <w:sz w:val="22"/>
          <w:szCs w:val="22"/>
          <w:lang w:val="en-GB"/>
        </w:rPr>
        <w:t xml:space="preserve"> aktivni može se započeti ili nastaviti prema nacionalnim sm</w:t>
      </w:r>
      <w:r w:rsidR="000D4045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ernicama</w:t>
      </w:r>
      <w:bookmarkEnd w:id="1"/>
      <w:r w:rsidRPr="00267CD4">
        <w:rPr>
          <w:bCs/>
          <w:sz w:val="22"/>
          <w:szCs w:val="22"/>
          <w:lang w:val="en-GB"/>
        </w:rPr>
        <w:t xml:space="preserve"> uz praćenje nivoa kalcijuma i fosfata u serumu. Na početku l</w:t>
      </w:r>
      <w:r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ečenja koncentracija fosfata u serumu natašte treba da bude ispod referentnog raspona za godine života (vid</w:t>
      </w:r>
      <w:r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eti </w:t>
      </w:r>
      <w:r>
        <w:rPr>
          <w:bCs/>
          <w:sz w:val="22"/>
          <w:szCs w:val="22"/>
          <w:lang w:val="en-GB"/>
        </w:rPr>
        <w:t>dio</w:t>
      </w:r>
      <w:r w:rsidRPr="00267CD4">
        <w:rPr>
          <w:bCs/>
          <w:sz w:val="22"/>
          <w:szCs w:val="22"/>
          <w:lang w:val="en-GB"/>
        </w:rPr>
        <w:t xml:space="preserve"> 4.3). </w:t>
      </w:r>
    </w:p>
    <w:p w14:paraId="443669B6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u w:val="single"/>
          <w:lang w:val="en-GB"/>
        </w:rPr>
      </w:pPr>
    </w:p>
    <w:p w14:paraId="76823392" w14:textId="66D32DFB" w:rsidR="00267CD4" w:rsidRDefault="00267CD4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n-GB"/>
        </w:rPr>
      </w:pPr>
      <w:r w:rsidRPr="00267CD4">
        <w:rPr>
          <w:b/>
          <w:bCs/>
          <w:sz w:val="22"/>
          <w:szCs w:val="22"/>
          <w:lang w:val="en-GB"/>
        </w:rPr>
        <w:t>X-vezana hipofosfatemija (XLH)</w:t>
      </w:r>
    </w:p>
    <w:p w14:paraId="4E97D425" w14:textId="77777777" w:rsidR="008B21F3" w:rsidRPr="00267CD4" w:rsidRDefault="008B21F3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n-GB"/>
        </w:rPr>
      </w:pPr>
    </w:p>
    <w:p w14:paraId="7C015AAD" w14:textId="725E1804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en-GB"/>
        </w:rPr>
      </w:pPr>
      <w:r w:rsidRPr="00267CD4">
        <w:rPr>
          <w:b/>
          <w:bCs/>
          <w:i/>
          <w:iCs/>
          <w:sz w:val="22"/>
          <w:szCs w:val="22"/>
          <w:u w:val="single"/>
          <w:lang w:val="en-GB"/>
        </w:rPr>
        <w:t>Doziranje kod d</w:t>
      </w:r>
      <w:r>
        <w:rPr>
          <w:b/>
          <w:bCs/>
          <w:i/>
          <w:iCs/>
          <w:sz w:val="22"/>
          <w:szCs w:val="22"/>
          <w:u w:val="single"/>
          <w:lang w:val="en-GB"/>
        </w:rPr>
        <w:t>j</w:t>
      </w:r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ece i adolescenata </w:t>
      </w:r>
      <w:proofErr w:type="gramStart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>sa</w:t>
      </w:r>
      <w:proofErr w:type="gramEnd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 XLH uzrasta od 1 do 17 godina </w:t>
      </w:r>
    </w:p>
    <w:p w14:paraId="5B009BC0" w14:textId="4FDC5338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Preporučena početna doza kod d</w:t>
      </w:r>
      <w:r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ece i adolescenata uzrasta od 1 do 17 godina je 0</w:t>
      </w:r>
      <w:proofErr w:type="gramStart"/>
      <w:r w:rsidRPr="00267CD4">
        <w:rPr>
          <w:bCs/>
          <w:sz w:val="22"/>
          <w:szCs w:val="22"/>
          <w:lang w:val="en-GB"/>
        </w:rPr>
        <w:t>,8</w:t>
      </w:r>
      <w:proofErr w:type="gramEnd"/>
      <w:r w:rsidRPr="00267CD4">
        <w:rPr>
          <w:bCs/>
          <w:sz w:val="22"/>
          <w:szCs w:val="22"/>
          <w:lang w:val="en-GB"/>
        </w:rPr>
        <w:t xml:space="preserve"> mg/kg t</w:t>
      </w:r>
      <w:r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elesne mase koja se daje svake dv</w:t>
      </w:r>
      <w:r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 ned</w:t>
      </w:r>
      <w:r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elje. Doze treba zaokružiti </w:t>
      </w:r>
      <w:proofErr w:type="gramStart"/>
      <w:r w:rsidRPr="00267CD4">
        <w:rPr>
          <w:bCs/>
          <w:sz w:val="22"/>
          <w:szCs w:val="22"/>
          <w:lang w:val="en-GB"/>
        </w:rPr>
        <w:t>na</w:t>
      </w:r>
      <w:proofErr w:type="gramEnd"/>
      <w:r w:rsidRPr="00267CD4">
        <w:rPr>
          <w:bCs/>
          <w:sz w:val="22"/>
          <w:szCs w:val="22"/>
          <w:lang w:val="en-GB"/>
        </w:rPr>
        <w:t xml:space="preserve"> najbližih 10 mg. Maksimalna doza je 90 mg.</w:t>
      </w:r>
    </w:p>
    <w:p w14:paraId="41640D29" w14:textId="75E0A29D" w:rsid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bookmarkStart w:id="2" w:name="_Hlk103931588"/>
      <w:r w:rsidRPr="00267CD4">
        <w:rPr>
          <w:bCs/>
          <w:sz w:val="22"/>
          <w:szCs w:val="22"/>
          <w:lang w:val="en-GB"/>
        </w:rPr>
        <w:t>Nakon uvođenja terapije burosumabom nivo fosfata u serumu natašte treba m</w:t>
      </w:r>
      <w:r w:rsidR="000D4045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svake 2 ned</w:t>
      </w:r>
      <w:r w:rsidR="000D4045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u prvom m</w:t>
      </w:r>
      <w:r w:rsidR="000D4045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esecu l</w:t>
      </w:r>
      <w:r w:rsidR="000D4045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ečenja, svake 4 ned</w:t>
      </w:r>
      <w:r w:rsidR="000D4045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u sl</w:t>
      </w:r>
      <w:r w:rsidR="00B111F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edeća 2 m</w:t>
      </w:r>
      <w:r w:rsidR="000D4045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eseca, a nakon toga po potrebi. Fosfate u serumu natašte treba takođe m</w:t>
      </w:r>
      <w:r w:rsidR="000D4045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2 ned</w:t>
      </w:r>
      <w:r w:rsidR="000D4045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nakon svakog podešavanja doze. Ako je vr</w:t>
      </w:r>
      <w:r w:rsidR="00AB2F68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natašte u okviru referentnog raspona za uzrast, istu dozu treba održati.</w:t>
      </w:r>
    </w:p>
    <w:p w14:paraId="45CB69A1" w14:textId="77777777" w:rsidR="008B21F3" w:rsidRPr="00267CD4" w:rsidRDefault="008B21F3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bookmarkEnd w:id="2"/>
    <w:p w14:paraId="3659B3C3" w14:textId="138E5B51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>Povećanje doze</w:t>
      </w:r>
    </w:p>
    <w:p w14:paraId="2A521FD3" w14:textId="5751F21D" w:rsid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Ako su fosfati u serumu natašte ispod referentnog raspona za uzrast, doza se može postupno povećavati za 0</w:t>
      </w:r>
      <w:proofErr w:type="gramStart"/>
      <w:r w:rsidRPr="00267CD4">
        <w:rPr>
          <w:bCs/>
          <w:sz w:val="22"/>
          <w:szCs w:val="22"/>
          <w:lang w:val="en-GB"/>
        </w:rPr>
        <w:t>,4</w:t>
      </w:r>
      <w:proofErr w:type="gramEnd"/>
      <w:r w:rsidRPr="00267CD4">
        <w:rPr>
          <w:bCs/>
          <w:sz w:val="22"/>
          <w:szCs w:val="22"/>
          <w:lang w:val="en-GB"/>
        </w:rPr>
        <w:t xml:space="preserve"> mg/kg do najveće doze od 2,0 mg/kg (maksimalna doza je 90 mg). Fosfate u serumu natašte treba izm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2 ned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nakon podešavanja doze. Doza burosumaba ne sm</w:t>
      </w:r>
      <w:r w:rsidR="00AB2F68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 xml:space="preserve">e se podešavati češće </w:t>
      </w:r>
      <w:proofErr w:type="gramStart"/>
      <w:r w:rsidRPr="00267CD4">
        <w:rPr>
          <w:bCs/>
          <w:sz w:val="22"/>
          <w:szCs w:val="22"/>
          <w:lang w:val="en-GB"/>
        </w:rPr>
        <w:t>od</w:t>
      </w:r>
      <w:proofErr w:type="gramEnd"/>
      <w:r w:rsidRPr="00267CD4">
        <w:rPr>
          <w:bCs/>
          <w:sz w:val="22"/>
          <w:szCs w:val="22"/>
          <w:lang w:val="en-GB"/>
        </w:rPr>
        <w:t xml:space="preserve"> svake 4 ned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elje.</w:t>
      </w:r>
    </w:p>
    <w:p w14:paraId="34209016" w14:textId="77777777" w:rsidR="008B21F3" w:rsidRPr="00267CD4" w:rsidRDefault="008B21F3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2B9BAF48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 xml:space="preserve">Smanjenje doze </w:t>
      </w:r>
    </w:p>
    <w:p w14:paraId="0EA01787" w14:textId="2C9779C4" w:rsid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Ako je vr</w:t>
      </w:r>
      <w:r w:rsidR="00AB2F68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natašte iznad referentnog raspona za uzrast, sl</w:t>
      </w:r>
      <w:r w:rsidR="00B111F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edeću dozu treba izostaviti, a fosfate u serumu natašte ponovno izm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u okviru 2 ned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elje. Pacijent mora da ima vr</w:t>
      </w:r>
      <w:r w:rsidR="00AB2F68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natašte ispod referentnog raspona za uzrast da bi se l</w:t>
      </w:r>
      <w:r w:rsidR="00AB2F68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 xml:space="preserve">ečenje burosumabom nastavilo, i to polovinom prethodne doze, uz zaokruživanje doze kako je prethodno navedeno. </w:t>
      </w:r>
    </w:p>
    <w:p w14:paraId="4A271D55" w14:textId="77777777" w:rsidR="008B21F3" w:rsidRPr="00267CD4" w:rsidRDefault="008B21F3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2EB35CA0" w14:textId="52E1894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>Prom</w:t>
      </w:r>
      <w:r w:rsidR="00AB2F68">
        <w:rPr>
          <w:bCs/>
          <w:i/>
          <w:iCs/>
          <w:sz w:val="22"/>
          <w:szCs w:val="22"/>
          <w:lang w:val="en-GB"/>
        </w:rPr>
        <w:t>j</w:t>
      </w:r>
      <w:r w:rsidRPr="00267CD4">
        <w:rPr>
          <w:bCs/>
          <w:i/>
          <w:iCs/>
          <w:sz w:val="22"/>
          <w:szCs w:val="22"/>
          <w:lang w:val="en-GB"/>
        </w:rPr>
        <w:t xml:space="preserve">ena doze u uzrastu </w:t>
      </w:r>
      <w:proofErr w:type="gramStart"/>
      <w:r w:rsidRPr="00267CD4">
        <w:rPr>
          <w:bCs/>
          <w:i/>
          <w:iCs/>
          <w:sz w:val="22"/>
          <w:szCs w:val="22"/>
          <w:lang w:val="en-GB"/>
        </w:rPr>
        <w:t>od</w:t>
      </w:r>
      <w:proofErr w:type="gramEnd"/>
      <w:r w:rsidRPr="00267CD4">
        <w:rPr>
          <w:bCs/>
          <w:i/>
          <w:iCs/>
          <w:sz w:val="22"/>
          <w:szCs w:val="22"/>
          <w:lang w:val="en-GB"/>
        </w:rPr>
        <w:t xml:space="preserve"> 18 godina</w:t>
      </w:r>
    </w:p>
    <w:p w14:paraId="31F54403" w14:textId="7DC22B82" w:rsid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D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ecu i adolescente uzrasta </w:t>
      </w:r>
      <w:proofErr w:type="gramStart"/>
      <w:r w:rsidRPr="00267CD4">
        <w:rPr>
          <w:bCs/>
          <w:sz w:val="22"/>
          <w:szCs w:val="22"/>
          <w:lang w:val="en-GB"/>
        </w:rPr>
        <w:t>od</w:t>
      </w:r>
      <w:proofErr w:type="gramEnd"/>
      <w:r w:rsidRPr="00267CD4">
        <w:rPr>
          <w:bCs/>
          <w:sz w:val="22"/>
          <w:szCs w:val="22"/>
          <w:lang w:val="en-GB"/>
        </w:rPr>
        <w:t xml:space="preserve"> 1 do 17 godina treba l</w:t>
      </w:r>
      <w:r w:rsidR="00AB2F68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ečiti prema istim sm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ernicama koje su prethodno navedene. U uzrastu </w:t>
      </w:r>
      <w:proofErr w:type="gramStart"/>
      <w:r w:rsidRPr="00267CD4">
        <w:rPr>
          <w:bCs/>
          <w:sz w:val="22"/>
          <w:szCs w:val="22"/>
          <w:lang w:val="en-GB"/>
        </w:rPr>
        <w:t>od</w:t>
      </w:r>
      <w:proofErr w:type="gramEnd"/>
      <w:r w:rsidRPr="00267CD4">
        <w:rPr>
          <w:bCs/>
          <w:sz w:val="22"/>
          <w:szCs w:val="22"/>
          <w:lang w:val="en-GB"/>
        </w:rPr>
        <w:t xml:space="preserve"> 18 godina pacijent treba da pređe na dozu i režim doziranja za odrasle, kako se navodi u nastavku.</w:t>
      </w:r>
    </w:p>
    <w:p w14:paraId="7CBBA2A4" w14:textId="77777777" w:rsidR="008B21F3" w:rsidRPr="00267CD4" w:rsidRDefault="008B21F3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293EF16C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/>
          <w:bCs/>
          <w:i/>
          <w:iCs/>
          <w:sz w:val="22"/>
          <w:szCs w:val="22"/>
          <w:u w:val="single"/>
          <w:lang w:val="en-GB"/>
        </w:rPr>
      </w:pPr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Doziranje kod odraslih </w:t>
      </w:r>
      <w:proofErr w:type="gramStart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>sa</w:t>
      </w:r>
      <w:proofErr w:type="gramEnd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 XLH</w:t>
      </w:r>
    </w:p>
    <w:p w14:paraId="6EC076E7" w14:textId="0E6312D2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Preporučena početna doza kod odraslih iznosi 1</w:t>
      </w:r>
      <w:proofErr w:type="gramStart"/>
      <w:r w:rsidRPr="00267CD4">
        <w:rPr>
          <w:bCs/>
          <w:sz w:val="22"/>
          <w:szCs w:val="22"/>
          <w:lang w:val="en-GB"/>
        </w:rPr>
        <w:t>,0</w:t>
      </w:r>
      <w:proofErr w:type="gramEnd"/>
      <w:r w:rsidRPr="00267CD4">
        <w:rPr>
          <w:bCs/>
          <w:sz w:val="22"/>
          <w:szCs w:val="22"/>
          <w:lang w:val="en-GB"/>
        </w:rPr>
        <w:t xml:space="preserve"> mg/kg t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elesne mase, zaokružena na najbližih 10 mg do maksimalne doze od 90 mg i daje se svake 4 ned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elje. </w:t>
      </w:r>
    </w:p>
    <w:p w14:paraId="689E5E5F" w14:textId="51687FEB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Nakon uvođenja terapije burosumabom nivo fosfata u serumu natašte treba m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eriti svake 2 </w:t>
      </w:r>
      <w:r w:rsidR="008B0E2F">
        <w:rPr>
          <w:bCs/>
          <w:sz w:val="22"/>
          <w:szCs w:val="22"/>
          <w:lang w:val="en-GB"/>
        </w:rPr>
        <w:t>nedjelj</w:t>
      </w:r>
      <w:r w:rsidRPr="00267CD4">
        <w:rPr>
          <w:bCs/>
          <w:sz w:val="22"/>
          <w:szCs w:val="22"/>
          <w:lang w:val="en-GB"/>
        </w:rPr>
        <w:t>e u prvom m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esecu l</w:t>
      </w:r>
      <w:r w:rsidR="00AB2F68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ečenja, svake 4 ned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u sl</w:t>
      </w:r>
      <w:r w:rsidR="00341BAE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edeća 2 m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eseca, a nakon toga po potrebi. </w:t>
      </w:r>
      <w:bookmarkStart w:id="3" w:name="_Hlk14772542"/>
      <w:r w:rsidRPr="00267CD4">
        <w:rPr>
          <w:bCs/>
          <w:sz w:val="22"/>
          <w:szCs w:val="22"/>
          <w:lang w:val="en-GB"/>
        </w:rPr>
        <w:t>Fosfate u serumu natašte treba izm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2 ned</w:t>
      </w:r>
      <w:r w:rsidR="00AB2F68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nakon prethodne doze burosumaba. Ako je vr</w:t>
      </w:r>
      <w:r w:rsidR="00AB2F68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 xml:space="preserve">ednost fosfata u serumu u okviru normalnog raspona, treba nastaviti </w:t>
      </w:r>
      <w:proofErr w:type="gramStart"/>
      <w:r w:rsidRPr="00267CD4">
        <w:rPr>
          <w:bCs/>
          <w:sz w:val="22"/>
          <w:szCs w:val="22"/>
          <w:lang w:val="en-GB"/>
        </w:rPr>
        <w:t>sa</w:t>
      </w:r>
      <w:proofErr w:type="gramEnd"/>
      <w:r w:rsidRPr="00267CD4">
        <w:rPr>
          <w:bCs/>
          <w:sz w:val="22"/>
          <w:szCs w:val="22"/>
          <w:lang w:val="en-GB"/>
        </w:rPr>
        <w:t xml:space="preserve"> istom dozom. </w:t>
      </w:r>
      <w:bookmarkEnd w:id="3"/>
    </w:p>
    <w:p w14:paraId="1E97566E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2EDB6D5D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>Smanjenje doze</w:t>
      </w:r>
    </w:p>
    <w:p w14:paraId="32FF537D" w14:textId="428A3C9F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Ako je vr</w:t>
      </w:r>
      <w:r w:rsidR="00C1652D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iznad gornje granice normalnog raspona, sl</w:t>
      </w:r>
      <w:r w:rsidR="00341BAE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edeću dozu treba izostaviti, a fosfate u serumu ponovno izm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u okviru 2 ned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elje. Pacijent mora da ima vr</w:t>
      </w:r>
      <w:r w:rsidR="00C1652D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ispod normalnog raspona da bi se l</w:t>
      </w:r>
      <w:r w:rsidR="00C1652D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ečenje burosumabom nastavilo. Kada vr</w:t>
      </w:r>
      <w:r w:rsidR="00C1652D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bude ispod normalnog raspona, l</w:t>
      </w:r>
      <w:r w:rsidR="00C1652D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 xml:space="preserve">ečenje se može nastaviti polovinom početne doze do maksimalne doze </w:t>
      </w:r>
      <w:proofErr w:type="gramStart"/>
      <w:r w:rsidRPr="00267CD4">
        <w:rPr>
          <w:bCs/>
          <w:sz w:val="22"/>
          <w:szCs w:val="22"/>
          <w:lang w:val="en-GB"/>
        </w:rPr>
        <w:t>od</w:t>
      </w:r>
      <w:proofErr w:type="gramEnd"/>
      <w:r w:rsidRPr="00267CD4">
        <w:rPr>
          <w:bCs/>
          <w:sz w:val="22"/>
          <w:szCs w:val="22"/>
          <w:lang w:val="en-GB"/>
        </w:rPr>
        <w:t xml:space="preserve"> 40 mg svake 4 ned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elje. M</w:t>
      </w:r>
      <w:r w:rsidR="009B29D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erenje fosfata u serumu treba ponoviti 2 ned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nakon svake prom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ene doze.</w:t>
      </w:r>
    </w:p>
    <w:p w14:paraId="0832BFED" w14:textId="29028ADF" w:rsidR="00267CD4" w:rsidRDefault="00267CD4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n-GB"/>
        </w:rPr>
      </w:pPr>
    </w:p>
    <w:p w14:paraId="619661C1" w14:textId="26D98D89" w:rsidR="00D91BC6" w:rsidRDefault="00D91BC6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n-GB"/>
        </w:rPr>
      </w:pPr>
    </w:p>
    <w:p w14:paraId="03178C00" w14:textId="606081D9" w:rsidR="00D91BC6" w:rsidRDefault="00D91BC6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n-GB"/>
        </w:rPr>
      </w:pPr>
    </w:p>
    <w:p w14:paraId="7162554B" w14:textId="77777777" w:rsidR="00D91BC6" w:rsidRPr="00267CD4" w:rsidRDefault="00D91BC6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n-GB"/>
        </w:rPr>
      </w:pPr>
    </w:p>
    <w:p w14:paraId="1DF98E96" w14:textId="3929F849" w:rsidR="00267CD4" w:rsidRDefault="00267CD4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n-GB"/>
        </w:rPr>
      </w:pPr>
      <w:r w:rsidRPr="00267CD4">
        <w:rPr>
          <w:b/>
          <w:bCs/>
          <w:sz w:val="22"/>
          <w:szCs w:val="22"/>
          <w:lang w:val="en-GB"/>
        </w:rPr>
        <w:lastRenderedPageBreak/>
        <w:t>Tumorom indukovana osteomalacija (TIO)</w:t>
      </w:r>
    </w:p>
    <w:p w14:paraId="1A26D732" w14:textId="77777777" w:rsidR="008B21F3" w:rsidRPr="00267CD4" w:rsidRDefault="008B21F3" w:rsidP="007E21A6">
      <w:pPr>
        <w:tabs>
          <w:tab w:val="left" w:pos="540"/>
          <w:tab w:val="left" w:pos="569"/>
        </w:tabs>
        <w:jc w:val="both"/>
        <w:rPr>
          <w:b/>
          <w:bCs/>
          <w:iCs/>
          <w:sz w:val="22"/>
          <w:szCs w:val="22"/>
          <w:lang w:val="en-GB"/>
        </w:rPr>
      </w:pPr>
    </w:p>
    <w:p w14:paraId="533DD6A8" w14:textId="715F4229" w:rsidR="00DC14FF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Doziranje kod d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ece i adolescenata </w:t>
      </w:r>
      <w:proofErr w:type="gramStart"/>
      <w:r w:rsidRPr="00267CD4">
        <w:rPr>
          <w:bCs/>
          <w:sz w:val="22"/>
          <w:szCs w:val="22"/>
          <w:lang w:val="en-GB"/>
        </w:rPr>
        <w:t>sa</w:t>
      </w:r>
      <w:proofErr w:type="gramEnd"/>
      <w:r w:rsidRPr="00267CD4">
        <w:rPr>
          <w:bCs/>
          <w:sz w:val="22"/>
          <w:szCs w:val="22"/>
          <w:lang w:val="en-GB"/>
        </w:rPr>
        <w:t xml:space="preserve"> TIO uzrasta od 1 do 17 godina utvrđeno je na osnovu farmakokinetskog modelovanja i simulacije (vid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eti </w:t>
      </w:r>
      <w:r w:rsidR="00C1652D">
        <w:rPr>
          <w:bCs/>
          <w:sz w:val="22"/>
          <w:szCs w:val="22"/>
          <w:lang w:val="en-GB"/>
        </w:rPr>
        <w:t>dio</w:t>
      </w:r>
      <w:r w:rsidRPr="00267CD4">
        <w:rPr>
          <w:bCs/>
          <w:sz w:val="22"/>
          <w:szCs w:val="22"/>
          <w:lang w:val="en-GB"/>
        </w:rPr>
        <w:t xml:space="preserve"> 5.2)</w:t>
      </w:r>
    </w:p>
    <w:p w14:paraId="618A55DF" w14:textId="77777777" w:rsidR="00DC14FF" w:rsidRPr="00267CD4" w:rsidRDefault="00DC14FF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2846F808" w14:textId="7500D0EC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/>
          <w:bCs/>
          <w:i/>
          <w:iCs/>
          <w:sz w:val="22"/>
          <w:szCs w:val="22"/>
          <w:u w:val="single"/>
          <w:lang w:val="en-GB"/>
        </w:rPr>
      </w:pPr>
      <w:r w:rsidRPr="00267CD4">
        <w:rPr>
          <w:b/>
          <w:bCs/>
          <w:i/>
          <w:iCs/>
          <w:sz w:val="22"/>
          <w:szCs w:val="22"/>
          <w:u w:val="single"/>
          <w:lang w:val="en-GB"/>
        </w:rPr>
        <w:t>Doziranje kod d</w:t>
      </w:r>
      <w:r w:rsidR="00C1652D">
        <w:rPr>
          <w:b/>
          <w:bCs/>
          <w:i/>
          <w:iCs/>
          <w:sz w:val="22"/>
          <w:szCs w:val="22"/>
          <w:u w:val="single"/>
          <w:lang w:val="en-GB"/>
        </w:rPr>
        <w:t>j</w:t>
      </w:r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ece </w:t>
      </w:r>
      <w:proofErr w:type="gramStart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>sa</w:t>
      </w:r>
      <w:proofErr w:type="gramEnd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 TIO uzrasta od 1 do 12 godina</w:t>
      </w:r>
    </w:p>
    <w:p w14:paraId="45A60AAC" w14:textId="1D6ECBE9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Preporučena početna doza kod d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ece uzrasta od 1 do 12 godina je 0</w:t>
      </w:r>
      <w:proofErr w:type="gramStart"/>
      <w:r w:rsidRPr="00267CD4">
        <w:rPr>
          <w:bCs/>
          <w:sz w:val="22"/>
          <w:szCs w:val="22"/>
          <w:lang w:val="en-GB"/>
        </w:rPr>
        <w:t>,4</w:t>
      </w:r>
      <w:proofErr w:type="gramEnd"/>
      <w:r w:rsidRPr="00267CD4">
        <w:rPr>
          <w:bCs/>
          <w:sz w:val="22"/>
          <w:szCs w:val="22"/>
          <w:lang w:val="en-GB"/>
        </w:rPr>
        <w:t xml:space="preserve"> mg/kg t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elesne mase koja se daje svake dv</w:t>
      </w:r>
      <w:r w:rsidR="00C1652D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 ned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elje. Doze treba zaokružiti </w:t>
      </w:r>
      <w:proofErr w:type="gramStart"/>
      <w:r w:rsidRPr="00267CD4">
        <w:rPr>
          <w:bCs/>
          <w:sz w:val="22"/>
          <w:szCs w:val="22"/>
          <w:lang w:val="en-GB"/>
        </w:rPr>
        <w:t>na</w:t>
      </w:r>
      <w:proofErr w:type="gramEnd"/>
      <w:r w:rsidRPr="00267CD4">
        <w:rPr>
          <w:bCs/>
          <w:sz w:val="22"/>
          <w:szCs w:val="22"/>
          <w:lang w:val="en-GB"/>
        </w:rPr>
        <w:t xml:space="preserve"> najbližih 10 mg. Maksimalna doza je 90 mg.</w:t>
      </w:r>
    </w:p>
    <w:p w14:paraId="0DF43211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6C3177E3" w14:textId="6E7A126E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>Povećanje doze</w:t>
      </w:r>
    </w:p>
    <w:p w14:paraId="40D124C5" w14:textId="63A52079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Ako su fosfati u serumu ispod referentnog raspona za uzrast, doza se može postupno povećavati. Prvo povećanje doze treba da iznosi 0</w:t>
      </w:r>
      <w:proofErr w:type="gramStart"/>
      <w:r w:rsidRPr="00267CD4">
        <w:rPr>
          <w:bCs/>
          <w:sz w:val="22"/>
          <w:szCs w:val="22"/>
          <w:lang w:val="en-GB"/>
        </w:rPr>
        <w:t>,6</w:t>
      </w:r>
      <w:proofErr w:type="gramEnd"/>
      <w:r w:rsidRPr="00267CD4">
        <w:rPr>
          <w:bCs/>
          <w:sz w:val="22"/>
          <w:szCs w:val="22"/>
          <w:lang w:val="en-GB"/>
        </w:rPr>
        <w:t xml:space="preserve"> mg/kg, dok se kasnijim povećanjima od 0,5 mg/kg, u zavisnosti od odgovora pacijenata na terapiju (do najviše doze od 2,0 mg/kg) i zaokruživanjem vr</w:t>
      </w:r>
      <w:r w:rsidR="00C1652D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ednosti kako je prethodno navedeno, doza može povećati do maksimalne doze od 90 mg koja se daje svake 2 ned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elje. Fosfate u serumu natašte treba izm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2 ned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nakon podešavanja doze. Doza burosumaba ne sm</w:t>
      </w:r>
      <w:r w:rsidR="00C1652D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 xml:space="preserve">e se podešavati češće </w:t>
      </w:r>
      <w:proofErr w:type="gramStart"/>
      <w:r w:rsidRPr="00267CD4">
        <w:rPr>
          <w:bCs/>
          <w:sz w:val="22"/>
          <w:szCs w:val="22"/>
          <w:lang w:val="en-GB"/>
        </w:rPr>
        <w:t>od</w:t>
      </w:r>
      <w:proofErr w:type="gramEnd"/>
      <w:r w:rsidRPr="00267CD4">
        <w:rPr>
          <w:bCs/>
          <w:sz w:val="22"/>
          <w:szCs w:val="22"/>
          <w:lang w:val="en-GB"/>
        </w:rPr>
        <w:t xml:space="preserve"> svake 4 ned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elje.</w:t>
      </w:r>
    </w:p>
    <w:p w14:paraId="327C6339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/>
          <w:bCs/>
          <w:i/>
          <w:iCs/>
          <w:sz w:val="22"/>
          <w:szCs w:val="22"/>
          <w:u w:val="single"/>
          <w:lang w:val="en-GB"/>
        </w:rPr>
      </w:pPr>
    </w:p>
    <w:p w14:paraId="68F74A63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/>
          <w:bCs/>
          <w:i/>
          <w:iCs/>
          <w:sz w:val="22"/>
          <w:szCs w:val="22"/>
          <w:u w:val="single"/>
          <w:lang w:val="en-GB"/>
        </w:rPr>
      </w:pPr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Doziranje kod adolescenata </w:t>
      </w:r>
      <w:proofErr w:type="gramStart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>sa</w:t>
      </w:r>
      <w:proofErr w:type="gramEnd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 TIO uzrasta od 13 do 17 godina</w:t>
      </w:r>
    </w:p>
    <w:p w14:paraId="71ED9925" w14:textId="272A8071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Preporučena početna doza za adolescente uzrasta od 13 do 17 godina je 0</w:t>
      </w:r>
      <w:proofErr w:type="gramStart"/>
      <w:r w:rsidRPr="00267CD4">
        <w:rPr>
          <w:bCs/>
          <w:sz w:val="22"/>
          <w:szCs w:val="22"/>
          <w:lang w:val="en-GB"/>
        </w:rPr>
        <w:t>,3</w:t>
      </w:r>
      <w:proofErr w:type="gramEnd"/>
      <w:r w:rsidRPr="00267CD4">
        <w:rPr>
          <w:bCs/>
          <w:sz w:val="22"/>
          <w:szCs w:val="22"/>
          <w:lang w:val="en-GB"/>
        </w:rPr>
        <w:t xml:space="preserve"> mg/kg t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elesne mase koja se daje svake dv</w:t>
      </w:r>
      <w:r w:rsidR="00C1652D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 ned</w:t>
      </w:r>
      <w:r w:rsidR="00C1652D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elje. Doze treba zaokružiti </w:t>
      </w:r>
      <w:proofErr w:type="gramStart"/>
      <w:r w:rsidRPr="00267CD4">
        <w:rPr>
          <w:bCs/>
          <w:sz w:val="22"/>
          <w:szCs w:val="22"/>
          <w:lang w:val="en-GB"/>
        </w:rPr>
        <w:t>na</w:t>
      </w:r>
      <w:proofErr w:type="gramEnd"/>
      <w:r w:rsidRPr="00267CD4">
        <w:rPr>
          <w:bCs/>
          <w:sz w:val="22"/>
          <w:szCs w:val="22"/>
          <w:lang w:val="en-GB"/>
        </w:rPr>
        <w:t xml:space="preserve"> najbližih 10 mg. Maksimalna doza je 180 mg.</w:t>
      </w:r>
    </w:p>
    <w:p w14:paraId="431910D5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33A7A6E7" w14:textId="50DB9E0B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>Povećanje doze</w:t>
      </w:r>
    </w:p>
    <w:p w14:paraId="41BAB87F" w14:textId="45A6D151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Ako su fosfati u serumu ispod referentnog raspona za uzrast, doza se može postupno povećavati. Prvo povećanje doze treba da bude 0,3 mg/kg, dok se kasnijim povećanjima između 0,2 mg/kg i 0,5 mg/kg (povećanje doze zavisi od odgovora pacijenta na terapiju, nivoa fosfata u serumu) i zaokruživanjem vr</w:t>
      </w:r>
      <w:r w:rsidR="00D62BE4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ednosti kako je prethodno navedeno, doza povećava do najveće doze od 2,0 mg/kg (maksimalna doza 180 mg) koja se daje svake 2 ned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elje. Fosfate u serumu natašte treba izm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2 ned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nakon podešavanja doze. Doza burosumaba ne sm</w:t>
      </w:r>
      <w:r w:rsidR="00D62BE4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 xml:space="preserve">e se podešavati češće </w:t>
      </w:r>
      <w:proofErr w:type="gramStart"/>
      <w:r w:rsidRPr="00267CD4">
        <w:rPr>
          <w:bCs/>
          <w:sz w:val="22"/>
          <w:szCs w:val="22"/>
          <w:lang w:val="en-GB"/>
        </w:rPr>
        <w:t>od</w:t>
      </w:r>
      <w:proofErr w:type="gramEnd"/>
      <w:r w:rsidRPr="00267CD4">
        <w:rPr>
          <w:bCs/>
          <w:sz w:val="22"/>
          <w:szCs w:val="22"/>
          <w:lang w:val="en-GB"/>
        </w:rPr>
        <w:t xml:space="preserve"> svake 4 ned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elje.</w:t>
      </w:r>
    </w:p>
    <w:p w14:paraId="3344AC0A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58753480" w14:textId="2BB8D80F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/>
          <w:bCs/>
          <w:i/>
          <w:iCs/>
          <w:sz w:val="22"/>
          <w:szCs w:val="22"/>
          <w:u w:val="single"/>
          <w:lang w:val="en-GB"/>
        </w:rPr>
        <w:t>Doziranje kod d</w:t>
      </w:r>
      <w:r w:rsidR="00D62BE4">
        <w:rPr>
          <w:b/>
          <w:bCs/>
          <w:i/>
          <w:iCs/>
          <w:sz w:val="22"/>
          <w:szCs w:val="22"/>
          <w:u w:val="single"/>
          <w:lang w:val="en-GB"/>
        </w:rPr>
        <w:t>j</w:t>
      </w:r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ece i adolescenata </w:t>
      </w:r>
      <w:proofErr w:type="gramStart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>sa</w:t>
      </w:r>
      <w:proofErr w:type="gramEnd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 TIO uzrasta od 1 do 17 godina</w:t>
      </w:r>
      <w:r w:rsidRPr="00267CD4">
        <w:rPr>
          <w:bCs/>
          <w:sz w:val="22"/>
          <w:szCs w:val="22"/>
          <w:lang w:val="en-GB"/>
        </w:rPr>
        <w:t xml:space="preserve"> </w:t>
      </w:r>
    </w:p>
    <w:p w14:paraId="236BE7D8" w14:textId="6E048991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Za sve pedijatrijske pacijente, nakon uvođenja terapije burosumabom, nivo fosfata u serumu natašte treba m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svake 2 ned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u prvom m</w:t>
      </w:r>
      <w:r w:rsidR="00B111F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esecu l</w:t>
      </w:r>
      <w:r w:rsidR="00D62BE4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ečenja, svake 4 ned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u sl</w:t>
      </w:r>
      <w:r w:rsidR="00B111F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edeća 2 m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eseca, a nakon toga po potrebi. Fosfate u serumu natašte treba takođe m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2 ned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nakon svakog podešavanja doze. Ako je vr</w:t>
      </w:r>
      <w:r w:rsidR="00D62BE4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natašte u okviru referentnog raspona za uzrast, istu dozu treba održati.</w:t>
      </w:r>
    </w:p>
    <w:p w14:paraId="7DAA1F09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027586BF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>Smanjenje doze</w:t>
      </w:r>
    </w:p>
    <w:p w14:paraId="71BF0535" w14:textId="6F6703A3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Ako je vr</w:t>
      </w:r>
      <w:r w:rsidR="00D62BE4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iznad referentnog raspona za uzrast, sl</w:t>
      </w:r>
      <w:r w:rsidR="00B111F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edeću dozu treba izostaviti, a nivo fosfata u serumu natašte ponovno izm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za 2 ned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elje. Kada se postigne vr</w:t>
      </w:r>
      <w:r w:rsidR="00D62BE4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ispod referentnog raspona za uzrast, l</w:t>
      </w:r>
      <w:r w:rsidR="00D62BE4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ečenje se može nastaviti polovinom prethodne doze, uz zaokruživanje kako je prethodno navedeno. Nivo fosfata u serumu natašte treba proc</w:t>
      </w:r>
      <w:r w:rsidR="00D62BE4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eniti 2 ned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nakon podešavanja doze. Ukoliko nivo ostaje ispod referentnog raspona za uzrast nakon ponovo započete doze, doza se može dalje podešavati.</w:t>
      </w:r>
    </w:p>
    <w:p w14:paraId="4837A875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</w:p>
    <w:p w14:paraId="1A467822" w14:textId="78D543DF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>Prom</w:t>
      </w:r>
      <w:r w:rsidR="00D62BE4">
        <w:rPr>
          <w:bCs/>
          <w:i/>
          <w:iCs/>
          <w:sz w:val="22"/>
          <w:szCs w:val="22"/>
          <w:lang w:val="en-GB"/>
        </w:rPr>
        <w:t>j</w:t>
      </w:r>
      <w:r w:rsidRPr="00267CD4">
        <w:rPr>
          <w:bCs/>
          <w:i/>
          <w:iCs/>
          <w:sz w:val="22"/>
          <w:szCs w:val="22"/>
          <w:lang w:val="en-GB"/>
        </w:rPr>
        <w:t xml:space="preserve">ena doze u uzrastu </w:t>
      </w:r>
      <w:proofErr w:type="gramStart"/>
      <w:r w:rsidRPr="00267CD4">
        <w:rPr>
          <w:bCs/>
          <w:i/>
          <w:iCs/>
          <w:sz w:val="22"/>
          <w:szCs w:val="22"/>
          <w:lang w:val="en-GB"/>
        </w:rPr>
        <w:t>od</w:t>
      </w:r>
      <w:proofErr w:type="gramEnd"/>
      <w:r w:rsidRPr="00267CD4">
        <w:rPr>
          <w:bCs/>
          <w:i/>
          <w:iCs/>
          <w:sz w:val="22"/>
          <w:szCs w:val="22"/>
          <w:lang w:val="en-GB"/>
        </w:rPr>
        <w:t xml:space="preserve"> 18 godina</w:t>
      </w:r>
    </w:p>
    <w:p w14:paraId="1C7B6BD9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 xml:space="preserve">U uzrastu </w:t>
      </w:r>
      <w:proofErr w:type="gramStart"/>
      <w:r w:rsidRPr="00267CD4">
        <w:rPr>
          <w:bCs/>
          <w:sz w:val="22"/>
          <w:szCs w:val="22"/>
          <w:lang w:val="en-GB"/>
        </w:rPr>
        <w:t>od</w:t>
      </w:r>
      <w:proofErr w:type="gramEnd"/>
      <w:r w:rsidRPr="00267CD4">
        <w:rPr>
          <w:bCs/>
          <w:sz w:val="22"/>
          <w:szCs w:val="22"/>
          <w:lang w:val="en-GB"/>
        </w:rPr>
        <w:t xml:space="preserve"> 18 godina pacijent treba da pređe na dozu i režim doziranja za odrasle osobe, kako je navedeno u nastavku.</w:t>
      </w:r>
    </w:p>
    <w:p w14:paraId="45E51FD9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0203B4A2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/>
          <w:bCs/>
          <w:i/>
          <w:iCs/>
          <w:sz w:val="22"/>
          <w:szCs w:val="22"/>
          <w:u w:val="single"/>
          <w:lang w:val="en-GB"/>
        </w:rPr>
      </w:pPr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Doziranje kod odraslih </w:t>
      </w:r>
      <w:proofErr w:type="gramStart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>sa</w:t>
      </w:r>
      <w:proofErr w:type="gramEnd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 TIO</w:t>
      </w:r>
    </w:p>
    <w:p w14:paraId="6335546F" w14:textId="2E6901F8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Preporučena početna doza kod odraslih iznosi 0</w:t>
      </w:r>
      <w:proofErr w:type="gramStart"/>
      <w:r w:rsidRPr="00267CD4">
        <w:rPr>
          <w:bCs/>
          <w:sz w:val="22"/>
          <w:szCs w:val="22"/>
          <w:lang w:val="en-GB"/>
        </w:rPr>
        <w:t>,3</w:t>
      </w:r>
      <w:proofErr w:type="gramEnd"/>
      <w:r w:rsidRPr="00267CD4">
        <w:rPr>
          <w:bCs/>
          <w:sz w:val="22"/>
          <w:szCs w:val="22"/>
          <w:lang w:val="en-GB"/>
        </w:rPr>
        <w:t xml:space="preserve"> mg/kg t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elesne mase, zaokružena na najbližih 10 mg i daje se svake 4 ned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elje. </w:t>
      </w:r>
    </w:p>
    <w:p w14:paraId="0FF51F44" w14:textId="6C79FBCA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bookmarkStart w:id="4" w:name="_Hlk82448355"/>
      <w:r w:rsidRPr="00267CD4">
        <w:rPr>
          <w:bCs/>
          <w:sz w:val="22"/>
          <w:szCs w:val="22"/>
          <w:lang w:val="en-GB"/>
        </w:rPr>
        <w:t>Nakon uvođenja terapije burosumabom nivo fosfata u serumu natašte treba m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svake 2 ned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nakon prve doze tokom 3 m</w:t>
      </w:r>
      <w:r w:rsidR="00D62BE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eseca terapije, a nakon toga po potrebi. Ako je vr</w:t>
      </w:r>
      <w:r w:rsidR="00D62BE4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u referentnom rasponu, treba održati istu dozu.</w:t>
      </w:r>
      <w:bookmarkEnd w:id="4"/>
      <w:r w:rsidRPr="00267CD4">
        <w:rPr>
          <w:bCs/>
          <w:sz w:val="22"/>
          <w:szCs w:val="22"/>
          <w:lang w:val="en-GB"/>
        </w:rPr>
        <w:t xml:space="preserve"> </w:t>
      </w:r>
    </w:p>
    <w:p w14:paraId="49BD1E43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773ED0C5" w14:textId="38663D4A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>Povećanje doze</w:t>
      </w:r>
    </w:p>
    <w:p w14:paraId="3FDC0D01" w14:textId="26F380AA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 xml:space="preserve">Ako je fosfat u serumu ispod referentnog raspona, doza se može postupno povećavati. Prvo povećanje doze treba da bude 0,3 mg/kg, dok se kasnijim povećanjima između 0,2 mg/kg i 0,5 mg/kg (povećanje </w:t>
      </w:r>
      <w:r w:rsidRPr="00267CD4">
        <w:rPr>
          <w:bCs/>
          <w:sz w:val="22"/>
          <w:szCs w:val="22"/>
          <w:lang w:val="en-GB"/>
        </w:rPr>
        <w:lastRenderedPageBreak/>
        <w:t>doze zavisi od odgovora pacijenta na terapiju) doza povećava do najveće doze od 2,0 mg/kg (maksimalna doza 180 mg) koja se daje svake 4 ned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elje. Fosfate u serumu natašte treba izm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2 ned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elje nakon podešavanja doze. </w:t>
      </w:r>
    </w:p>
    <w:p w14:paraId="77EBA784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26867016" w14:textId="2CEBE519" w:rsid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Kod pacijenata kod kojih nivo fosfata u serumu ostane ispod referentnog raspona uprkos prim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eni maksimalne doze svaka 4 m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eseca, prethodna doza se može pod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eliti i davati svake 2 ned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uz postupna povećanja po potrebi kako je prethodno opisano, do najveće doze od 2,0 mg/kg (maksimalna doza 180 mg) koja se daje svake 2 ned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elje.</w:t>
      </w:r>
    </w:p>
    <w:p w14:paraId="70C0BBAF" w14:textId="77777777" w:rsidR="008B21F3" w:rsidRPr="00267CD4" w:rsidRDefault="008B21F3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62004981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>Smanjenje doze</w:t>
      </w:r>
    </w:p>
    <w:p w14:paraId="4010B6DA" w14:textId="4C5E346A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Ako je vr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iznad referentnog raspona, sl</w:t>
      </w:r>
      <w:r w:rsidR="00341BAE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edeću dozu treba izostaviti, a nivo fosfata u serumu natašte ponovno izm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eriti za 2 ned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elje. Pacijent mora da ima vr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ispod referentnog raspona da bi se l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ečenje burosumabom nastavilo. Kada se postigne vr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ispod referentnog raspona, l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ečenje se može nastaviti otprilike polovinom prethodne doze</w:t>
      </w:r>
      <w:bookmarkStart w:id="5" w:name="_Hlk41904448"/>
      <w:r w:rsidRPr="00267CD4">
        <w:rPr>
          <w:bCs/>
          <w:sz w:val="22"/>
          <w:szCs w:val="22"/>
          <w:lang w:val="en-GB"/>
        </w:rPr>
        <w:t xml:space="preserve">, </w:t>
      </w:r>
      <w:bookmarkEnd w:id="5"/>
      <w:r w:rsidRPr="00267CD4">
        <w:rPr>
          <w:bCs/>
          <w:sz w:val="22"/>
          <w:szCs w:val="22"/>
          <w:lang w:val="en-GB"/>
        </w:rPr>
        <w:t>uz prim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enu svake 4 ned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elje. M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erenje fosfata u serumu treba ponoviti 2 ned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elje nakon svake prom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ene doze.</w:t>
      </w:r>
    </w:p>
    <w:p w14:paraId="5C438CA1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Ukoliko nivo ostaje ispod referentnog raspona nakon ponovo započete doze, doza se može dalje podešavati.</w:t>
      </w:r>
    </w:p>
    <w:p w14:paraId="2676E89D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3AC686A2" w14:textId="669BCA14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/>
          <w:bCs/>
          <w:i/>
          <w:iCs/>
          <w:sz w:val="22"/>
          <w:szCs w:val="22"/>
          <w:u w:val="single"/>
          <w:lang w:val="en-GB"/>
        </w:rPr>
        <w:t>Prekid prim</w:t>
      </w:r>
      <w:r w:rsidR="0058560B">
        <w:rPr>
          <w:b/>
          <w:bCs/>
          <w:i/>
          <w:iCs/>
          <w:sz w:val="22"/>
          <w:szCs w:val="22"/>
          <w:u w:val="single"/>
          <w:lang w:val="en-GB"/>
        </w:rPr>
        <w:t>j</w:t>
      </w:r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ene doze kod pedijatrijskih i odraslih pacijenata </w:t>
      </w:r>
      <w:proofErr w:type="gramStart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>sa</w:t>
      </w:r>
      <w:proofErr w:type="gramEnd"/>
      <w:r w:rsidRPr="00267CD4">
        <w:rPr>
          <w:b/>
          <w:bCs/>
          <w:i/>
          <w:iCs/>
          <w:sz w:val="22"/>
          <w:szCs w:val="22"/>
          <w:u w:val="single"/>
          <w:lang w:val="en-GB"/>
        </w:rPr>
        <w:t xml:space="preserve"> TIO</w:t>
      </w:r>
      <w:r w:rsidRPr="00267CD4">
        <w:rPr>
          <w:bCs/>
          <w:sz w:val="22"/>
          <w:szCs w:val="22"/>
          <w:lang w:val="en-GB"/>
        </w:rPr>
        <w:t xml:space="preserve"> </w:t>
      </w:r>
    </w:p>
    <w:p w14:paraId="6D27C625" w14:textId="1F72D485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 xml:space="preserve">Ako </w:t>
      </w:r>
      <w:proofErr w:type="gramStart"/>
      <w:r w:rsidRPr="00267CD4">
        <w:rPr>
          <w:bCs/>
          <w:sz w:val="22"/>
          <w:szCs w:val="22"/>
          <w:lang w:val="en-GB"/>
        </w:rPr>
        <w:t>će</w:t>
      </w:r>
      <w:proofErr w:type="gramEnd"/>
      <w:r w:rsidRPr="00267CD4">
        <w:rPr>
          <w:bCs/>
          <w:sz w:val="22"/>
          <w:szCs w:val="22"/>
          <w:lang w:val="en-GB"/>
        </w:rPr>
        <w:t xml:space="preserve"> se kod pacijenta sprovesti terapija postojećeg tumora (tj. hirurško uklanjanje ili radioterapija), l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 xml:space="preserve">ečenje burosumabom treba prekinuti. </w:t>
      </w:r>
    </w:p>
    <w:p w14:paraId="29E97CB8" w14:textId="071C2582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Nakon završene terapije postojećeg tumora potrebno je ponovno proc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eniti vr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pr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 nego što se nastavi terapija burosumabom. Ako je vr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ispod donje granice normalnog referentnog raspona, terapiju burosumabom treba nastaviti pacijentovom prvobitnom početnom dozom. Da bi se nivo fosfata u serumu zadržao u referentnom rasponu za uzrast, potrebno je pridržavati se preporuka za podešavanje doze navedenih u prethodnom d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elu teksta.</w:t>
      </w:r>
    </w:p>
    <w:p w14:paraId="7D625B4F" w14:textId="01A456AF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L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 xml:space="preserve">ečenje svih pacijenata </w:t>
      </w:r>
      <w:proofErr w:type="gramStart"/>
      <w:r w:rsidRPr="00267CD4">
        <w:rPr>
          <w:bCs/>
          <w:sz w:val="22"/>
          <w:szCs w:val="22"/>
          <w:lang w:val="en-GB"/>
        </w:rPr>
        <w:t>sa</w:t>
      </w:r>
      <w:proofErr w:type="gramEnd"/>
      <w:r w:rsidRPr="00267CD4">
        <w:rPr>
          <w:bCs/>
          <w:sz w:val="22"/>
          <w:szCs w:val="22"/>
          <w:lang w:val="en-GB"/>
        </w:rPr>
        <w:t xml:space="preserve"> TIO treba prekinuti ako ordinirajući l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ekar smatra da se uprkos prim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eni maksimalne doze ne b</w:t>
      </w:r>
      <w:r w:rsidR="00341BAE">
        <w:rPr>
          <w:bCs/>
          <w:sz w:val="22"/>
          <w:szCs w:val="22"/>
          <w:lang w:val="en-GB"/>
        </w:rPr>
        <w:t>ilje</w:t>
      </w:r>
      <w:r w:rsidRPr="00267CD4">
        <w:rPr>
          <w:bCs/>
          <w:sz w:val="22"/>
          <w:szCs w:val="22"/>
          <w:lang w:val="en-GB"/>
        </w:rPr>
        <w:t xml:space="preserve">ži značajno poboljšanje odgovora biohemijskih ili kliničkih markera. </w:t>
      </w:r>
    </w:p>
    <w:p w14:paraId="4155D5F1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14FD5C4A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/>
          <w:bCs/>
          <w:sz w:val="22"/>
          <w:szCs w:val="22"/>
          <w:u w:val="single"/>
          <w:lang w:val="en-GB"/>
        </w:rPr>
        <w:t>Svi pacijenti</w:t>
      </w:r>
    </w:p>
    <w:p w14:paraId="56CA3F46" w14:textId="5C53DB9F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 xml:space="preserve">Kako bi se smanjio rizik </w:t>
      </w:r>
      <w:proofErr w:type="gramStart"/>
      <w:r w:rsidRPr="00267CD4">
        <w:rPr>
          <w:bCs/>
          <w:sz w:val="22"/>
          <w:szCs w:val="22"/>
          <w:lang w:val="en-GB"/>
        </w:rPr>
        <w:t>od</w:t>
      </w:r>
      <w:proofErr w:type="gramEnd"/>
      <w:r w:rsidRPr="00267CD4">
        <w:rPr>
          <w:bCs/>
          <w:sz w:val="22"/>
          <w:szCs w:val="22"/>
          <w:lang w:val="en-GB"/>
        </w:rPr>
        <w:t xml:space="preserve"> ektopične mineralizacije, kao ciljnu vr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fosfata u serumu natašte preporučljivo je uzeti vr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ednosti u donjem d</w:t>
      </w:r>
      <w:r w:rsidR="009B29D4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elu normalnog referentnog raspona za uzrast (vid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eti </w:t>
      </w:r>
      <w:r w:rsidR="0058560B">
        <w:rPr>
          <w:bCs/>
          <w:sz w:val="22"/>
          <w:szCs w:val="22"/>
          <w:lang w:val="en-GB"/>
        </w:rPr>
        <w:t>dio</w:t>
      </w:r>
      <w:r w:rsidRPr="00267CD4">
        <w:rPr>
          <w:bCs/>
          <w:sz w:val="22"/>
          <w:szCs w:val="22"/>
          <w:lang w:val="en-GB"/>
        </w:rPr>
        <w:t xml:space="preserve"> 4.4).</w:t>
      </w:r>
    </w:p>
    <w:p w14:paraId="27EA49B5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 xml:space="preserve">Propuštena doza </w:t>
      </w:r>
    </w:p>
    <w:p w14:paraId="621A6018" w14:textId="07D1A243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267CD4">
        <w:rPr>
          <w:bCs/>
          <w:sz w:val="22"/>
          <w:szCs w:val="22"/>
          <w:lang w:val="en-GB"/>
        </w:rPr>
        <w:t>Ako je potrebno iz praktičnih razloga, terapija se može prim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eniti 3 </w:t>
      </w:r>
      <w:proofErr w:type="gramStart"/>
      <w:r w:rsidRPr="00267CD4">
        <w:rPr>
          <w:bCs/>
          <w:sz w:val="22"/>
          <w:szCs w:val="22"/>
          <w:lang w:val="en-GB"/>
        </w:rPr>
        <w:t>dana</w:t>
      </w:r>
      <w:proofErr w:type="gramEnd"/>
      <w:r w:rsidRPr="00267CD4">
        <w:rPr>
          <w:bCs/>
          <w:sz w:val="22"/>
          <w:szCs w:val="22"/>
          <w:lang w:val="en-GB"/>
        </w:rPr>
        <w:t xml:space="preserve"> pr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 ili posl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 xml:space="preserve">e dana planirane terapije. Ako pacijent propusti dozu, </w:t>
      </w:r>
      <w:proofErr w:type="gramStart"/>
      <w:r w:rsidRPr="00267CD4">
        <w:rPr>
          <w:bCs/>
          <w:sz w:val="22"/>
          <w:szCs w:val="22"/>
          <w:lang w:val="en-GB"/>
        </w:rPr>
        <w:t>sa</w:t>
      </w:r>
      <w:proofErr w:type="gramEnd"/>
      <w:r w:rsidRPr="00267CD4">
        <w:rPr>
          <w:bCs/>
          <w:sz w:val="22"/>
          <w:szCs w:val="22"/>
          <w:lang w:val="en-GB"/>
        </w:rPr>
        <w:t xml:space="preserve"> prim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enom burosumaba u propisanoj dozi potrebno je nastaviti čim to bude moguće.</w:t>
      </w:r>
    </w:p>
    <w:p w14:paraId="28E57387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058DD0B9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267CD4">
        <w:rPr>
          <w:bCs/>
          <w:sz w:val="22"/>
          <w:szCs w:val="22"/>
          <w:u w:val="single"/>
          <w:lang w:val="en-GB"/>
        </w:rPr>
        <w:t>Posebne populacije</w:t>
      </w:r>
    </w:p>
    <w:p w14:paraId="2C8CF20B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14:paraId="362E699C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>Oštećenje funkcije bubrega</w:t>
      </w:r>
    </w:p>
    <w:p w14:paraId="2D9668CE" w14:textId="70634955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 xml:space="preserve">Burosumab nije proučavan kod pacijenata </w:t>
      </w:r>
      <w:proofErr w:type="gramStart"/>
      <w:r w:rsidRPr="00267CD4">
        <w:rPr>
          <w:bCs/>
          <w:sz w:val="22"/>
          <w:szCs w:val="22"/>
          <w:lang w:val="en-GB"/>
        </w:rPr>
        <w:t>sa</w:t>
      </w:r>
      <w:proofErr w:type="gramEnd"/>
      <w:r w:rsidRPr="00267CD4">
        <w:rPr>
          <w:bCs/>
          <w:sz w:val="22"/>
          <w:szCs w:val="22"/>
          <w:lang w:val="en-GB"/>
        </w:rPr>
        <w:t xml:space="preserve"> oštećenjem funkcije bubrega. Burosumab se ne sm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 xml:space="preserve">e davati pacijentima </w:t>
      </w:r>
      <w:proofErr w:type="gramStart"/>
      <w:r w:rsidRPr="00267CD4">
        <w:rPr>
          <w:bCs/>
          <w:sz w:val="22"/>
          <w:szCs w:val="22"/>
          <w:lang w:val="en-GB"/>
        </w:rPr>
        <w:t>sa</w:t>
      </w:r>
      <w:proofErr w:type="gramEnd"/>
      <w:r w:rsidRPr="00267CD4">
        <w:rPr>
          <w:bCs/>
          <w:sz w:val="22"/>
          <w:szCs w:val="22"/>
          <w:lang w:val="en-GB"/>
        </w:rPr>
        <w:t xml:space="preserve"> teškom bolešću bubrega ili bolešću bubrega u krajnjem stadijumu (vid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eti </w:t>
      </w:r>
      <w:r w:rsidR="0058560B">
        <w:rPr>
          <w:bCs/>
          <w:sz w:val="22"/>
          <w:szCs w:val="22"/>
          <w:lang w:val="en-GB"/>
        </w:rPr>
        <w:t>dio</w:t>
      </w:r>
      <w:r w:rsidRPr="00267CD4">
        <w:rPr>
          <w:bCs/>
          <w:sz w:val="22"/>
          <w:szCs w:val="22"/>
          <w:lang w:val="en-GB"/>
        </w:rPr>
        <w:t xml:space="preserve"> 4.3).</w:t>
      </w:r>
    </w:p>
    <w:p w14:paraId="7E3F6639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</w:p>
    <w:p w14:paraId="60577554" w14:textId="42EE68D4" w:rsidR="008B21F3" w:rsidRPr="007E21A6" w:rsidRDefault="00267CD4" w:rsidP="007E21A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>Pedijatrijska populacija</w:t>
      </w:r>
    </w:p>
    <w:p w14:paraId="2AAB4A61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267CD4">
        <w:rPr>
          <w:bCs/>
          <w:sz w:val="22"/>
          <w:szCs w:val="22"/>
          <w:u w:val="single"/>
          <w:lang w:val="en-GB"/>
        </w:rPr>
        <w:t>X-vezana hipofosfatemija (XLH)</w:t>
      </w:r>
    </w:p>
    <w:p w14:paraId="08512F47" w14:textId="7DE858E3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Bezb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ednost i d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elotvornost burosumaba kod pedijatrijskih pacijenata </w:t>
      </w:r>
      <w:proofErr w:type="gramStart"/>
      <w:r w:rsidRPr="00267CD4">
        <w:rPr>
          <w:bCs/>
          <w:sz w:val="22"/>
          <w:szCs w:val="22"/>
          <w:lang w:val="en-GB"/>
        </w:rPr>
        <w:t>sa</w:t>
      </w:r>
      <w:proofErr w:type="gramEnd"/>
      <w:r w:rsidRPr="00267CD4">
        <w:rPr>
          <w:bCs/>
          <w:sz w:val="22"/>
          <w:szCs w:val="22"/>
          <w:lang w:val="en-GB"/>
        </w:rPr>
        <w:t xml:space="preserve"> XLH mlađih od godinu dana nisu ustanovljene u kliničkim studijama. </w:t>
      </w:r>
    </w:p>
    <w:p w14:paraId="2D8F6793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71852F64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u w:val="single"/>
          <w:lang w:val="en-GB"/>
        </w:rPr>
      </w:pPr>
      <w:r w:rsidRPr="00267CD4">
        <w:rPr>
          <w:bCs/>
          <w:sz w:val="22"/>
          <w:szCs w:val="22"/>
          <w:u w:val="single"/>
          <w:lang w:val="en-GB"/>
        </w:rPr>
        <w:t>Tumorom indukovana osteomalacija (TIO)</w:t>
      </w:r>
    </w:p>
    <w:p w14:paraId="1D7809FD" w14:textId="02BC37EC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Bezb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ednost i d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elotvornost burosumaba kod pedijatrijskih pacijenata </w:t>
      </w:r>
      <w:proofErr w:type="gramStart"/>
      <w:r w:rsidRPr="00267CD4">
        <w:rPr>
          <w:bCs/>
          <w:sz w:val="22"/>
          <w:szCs w:val="22"/>
          <w:lang w:val="en-GB"/>
        </w:rPr>
        <w:t>sa</w:t>
      </w:r>
      <w:proofErr w:type="gramEnd"/>
      <w:r w:rsidRPr="00267CD4">
        <w:rPr>
          <w:bCs/>
          <w:sz w:val="22"/>
          <w:szCs w:val="22"/>
          <w:lang w:val="en-GB"/>
        </w:rPr>
        <w:t xml:space="preserve"> TIO nisu ustanovljene u kliničkim studijama.</w:t>
      </w:r>
    </w:p>
    <w:p w14:paraId="2123EFBA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en-GB"/>
        </w:rPr>
      </w:pPr>
    </w:p>
    <w:p w14:paraId="7AB06A9D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i/>
          <w:iCs/>
          <w:sz w:val="22"/>
          <w:szCs w:val="22"/>
          <w:lang w:val="en-GB"/>
        </w:rPr>
        <w:t xml:space="preserve">Starije osobe </w:t>
      </w:r>
    </w:p>
    <w:p w14:paraId="5CF70424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 xml:space="preserve">Za pacijente starije </w:t>
      </w:r>
      <w:proofErr w:type="gramStart"/>
      <w:r w:rsidRPr="00267CD4">
        <w:rPr>
          <w:bCs/>
          <w:sz w:val="22"/>
          <w:szCs w:val="22"/>
          <w:lang w:val="en-GB"/>
        </w:rPr>
        <w:t>od</w:t>
      </w:r>
      <w:proofErr w:type="gramEnd"/>
      <w:r w:rsidRPr="00267CD4">
        <w:rPr>
          <w:bCs/>
          <w:sz w:val="22"/>
          <w:szCs w:val="22"/>
          <w:lang w:val="en-GB"/>
        </w:rPr>
        <w:t xml:space="preserve"> 65 godina dostupni su ograničeni podaci. </w:t>
      </w:r>
    </w:p>
    <w:p w14:paraId="0B66C3B4" w14:textId="77777777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14:paraId="006E9614" w14:textId="09BA14FB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267CD4">
        <w:rPr>
          <w:bCs/>
          <w:sz w:val="22"/>
          <w:szCs w:val="22"/>
          <w:u w:val="single"/>
          <w:lang w:val="en-GB"/>
        </w:rPr>
        <w:lastRenderedPageBreak/>
        <w:t>Način prim</w:t>
      </w:r>
      <w:r w:rsidR="0058560B">
        <w:rPr>
          <w:bCs/>
          <w:sz w:val="22"/>
          <w:szCs w:val="22"/>
          <w:u w:val="single"/>
          <w:lang w:val="en-GB"/>
        </w:rPr>
        <w:t>j</w:t>
      </w:r>
      <w:r w:rsidRPr="00267CD4">
        <w:rPr>
          <w:bCs/>
          <w:sz w:val="22"/>
          <w:szCs w:val="22"/>
          <w:u w:val="single"/>
          <w:lang w:val="en-GB"/>
        </w:rPr>
        <w:t>ene</w:t>
      </w:r>
    </w:p>
    <w:p w14:paraId="2D802DE5" w14:textId="189E1CE4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 xml:space="preserve">Za </w:t>
      </w:r>
      <w:r w:rsidR="008B21F3" w:rsidRPr="00267CD4">
        <w:rPr>
          <w:bCs/>
          <w:sz w:val="22"/>
          <w:szCs w:val="22"/>
          <w:lang w:val="en-GB"/>
        </w:rPr>
        <w:t>su</w:t>
      </w:r>
      <w:r w:rsidR="008B21F3">
        <w:rPr>
          <w:bCs/>
          <w:sz w:val="22"/>
          <w:szCs w:val="22"/>
          <w:lang w:val="en-GB"/>
        </w:rPr>
        <w:t>b</w:t>
      </w:r>
      <w:r w:rsidR="008B21F3" w:rsidRPr="00267CD4">
        <w:rPr>
          <w:bCs/>
          <w:sz w:val="22"/>
          <w:szCs w:val="22"/>
          <w:lang w:val="en-GB"/>
        </w:rPr>
        <w:t xml:space="preserve">kutanu </w:t>
      </w:r>
      <w:r w:rsidRPr="00267CD4">
        <w:rPr>
          <w:bCs/>
          <w:sz w:val="22"/>
          <w:szCs w:val="22"/>
          <w:lang w:val="en-GB"/>
        </w:rPr>
        <w:t>prim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enu.</w:t>
      </w:r>
    </w:p>
    <w:p w14:paraId="296D7F9D" w14:textId="64647D79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Burosumab se prim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enjuje injekcijom u nadlakticu, abdomen, zadnjicu </w:t>
      </w:r>
      <w:proofErr w:type="gramStart"/>
      <w:r w:rsidRPr="00267CD4">
        <w:rPr>
          <w:bCs/>
          <w:sz w:val="22"/>
          <w:szCs w:val="22"/>
          <w:lang w:val="en-GB"/>
        </w:rPr>
        <w:t>ili</w:t>
      </w:r>
      <w:proofErr w:type="gramEnd"/>
      <w:r w:rsidRPr="00267CD4">
        <w:rPr>
          <w:bCs/>
          <w:sz w:val="22"/>
          <w:szCs w:val="22"/>
          <w:lang w:val="en-GB"/>
        </w:rPr>
        <w:t xml:space="preserve"> butinu.</w:t>
      </w:r>
    </w:p>
    <w:p w14:paraId="68C56BB5" w14:textId="6583D13F" w:rsid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Najveći volumen l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eka po m</w:t>
      </w:r>
      <w:r w:rsidR="009B29D4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estu ubrizgavanja iznosi 1</w:t>
      </w:r>
      <w:proofErr w:type="gramStart"/>
      <w:r w:rsidRPr="00267CD4">
        <w:rPr>
          <w:bCs/>
          <w:sz w:val="22"/>
          <w:szCs w:val="22"/>
          <w:lang w:val="en-GB"/>
        </w:rPr>
        <w:t>,5</w:t>
      </w:r>
      <w:proofErr w:type="gramEnd"/>
      <w:r w:rsidRPr="00267CD4">
        <w:rPr>
          <w:bCs/>
          <w:sz w:val="22"/>
          <w:szCs w:val="22"/>
          <w:lang w:val="en-GB"/>
        </w:rPr>
        <w:t xml:space="preserve"> </w:t>
      </w:r>
      <w:r w:rsidR="008B21F3" w:rsidRPr="00267CD4">
        <w:rPr>
          <w:bCs/>
          <w:sz w:val="22"/>
          <w:szCs w:val="22"/>
          <w:lang w:val="en-GB"/>
        </w:rPr>
        <w:t>m</w:t>
      </w:r>
      <w:r w:rsidR="008B21F3">
        <w:rPr>
          <w:bCs/>
          <w:sz w:val="22"/>
          <w:szCs w:val="22"/>
          <w:lang w:val="en-GB"/>
        </w:rPr>
        <w:t>l</w:t>
      </w:r>
      <w:r w:rsidRPr="00267CD4">
        <w:rPr>
          <w:bCs/>
          <w:sz w:val="22"/>
          <w:szCs w:val="22"/>
          <w:lang w:val="en-GB"/>
        </w:rPr>
        <w:t>. Ako je na dan prim</w:t>
      </w:r>
      <w:r w:rsidR="0058560B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ene potrebna doza veća od 1,5 </w:t>
      </w:r>
      <w:r w:rsidR="008B21F3" w:rsidRPr="00267CD4">
        <w:rPr>
          <w:bCs/>
          <w:sz w:val="22"/>
          <w:szCs w:val="22"/>
          <w:lang w:val="en-GB"/>
        </w:rPr>
        <w:t>m</w:t>
      </w:r>
      <w:r w:rsidR="008B21F3">
        <w:rPr>
          <w:bCs/>
          <w:sz w:val="22"/>
          <w:szCs w:val="22"/>
          <w:lang w:val="en-GB"/>
        </w:rPr>
        <w:t>l</w:t>
      </w:r>
      <w:r w:rsidRPr="00267CD4">
        <w:rPr>
          <w:bCs/>
          <w:sz w:val="22"/>
          <w:szCs w:val="22"/>
          <w:lang w:val="en-GB"/>
        </w:rPr>
        <w:t>, ukupna zapremina l</w:t>
      </w:r>
      <w:r w:rsidR="0058560B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eka se mora pod</w:t>
      </w:r>
      <w:r w:rsidR="00B92EB9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eliti i prim</w:t>
      </w:r>
      <w:r w:rsidR="008B21F3">
        <w:rPr>
          <w:bCs/>
          <w:sz w:val="22"/>
          <w:szCs w:val="22"/>
          <w:lang w:val="en-GB"/>
        </w:rPr>
        <w:t>i</w:t>
      </w:r>
      <w:r w:rsidR="00B92EB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eniti u dva ili više različitih injekcionih m</w:t>
      </w:r>
      <w:r w:rsidR="00B92EB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esta na t</w:t>
      </w:r>
      <w:r w:rsidR="00B92EB9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elu. M</w:t>
      </w:r>
      <w:r w:rsidR="00B92EB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esta prim</w:t>
      </w:r>
      <w:r w:rsidR="00B92EB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ene injekcije treba m</w:t>
      </w:r>
      <w:r w:rsidR="00B92EB9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enjati i pažljivo pratiti zbog znakova mogućih reakcija (vid</w:t>
      </w:r>
      <w:r w:rsidR="00B92EB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eti </w:t>
      </w:r>
      <w:r w:rsidR="00B92EB9">
        <w:rPr>
          <w:bCs/>
          <w:sz w:val="22"/>
          <w:szCs w:val="22"/>
          <w:lang w:val="en-GB"/>
        </w:rPr>
        <w:t>dio</w:t>
      </w:r>
      <w:r w:rsidRPr="00267CD4">
        <w:rPr>
          <w:bCs/>
          <w:sz w:val="22"/>
          <w:szCs w:val="22"/>
          <w:lang w:val="en-GB"/>
        </w:rPr>
        <w:t xml:space="preserve"> 4.4). </w:t>
      </w:r>
    </w:p>
    <w:p w14:paraId="10E02C56" w14:textId="77777777" w:rsidR="00DC14FF" w:rsidRPr="00267CD4" w:rsidRDefault="00DC14FF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78C1F3C0" w14:textId="16F70EEC" w:rsid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67CD4">
        <w:rPr>
          <w:bCs/>
          <w:sz w:val="22"/>
          <w:szCs w:val="22"/>
          <w:lang w:val="en-GB"/>
        </w:rPr>
        <w:t>Za rukovanje burosumabom pr</w:t>
      </w:r>
      <w:r w:rsidR="00B92EB9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 prim</w:t>
      </w:r>
      <w:r w:rsidR="00B92EB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ene vid</w:t>
      </w:r>
      <w:r w:rsidR="00B92EB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eti </w:t>
      </w:r>
      <w:r w:rsidR="00B92EB9">
        <w:rPr>
          <w:bCs/>
          <w:sz w:val="22"/>
          <w:szCs w:val="22"/>
          <w:lang w:val="en-GB"/>
        </w:rPr>
        <w:t>dio</w:t>
      </w:r>
      <w:r w:rsidRPr="00267CD4">
        <w:rPr>
          <w:bCs/>
          <w:sz w:val="22"/>
          <w:szCs w:val="22"/>
          <w:lang w:val="en-GB"/>
        </w:rPr>
        <w:t xml:space="preserve"> 6.6.</w:t>
      </w:r>
    </w:p>
    <w:p w14:paraId="1F042F14" w14:textId="77777777" w:rsidR="00DC14FF" w:rsidRPr="00267CD4" w:rsidRDefault="00DC14FF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43B111F9" w14:textId="02196A5E" w:rsidR="00267CD4" w:rsidRPr="00267CD4" w:rsidRDefault="00267CD4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267CD4">
        <w:rPr>
          <w:bCs/>
          <w:sz w:val="22"/>
          <w:szCs w:val="22"/>
          <w:lang w:val="en-GB"/>
        </w:rPr>
        <w:t>Nekim pacijentima može odgovarati da injekciju prim</w:t>
      </w:r>
      <w:r w:rsidR="008B21F3">
        <w:rPr>
          <w:bCs/>
          <w:sz w:val="22"/>
          <w:szCs w:val="22"/>
          <w:lang w:val="en-GB"/>
        </w:rPr>
        <w:t>i</w:t>
      </w:r>
      <w:r w:rsidR="00B92EB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ene </w:t>
      </w:r>
      <w:proofErr w:type="gramStart"/>
      <w:r w:rsidRPr="00267CD4">
        <w:rPr>
          <w:bCs/>
          <w:sz w:val="22"/>
          <w:szCs w:val="22"/>
          <w:lang w:val="en-GB"/>
        </w:rPr>
        <w:t>sami</w:t>
      </w:r>
      <w:proofErr w:type="gramEnd"/>
      <w:r w:rsidRPr="00267CD4">
        <w:rPr>
          <w:bCs/>
          <w:sz w:val="22"/>
          <w:szCs w:val="22"/>
          <w:lang w:val="en-GB"/>
        </w:rPr>
        <w:t xml:space="preserve"> ili da je prim</w:t>
      </w:r>
      <w:r w:rsidR="008B21F3">
        <w:rPr>
          <w:bCs/>
          <w:sz w:val="22"/>
          <w:szCs w:val="22"/>
          <w:lang w:val="en-GB"/>
        </w:rPr>
        <w:t>i</w:t>
      </w:r>
      <w:r w:rsidR="00B92EB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eni n</w:t>
      </w:r>
      <w:r w:rsidR="008B21F3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egovatelj. Kada se više ne očekuje neposredna modifikacija doze, prim</w:t>
      </w:r>
      <w:r w:rsidR="00B92EB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enu može vršiti lice obučeno za tehnike davanja injekcija. Prvu samostalnu prim</w:t>
      </w:r>
      <w:r w:rsidR="00B92EB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enu doze nakon uvođenja l</w:t>
      </w:r>
      <w:r w:rsidR="00B92EB9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 xml:space="preserve">eka </w:t>
      </w:r>
      <w:proofErr w:type="gramStart"/>
      <w:r w:rsidRPr="00267CD4">
        <w:rPr>
          <w:bCs/>
          <w:sz w:val="22"/>
          <w:szCs w:val="22"/>
          <w:lang w:val="en-GB"/>
        </w:rPr>
        <w:t>ili</w:t>
      </w:r>
      <w:proofErr w:type="gramEnd"/>
      <w:r w:rsidRPr="00267CD4">
        <w:rPr>
          <w:bCs/>
          <w:sz w:val="22"/>
          <w:szCs w:val="22"/>
          <w:lang w:val="en-GB"/>
        </w:rPr>
        <w:t xml:space="preserve"> prom</w:t>
      </w:r>
      <w:r w:rsidR="00B92EB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>ene doze treba izvršiti pod nadzorom zdravstvenog radnika. Kliničko praćenje pacijenta, uključujući praćenje nivoa fosfata, mora se nastaviti kako je potrebno i navedeno u nastavku. Od</w:t>
      </w:r>
      <w:r w:rsidR="00B92EB9">
        <w:rPr>
          <w:bCs/>
          <w:sz w:val="22"/>
          <w:szCs w:val="22"/>
          <w:lang w:val="en-GB"/>
        </w:rPr>
        <w:t>j</w:t>
      </w:r>
      <w:r w:rsidRPr="00267CD4">
        <w:rPr>
          <w:bCs/>
          <w:sz w:val="22"/>
          <w:szCs w:val="22"/>
          <w:lang w:val="en-GB"/>
        </w:rPr>
        <w:t xml:space="preserve">eljak </w:t>
      </w:r>
      <w:proofErr w:type="gramStart"/>
      <w:r w:rsidRPr="00267CD4">
        <w:rPr>
          <w:bCs/>
          <w:sz w:val="22"/>
          <w:szCs w:val="22"/>
          <w:lang w:val="en-GB"/>
        </w:rPr>
        <w:t>sa</w:t>
      </w:r>
      <w:proofErr w:type="gramEnd"/>
      <w:r w:rsidRPr="00267CD4">
        <w:rPr>
          <w:bCs/>
          <w:sz w:val="22"/>
          <w:szCs w:val="22"/>
          <w:lang w:val="en-GB"/>
        </w:rPr>
        <w:t xml:space="preserve"> detaljnim uputstvima za upotrebu nam</w:t>
      </w:r>
      <w:r w:rsidR="00B92EB9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enjen pacijentima nalazi se na kraju Uputstva za l</w:t>
      </w:r>
      <w:r w:rsidR="00B92EB9">
        <w:rPr>
          <w:bCs/>
          <w:sz w:val="22"/>
          <w:szCs w:val="22"/>
          <w:lang w:val="en-GB"/>
        </w:rPr>
        <w:t>ij</w:t>
      </w:r>
      <w:r w:rsidRPr="00267CD4">
        <w:rPr>
          <w:bCs/>
          <w:sz w:val="22"/>
          <w:szCs w:val="22"/>
          <w:lang w:val="en-GB"/>
        </w:rPr>
        <w:t>ek.</w:t>
      </w:r>
    </w:p>
    <w:p w14:paraId="4AE05277" w14:textId="77777777" w:rsidR="00955E46" w:rsidRPr="00955E46" w:rsidRDefault="00955E46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91FE5C6" w14:textId="7C9F25F6" w:rsidR="00411B4B" w:rsidRDefault="00411B4B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Kontraindikacije</w:t>
      </w:r>
    </w:p>
    <w:p w14:paraId="00803672" w14:textId="77777777" w:rsidR="001B2F41" w:rsidRPr="00786071" w:rsidRDefault="001B2F41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E12D505" w14:textId="07D3F020" w:rsidR="001B2F41" w:rsidRDefault="001B2F41" w:rsidP="007E21A6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RS"/>
        </w:rPr>
      </w:pPr>
      <w:r w:rsidRPr="001B2F41">
        <w:rPr>
          <w:bCs/>
          <w:sz w:val="22"/>
          <w:szCs w:val="22"/>
          <w:lang w:val="sr-Latn-RS"/>
        </w:rPr>
        <w:t>Preos</w:t>
      </w:r>
      <w:r>
        <w:rPr>
          <w:bCs/>
          <w:sz w:val="22"/>
          <w:szCs w:val="22"/>
          <w:lang w:val="sr-Latn-RS"/>
        </w:rPr>
        <w:t>j</w:t>
      </w:r>
      <w:r w:rsidRPr="001B2F41">
        <w:rPr>
          <w:bCs/>
          <w:sz w:val="22"/>
          <w:szCs w:val="22"/>
          <w:lang w:val="sr-Latn-RS"/>
        </w:rPr>
        <w:t xml:space="preserve">etljivost na aktivnu supstancu ili bilo koju pomoćnu supstancu navedenu u </w:t>
      </w:r>
      <w:r>
        <w:rPr>
          <w:bCs/>
          <w:sz w:val="22"/>
          <w:szCs w:val="22"/>
          <w:lang w:val="sr-Latn-RS"/>
        </w:rPr>
        <w:t>dijelu</w:t>
      </w:r>
      <w:r w:rsidRPr="001B2F41">
        <w:rPr>
          <w:bCs/>
          <w:sz w:val="22"/>
          <w:szCs w:val="22"/>
          <w:lang w:val="sr-Latn-RS"/>
        </w:rPr>
        <w:t xml:space="preserve"> 6.1. </w:t>
      </w:r>
    </w:p>
    <w:p w14:paraId="7AE9A8E7" w14:textId="77777777" w:rsidR="00CA6382" w:rsidRDefault="00CA6382" w:rsidP="007E21A6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RS"/>
        </w:rPr>
      </w:pPr>
    </w:p>
    <w:p w14:paraId="38732AA2" w14:textId="6FFAA71F" w:rsidR="00CA6382" w:rsidRPr="00CA6382" w:rsidRDefault="00CA6382" w:rsidP="007E21A6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en-GB"/>
        </w:rPr>
      </w:pPr>
      <w:r w:rsidRPr="00CA6382">
        <w:rPr>
          <w:bCs/>
          <w:sz w:val="22"/>
          <w:szCs w:val="22"/>
          <w:lang w:val="en-GB"/>
        </w:rPr>
        <w:t>Istovremena prim</w:t>
      </w:r>
      <w:r>
        <w:rPr>
          <w:bCs/>
          <w:sz w:val="22"/>
          <w:szCs w:val="22"/>
          <w:lang w:val="en-GB"/>
        </w:rPr>
        <w:t>j</w:t>
      </w:r>
      <w:r w:rsidRPr="00CA6382">
        <w:rPr>
          <w:bCs/>
          <w:sz w:val="22"/>
          <w:szCs w:val="22"/>
          <w:lang w:val="en-GB"/>
        </w:rPr>
        <w:t xml:space="preserve">ena </w:t>
      </w:r>
      <w:proofErr w:type="gramStart"/>
      <w:r w:rsidRPr="00CA6382">
        <w:rPr>
          <w:bCs/>
          <w:sz w:val="22"/>
          <w:szCs w:val="22"/>
          <w:lang w:val="en-GB"/>
        </w:rPr>
        <w:t>sa</w:t>
      </w:r>
      <w:proofErr w:type="gramEnd"/>
      <w:r w:rsidRPr="00CA6382">
        <w:rPr>
          <w:bCs/>
          <w:sz w:val="22"/>
          <w:szCs w:val="22"/>
          <w:lang w:val="en-GB"/>
        </w:rPr>
        <w:t xml:space="preserve"> peroralnim fosfatima, aktivnim analozima vitamina D (vid</w:t>
      </w:r>
      <w:r>
        <w:rPr>
          <w:bCs/>
          <w:sz w:val="22"/>
          <w:szCs w:val="22"/>
          <w:lang w:val="en-GB"/>
        </w:rPr>
        <w:t>j</w:t>
      </w:r>
      <w:r w:rsidRPr="00CA6382">
        <w:rPr>
          <w:bCs/>
          <w:sz w:val="22"/>
          <w:szCs w:val="22"/>
          <w:lang w:val="en-GB"/>
        </w:rPr>
        <w:t xml:space="preserve">eti </w:t>
      </w:r>
      <w:r>
        <w:rPr>
          <w:bCs/>
          <w:sz w:val="22"/>
          <w:szCs w:val="22"/>
          <w:lang w:val="en-GB"/>
        </w:rPr>
        <w:t>dio</w:t>
      </w:r>
      <w:r w:rsidRPr="00CA6382">
        <w:rPr>
          <w:bCs/>
          <w:sz w:val="22"/>
          <w:szCs w:val="22"/>
          <w:lang w:val="en-GB"/>
        </w:rPr>
        <w:t xml:space="preserve"> 4.5).</w:t>
      </w:r>
    </w:p>
    <w:p w14:paraId="3537592D" w14:textId="77777777" w:rsidR="00CA6382" w:rsidRPr="00CA6382" w:rsidRDefault="00CA6382" w:rsidP="007E21A6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en-GB"/>
        </w:rPr>
      </w:pPr>
    </w:p>
    <w:p w14:paraId="2764E266" w14:textId="6A17834B" w:rsidR="00CA6382" w:rsidRPr="00CA6382" w:rsidRDefault="00CA6382" w:rsidP="007E21A6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en-GB"/>
        </w:rPr>
      </w:pPr>
      <w:r w:rsidRPr="00CA6382">
        <w:rPr>
          <w:bCs/>
          <w:sz w:val="22"/>
          <w:szCs w:val="22"/>
          <w:lang w:val="en-GB"/>
        </w:rPr>
        <w:t>Vr</w:t>
      </w:r>
      <w:r>
        <w:rPr>
          <w:bCs/>
          <w:sz w:val="22"/>
          <w:szCs w:val="22"/>
          <w:lang w:val="en-GB"/>
        </w:rPr>
        <w:t>ij</w:t>
      </w:r>
      <w:r w:rsidRPr="00CA6382">
        <w:rPr>
          <w:bCs/>
          <w:sz w:val="22"/>
          <w:szCs w:val="22"/>
          <w:lang w:val="en-GB"/>
        </w:rPr>
        <w:t xml:space="preserve">ednost fosfata u serumu natašte iznad normalnog raspona za uzrast, zbog rizika </w:t>
      </w:r>
      <w:proofErr w:type="gramStart"/>
      <w:r w:rsidRPr="00CA6382">
        <w:rPr>
          <w:bCs/>
          <w:sz w:val="22"/>
          <w:szCs w:val="22"/>
          <w:lang w:val="en-GB"/>
        </w:rPr>
        <w:t>od</w:t>
      </w:r>
      <w:proofErr w:type="gramEnd"/>
      <w:r w:rsidRPr="00CA6382">
        <w:rPr>
          <w:bCs/>
          <w:sz w:val="22"/>
          <w:szCs w:val="22"/>
          <w:lang w:val="en-GB"/>
        </w:rPr>
        <w:t xml:space="preserve"> hiperfosfatemije (vid</w:t>
      </w:r>
      <w:r>
        <w:rPr>
          <w:bCs/>
          <w:sz w:val="22"/>
          <w:szCs w:val="22"/>
          <w:lang w:val="en-GB"/>
        </w:rPr>
        <w:t>j</w:t>
      </w:r>
      <w:r w:rsidRPr="00CA6382">
        <w:rPr>
          <w:bCs/>
          <w:sz w:val="22"/>
          <w:szCs w:val="22"/>
          <w:lang w:val="en-GB"/>
        </w:rPr>
        <w:t xml:space="preserve">eti </w:t>
      </w:r>
      <w:r>
        <w:rPr>
          <w:bCs/>
          <w:sz w:val="22"/>
          <w:szCs w:val="22"/>
          <w:lang w:val="en-GB"/>
        </w:rPr>
        <w:t>dio</w:t>
      </w:r>
      <w:r w:rsidRPr="00CA6382">
        <w:rPr>
          <w:bCs/>
          <w:sz w:val="22"/>
          <w:szCs w:val="22"/>
          <w:lang w:val="en-GB"/>
        </w:rPr>
        <w:t xml:space="preserve"> 4.4).</w:t>
      </w:r>
    </w:p>
    <w:p w14:paraId="644E2EBB" w14:textId="77777777" w:rsidR="00CA6382" w:rsidRPr="00CA6382" w:rsidRDefault="00CA6382" w:rsidP="007E21A6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en-GB"/>
        </w:rPr>
      </w:pPr>
    </w:p>
    <w:p w14:paraId="2663A74F" w14:textId="77777777" w:rsidR="00CA6382" w:rsidRPr="00CA6382" w:rsidRDefault="00CA6382" w:rsidP="007E21A6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en-GB"/>
        </w:rPr>
      </w:pPr>
      <w:r w:rsidRPr="00CA6382">
        <w:rPr>
          <w:bCs/>
          <w:sz w:val="22"/>
          <w:szCs w:val="22"/>
          <w:lang w:val="en-GB"/>
        </w:rPr>
        <w:t xml:space="preserve">Pacijenti </w:t>
      </w:r>
      <w:proofErr w:type="gramStart"/>
      <w:r w:rsidRPr="00CA6382">
        <w:rPr>
          <w:bCs/>
          <w:sz w:val="22"/>
          <w:szCs w:val="22"/>
          <w:lang w:val="en-GB"/>
        </w:rPr>
        <w:t>sa</w:t>
      </w:r>
      <w:proofErr w:type="gramEnd"/>
      <w:r w:rsidRPr="00CA6382">
        <w:rPr>
          <w:bCs/>
          <w:sz w:val="22"/>
          <w:szCs w:val="22"/>
          <w:lang w:val="en-GB"/>
        </w:rPr>
        <w:t xml:space="preserve"> teškim oštećenjem funkcije bubrega ili bolešću bubrega u krajnjem stadijumu.</w:t>
      </w:r>
    </w:p>
    <w:p w14:paraId="47BE9AF8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64C0537" w14:textId="77777777" w:rsidR="00411B4B" w:rsidRPr="00786071" w:rsidRDefault="00411B4B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Posebna upozorenja i mjere opreza pri upotrebi lijeka</w:t>
      </w:r>
    </w:p>
    <w:p w14:paraId="06707BEA" w14:textId="77777777" w:rsidR="001B2F41" w:rsidRPr="001B2F41" w:rsidRDefault="001B2F41" w:rsidP="007E21A6">
      <w:pPr>
        <w:tabs>
          <w:tab w:val="left" w:pos="540"/>
          <w:tab w:val="left" w:pos="567"/>
        </w:tabs>
        <w:jc w:val="both"/>
        <w:rPr>
          <w:b/>
          <w:bCs/>
          <w:sz w:val="22"/>
          <w:szCs w:val="22"/>
          <w:lang w:val="sr-Latn-RS"/>
        </w:rPr>
      </w:pPr>
    </w:p>
    <w:p w14:paraId="244E83F8" w14:textId="7A33A744" w:rsidR="001B2F41" w:rsidRPr="001B2F41" w:rsidRDefault="001B2F41" w:rsidP="007E21A6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RS"/>
        </w:rPr>
      </w:pPr>
      <w:r w:rsidRPr="001B2F41">
        <w:rPr>
          <w:bCs/>
          <w:sz w:val="22"/>
          <w:szCs w:val="22"/>
          <w:u w:val="single"/>
          <w:lang w:val="sr-Latn-RS"/>
        </w:rPr>
        <w:t>Sl</w:t>
      </w:r>
      <w:r>
        <w:rPr>
          <w:bCs/>
          <w:sz w:val="22"/>
          <w:szCs w:val="22"/>
          <w:u w:val="single"/>
          <w:lang w:val="sr-Latn-RS"/>
        </w:rPr>
        <w:t>j</w:t>
      </w:r>
      <w:r w:rsidRPr="001B2F41">
        <w:rPr>
          <w:bCs/>
          <w:sz w:val="22"/>
          <w:szCs w:val="22"/>
          <w:u w:val="single"/>
          <w:lang w:val="sr-Latn-RS"/>
        </w:rPr>
        <w:t>edljivost</w:t>
      </w:r>
    </w:p>
    <w:p w14:paraId="73299144" w14:textId="5DE36B8E" w:rsidR="001B2F41" w:rsidRPr="001B2F41" w:rsidRDefault="001B2F41" w:rsidP="007E21A6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RS"/>
        </w:rPr>
      </w:pPr>
      <w:r w:rsidRPr="001B2F41">
        <w:rPr>
          <w:bCs/>
          <w:sz w:val="22"/>
          <w:szCs w:val="22"/>
          <w:lang w:val="sr-Latn-RS"/>
        </w:rPr>
        <w:t>Da bi se poboljšala sl</w:t>
      </w:r>
      <w:r w:rsidR="00341BAE">
        <w:rPr>
          <w:bCs/>
          <w:sz w:val="22"/>
          <w:szCs w:val="22"/>
          <w:lang w:val="sr-Latn-RS"/>
        </w:rPr>
        <w:t>j</w:t>
      </w:r>
      <w:r w:rsidRPr="001B2F41">
        <w:rPr>
          <w:bCs/>
          <w:sz w:val="22"/>
          <w:szCs w:val="22"/>
          <w:lang w:val="sr-Latn-RS"/>
        </w:rPr>
        <w:t>edljivost bioloških l</w:t>
      </w:r>
      <w:r>
        <w:rPr>
          <w:bCs/>
          <w:sz w:val="22"/>
          <w:szCs w:val="22"/>
          <w:lang w:val="sr-Latn-RS"/>
        </w:rPr>
        <w:t>j</w:t>
      </w:r>
      <w:r w:rsidRPr="001B2F41">
        <w:rPr>
          <w:bCs/>
          <w:sz w:val="22"/>
          <w:szCs w:val="22"/>
          <w:lang w:val="sr-Latn-RS"/>
        </w:rPr>
        <w:t>ekova, naziv i broj serije prim</w:t>
      </w:r>
      <w:r>
        <w:rPr>
          <w:bCs/>
          <w:sz w:val="22"/>
          <w:szCs w:val="22"/>
          <w:lang w:val="sr-Latn-RS"/>
        </w:rPr>
        <w:t>ij</w:t>
      </w:r>
      <w:r w:rsidRPr="001B2F41">
        <w:rPr>
          <w:bCs/>
          <w:sz w:val="22"/>
          <w:szCs w:val="22"/>
          <w:lang w:val="sr-Latn-RS"/>
        </w:rPr>
        <w:t>enjenog proizvoda treba jasno zab</w:t>
      </w:r>
      <w:r w:rsidR="00EA797D">
        <w:rPr>
          <w:bCs/>
          <w:sz w:val="22"/>
          <w:szCs w:val="22"/>
          <w:lang w:val="sr-Latn-RS"/>
        </w:rPr>
        <w:t>i</w:t>
      </w:r>
      <w:r w:rsidRPr="001B2F41">
        <w:rPr>
          <w:bCs/>
          <w:sz w:val="22"/>
          <w:szCs w:val="22"/>
          <w:lang w:val="sr-Latn-RS"/>
        </w:rPr>
        <w:t>l</w:t>
      </w:r>
      <w:r w:rsidR="00EA797D">
        <w:rPr>
          <w:bCs/>
          <w:sz w:val="22"/>
          <w:szCs w:val="22"/>
          <w:lang w:val="sr-Latn-RS"/>
        </w:rPr>
        <w:t>j</w:t>
      </w:r>
      <w:r w:rsidRPr="001B2F41">
        <w:rPr>
          <w:bCs/>
          <w:sz w:val="22"/>
          <w:szCs w:val="22"/>
          <w:lang w:val="sr-Latn-RS"/>
        </w:rPr>
        <w:t>ežiti.</w:t>
      </w:r>
    </w:p>
    <w:p w14:paraId="1CB6C52E" w14:textId="77777777" w:rsidR="001B2F41" w:rsidRPr="001B2F41" w:rsidRDefault="001B2F41" w:rsidP="007E21A6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RS"/>
        </w:rPr>
      </w:pPr>
    </w:p>
    <w:p w14:paraId="0AAC6754" w14:textId="2D452ED1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  <w:r w:rsidRPr="00CA6382">
        <w:rPr>
          <w:sz w:val="22"/>
          <w:szCs w:val="22"/>
          <w:u w:val="single"/>
          <w:lang w:val="en-GB"/>
        </w:rPr>
        <w:t>Ektopična mineralizacija</w:t>
      </w:r>
    </w:p>
    <w:p w14:paraId="1304C913" w14:textId="27C79C35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CA6382">
        <w:rPr>
          <w:sz w:val="22"/>
          <w:szCs w:val="22"/>
          <w:lang w:val="en-GB"/>
        </w:rPr>
        <w:t>Ektopična mineralizacija koja se manifestovala kao nefrokalcinoza, zab</w:t>
      </w:r>
      <w:r>
        <w:rPr>
          <w:sz w:val="22"/>
          <w:szCs w:val="22"/>
          <w:lang w:val="en-GB"/>
        </w:rPr>
        <w:t>i</w:t>
      </w:r>
      <w:r w:rsidRPr="00CA6382">
        <w:rPr>
          <w:sz w:val="22"/>
          <w:szCs w:val="22"/>
          <w:lang w:val="en-GB"/>
        </w:rPr>
        <w:t>l</w:t>
      </w:r>
      <w:r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 xml:space="preserve">ežena je kod pacijenata </w:t>
      </w:r>
      <w:proofErr w:type="gramStart"/>
      <w:r w:rsidRPr="00CA6382">
        <w:rPr>
          <w:sz w:val="22"/>
          <w:szCs w:val="22"/>
          <w:lang w:val="en-GB"/>
        </w:rPr>
        <w:t>sa</w:t>
      </w:r>
      <w:proofErr w:type="gramEnd"/>
      <w:r w:rsidRPr="00CA6382">
        <w:rPr>
          <w:sz w:val="22"/>
          <w:szCs w:val="22"/>
          <w:lang w:val="en-GB"/>
        </w:rPr>
        <w:t xml:space="preserve"> XLH l</w:t>
      </w:r>
      <w:r>
        <w:rPr>
          <w:sz w:val="22"/>
          <w:szCs w:val="22"/>
          <w:lang w:val="en-GB"/>
        </w:rPr>
        <w:t>ij</w:t>
      </w:r>
      <w:r w:rsidRPr="00CA6382">
        <w:rPr>
          <w:sz w:val="22"/>
          <w:szCs w:val="22"/>
          <w:lang w:val="en-GB"/>
        </w:rPr>
        <w:t>ečenih peroralnim fosfatom i aktivnim analozima vitamina D; prim</w:t>
      </w:r>
      <w:r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enu tih l</w:t>
      </w:r>
      <w:r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ekova treba prekinuti najmanje ned</w:t>
      </w:r>
      <w:r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elju dana pr</w:t>
      </w:r>
      <w:r>
        <w:rPr>
          <w:sz w:val="22"/>
          <w:szCs w:val="22"/>
          <w:lang w:val="en-GB"/>
        </w:rPr>
        <w:t>ij</w:t>
      </w:r>
      <w:r w:rsidRPr="00CA6382">
        <w:rPr>
          <w:sz w:val="22"/>
          <w:szCs w:val="22"/>
          <w:lang w:val="en-GB"/>
        </w:rPr>
        <w:t>e uvođenja terapije buro</w:t>
      </w:r>
      <w:r w:rsidR="004376AF">
        <w:rPr>
          <w:sz w:val="22"/>
          <w:szCs w:val="22"/>
          <w:lang w:val="en-GB"/>
        </w:rPr>
        <w:t>s</w:t>
      </w:r>
      <w:r w:rsidRPr="00CA6382">
        <w:rPr>
          <w:sz w:val="22"/>
          <w:szCs w:val="22"/>
          <w:lang w:val="en-GB"/>
        </w:rPr>
        <w:t>umabom (vid</w:t>
      </w:r>
      <w:r w:rsidR="004376AF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 xml:space="preserve">eti </w:t>
      </w:r>
      <w:r w:rsidR="004376AF">
        <w:rPr>
          <w:sz w:val="22"/>
          <w:szCs w:val="22"/>
          <w:lang w:val="en-GB"/>
        </w:rPr>
        <w:t>dio</w:t>
      </w:r>
      <w:r w:rsidRPr="00CA6382">
        <w:rPr>
          <w:sz w:val="22"/>
          <w:szCs w:val="22"/>
          <w:lang w:val="en-GB"/>
        </w:rPr>
        <w:t xml:space="preserve"> 4.2).</w:t>
      </w:r>
    </w:p>
    <w:p w14:paraId="39A2A349" w14:textId="77777777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</w:p>
    <w:p w14:paraId="2F5F0901" w14:textId="5782C75B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CA6382">
        <w:rPr>
          <w:sz w:val="22"/>
          <w:szCs w:val="22"/>
          <w:lang w:val="en-GB"/>
        </w:rPr>
        <w:t xml:space="preserve">Praćenje znakova i simptoma nefrokalcinoze, </w:t>
      </w:r>
      <w:proofErr w:type="gramStart"/>
      <w:r w:rsidRPr="00CA6382">
        <w:rPr>
          <w:sz w:val="22"/>
          <w:szCs w:val="22"/>
          <w:lang w:val="en-GB"/>
        </w:rPr>
        <w:t>npr</w:t>
      </w:r>
      <w:proofErr w:type="gramEnd"/>
      <w:r w:rsidRPr="00CA6382">
        <w:rPr>
          <w:sz w:val="22"/>
          <w:szCs w:val="22"/>
          <w:lang w:val="en-GB"/>
        </w:rPr>
        <w:t xml:space="preserve">. </w:t>
      </w:r>
      <w:proofErr w:type="gramStart"/>
      <w:r w:rsidRPr="00CA6382">
        <w:rPr>
          <w:sz w:val="22"/>
          <w:szCs w:val="22"/>
          <w:lang w:val="en-GB"/>
        </w:rPr>
        <w:t>ultrazvukom</w:t>
      </w:r>
      <w:proofErr w:type="gramEnd"/>
      <w:r w:rsidRPr="00CA6382">
        <w:rPr>
          <w:sz w:val="22"/>
          <w:szCs w:val="22"/>
          <w:lang w:val="en-GB"/>
        </w:rPr>
        <w:t xml:space="preserve"> bubrega, preporučuje se na početku terapije i svakih 6 m</w:t>
      </w:r>
      <w:r w:rsidR="004376AF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eseci u prvih 12 m</w:t>
      </w:r>
      <w:r w:rsidR="004376AF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eseci terapije, a nakon toga jednom godišnje. Preporučuje se praćenje alkalne fosfataze, kalcijuma, paratireoidnog hormona (PTH) i kreatinina u plazmi svakih 6 m</w:t>
      </w:r>
      <w:r w:rsidR="004376AF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eseci (svaka 3 m</w:t>
      </w:r>
      <w:r w:rsidR="004376AF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eseca kod d</w:t>
      </w:r>
      <w:r w:rsidR="004376AF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 xml:space="preserve">ece uzrasta </w:t>
      </w:r>
      <w:proofErr w:type="gramStart"/>
      <w:r w:rsidRPr="00CA6382">
        <w:rPr>
          <w:sz w:val="22"/>
          <w:szCs w:val="22"/>
          <w:lang w:val="en-GB"/>
        </w:rPr>
        <w:t>od</w:t>
      </w:r>
      <w:proofErr w:type="gramEnd"/>
      <w:r w:rsidRPr="00CA6382">
        <w:rPr>
          <w:sz w:val="22"/>
          <w:szCs w:val="22"/>
          <w:lang w:val="en-GB"/>
        </w:rPr>
        <w:t xml:space="preserve"> 1 do 2 godine) ili kako je indikovano.</w:t>
      </w:r>
    </w:p>
    <w:p w14:paraId="6BE92AE6" w14:textId="77777777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</w:p>
    <w:p w14:paraId="6B1FBAF4" w14:textId="4F26C234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CA6382">
        <w:rPr>
          <w:sz w:val="22"/>
          <w:szCs w:val="22"/>
          <w:lang w:val="en-GB"/>
        </w:rPr>
        <w:t>Predlaže se praćenje kalcijuma i fosfata u urinu svaka 3 m</w:t>
      </w:r>
      <w:r w:rsidR="004376AF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eseca.</w:t>
      </w:r>
    </w:p>
    <w:p w14:paraId="3B541728" w14:textId="77777777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</w:p>
    <w:p w14:paraId="0CDFB966" w14:textId="6CD472CE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  <w:r w:rsidRPr="00CA6382">
        <w:rPr>
          <w:sz w:val="22"/>
          <w:szCs w:val="22"/>
          <w:u w:val="single"/>
          <w:lang w:val="en-GB"/>
        </w:rPr>
        <w:t>Hiperfosfatemija</w:t>
      </w:r>
    </w:p>
    <w:p w14:paraId="7DD83413" w14:textId="094C23A9" w:rsidR="00CA6382" w:rsidRPr="00CA6382" w:rsidRDefault="00CA6382" w:rsidP="007E21A6">
      <w:pPr>
        <w:tabs>
          <w:tab w:val="left" w:pos="567"/>
        </w:tabs>
        <w:jc w:val="both"/>
        <w:rPr>
          <w:bCs/>
          <w:sz w:val="22"/>
          <w:szCs w:val="22"/>
          <w:lang w:val="en-GB"/>
        </w:rPr>
      </w:pPr>
      <w:r w:rsidRPr="00CA6382">
        <w:rPr>
          <w:sz w:val="22"/>
          <w:szCs w:val="22"/>
          <w:lang w:val="en-GB"/>
        </w:rPr>
        <w:t xml:space="preserve">Nivoe fosfata u serumu natašte treba pratiti zbog rizika </w:t>
      </w:r>
      <w:proofErr w:type="gramStart"/>
      <w:r w:rsidRPr="00CA6382">
        <w:rPr>
          <w:sz w:val="22"/>
          <w:szCs w:val="22"/>
          <w:lang w:val="en-GB"/>
        </w:rPr>
        <w:t>od</w:t>
      </w:r>
      <w:proofErr w:type="gramEnd"/>
      <w:r w:rsidRPr="00CA6382">
        <w:rPr>
          <w:sz w:val="22"/>
          <w:szCs w:val="22"/>
          <w:lang w:val="en-GB"/>
        </w:rPr>
        <w:t xml:space="preserve"> hiperfosfatemije. Kako bi se smanjio rizik </w:t>
      </w:r>
      <w:proofErr w:type="gramStart"/>
      <w:r w:rsidRPr="00CA6382">
        <w:rPr>
          <w:sz w:val="22"/>
          <w:szCs w:val="22"/>
          <w:lang w:val="en-GB"/>
        </w:rPr>
        <w:t>od</w:t>
      </w:r>
      <w:proofErr w:type="gramEnd"/>
      <w:r w:rsidRPr="00CA6382">
        <w:rPr>
          <w:sz w:val="22"/>
          <w:szCs w:val="22"/>
          <w:lang w:val="en-GB"/>
        </w:rPr>
        <w:t xml:space="preserve"> ektopične mineralizacije, kao ciljnu vr</w:t>
      </w:r>
      <w:r w:rsidR="004376AF">
        <w:rPr>
          <w:sz w:val="22"/>
          <w:szCs w:val="22"/>
          <w:lang w:val="en-GB"/>
        </w:rPr>
        <w:t>ij</w:t>
      </w:r>
      <w:r w:rsidRPr="00CA6382">
        <w:rPr>
          <w:sz w:val="22"/>
          <w:szCs w:val="22"/>
          <w:lang w:val="en-GB"/>
        </w:rPr>
        <w:t>ednost fosfata u serumu natašte preporučljivo je uzeti vr</w:t>
      </w:r>
      <w:r w:rsidR="004376AF">
        <w:rPr>
          <w:sz w:val="22"/>
          <w:szCs w:val="22"/>
          <w:lang w:val="en-GB"/>
        </w:rPr>
        <w:t>ij</w:t>
      </w:r>
      <w:r w:rsidRPr="00CA6382">
        <w:rPr>
          <w:sz w:val="22"/>
          <w:szCs w:val="22"/>
          <w:lang w:val="en-GB"/>
        </w:rPr>
        <w:t>ednosti u donjem d</w:t>
      </w:r>
      <w:r w:rsidR="009B29D4">
        <w:rPr>
          <w:sz w:val="22"/>
          <w:szCs w:val="22"/>
          <w:lang w:val="en-GB"/>
        </w:rPr>
        <w:t>ij</w:t>
      </w:r>
      <w:r w:rsidRPr="00CA6382">
        <w:rPr>
          <w:sz w:val="22"/>
          <w:szCs w:val="22"/>
          <w:lang w:val="en-GB"/>
        </w:rPr>
        <w:t>elu normalnog referentnog raspona za uzrast. Može biti potrebno privremeno prekinuti prim</w:t>
      </w:r>
      <w:r w:rsidR="004376AF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enu odnosno smanjiti dozu (vid</w:t>
      </w:r>
      <w:r w:rsidR="004376AF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 xml:space="preserve">eti </w:t>
      </w:r>
      <w:r w:rsidR="004376AF">
        <w:rPr>
          <w:sz w:val="22"/>
          <w:szCs w:val="22"/>
          <w:lang w:val="en-GB"/>
        </w:rPr>
        <w:t>dio</w:t>
      </w:r>
      <w:r w:rsidRPr="00CA6382">
        <w:rPr>
          <w:sz w:val="22"/>
          <w:szCs w:val="22"/>
          <w:lang w:val="en-GB"/>
        </w:rPr>
        <w:t xml:space="preserve"> 4.2). Sav</w:t>
      </w:r>
      <w:r w:rsidR="004376AF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etuje se periodično m</w:t>
      </w:r>
      <w:r w:rsidR="009B29D4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erenje fosfata u serumu nakon jela.</w:t>
      </w:r>
    </w:p>
    <w:p w14:paraId="6A52BBAE" w14:textId="77777777" w:rsidR="00CA6382" w:rsidRPr="00CA6382" w:rsidRDefault="00CA6382" w:rsidP="007E21A6">
      <w:pPr>
        <w:tabs>
          <w:tab w:val="left" w:pos="567"/>
        </w:tabs>
        <w:jc w:val="both"/>
        <w:rPr>
          <w:bCs/>
          <w:sz w:val="22"/>
          <w:szCs w:val="22"/>
          <w:lang w:val="en-GB"/>
        </w:rPr>
      </w:pPr>
    </w:p>
    <w:p w14:paraId="02F6E8F1" w14:textId="4834A62A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CA6382">
        <w:rPr>
          <w:sz w:val="22"/>
          <w:szCs w:val="22"/>
          <w:lang w:val="en-GB"/>
        </w:rPr>
        <w:t>Da bi se spr</w:t>
      </w:r>
      <w:r w:rsidR="004376AF">
        <w:rPr>
          <w:sz w:val="22"/>
          <w:szCs w:val="22"/>
          <w:lang w:val="en-GB"/>
        </w:rPr>
        <w:t>ij</w:t>
      </w:r>
      <w:r w:rsidRPr="00CA6382">
        <w:rPr>
          <w:sz w:val="22"/>
          <w:szCs w:val="22"/>
          <w:lang w:val="en-GB"/>
        </w:rPr>
        <w:t>ečila hiperfosfatemija, l</w:t>
      </w:r>
      <w:r w:rsidR="004376AF">
        <w:rPr>
          <w:sz w:val="22"/>
          <w:szCs w:val="22"/>
          <w:lang w:val="en-GB"/>
        </w:rPr>
        <w:t>ij</w:t>
      </w:r>
      <w:r w:rsidRPr="00CA6382">
        <w:rPr>
          <w:sz w:val="22"/>
          <w:szCs w:val="22"/>
          <w:lang w:val="en-GB"/>
        </w:rPr>
        <w:t>ečenje buro</w:t>
      </w:r>
      <w:r w:rsidR="004376AF">
        <w:rPr>
          <w:sz w:val="22"/>
          <w:szCs w:val="22"/>
          <w:lang w:val="en-GB"/>
        </w:rPr>
        <w:t>s</w:t>
      </w:r>
      <w:r w:rsidRPr="00CA6382">
        <w:rPr>
          <w:sz w:val="22"/>
          <w:szCs w:val="22"/>
          <w:lang w:val="en-GB"/>
        </w:rPr>
        <w:t xml:space="preserve">umabom treba prekinuti kod pacijenata </w:t>
      </w:r>
      <w:proofErr w:type="gramStart"/>
      <w:r w:rsidRPr="00CA6382">
        <w:rPr>
          <w:sz w:val="22"/>
          <w:szCs w:val="22"/>
          <w:lang w:val="en-GB"/>
        </w:rPr>
        <w:t>sa</w:t>
      </w:r>
      <w:proofErr w:type="gramEnd"/>
      <w:r w:rsidRPr="00CA6382">
        <w:rPr>
          <w:sz w:val="22"/>
          <w:szCs w:val="22"/>
          <w:lang w:val="en-GB"/>
        </w:rPr>
        <w:t xml:space="preserve"> tumorom indukovanom osteomalacijom koji se podvrgnu l</w:t>
      </w:r>
      <w:r w:rsidR="004376AF">
        <w:rPr>
          <w:sz w:val="22"/>
          <w:szCs w:val="22"/>
          <w:lang w:val="en-GB"/>
        </w:rPr>
        <w:t>ij</w:t>
      </w:r>
      <w:r w:rsidRPr="00CA6382">
        <w:rPr>
          <w:sz w:val="22"/>
          <w:szCs w:val="22"/>
          <w:lang w:val="en-GB"/>
        </w:rPr>
        <w:t>ečenju postojećeg tumora. L</w:t>
      </w:r>
      <w:r w:rsidR="004376AF">
        <w:rPr>
          <w:sz w:val="22"/>
          <w:szCs w:val="22"/>
          <w:lang w:val="en-GB"/>
        </w:rPr>
        <w:t>ij</w:t>
      </w:r>
      <w:r w:rsidRPr="00CA6382">
        <w:rPr>
          <w:sz w:val="22"/>
          <w:szCs w:val="22"/>
          <w:lang w:val="en-GB"/>
        </w:rPr>
        <w:t>ečenje buro</w:t>
      </w:r>
      <w:r w:rsidR="007E21A6">
        <w:rPr>
          <w:sz w:val="22"/>
          <w:szCs w:val="22"/>
          <w:lang w:val="en-GB"/>
        </w:rPr>
        <w:t>s</w:t>
      </w:r>
      <w:r w:rsidRPr="00CA6382">
        <w:rPr>
          <w:sz w:val="22"/>
          <w:szCs w:val="22"/>
          <w:lang w:val="en-GB"/>
        </w:rPr>
        <w:t>umabom treba ponovno uvesti samo ako su kod pacijenta nivoi fosfata u serumu ostali ispod donje granice normalnog referentnog raspona (vid</w:t>
      </w:r>
      <w:r w:rsidR="004376AF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 xml:space="preserve">eti </w:t>
      </w:r>
      <w:r w:rsidR="004376AF">
        <w:rPr>
          <w:sz w:val="22"/>
          <w:szCs w:val="22"/>
          <w:lang w:val="en-GB"/>
        </w:rPr>
        <w:t>dio</w:t>
      </w:r>
      <w:r w:rsidRPr="00CA6382">
        <w:rPr>
          <w:sz w:val="22"/>
          <w:szCs w:val="22"/>
          <w:lang w:val="en-GB"/>
        </w:rPr>
        <w:t xml:space="preserve"> 4.2).</w:t>
      </w:r>
    </w:p>
    <w:p w14:paraId="55531A26" w14:textId="77777777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</w:p>
    <w:p w14:paraId="72E6A9BB" w14:textId="528FAC5E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  <w:r w:rsidRPr="00CA6382">
        <w:rPr>
          <w:sz w:val="22"/>
          <w:szCs w:val="22"/>
          <w:u w:val="single"/>
          <w:lang w:val="en-GB"/>
        </w:rPr>
        <w:t>Paratireoidni hormon u serumu</w:t>
      </w:r>
    </w:p>
    <w:p w14:paraId="160A5C27" w14:textId="37612CD3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CA6382">
        <w:rPr>
          <w:sz w:val="22"/>
          <w:szCs w:val="22"/>
          <w:lang w:val="en-GB"/>
        </w:rPr>
        <w:t>Tokom l</w:t>
      </w:r>
      <w:r w:rsidR="004376AF">
        <w:rPr>
          <w:sz w:val="22"/>
          <w:szCs w:val="22"/>
          <w:lang w:val="en-GB"/>
        </w:rPr>
        <w:t>ij</w:t>
      </w:r>
      <w:r w:rsidRPr="00CA6382">
        <w:rPr>
          <w:sz w:val="22"/>
          <w:szCs w:val="22"/>
          <w:lang w:val="en-GB"/>
        </w:rPr>
        <w:t>ečenja buro</w:t>
      </w:r>
      <w:r w:rsidR="004376AF">
        <w:rPr>
          <w:sz w:val="22"/>
          <w:szCs w:val="22"/>
          <w:lang w:val="en-GB"/>
        </w:rPr>
        <w:t>s</w:t>
      </w:r>
      <w:r w:rsidRPr="00CA6382">
        <w:rPr>
          <w:sz w:val="22"/>
          <w:szCs w:val="22"/>
          <w:lang w:val="en-GB"/>
        </w:rPr>
        <w:t xml:space="preserve">umabom kod nekih pacijenata </w:t>
      </w:r>
      <w:proofErr w:type="gramStart"/>
      <w:r w:rsidRPr="00CA6382">
        <w:rPr>
          <w:sz w:val="22"/>
          <w:szCs w:val="22"/>
          <w:lang w:val="en-GB"/>
        </w:rPr>
        <w:t>sa</w:t>
      </w:r>
      <w:proofErr w:type="gramEnd"/>
      <w:r w:rsidRPr="00CA6382">
        <w:rPr>
          <w:sz w:val="22"/>
          <w:szCs w:val="22"/>
          <w:lang w:val="en-GB"/>
        </w:rPr>
        <w:t xml:space="preserve"> XLH zab</w:t>
      </w:r>
      <w:r w:rsidR="00341BAE">
        <w:rPr>
          <w:sz w:val="22"/>
          <w:szCs w:val="22"/>
          <w:lang w:val="en-GB"/>
        </w:rPr>
        <w:t>ilj</w:t>
      </w:r>
      <w:r w:rsidRPr="00CA6382">
        <w:rPr>
          <w:sz w:val="22"/>
          <w:szCs w:val="22"/>
          <w:lang w:val="en-GB"/>
        </w:rPr>
        <w:t>ežena su povećanja paratireoidnog hormona u serumu. Sav</w:t>
      </w:r>
      <w:r w:rsidR="00EB5734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etuje se periodično m</w:t>
      </w:r>
      <w:r w:rsidR="00EB5734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erenje paratireoidnog hormona u serumu.</w:t>
      </w:r>
    </w:p>
    <w:p w14:paraId="267E0954" w14:textId="77777777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</w:p>
    <w:p w14:paraId="34956C9F" w14:textId="565D40E6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  <w:r w:rsidRPr="00CA6382">
        <w:rPr>
          <w:sz w:val="22"/>
          <w:szCs w:val="22"/>
          <w:u w:val="single"/>
          <w:lang w:val="en-GB"/>
        </w:rPr>
        <w:t xml:space="preserve">Reakcije </w:t>
      </w:r>
      <w:proofErr w:type="gramStart"/>
      <w:r w:rsidRPr="00CA6382">
        <w:rPr>
          <w:sz w:val="22"/>
          <w:szCs w:val="22"/>
          <w:u w:val="single"/>
          <w:lang w:val="en-GB"/>
        </w:rPr>
        <w:t>na</w:t>
      </w:r>
      <w:proofErr w:type="gramEnd"/>
      <w:r w:rsidRPr="00CA6382">
        <w:rPr>
          <w:sz w:val="22"/>
          <w:szCs w:val="22"/>
          <w:u w:val="single"/>
          <w:lang w:val="en-GB"/>
        </w:rPr>
        <w:t xml:space="preserve"> m</w:t>
      </w:r>
      <w:r w:rsidR="00EB5734" w:rsidRPr="00EB5734">
        <w:rPr>
          <w:sz w:val="22"/>
          <w:szCs w:val="22"/>
          <w:u w:val="single"/>
          <w:lang w:val="en-GB"/>
        </w:rPr>
        <w:t>j</w:t>
      </w:r>
      <w:r w:rsidRPr="00CA6382">
        <w:rPr>
          <w:sz w:val="22"/>
          <w:szCs w:val="22"/>
          <w:u w:val="single"/>
          <w:lang w:val="en-GB"/>
        </w:rPr>
        <w:t>estu davanja injekcije</w:t>
      </w:r>
    </w:p>
    <w:p w14:paraId="6374E9AD" w14:textId="09EFCA85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CA6382">
        <w:rPr>
          <w:sz w:val="22"/>
          <w:szCs w:val="22"/>
          <w:lang w:val="en-GB"/>
        </w:rPr>
        <w:t>Prim</w:t>
      </w:r>
      <w:r w:rsidR="008B21F3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ena buro</w:t>
      </w:r>
      <w:r w:rsidR="00EB5734">
        <w:rPr>
          <w:sz w:val="22"/>
          <w:szCs w:val="22"/>
          <w:lang w:val="en-GB"/>
        </w:rPr>
        <w:t>s</w:t>
      </w:r>
      <w:r w:rsidRPr="00CA6382">
        <w:rPr>
          <w:sz w:val="22"/>
          <w:szCs w:val="22"/>
          <w:lang w:val="en-GB"/>
        </w:rPr>
        <w:t xml:space="preserve">umaba može dovesti do pojave lokalnih reakcija </w:t>
      </w:r>
      <w:proofErr w:type="gramStart"/>
      <w:r w:rsidRPr="00CA6382">
        <w:rPr>
          <w:sz w:val="22"/>
          <w:szCs w:val="22"/>
          <w:lang w:val="en-GB"/>
        </w:rPr>
        <w:t>na</w:t>
      </w:r>
      <w:proofErr w:type="gramEnd"/>
      <w:r w:rsidRPr="00CA6382">
        <w:rPr>
          <w:sz w:val="22"/>
          <w:szCs w:val="22"/>
          <w:lang w:val="en-GB"/>
        </w:rPr>
        <w:t xml:space="preserve"> m</w:t>
      </w:r>
      <w:r w:rsidR="00EB5734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estu davanja injekcije. Kod pacijenata kod kojih se pojave teške reakcije (vid</w:t>
      </w:r>
      <w:r w:rsidR="00EB5734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 xml:space="preserve">eti </w:t>
      </w:r>
      <w:r w:rsidR="00EB5734">
        <w:rPr>
          <w:sz w:val="22"/>
          <w:szCs w:val="22"/>
          <w:lang w:val="en-GB"/>
        </w:rPr>
        <w:t>dio</w:t>
      </w:r>
      <w:r w:rsidRPr="00CA6382">
        <w:rPr>
          <w:sz w:val="22"/>
          <w:szCs w:val="22"/>
          <w:lang w:val="en-GB"/>
        </w:rPr>
        <w:t xml:space="preserve"> 4.8), prim</w:t>
      </w:r>
      <w:r w:rsidR="00EB5734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enu treba prekinuti i započeti odgovarajuću medicinsku terapiju.</w:t>
      </w:r>
    </w:p>
    <w:p w14:paraId="17356A7E" w14:textId="77777777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</w:p>
    <w:p w14:paraId="63306BCF" w14:textId="09EFFA2D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  <w:r w:rsidRPr="00CA6382">
        <w:rPr>
          <w:sz w:val="22"/>
          <w:szCs w:val="22"/>
          <w:u w:val="single"/>
          <w:lang w:val="en-GB"/>
        </w:rPr>
        <w:t>Preos</w:t>
      </w:r>
      <w:r w:rsidR="00EB5734">
        <w:rPr>
          <w:sz w:val="22"/>
          <w:szCs w:val="22"/>
          <w:u w:val="single"/>
          <w:lang w:val="en-GB"/>
        </w:rPr>
        <w:t>j</w:t>
      </w:r>
      <w:r w:rsidRPr="00CA6382">
        <w:rPr>
          <w:sz w:val="22"/>
          <w:szCs w:val="22"/>
          <w:u w:val="single"/>
          <w:lang w:val="en-GB"/>
        </w:rPr>
        <w:t>etljivost</w:t>
      </w:r>
    </w:p>
    <w:p w14:paraId="53A4D2DE" w14:textId="167E3238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CA6382">
        <w:rPr>
          <w:sz w:val="22"/>
          <w:szCs w:val="22"/>
          <w:lang w:val="en-GB"/>
        </w:rPr>
        <w:t>Ako se jave ozbiljne reakcije preos</w:t>
      </w:r>
      <w:r w:rsidR="00EB5734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etljivosti, prim</w:t>
      </w:r>
      <w:r w:rsidR="008B21F3">
        <w:rPr>
          <w:sz w:val="22"/>
          <w:szCs w:val="22"/>
          <w:lang w:val="en-GB"/>
        </w:rPr>
        <w:t>j</w:t>
      </w:r>
      <w:r w:rsidRPr="00CA6382">
        <w:rPr>
          <w:sz w:val="22"/>
          <w:szCs w:val="22"/>
          <w:lang w:val="en-GB"/>
        </w:rPr>
        <w:t>enu buro</w:t>
      </w:r>
      <w:r w:rsidR="00EB5734">
        <w:rPr>
          <w:sz w:val="22"/>
          <w:szCs w:val="22"/>
          <w:lang w:val="en-GB"/>
        </w:rPr>
        <w:t>s</w:t>
      </w:r>
      <w:r w:rsidRPr="00CA6382">
        <w:rPr>
          <w:sz w:val="22"/>
          <w:szCs w:val="22"/>
          <w:lang w:val="en-GB"/>
        </w:rPr>
        <w:t>umaba treba prekinuti i započeti odgovarajuće medicinsko l</w:t>
      </w:r>
      <w:r w:rsidR="00EB5734">
        <w:rPr>
          <w:sz w:val="22"/>
          <w:szCs w:val="22"/>
          <w:lang w:val="en-GB"/>
        </w:rPr>
        <w:t>ij</w:t>
      </w:r>
      <w:r w:rsidRPr="00CA6382">
        <w:rPr>
          <w:sz w:val="22"/>
          <w:szCs w:val="22"/>
          <w:lang w:val="en-GB"/>
        </w:rPr>
        <w:t>ečenje.</w:t>
      </w:r>
    </w:p>
    <w:p w14:paraId="753A7359" w14:textId="77777777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</w:p>
    <w:p w14:paraId="5BF9DA3D" w14:textId="497433B1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  <w:r w:rsidRPr="00CA6382">
        <w:rPr>
          <w:sz w:val="22"/>
          <w:szCs w:val="22"/>
          <w:u w:val="single"/>
          <w:lang w:val="en-GB"/>
        </w:rPr>
        <w:t xml:space="preserve">Pomoćne supstance </w:t>
      </w:r>
      <w:proofErr w:type="gramStart"/>
      <w:r w:rsidRPr="00CA6382">
        <w:rPr>
          <w:sz w:val="22"/>
          <w:szCs w:val="22"/>
          <w:u w:val="single"/>
          <w:lang w:val="en-GB"/>
        </w:rPr>
        <w:t>sa</w:t>
      </w:r>
      <w:proofErr w:type="gramEnd"/>
      <w:r w:rsidRPr="00CA6382">
        <w:rPr>
          <w:sz w:val="22"/>
          <w:szCs w:val="22"/>
          <w:u w:val="single"/>
          <w:lang w:val="en-GB"/>
        </w:rPr>
        <w:t xml:space="preserve"> poznatim dejstvom</w:t>
      </w:r>
    </w:p>
    <w:p w14:paraId="1B363B51" w14:textId="756DB070" w:rsidR="00CA6382" w:rsidRPr="00EB5734" w:rsidRDefault="00CA638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CA6382">
        <w:rPr>
          <w:sz w:val="22"/>
          <w:szCs w:val="22"/>
          <w:lang w:val="en-GB"/>
        </w:rPr>
        <w:t>Ovaj l</w:t>
      </w:r>
      <w:r w:rsidR="00EB5734">
        <w:rPr>
          <w:sz w:val="22"/>
          <w:szCs w:val="22"/>
          <w:lang w:val="en-GB"/>
        </w:rPr>
        <w:t>ij</w:t>
      </w:r>
      <w:r w:rsidRPr="00CA6382">
        <w:rPr>
          <w:sz w:val="22"/>
          <w:szCs w:val="22"/>
          <w:lang w:val="en-GB"/>
        </w:rPr>
        <w:t>ek sadrži 45</w:t>
      </w:r>
      <w:proofErr w:type="gramStart"/>
      <w:r w:rsidRPr="00CA6382">
        <w:rPr>
          <w:sz w:val="22"/>
          <w:szCs w:val="22"/>
          <w:lang w:val="en-GB"/>
        </w:rPr>
        <w:t>,91</w:t>
      </w:r>
      <w:proofErr w:type="gramEnd"/>
      <w:r w:rsidRPr="00CA6382">
        <w:rPr>
          <w:sz w:val="22"/>
          <w:szCs w:val="22"/>
          <w:lang w:val="en-GB"/>
        </w:rPr>
        <w:t xml:space="preserve"> mg sorbitola u jednoj bočici, što odgovara 45,91 mg/ml. </w:t>
      </w:r>
    </w:p>
    <w:p w14:paraId="03DC7FB8" w14:textId="77777777" w:rsidR="00CA6382" w:rsidRPr="00CA6382" w:rsidRDefault="00CA6382" w:rsidP="007E21A6">
      <w:pPr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</w:p>
    <w:p w14:paraId="0663B2E1" w14:textId="77777777" w:rsidR="00411B4B" w:rsidRPr="00786071" w:rsidRDefault="00411B4B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proofErr w:type="gramStart"/>
      <w:r w:rsidRPr="00786071">
        <w:rPr>
          <w:b/>
          <w:bCs/>
          <w:sz w:val="22"/>
          <w:szCs w:val="22"/>
        </w:rPr>
        <w:t>4.5.</w:t>
      </w:r>
      <w:r w:rsidR="000D60CC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Interakcije sa</w:t>
      </w:r>
      <w:proofErr w:type="gramEnd"/>
      <w:r w:rsidRPr="00786071">
        <w:rPr>
          <w:b/>
          <w:bCs/>
          <w:sz w:val="22"/>
          <w:szCs w:val="22"/>
        </w:rPr>
        <w:t xml:space="preserve"> drugim ljekovima i druge vrste interakcija</w:t>
      </w:r>
    </w:p>
    <w:p w14:paraId="40F30991" w14:textId="77777777" w:rsidR="00262820" w:rsidRDefault="00262820" w:rsidP="007E21A6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RS"/>
        </w:rPr>
      </w:pPr>
    </w:p>
    <w:p w14:paraId="389C093B" w14:textId="10F3F999" w:rsidR="007E21A6" w:rsidRPr="007E21A6" w:rsidRDefault="007E21A6" w:rsidP="007E21A6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en-GB"/>
        </w:rPr>
      </w:pPr>
      <w:r w:rsidRPr="007E21A6">
        <w:rPr>
          <w:bCs/>
          <w:sz w:val="22"/>
          <w:szCs w:val="22"/>
          <w:lang w:val="en-GB"/>
        </w:rPr>
        <w:t>Istovremena prim</w:t>
      </w:r>
      <w:r>
        <w:rPr>
          <w:bCs/>
          <w:sz w:val="22"/>
          <w:szCs w:val="22"/>
          <w:lang w:val="en-GB"/>
        </w:rPr>
        <w:t>j</w:t>
      </w:r>
      <w:r w:rsidRPr="007E21A6">
        <w:rPr>
          <w:bCs/>
          <w:sz w:val="22"/>
          <w:szCs w:val="22"/>
          <w:lang w:val="en-GB"/>
        </w:rPr>
        <w:t xml:space="preserve">ena burosumaba </w:t>
      </w:r>
      <w:proofErr w:type="gramStart"/>
      <w:r w:rsidR="003D5B5D">
        <w:rPr>
          <w:bCs/>
          <w:sz w:val="22"/>
          <w:szCs w:val="22"/>
          <w:lang w:val="en-GB"/>
        </w:rPr>
        <w:t>sa</w:t>
      </w:r>
      <w:proofErr w:type="gramEnd"/>
      <w:r w:rsidRPr="007E21A6">
        <w:rPr>
          <w:bCs/>
          <w:sz w:val="22"/>
          <w:szCs w:val="22"/>
          <w:lang w:val="en-GB"/>
        </w:rPr>
        <w:t xml:space="preserve"> peroraln</w:t>
      </w:r>
      <w:r w:rsidR="003D5B5D">
        <w:rPr>
          <w:bCs/>
          <w:sz w:val="22"/>
          <w:szCs w:val="22"/>
          <w:lang w:val="en-GB"/>
        </w:rPr>
        <w:t>im</w:t>
      </w:r>
      <w:r w:rsidRPr="007E21A6">
        <w:rPr>
          <w:bCs/>
          <w:sz w:val="22"/>
          <w:szCs w:val="22"/>
          <w:lang w:val="en-GB"/>
        </w:rPr>
        <w:t xml:space="preserve"> fosfat</w:t>
      </w:r>
      <w:r w:rsidR="003D5B5D">
        <w:rPr>
          <w:bCs/>
          <w:sz w:val="22"/>
          <w:szCs w:val="22"/>
          <w:lang w:val="en-GB"/>
        </w:rPr>
        <w:t>om</w:t>
      </w:r>
      <w:r w:rsidRPr="007E21A6">
        <w:rPr>
          <w:bCs/>
          <w:sz w:val="22"/>
          <w:szCs w:val="22"/>
          <w:lang w:val="en-GB"/>
        </w:rPr>
        <w:t xml:space="preserve"> i aktivni</w:t>
      </w:r>
      <w:r w:rsidR="003D5B5D">
        <w:rPr>
          <w:bCs/>
          <w:sz w:val="22"/>
          <w:szCs w:val="22"/>
          <w:lang w:val="en-GB"/>
        </w:rPr>
        <w:t>m</w:t>
      </w:r>
      <w:r w:rsidRPr="007E21A6">
        <w:rPr>
          <w:bCs/>
          <w:sz w:val="22"/>
          <w:szCs w:val="22"/>
          <w:lang w:val="en-GB"/>
        </w:rPr>
        <w:t xml:space="preserve"> analo</w:t>
      </w:r>
      <w:r w:rsidR="003D5B5D">
        <w:rPr>
          <w:bCs/>
          <w:sz w:val="22"/>
          <w:szCs w:val="22"/>
          <w:lang w:val="en-GB"/>
        </w:rPr>
        <w:t>zima</w:t>
      </w:r>
      <w:r w:rsidRPr="007E21A6">
        <w:rPr>
          <w:bCs/>
          <w:sz w:val="22"/>
          <w:szCs w:val="22"/>
          <w:lang w:val="en-GB"/>
        </w:rPr>
        <w:t xml:space="preserve"> vitamina D je kontraindikovana jer može dovesti do povećanog rizika od hiperfosfatemije i hiperkalcijemije (vid</w:t>
      </w:r>
      <w:r>
        <w:rPr>
          <w:bCs/>
          <w:sz w:val="22"/>
          <w:szCs w:val="22"/>
          <w:lang w:val="en-GB"/>
        </w:rPr>
        <w:t>j</w:t>
      </w:r>
      <w:r w:rsidRPr="007E21A6">
        <w:rPr>
          <w:bCs/>
          <w:sz w:val="22"/>
          <w:szCs w:val="22"/>
          <w:lang w:val="en-GB"/>
        </w:rPr>
        <w:t xml:space="preserve">eti </w:t>
      </w:r>
      <w:r>
        <w:rPr>
          <w:bCs/>
          <w:sz w:val="22"/>
          <w:szCs w:val="22"/>
          <w:lang w:val="en-GB"/>
        </w:rPr>
        <w:t>dio</w:t>
      </w:r>
      <w:r w:rsidRPr="007E21A6">
        <w:rPr>
          <w:bCs/>
          <w:sz w:val="22"/>
          <w:szCs w:val="22"/>
          <w:lang w:val="en-GB"/>
        </w:rPr>
        <w:t xml:space="preserve"> 4.3).</w:t>
      </w:r>
    </w:p>
    <w:p w14:paraId="551ADBF9" w14:textId="77777777" w:rsidR="007E21A6" w:rsidRPr="007E21A6" w:rsidRDefault="007E21A6" w:rsidP="007E21A6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en-GB"/>
        </w:rPr>
      </w:pPr>
    </w:p>
    <w:p w14:paraId="34FDAB33" w14:textId="60B4DA7E" w:rsidR="00262820" w:rsidRPr="00262820" w:rsidRDefault="007E21A6" w:rsidP="007E21A6">
      <w:pPr>
        <w:tabs>
          <w:tab w:val="left" w:pos="540"/>
          <w:tab w:val="left" w:pos="567"/>
        </w:tabs>
        <w:jc w:val="both"/>
        <w:rPr>
          <w:b/>
          <w:bCs/>
          <w:sz w:val="22"/>
          <w:szCs w:val="22"/>
          <w:lang w:val="sr-Latn-RS"/>
        </w:rPr>
      </w:pPr>
      <w:r w:rsidRPr="007E21A6">
        <w:rPr>
          <w:bCs/>
          <w:sz w:val="22"/>
          <w:szCs w:val="22"/>
          <w:lang w:val="en-GB"/>
        </w:rPr>
        <w:t xml:space="preserve">Potreban je oprez kada se burosumab kombinuje </w:t>
      </w:r>
      <w:proofErr w:type="gramStart"/>
      <w:r w:rsidRPr="007E21A6">
        <w:rPr>
          <w:bCs/>
          <w:sz w:val="22"/>
          <w:szCs w:val="22"/>
          <w:lang w:val="en-GB"/>
        </w:rPr>
        <w:t>sa</w:t>
      </w:r>
      <w:proofErr w:type="gramEnd"/>
      <w:r w:rsidRPr="007E21A6">
        <w:rPr>
          <w:bCs/>
          <w:sz w:val="22"/>
          <w:szCs w:val="22"/>
          <w:lang w:val="en-GB"/>
        </w:rPr>
        <w:t xml:space="preserve"> kalcimimeticima (tj. l</w:t>
      </w:r>
      <w:r w:rsidR="00250B00">
        <w:rPr>
          <w:bCs/>
          <w:sz w:val="22"/>
          <w:szCs w:val="22"/>
          <w:lang w:val="en-GB"/>
        </w:rPr>
        <w:t>j</w:t>
      </w:r>
      <w:r w:rsidRPr="007E21A6">
        <w:rPr>
          <w:bCs/>
          <w:sz w:val="22"/>
          <w:szCs w:val="22"/>
          <w:lang w:val="en-GB"/>
        </w:rPr>
        <w:t>ekovima koji oponašaju dejstvo kalcijuma na tkiva aktivacijom receptora za kalcijum). Istovremena prim</w:t>
      </w:r>
      <w:r w:rsidR="00250B00">
        <w:rPr>
          <w:bCs/>
          <w:sz w:val="22"/>
          <w:szCs w:val="22"/>
          <w:lang w:val="en-GB"/>
        </w:rPr>
        <w:t>j</w:t>
      </w:r>
      <w:r w:rsidRPr="007E21A6">
        <w:rPr>
          <w:bCs/>
          <w:sz w:val="22"/>
          <w:szCs w:val="22"/>
          <w:lang w:val="en-GB"/>
        </w:rPr>
        <w:t>ena tih l</w:t>
      </w:r>
      <w:r w:rsidR="00250B00">
        <w:rPr>
          <w:bCs/>
          <w:sz w:val="22"/>
          <w:szCs w:val="22"/>
          <w:lang w:val="en-GB"/>
        </w:rPr>
        <w:t>j</w:t>
      </w:r>
      <w:r w:rsidRPr="007E21A6">
        <w:rPr>
          <w:bCs/>
          <w:sz w:val="22"/>
          <w:szCs w:val="22"/>
          <w:lang w:val="en-GB"/>
        </w:rPr>
        <w:t>ekova nije ispitana u kliničkim ispitivanjima i mogla bi da pogorša hipokalcijemiju.</w:t>
      </w:r>
    </w:p>
    <w:p w14:paraId="39D21896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C060AD5" w14:textId="77777777" w:rsidR="0072020E" w:rsidRDefault="0072020E" w:rsidP="007E21A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786071">
        <w:rPr>
          <w:b/>
          <w:bCs/>
          <w:sz w:val="22"/>
          <w:szCs w:val="22"/>
        </w:rPr>
        <w:t xml:space="preserve">4.6. </w:t>
      </w:r>
      <w:r w:rsidR="00480FB1" w:rsidRPr="00786071">
        <w:rPr>
          <w:b/>
          <w:bCs/>
          <w:sz w:val="22"/>
          <w:szCs w:val="22"/>
        </w:rPr>
        <w:tab/>
      </w:r>
      <w:r w:rsidR="006D20A5">
        <w:rPr>
          <w:b/>
          <w:sz w:val="22"/>
          <w:szCs w:val="22"/>
          <w:lang w:val="sr-Latn-CS"/>
        </w:rPr>
        <w:t>Plodnost, trudnoća i dojenje</w:t>
      </w:r>
    </w:p>
    <w:p w14:paraId="0CA6F6C7" w14:textId="77777777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u w:val="single"/>
          <w:lang w:val="en-GB"/>
        </w:rPr>
      </w:pPr>
    </w:p>
    <w:p w14:paraId="04832017" w14:textId="04BDCA7E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9121E1">
        <w:rPr>
          <w:sz w:val="22"/>
          <w:szCs w:val="20"/>
          <w:u w:val="single"/>
          <w:lang w:val="en-GB"/>
        </w:rPr>
        <w:t>Trudnoća</w:t>
      </w:r>
    </w:p>
    <w:p w14:paraId="3572BEA4" w14:textId="7D13BF9E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</w:rPr>
      </w:pPr>
      <w:r w:rsidRPr="009121E1">
        <w:rPr>
          <w:sz w:val="22"/>
          <w:szCs w:val="20"/>
          <w:lang w:val="en-GB"/>
        </w:rPr>
        <w:t xml:space="preserve">Ne postoje </w:t>
      </w:r>
      <w:proofErr w:type="gramStart"/>
      <w:r w:rsidRPr="009121E1">
        <w:rPr>
          <w:sz w:val="22"/>
          <w:szCs w:val="20"/>
          <w:lang w:val="en-GB"/>
        </w:rPr>
        <w:t>ili</w:t>
      </w:r>
      <w:proofErr w:type="gramEnd"/>
      <w:r w:rsidRPr="009121E1">
        <w:rPr>
          <w:sz w:val="22"/>
          <w:szCs w:val="20"/>
          <w:lang w:val="en-GB"/>
        </w:rPr>
        <w:t xml:space="preserve"> postoje ograničeni podaci o prim</w:t>
      </w:r>
      <w:r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eni buro</w:t>
      </w:r>
      <w:r>
        <w:rPr>
          <w:sz w:val="22"/>
          <w:szCs w:val="20"/>
          <w:lang w:val="en-GB"/>
        </w:rPr>
        <w:t>s</w:t>
      </w:r>
      <w:r w:rsidRPr="009121E1">
        <w:rPr>
          <w:sz w:val="22"/>
          <w:szCs w:val="20"/>
          <w:lang w:val="en-GB"/>
        </w:rPr>
        <w:t>umaba kod trudnica.</w:t>
      </w:r>
    </w:p>
    <w:p w14:paraId="0E085A78" w14:textId="5B46DC13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9121E1">
        <w:rPr>
          <w:sz w:val="22"/>
          <w:szCs w:val="20"/>
          <w:lang w:val="en-GB"/>
        </w:rPr>
        <w:t xml:space="preserve">Studije </w:t>
      </w:r>
      <w:proofErr w:type="gramStart"/>
      <w:r w:rsidRPr="009121E1">
        <w:rPr>
          <w:sz w:val="22"/>
          <w:szCs w:val="20"/>
          <w:lang w:val="en-GB"/>
        </w:rPr>
        <w:t>na</w:t>
      </w:r>
      <w:proofErr w:type="gramEnd"/>
      <w:r w:rsidRPr="009121E1">
        <w:rPr>
          <w:sz w:val="22"/>
          <w:szCs w:val="20"/>
          <w:lang w:val="en-GB"/>
        </w:rPr>
        <w:t xml:space="preserve"> životinjama pokazale su reproduktivnu toksičnost (vid</w:t>
      </w:r>
      <w:r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 xml:space="preserve">eti </w:t>
      </w:r>
      <w:r>
        <w:rPr>
          <w:sz w:val="22"/>
          <w:szCs w:val="20"/>
          <w:lang w:val="en-GB"/>
        </w:rPr>
        <w:t>dio</w:t>
      </w:r>
      <w:r w:rsidRPr="009121E1">
        <w:rPr>
          <w:sz w:val="22"/>
          <w:szCs w:val="20"/>
          <w:lang w:val="en-GB"/>
        </w:rPr>
        <w:t xml:space="preserve"> 5.3). </w:t>
      </w:r>
    </w:p>
    <w:p w14:paraId="71836C9B" w14:textId="77777777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</w:p>
    <w:p w14:paraId="59EA6D4B" w14:textId="77777777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9121E1">
        <w:rPr>
          <w:sz w:val="22"/>
          <w:szCs w:val="20"/>
          <w:lang w:val="en-GB"/>
        </w:rPr>
        <w:t xml:space="preserve">Burosumab se ne preporučuje tokom trudnoće i kod žena u reproduktivnom periodu koje ne koriste kontracepciju. </w:t>
      </w:r>
    </w:p>
    <w:p w14:paraId="116FC12C" w14:textId="77777777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</w:p>
    <w:p w14:paraId="00A65B39" w14:textId="4875BE70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u w:val="single"/>
          <w:lang w:val="en-GB"/>
        </w:rPr>
      </w:pPr>
      <w:r w:rsidRPr="009121E1">
        <w:rPr>
          <w:sz w:val="22"/>
          <w:szCs w:val="20"/>
          <w:u w:val="single"/>
          <w:lang w:val="en-GB"/>
        </w:rPr>
        <w:t>Dojenje</w:t>
      </w:r>
    </w:p>
    <w:p w14:paraId="09064A44" w14:textId="15BD36FA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9121E1">
        <w:rPr>
          <w:sz w:val="22"/>
          <w:szCs w:val="20"/>
          <w:lang w:val="en-GB"/>
        </w:rPr>
        <w:t>Nije poznato da li se buro</w:t>
      </w:r>
      <w:r>
        <w:rPr>
          <w:sz w:val="22"/>
          <w:szCs w:val="20"/>
          <w:lang w:val="en-GB"/>
        </w:rPr>
        <w:t>s</w:t>
      </w:r>
      <w:r w:rsidRPr="009121E1">
        <w:rPr>
          <w:sz w:val="22"/>
          <w:szCs w:val="20"/>
          <w:lang w:val="en-GB"/>
        </w:rPr>
        <w:t>umab/metaboliti izlučuju u majčino ml</w:t>
      </w:r>
      <w:r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eko.</w:t>
      </w:r>
    </w:p>
    <w:p w14:paraId="515BBACA" w14:textId="77777777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9121E1">
        <w:rPr>
          <w:sz w:val="22"/>
          <w:szCs w:val="20"/>
          <w:lang w:val="en-GB"/>
        </w:rPr>
        <w:t>Ne može se isključiti rizik za novorođenčad/odojčad.</w:t>
      </w:r>
    </w:p>
    <w:p w14:paraId="4719C38B" w14:textId="77777777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</w:p>
    <w:p w14:paraId="426F79B9" w14:textId="426F7E27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9121E1">
        <w:rPr>
          <w:sz w:val="22"/>
          <w:szCs w:val="20"/>
          <w:lang w:val="en-GB"/>
        </w:rPr>
        <w:t>Neophodno je don</w:t>
      </w:r>
      <w:r w:rsidR="008B21F3"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 xml:space="preserve">eti odluku da li prekinuti dojenje </w:t>
      </w:r>
      <w:proofErr w:type="gramStart"/>
      <w:r w:rsidRPr="009121E1">
        <w:rPr>
          <w:sz w:val="22"/>
          <w:szCs w:val="20"/>
          <w:lang w:val="en-GB"/>
        </w:rPr>
        <w:t>ili</w:t>
      </w:r>
      <w:proofErr w:type="gramEnd"/>
      <w:r w:rsidRPr="009121E1">
        <w:rPr>
          <w:sz w:val="22"/>
          <w:szCs w:val="20"/>
          <w:lang w:val="en-GB"/>
        </w:rPr>
        <w:t xml:space="preserve"> prekinuti/suzdržati se od terapije burosumabom, uzimajući u obzir korist dojenja za d</w:t>
      </w:r>
      <w:r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ete i korist terapije za ženu.</w:t>
      </w:r>
    </w:p>
    <w:p w14:paraId="499D79F6" w14:textId="77777777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</w:p>
    <w:p w14:paraId="313376DA" w14:textId="6EC5DFAA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u w:val="single"/>
          <w:lang w:val="en-GB"/>
        </w:rPr>
      </w:pPr>
      <w:r w:rsidRPr="009121E1">
        <w:rPr>
          <w:sz w:val="22"/>
          <w:szCs w:val="20"/>
          <w:u w:val="single"/>
          <w:lang w:val="en-GB"/>
        </w:rPr>
        <w:t>Plodnost</w:t>
      </w:r>
    </w:p>
    <w:p w14:paraId="1E635DB8" w14:textId="092EEA04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9121E1">
        <w:rPr>
          <w:sz w:val="22"/>
          <w:szCs w:val="20"/>
          <w:lang w:val="en-GB"/>
        </w:rPr>
        <w:t xml:space="preserve">Studije </w:t>
      </w:r>
      <w:proofErr w:type="gramStart"/>
      <w:r w:rsidRPr="009121E1">
        <w:rPr>
          <w:sz w:val="22"/>
          <w:szCs w:val="20"/>
          <w:lang w:val="en-GB"/>
        </w:rPr>
        <w:t>na</w:t>
      </w:r>
      <w:proofErr w:type="gramEnd"/>
      <w:r w:rsidRPr="009121E1">
        <w:rPr>
          <w:sz w:val="22"/>
          <w:szCs w:val="20"/>
          <w:lang w:val="en-GB"/>
        </w:rPr>
        <w:t xml:space="preserve"> životinjama pokazale su dejstvo na reproduktivne organe mužjaka (vid</w:t>
      </w:r>
      <w:r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 xml:space="preserve">eti </w:t>
      </w:r>
      <w:r>
        <w:rPr>
          <w:sz w:val="22"/>
          <w:szCs w:val="20"/>
          <w:lang w:val="en-GB"/>
        </w:rPr>
        <w:t>dio</w:t>
      </w:r>
      <w:r w:rsidRPr="009121E1">
        <w:rPr>
          <w:sz w:val="22"/>
          <w:szCs w:val="20"/>
          <w:lang w:val="en-GB"/>
        </w:rPr>
        <w:t xml:space="preserve"> 5.3). Nema dostupnih kliničkih podataka o dejstvu buro</w:t>
      </w:r>
      <w:r>
        <w:rPr>
          <w:sz w:val="22"/>
          <w:szCs w:val="20"/>
          <w:lang w:val="en-GB"/>
        </w:rPr>
        <w:t>s</w:t>
      </w:r>
      <w:r w:rsidRPr="009121E1">
        <w:rPr>
          <w:sz w:val="22"/>
          <w:szCs w:val="20"/>
          <w:lang w:val="en-GB"/>
        </w:rPr>
        <w:t xml:space="preserve">umaba </w:t>
      </w:r>
      <w:proofErr w:type="gramStart"/>
      <w:r w:rsidRPr="009121E1">
        <w:rPr>
          <w:sz w:val="22"/>
          <w:szCs w:val="20"/>
          <w:lang w:val="en-GB"/>
        </w:rPr>
        <w:t>na</w:t>
      </w:r>
      <w:proofErr w:type="gramEnd"/>
      <w:r w:rsidRPr="009121E1">
        <w:rPr>
          <w:sz w:val="22"/>
          <w:szCs w:val="20"/>
          <w:lang w:val="en-GB"/>
        </w:rPr>
        <w:t xml:space="preserve"> plodnost kod ljudi. Nisu sprovedene posebne studije uticaja buro</w:t>
      </w:r>
      <w:r>
        <w:rPr>
          <w:sz w:val="22"/>
          <w:szCs w:val="20"/>
          <w:lang w:val="en-GB"/>
        </w:rPr>
        <w:t>s</w:t>
      </w:r>
      <w:r w:rsidRPr="009121E1">
        <w:rPr>
          <w:sz w:val="22"/>
          <w:szCs w:val="20"/>
          <w:lang w:val="en-GB"/>
        </w:rPr>
        <w:t xml:space="preserve">umaba </w:t>
      </w:r>
      <w:proofErr w:type="gramStart"/>
      <w:r w:rsidRPr="009121E1">
        <w:rPr>
          <w:sz w:val="22"/>
          <w:szCs w:val="20"/>
          <w:lang w:val="en-GB"/>
        </w:rPr>
        <w:t>na</w:t>
      </w:r>
      <w:proofErr w:type="gramEnd"/>
      <w:r w:rsidRPr="009121E1">
        <w:rPr>
          <w:sz w:val="22"/>
          <w:szCs w:val="20"/>
          <w:lang w:val="en-GB"/>
        </w:rPr>
        <w:t xml:space="preserve"> plodnost kod životinja.</w:t>
      </w:r>
    </w:p>
    <w:p w14:paraId="650F0B1F" w14:textId="77777777" w:rsidR="009121E1" w:rsidRPr="009121E1" w:rsidRDefault="009121E1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</w:p>
    <w:p w14:paraId="08DD59DF" w14:textId="77777777" w:rsidR="0072020E" w:rsidRPr="00786071" w:rsidRDefault="0072020E" w:rsidP="007E21A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Uticaj </w:t>
      </w:r>
      <w:proofErr w:type="gramStart"/>
      <w:r w:rsidRPr="00786071">
        <w:rPr>
          <w:b/>
          <w:bCs/>
          <w:sz w:val="22"/>
          <w:szCs w:val="22"/>
        </w:rPr>
        <w:t>na</w:t>
      </w:r>
      <w:proofErr w:type="gramEnd"/>
      <w:r w:rsidRPr="00786071">
        <w:rPr>
          <w:b/>
          <w:bCs/>
          <w:sz w:val="22"/>
          <w:szCs w:val="22"/>
        </w:rPr>
        <w:t xml:space="preserve"> </w:t>
      </w:r>
      <w:r w:rsidR="002031B3">
        <w:rPr>
          <w:b/>
          <w:bCs/>
          <w:sz w:val="22"/>
          <w:szCs w:val="22"/>
        </w:rPr>
        <w:t xml:space="preserve">sposobnost </w:t>
      </w:r>
      <w:r w:rsidR="00F34554" w:rsidRPr="00786071">
        <w:rPr>
          <w:b/>
          <w:bCs/>
          <w:sz w:val="22"/>
          <w:szCs w:val="22"/>
        </w:rPr>
        <w:t>upravljanja vozili</w:t>
      </w:r>
      <w:r w:rsidRPr="00786071">
        <w:rPr>
          <w:b/>
          <w:bCs/>
          <w:sz w:val="22"/>
          <w:szCs w:val="22"/>
        </w:rPr>
        <w:t>m</w:t>
      </w:r>
      <w:r w:rsidR="00F34554" w:rsidRPr="00786071">
        <w:rPr>
          <w:b/>
          <w:bCs/>
          <w:sz w:val="22"/>
          <w:szCs w:val="22"/>
        </w:rPr>
        <w:t>a</w:t>
      </w:r>
      <w:r w:rsidRPr="00786071">
        <w:rPr>
          <w:b/>
          <w:bCs/>
          <w:sz w:val="22"/>
          <w:szCs w:val="22"/>
        </w:rPr>
        <w:t xml:space="preserve"> i </w:t>
      </w:r>
      <w:r w:rsidR="000D3449" w:rsidRPr="00786071">
        <w:rPr>
          <w:b/>
          <w:bCs/>
          <w:sz w:val="22"/>
          <w:szCs w:val="22"/>
        </w:rPr>
        <w:t>rukovanj</w:t>
      </w:r>
      <w:r w:rsidR="000D3449">
        <w:rPr>
          <w:b/>
          <w:bCs/>
          <w:sz w:val="22"/>
          <w:szCs w:val="22"/>
        </w:rPr>
        <w:t>e</w:t>
      </w:r>
      <w:r w:rsidR="000D3449" w:rsidRPr="00786071">
        <w:rPr>
          <w:b/>
          <w:bCs/>
          <w:sz w:val="22"/>
          <w:szCs w:val="22"/>
        </w:rPr>
        <w:t xml:space="preserve"> </w:t>
      </w:r>
      <w:r w:rsidRPr="00786071">
        <w:rPr>
          <w:b/>
          <w:bCs/>
          <w:sz w:val="22"/>
          <w:szCs w:val="22"/>
        </w:rPr>
        <w:t>mašinama</w:t>
      </w:r>
    </w:p>
    <w:p w14:paraId="309A85F6" w14:textId="77777777" w:rsidR="009121E1" w:rsidRPr="009121E1" w:rsidRDefault="009121E1" w:rsidP="007E21A6">
      <w:pPr>
        <w:tabs>
          <w:tab w:val="left" w:pos="540"/>
          <w:tab w:val="left" w:pos="567"/>
        </w:tabs>
        <w:jc w:val="both"/>
        <w:rPr>
          <w:sz w:val="22"/>
          <w:szCs w:val="22"/>
          <w:lang w:val="en-GB"/>
        </w:rPr>
      </w:pPr>
    </w:p>
    <w:p w14:paraId="3311F447" w14:textId="67D45A64" w:rsidR="009121E1" w:rsidRPr="009121E1" w:rsidRDefault="009121E1" w:rsidP="007E21A6">
      <w:pPr>
        <w:tabs>
          <w:tab w:val="left" w:pos="540"/>
          <w:tab w:val="left" w:pos="567"/>
        </w:tabs>
        <w:jc w:val="both"/>
        <w:rPr>
          <w:sz w:val="22"/>
          <w:szCs w:val="22"/>
          <w:lang w:val="en-GB"/>
        </w:rPr>
      </w:pPr>
      <w:r w:rsidRPr="009121E1">
        <w:rPr>
          <w:sz w:val="22"/>
          <w:szCs w:val="22"/>
          <w:lang w:val="en-GB"/>
        </w:rPr>
        <w:t xml:space="preserve">Burosumab može da ima </w:t>
      </w:r>
      <w:proofErr w:type="gramStart"/>
      <w:r w:rsidRPr="009121E1">
        <w:rPr>
          <w:sz w:val="22"/>
          <w:szCs w:val="22"/>
          <w:lang w:val="en-GB"/>
        </w:rPr>
        <w:t>mali</w:t>
      </w:r>
      <w:proofErr w:type="gramEnd"/>
      <w:r w:rsidRPr="009121E1">
        <w:rPr>
          <w:sz w:val="22"/>
          <w:szCs w:val="22"/>
          <w:lang w:val="en-GB"/>
        </w:rPr>
        <w:t xml:space="preserve"> uticaj na sposobnost upravljanja vozilima i rukovanja mašinama. Nakon prim</w:t>
      </w:r>
      <w:r>
        <w:rPr>
          <w:sz w:val="22"/>
          <w:szCs w:val="22"/>
          <w:lang w:val="en-GB"/>
        </w:rPr>
        <w:t>j</w:t>
      </w:r>
      <w:r w:rsidRPr="009121E1">
        <w:rPr>
          <w:sz w:val="22"/>
          <w:szCs w:val="22"/>
          <w:lang w:val="en-GB"/>
        </w:rPr>
        <w:t>ene burosumaba može se javiti vrtoglavica.</w:t>
      </w:r>
    </w:p>
    <w:p w14:paraId="52D50D53" w14:textId="77777777" w:rsidR="009121E1" w:rsidRPr="009121E1" w:rsidRDefault="009121E1" w:rsidP="007E21A6">
      <w:pPr>
        <w:tabs>
          <w:tab w:val="left" w:pos="540"/>
          <w:tab w:val="left" w:pos="567"/>
        </w:tabs>
        <w:jc w:val="both"/>
        <w:rPr>
          <w:sz w:val="22"/>
          <w:szCs w:val="22"/>
          <w:lang w:val="en-GB"/>
        </w:rPr>
      </w:pPr>
    </w:p>
    <w:p w14:paraId="1D46F7E4" w14:textId="1C760AA4" w:rsidR="0072020E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Neželjena dejstva</w:t>
      </w:r>
    </w:p>
    <w:p w14:paraId="32177693" w14:textId="77777777" w:rsidR="009121E1" w:rsidRPr="009121E1" w:rsidRDefault="009121E1" w:rsidP="007E21A6">
      <w:pPr>
        <w:widowControl w:val="0"/>
        <w:autoSpaceDE w:val="0"/>
        <w:autoSpaceDN w:val="0"/>
        <w:jc w:val="both"/>
        <w:outlineLvl w:val="0"/>
        <w:rPr>
          <w:sz w:val="22"/>
          <w:szCs w:val="20"/>
          <w:u w:val="single"/>
          <w:lang w:val="en-GB"/>
        </w:rPr>
      </w:pPr>
      <w:bookmarkStart w:id="6" w:name="_Hlk4584606"/>
    </w:p>
    <w:p w14:paraId="492CA76A" w14:textId="3B4CE3E9" w:rsidR="009121E1" w:rsidRPr="009121E1" w:rsidRDefault="009121E1" w:rsidP="007E21A6">
      <w:pPr>
        <w:widowControl w:val="0"/>
        <w:autoSpaceDE w:val="0"/>
        <w:autoSpaceDN w:val="0"/>
        <w:jc w:val="both"/>
        <w:outlineLvl w:val="0"/>
        <w:rPr>
          <w:sz w:val="22"/>
          <w:szCs w:val="20"/>
          <w:u w:val="single"/>
          <w:lang w:val="en-GB"/>
        </w:rPr>
      </w:pPr>
      <w:r w:rsidRPr="009121E1">
        <w:rPr>
          <w:sz w:val="22"/>
          <w:szCs w:val="20"/>
          <w:u w:val="single"/>
          <w:lang w:val="en-GB"/>
        </w:rPr>
        <w:t>Sažetak bezb</w:t>
      </w:r>
      <w:r>
        <w:rPr>
          <w:sz w:val="22"/>
          <w:szCs w:val="20"/>
          <w:u w:val="single"/>
          <w:lang w:val="en-GB"/>
        </w:rPr>
        <w:t>j</w:t>
      </w:r>
      <w:r w:rsidRPr="009121E1">
        <w:rPr>
          <w:sz w:val="22"/>
          <w:szCs w:val="20"/>
          <w:u w:val="single"/>
          <w:lang w:val="en-GB"/>
        </w:rPr>
        <w:t>ednosnog profila</w:t>
      </w:r>
    </w:p>
    <w:bookmarkEnd w:id="6"/>
    <w:p w14:paraId="511F6852" w14:textId="77777777" w:rsidR="009121E1" w:rsidRPr="009121E1" w:rsidRDefault="009121E1" w:rsidP="007E21A6">
      <w:pPr>
        <w:widowControl w:val="0"/>
        <w:autoSpaceDE w:val="0"/>
        <w:autoSpaceDN w:val="0"/>
        <w:jc w:val="both"/>
        <w:outlineLvl w:val="0"/>
        <w:rPr>
          <w:sz w:val="22"/>
          <w:szCs w:val="20"/>
          <w:lang w:val="en-GB"/>
        </w:rPr>
      </w:pPr>
    </w:p>
    <w:p w14:paraId="3CF1F153" w14:textId="3C07CB34" w:rsidR="009121E1" w:rsidRPr="009121E1" w:rsidRDefault="009121E1" w:rsidP="007E21A6">
      <w:pPr>
        <w:widowControl w:val="0"/>
        <w:autoSpaceDE w:val="0"/>
        <w:autoSpaceDN w:val="0"/>
        <w:jc w:val="both"/>
        <w:outlineLvl w:val="0"/>
        <w:rPr>
          <w:sz w:val="22"/>
          <w:szCs w:val="20"/>
          <w:lang w:val="en-GB"/>
        </w:rPr>
      </w:pPr>
      <w:proofErr w:type="gramStart"/>
      <w:r w:rsidRPr="009121E1">
        <w:rPr>
          <w:sz w:val="22"/>
          <w:szCs w:val="20"/>
          <w:lang w:val="en-GB"/>
        </w:rPr>
        <w:lastRenderedPageBreak/>
        <w:t>Na osnovu završenih dugotrajnih ispitivanja sa maksimalnom izloženošću buro</w:t>
      </w:r>
      <w:r>
        <w:rPr>
          <w:sz w:val="22"/>
          <w:szCs w:val="20"/>
          <w:lang w:val="en-GB"/>
        </w:rPr>
        <w:t>s</w:t>
      </w:r>
      <w:r w:rsidRPr="009121E1">
        <w:rPr>
          <w:sz w:val="22"/>
          <w:szCs w:val="20"/>
          <w:lang w:val="en-GB"/>
        </w:rPr>
        <w:t>umabu u trajanju od 214 ned</w:t>
      </w:r>
      <w:r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elja (sa varijabilnim periodom izloženosti u populaciji u kojoj se ispitivala bezb</w:t>
      </w:r>
      <w:r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ednost), najčešće neželjene reakcije na l</w:t>
      </w:r>
      <w:r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ek (&gt; 10%) zab</w:t>
      </w:r>
      <w:r w:rsidR="00341BAE">
        <w:rPr>
          <w:sz w:val="22"/>
          <w:szCs w:val="20"/>
          <w:lang w:val="en-GB"/>
        </w:rPr>
        <w:t>ilje</w:t>
      </w:r>
      <w:r w:rsidRPr="009121E1">
        <w:rPr>
          <w:sz w:val="22"/>
          <w:szCs w:val="20"/>
          <w:lang w:val="en-GB"/>
        </w:rPr>
        <w:t>žene tokom kliničkih ispitivanja sa pedijatrijskim pacijentima sa XLH bile su: kašalj (55%), reakcije na m</w:t>
      </w:r>
      <w:r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estu prim</w:t>
      </w:r>
      <w:r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ene injekcije (54%), pireksija (50%), glavobolja (48%), povraćanje (46%), bol u udovima (42%), apsces zuba (40%), snižena vr</w:t>
      </w:r>
      <w:r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ednost  vitamina D (28%), dijareja (27%), mučnina (21%), osip (20%), konstipacija (12%) i zubni karijes (11%).</w:t>
      </w:r>
      <w:proofErr w:type="gramEnd"/>
      <w:r w:rsidRPr="009121E1">
        <w:rPr>
          <w:sz w:val="22"/>
          <w:szCs w:val="20"/>
          <w:lang w:val="en-GB"/>
        </w:rPr>
        <w:t xml:space="preserve"> </w:t>
      </w:r>
    </w:p>
    <w:p w14:paraId="28C3C755" w14:textId="77777777" w:rsidR="009121E1" w:rsidRPr="009121E1" w:rsidRDefault="009121E1" w:rsidP="007E21A6">
      <w:pPr>
        <w:widowControl w:val="0"/>
        <w:autoSpaceDE w:val="0"/>
        <w:autoSpaceDN w:val="0"/>
        <w:jc w:val="both"/>
        <w:outlineLvl w:val="0"/>
        <w:rPr>
          <w:sz w:val="22"/>
          <w:szCs w:val="20"/>
          <w:lang w:val="en-GB"/>
        </w:rPr>
      </w:pPr>
    </w:p>
    <w:p w14:paraId="79C2DAF9" w14:textId="120B6D53" w:rsidR="009121E1" w:rsidRPr="009121E1" w:rsidRDefault="009121E1" w:rsidP="007E21A6">
      <w:pPr>
        <w:widowControl w:val="0"/>
        <w:autoSpaceDE w:val="0"/>
        <w:autoSpaceDN w:val="0"/>
        <w:jc w:val="both"/>
        <w:outlineLvl w:val="0"/>
        <w:rPr>
          <w:sz w:val="22"/>
          <w:szCs w:val="20"/>
          <w:lang w:val="en-GB"/>
        </w:rPr>
      </w:pPr>
      <w:proofErr w:type="gramStart"/>
      <w:r w:rsidRPr="009121E1">
        <w:rPr>
          <w:sz w:val="22"/>
          <w:szCs w:val="20"/>
          <w:lang w:val="en-GB"/>
        </w:rPr>
        <w:t>Na osnovu završenih dugotrajnih ispitivanja sa maksimalnom izloženošću buro</w:t>
      </w:r>
      <w:r>
        <w:rPr>
          <w:sz w:val="22"/>
          <w:szCs w:val="20"/>
          <w:lang w:val="en-GB"/>
        </w:rPr>
        <w:t>s</w:t>
      </w:r>
      <w:r w:rsidRPr="009121E1">
        <w:rPr>
          <w:sz w:val="22"/>
          <w:szCs w:val="20"/>
          <w:lang w:val="en-GB"/>
        </w:rPr>
        <w:t>umabu u trajanju od 300 ned</w:t>
      </w:r>
      <w:r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elja (sa varijabilnim periodom izloženosti u populaciji u kojoj se ispitivala bezb</w:t>
      </w:r>
      <w:r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ednost), najčešće neželjene reakcije na l</w:t>
      </w:r>
      <w:r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ek (&gt; 10%) zab</w:t>
      </w:r>
      <w:r w:rsidR="00341BAE">
        <w:rPr>
          <w:sz w:val="22"/>
          <w:szCs w:val="20"/>
          <w:lang w:val="en-GB"/>
        </w:rPr>
        <w:t>ilj</w:t>
      </w:r>
      <w:r w:rsidRPr="009121E1">
        <w:rPr>
          <w:sz w:val="22"/>
          <w:szCs w:val="20"/>
          <w:lang w:val="en-GB"/>
        </w:rPr>
        <w:t>ežene tokom kliničkih ispitivanja sa odraslim pacijentima sa XLH ili odraslim pacijentima sa TIO bile su: bol u leđima (30%), reakcija na m</w:t>
      </w:r>
      <w:r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estu prim</w:t>
      </w:r>
      <w:r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ene injekcije (29%), glavobolja (28%), infekcija zuba (28%), snižena vr</w:t>
      </w:r>
      <w:r w:rsidR="002C18A7"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ednost vitamina D (28%), spazmi mišića (18%), sindrom nemirnih nogu (16%), vrtoglavica (16%) i konstipacija (13%)</w:t>
      </w:r>
      <w:proofErr w:type="gramEnd"/>
      <w:r w:rsidRPr="009121E1">
        <w:rPr>
          <w:sz w:val="22"/>
          <w:szCs w:val="20"/>
          <w:lang w:val="en-GB"/>
        </w:rPr>
        <w:t xml:space="preserve"> (</w:t>
      </w:r>
      <w:proofErr w:type="gramStart"/>
      <w:r w:rsidRPr="009121E1">
        <w:rPr>
          <w:sz w:val="22"/>
          <w:szCs w:val="20"/>
          <w:lang w:val="en-GB"/>
        </w:rPr>
        <w:t>vid</w:t>
      </w:r>
      <w:r w:rsidR="002C18A7"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eti</w:t>
      </w:r>
      <w:proofErr w:type="gramEnd"/>
      <w:r w:rsidRPr="009121E1">
        <w:rPr>
          <w:sz w:val="22"/>
          <w:szCs w:val="20"/>
          <w:lang w:val="en-GB"/>
        </w:rPr>
        <w:t xml:space="preserve"> </w:t>
      </w:r>
      <w:r w:rsidR="002C18A7">
        <w:rPr>
          <w:sz w:val="22"/>
          <w:szCs w:val="20"/>
          <w:lang w:val="en-GB"/>
        </w:rPr>
        <w:t>dio</w:t>
      </w:r>
      <w:r w:rsidRPr="009121E1">
        <w:rPr>
          <w:sz w:val="22"/>
          <w:szCs w:val="20"/>
          <w:lang w:val="en-GB"/>
        </w:rPr>
        <w:t xml:space="preserve"> 4.4 i „Opis odabranih neželjenih reakcija” u nastavku). </w:t>
      </w:r>
    </w:p>
    <w:p w14:paraId="43576D28" w14:textId="534C2C9A" w:rsidR="009121E1" w:rsidRDefault="009121E1" w:rsidP="007E21A6">
      <w:pPr>
        <w:widowControl w:val="0"/>
        <w:autoSpaceDE w:val="0"/>
        <w:autoSpaceDN w:val="0"/>
        <w:jc w:val="both"/>
        <w:outlineLvl w:val="0"/>
        <w:rPr>
          <w:sz w:val="22"/>
          <w:szCs w:val="20"/>
          <w:lang w:val="en-GB"/>
        </w:rPr>
      </w:pPr>
    </w:p>
    <w:p w14:paraId="0C036430" w14:textId="7CE71BC0" w:rsidR="009121E1" w:rsidRDefault="009121E1" w:rsidP="007E21A6">
      <w:pPr>
        <w:widowControl w:val="0"/>
        <w:autoSpaceDE w:val="0"/>
        <w:autoSpaceDN w:val="0"/>
        <w:jc w:val="both"/>
        <w:outlineLvl w:val="0"/>
        <w:rPr>
          <w:sz w:val="22"/>
          <w:szCs w:val="20"/>
          <w:u w:val="single"/>
          <w:lang w:val="en-GB"/>
        </w:rPr>
      </w:pPr>
      <w:r w:rsidRPr="009121E1">
        <w:rPr>
          <w:sz w:val="22"/>
          <w:szCs w:val="20"/>
          <w:u w:val="single"/>
          <w:lang w:val="en-GB"/>
        </w:rPr>
        <w:t xml:space="preserve">Tabelarni prikazi neželjenih reakcija </w:t>
      </w:r>
    </w:p>
    <w:p w14:paraId="4920A2F7" w14:textId="77777777" w:rsidR="007C6F62" w:rsidRPr="009121E1" w:rsidRDefault="007C6F62" w:rsidP="007E21A6">
      <w:pPr>
        <w:widowControl w:val="0"/>
        <w:autoSpaceDE w:val="0"/>
        <w:autoSpaceDN w:val="0"/>
        <w:jc w:val="both"/>
        <w:outlineLvl w:val="0"/>
        <w:rPr>
          <w:sz w:val="22"/>
          <w:szCs w:val="20"/>
          <w:u w:val="single"/>
          <w:lang w:val="en-GB"/>
        </w:rPr>
      </w:pPr>
    </w:p>
    <w:p w14:paraId="792731F1" w14:textId="77777777" w:rsidR="009121E1" w:rsidRPr="009121E1" w:rsidRDefault="009121E1" w:rsidP="007E21A6">
      <w:pPr>
        <w:widowControl w:val="0"/>
        <w:autoSpaceDE w:val="0"/>
        <w:autoSpaceDN w:val="0"/>
        <w:jc w:val="both"/>
        <w:outlineLvl w:val="0"/>
        <w:rPr>
          <w:sz w:val="22"/>
          <w:szCs w:val="20"/>
          <w:lang w:val="en-GB"/>
        </w:rPr>
      </w:pPr>
      <w:r w:rsidRPr="009121E1">
        <w:rPr>
          <w:sz w:val="22"/>
          <w:szCs w:val="20"/>
          <w:lang w:val="en-GB"/>
        </w:rPr>
        <w:t xml:space="preserve">Učestalosti neželjenih dejstava navedene su u tabeli 1 (XLH, pedijatrijski pacijenti) i tabeli 2 (odrasli pacijenti </w:t>
      </w:r>
      <w:proofErr w:type="gramStart"/>
      <w:r w:rsidRPr="009121E1">
        <w:rPr>
          <w:sz w:val="22"/>
          <w:szCs w:val="20"/>
          <w:lang w:val="en-GB"/>
        </w:rPr>
        <w:t>sa</w:t>
      </w:r>
      <w:proofErr w:type="gramEnd"/>
      <w:r w:rsidRPr="009121E1">
        <w:rPr>
          <w:sz w:val="22"/>
          <w:szCs w:val="20"/>
          <w:lang w:val="en-GB"/>
        </w:rPr>
        <w:t xml:space="preserve"> XLH i TIO). </w:t>
      </w:r>
    </w:p>
    <w:p w14:paraId="6FB3E6B4" w14:textId="77777777" w:rsidR="009121E1" w:rsidRPr="009121E1" w:rsidRDefault="009121E1" w:rsidP="007E21A6">
      <w:pPr>
        <w:widowControl w:val="0"/>
        <w:autoSpaceDE w:val="0"/>
        <w:autoSpaceDN w:val="0"/>
        <w:jc w:val="both"/>
        <w:outlineLvl w:val="0"/>
        <w:rPr>
          <w:sz w:val="22"/>
          <w:szCs w:val="20"/>
          <w:lang w:val="en-GB"/>
        </w:rPr>
      </w:pPr>
    </w:p>
    <w:p w14:paraId="63A686D8" w14:textId="7C7AFFF7" w:rsidR="009121E1" w:rsidRPr="009121E1" w:rsidRDefault="009121E1" w:rsidP="007E21A6">
      <w:pPr>
        <w:widowControl w:val="0"/>
        <w:autoSpaceDE w:val="0"/>
        <w:autoSpaceDN w:val="0"/>
        <w:jc w:val="both"/>
        <w:outlineLvl w:val="0"/>
        <w:rPr>
          <w:sz w:val="22"/>
          <w:szCs w:val="20"/>
          <w:lang w:val="en-GB"/>
        </w:rPr>
      </w:pPr>
      <w:r w:rsidRPr="009121E1">
        <w:rPr>
          <w:sz w:val="22"/>
          <w:szCs w:val="20"/>
          <w:lang w:val="en-GB"/>
        </w:rPr>
        <w:t>Neželjene reakcije predstavljene su prema kategorijama klase sistema organa i učestalosti, definisanim prema sl</w:t>
      </w:r>
      <w:r w:rsidR="00341BAE"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edećoj konvenciji: veoma često (≥ 1/10), često (≥ 1/100 do &lt; 1/10), povremeno (≥ 1/1000 do &lt; 1/100), r</w:t>
      </w:r>
      <w:r w:rsidR="002C18A7"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etko (≥ 1/10000 do &lt; 1/1000); veoma r</w:t>
      </w:r>
      <w:r w:rsidR="002C18A7"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etko (&lt; 1/10 000), nije poznato (ne može se proc</w:t>
      </w:r>
      <w:r w:rsidR="002C18A7"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eniti iz raspoloživih podataka). U okviru svake grupe učestalosti, neželjena dejstva su navedena u opadajućem nizu prema ozbiljnosti.</w:t>
      </w:r>
    </w:p>
    <w:p w14:paraId="068FE543" w14:textId="77777777" w:rsidR="009121E1" w:rsidRPr="009121E1" w:rsidRDefault="009121E1" w:rsidP="007E21A6">
      <w:pPr>
        <w:widowControl w:val="0"/>
        <w:autoSpaceDE w:val="0"/>
        <w:autoSpaceDN w:val="0"/>
        <w:jc w:val="both"/>
        <w:outlineLvl w:val="0"/>
        <w:rPr>
          <w:sz w:val="22"/>
          <w:szCs w:val="20"/>
          <w:lang w:val="en-GB"/>
        </w:rPr>
      </w:pPr>
    </w:p>
    <w:p w14:paraId="595AF82E" w14:textId="5B6DBE0D" w:rsidR="009121E1" w:rsidRPr="009121E1" w:rsidRDefault="009121E1" w:rsidP="007E21A6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0"/>
          <w:lang w:val="en-GB"/>
        </w:rPr>
      </w:pPr>
      <w:r w:rsidRPr="009121E1">
        <w:rPr>
          <w:b/>
          <w:bCs/>
          <w:sz w:val="22"/>
          <w:szCs w:val="20"/>
          <w:lang w:val="en-GB"/>
        </w:rPr>
        <w:t xml:space="preserve">Tabela </w:t>
      </w:r>
      <w:r w:rsidRPr="009121E1">
        <w:rPr>
          <w:b/>
          <w:bCs/>
          <w:sz w:val="22"/>
          <w:szCs w:val="20"/>
          <w:lang w:val="en-GB"/>
        </w:rPr>
        <w:fldChar w:fldCharType="begin"/>
      </w:r>
      <w:r w:rsidRPr="009121E1">
        <w:rPr>
          <w:b/>
          <w:bCs/>
          <w:sz w:val="22"/>
          <w:szCs w:val="20"/>
          <w:lang w:val="en-GB"/>
        </w:rPr>
        <w:instrText xml:space="preserve"> SEQ Table \* ARABIC </w:instrText>
      </w:r>
      <w:r w:rsidRPr="009121E1">
        <w:rPr>
          <w:b/>
          <w:bCs/>
          <w:sz w:val="22"/>
          <w:szCs w:val="20"/>
          <w:lang w:val="en-GB"/>
        </w:rPr>
        <w:fldChar w:fldCharType="separate"/>
      </w:r>
      <w:r w:rsidRPr="009121E1">
        <w:rPr>
          <w:b/>
          <w:bCs/>
          <w:sz w:val="22"/>
          <w:szCs w:val="20"/>
          <w:lang w:val="en-GB"/>
        </w:rPr>
        <w:t>1</w:t>
      </w:r>
      <w:r w:rsidRPr="009121E1">
        <w:rPr>
          <w:sz w:val="22"/>
          <w:szCs w:val="20"/>
          <w:lang w:val="sr-Latn-RS"/>
        </w:rPr>
        <w:fldChar w:fldCharType="end"/>
      </w:r>
      <w:r w:rsidRPr="009121E1">
        <w:rPr>
          <w:b/>
          <w:bCs/>
          <w:sz w:val="22"/>
          <w:szCs w:val="20"/>
          <w:lang w:val="en-GB"/>
        </w:rPr>
        <w:t xml:space="preserve">: Neželjene reakcije prijavljene za pedijatrijske pacijente </w:t>
      </w:r>
      <w:proofErr w:type="gramStart"/>
      <w:r w:rsidRPr="009121E1">
        <w:rPr>
          <w:b/>
          <w:bCs/>
          <w:sz w:val="22"/>
          <w:szCs w:val="20"/>
          <w:lang w:val="en-GB"/>
        </w:rPr>
        <w:t>od</w:t>
      </w:r>
      <w:proofErr w:type="gramEnd"/>
      <w:r w:rsidRPr="009121E1">
        <w:rPr>
          <w:b/>
          <w:bCs/>
          <w:sz w:val="22"/>
          <w:szCs w:val="20"/>
          <w:lang w:val="en-GB"/>
        </w:rPr>
        <w:t xml:space="preserve"> 1 do 17 godina sa XLH, zab</w:t>
      </w:r>
      <w:r w:rsidR="00341BAE">
        <w:rPr>
          <w:b/>
          <w:bCs/>
          <w:sz w:val="22"/>
          <w:szCs w:val="20"/>
          <w:lang w:val="en-GB"/>
        </w:rPr>
        <w:t>ilj</w:t>
      </w:r>
      <w:r w:rsidRPr="009121E1">
        <w:rPr>
          <w:b/>
          <w:bCs/>
          <w:sz w:val="22"/>
          <w:szCs w:val="20"/>
          <w:lang w:val="en-GB"/>
        </w:rPr>
        <w:t>ežene u kliničkim ispitivanjima (N = 120) i nakon stavljanja l</w:t>
      </w:r>
      <w:r w:rsidR="002C18A7">
        <w:rPr>
          <w:b/>
          <w:bCs/>
          <w:sz w:val="22"/>
          <w:szCs w:val="20"/>
          <w:lang w:val="en-GB"/>
        </w:rPr>
        <w:t>ij</w:t>
      </w:r>
      <w:r w:rsidRPr="009121E1">
        <w:rPr>
          <w:b/>
          <w:bCs/>
          <w:sz w:val="22"/>
          <w:szCs w:val="20"/>
          <w:lang w:val="en-GB"/>
        </w:rPr>
        <w:t xml:space="preserve">eka u promet </w:t>
      </w:r>
    </w:p>
    <w:p w14:paraId="11EFE96F" w14:textId="77777777" w:rsidR="009121E1" w:rsidRPr="009121E1" w:rsidRDefault="009121E1" w:rsidP="007E21A6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2643"/>
        <w:gridCol w:w="3022"/>
      </w:tblGrid>
      <w:tr w:rsidR="009121E1" w:rsidRPr="009121E1" w14:paraId="1AE933CD" w14:textId="77777777" w:rsidTr="00B111F9">
        <w:tc>
          <w:tcPr>
            <w:tcW w:w="1875" w:type="pct"/>
            <w:shd w:val="clear" w:color="auto" w:fill="auto"/>
          </w:tcPr>
          <w:p w14:paraId="3BDB104E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9121E1">
              <w:rPr>
                <w:b/>
                <w:bCs/>
                <w:sz w:val="22"/>
                <w:szCs w:val="20"/>
                <w:lang w:val="en-GB"/>
              </w:rPr>
              <w:lastRenderedPageBreak/>
              <w:t>MedDRA klasa sistema organa</w:t>
            </w:r>
          </w:p>
        </w:tc>
        <w:tc>
          <w:tcPr>
            <w:tcW w:w="1458" w:type="pct"/>
            <w:shd w:val="clear" w:color="auto" w:fill="auto"/>
          </w:tcPr>
          <w:p w14:paraId="5E0D5707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9121E1">
              <w:rPr>
                <w:b/>
                <w:bCs/>
                <w:sz w:val="22"/>
                <w:szCs w:val="20"/>
                <w:lang w:val="en-GB"/>
              </w:rPr>
              <w:t>Kategorija učestalosti</w:t>
            </w:r>
          </w:p>
        </w:tc>
        <w:tc>
          <w:tcPr>
            <w:tcW w:w="1667" w:type="pct"/>
          </w:tcPr>
          <w:p w14:paraId="40D08774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9121E1">
              <w:rPr>
                <w:b/>
                <w:bCs/>
                <w:sz w:val="22"/>
                <w:szCs w:val="20"/>
                <w:lang w:val="en-GB"/>
              </w:rPr>
              <w:t>Neželjena reakcija</w:t>
            </w:r>
          </w:p>
        </w:tc>
      </w:tr>
      <w:tr w:rsidR="009121E1" w:rsidRPr="009121E1" w14:paraId="3861C006" w14:textId="77777777" w:rsidTr="00B111F9">
        <w:tc>
          <w:tcPr>
            <w:tcW w:w="1875" w:type="pct"/>
            <w:shd w:val="clear" w:color="auto" w:fill="auto"/>
            <w:vAlign w:val="center"/>
          </w:tcPr>
          <w:p w14:paraId="7F74FDF6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9121E1">
              <w:rPr>
                <w:rFonts w:eastAsia="SimSun"/>
                <w:sz w:val="22"/>
                <w:szCs w:val="20"/>
                <w:lang w:val="en-GB"/>
              </w:rPr>
              <w:t>Infekcije i infestacije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463FB2F0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vAlign w:val="center"/>
          </w:tcPr>
          <w:p w14:paraId="14C082AC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Apsces zuba</w:t>
            </w:r>
            <w:r w:rsidRPr="009121E1">
              <w:rPr>
                <w:sz w:val="22"/>
                <w:szCs w:val="20"/>
                <w:vertAlign w:val="superscript"/>
                <w:lang w:val="en-GB"/>
              </w:rPr>
              <w:t>1</w:t>
            </w:r>
          </w:p>
        </w:tc>
      </w:tr>
      <w:tr w:rsidR="009121E1" w:rsidRPr="009121E1" w14:paraId="2C67A6F2" w14:textId="77777777" w:rsidTr="00B111F9">
        <w:tc>
          <w:tcPr>
            <w:tcW w:w="1875" w:type="pct"/>
            <w:shd w:val="clear" w:color="auto" w:fill="auto"/>
            <w:vAlign w:val="center"/>
          </w:tcPr>
          <w:p w14:paraId="19108138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0"/>
                <w:lang w:val="en-GB"/>
              </w:rPr>
            </w:pPr>
            <w:r w:rsidRPr="009121E1">
              <w:rPr>
                <w:rFonts w:eastAsia="SimSun"/>
                <w:sz w:val="22"/>
                <w:szCs w:val="20"/>
                <w:lang w:val="en-GB"/>
              </w:rPr>
              <w:t>Respiratorni, torakalni i medijastinalni poremećaji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293A0F6C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vAlign w:val="center"/>
          </w:tcPr>
          <w:p w14:paraId="336E600D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Kašalj</w:t>
            </w:r>
            <w:r w:rsidRPr="009121E1">
              <w:rPr>
                <w:sz w:val="22"/>
                <w:szCs w:val="20"/>
                <w:vertAlign w:val="superscript"/>
                <w:lang w:val="en-GB"/>
              </w:rPr>
              <w:t>2</w:t>
            </w:r>
          </w:p>
        </w:tc>
      </w:tr>
      <w:tr w:rsidR="009121E1" w:rsidRPr="009121E1" w14:paraId="004707AA" w14:textId="77777777" w:rsidTr="00B111F9">
        <w:tc>
          <w:tcPr>
            <w:tcW w:w="1875" w:type="pct"/>
            <w:vMerge w:val="restart"/>
            <w:shd w:val="clear" w:color="auto" w:fill="auto"/>
            <w:vAlign w:val="center"/>
          </w:tcPr>
          <w:p w14:paraId="1F7C4BB0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0"/>
                <w:lang w:val="en-GB"/>
              </w:rPr>
            </w:pPr>
            <w:r w:rsidRPr="009121E1">
              <w:rPr>
                <w:rFonts w:eastAsia="SimSun"/>
                <w:sz w:val="22"/>
                <w:szCs w:val="20"/>
                <w:lang w:val="en-GB"/>
              </w:rPr>
              <w:t>Poremećaji nervnog sistema</w:t>
            </w:r>
          </w:p>
        </w:tc>
        <w:tc>
          <w:tcPr>
            <w:tcW w:w="1458" w:type="pct"/>
            <w:vAlign w:val="center"/>
          </w:tcPr>
          <w:p w14:paraId="7E705422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6589B35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Glavobolja</w:t>
            </w:r>
          </w:p>
        </w:tc>
      </w:tr>
      <w:tr w:rsidR="009121E1" w:rsidRPr="009121E1" w14:paraId="287936B1" w14:textId="77777777" w:rsidTr="00B111F9">
        <w:tc>
          <w:tcPr>
            <w:tcW w:w="1875" w:type="pct"/>
            <w:vMerge/>
            <w:shd w:val="clear" w:color="auto" w:fill="auto"/>
            <w:vAlign w:val="center"/>
          </w:tcPr>
          <w:p w14:paraId="3FFDBC35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2"/>
                <w:lang w:val="en-GB"/>
              </w:rPr>
            </w:pPr>
          </w:p>
        </w:tc>
        <w:tc>
          <w:tcPr>
            <w:tcW w:w="1458" w:type="pct"/>
            <w:vAlign w:val="center"/>
          </w:tcPr>
          <w:p w14:paraId="042A009F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 xml:space="preserve">Veoma često 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A667A93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Vrtoglavica</w:t>
            </w:r>
            <w:r w:rsidRPr="009121E1">
              <w:rPr>
                <w:sz w:val="22"/>
                <w:szCs w:val="20"/>
                <w:vertAlign w:val="superscript"/>
                <w:lang w:val="en-GB"/>
              </w:rPr>
              <w:t>3</w:t>
            </w:r>
          </w:p>
        </w:tc>
      </w:tr>
      <w:tr w:rsidR="009121E1" w:rsidRPr="009121E1" w14:paraId="58C278FC" w14:textId="77777777" w:rsidTr="00B111F9">
        <w:tc>
          <w:tcPr>
            <w:tcW w:w="1875" w:type="pct"/>
            <w:shd w:val="clear" w:color="auto" w:fill="auto"/>
            <w:vAlign w:val="center"/>
          </w:tcPr>
          <w:p w14:paraId="4D33DD3F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0"/>
                <w:lang w:val="en-GB"/>
              </w:rPr>
            </w:pPr>
            <w:r w:rsidRPr="009121E1">
              <w:rPr>
                <w:rFonts w:eastAsia="SimSun"/>
                <w:sz w:val="22"/>
                <w:szCs w:val="20"/>
                <w:lang w:val="en-GB"/>
              </w:rPr>
              <w:t>Gastrointestinalni poremećaji</w:t>
            </w:r>
          </w:p>
        </w:tc>
        <w:tc>
          <w:tcPr>
            <w:tcW w:w="1458" w:type="pct"/>
            <w:vAlign w:val="center"/>
          </w:tcPr>
          <w:p w14:paraId="59BB9586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C641524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Povraćanje</w:t>
            </w:r>
          </w:p>
          <w:p w14:paraId="768BC949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Mučnina</w:t>
            </w:r>
          </w:p>
          <w:p w14:paraId="6BB5F319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Dijareja</w:t>
            </w:r>
          </w:p>
          <w:p w14:paraId="3E3BF068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Zatvor</w:t>
            </w:r>
          </w:p>
          <w:p w14:paraId="1C829608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Zubni karijes</w:t>
            </w:r>
          </w:p>
        </w:tc>
      </w:tr>
      <w:tr w:rsidR="009121E1" w:rsidRPr="009121E1" w14:paraId="59730B2E" w14:textId="77777777" w:rsidTr="00B111F9">
        <w:trPr>
          <w:trHeight w:val="41"/>
        </w:trPr>
        <w:tc>
          <w:tcPr>
            <w:tcW w:w="1875" w:type="pct"/>
            <w:shd w:val="clear" w:color="auto" w:fill="auto"/>
            <w:vAlign w:val="center"/>
          </w:tcPr>
          <w:p w14:paraId="37A851B6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0"/>
                <w:lang w:val="en-GB"/>
              </w:rPr>
            </w:pPr>
            <w:r w:rsidRPr="009121E1">
              <w:rPr>
                <w:rFonts w:eastAsia="SimSun"/>
                <w:sz w:val="22"/>
                <w:szCs w:val="20"/>
                <w:lang w:val="en-GB"/>
              </w:rPr>
              <w:t>Poremećaji kože i potkožnog tkiva</w:t>
            </w:r>
          </w:p>
        </w:tc>
        <w:tc>
          <w:tcPr>
            <w:tcW w:w="1458" w:type="pct"/>
            <w:vAlign w:val="center"/>
          </w:tcPr>
          <w:p w14:paraId="4F5377C0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025E946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Osip</w:t>
            </w:r>
            <w:r w:rsidRPr="009121E1">
              <w:rPr>
                <w:sz w:val="22"/>
                <w:szCs w:val="20"/>
                <w:vertAlign w:val="superscript"/>
                <w:lang w:val="en-GB"/>
              </w:rPr>
              <w:t>4</w:t>
            </w:r>
          </w:p>
        </w:tc>
      </w:tr>
      <w:tr w:rsidR="009121E1" w:rsidRPr="009121E1" w14:paraId="34DB7076" w14:textId="77777777" w:rsidTr="00B111F9">
        <w:tc>
          <w:tcPr>
            <w:tcW w:w="1875" w:type="pct"/>
            <w:vMerge w:val="restart"/>
            <w:shd w:val="clear" w:color="auto" w:fill="auto"/>
            <w:vAlign w:val="center"/>
          </w:tcPr>
          <w:p w14:paraId="2D80BB01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0"/>
                <w:lang w:val="en-GB"/>
              </w:rPr>
            </w:pPr>
            <w:r w:rsidRPr="009121E1">
              <w:rPr>
                <w:rFonts w:eastAsia="SimSun"/>
                <w:sz w:val="22"/>
                <w:szCs w:val="20"/>
                <w:lang w:val="en-GB"/>
              </w:rPr>
              <w:t>Poremećaji mišićno-koštanog sistema i vezivnog tkiva</w:t>
            </w:r>
          </w:p>
        </w:tc>
        <w:tc>
          <w:tcPr>
            <w:tcW w:w="1458" w:type="pct"/>
            <w:vMerge w:val="restart"/>
            <w:vAlign w:val="center"/>
          </w:tcPr>
          <w:p w14:paraId="3E92E04B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3B3694D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 xml:space="preserve">Mialgija </w:t>
            </w:r>
          </w:p>
        </w:tc>
      </w:tr>
      <w:tr w:rsidR="009121E1" w:rsidRPr="009121E1" w14:paraId="33694596" w14:textId="77777777" w:rsidTr="00B111F9">
        <w:tc>
          <w:tcPr>
            <w:tcW w:w="1875" w:type="pct"/>
            <w:vMerge/>
            <w:shd w:val="clear" w:color="auto" w:fill="auto"/>
            <w:vAlign w:val="center"/>
          </w:tcPr>
          <w:p w14:paraId="61762F43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0"/>
                <w:lang w:val="en-GB"/>
              </w:rPr>
            </w:pPr>
          </w:p>
        </w:tc>
        <w:tc>
          <w:tcPr>
            <w:tcW w:w="1458" w:type="pct"/>
            <w:vMerge/>
            <w:vAlign w:val="center"/>
          </w:tcPr>
          <w:p w14:paraId="0E0019B9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34E795C4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Bol u ekstremitetima</w:t>
            </w:r>
          </w:p>
        </w:tc>
      </w:tr>
      <w:tr w:rsidR="009121E1" w:rsidRPr="009121E1" w14:paraId="1D710BBB" w14:textId="77777777" w:rsidTr="00B111F9">
        <w:tc>
          <w:tcPr>
            <w:tcW w:w="1875" w:type="pct"/>
            <w:shd w:val="clear" w:color="auto" w:fill="auto"/>
            <w:vAlign w:val="center"/>
          </w:tcPr>
          <w:p w14:paraId="689F6CF9" w14:textId="1BC91780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0"/>
                <w:lang w:val="en-GB"/>
              </w:rPr>
            </w:pPr>
            <w:r w:rsidRPr="009121E1">
              <w:rPr>
                <w:rFonts w:eastAsia="SimSun"/>
                <w:sz w:val="22"/>
                <w:szCs w:val="20"/>
                <w:lang w:val="en-GB"/>
              </w:rPr>
              <w:t>Opšti poremećaji i stanja na m</w:t>
            </w:r>
            <w:r w:rsidR="002C18A7">
              <w:rPr>
                <w:rFonts w:eastAsia="SimSun"/>
                <w:sz w:val="22"/>
                <w:szCs w:val="20"/>
                <w:lang w:val="en-GB"/>
              </w:rPr>
              <w:t>j</w:t>
            </w:r>
            <w:r w:rsidRPr="009121E1">
              <w:rPr>
                <w:rFonts w:eastAsia="SimSun"/>
                <w:sz w:val="22"/>
                <w:szCs w:val="20"/>
                <w:lang w:val="en-GB"/>
              </w:rPr>
              <w:t>estu prim</w:t>
            </w:r>
            <w:r w:rsidR="002C18A7">
              <w:rPr>
                <w:rFonts w:eastAsia="SimSun"/>
                <w:sz w:val="22"/>
                <w:szCs w:val="20"/>
                <w:lang w:val="en-GB"/>
              </w:rPr>
              <w:t>j</w:t>
            </w:r>
            <w:r w:rsidRPr="009121E1">
              <w:rPr>
                <w:rFonts w:eastAsia="SimSun"/>
                <w:sz w:val="22"/>
                <w:szCs w:val="20"/>
                <w:lang w:val="en-GB"/>
              </w:rPr>
              <w:t>ene</w:t>
            </w:r>
          </w:p>
        </w:tc>
        <w:tc>
          <w:tcPr>
            <w:tcW w:w="1458" w:type="pct"/>
            <w:vAlign w:val="center"/>
          </w:tcPr>
          <w:p w14:paraId="4724725C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C440E75" w14:textId="0C974E23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0"/>
                <w:vertAlign w:val="superscript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Reakcija na m</w:t>
            </w:r>
            <w:r w:rsidR="002C18A7">
              <w:rPr>
                <w:sz w:val="22"/>
                <w:szCs w:val="20"/>
                <w:lang w:val="en-GB"/>
              </w:rPr>
              <w:t>j</w:t>
            </w:r>
            <w:r w:rsidRPr="009121E1">
              <w:rPr>
                <w:sz w:val="22"/>
                <w:szCs w:val="20"/>
                <w:lang w:val="en-GB"/>
              </w:rPr>
              <w:t>estu davanja injekcije</w:t>
            </w:r>
            <w:r w:rsidRPr="009121E1">
              <w:rPr>
                <w:sz w:val="22"/>
                <w:szCs w:val="20"/>
                <w:vertAlign w:val="superscript"/>
                <w:lang w:val="en-GB"/>
              </w:rPr>
              <w:t>5</w:t>
            </w:r>
          </w:p>
          <w:p w14:paraId="39EB92F1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Pireksija</w:t>
            </w:r>
          </w:p>
        </w:tc>
      </w:tr>
      <w:tr w:rsidR="009121E1" w:rsidRPr="009121E1" w14:paraId="7259C642" w14:textId="77777777" w:rsidTr="00B111F9">
        <w:tc>
          <w:tcPr>
            <w:tcW w:w="1875" w:type="pct"/>
            <w:vMerge w:val="restart"/>
            <w:shd w:val="clear" w:color="auto" w:fill="auto"/>
            <w:vAlign w:val="center"/>
          </w:tcPr>
          <w:p w14:paraId="14DBD928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Ispitivanja</w:t>
            </w:r>
          </w:p>
        </w:tc>
        <w:tc>
          <w:tcPr>
            <w:tcW w:w="1458" w:type="pct"/>
            <w:vAlign w:val="center"/>
          </w:tcPr>
          <w:p w14:paraId="51268D4D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F079E89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Snižen nivo vitamina D</w:t>
            </w:r>
            <w:r w:rsidRPr="009121E1">
              <w:rPr>
                <w:sz w:val="22"/>
                <w:szCs w:val="20"/>
                <w:vertAlign w:val="superscript"/>
                <w:lang w:val="en-GB"/>
              </w:rPr>
              <w:t>6</w:t>
            </w:r>
          </w:p>
        </w:tc>
      </w:tr>
      <w:tr w:rsidR="009121E1" w:rsidRPr="009121E1" w14:paraId="0523C44A" w14:textId="77777777" w:rsidTr="00B111F9">
        <w:tc>
          <w:tcPr>
            <w:tcW w:w="1875" w:type="pct"/>
            <w:vMerge/>
            <w:shd w:val="clear" w:color="auto" w:fill="auto"/>
            <w:vAlign w:val="center"/>
          </w:tcPr>
          <w:p w14:paraId="7917BFAB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</w:p>
        </w:tc>
        <w:tc>
          <w:tcPr>
            <w:tcW w:w="1458" w:type="pct"/>
            <w:vAlign w:val="center"/>
          </w:tcPr>
          <w:p w14:paraId="1F210054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Nije poznato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0165E12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Povišen nivo fosfora u krvi</w:t>
            </w:r>
            <w:r w:rsidRPr="009121E1">
              <w:rPr>
                <w:sz w:val="22"/>
                <w:szCs w:val="20"/>
                <w:vertAlign w:val="superscript"/>
                <w:lang w:val="en-GB"/>
              </w:rPr>
              <w:t>7</w:t>
            </w:r>
          </w:p>
        </w:tc>
      </w:tr>
    </w:tbl>
    <w:p w14:paraId="482E0600" w14:textId="77777777" w:rsidR="009121E1" w:rsidRPr="009121E1" w:rsidRDefault="009121E1" w:rsidP="008B21F3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sz w:val="16"/>
          <w:szCs w:val="22"/>
          <w:vertAlign w:val="superscript"/>
          <w:lang w:val="en-GB"/>
        </w:rPr>
      </w:pPr>
    </w:p>
    <w:p w14:paraId="28A913E7" w14:textId="77777777" w:rsidR="009121E1" w:rsidRPr="009121E1" w:rsidRDefault="009121E1" w:rsidP="00204AFF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i/>
          <w:sz w:val="18"/>
          <w:szCs w:val="18"/>
          <w:lang w:val="en-GB"/>
        </w:rPr>
      </w:pPr>
      <w:r w:rsidRPr="009121E1">
        <w:rPr>
          <w:sz w:val="18"/>
          <w:szCs w:val="18"/>
          <w:vertAlign w:val="superscript"/>
          <w:lang w:val="en-GB"/>
        </w:rPr>
        <w:t xml:space="preserve">1 </w:t>
      </w:r>
      <w:r w:rsidRPr="009121E1">
        <w:rPr>
          <w:sz w:val="18"/>
          <w:szCs w:val="18"/>
          <w:lang w:val="en-GB"/>
        </w:rPr>
        <w:t xml:space="preserve">Apsces zuba uključuje: </w:t>
      </w:r>
      <w:r w:rsidRPr="009121E1">
        <w:rPr>
          <w:i/>
          <w:iCs/>
          <w:sz w:val="18"/>
          <w:szCs w:val="18"/>
          <w:lang w:val="en-GB"/>
        </w:rPr>
        <w:t>apsces zuba, infekciju zuba i zubobolju</w:t>
      </w:r>
    </w:p>
    <w:p w14:paraId="796D5FF4" w14:textId="77777777" w:rsidR="009121E1" w:rsidRPr="009121E1" w:rsidRDefault="009121E1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sz w:val="18"/>
          <w:szCs w:val="18"/>
          <w:lang w:val="en-GB"/>
        </w:rPr>
      </w:pPr>
      <w:r w:rsidRPr="009121E1">
        <w:rPr>
          <w:sz w:val="18"/>
          <w:szCs w:val="18"/>
          <w:vertAlign w:val="superscript"/>
          <w:lang w:val="en-GB"/>
        </w:rPr>
        <w:t xml:space="preserve">2 </w:t>
      </w:r>
      <w:r w:rsidRPr="009121E1">
        <w:rPr>
          <w:sz w:val="18"/>
          <w:szCs w:val="18"/>
          <w:lang w:val="en-GB"/>
        </w:rPr>
        <w:t xml:space="preserve">Kašalj uključuje: </w:t>
      </w:r>
      <w:r w:rsidRPr="009121E1">
        <w:rPr>
          <w:i/>
          <w:iCs/>
          <w:sz w:val="18"/>
          <w:szCs w:val="18"/>
          <w:lang w:val="en-GB"/>
        </w:rPr>
        <w:t>kašalj i produktivni kašalj</w:t>
      </w:r>
    </w:p>
    <w:p w14:paraId="74070814" w14:textId="77777777" w:rsidR="009121E1" w:rsidRPr="009121E1" w:rsidRDefault="009121E1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sz w:val="18"/>
          <w:szCs w:val="18"/>
          <w:lang w:val="en-GB"/>
        </w:rPr>
      </w:pPr>
      <w:r w:rsidRPr="009121E1">
        <w:rPr>
          <w:sz w:val="18"/>
          <w:szCs w:val="18"/>
          <w:vertAlign w:val="superscript"/>
          <w:lang w:val="en-GB"/>
        </w:rPr>
        <w:t xml:space="preserve">3 </w:t>
      </w:r>
      <w:r w:rsidRPr="009121E1">
        <w:rPr>
          <w:sz w:val="18"/>
          <w:szCs w:val="18"/>
          <w:lang w:val="en-GB"/>
        </w:rPr>
        <w:t xml:space="preserve">Vrtoglavica uključuje: </w:t>
      </w:r>
      <w:r w:rsidRPr="009121E1">
        <w:rPr>
          <w:i/>
          <w:iCs/>
          <w:sz w:val="18"/>
          <w:szCs w:val="18"/>
          <w:lang w:val="en-GB"/>
        </w:rPr>
        <w:t>Vrtoglavicu i vrtoglavicu pri naporu</w:t>
      </w:r>
    </w:p>
    <w:p w14:paraId="4CCDCB98" w14:textId="77777777" w:rsidR="009121E1" w:rsidRPr="009121E1" w:rsidRDefault="009121E1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sz w:val="18"/>
          <w:szCs w:val="18"/>
          <w:lang w:val="en-GB"/>
        </w:rPr>
      </w:pPr>
      <w:r w:rsidRPr="009121E1">
        <w:rPr>
          <w:sz w:val="18"/>
          <w:szCs w:val="18"/>
          <w:vertAlign w:val="superscript"/>
          <w:lang w:val="en-GB"/>
        </w:rPr>
        <w:t xml:space="preserve">4 </w:t>
      </w:r>
      <w:r w:rsidRPr="009121E1">
        <w:rPr>
          <w:sz w:val="18"/>
          <w:szCs w:val="18"/>
          <w:lang w:val="en-GB"/>
        </w:rPr>
        <w:t>Osip uključuje:</w:t>
      </w:r>
      <w:r w:rsidRPr="009121E1">
        <w:rPr>
          <w:i/>
          <w:iCs/>
          <w:sz w:val="18"/>
          <w:szCs w:val="18"/>
          <w:lang w:val="en-GB"/>
        </w:rPr>
        <w:t xml:space="preserve"> osip, eritematozni osip, generalizovani osip, pruritični osip, makulopapularni osip i pustularni osip</w:t>
      </w:r>
      <w:r w:rsidRPr="009121E1">
        <w:rPr>
          <w:sz w:val="18"/>
          <w:szCs w:val="18"/>
          <w:lang w:val="en-GB"/>
        </w:rPr>
        <w:t xml:space="preserve"> </w:t>
      </w:r>
    </w:p>
    <w:p w14:paraId="0E086874" w14:textId="04CFEF81" w:rsidR="009121E1" w:rsidRPr="009121E1" w:rsidRDefault="009121E1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i/>
          <w:sz w:val="18"/>
          <w:szCs w:val="18"/>
          <w:lang w:val="en-GB"/>
        </w:rPr>
      </w:pPr>
      <w:proofErr w:type="gramStart"/>
      <w:r w:rsidRPr="009121E1">
        <w:rPr>
          <w:sz w:val="18"/>
          <w:szCs w:val="18"/>
          <w:vertAlign w:val="superscript"/>
          <w:lang w:val="en-GB"/>
        </w:rPr>
        <w:t xml:space="preserve">5 </w:t>
      </w:r>
      <w:r w:rsidRPr="009121E1">
        <w:rPr>
          <w:sz w:val="18"/>
          <w:szCs w:val="18"/>
          <w:lang w:val="en-GB"/>
        </w:rPr>
        <w:t>Reakcija na m</w:t>
      </w:r>
      <w:r w:rsidR="002C18A7">
        <w:rPr>
          <w:sz w:val="18"/>
          <w:szCs w:val="18"/>
          <w:lang w:val="en-GB"/>
        </w:rPr>
        <w:t>j</w:t>
      </w:r>
      <w:r w:rsidRPr="009121E1">
        <w:rPr>
          <w:sz w:val="18"/>
          <w:szCs w:val="18"/>
          <w:lang w:val="en-GB"/>
        </w:rPr>
        <w:t>estu prim</w:t>
      </w:r>
      <w:r w:rsidR="002C18A7">
        <w:rPr>
          <w:sz w:val="18"/>
          <w:szCs w:val="18"/>
          <w:lang w:val="en-GB"/>
        </w:rPr>
        <w:t>j</w:t>
      </w:r>
      <w:r w:rsidRPr="009121E1">
        <w:rPr>
          <w:sz w:val="18"/>
          <w:szCs w:val="18"/>
          <w:lang w:val="en-GB"/>
        </w:rPr>
        <w:t xml:space="preserve">ene injekcije uključuje: </w:t>
      </w:r>
      <w:r w:rsidRPr="009121E1">
        <w:rPr>
          <w:i/>
          <w:iCs/>
          <w:sz w:val="18"/>
          <w:szCs w:val="18"/>
          <w:lang w:val="en-GB"/>
        </w:rPr>
        <w:t>reakciju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injekcije, eritem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injekcije, pruritus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injekcije, oticanje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injekcije, bol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injekcije, osip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injekcije, pojavu modrica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injekcije, prom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enu boje kože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injekcije, nelagodnost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injekcije, hematom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injekcije, krvarenje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injekcije, induraciju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injekcije, makulu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 i urtikariju na 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estu prim</w:t>
      </w:r>
      <w:r w:rsidR="002C18A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>ene injekcije</w:t>
      </w:r>
      <w:proofErr w:type="gramEnd"/>
    </w:p>
    <w:p w14:paraId="739BE2A2" w14:textId="52BF28FC" w:rsidR="009121E1" w:rsidRPr="009121E1" w:rsidRDefault="009121E1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sz w:val="18"/>
          <w:szCs w:val="20"/>
          <w:lang w:val="en-GB"/>
        </w:rPr>
      </w:pPr>
      <w:r w:rsidRPr="009121E1">
        <w:rPr>
          <w:sz w:val="18"/>
          <w:szCs w:val="18"/>
          <w:vertAlign w:val="superscript"/>
          <w:lang w:val="en-GB"/>
        </w:rPr>
        <w:t xml:space="preserve">6 </w:t>
      </w:r>
      <w:r w:rsidRPr="009121E1">
        <w:rPr>
          <w:sz w:val="18"/>
          <w:szCs w:val="18"/>
          <w:lang w:val="en-GB"/>
        </w:rPr>
        <w:t xml:space="preserve">Snižen nivo vitamina D uključuje: </w:t>
      </w:r>
      <w:r w:rsidRPr="009121E1">
        <w:rPr>
          <w:i/>
          <w:iCs/>
          <w:sz w:val="18"/>
          <w:szCs w:val="18"/>
          <w:lang w:val="en-GB"/>
        </w:rPr>
        <w:t>nedostatak vitamina D, snižen nivo 25-hidroksikolekalciferola u krvi i sniženu vr</w:t>
      </w:r>
      <w:r w:rsidR="002C18A7">
        <w:rPr>
          <w:i/>
          <w:iCs/>
          <w:sz w:val="18"/>
          <w:szCs w:val="18"/>
          <w:lang w:val="en-GB"/>
        </w:rPr>
        <w:t>ij</w:t>
      </w:r>
      <w:r w:rsidRPr="009121E1">
        <w:rPr>
          <w:i/>
          <w:iCs/>
          <w:sz w:val="18"/>
          <w:szCs w:val="18"/>
          <w:lang w:val="en-GB"/>
        </w:rPr>
        <w:t>ednost vitamina D</w:t>
      </w:r>
    </w:p>
    <w:p w14:paraId="3E525F68" w14:textId="77777777" w:rsidR="009121E1" w:rsidRPr="009121E1" w:rsidRDefault="009121E1" w:rsidP="007E21A6">
      <w:pPr>
        <w:keepNext/>
        <w:keepLines/>
        <w:tabs>
          <w:tab w:val="left" w:pos="567"/>
        </w:tabs>
        <w:spacing w:line="249" w:lineRule="auto"/>
        <w:ind w:left="-5" w:right="3" w:hanging="10"/>
        <w:jc w:val="both"/>
        <w:rPr>
          <w:i/>
          <w:color w:val="000000"/>
          <w:kern w:val="2"/>
          <w:sz w:val="18"/>
          <w:szCs w:val="20"/>
          <w:lang w:val="en-GB"/>
        </w:rPr>
      </w:pPr>
      <w:r w:rsidRPr="009121E1">
        <w:rPr>
          <w:color w:val="000000"/>
          <w:kern w:val="2"/>
          <w:sz w:val="18"/>
          <w:szCs w:val="18"/>
          <w:vertAlign w:val="superscript"/>
          <w:lang w:val="en-GB"/>
        </w:rPr>
        <w:t xml:space="preserve">7 </w:t>
      </w:r>
      <w:r w:rsidRPr="009121E1">
        <w:rPr>
          <w:color w:val="000000"/>
          <w:kern w:val="2"/>
          <w:sz w:val="18"/>
          <w:szCs w:val="18"/>
          <w:lang w:val="en-GB"/>
        </w:rPr>
        <w:t xml:space="preserve">Povišen nivo fosfora u krvi uključuje: </w:t>
      </w:r>
      <w:r w:rsidRPr="009121E1">
        <w:rPr>
          <w:i/>
          <w:iCs/>
          <w:color w:val="000000"/>
          <w:kern w:val="2"/>
          <w:sz w:val="18"/>
          <w:szCs w:val="18"/>
          <w:lang w:val="en-GB"/>
        </w:rPr>
        <w:t>Povišen nivo fosfora u krvi i hiperfosfatemiju</w:t>
      </w:r>
    </w:p>
    <w:p w14:paraId="7922EAAD" w14:textId="77777777" w:rsidR="009121E1" w:rsidRPr="009121E1" w:rsidRDefault="009121E1" w:rsidP="008B21F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u w:val="single"/>
          <w:lang w:val="en-GB"/>
        </w:rPr>
      </w:pPr>
    </w:p>
    <w:p w14:paraId="4B91DD24" w14:textId="1C20DBB5" w:rsidR="009121E1" w:rsidRPr="009121E1" w:rsidRDefault="009121E1" w:rsidP="007E21A6">
      <w:pPr>
        <w:keepNext/>
        <w:keepLines/>
        <w:tabs>
          <w:tab w:val="left" w:pos="567"/>
        </w:tabs>
        <w:jc w:val="both"/>
        <w:rPr>
          <w:b/>
          <w:bCs/>
          <w:sz w:val="22"/>
          <w:szCs w:val="22"/>
          <w:lang w:val="en-GB"/>
        </w:rPr>
      </w:pPr>
      <w:r w:rsidRPr="009121E1">
        <w:rPr>
          <w:b/>
          <w:bCs/>
          <w:sz w:val="22"/>
          <w:szCs w:val="22"/>
          <w:lang w:val="en-GB"/>
        </w:rPr>
        <w:lastRenderedPageBreak/>
        <w:t xml:space="preserve">Tabela 2: Neželjene reakcije </w:t>
      </w:r>
      <w:r w:rsidRPr="009121E1">
        <w:rPr>
          <w:b/>
          <w:bCs/>
          <w:color w:val="000000"/>
          <w:kern w:val="2"/>
          <w:sz w:val="22"/>
          <w:szCs w:val="22"/>
          <w:lang w:val="en-GB"/>
        </w:rPr>
        <w:t>zab</w:t>
      </w:r>
      <w:r w:rsidR="00341BAE">
        <w:rPr>
          <w:b/>
          <w:bCs/>
          <w:color w:val="000000"/>
          <w:kern w:val="2"/>
          <w:sz w:val="22"/>
          <w:szCs w:val="22"/>
          <w:lang w:val="en-GB"/>
        </w:rPr>
        <w:t>ilj</w:t>
      </w:r>
      <w:r w:rsidRPr="009121E1">
        <w:rPr>
          <w:b/>
          <w:bCs/>
          <w:color w:val="000000"/>
          <w:kern w:val="2"/>
          <w:sz w:val="22"/>
          <w:szCs w:val="22"/>
          <w:lang w:val="en-GB"/>
        </w:rPr>
        <w:t>ežene u kliničkim ispitivanjima</w:t>
      </w:r>
      <w:r w:rsidRPr="009121E1">
        <w:rPr>
          <w:b/>
          <w:bCs/>
          <w:color w:val="000000"/>
          <w:kern w:val="2"/>
          <w:sz w:val="20"/>
          <w:szCs w:val="20"/>
          <w:lang w:val="en-GB"/>
        </w:rPr>
        <w:t xml:space="preserve"> </w:t>
      </w:r>
      <w:proofErr w:type="gramStart"/>
      <w:r w:rsidRPr="009121E1">
        <w:rPr>
          <w:b/>
          <w:bCs/>
          <w:sz w:val="22"/>
          <w:szCs w:val="22"/>
          <w:lang w:val="en-GB"/>
        </w:rPr>
        <w:t>sa</w:t>
      </w:r>
      <w:proofErr w:type="gramEnd"/>
      <w:r w:rsidRPr="009121E1">
        <w:rPr>
          <w:b/>
          <w:bCs/>
          <w:sz w:val="22"/>
          <w:szCs w:val="22"/>
          <w:lang w:val="en-GB"/>
        </w:rPr>
        <w:t xml:space="preserve"> odraslima (N = 203) sa XLH (N = 176) i</w:t>
      </w:r>
      <w:r w:rsidRPr="009121E1">
        <w:rPr>
          <w:sz w:val="20"/>
          <w:szCs w:val="20"/>
          <w:lang w:val="en-GB"/>
        </w:rPr>
        <w:t xml:space="preserve"> </w:t>
      </w:r>
      <w:r w:rsidRPr="009121E1">
        <w:rPr>
          <w:b/>
          <w:bCs/>
          <w:sz w:val="22"/>
          <w:szCs w:val="22"/>
          <w:lang w:val="en-GB"/>
        </w:rPr>
        <w:t>TIO (N = 27)</w:t>
      </w:r>
    </w:p>
    <w:p w14:paraId="35DD964E" w14:textId="77777777" w:rsidR="009121E1" w:rsidRPr="009121E1" w:rsidRDefault="009121E1" w:rsidP="008B21F3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2643"/>
        <w:gridCol w:w="3022"/>
      </w:tblGrid>
      <w:tr w:rsidR="009121E1" w:rsidRPr="009121E1" w14:paraId="2F615967" w14:textId="77777777" w:rsidTr="00B111F9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FB37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0"/>
                <w:lang w:val="en-GB"/>
              </w:rPr>
            </w:pPr>
            <w:r w:rsidRPr="009121E1">
              <w:rPr>
                <w:b/>
                <w:bCs/>
                <w:sz w:val="22"/>
                <w:szCs w:val="20"/>
                <w:lang w:val="en-GB"/>
              </w:rPr>
              <w:t>MedDRA klasa sistema organa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2E64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0"/>
                <w:lang w:val="en-GB"/>
              </w:rPr>
            </w:pPr>
            <w:r w:rsidRPr="009121E1">
              <w:rPr>
                <w:b/>
                <w:bCs/>
                <w:sz w:val="22"/>
                <w:szCs w:val="20"/>
                <w:lang w:val="en-GB"/>
              </w:rPr>
              <w:t>Kategorija učestalosti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A21E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0"/>
                <w:lang w:val="en-GB"/>
              </w:rPr>
            </w:pPr>
            <w:r w:rsidRPr="009121E1">
              <w:rPr>
                <w:b/>
                <w:bCs/>
                <w:sz w:val="22"/>
                <w:szCs w:val="20"/>
                <w:lang w:val="en-GB"/>
              </w:rPr>
              <w:t>Neželjena reakcija</w:t>
            </w:r>
          </w:p>
        </w:tc>
      </w:tr>
      <w:tr w:rsidR="009121E1" w:rsidRPr="009121E1" w14:paraId="37B7309B" w14:textId="77777777" w:rsidTr="00B111F9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8BAD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0"/>
                <w:lang w:val="en-GB"/>
              </w:rPr>
            </w:pPr>
            <w:r w:rsidRPr="009121E1">
              <w:rPr>
                <w:rFonts w:eastAsia="SimSun"/>
                <w:sz w:val="22"/>
                <w:szCs w:val="20"/>
                <w:lang w:val="en-GB"/>
              </w:rPr>
              <w:t>Infekcije i infestacije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3BB9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F3CF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Infekcija zuba</w:t>
            </w:r>
            <w:r w:rsidRPr="009121E1">
              <w:rPr>
                <w:sz w:val="22"/>
                <w:szCs w:val="20"/>
                <w:vertAlign w:val="superscript"/>
                <w:lang w:val="en-GB"/>
              </w:rPr>
              <w:t>1</w:t>
            </w:r>
          </w:p>
        </w:tc>
      </w:tr>
      <w:tr w:rsidR="009121E1" w:rsidRPr="009121E1" w14:paraId="29FF01E4" w14:textId="77777777" w:rsidTr="00B111F9">
        <w:tc>
          <w:tcPr>
            <w:tcW w:w="1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6D13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0"/>
                <w:lang w:val="en-GB"/>
              </w:rPr>
            </w:pPr>
            <w:r w:rsidRPr="009121E1">
              <w:rPr>
                <w:rFonts w:eastAsia="SimSun"/>
                <w:sz w:val="22"/>
                <w:szCs w:val="20"/>
                <w:lang w:val="en-GB"/>
              </w:rPr>
              <w:t>Poremećaji nervnog sistema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1F50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F663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vertAlign w:val="superscript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Glavobolja</w:t>
            </w:r>
            <w:r w:rsidRPr="009121E1">
              <w:rPr>
                <w:sz w:val="22"/>
                <w:szCs w:val="20"/>
                <w:vertAlign w:val="superscript"/>
                <w:lang w:val="en-GB"/>
              </w:rPr>
              <w:t>2</w:t>
            </w:r>
          </w:p>
        </w:tc>
      </w:tr>
      <w:tr w:rsidR="009121E1" w:rsidRPr="009121E1" w14:paraId="5AF6B248" w14:textId="77777777" w:rsidTr="00B11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5E12" w14:textId="77777777" w:rsidR="009121E1" w:rsidRPr="009121E1" w:rsidRDefault="009121E1" w:rsidP="007E21A6">
            <w:pPr>
              <w:keepNext/>
              <w:keepLines/>
              <w:jc w:val="both"/>
              <w:rPr>
                <w:rFonts w:eastAsia="SimSun"/>
                <w:sz w:val="22"/>
                <w:szCs w:val="20"/>
                <w:lang w:val="en-GB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B4FF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A062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Vrtoglavica</w:t>
            </w:r>
          </w:p>
        </w:tc>
      </w:tr>
      <w:tr w:rsidR="009121E1" w:rsidRPr="009121E1" w14:paraId="2EA4607F" w14:textId="77777777" w:rsidTr="00B11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676" w14:textId="77777777" w:rsidR="009121E1" w:rsidRPr="009121E1" w:rsidRDefault="009121E1" w:rsidP="007E21A6">
            <w:pPr>
              <w:keepNext/>
              <w:keepLines/>
              <w:jc w:val="both"/>
              <w:rPr>
                <w:rFonts w:eastAsia="SimSun"/>
                <w:sz w:val="22"/>
                <w:szCs w:val="20"/>
                <w:lang w:val="en-GB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D2B2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CABC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Sindrom nemirnih nogu</w:t>
            </w:r>
          </w:p>
        </w:tc>
      </w:tr>
      <w:tr w:rsidR="009121E1" w:rsidRPr="009121E1" w14:paraId="14407882" w14:textId="77777777" w:rsidTr="00B111F9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A593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0"/>
                <w:lang w:val="en-GB"/>
              </w:rPr>
            </w:pPr>
            <w:r w:rsidRPr="009121E1">
              <w:rPr>
                <w:rFonts w:eastAsia="SimSun"/>
                <w:sz w:val="22"/>
                <w:szCs w:val="20"/>
                <w:lang w:val="en-GB"/>
              </w:rPr>
              <w:t>Gastrointestinalni poremećaji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F682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7AD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Zatvor</w:t>
            </w:r>
          </w:p>
        </w:tc>
      </w:tr>
      <w:tr w:rsidR="009121E1" w:rsidRPr="009121E1" w14:paraId="7FDB7DF6" w14:textId="77777777" w:rsidTr="00B111F9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D2D8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0"/>
                <w:lang w:val="en-GB"/>
              </w:rPr>
            </w:pPr>
            <w:r w:rsidRPr="009121E1">
              <w:rPr>
                <w:rFonts w:eastAsia="SimSun"/>
                <w:sz w:val="22"/>
                <w:szCs w:val="22"/>
                <w:lang w:val="en-GB"/>
              </w:rPr>
              <w:t>Poremećaji kože i potkožnog tkiva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641D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2"/>
                <w:lang w:val="en-GB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767E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2"/>
                <w:lang w:val="en-GB"/>
              </w:rPr>
              <w:t>Osip</w:t>
            </w:r>
            <w:r w:rsidRPr="009121E1">
              <w:rPr>
                <w:sz w:val="22"/>
                <w:szCs w:val="22"/>
                <w:vertAlign w:val="superscript"/>
                <w:lang w:val="en-GB"/>
              </w:rPr>
              <w:t>3</w:t>
            </w:r>
          </w:p>
        </w:tc>
      </w:tr>
      <w:tr w:rsidR="009121E1" w:rsidRPr="009121E1" w14:paraId="77FADD9A" w14:textId="77777777" w:rsidTr="00B111F9">
        <w:tc>
          <w:tcPr>
            <w:tcW w:w="1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3D6E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0"/>
                <w:lang w:val="en-GB"/>
              </w:rPr>
            </w:pPr>
            <w:r w:rsidRPr="009121E1">
              <w:rPr>
                <w:rFonts w:eastAsia="SimSun"/>
                <w:sz w:val="22"/>
                <w:szCs w:val="20"/>
                <w:lang w:val="en-GB"/>
              </w:rPr>
              <w:t>Poremećaji mišićno-koštanog sistema i vezivnog tkiva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7091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28B8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Bol u leđima</w:t>
            </w:r>
          </w:p>
        </w:tc>
      </w:tr>
      <w:tr w:rsidR="009121E1" w:rsidRPr="009121E1" w14:paraId="45151092" w14:textId="77777777" w:rsidTr="00B11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5713" w14:textId="77777777" w:rsidR="009121E1" w:rsidRPr="009121E1" w:rsidRDefault="009121E1" w:rsidP="007E21A6">
            <w:pPr>
              <w:keepNext/>
              <w:keepLines/>
              <w:jc w:val="both"/>
              <w:rPr>
                <w:rFonts w:eastAsia="SimSun"/>
                <w:sz w:val="22"/>
                <w:szCs w:val="20"/>
                <w:lang w:val="en-GB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771B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FC62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Mišićni spazmi</w:t>
            </w:r>
          </w:p>
        </w:tc>
      </w:tr>
      <w:tr w:rsidR="009121E1" w:rsidRPr="009121E1" w14:paraId="51F497F7" w14:textId="77777777" w:rsidTr="00B111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8A21" w14:textId="6FEC9E53" w:rsidR="009121E1" w:rsidRPr="009121E1" w:rsidRDefault="009121E1" w:rsidP="007E21A6">
            <w:pPr>
              <w:keepNext/>
              <w:keepLines/>
              <w:jc w:val="both"/>
              <w:rPr>
                <w:rFonts w:eastAsia="SimSun"/>
                <w:sz w:val="22"/>
                <w:szCs w:val="20"/>
                <w:lang w:val="en-GB"/>
              </w:rPr>
            </w:pPr>
            <w:r w:rsidRPr="009121E1">
              <w:rPr>
                <w:rFonts w:eastAsia="SimSun"/>
                <w:sz w:val="22"/>
                <w:szCs w:val="22"/>
                <w:lang w:val="en-GB"/>
              </w:rPr>
              <w:t>Opšti poremećaji i stanja na m</w:t>
            </w:r>
            <w:r w:rsidR="002C18A7">
              <w:rPr>
                <w:rFonts w:eastAsia="SimSun"/>
                <w:sz w:val="22"/>
                <w:szCs w:val="22"/>
                <w:lang w:val="en-GB"/>
              </w:rPr>
              <w:t>j</w:t>
            </w:r>
            <w:r w:rsidRPr="009121E1">
              <w:rPr>
                <w:rFonts w:eastAsia="SimSun"/>
                <w:sz w:val="22"/>
                <w:szCs w:val="22"/>
                <w:lang w:val="en-GB"/>
              </w:rPr>
              <w:t>estu prim</w:t>
            </w:r>
            <w:r w:rsidR="002C18A7">
              <w:rPr>
                <w:rFonts w:eastAsia="SimSun"/>
                <w:sz w:val="22"/>
                <w:szCs w:val="22"/>
                <w:lang w:val="en-GB"/>
              </w:rPr>
              <w:t>j</w:t>
            </w:r>
            <w:r w:rsidRPr="009121E1">
              <w:rPr>
                <w:rFonts w:eastAsia="SimSun"/>
                <w:sz w:val="22"/>
                <w:szCs w:val="22"/>
                <w:lang w:val="en-GB"/>
              </w:rPr>
              <w:t>ene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ECB4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2"/>
                <w:lang w:val="en-GB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91A1" w14:textId="6382CB6A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2"/>
                <w:lang w:val="en-GB"/>
              </w:rPr>
              <w:t>Reakcija na m</w:t>
            </w:r>
            <w:r w:rsidR="002C18A7">
              <w:rPr>
                <w:sz w:val="22"/>
                <w:szCs w:val="22"/>
                <w:lang w:val="en-GB"/>
              </w:rPr>
              <w:t>j</w:t>
            </w:r>
            <w:r w:rsidRPr="009121E1">
              <w:rPr>
                <w:sz w:val="22"/>
                <w:szCs w:val="22"/>
                <w:lang w:val="en-GB"/>
              </w:rPr>
              <w:t>estu davanja injekcije</w:t>
            </w:r>
            <w:r w:rsidRPr="009121E1">
              <w:rPr>
                <w:sz w:val="22"/>
                <w:szCs w:val="22"/>
                <w:vertAlign w:val="superscript"/>
                <w:lang w:val="en-GB"/>
              </w:rPr>
              <w:t>4</w:t>
            </w:r>
          </w:p>
        </w:tc>
      </w:tr>
      <w:tr w:rsidR="009121E1" w:rsidRPr="009121E1" w14:paraId="1E173FB6" w14:textId="77777777" w:rsidTr="00B111F9">
        <w:tc>
          <w:tcPr>
            <w:tcW w:w="1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CDB3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Ispitivanja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263D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E6AC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Snižen nivo vitamina D</w:t>
            </w:r>
            <w:r w:rsidRPr="009121E1">
              <w:rPr>
                <w:sz w:val="22"/>
                <w:szCs w:val="20"/>
                <w:vertAlign w:val="superscript"/>
                <w:lang w:val="en-GB"/>
              </w:rPr>
              <w:t>5</w:t>
            </w:r>
          </w:p>
        </w:tc>
      </w:tr>
      <w:tr w:rsidR="009121E1" w:rsidRPr="009121E1" w14:paraId="428A92F0" w14:textId="77777777" w:rsidTr="00B11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D9D1" w14:textId="77777777" w:rsidR="009121E1" w:rsidRPr="009121E1" w:rsidRDefault="009121E1" w:rsidP="007E21A6">
            <w:pPr>
              <w:keepNext/>
              <w:keepLines/>
              <w:jc w:val="both"/>
              <w:rPr>
                <w:rFonts w:eastAsia="SimSun"/>
                <w:sz w:val="22"/>
                <w:szCs w:val="20"/>
                <w:lang w:val="en-GB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29AD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AA57" w14:textId="77777777" w:rsidR="009121E1" w:rsidRPr="009121E1" w:rsidRDefault="009121E1" w:rsidP="007E21A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val="en-GB"/>
              </w:rPr>
            </w:pPr>
            <w:r w:rsidRPr="009121E1">
              <w:rPr>
                <w:sz w:val="22"/>
                <w:szCs w:val="20"/>
                <w:lang w:val="en-GB"/>
              </w:rPr>
              <w:t>Povišen nivo fosfora u krvi</w:t>
            </w:r>
            <w:r w:rsidRPr="009121E1">
              <w:rPr>
                <w:sz w:val="22"/>
                <w:szCs w:val="20"/>
                <w:vertAlign w:val="superscript"/>
                <w:lang w:val="en-GB"/>
              </w:rPr>
              <w:t>6</w:t>
            </w:r>
          </w:p>
        </w:tc>
      </w:tr>
    </w:tbl>
    <w:p w14:paraId="5933D807" w14:textId="77777777" w:rsidR="009121E1" w:rsidRPr="009121E1" w:rsidRDefault="009121E1" w:rsidP="007E21A6">
      <w:pPr>
        <w:keepNext/>
        <w:keepLines/>
        <w:jc w:val="both"/>
        <w:rPr>
          <w:color w:val="000000"/>
          <w:sz w:val="16"/>
          <w:szCs w:val="16"/>
          <w:vertAlign w:val="superscript"/>
        </w:rPr>
      </w:pPr>
    </w:p>
    <w:p w14:paraId="34F37264" w14:textId="77777777" w:rsidR="009121E1" w:rsidRPr="009121E1" w:rsidRDefault="009121E1" w:rsidP="007E21A6">
      <w:pPr>
        <w:keepNext/>
        <w:keepLines/>
        <w:jc w:val="both"/>
        <w:rPr>
          <w:color w:val="000000"/>
          <w:sz w:val="18"/>
          <w:szCs w:val="18"/>
        </w:rPr>
      </w:pPr>
      <w:r w:rsidRPr="009121E1">
        <w:rPr>
          <w:color w:val="000000"/>
          <w:sz w:val="16"/>
          <w:szCs w:val="16"/>
          <w:vertAlign w:val="superscript"/>
        </w:rPr>
        <w:t>1</w:t>
      </w:r>
      <w:r w:rsidRPr="009121E1">
        <w:rPr>
          <w:rFonts w:ascii="Arial" w:hAnsi="Arial"/>
          <w:color w:val="000000"/>
          <w:sz w:val="16"/>
          <w:szCs w:val="16"/>
          <w:vertAlign w:val="superscript"/>
        </w:rPr>
        <w:t xml:space="preserve"> </w:t>
      </w:r>
      <w:r w:rsidRPr="009121E1">
        <w:rPr>
          <w:color w:val="000000"/>
          <w:sz w:val="18"/>
          <w:szCs w:val="18"/>
        </w:rPr>
        <w:t xml:space="preserve">Infekcija zuba uključuje: </w:t>
      </w:r>
      <w:r w:rsidRPr="009121E1">
        <w:rPr>
          <w:i/>
          <w:iCs/>
          <w:color w:val="000000"/>
          <w:sz w:val="18"/>
          <w:szCs w:val="18"/>
        </w:rPr>
        <w:t>apsces zuba, infekciju zuba i zubobolju</w:t>
      </w:r>
    </w:p>
    <w:p w14:paraId="7A7824BD" w14:textId="77777777" w:rsidR="009121E1" w:rsidRPr="009121E1" w:rsidRDefault="009121E1" w:rsidP="007E21A6">
      <w:pPr>
        <w:keepNext/>
        <w:keepLines/>
        <w:jc w:val="both"/>
        <w:rPr>
          <w:color w:val="000000"/>
          <w:sz w:val="18"/>
          <w:szCs w:val="18"/>
        </w:rPr>
      </w:pPr>
      <w:r w:rsidRPr="009121E1">
        <w:rPr>
          <w:color w:val="000000"/>
          <w:sz w:val="16"/>
          <w:szCs w:val="16"/>
          <w:vertAlign w:val="superscript"/>
        </w:rPr>
        <w:t xml:space="preserve">2 </w:t>
      </w:r>
      <w:r w:rsidRPr="009121E1">
        <w:rPr>
          <w:color w:val="000000"/>
          <w:sz w:val="18"/>
          <w:szCs w:val="18"/>
        </w:rPr>
        <w:t>Glavobolja uključuje</w:t>
      </w:r>
      <w:r w:rsidRPr="009121E1">
        <w:rPr>
          <w:i/>
          <w:iCs/>
          <w:color w:val="000000"/>
          <w:sz w:val="18"/>
          <w:szCs w:val="18"/>
        </w:rPr>
        <w:t>: glavobolju i nelagodan osećaj u glavi</w:t>
      </w:r>
    </w:p>
    <w:p w14:paraId="6E2672A0" w14:textId="77777777" w:rsidR="009121E1" w:rsidRPr="009121E1" w:rsidRDefault="009121E1" w:rsidP="007E21A6">
      <w:pPr>
        <w:keepNext/>
        <w:keepLines/>
        <w:jc w:val="both"/>
        <w:rPr>
          <w:color w:val="000000"/>
          <w:sz w:val="16"/>
          <w:szCs w:val="16"/>
        </w:rPr>
      </w:pPr>
      <w:r w:rsidRPr="009121E1">
        <w:rPr>
          <w:color w:val="000000"/>
          <w:sz w:val="18"/>
          <w:szCs w:val="18"/>
          <w:vertAlign w:val="superscript"/>
        </w:rPr>
        <w:t xml:space="preserve">3 </w:t>
      </w:r>
      <w:r w:rsidRPr="009121E1">
        <w:rPr>
          <w:color w:val="000000"/>
          <w:sz w:val="18"/>
          <w:szCs w:val="18"/>
        </w:rPr>
        <w:t>Osip uključuje:</w:t>
      </w:r>
      <w:r w:rsidRPr="009121E1">
        <w:rPr>
          <w:color w:val="000000"/>
          <w:sz w:val="16"/>
          <w:szCs w:val="16"/>
        </w:rPr>
        <w:t xml:space="preserve"> </w:t>
      </w:r>
      <w:r w:rsidRPr="009121E1">
        <w:rPr>
          <w:i/>
          <w:iCs/>
          <w:color w:val="000000"/>
          <w:sz w:val="18"/>
          <w:szCs w:val="18"/>
        </w:rPr>
        <w:t>osip, papularni osip i eritematozni osip</w:t>
      </w:r>
    </w:p>
    <w:p w14:paraId="540849A7" w14:textId="1F7D3BBB" w:rsidR="009121E1" w:rsidRPr="009121E1" w:rsidRDefault="009121E1" w:rsidP="008B21F3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i/>
          <w:sz w:val="18"/>
          <w:szCs w:val="18"/>
          <w:lang w:val="en-GB"/>
        </w:rPr>
      </w:pPr>
      <w:proofErr w:type="gramStart"/>
      <w:r w:rsidRPr="009121E1">
        <w:rPr>
          <w:sz w:val="18"/>
          <w:szCs w:val="18"/>
          <w:vertAlign w:val="superscript"/>
          <w:lang w:val="en-GB"/>
        </w:rPr>
        <w:t xml:space="preserve">4 </w:t>
      </w:r>
      <w:r w:rsidRPr="009121E1">
        <w:rPr>
          <w:sz w:val="18"/>
          <w:szCs w:val="18"/>
          <w:lang w:val="en-GB"/>
        </w:rPr>
        <w:t>Reakcija na m</w:t>
      </w:r>
      <w:r w:rsidR="002C18A7">
        <w:rPr>
          <w:sz w:val="18"/>
          <w:szCs w:val="18"/>
          <w:lang w:val="en-GB"/>
        </w:rPr>
        <w:t>j</w:t>
      </w:r>
      <w:r w:rsidRPr="009121E1">
        <w:rPr>
          <w:sz w:val="18"/>
          <w:szCs w:val="18"/>
          <w:lang w:val="en-GB"/>
        </w:rPr>
        <w:t>estu prim</w:t>
      </w:r>
      <w:r w:rsidR="002C18A7">
        <w:rPr>
          <w:sz w:val="18"/>
          <w:szCs w:val="18"/>
          <w:lang w:val="en-GB"/>
        </w:rPr>
        <w:t>j</w:t>
      </w:r>
      <w:r w:rsidRPr="009121E1">
        <w:rPr>
          <w:sz w:val="18"/>
          <w:szCs w:val="18"/>
          <w:lang w:val="en-GB"/>
        </w:rPr>
        <w:t xml:space="preserve">ene injekcije uključuje: </w:t>
      </w:r>
      <w:r w:rsidRPr="009121E1">
        <w:rPr>
          <w:i/>
          <w:iCs/>
          <w:sz w:val="18"/>
          <w:szCs w:val="18"/>
          <w:lang w:val="en-GB"/>
        </w:rPr>
        <w:t xml:space="preserve">reakciju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 xml:space="preserve">injekcije, eritem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 xml:space="preserve">injekcije, pruritus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 xml:space="preserve">injekcije, oticanje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 xml:space="preserve">injekcije, bol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 xml:space="preserve">injekcije, osip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 xml:space="preserve">injekcije, pojavu modrica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>injekcije, prom</w:t>
      </w:r>
      <w:r w:rsidR="009B29D4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 xml:space="preserve">enu boje kože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 xml:space="preserve">injekcije, nelagodnost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 xml:space="preserve">injekcije, hematom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 xml:space="preserve">injekcije, krvarenje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 xml:space="preserve">injekcije, induraciju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 xml:space="preserve">injekcije, makulu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 xml:space="preserve">injekcije, urtikariju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>injekcije, preos</w:t>
      </w:r>
      <w:r w:rsidR="00796707">
        <w:rPr>
          <w:i/>
          <w:iCs/>
          <w:sz w:val="18"/>
          <w:szCs w:val="18"/>
          <w:lang w:val="en-GB"/>
        </w:rPr>
        <w:t>j</w:t>
      </w:r>
      <w:r w:rsidRPr="009121E1">
        <w:rPr>
          <w:i/>
          <w:iCs/>
          <w:sz w:val="18"/>
          <w:szCs w:val="18"/>
          <w:lang w:val="en-GB"/>
        </w:rPr>
        <w:t xml:space="preserve">etljivost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 xml:space="preserve">injekcije i upalu </w:t>
      </w:r>
      <w:r w:rsidR="00796707">
        <w:rPr>
          <w:i/>
          <w:iCs/>
          <w:sz w:val="18"/>
          <w:szCs w:val="18"/>
          <w:lang w:val="en-GB"/>
        </w:rPr>
        <w:t xml:space="preserve">na mjestu primjene </w:t>
      </w:r>
      <w:r w:rsidRPr="009121E1">
        <w:rPr>
          <w:i/>
          <w:iCs/>
          <w:sz w:val="18"/>
          <w:szCs w:val="18"/>
          <w:lang w:val="en-GB"/>
        </w:rPr>
        <w:t>injekcije</w:t>
      </w:r>
      <w:r w:rsidRPr="009121E1">
        <w:rPr>
          <w:sz w:val="16"/>
          <w:szCs w:val="16"/>
          <w:vertAlign w:val="superscript"/>
          <w:lang w:val="en-GB"/>
        </w:rPr>
        <w:t>5</w:t>
      </w:r>
      <w:r w:rsidRPr="009121E1">
        <w:rPr>
          <w:sz w:val="18"/>
          <w:szCs w:val="18"/>
          <w:lang w:val="en-GB"/>
        </w:rPr>
        <w:t xml:space="preserve">Snižen nivo vitamina D uključuje: </w:t>
      </w:r>
      <w:r w:rsidRPr="009121E1">
        <w:rPr>
          <w:i/>
          <w:iCs/>
          <w:sz w:val="18"/>
          <w:szCs w:val="18"/>
          <w:lang w:val="en-GB"/>
        </w:rPr>
        <w:t>nedostatak vitamina D, snižen nivo 25-hidroksikolekalciferola u krvi i sniženu vr</w:t>
      </w:r>
      <w:r w:rsidR="00796707">
        <w:rPr>
          <w:i/>
          <w:iCs/>
          <w:sz w:val="18"/>
          <w:szCs w:val="18"/>
          <w:lang w:val="en-GB"/>
        </w:rPr>
        <w:t>ij</w:t>
      </w:r>
      <w:r w:rsidRPr="009121E1">
        <w:rPr>
          <w:i/>
          <w:iCs/>
          <w:sz w:val="18"/>
          <w:szCs w:val="18"/>
          <w:lang w:val="en-GB"/>
        </w:rPr>
        <w:t>ednost vitamina D</w:t>
      </w:r>
      <w:proofErr w:type="gramEnd"/>
    </w:p>
    <w:p w14:paraId="5CFE6A4D" w14:textId="77777777" w:rsidR="009121E1" w:rsidRPr="009121E1" w:rsidRDefault="009121E1" w:rsidP="00204AFF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u w:val="single"/>
          <w:lang w:val="en-GB"/>
        </w:rPr>
      </w:pPr>
      <w:r w:rsidRPr="009121E1">
        <w:rPr>
          <w:sz w:val="16"/>
          <w:szCs w:val="16"/>
          <w:vertAlign w:val="superscript"/>
          <w:lang w:val="en-GB"/>
        </w:rPr>
        <w:t>6</w:t>
      </w:r>
      <w:r w:rsidRPr="009121E1">
        <w:rPr>
          <w:sz w:val="18"/>
          <w:szCs w:val="18"/>
          <w:lang w:val="en-GB"/>
        </w:rPr>
        <w:t>Povišen nivo fosfora u krvi uključuje:</w:t>
      </w:r>
      <w:r w:rsidRPr="009121E1">
        <w:rPr>
          <w:i/>
          <w:iCs/>
          <w:sz w:val="22"/>
          <w:szCs w:val="20"/>
          <w:lang w:val="en-GB"/>
        </w:rPr>
        <w:t xml:space="preserve"> </w:t>
      </w:r>
      <w:r w:rsidRPr="009121E1">
        <w:rPr>
          <w:i/>
          <w:iCs/>
          <w:sz w:val="18"/>
          <w:szCs w:val="18"/>
          <w:lang w:val="en-GB"/>
        </w:rPr>
        <w:t>povišen nivo fosfora u krvi i hiperfosfatemiju</w:t>
      </w:r>
    </w:p>
    <w:p w14:paraId="2740F5A0" w14:textId="77777777" w:rsidR="009121E1" w:rsidRPr="009121E1" w:rsidRDefault="009121E1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u w:val="single"/>
          <w:lang w:val="en-GB"/>
        </w:rPr>
      </w:pPr>
    </w:p>
    <w:p w14:paraId="7BACD41D" w14:textId="77777777" w:rsidR="009121E1" w:rsidRPr="009121E1" w:rsidRDefault="009121E1" w:rsidP="007E21A6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9121E1">
        <w:rPr>
          <w:sz w:val="22"/>
          <w:szCs w:val="22"/>
          <w:u w:val="single"/>
          <w:lang w:val="sr-Latn-RS"/>
        </w:rPr>
        <w:t>Opis odabranih neželjenih reakcija</w:t>
      </w:r>
    </w:p>
    <w:p w14:paraId="30525373" w14:textId="77777777" w:rsidR="009121E1" w:rsidRPr="009121E1" w:rsidRDefault="009121E1" w:rsidP="007E21A6">
      <w:pPr>
        <w:widowControl w:val="0"/>
        <w:autoSpaceDE w:val="0"/>
        <w:autoSpaceDN w:val="0"/>
        <w:jc w:val="both"/>
        <w:rPr>
          <w:sz w:val="14"/>
          <w:szCs w:val="22"/>
          <w:lang w:val="sr-Latn-RS"/>
        </w:rPr>
      </w:pPr>
    </w:p>
    <w:p w14:paraId="6158375F" w14:textId="76BFCDCC" w:rsidR="009121E1" w:rsidRDefault="009121E1" w:rsidP="007E21A6">
      <w:pPr>
        <w:keepNext/>
        <w:keepLines/>
        <w:autoSpaceDE w:val="0"/>
        <w:autoSpaceDN w:val="0"/>
        <w:adjustRightInd w:val="0"/>
        <w:jc w:val="both"/>
        <w:rPr>
          <w:rFonts w:eastAsia="SimSun"/>
          <w:i/>
          <w:iCs/>
          <w:sz w:val="22"/>
          <w:szCs w:val="20"/>
          <w:lang w:val="en-GB"/>
        </w:rPr>
      </w:pPr>
      <w:r w:rsidRPr="009121E1">
        <w:rPr>
          <w:rFonts w:eastAsia="SimSun"/>
          <w:i/>
          <w:iCs/>
          <w:sz w:val="22"/>
          <w:szCs w:val="20"/>
          <w:lang w:val="en-GB"/>
        </w:rPr>
        <w:t xml:space="preserve">Reakcije </w:t>
      </w:r>
      <w:proofErr w:type="gramStart"/>
      <w:r w:rsidRPr="009121E1">
        <w:rPr>
          <w:rFonts w:eastAsia="SimSun"/>
          <w:i/>
          <w:iCs/>
          <w:sz w:val="22"/>
          <w:szCs w:val="20"/>
          <w:lang w:val="en-GB"/>
        </w:rPr>
        <w:t>na</w:t>
      </w:r>
      <w:proofErr w:type="gramEnd"/>
      <w:r w:rsidRPr="009121E1">
        <w:rPr>
          <w:rFonts w:eastAsia="SimSun"/>
          <w:i/>
          <w:iCs/>
          <w:sz w:val="22"/>
          <w:szCs w:val="20"/>
          <w:lang w:val="en-GB"/>
        </w:rPr>
        <w:t xml:space="preserve"> m</w:t>
      </w:r>
      <w:r w:rsidR="00796707">
        <w:rPr>
          <w:rFonts w:eastAsia="SimSun"/>
          <w:i/>
          <w:iCs/>
          <w:sz w:val="22"/>
          <w:szCs w:val="20"/>
          <w:lang w:val="en-GB"/>
        </w:rPr>
        <w:t>j</w:t>
      </w:r>
      <w:r w:rsidRPr="009121E1">
        <w:rPr>
          <w:rFonts w:eastAsia="SimSun"/>
          <w:i/>
          <w:iCs/>
          <w:sz w:val="22"/>
          <w:szCs w:val="20"/>
          <w:lang w:val="en-GB"/>
        </w:rPr>
        <w:t>estu davanja injekcije</w:t>
      </w:r>
    </w:p>
    <w:p w14:paraId="3746F13D" w14:textId="77777777" w:rsidR="008B21F3" w:rsidRPr="009121E1" w:rsidRDefault="008B21F3" w:rsidP="007E21A6">
      <w:pPr>
        <w:keepNext/>
        <w:keepLines/>
        <w:autoSpaceDE w:val="0"/>
        <w:autoSpaceDN w:val="0"/>
        <w:adjustRightInd w:val="0"/>
        <w:jc w:val="both"/>
        <w:rPr>
          <w:rFonts w:eastAsia="SimSun"/>
          <w:i/>
          <w:iCs/>
          <w:sz w:val="22"/>
          <w:szCs w:val="20"/>
          <w:lang w:val="en-GB"/>
        </w:rPr>
      </w:pPr>
    </w:p>
    <w:p w14:paraId="10511420" w14:textId="77777777" w:rsidR="009121E1" w:rsidRPr="009121E1" w:rsidRDefault="009121E1" w:rsidP="007E21A6">
      <w:pPr>
        <w:keepNext/>
        <w:keepLines/>
        <w:autoSpaceDE w:val="0"/>
        <w:autoSpaceDN w:val="0"/>
        <w:adjustRightInd w:val="0"/>
        <w:jc w:val="both"/>
        <w:rPr>
          <w:sz w:val="22"/>
          <w:szCs w:val="20"/>
          <w:lang w:val="en-GB"/>
        </w:rPr>
      </w:pPr>
      <w:r w:rsidRPr="009121E1">
        <w:rPr>
          <w:rFonts w:eastAsia="SimSun"/>
          <w:i/>
          <w:iCs/>
          <w:sz w:val="22"/>
          <w:szCs w:val="20"/>
          <w:lang w:val="en-GB"/>
        </w:rPr>
        <w:t xml:space="preserve">Pedijatrijski pacijenti </w:t>
      </w:r>
      <w:proofErr w:type="gramStart"/>
      <w:r w:rsidRPr="009121E1">
        <w:rPr>
          <w:rFonts w:eastAsia="SimSun"/>
          <w:i/>
          <w:iCs/>
          <w:sz w:val="22"/>
          <w:szCs w:val="20"/>
          <w:lang w:val="en-GB"/>
        </w:rPr>
        <w:t>sa</w:t>
      </w:r>
      <w:proofErr w:type="gramEnd"/>
      <w:r w:rsidRPr="009121E1">
        <w:rPr>
          <w:rFonts w:eastAsia="SimSun"/>
          <w:i/>
          <w:iCs/>
          <w:sz w:val="22"/>
          <w:szCs w:val="20"/>
          <w:lang w:val="en-GB"/>
        </w:rPr>
        <w:t xml:space="preserve"> XLH:</w:t>
      </w:r>
    </w:p>
    <w:p w14:paraId="117DD696" w14:textId="15478C62" w:rsidR="009121E1" w:rsidRPr="009121E1" w:rsidRDefault="009121E1" w:rsidP="007E21A6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lang w:val="en-GB"/>
        </w:rPr>
      </w:pPr>
      <w:r w:rsidRPr="009121E1">
        <w:rPr>
          <w:sz w:val="22"/>
          <w:szCs w:val="20"/>
          <w:lang w:val="en-GB"/>
        </w:rPr>
        <w:t xml:space="preserve">Lokalne reakcije (npr. urtikarija, eritem, osip, otok, pojava modrica, bol, pruritus i hematom </w:t>
      </w:r>
      <w:proofErr w:type="gramStart"/>
      <w:r w:rsidR="00796707">
        <w:rPr>
          <w:sz w:val="22"/>
          <w:szCs w:val="20"/>
          <w:lang w:val="en-GB"/>
        </w:rPr>
        <w:t>na</w:t>
      </w:r>
      <w:proofErr w:type="gramEnd"/>
      <w:r w:rsidR="00796707">
        <w:rPr>
          <w:sz w:val="22"/>
          <w:szCs w:val="20"/>
          <w:lang w:val="en-GB"/>
        </w:rPr>
        <w:t xml:space="preserve"> mjestu primjene </w:t>
      </w:r>
      <w:r w:rsidRPr="009121E1">
        <w:rPr>
          <w:sz w:val="22"/>
          <w:szCs w:val="20"/>
          <w:lang w:val="en-GB"/>
        </w:rPr>
        <w:t xml:space="preserve">injekcije) pojavile su se </w:t>
      </w:r>
      <w:r w:rsidR="00796707">
        <w:rPr>
          <w:sz w:val="22"/>
          <w:szCs w:val="20"/>
          <w:lang w:val="en-GB"/>
        </w:rPr>
        <w:t xml:space="preserve">na mjestu primjene </w:t>
      </w:r>
      <w:r w:rsidRPr="009121E1">
        <w:rPr>
          <w:sz w:val="22"/>
          <w:szCs w:val="20"/>
          <w:lang w:val="en-GB"/>
        </w:rPr>
        <w:t xml:space="preserve">injekcije. Na osnovu podataka iz kliničkih ispitivanja u pedijatrijskoj populaciji, reakciju </w:t>
      </w:r>
      <w:proofErr w:type="gramStart"/>
      <w:r w:rsidR="00796707">
        <w:rPr>
          <w:sz w:val="22"/>
          <w:szCs w:val="20"/>
          <w:lang w:val="en-GB"/>
        </w:rPr>
        <w:t>na</w:t>
      </w:r>
      <w:proofErr w:type="gramEnd"/>
      <w:r w:rsidR="00796707">
        <w:rPr>
          <w:sz w:val="22"/>
          <w:szCs w:val="20"/>
          <w:lang w:val="en-GB"/>
        </w:rPr>
        <w:t xml:space="preserve"> mjestu primjene </w:t>
      </w:r>
      <w:r w:rsidRPr="009121E1">
        <w:rPr>
          <w:sz w:val="22"/>
          <w:szCs w:val="20"/>
          <w:lang w:val="en-GB"/>
        </w:rPr>
        <w:t xml:space="preserve">injekcije imalo je približno 54% pacijenata. Reakcije </w:t>
      </w:r>
      <w:proofErr w:type="gramStart"/>
      <w:r w:rsidR="00796707">
        <w:rPr>
          <w:sz w:val="22"/>
          <w:szCs w:val="20"/>
          <w:lang w:val="en-GB"/>
        </w:rPr>
        <w:t>na</w:t>
      </w:r>
      <w:proofErr w:type="gramEnd"/>
      <w:r w:rsidR="00796707">
        <w:rPr>
          <w:sz w:val="22"/>
          <w:szCs w:val="20"/>
          <w:lang w:val="en-GB"/>
        </w:rPr>
        <w:t xml:space="preserve"> mjestu primjene </w:t>
      </w:r>
      <w:r w:rsidRPr="009121E1">
        <w:rPr>
          <w:sz w:val="22"/>
          <w:szCs w:val="20"/>
          <w:lang w:val="en-GB"/>
        </w:rPr>
        <w:t>injekcije su bile uglavnom blage, javljale su se u roku od jednog dana od primene l</w:t>
      </w:r>
      <w:r w:rsidR="00796707"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eka, trajale su pretežno između 1 i 3 dana, nije bilo potrebno l</w:t>
      </w:r>
      <w:r w:rsidR="00796707"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ečenje i povukle su se u gotovo svim slučajevima.</w:t>
      </w:r>
    </w:p>
    <w:p w14:paraId="239DEC7F" w14:textId="77777777" w:rsidR="009121E1" w:rsidRPr="009121E1" w:rsidRDefault="009121E1" w:rsidP="007E21A6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lang w:val="en-GB"/>
        </w:rPr>
      </w:pPr>
    </w:p>
    <w:p w14:paraId="7C8679DB" w14:textId="77777777" w:rsidR="009121E1" w:rsidRPr="009121E1" w:rsidRDefault="009121E1" w:rsidP="007E21A6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i/>
          <w:sz w:val="22"/>
          <w:szCs w:val="20"/>
          <w:lang w:val="en-GB"/>
        </w:rPr>
      </w:pPr>
      <w:r w:rsidRPr="009121E1">
        <w:rPr>
          <w:i/>
          <w:iCs/>
          <w:sz w:val="22"/>
          <w:szCs w:val="20"/>
          <w:lang w:val="en-GB"/>
        </w:rPr>
        <w:t xml:space="preserve">Odrasli pacijenti </w:t>
      </w:r>
      <w:proofErr w:type="gramStart"/>
      <w:r w:rsidRPr="009121E1">
        <w:rPr>
          <w:i/>
          <w:iCs/>
          <w:sz w:val="22"/>
          <w:szCs w:val="20"/>
          <w:lang w:val="en-GB"/>
        </w:rPr>
        <w:t>sa</w:t>
      </w:r>
      <w:proofErr w:type="gramEnd"/>
      <w:r w:rsidRPr="009121E1">
        <w:rPr>
          <w:i/>
          <w:iCs/>
          <w:sz w:val="22"/>
          <w:szCs w:val="20"/>
          <w:lang w:val="en-GB"/>
        </w:rPr>
        <w:t xml:space="preserve"> XLH ili TIO:</w:t>
      </w:r>
    </w:p>
    <w:p w14:paraId="4DFDCFD4" w14:textId="019C642A" w:rsidR="009121E1" w:rsidRPr="009121E1" w:rsidRDefault="009121E1" w:rsidP="007E21A6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rFonts w:eastAsia="SimSun"/>
          <w:sz w:val="22"/>
          <w:szCs w:val="20"/>
          <w:lang w:val="en-GB"/>
        </w:rPr>
      </w:pPr>
      <w:r w:rsidRPr="009121E1">
        <w:rPr>
          <w:rFonts w:eastAsia="SimSun"/>
          <w:sz w:val="22"/>
          <w:szCs w:val="20"/>
          <w:lang w:val="en-GB"/>
        </w:rPr>
        <w:t xml:space="preserve">Reakcije </w:t>
      </w:r>
      <w:proofErr w:type="gramStart"/>
      <w:r w:rsidR="00796707">
        <w:rPr>
          <w:rFonts w:eastAsia="SimSun"/>
          <w:sz w:val="22"/>
          <w:szCs w:val="20"/>
          <w:lang w:val="en-GB"/>
        </w:rPr>
        <w:t>na</w:t>
      </w:r>
      <w:proofErr w:type="gramEnd"/>
      <w:r w:rsidR="00796707">
        <w:rPr>
          <w:rFonts w:eastAsia="SimSun"/>
          <w:sz w:val="22"/>
          <w:szCs w:val="20"/>
          <w:lang w:val="en-GB"/>
        </w:rPr>
        <w:t xml:space="preserve"> mjestu primjene </w:t>
      </w:r>
      <w:r w:rsidRPr="009121E1">
        <w:rPr>
          <w:rFonts w:eastAsia="SimSun"/>
          <w:sz w:val="22"/>
          <w:szCs w:val="20"/>
          <w:lang w:val="en-GB"/>
        </w:rPr>
        <w:t>injekcije su bile uglavnom blage, nije bilo potrebno l</w:t>
      </w:r>
      <w:r w:rsidR="00796707">
        <w:rPr>
          <w:rFonts w:eastAsia="SimSun"/>
          <w:sz w:val="22"/>
          <w:szCs w:val="20"/>
          <w:lang w:val="en-GB"/>
        </w:rPr>
        <w:t>ij</w:t>
      </w:r>
      <w:r w:rsidRPr="009121E1">
        <w:rPr>
          <w:rFonts w:eastAsia="SimSun"/>
          <w:sz w:val="22"/>
          <w:szCs w:val="20"/>
          <w:lang w:val="en-GB"/>
        </w:rPr>
        <w:t>ečenje i povukle su se u gotovo svim slučajevima.</w:t>
      </w:r>
    </w:p>
    <w:p w14:paraId="1D1AC8DE" w14:textId="7241B951" w:rsidR="009121E1" w:rsidRPr="009121E1" w:rsidRDefault="009121E1" w:rsidP="007E21A6">
      <w:pPr>
        <w:keepNext/>
        <w:keepLines/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sz w:val="22"/>
          <w:szCs w:val="20"/>
          <w:lang w:val="en-GB"/>
        </w:rPr>
      </w:pPr>
      <w:r w:rsidRPr="009121E1">
        <w:rPr>
          <w:rFonts w:eastAsia="SimSun"/>
          <w:sz w:val="22"/>
          <w:szCs w:val="20"/>
          <w:lang w:val="en-GB"/>
        </w:rPr>
        <w:t xml:space="preserve">Kod pacijenata </w:t>
      </w:r>
      <w:proofErr w:type="gramStart"/>
      <w:r w:rsidRPr="009121E1">
        <w:rPr>
          <w:rFonts w:eastAsia="SimSun"/>
          <w:sz w:val="22"/>
          <w:szCs w:val="20"/>
          <w:lang w:val="en-GB"/>
        </w:rPr>
        <w:t>sa</w:t>
      </w:r>
      <w:proofErr w:type="gramEnd"/>
      <w:r w:rsidRPr="009121E1">
        <w:rPr>
          <w:rFonts w:eastAsia="SimSun"/>
          <w:sz w:val="22"/>
          <w:szCs w:val="20"/>
          <w:lang w:val="en-GB"/>
        </w:rPr>
        <w:t xml:space="preserve"> XLH, u placebom kontrolisanom periodu l</w:t>
      </w:r>
      <w:r w:rsidR="00796707">
        <w:rPr>
          <w:rFonts w:eastAsia="SimSun"/>
          <w:sz w:val="22"/>
          <w:szCs w:val="20"/>
          <w:lang w:val="en-GB"/>
        </w:rPr>
        <w:t>ij</w:t>
      </w:r>
      <w:r w:rsidRPr="009121E1">
        <w:rPr>
          <w:rFonts w:eastAsia="SimSun"/>
          <w:sz w:val="22"/>
          <w:szCs w:val="20"/>
          <w:lang w:val="en-GB"/>
        </w:rPr>
        <w:t xml:space="preserve">ečenja Studije UX023-CL303, učestalost reakcija </w:t>
      </w:r>
      <w:r w:rsidR="00796707">
        <w:rPr>
          <w:rFonts w:eastAsia="SimSun"/>
          <w:sz w:val="22"/>
          <w:szCs w:val="20"/>
          <w:lang w:val="en-GB"/>
        </w:rPr>
        <w:t xml:space="preserve">na mjestu primjene </w:t>
      </w:r>
      <w:r w:rsidRPr="009121E1">
        <w:rPr>
          <w:rFonts w:eastAsia="SimSun"/>
          <w:sz w:val="22"/>
          <w:szCs w:val="20"/>
          <w:lang w:val="en-GB"/>
        </w:rPr>
        <w:t>injekcije bila je 12% i u grupi l</w:t>
      </w:r>
      <w:r w:rsidR="00796707">
        <w:rPr>
          <w:rFonts w:eastAsia="SimSun"/>
          <w:sz w:val="22"/>
          <w:szCs w:val="20"/>
          <w:lang w:val="en-GB"/>
        </w:rPr>
        <w:t>ij</w:t>
      </w:r>
      <w:r w:rsidRPr="009121E1">
        <w:rPr>
          <w:rFonts w:eastAsia="SimSun"/>
          <w:sz w:val="22"/>
          <w:szCs w:val="20"/>
          <w:lang w:val="en-GB"/>
        </w:rPr>
        <w:t xml:space="preserve">ečenoj burosumabom i u onoj koja je primala placebo (reakcija, eritem, osip, modrica, bol, pruritus i hematom </w:t>
      </w:r>
      <w:r w:rsidR="00796707">
        <w:rPr>
          <w:rFonts w:eastAsia="SimSun"/>
          <w:sz w:val="22"/>
          <w:szCs w:val="20"/>
          <w:lang w:val="en-GB"/>
        </w:rPr>
        <w:t xml:space="preserve">na mjestu primjene </w:t>
      </w:r>
      <w:r w:rsidRPr="009121E1">
        <w:rPr>
          <w:rFonts w:eastAsia="SimSun"/>
          <w:sz w:val="22"/>
          <w:szCs w:val="20"/>
          <w:lang w:val="en-GB"/>
        </w:rPr>
        <w:t>injekcije).</w:t>
      </w:r>
    </w:p>
    <w:p w14:paraId="27989FC0" w14:textId="136439DD" w:rsidR="009121E1" w:rsidRPr="009121E1" w:rsidRDefault="009121E1" w:rsidP="007E21A6">
      <w:pPr>
        <w:keepNext/>
        <w:keepLines/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sz w:val="22"/>
          <w:szCs w:val="20"/>
          <w:lang w:val="en-GB"/>
        </w:rPr>
      </w:pPr>
      <w:r w:rsidRPr="009121E1">
        <w:rPr>
          <w:rFonts w:eastAsia="SimSun"/>
          <w:sz w:val="22"/>
          <w:szCs w:val="20"/>
          <w:lang w:val="en-GB"/>
        </w:rPr>
        <w:t xml:space="preserve">Kod pacijenata </w:t>
      </w:r>
      <w:proofErr w:type="gramStart"/>
      <w:r w:rsidRPr="009121E1">
        <w:rPr>
          <w:rFonts w:eastAsia="SimSun"/>
          <w:sz w:val="22"/>
          <w:szCs w:val="20"/>
          <w:lang w:val="en-GB"/>
        </w:rPr>
        <w:t>sa</w:t>
      </w:r>
      <w:proofErr w:type="gramEnd"/>
      <w:r w:rsidRPr="009121E1">
        <w:rPr>
          <w:rFonts w:eastAsia="SimSun"/>
          <w:sz w:val="22"/>
          <w:szCs w:val="20"/>
          <w:lang w:val="en-GB"/>
        </w:rPr>
        <w:t xml:space="preserve"> TIO učestalost reakcija </w:t>
      </w:r>
      <w:r w:rsidR="00796707">
        <w:rPr>
          <w:rFonts w:eastAsia="SimSun"/>
          <w:sz w:val="22"/>
          <w:szCs w:val="20"/>
          <w:lang w:val="en-GB"/>
        </w:rPr>
        <w:t xml:space="preserve">na mjestu primjene </w:t>
      </w:r>
      <w:r w:rsidRPr="009121E1">
        <w:rPr>
          <w:rFonts w:eastAsia="SimSun"/>
          <w:sz w:val="22"/>
          <w:szCs w:val="20"/>
          <w:lang w:val="en-GB"/>
        </w:rPr>
        <w:t xml:space="preserve">injekcije na osnovu podataka iz završenih dugotrajnih kliničkih studija iznosila je 22% (reakcija, bol i otok </w:t>
      </w:r>
      <w:r w:rsidR="00796707">
        <w:rPr>
          <w:rFonts w:eastAsia="SimSun"/>
          <w:sz w:val="22"/>
          <w:szCs w:val="20"/>
          <w:lang w:val="en-GB"/>
        </w:rPr>
        <w:t xml:space="preserve">na mjestu primjene </w:t>
      </w:r>
      <w:r w:rsidRPr="009121E1">
        <w:rPr>
          <w:rFonts w:eastAsia="SimSun"/>
          <w:sz w:val="22"/>
          <w:szCs w:val="20"/>
          <w:lang w:val="en-GB"/>
        </w:rPr>
        <w:t>injekcije).</w:t>
      </w:r>
    </w:p>
    <w:p w14:paraId="25355DF2" w14:textId="77777777" w:rsidR="009121E1" w:rsidRPr="009121E1" w:rsidRDefault="009121E1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0B61D48D" w14:textId="61B3C204" w:rsidR="009121E1" w:rsidRDefault="009121E1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i/>
          <w:iCs/>
          <w:sz w:val="22"/>
          <w:szCs w:val="20"/>
          <w:lang w:val="en-GB"/>
        </w:rPr>
      </w:pPr>
      <w:r w:rsidRPr="009121E1">
        <w:rPr>
          <w:i/>
          <w:iCs/>
          <w:sz w:val="22"/>
          <w:szCs w:val="20"/>
          <w:lang w:val="en-GB"/>
        </w:rPr>
        <w:t>Preos</w:t>
      </w:r>
      <w:r w:rsidR="00796707">
        <w:rPr>
          <w:i/>
          <w:iCs/>
          <w:sz w:val="22"/>
          <w:szCs w:val="20"/>
          <w:lang w:val="en-GB"/>
        </w:rPr>
        <w:t>j</w:t>
      </w:r>
      <w:r w:rsidRPr="009121E1">
        <w:rPr>
          <w:i/>
          <w:iCs/>
          <w:sz w:val="22"/>
          <w:szCs w:val="20"/>
          <w:lang w:val="en-GB"/>
        </w:rPr>
        <w:t>etljivost</w:t>
      </w:r>
    </w:p>
    <w:p w14:paraId="48270E5F" w14:textId="77777777" w:rsidR="008B21F3" w:rsidRPr="009121E1" w:rsidRDefault="008B21F3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i/>
          <w:iCs/>
          <w:sz w:val="22"/>
          <w:szCs w:val="20"/>
          <w:lang w:val="en-GB"/>
        </w:rPr>
      </w:pPr>
    </w:p>
    <w:p w14:paraId="4323CB36" w14:textId="77777777" w:rsidR="009121E1" w:rsidRPr="009121E1" w:rsidRDefault="009121E1" w:rsidP="007E21A6">
      <w:pPr>
        <w:autoSpaceDE w:val="0"/>
        <w:autoSpaceDN w:val="0"/>
        <w:adjustRightInd w:val="0"/>
        <w:jc w:val="both"/>
        <w:rPr>
          <w:sz w:val="22"/>
          <w:szCs w:val="20"/>
          <w:lang w:val="en-GB"/>
        </w:rPr>
      </w:pPr>
      <w:r w:rsidRPr="009121E1">
        <w:rPr>
          <w:rFonts w:eastAsia="SimSun"/>
          <w:i/>
          <w:iCs/>
          <w:sz w:val="22"/>
          <w:szCs w:val="20"/>
          <w:lang w:val="en-GB"/>
        </w:rPr>
        <w:t xml:space="preserve">Pedijatrijski pacijenti </w:t>
      </w:r>
      <w:proofErr w:type="gramStart"/>
      <w:r w:rsidRPr="009121E1">
        <w:rPr>
          <w:rFonts w:eastAsia="SimSun"/>
          <w:i/>
          <w:iCs/>
          <w:sz w:val="22"/>
          <w:szCs w:val="20"/>
          <w:lang w:val="en-GB"/>
        </w:rPr>
        <w:t>sa</w:t>
      </w:r>
      <w:proofErr w:type="gramEnd"/>
      <w:r w:rsidRPr="009121E1">
        <w:rPr>
          <w:rFonts w:eastAsia="SimSun"/>
          <w:i/>
          <w:iCs/>
          <w:sz w:val="22"/>
          <w:szCs w:val="20"/>
          <w:lang w:val="en-GB"/>
        </w:rPr>
        <w:t xml:space="preserve"> XLH:</w:t>
      </w:r>
    </w:p>
    <w:p w14:paraId="4F37B3FA" w14:textId="1E0CA69A" w:rsidR="009121E1" w:rsidRPr="009121E1" w:rsidRDefault="009121E1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lang w:val="en-GB"/>
        </w:rPr>
      </w:pPr>
      <w:r w:rsidRPr="009121E1">
        <w:rPr>
          <w:sz w:val="22"/>
          <w:szCs w:val="20"/>
          <w:lang w:val="en-GB"/>
        </w:rPr>
        <w:t>Na osnovu podatka iz kliničkih studija, reakcije preos</w:t>
      </w:r>
      <w:r w:rsidR="00796707"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etljivosti (</w:t>
      </w:r>
      <w:proofErr w:type="gramStart"/>
      <w:r w:rsidRPr="009121E1">
        <w:rPr>
          <w:sz w:val="22"/>
          <w:szCs w:val="20"/>
          <w:lang w:val="en-GB"/>
        </w:rPr>
        <w:t>npr.:</w:t>
      </w:r>
      <w:proofErr w:type="gramEnd"/>
      <w:r w:rsidRPr="009121E1">
        <w:rPr>
          <w:sz w:val="22"/>
          <w:szCs w:val="20"/>
          <w:lang w:val="en-GB"/>
        </w:rPr>
        <w:t xml:space="preserve"> reakcije </w:t>
      </w:r>
      <w:r w:rsidR="00796707">
        <w:rPr>
          <w:sz w:val="22"/>
          <w:szCs w:val="20"/>
          <w:lang w:val="en-GB"/>
        </w:rPr>
        <w:t xml:space="preserve">na mjestu primjene </w:t>
      </w:r>
      <w:r w:rsidRPr="009121E1">
        <w:rPr>
          <w:sz w:val="22"/>
          <w:szCs w:val="20"/>
          <w:lang w:val="en-GB"/>
        </w:rPr>
        <w:t>injekcije, osip, urtikarija, oticanje lica, dermatitis itd.) zab</w:t>
      </w:r>
      <w:r w:rsidR="00341BAE">
        <w:rPr>
          <w:sz w:val="22"/>
          <w:szCs w:val="20"/>
          <w:lang w:val="en-GB"/>
        </w:rPr>
        <w:t>ilj</w:t>
      </w:r>
      <w:r w:rsidRPr="009121E1">
        <w:rPr>
          <w:sz w:val="22"/>
          <w:szCs w:val="20"/>
          <w:lang w:val="en-GB"/>
        </w:rPr>
        <w:t>ežene su kod 39% pedijatrijskih pacijenata. Sve zab</w:t>
      </w:r>
      <w:r w:rsidR="00341BAE">
        <w:rPr>
          <w:sz w:val="22"/>
          <w:szCs w:val="20"/>
          <w:lang w:val="en-GB"/>
        </w:rPr>
        <w:t>ilj</w:t>
      </w:r>
      <w:r w:rsidRPr="009121E1">
        <w:rPr>
          <w:sz w:val="22"/>
          <w:szCs w:val="20"/>
          <w:lang w:val="en-GB"/>
        </w:rPr>
        <w:t xml:space="preserve">eežene reakcije bile su blage </w:t>
      </w:r>
      <w:proofErr w:type="gramStart"/>
      <w:r w:rsidRPr="009121E1">
        <w:rPr>
          <w:sz w:val="22"/>
          <w:szCs w:val="20"/>
          <w:lang w:val="en-GB"/>
        </w:rPr>
        <w:t>ili</w:t>
      </w:r>
      <w:proofErr w:type="gramEnd"/>
      <w:r w:rsidRPr="009121E1">
        <w:rPr>
          <w:sz w:val="22"/>
          <w:szCs w:val="20"/>
          <w:lang w:val="en-GB"/>
        </w:rPr>
        <w:t xml:space="preserve"> um</w:t>
      </w:r>
      <w:r w:rsidR="00796707"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erene težine.</w:t>
      </w:r>
    </w:p>
    <w:p w14:paraId="27006419" w14:textId="77777777" w:rsidR="009121E1" w:rsidRPr="009121E1" w:rsidRDefault="009121E1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lang w:val="en-GB"/>
        </w:rPr>
      </w:pPr>
    </w:p>
    <w:p w14:paraId="550CEA99" w14:textId="77777777" w:rsidR="009121E1" w:rsidRPr="009121E1" w:rsidRDefault="009121E1" w:rsidP="007E21A6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i/>
          <w:sz w:val="22"/>
          <w:szCs w:val="20"/>
          <w:lang w:val="en-GB"/>
        </w:rPr>
      </w:pPr>
      <w:r w:rsidRPr="009121E1">
        <w:rPr>
          <w:i/>
          <w:iCs/>
          <w:sz w:val="22"/>
          <w:szCs w:val="20"/>
          <w:lang w:val="en-GB"/>
        </w:rPr>
        <w:lastRenderedPageBreak/>
        <w:t xml:space="preserve">Odrasli pacijenti </w:t>
      </w:r>
      <w:proofErr w:type="gramStart"/>
      <w:r w:rsidRPr="009121E1">
        <w:rPr>
          <w:i/>
          <w:iCs/>
          <w:sz w:val="22"/>
          <w:szCs w:val="20"/>
          <w:lang w:val="en-GB"/>
        </w:rPr>
        <w:t>sa</w:t>
      </w:r>
      <w:proofErr w:type="gramEnd"/>
      <w:r w:rsidRPr="009121E1">
        <w:rPr>
          <w:i/>
          <w:iCs/>
          <w:sz w:val="22"/>
          <w:szCs w:val="20"/>
          <w:lang w:val="en-GB"/>
        </w:rPr>
        <w:t xml:space="preserve"> XLH ili TIO:</w:t>
      </w:r>
    </w:p>
    <w:p w14:paraId="6B90CF6A" w14:textId="19AB282A" w:rsidR="009121E1" w:rsidRPr="009121E1" w:rsidRDefault="009121E1" w:rsidP="007E21A6">
      <w:pPr>
        <w:keepNext/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sz w:val="22"/>
          <w:szCs w:val="20"/>
          <w:lang w:val="en-GB"/>
        </w:rPr>
      </w:pPr>
      <w:r w:rsidRPr="009121E1">
        <w:rPr>
          <w:sz w:val="22"/>
          <w:szCs w:val="20"/>
          <w:lang w:val="en-GB"/>
        </w:rPr>
        <w:t>Reakcije preos</w:t>
      </w:r>
      <w:r w:rsidR="00796707"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 xml:space="preserve">etljivosti su bile blage </w:t>
      </w:r>
      <w:proofErr w:type="gramStart"/>
      <w:r w:rsidRPr="009121E1">
        <w:rPr>
          <w:sz w:val="22"/>
          <w:szCs w:val="20"/>
          <w:lang w:val="en-GB"/>
        </w:rPr>
        <w:t>ili</w:t>
      </w:r>
      <w:proofErr w:type="gramEnd"/>
      <w:r w:rsidRPr="009121E1">
        <w:rPr>
          <w:sz w:val="22"/>
          <w:szCs w:val="20"/>
          <w:lang w:val="en-GB"/>
        </w:rPr>
        <w:t xml:space="preserve"> um</w:t>
      </w:r>
      <w:r w:rsidR="00796707"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 xml:space="preserve">erene težine. </w:t>
      </w:r>
    </w:p>
    <w:p w14:paraId="2D71FB90" w14:textId="23979A4F" w:rsidR="009121E1" w:rsidRPr="009121E1" w:rsidRDefault="009121E1" w:rsidP="007E21A6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sz w:val="22"/>
          <w:szCs w:val="20"/>
          <w:lang w:val="en-GB"/>
        </w:rPr>
      </w:pPr>
      <w:r w:rsidRPr="009121E1">
        <w:rPr>
          <w:rFonts w:eastAsia="SimSun"/>
          <w:sz w:val="22"/>
          <w:szCs w:val="20"/>
          <w:lang w:val="en-GB"/>
        </w:rPr>
        <w:t xml:space="preserve">Kod pacijenata </w:t>
      </w:r>
      <w:proofErr w:type="gramStart"/>
      <w:r w:rsidRPr="009121E1">
        <w:rPr>
          <w:rFonts w:eastAsia="SimSun"/>
          <w:sz w:val="22"/>
          <w:szCs w:val="20"/>
          <w:lang w:val="en-GB"/>
        </w:rPr>
        <w:t>sa</w:t>
      </w:r>
      <w:proofErr w:type="gramEnd"/>
      <w:r w:rsidRPr="009121E1">
        <w:rPr>
          <w:rFonts w:eastAsia="SimSun"/>
          <w:sz w:val="22"/>
          <w:szCs w:val="20"/>
          <w:lang w:val="en-GB"/>
        </w:rPr>
        <w:t xml:space="preserve"> XLH, u placebom kontrolisanom periodu l</w:t>
      </w:r>
      <w:r w:rsidR="00796707">
        <w:rPr>
          <w:rFonts w:eastAsia="SimSun"/>
          <w:sz w:val="22"/>
          <w:szCs w:val="20"/>
          <w:lang w:val="en-GB"/>
        </w:rPr>
        <w:t>ij</w:t>
      </w:r>
      <w:r w:rsidRPr="009121E1">
        <w:rPr>
          <w:rFonts w:eastAsia="SimSun"/>
          <w:sz w:val="22"/>
          <w:szCs w:val="20"/>
          <w:lang w:val="en-GB"/>
        </w:rPr>
        <w:t>ečenja Studije UX023-CL303, incidenca mogućih reakcija preos</w:t>
      </w:r>
      <w:r w:rsidR="00796707">
        <w:rPr>
          <w:rFonts w:eastAsia="SimSun"/>
          <w:sz w:val="22"/>
          <w:szCs w:val="20"/>
          <w:lang w:val="en-GB"/>
        </w:rPr>
        <w:t>j</w:t>
      </w:r>
      <w:r w:rsidRPr="009121E1">
        <w:rPr>
          <w:rFonts w:eastAsia="SimSun"/>
          <w:sz w:val="22"/>
          <w:szCs w:val="20"/>
          <w:lang w:val="en-GB"/>
        </w:rPr>
        <w:t>etljivosti bila je slična (6%) i kod pacijenata l</w:t>
      </w:r>
      <w:r w:rsidR="00796707">
        <w:rPr>
          <w:rFonts w:eastAsia="SimSun"/>
          <w:sz w:val="22"/>
          <w:szCs w:val="20"/>
          <w:lang w:val="en-GB"/>
        </w:rPr>
        <w:t>ij</w:t>
      </w:r>
      <w:r w:rsidRPr="009121E1">
        <w:rPr>
          <w:rFonts w:eastAsia="SimSun"/>
          <w:sz w:val="22"/>
          <w:szCs w:val="20"/>
          <w:lang w:val="en-GB"/>
        </w:rPr>
        <w:t>ečenih buro</w:t>
      </w:r>
      <w:r w:rsidR="00796707">
        <w:rPr>
          <w:rFonts w:eastAsia="SimSun"/>
          <w:sz w:val="22"/>
          <w:szCs w:val="20"/>
          <w:lang w:val="en-GB"/>
        </w:rPr>
        <w:t>s</w:t>
      </w:r>
      <w:r w:rsidRPr="009121E1">
        <w:rPr>
          <w:rFonts w:eastAsia="SimSun"/>
          <w:sz w:val="22"/>
          <w:szCs w:val="20"/>
          <w:lang w:val="en-GB"/>
        </w:rPr>
        <w:t xml:space="preserve">umabom i kod onih koji su primali placebo. </w:t>
      </w:r>
    </w:p>
    <w:p w14:paraId="08CC8614" w14:textId="151A9B8F" w:rsidR="009121E1" w:rsidRPr="009121E1" w:rsidRDefault="009121E1" w:rsidP="007E21A6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iCs/>
          <w:sz w:val="22"/>
          <w:szCs w:val="20"/>
          <w:lang w:val="en-GB"/>
        </w:rPr>
      </w:pPr>
      <w:r w:rsidRPr="009121E1">
        <w:rPr>
          <w:sz w:val="22"/>
          <w:szCs w:val="20"/>
          <w:lang w:val="en-GB"/>
        </w:rPr>
        <w:t xml:space="preserve">Kod pacijenata </w:t>
      </w:r>
      <w:proofErr w:type="gramStart"/>
      <w:r w:rsidRPr="009121E1">
        <w:rPr>
          <w:sz w:val="22"/>
          <w:szCs w:val="20"/>
          <w:lang w:val="en-GB"/>
        </w:rPr>
        <w:t>sa</w:t>
      </w:r>
      <w:proofErr w:type="gramEnd"/>
      <w:r w:rsidRPr="009121E1">
        <w:rPr>
          <w:sz w:val="22"/>
          <w:szCs w:val="20"/>
          <w:lang w:val="en-GB"/>
        </w:rPr>
        <w:t xml:space="preserve"> TIO, učestalost reakcija preos</w:t>
      </w:r>
      <w:r w:rsidR="00796707"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etljivosti (osip, izbijanje kožnih prom</w:t>
      </w:r>
      <w:r w:rsidR="00796707"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ena izazvano l</w:t>
      </w:r>
      <w:r w:rsidR="00796707"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ekom i preos</w:t>
      </w:r>
      <w:r w:rsidR="00796707"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etljivost) na osnovu podataka završenih dugotrajnih kliničkih studija iznosila je 30%.</w:t>
      </w:r>
    </w:p>
    <w:p w14:paraId="29405AAD" w14:textId="77777777" w:rsidR="009121E1" w:rsidRPr="009121E1" w:rsidRDefault="009121E1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24E3552C" w14:textId="7B27302A" w:rsidR="009121E1" w:rsidRDefault="009121E1" w:rsidP="007E21A6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i/>
          <w:iCs/>
          <w:sz w:val="22"/>
          <w:szCs w:val="20"/>
          <w:lang w:val="en-GB"/>
        </w:rPr>
      </w:pPr>
      <w:r w:rsidRPr="009121E1">
        <w:rPr>
          <w:i/>
          <w:iCs/>
          <w:sz w:val="22"/>
          <w:szCs w:val="20"/>
          <w:lang w:val="en-GB"/>
        </w:rPr>
        <w:t>Snižen nivo vitamina D</w:t>
      </w:r>
    </w:p>
    <w:p w14:paraId="296FB219" w14:textId="77777777" w:rsidR="00E32C82" w:rsidRPr="009121E1" w:rsidRDefault="00E32C82" w:rsidP="007E21A6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i/>
          <w:sz w:val="22"/>
          <w:szCs w:val="20"/>
          <w:lang w:val="en-GB"/>
        </w:rPr>
      </w:pPr>
    </w:p>
    <w:p w14:paraId="404746E9" w14:textId="77777777" w:rsidR="009121E1" w:rsidRPr="009121E1" w:rsidRDefault="009121E1" w:rsidP="007E21A6">
      <w:pPr>
        <w:autoSpaceDE w:val="0"/>
        <w:autoSpaceDN w:val="0"/>
        <w:adjustRightInd w:val="0"/>
        <w:jc w:val="both"/>
        <w:rPr>
          <w:sz w:val="22"/>
          <w:szCs w:val="20"/>
          <w:u w:val="single"/>
          <w:lang w:val="en-GB"/>
        </w:rPr>
      </w:pPr>
      <w:r w:rsidRPr="009121E1">
        <w:rPr>
          <w:rFonts w:eastAsia="SimSun"/>
          <w:i/>
          <w:iCs/>
          <w:sz w:val="22"/>
          <w:szCs w:val="20"/>
          <w:lang w:val="en-GB"/>
        </w:rPr>
        <w:t xml:space="preserve">Pedijatrijski pacijenti </w:t>
      </w:r>
      <w:proofErr w:type="gramStart"/>
      <w:r w:rsidRPr="009121E1">
        <w:rPr>
          <w:rFonts w:eastAsia="SimSun"/>
          <w:i/>
          <w:iCs/>
          <w:sz w:val="22"/>
          <w:szCs w:val="20"/>
          <w:lang w:val="en-GB"/>
        </w:rPr>
        <w:t>sa</w:t>
      </w:r>
      <w:proofErr w:type="gramEnd"/>
      <w:r w:rsidRPr="009121E1">
        <w:rPr>
          <w:rFonts w:eastAsia="SimSun"/>
          <w:i/>
          <w:iCs/>
          <w:sz w:val="22"/>
          <w:szCs w:val="20"/>
          <w:lang w:val="en-GB"/>
        </w:rPr>
        <w:t xml:space="preserve"> XLH:</w:t>
      </w:r>
    </w:p>
    <w:p w14:paraId="09782EE4" w14:textId="62D02B26" w:rsidR="009121E1" w:rsidRPr="009121E1" w:rsidRDefault="009121E1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lang w:val="en-GB"/>
        </w:rPr>
      </w:pPr>
      <w:bookmarkStart w:id="7" w:name="_Hlk5180881"/>
      <w:r w:rsidRPr="009121E1">
        <w:rPr>
          <w:sz w:val="22"/>
          <w:szCs w:val="20"/>
          <w:lang w:val="en-GB"/>
        </w:rPr>
        <w:t>Snižena vr</w:t>
      </w:r>
      <w:r w:rsidR="00B2172B"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ednost 25-hidroksivitamina D u serumu zab</w:t>
      </w:r>
      <w:r w:rsidR="00341BAE">
        <w:rPr>
          <w:sz w:val="22"/>
          <w:szCs w:val="20"/>
          <w:lang w:val="en-GB"/>
        </w:rPr>
        <w:t>ilj</w:t>
      </w:r>
      <w:r w:rsidRPr="009121E1">
        <w:rPr>
          <w:sz w:val="22"/>
          <w:szCs w:val="20"/>
          <w:lang w:val="en-GB"/>
        </w:rPr>
        <w:t xml:space="preserve">ežena je </w:t>
      </w:r>
      <w:bookmarkEnd w:id="7"/>
      <w:r w:rsidRPr="009121E1">
        <w:rPr>
          <w:sz w:val="22"/>
          <w:szCs w:val="20"/>
          <w:lang w:val="en-GB"/>
        </w:rPr>
        <w:t>nakon uvođenja terapije burosumabom kod približno 8% pedijatrijskih pacijenata, verovatno zbog pov</w:t>
      </w:r>
      <w:r w:rsidR="00B2172B"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ećane konverzije u aktivirani 1,25-dihidroksivitamin D. Nadoknadom neaktivnim oblikom vitamina D nivoi u plazmi uspešno su vraćeni na normalne vr</w:t>
      </w:r>
      <w:r w:rsidR="00B2172B"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 xml:space="preserve">ednosti. </w:t>
      </w:r>
    </w:p>
    <w:p w14:paraId="62AB96ED" w14:textId="77777777" w:rsidR="009121E1" w:rsidRPr="009121E1" w:rsidRDefault="009121E1" w:rsidP="008B21F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6BC9E17B" w14:textId="77777777" w:rsidR="009121E1" w:rsidRPr="009121E1" w:rsidRDefault="009121E1" w:rsidP="007E21A6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i/>
          <w:sz w:val="22"/>
          <w:szCs w:val="20"/>
          <w:lang w:val="en-GB"/>
        </w:rPr>
      </w:pPr>
      <w:r w:rsidRPr="009121E1">
        <w:rPr>
          <w:rFonts w:eastAsia="SimSun"/>
          <w:i/>
          <w:iCs/>
          <w:sz w:val="22"/>
          <w:szCs w:val="20"/>
          <w:lang w:val="en-GB"/>
        </w:rPr>
        <w:t>Hiperfosfatemija</w:t>
      </w:r>
    </w:p>
    <w:p w14:paraId="3ADC0E4A" w14:textId="77777777" w:rsidR="009121E1" w:rsidRPr="009121E1" w:rsidRDefault="009121E1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i/>
          <w:sz w:val="22"/>
          <w:szCs w:val="20"/>
          <w:lang w:val="en-GB"/>
        </w:rPr>
      </w:pPr>
      <w:r w:rsidRPr="009121E1">
        <w:rPr>
          <w:i/>
          <w:iCs/>
          <w:sz w:val="22"/>
          <w:szCs w:val="20"/>
          <w:lang w:val="en-GB"/>
        </w:rPr>
        <w:t xml:space="preserve">Odrasli pacijenti </w:t>
      </w:r>
      <w:proofErr w:type="gramStart"/>
      <w:r w:rsidRPr="009121E1">
        <w:rPr>
          <w:i/>
          <w:iCs/>
          <w:sz w:val="22"/>
          <w:szCs w:val="20"/>
          <w:lang w:val="en-GB"/>
        </w:rPr>
        <w:t>sa</w:t>
      </w:r>
      <w:proofErr w:type="gramEnd"/>
      <w:r w:rsidRPr="009121E1">
        <w:rPr>
          <w:i/>
          <w:iCs/>
          <w:sz w:val="22"/>
          <w:szCs w:val="20"/>
          <w:lang w:val="en-GB"/>
        </w:rPr>
        <w:t xml:space="preserve"> XLH ili TIO:</w:t>
      </w:r>
    </w:p>
    <w:p w14:paraId="271D0839" w14:textId="6829DE57" w:rsidR="009121E1" w:rsidRPr="009121E1" w:rsidRDefault="009121E1" w:rsidP="007E21A6">
      <w:pPr>
        <w:autoSpaceDE w:val="0"/>
        <w:autoSpaceDN w:val="0"/>
        <w:adjustRightInd w:val="0"/>
        <w:jc w:val="both"/>
        <w:rPr>
          <w:rFonts w:eastAsia="SimSun"/>
          <w:sz w:val="22"/>
          <w:szCs w:val="20"/>
          <w:lang w:val="en-GB"/>
        </w:rPr>
      </w:pPr>
      <w:bookmarkStart w:id="8" w:name="_Hlk35440953"/>
      <w:r w:rsidRPr="009121E1">
        <w:rPr>
          <w:rFonts w:eastAsia="SimSun"/>
          <w:sz w:val="22"/>
          <w:szCs w:val="20"/>
          <w:lang w:val="en-GB"/>
        </w:rPr>
        <w:t>Kod pacijenata sa XLH, u placebom kontrolisanom periodu l</w:t>
      </w:r>
      <w:r w:rsidR="00C817C2">
        <w:rPr>
          <w:rFonts w:eastAsia="SimSun"/>
          <w:sz w:val="22"/>
          <w:szCs w:val="20"/>
          <w:lang w:val="en-GB"/>
        </w:rPr>
        <w:t>ij</w:t>
      </w:r>
      <w:r w:rsidRPr="009121E1">
        <w:rPr>
          <w:rFonts w:eastAsia="SimSun"/>
          <w:sz w:val="22"/>
          <w:szCs w:val="20"/>
          <w:lang w:val="en-GB"/>
        </w:rPr>
        <w:t>ečenja Studije UX023-CL303, 9 osoba (13,2%) iz grupe l</w:t>
      </w:r>
      <w:r w:rsidR="00C817C2">
        <w:rPr>
          <w:rFonts w:eastAsia="SimSun"/>
          <w:sz w:val="22"/>
          <w:szCs w:val="20"/>
          <w:lang w:val="en-GB"/>
        </w:rPr>
        <w:t>ij</w:t>
      </w:r>
      <w:r w:rsidRPr="009121E1">
        <w:rPr>
          <w:rFonts w:eastAsia="SimSun"/>
          <w:sz w:val="22"/>
          <w:szCs w:val="20"/>
          <w:lang w:val="en-GB"/>
        </w:rPr>
        <w:t>ečene burosumabom imalo je visok nivo fosfata u serumu izm</w:t>
      </w:r>
      <w:r w:rsidR="00C817C2">
        <w:rPr>
          <w:rFonts w:eastAsia="SimSun"/>
          <w:sz w:val="22"/>
          <w:szCs w:val="20"/>
          <w:lang w:val="en-GB"/>
        </w:rPr>
        <w:t>j</w:t>
      </w:r>
      <w:r w:rsidRPr="009121E1">
        <w:rPr>
          <w:rFonts w:eastAsia="SimSun"/>
          <w:sz w:val="22"/>
          <w:szCs w:val="20"/>
          <w:lang w:val="en-GB"/>
        </w:rPr>
        <w:t>eren najmanje jednom; kod 5 od tih 9 osoba bilo je potrebno sniziti dozu prema protokolu ispitivanja. Nakon uvođenja burosumaba u periodu otvorenog nastavka terapije, 8 osoba (12</w:t>
      </w:r>
      <w:proofErr w:type="gramStart"/>
      <w:r w:rsidRPr="009121E1">
        <w:rPr>
          <w:rFonts w:eastAsia="SimSun"/>
          <w:sz w:val="22"/>
          <w:szCs w:val="20"/>
          <w:lang w:val="en-GB"/>
        </w:rPr>
        <w:t>,1</w:t>
      </w:r>
      <w:proofErr w:type="gramEnd"/>
      <w:r w:rsidRPr="009121E1">
        <w:rPr>
          <w:rFonts w:eastAsia="SimSun"/>
          <w:sz w:val="22"/>
          <w:szCs w:val="20"/>
          <w:lang w:val="en-GB"/>
        </w:rPr>
        <w:t xml:space="preserve">%) u placebo→burosumab grupi imalo je visoke nivoe fosfata u serumu. Kod 4 </w:t>
      </w:r>
      <w:proofErr w:type="gramStart"/>
      <w:r w:rsidRPr="009121E1">
        <w:rPr>
          <w:rFonts w:eastAsia="SimSun"/>
          <w:sz w:val="22"/>
          <w:szCs w:val="20"/>
          <w:lang w:val="en-GB"/>
        </w:rPr>
        <w:t>od</w:t>
      </w:r>
      <w:proofErr w:type="gramEnd"/>
      <w:r w:rsidRPr="009121E1">
        <w:rPr>
          <w:rFonts w:eastAsia="SimSun"/>
          <w:sz w:val="22"/>
          <w:szCs w:val="20"/>
          <w:lang w:val="en-GB"/>
        </w:rPr>
        <w:t xml:space="preserve"> tih 8 osoba bilo je potrebno smanjiti dozu prema protokolu ispitivanja. Doza je kod svih pacijenata koji su ispunjavali kriterijume protokola ispitivanja bila smanjena 50%. Samo jednom pacijentu (1%) trebalo je smanjiti dozu i drugi put zbog nastavljene hiperfosfatemije.</w:t>
      </w:r>
    </w:p>
    <w:p w14:paraId="1FD1364B" w14:textId="2D34B479" w:rsidR="009121E1" w:rsidRPr="009121E1" w:rsidRDefault="009121E1" w:rsidP="007E21A6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rFonts w:eastAsia="SimSun"/>
          <w:sz w:val="22"/>
          <w:lang w:val="en-GB"/>
        </w:rPr>
      </w:pPr>
      <w:r w:rsidRPr="009121E1">
        <w:rPr>
          <w:rFonts w:eastAsia="SimSun"/>
          <w:sz w:val="22"/>
          <w:szCs w:val="20"/>
          <w:lang w:val="en-GB"/>
        </w:rPr>
        <w:t xml:space="preserve">Kod pacijenata </w:t>
      </w:r>
      <w:proofErr w:type="gramStart"/>
      <w:r w:rsidRPr="009121E1">
        <w:rPr>
          <w:rFonts w:eastAsia="SimSun"/>
          <w:sz w:val="22"/>
          <w:szCs w:val="20"/>
          <w:lang w:val="en-GB"/>
        </w:rPr>
        <w:t>sa</w:t>
      </w:r>
      <w:proofErr w:type="gramEnd"/>
      <w:r w:rsidRPr="009121E1">
        <w:rPr>
          <w:rFonts w:eastAsia="SimSun"/>
          <w:sz w:val="22"/>
          <w:szCs w:val="20"/>
          <w:lang w:val="en-GB"/>
        </w:rPr>
        <w:t xml:space="preserve"> TIO, na osnovu podataka završenih dugotrajnih kliničkih studija, </w:t>
      </w:r>
      <w:r w:rsidRPr="009121E1">
        <w:rPr>
          <w:rFonts w:eastAsia="SimSun"/>
          <w:sz w:val="22"/>
          <w:lang w:val="en-GB"/>
        </w:rPr>
        <w:t>11% pacijenata imalo je događaje hiperfosfatemije koji su l</w:t>
      </w:r>
      <w:r w:rsidR="009B29D4">
        <w:rPr>
          <w:rFonts w:eastAsia="SimSun"/>
          <w:sz w:val="22"/>
          <w:lang w:val="en-GB"/>
        </w:rPr>
        <w:t>ij</w:t>
      </w:r>
      <w:r w:rsidRPr="009121E1">
        <w:rPr>
          <w:rFonts w:eastAsia="SimSun"/>
          <w:sz w:val="22"/>
          <w:lang w:val="en-GB"/>
        </w:rPr>
        <w:t>ečeni smanjenjem doze.</w:t>
      </w:r>
    </w:p>
    <w:bookmarkEnd w:id="8"/>
    <w:p w14:paraId="381CAEF1" w14:textId="77777777" w:rsidR="009121E1" w:rsidRPr="009121E1" w:rsidRDefault="009121E1" w:rsidP="007E21A6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i/>
          <w:iCs/>
          <w:sz w:val="20"/>
          <w:szCs w:val="20"/>
          <w:u w:val="single"/>
          <w:lang w:val="en-GB"/>
        </w:rPr>
      </w:pPr>
    </w:p>
    <w:p w14:paraId="3F702945" w14:textId="148163A7" w:rsidR="009121E1" w:rsidRDefault="009121E1" w:rsidP="007E21A6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i/>
          <w:iCs/>
          <w:sz w:val="22"/>
          <w:szCs w:val="20"/>
          <w:lang w:val="en-GB"/>
        </w:rPr>
      </w:pPr>
      <w:r w:rsidRPr="009121E1">
        <w:rPr>
          <w:rFonts w:eastAsia="SimSun"/>
          <w:i/>
          <w:iCs/>
          <w:sz w:val="22"/>
          <w:szCs w:val="20"/>
          <w:lang w:val="en-GB"/>
        </w:rPr>
        <w:t>Sindrom nemirnih nogu</w:t>
      </w:r>
    </w:p>
    <w:p w14:paraId="42D8C034" w14:textId="77777777" w:rsidR="00E32C82" w:rsidRPr="009121E1" w:rsidRDefault="00E32C82" w:rsidP="007E21A6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i/>
          <w:iCs/>
          <w:sz w:val="22"/>
          <w:szCs w:val="20"/>
          <w:lang w:val="en-GB"/>
        </w:rPr>
      </w:pPr>
    </w:p>
    <w:p w14:paraId="4CEC0E1D" w14:textId="77777777" w:rsidR="009121E1" w:rsidRPr="009121E1" w:rsidRDefault="009121E1" w:rsidP="007E21A6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iCs/>
          <w:sz w:val="22"/>
          <w:szCs w:val="20"/>
          <w:lang w:val="en-GB"/>
        </w:rPr>
      </w:pPr>
      <w:r w:rsidRPr="009121E1">
        <w:rPr>
          <w:i/>
          <w:iCs/>
          <w:sz w:val="22"/>
          <w:szCs w:val="20"/>
          <w:lang w:val="en-GB"/>
        </w:rPr>
        <w:t xml:space="preserve">Odrasli pacijenti </w:t>
      </w:r>
      <w:proofErr w:type="gramStart"/>
      <w:r w:rsidRPr="009121E1">
        <w:rPr>
          <w:i/>
          <w:iCs/>
          <w:sz w:val="22"/>
          <w:szCs w:val="20"/>
          <w:lang w:val="en-GB"/>
        </w:rPr>
        <w:t>sa</w:t>
      </w:r>
      <w:proofErr w:type="gramEnd"/>
      <w:r w:rsidRPr="009121E1">
        <w:rPr>
          <w:i/>
          <w:iCs/>
          <w:sz w:val="22"/>
          <w:szCs w:val="20"/>
          <w:lang w:val="en-GB"/>
        </w:rPr>
        <w:t xml:space="preserve"> XLH ili TIO:</w:t>
      </w:r>
    </w:p>
    <w:p w14:paraId="16E64468" w14:textId="4C9178EF" w:rsidR="009121E1" w:rsidRPr="009121E1" w:rsidRDefault="009121E1" w:rsidP="007E21A6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iCs/>
          <w:sz w:val="22"/>
          <w:szCs w:val="20"/>
          <w:lang w:val="en-GB"/>
        </w:rPr>
      </w:pPr>
      <w:r w:rsidRPr="009121E1">
        <w:rPr>
          <w:sz w:val="22"/>
          <w:szCs w:val="20"/>
          <w:lang w:val="en-GB"/>
        </w:rPr>
        <w:t>Kod pacijenata sa XLH, u placebom kontrolisanom periodu l</w:t>
      </w:r>
      <w:r w:rsidR="00C817C2"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ečenja u Studiji UX023-CL303, približno 12% pacijenata iz grupe l</w:t>
      </w:r>
      <w:r w:rsidR="00C817C2">
        <w:rPr>
          <w:sz w:val="22"/>
          <w:szCs w:val="20"/>
          <w:lang w:val="en-GB"/>
        </w:rPr>
        <w:t>ij</w:t>
      </w:r>
      <w:r w:rsidRPr="009121E1">
        <w:rPr>
          <w:sz w:val="22"/>
          <w:szCs w:val="20"/>
          <w:lang w:val="en-GB"/>
        </w:rPr>
        <w:t>ečene burosumabom i 8% iz one koja je primala placebo imalo je pogoršanje sindroma nemirnih nogu u odnosu na početno stanje ili pojavu tog sindroma blage do um</w:t>
      </w:r>
      <w:r w:rsidR="00C817C2"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erene težine.</w:t>
      </w:r>
    </w:p>
    <w:p w14:paraId="1ADB0367" w14:textId="03D94763" w:rsidR="009121E1" w:rsidRPr="009121E1" w:rsidRDefault="009121E1" w:rsidP="007E21A6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rFonts w:eastAsia="SimSun"/>
          <w:sz w:val="22"/>
          <w:lang w:val="en-GB"/>
        </w:rPr>
      </w:pPr>
      <w:r w:rsidRPr="009121E1">
        <w:rPr>
          <w:rFonts w:eastAsia="SimSun"/>
          <w:sz w:val="22"/>
          <w:szCs w:val="20"/>
          <w:lang w:val="en-GB"/>
        </w:rPr>
        <w:t xml:space="preserve">Kod pacijenata </w:t>
      </w:r>
      <w:proofErr w:type="gramStart"/>
      <w:r w:rsidRPr="009121E1">
        <w:rPr>
          <w:rFonts w:eastAsia="SimSun"/>
          <w:sz w:val="22"/>
          <w:szCs w:val="20"/>
          <w:lang w:val="en-GB"/>
        </w:rPr>
        <w:t>sa</w:t>
      </w:r>
      <w:proofErr w:type="gramEnd"/>
      <w:r w:rsidRPr="009121E1">
        <w:rPr>
          <w:rFonts w:eastAsia="SimSun"/>
          <w:sz w:val="22"/>
          <w:szCs w:val="20"/>
          <w:lang w:val="en-GB"/>
        </w:rPr>
        <w:t xml:space="preserve"> TIO, na osnovu podataka završenih dugotrajnih kliničkih studija, </w:t>
      </w:r>
      <w:r w:rsidRPr="009121E1">
        <w:rPr>
          <w:rFonts w:eastAsia="SimSun"/>
          <w:sz w:val="22"/>
          <w:lang w:val="en-GB"/>
        </w:rPr>
        <w:t xml:space="preserve">11% pacijenata imalo je događaje sindroma nemirnih nogu </w:t>
      </w:r>
      <w:r w:rsidRPr="009121E1">
        <w:rPr>
          <w:rFonts w:eastAsia="SimSun"/>
          <w:sz w:val="22"/>
          <w:szCs w:val="20"/>
          <w:lang w:val="en-GB"/>
        </w:rPr>
        <w:t>blage do um</w:t>
      </w:r>
      <w:r w:rsidR="00C817C2">
        <w:rPr>
          <w:rFonts w:eastAsia="SimSun"/>
          <w:sz w:val="22"/>
          <w:szCs w:val="20"/>
          <w:lang w:val="en-GB"/>
        </w:rPr>
        <w:t>j</w:t>
      </w:r>
      <w:r w:rsidRPr="009121E1">
        <w:rPr>
          <w:rFonts w:eastAsia="SimSun"/>
          <w:sz w:val="22"/>
          <w:szCs w:val="20"/>
          <w:lang w:val="en-GB"/>
        </w:rPr>
        <w:t>erene težine</w:t>
      </w:r>
      <w:r w:rsidRPr="009121E1">
        <w:rPr>
          <w:rFonts w:eastAsia="SimSun"/>
          <w:sz w:val="22"/>
          <w:lang w:val="en-GB"/>
        </w:rPr>
        <w:t>.</w:t>
      </w:r>
    </w:p>
    <w:p w14:paraId="5F1E540B" w14:textId="77777777" w:rsidR="009121E1" w:rsidRPr="009121E1" w:rsidRDefault="009121E1" w:rsidP="007E21A6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iCs/>
          <w:sz w:val="22"/>
          <w:szCs w:val="20"/>
          <w:lang w:val="en-GB"/>
        </w:rPr>
      </w:pPr>
    </w:p>
    <w:p w14:paraId="298B0ABB" w14:textId="31F0C2A6" w:rsidR="009121E1" w:rsidRDefault="009121E1" w:rsidP="007E21A6">
      <w:pPr>
        <w:keepNext/>
        <w:keepLines/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i/>
          <w:iCs/>
          <w:sz w:val="22"/>
          <w:szCs w:val="20"/>
          <w:lang w:val="en-GB"/>
        </w:rPr>
      </w:pPr>
      <w:r w:rsidRPr="009121E1">
        <w:rPr>
          <w:rFonts w:eastAsia="SimSun"/>
          <w:i/>
          <w:iCs/>
          <w:sz w:val="22"/>
          <w:szCs w:val="20"/>
          <w:lang w:val="en-GB"/>
        </w:rPr>
        <w:t>Imunogenost</w:t>
      </w:r>
    </w:p>
    <w:p w14:paraId="58AE7FA7" w14:textId="77777777" w:rsidR="00E32C82" w:rsidRPr="009121E1" w:rsidRDefault="00E32C82" w:rsidP="007E21A6">
      <w:pPr>
        <w:keepNext/>
        <w:keepLines/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i/>
          <w:iCs/>
          <w:sz w:val="22"/>
          <w:szCs w:val="20"/>
          <w:lang w:val="en-GB"/>
        </w:rPr>
      </w:pPr>
    </w:p>
    <w:p w14:paraId="56276E84" w14:textId="77777777" w:rsidR="009121E1" w:rsidRPr="009121E1" w:rsidRDefault="009121E1" w:rsidP="007E21A6">
      <w:pPr>
        <w:keepNext/>
        <w:keepLines/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i/>
          <w:iCs/>
          <w:sz w:val="22"/>
          <w:szCs w:val="20"/>
          <w:lang w:val="en-GB"/>
        </w:rPr>
      </w:pPr>
      <w:r w:rsidRPr="009121E1">
        <w:rPr>
          <w:rFonts w:eastAsia="SimSun"/>
          <w:i/>
          <w:iCs/>
          <w:sz w:val="22"/>
          <w:szCs w:val="20"/>
          <w:lang w:val="en-GB"/>
        </w:rPr>
        <w:t xml:space="preserve">Pedijatrijski pacijenti </w:t>
      </w:r>
      <w:proofErr w:type="gramStart"/>
      <w:r w:rsidRPr="009121E1">
        <w:rPr>
          <w:rFonts w:eastAsia="SimSun"/>
          <w:i/>
          <w:iCs/>
          <w:sz w:val="22"/>
          <w:szCs w:val="20"/>
          <w:lang w:val="en-GB"/>
        </w:rPr>
        <w:t>sa</w:t>
      </w:r>
      <w:proofErr w:type="gramEnd"/>
      <w:r w:rsidRPr="009121E1">
        <w:rPr>
          <w:rFonts w:eastAsia="SimSun"/>
          <w:i/>
          <w:iCs/>
          <w:sz w:val="22"/>
          <w:szCs w:val="20"/>
          <w:lang w:val="en-GB"/>
        </w:rPr>
        <w:t xml:space="preserve"> XLH:</w:t>
      </w:r>
    </w:p>
    <w:p w14:paraId="41C79BD7" w14:textId="64E85E77" w:rsidR="009121E1" w:rsidRPr="009121E1" w:rsidRDefault="009121E1" w:rsidP="007E21A6">
      <w:pPr>
        <w:tabs>
          <w:tab w:val="left" w:pos="567"/>
        </w:tabs>
        <w:spacing w:line="248" w:lineRule="auto"/>
        <w:ind w:left="10" w:hanging="10"/>
        <w:jc w:val="both"/>
        <w:rPr>
          <w:color w:val="000000"/>
          <w:kern w:val="2"/>
          <w:sz w:val="22"/>
          <w:szCs w:val="20"/>
          <w:lang w:val="en-GB"/>
        </w:rPr>
      </w:pPr>
      <w:r w:rsidRPr="009121E1">
        <w:rPr>
          <w:color w:val="000000"/>
          <w:kern w:val="2"/>
          <w:sz w:val="22"/>
          <w:szCs w:val="20"/>
          <w:lang w:val="en-GB"/>
        </w:rPr>
        <w:t>Generalna incidenca antit</w:t>
      </w:r>
      <w:r w:rsidR="00C817C2">
        <w:rPr>
          <w:color w:val="000000"/>
          <w:kern w:val="2"/>
          <w:sz w:val="22"/>
          <w:szCs w:val="20"/>
          <w:lang w:val="en-GB"/>
        </w:rPr>
        <w:t>ij</w:t>
      </w:r>
      <w:r w:rsidRPr="009121E1">
        <w:rPr>
          <w:color w:val="000000"/>
          <w:kern w:val="2"/>
          <w:sz w:val="22"/>
          <w:szCs w:val="20"/>
          <w:lang w:val="en-GB"/>
        </w:rPr>
        <w:t xml:space="preserve">ela </w:t>
      </w:r>
      <w:proofErr w:type="gramStart"/>
      <w:r w:rsidRPr="009121E1">
        <w:rPr>
          <w:color w:val="000000"/>
          <w:kern w:val="2"/>
          <w:sz w:val="22"/>
          <w:szCs w:val="20"/>
          <w:lang w:val="en-GB"/>
        </w:rPr>
        <w:t>na</w:t>
      </w:r>
      <w:proofErr w:type="gramEnd"/>
      <w:r w:rsidRPr="009121E1">
        <w:rPr>
          <w:color w:val="000000"/>
          <w:kern w:val="2"/>
          <w:sz w:val="22"/>
          <w:szCs w:val="20"/>
          <w:lang w:val="en-GB"/>
        </w:rPr>
        <w:t xml:space="preserve"> l</w:t>
      </w:r>
      <w:r w:rsidR="00C817C2">
        <w:rPr>
          <w:color w:val="000000"/>
          <w:kern w:val="2"/>
          <w:sz w:val="22"/>
          <w:szCs w:val="20"/>
          <w:lang w:val="en-GB"/>
        </w:rPr>
        <w:t>ij</w:t>
      </w:r>
      <w:r w:rsidRPr="009121E1">
        <w:rPr>
          <w:color w:val="000000"/>
          <w:kern w:val="2"/>
          <w:sz w:val="22"/>
          <w:szCs w:val="20"/>
          <w:lang w:val="en-GB"/>
        </w:rPr>
        <w:t>ek (ADA) na burosumab kod pedijatrijskih pacijenata koji su primili burosumab iznosila je 10%, na osnovu podataka iz kliničkih studija. Incidenca neutrališućih ADA kod pedijatrijskih pacijenata iznosila je 3%. Štetni događaji, gubitak d</w:t>
      </w:r>
      <w:r w:rsidR="00C817C2">
        <w:rPr>
          <w:color w:val="000000"/>
          <w:kern w:val="2"/>
          <w:sz w:val="22"/>
          <w:szCs w:val="20"/>
          <w:lang w:val="en-GB"/>
        </w:rPr>
        <w:t>j</w:t>
      </w:r>
      <w:r w:rsidRPr="009121E1">
        <w:rPr>
          <w:color w:val="000000"/>
          <w:kern w:val="2"/>
          <w:sz w:val="22"/>
          <w:szCs w:val="20"/>
          <w:lang w:val="en-GB"/>
        </w:rPr>
        <w:t>elotvornosti</w:t>
      </w:r>
      <w:r w:rsidRPr="009121E1">
        <w:rPr>
          <w:sz w:val="22"/>
          <w:szCs w:val="20"/>
          <w:lang w:val="en-GB"/>
        </w:rPr>
        <w:t xml:space="preserve"> </w:t>
      </w:r>
      <w:proofErr w:type="gramStart"/>
      <w:r w:rsidRPr="009121E1">
        <w:rPr>
          <w:sz w:val="22"/>
          <w:szCs w:val="20"/>
          <w:lang w:val="en-GB"/>
        </w:rPr>
        <w:t>ili</w:t>
      </w:r>
      <w:proofErr w:type="gramEnd"/>
      <w:r w:rsidRPr="009121E1">
        <w:rPr>
          <w:sz w:val="22"/>
          <w:szCs w:val="20"/>
          <w:lang w:val="en-GB"/>
        </w:rPr>
        <w:t xml:space="preserve"> prom</w:t>
      </w:r>
      <w:r w:rsidR="00C817C2">
        <w:rPr>
          <w:sz w:val="22"/>
          <w:szCs w:val="20"/>
          <w:lang w:val="en-GB"/>
        </w:rPr>
        <w:t>j</w:t>
      </w:r>
      <w:r w:rsidRPr="009121E1">
        <w:rPr>
          <w:sz w:val="22"/>
          <w:szCs w:val="20"/>
          <w:lang w:val="en-GB"/>
        </w:rPr>
        <w:t>ene farmakokinetičkog profila</w:t>
      </w:r>
      <w:r w:rsidRPr="009121E1">
        <w:rPr>
          <w:color w:val="000000"/>
          <w:kern w:val="2"/>
          <w:sz w:val="22"/>
          <w:szCs w:val="20"/>
          <w:lang w:val="en-GB"/>
        </w:rPr>
        <w:t xml:space="preserve"> burosumaba nisu povezani sa takvim nalazima.</w:t>
      </w:r>
    </w:p>
    <w:p w14:paraId="21B25170" w14:textId="77777777" w:rsidR="009121E1" w:rsidRPr="009121E1" w:rsidRDefault="009121E1" w:rsidP="007E21A6">
      <w:pPr>
        <w:tabs>
          <w:tab w:val="left" w:pos="567"/>
        </w:tabs>
        <w:spacing w:line="248" w:lineRule="auto"/>
        <w:ind w:left="10" w:hanging="10"/>
        <w:jc w:val="both"/>
        <w:rPr>
          <w:color w:val="000000"/>
          <w:kern w:val="2"/>
          <w:sz w:val="22"/>
          <w:szCs w:val="20"/>
          <w:lang w:val="en-GB"/>
        </w:rPr>
      </w:pPr>
      <w:r w:rsidRPr="009121E1">
        <w:rPr>
          <w:color w:val="000000"/>
          <w:kern w:val="2"/>
          <w:sz w:val="22"/>
          <w:szCs w:val="20"/>
          <w:lang w:val="en-GB"/>
        </w:rPr>
        <w:t xml:space="preserve"> </w:t>
      </w:r>
    </w:p>
    <w:p w14:paraId="50EAF05B" w14:textId="77777777" w:rsidR="009121E1" w:rsidRPr="009121E1" w:rsidRDefault="009121E1" w:rsidP="007E21A6">
      <w:pPr>
        <w:keepNext/>
        <w:keepLines/>
        <w:tabs>
          <w:tab w:val="left" w:pos="720"/>
        </w:tabs>
        <w:autoSpaceDE w:val="0"/>
        <w:autoSpaceDN w:val="0"/>
        <w:adjustRightInd w:val="0"/>
        <w:jc w:val="both"/>
        <w:rPr>
          <w:rFonts w:eastAsia="SimSun"/>
          <w:i/>
          <w:iCs/>
          <w:sz w:val="22"/>
          <w:szCs w:val="20"/>
          <w:lang w:val="en-GB"/>
        </w:rPr>
      </w:pPr>
      <w:r w:rsidRPr="009121E1">
        <w:rPr>
          <w:rFonts w:eastAsia="SimSun"/>
          <w:i/>
          <w:iCs/>
          <w:sz w:val="22"/>
          <w:szCs w:val="20"/>
          <w:lang w:val="en-GB"/>
        </w:rPr>
        <w:t xml:space="preserve">Odrasli pacijenti </w:t>
      </w:r>
      <w:proofErr w:type="gramStart"/>
      <w:r w:rsidRPr="009121E1">
        <w:rPr>
          <w:rFonts w:eastAsia="SimSun"/>
          <w:i/>
          <w:iCs/>
          <w:sz w:val="22"/>
          <w:szCs w:val="20"/>
          <w:lang w:val="en-GB"/>
        </w:rPr>
        <w:t>sa</w:t>
      </w:r>
      <w:proofErr w:type="gramEnd"/>
      <w:r w:rsidRPr="009121E1">
        <w:rPr>
          <w:rFonts w:eastAsia="SimSun"/>
          <w:i/>
          <w:iCs/>
          <w:sz w:val="22"/>
          <w:szCs w:val="20"/>
          <w:lang w:val="en-GB"/>
        </w:rPr>
        <w:t xml:space="preserve"> XLH i TIO: </w:t>
      </w:r>
    </w:p>
    <w:p w14:paraId="6013B583" w14:textId="32DE2340" w:rsidR="009121E1" w:rsidRPr="009121E1" w:rsidRDefault="009121E1" w:rsidP="007E21A6">
      <w:pPr>
        <w:tabs>
          <w:tab w:val="left" w:pos="567"/>
        </w:tabs>
        <w:spacing w:line="248" w:lineRule="auto"/>
        <w:jc w:val="both"/>
        <w:rPr>
          <w:color w:val="000000"/>
          <w:kern w:val="2"/>
          <w:sz w:val="22"/>
          <w:szCs w:val="20"/>
          <w:lang w:val="en-GB"/>
        </w:rPr>
      </w:pPr>
      <w:r w:rsidRPr="009121E1">
        <w:rPr>
          <w:rFonts w:eastAsia="SimSun"/>
          <w:sz w:val="22"/>
          <w:lang w:val="en-GB"/>
        </w:rPr>
        <w:t xml:space="preserve">Na osnovu podataka završenih dugotrajnih kliničkih studija, u kliničkim studijama </w:t>
      </w:r>
      <w:proofErr w:type="gramStart"/>
      <w:r w:rsidRPr="009121E1">
        <w:rPr>
          <w:rFonts w:eastAsia="SimSun"/>
          <w:sz w:val="22"/>
          <w:lang w:val="en-GB"/>
        </w:rPr>
        <w:t>sa</w:t>
      </w:r>
      <w:proofErr w:type="gramEnd"/>
      <w:r w:rsidRPr="009121E1">
        <w:rPr>
          <w:rFonts w:eastAsia="SimSun"/>
          <w:sz w:val="22"/>
          <w:lang w:val="en-GB"/>
        </w:rPr>
        <w:t xml:space="preserve"> odraslim pacijentima sa XLH ili TIO, incidenca slučajeva pacijenata koji su bili pozitivni na antit</w:t>
      </w:r>
      <w:r w:rsidR="00C817C2">
        <w:rPr>
          <w:rFonts w:eastAsia="SimSun"/>
          <w:sz w:val="22"/>
          <w:lang w:val="en-GB"/>
        </w:rPr>
        <w:t>ij</w:t>
      </w:r>
      <w:r w:rsidRPr="009121E1">
        <w:rPr>
          <w:rFonts w:eastAsia="SimSun"/>
          <w:sz w:val="22"/>
          <w:lang w:val="en-GB"/>
        </w:rPr>
        <w:t>ela na buro</w:t>
      </w:r>
      <w:r w:rsidR="00C817C2">
        <w:rPr>
          <w:rFonts w:eastAsia="SimSun"/>
          <w:sz w:val="22"/>
          <w:lang w:val="en-GB"/>
        </w:rPr>
        <w:t>s</w:t>
      </w:r>
      <w:r w:rsidRPr="009121E1">
        <w:rPr>
          <w:rFonts w:eastAsia="SimSun"/>
          <w:sz w:val="22"/>
          <w:lang w:val="en-GB"/>
        </w:rPr>
        <w:t xml:space="preserve">umab iznosila je 15%. Ni kod jednog </w:t>
      </w:r>
      <w:proofErr w:type="gramStart"/>
      <w:r w:rsidRPr="009121E1">
        <w:rPr>
          <w:rFonts w:eastAsia="SimSun"/>
          <w:sz w:val="22"/>
          <w:lang w:val="en-GB"/>
        </w:rPr>
        <w:t>od</w:t>
      </w:r>
      <w:proofErr w:type="gramEnd"/>
      <w:r w:rsidRPr="009121E1">
        <w:rPr>
          <w:rFonts w:eastAsia="SimSun"/>
          <w:sz w:val="22"/>
          <w:lang w:val="en-GB"/>
        </w:rPr>
        <w:t xml:space="preserve"> tih pacijenata nisu se razvila neutrališuća antit</w:t>
      </w:r>
      <w:r w:rsidR="00C817C2">
        <w:rPr>
          <w:rFonts w:eastAsia="SimSun"/>
          <w:sz w:val="22"/>
          <w:lang w:val="en-GB"/>
        </w:rPr>
        <w:t>ij</w:t>
      </w:r>
      <w:r w:rsidRPr="009121E1">
        <w:rPr>
          <w:rFonts w:eastAsia="SimSun"/>
          <w:sz w:val="22"/>
          <w:lang w:val="en-GB"/>
        </w:rPr>
        <w:t>ela. Štetni događaji, gubitak d</w:t>
      </w:r>
      <w:r w:rsidR="00C817C2">
        <w:rPr>
          <w:rFonts w:eastAsia="SimSun"/>
          <w:sz w:val="22"/>
          <w:lang w:val="en-GB"/>
        </w:rPr>
        <w:t>j</w:t>
      </w:r>
      <w:r w:rsidRPr="009121E1">
        <w:rPr>
          <w:rFonts w:eastAsia="SimSun"/>
          <w:sz w:val="22"/>
          <w:lang w:val="en-GB"/>
        </w:rPr>
        <w:t xml:space="preserve">elotvornosti </w:t>
      </w:r>
      <w:proofErr w:type="gramStart"/>
      <w:r w:rsidRPr="009121E1">
        <w:rPr>
          <w:rFonts w:eastAsia="SimSun"/>
          <w:sz w:val="22"/>
          <w:lang w:val="en-GB"/>
        </w:rPr>
        <w:t>ili</w:t>
      </w:r>
      <w:proofErr w:type="gramEnd"/>
      <w:r w:rsidRPr="009121E1">
        <w:rPr>
          <w:rFonts w:eastAsia="SimSun"/>
          <w:sz w:val="22"/>
          <w:lang w:val="en-GB"/>
        </w:rPr>
        <w:t xml:space="preserve"> prom</w:t>
      </w:r>
      <w:r w:rsidR="00C817C2">
        <w:rPr>
          <w:rFonts w:eastAsia="SimSun"/>
          <w:sz w:val="22"/>
          <w:lang w:val="en-GB"/>
        </w:rPr>
        <w:t>j</w:t>
      </w:r>
      <w:r w:rsidRPr="009121E1">
        <w:rPr>
          <w:rFonts w:eastAsia="SimSun"/>
          <w:sz w:val="22"/>
          <w:lang w:val="en-GB"/>
        </w:rPr>
        <w:t>ene farmakokinetičkog profila buro</w:t>
      </w:r>
      <w:r w:rsidR="00C817C2">
        <w:rPr>
          <w:rFonts w:eastAsia="SimSun"/>
          <w:sz w:val="22"/>
          <w:lang w:val="en-GB"/>
        </w:rPr>
        <w:t>s</w:t>
      </w:r>
      <w:r w:rsidRPr="009121E1">
        <w:rPr>
          <w:rFonts w:eastAsia="SimSun"/>
          <w:sz w:val="22"/>
          <w:lang w:val="en-GB"/>
        </w:rPr>
        <w:t>umaba nisu povezani sa takvim nalazima.</w:t>
      </w:r>
    </w:p>
    <w:p w14:paraId="6F27565A" w14:textId="77777777" w:rsidR="009121E1" w:rsidRPr="009121E1" w:rsidRDefault="009121E1" w:rsidP="008B21F3">
      <w:pPr>
        <w:keepNext/>
        <w:keepLines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u w:val="single"/>
          <w:lang w:val="en-GB"/>
        </w:rPr>
      </w:pPr>
    </w:p>
    <w:p w14:paraId="5328ACE3" w14:textId="77777777" w:rsidR="009121E1" w:rsidRPr="009121E1" w:rsidRDefault="009121E1" w:rsidP="007E21A6">
      <w:pPr>
        <w:autoSpaceDE w:val="0"/>
        <w:autoSpaceDN w:val="0"/>
        <w:adjustRightInd w:val="0"/>
        <w:jc w:val="both"/>
        <w:rPr>
          <w:sz w:val="22"/>
          <w:szCs w:val="20"/>
          <w:u w:val="single"/>
          <w:lang w:val="en-GB"/>
        </w:rPr>
      </w:pPr>
      <w:r w:rsidRPr="009121E1">
        <w:rPr>
          <w:sz w:val="22"/>
          <w:szCs w:val="20"/>
          <w:u w:val="single"/>
          <w:lang w:val="en-GB"/>
        </w:rPr>
        <w:t xml:space="preserve">Neželjene reakcije kod pedijatrijskih pacijenata </w:t>
      </w:r>
      <w:proofErr w:type="gramStart"/>
      <w:r w:rsidRPr="009121E1">
        <w:rPr>
          <w:sz w:val="22"/>
          <w:szCs w:val="20"/>
          <w:u w:val="single"/>
          <w:lang w:val="en-GB"/>
        </w:rPr>
        <w:t>sa</w:t>
      </w:r>
      <w:proofErr w:type="gramEnd"/>
      <w:r w:rsidRPr="009121E1">
        <w:rPr>
          <w:sz w:val="22"/>
          <w:szCs w:val="20"/>
          <w:u w:val="single"/>
          <w:lang w:val="en-GB"/>
        </w:rPr>
        <w:t xml:space="preserve"> TIO</w:t>
      </w:r>
    </w:p>
    <w:p w14:paraId="5A7D5369" w14:textId="2D16DE54" w:rsidR="009121E1" w:rsidRPr="009121E1" w:rsidRDefault="009121E1" w:rsidP="007E21A6">
      <w:pPr>
        <w:tabs>
          <w:tab w:val="left" w:pos="567"/>
        </w:tabs>
        <w:spacing w:line="260" w:lineRule="exact"/>
        <w:jc w:val="both"/>
        <w:rPr>
          <w:rFonts w:eastAsia="SimSun"/>
          <w:sz w:val="22"/>
          <w:lang w:val="en-GB"/>
        </w:rPr>
      </w:pPr>
      <w:r w:rsidRPr="009121E1">
        <w:rPr>
          <w:rFonts w:eastAsia="SimSun"/>
          <w:sz w:val="22"/>
          <w:lang w:val="en-GB"/>
        </w:rPr>
        <w:t xml:space="preserve">Za pedijatrijske pacijente </w:t>
      </w:r>
      <w:proofErr w:type="gramStart"/>
      <w:r w:rsidRPr="009121E1">
        <w:rPr>
          <w:rFonts w:eastAsia="SimSun"/>
          <w:sz w:val="22"/>
          <w:lang w:val="en-GB"/>
        </w:rPr>
        <w:t>sa</w:t>
      </w:r>
      <w:proofErr w:type="gramEnd"/>
      <w:r w:rsidRPr="009121E1">
        <w:rPr>
          <w:rFonts w:eastAsia="SimSun"/>
          <w:sz w:val="22"/>
          <w:lang w:val="en-GB"/>
        </w:rPr>
        <w:t xml:space="preserve"> TIO nisu dostupni podaci (</w:t>
      </w:r>
      <w:r w:rsidR="00C817C2">
        <w:rPr>
          <w:rFonts w:eastAsia="SimSun"/>
          <w:sz w:val="22"/>
          <w:lang w:val="en-GB"/>
        </w:rPr>
        <w:t>vidjeti</w:t>
      </w:r>
      <w:r w:rsidRPr="009121E1">
        <w:rPr>
          <w:rFonts w:eastAsia="SimSun"/>
          <w:sz w:val="22"/>
          <w:lang w:val="en-GB"/>
        </w:rPr>
        <w:t xml:space="preserve"> </w:t>
      </w:r>
      <w:r w:rsidR="00C817C2">
        <w:rPr>
          <w:rFonts w:eastAsia="SimSun"/>
          <w:sz w:val="22"/>
          <w:lang w:val="en-GB"/>
        </w:rPr>
        <w:t>dio</w:t>
      </w:r>
      <w:r w:rsidRPr="009121E1">
        <w:rPr>
          <w:rFonts w:eastAsia="SimSun"/>
          <w:sz w:val="22"/>
          <w:lang w:val="en-GB"/>
        </w:rPr>
        <w:t xml:space="preserve"> 5.1). </w:t>
      </w:r>
    </w:p>
    <w:p w14:paraId="14F5BFE9" w14:textId="339828FD" w:rsidR="009121E1" w:rsidRDefault="009121E1" w:rsidP="007E21A6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en-GB"/>
        </w:rPr>
      </w:pPr>
    </w:p>
    <w:p w14:paraId="6F694D65" w14:textId="36230DBA" w:rsidR="00DC14FF" w:rsidRDefault="00DC14FF" w:rsidP="007E21A6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en-GB"/>
        </w:rPr>
      </w:pPr>
    </w:p>
    <w:p w14:paraId="79D277E0" w14:textId="77777777" w:rsidR="00DC14FF" w:rsidRPr="009121E1" w:rsidRDefault="00DC14FF" w:rsidP="007E21A6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en-GB"/>
        </w:rPr>
      </w:pPr>
    </w:p>
    <w:p w14:paraId="1D6D713F" w14:textId="77777777" w:rsidR="005A23D2" w:rsidRPr="00786071" w:rsidRDefault="005A23D2" w:rsidP="007E21A6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0A9E4931" w14:textId="7A4789B1" w:rsidR="005A23D2" w:rsidRDefault="005A23D2" w:rsidP="007E21A6">
      <w:pPr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Prijavljivanje neželjenih dejstava nakon dobijanja dozvole je od velikog značaja jer</w:t>
      </w:r>
      <w:r w:rsidR="00C817C2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obezbjeđuje kont</w:t>
      </w:r>
      <w:r w:rsidR="00EA5765" w:rsidRPr="00786071">
        <w:rPr>
          <w:rFonts w:eastAsia="Calibri"/>
          <w:sz w:val="22"/>
          <w:szCs w:val="22"/>
          <w:lang w:val="sr-Latn-RS"/>
        </w:rPr>
        <w:t>inuirano praćenje odnosa korist</w:t>
      </w:r>
      <w:r w:rsidRPr="0078607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</w:t>
      </w:r>
      <w:r w:rsidR="004E70AD" w:rsidRPr="00786071">
        <w:rPr>
          <w:rFonts w:eastAsia="Calibri"/>
          <w:sz w:val="22"/>
          <w:szCs w:val="22"/>
          <w:lang w:val="sr-Latn-RS"/>
        </w:rPr>
        <w:t>C</w:t>
      </w:r>
      <w:r w:rsidR="004E70AD"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257A33C1" w14:textId="77777777" w:rsidR="00E32C82" w:rsidRPr="00786071" w:rsidRDefault="00E32C82" w:rsidP="007E21A6">
      <w:pPr>
        <w:jc w:val="both"/>
        <w:rPr>
          <w:rFonts w:eastAsia="Calibri"/>
          <w:sz w:val="22"/>
          <w:szCs w:val="22"/>
          <w:lang w:val="sr-Latn-RS"/>
        </w:rPr>
      </w:pPr>
    </w:p>
    <w:p w14:paraId="756AA554" w14:textId="77777777" w:rsidR="005A23D2" w:rsidRPr="00786071" w:rsidRDefault="004E70AD" w:rsidP="008B21F3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</w:t>
      </w:r>
      <w:r w:rsidR="005A23D2" w:rsidRPr="00786071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17558121" w14:textId="77777777" w:rsidR="005A23D2" w:rsidRPr="00786071" w:rsidRDefault="005A23D2" w:rsidP="00204AF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46477AF9" w14:textId="77777777" w:rsidR="00EA5765" w:rsidRPr="00786071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3F456DD6" w14:textId="77777777" w:rsidR="00EA5765" w:rsidRPr="00786071" w:rsidRDefault="00EA5765" w:rsidP="007E21A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5937A3D" w14:textId="77777777" w:rsidR="005A23D2" w:rsidRPr="00786071" w:rsidRDefault="005A23D2" w:rsidP="008B21F3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65C56BA5" w14:textId="77777777" w:rsidR="00EA5765" w:rsidRPr="00786071" w:rsidRDefault="005A23D2" w:rsidP="00204AF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</w:t>
      </w:r>
      <w:r w:rsidR="00EA5765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+382 (0) 20 310 581</w:t>
      </w:r>
    </w:p>
    <w:p w14:paraId="61BF91F3" w14:textId="77777777" w:rsidR="005A23D2" w:rsidRPr="00786071" w:rsidRDefault="00DB02B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0D4EFE88" w14:textId="77777777" w:rsidR="00EA5765" w:rsidRPr="00786071" w:rsidRDefault="00DB02B5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2A87666C" w14:textId="1EECF32E" w:rsidR="005A23D2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5A1C93C7" w14:textId="77777777" w:rsidR="007C6F62" w:rsidRDefault="007C6F6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0339EEED" w14:textId="49ED645A" w:rsidR="007C6F62" w:rsidRDefault="007C6F62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32F9FD2" w14:textId="07401CE5" w:rsidR="007C6F62" w:rsidRPr="00786071" w:rsidRDefault="007C6F6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noProof/>
          <w:lang w:val="sr-Latn-ME" w:eastAsia="sr-Latn-ME"/>
        </w:rPr>
        <w:drawing>
          <wp:inline distT="0" distB="0" distL="0" distR="0" wp14:anchorId="41A1291A" wp14:editId="5EB28EDA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0DDC" w14:textId="77777777" w:rsidR="00836B35" w:rsidRPr="00786071" w:rsidRDefault="00836B35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72D757B" w14:textId="77777777" w:rsidR="00CD6F02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Predoziranje</w:t>
      </w:r>
      <w:r w:rsidR="002846DB" w:rsidRPr="00786071">
        <w:rPr>
          <w:b/>
          <w:bCs/>
          <w:sz w:val="22"/>
          <w:szCs w:val="22"/>
        </w:rPr>
        <w:t xml:space="preserve"> </w:t>
      </w:r>
    </w:p>
    <w:p w14:paraId="1B93FCA6" w14:textId="77777777" w:rsidR="00C817C2" w:rsidRPr="00C817C2" w:rsidRDefault="00C817C2" w:rsidP="007E21A6">
      <w:pPr>
        <w:keepNext/>
        <w:keepLines/>
        <w:tabs>
          <w:tab w:val="left" w:pos="567"/>
        </w:tabs>
        <w:jc w:val="both"/>
        <w:rPr>
          <w:sz w:val="22"/>
          <w:szCs w:val="20"/>
          <w:lang w:val="sr-Latn-RS"/>
        </w:rPr>
      </w:pPr>
    </w:p>
    <w:p w14:paraId="175020C2" w14:textId="2B19E086" w:rsidR="00C817C2" w:rsidRPr="00C817C2" w:rsidRDefault="00C817C2" w:rsidP="007E21A6">
      <w:pPr>
        <w:keepNext/>
        <w:keepLines/>
        <w:tabs>
          <w:tab w:val="left" w:pos="567"/>
        </w:tabs>
        <w:jc w:val="both"/>
        <w:rPr>
          <w:sz w:val="22"/>
          <w:szCs w:val="20"/>
          <w:lang w:val="en-GB"/>
        </w:rPr>
      </w:pPr>
      <w:r w:rsidRPr="00C817C2">
        <w:rPr>
          <w:sz w:val="22"/>
          <w:szCs w:val="20"/>
          <w:lang w:val="en-GB"/>
        </w:rPr>
        <w:t xml:space="preserve">Nema iskustva </w:t>
      </w:r>
      <w:proofErr w:type="gramStart"/>
      <w:r w:rsidRPr="00C817C2">
        <w:rPr>
          <w:sz w:val="22"/>
          <w:szCs w:val="20"/>
          <w:lang w:val="en-GB"/>
        </w:rPr>
        <w:t>sa</w:t>
      </w:r>
      <w:proofErr w:type="gramEnd"/>
      <w:r w:rsidRPr="00C817C2">
        <w:rPr>
          <w:sz w:val="22"/>
          <w:szCs w:val="20"/>
          <w:lang w:val="en-GB"/>
        </w:rPr>
        <w:t xml:space="preserve"> predoziranjem buro</w:t>
      </w:r>
      <w:r>
        <w:rPr>
          <w:sz w:val="22"/>
          <w:szCs w:val="20"/>
          <w:lang w:val="en-GB"/>
        </w:rPr>
        <w:t>s</w:t>
      </w:r>
      <w:r w:rsidRPr="00C817C2">
        <w:rPr>
          <w:sz w:val="22"/>
          <w:szCs w:val="20"/>
          <w:lang w:val="en-GB"/>
        </w:rPr>
        <w:t>umabom. U pedijatrijskim kliničkim ispitivanjima XLH, buro</w:t>
      </w:r>
      <w:r>
        <w:rPr>
          <w:sz w:val="22"/>
          <w:szCs w:val="20"/>
          <w:lang w:val="en-GB"/>
        </w:rPr>
        <w:t>s</w:t>
      </w:r>
      <w:r w:rsidRPr="00C817C2">
        <w:rPr>
          <w:sz w:val="22"/>
          <w:szCs w:val="20"/>
          <w:lang w:val="en-GB"/>
        </w:rPr>
        <w:t>umab je prim</w:t>
      </w:r>
      <w:r>
        <w:rPr>
          <w:sz w:val="22"/>
          <w:szCs w:val="20"/>
          <w:lang w:val="en-GB"/>
        </w:rPr>
        <w:t>j</w:t>
      </w:r>
      <w:r w:rsidRPr="00C817C2">
        <w:rPr>
          <w:sz w:val="22"/>
          <w:szCs w:val="20"/>
          <w:lang w:val="en-GB"/>
        </w:rPr>
        <w:t>enjivan bez toksičnosti koja ograničava dozu pri dozama do 2</w:t>
      </w:r>
      <w:proofErr w:type="gramStart"/>
      <w:r w:rsidRPr="00C817C2">
        <w:rPr>
          <w:sz w:val="22"/>
          <w:szCs w:val="20"/>
          <w:lang w:val="en-GB"/>
        </w:rPr>
        <w:t>,0</w:t>
      </w:r>
      <w:proofErr w:type="gramEnd"/>
      <w:r w:rsidRPr="00C817C2">
        <w:rPr>
          <w:sz w:val="22"/>
          <w:szCs w:val="20"/>
          <w:lang w:val="en-GB"/>
        </w:rPr>
        <w:t xml:space="preserve"> mg/kg t</w:t>
      </w:r>
      <w:r>
        <w:rPr>
          <w:sz w:val="22"/>
          <w:szCs w:val="20"/>
          <w:lang w:val="en-GB"/>
        </w:rPr>
        <w:t>j</w:t>
      </w:r>
      <w:r w:rsidRPr="00C817C2">
        <w:rPr>
          <w:sz w:val="22"/>
          <w:szCs w:val="20"/>
          <w:lang w:val="en-GB"/>
        </w:rPr>
        <w:t xml:space="preserve">elesne mase, </w:t>
      </w:r>
      <w:r w:rsidRPr="00C817C2">
        <w:rPr>
          <w:sz w:val="22"/>
          <w:szCs w:val="20"/>
          <w:shd w:val="clear" w:color="auto" w:fill="FFFFFF"/>
          <w:lang w:val="en-GB"/>
        </w:rPr>
        <w:t>uz maksimalnu dozu od 90 mg svake dv</w:t>
      </w:r>
      <w:r>
        <w:rPr>
          <w:sz w:val="22"/>
          <w:szCs w:val="20"/>
          <w:shd w:val="clear" w:color="auto" w:fill="FFFFFF"/>
          <w:lang w:val="en-GB"/>
        </w:rPr>
        <w:t>ij</w:t>
      </w:r>
      <w:r w:rsidRPr="00C817C2">
        <w:rPr>
          <w:sz w:val="22"/>
          <w:szCs w:val="20"/>
          <w:shd w:val="clear" w:color="auto" w:fill="FFFFFF"/>
          <w:lang w:val="en-GB"/>
        </w:rPr>
        <w:t>e ned</w:t>
      </w:r>
      <w:r>
        <w:rPr>
          <w:sz w:val="22"/>
          <w:szCs w:val="20"/>
          <w:shd w:val="clear" w:color="auto" w:fill="FFFFFF"/>
          <w:lang w:val="en-GB"/>
        </w:rPr>
        <w:t>j</w:t>
      </w:r>
      <w:r w:rsidRPr="00C817C2">
        <w:rPr>
          <w:sz w:val="22"/>
          <w:szCs w:val="20"/>
          <w:shd w:val="clear" w:color="auto" w:fill="FFFFFF"/>
          <w:lang w:val="en-GB"/>
        </w:rPr>
        <w:t xml:space="preserve">elje. </w:t>
      </w:r>
      <w:r w:rsidRPr="00C817C2">
        <w:rPr>
          <w:sz w:val="22"/>
          <w:szCs w:val="20"/>
          <w:lang w:val="en-GB"/>
        </w:rPr>
        <w:t>U kliničkim ispitivanjima XLH kod odraslih, toksičnost koja ograničava dozu nije bila zab</w:t>
      </w:r>
      <w:r w:rsidR="00341BAE">
        <w:rPr>
          <w:sz w:val="22"/>
          <w:szCs w:val="20"/>
          <w:lang w:val="en-GB"/>
        </w:rPr>
        <w:t>ilj</w:t>
      </w:r>
      <w:r w:rsidRPr="00C817C2">
        <w:rPr>
          <w:sz w:val="22"/>
          <w:szCs w:val="20"/>
          <w:lang w:val="en-GB"/>
        </w:rPr>
        <w:t>ežena uz prim</w:t>
      </w:r>
      <w:r>
        <w:rPr>
          <w:sz w:val="22"/>
          <w:szCs w:val="20"/>
          <w:lang w:val="en-GB"/>
        </w:rPr>
        <w:t>j</w:t>
      </w:r>
      <w:r w:rsidRPr="00C817C2">
        <w:rPr>
          <w:sz w:val="22"/>
          <w:szCs w:val="20"/>
          <w:lang w:val="en-GB"/>
        </w:rPr>
        <w:t>enu doza do 1</w:t>
      </w:r>
      <w:proofErr w:type="gramStart"/>
      <w:r w:rsidRPr="00C817C2">
        <w:rPr>
          <w:sz w:val="22"/>
          <w:szCs w:val="20"/>
          <w:lang w:val="en-GB"/>
        </w:rPr>
        <w:t>,0</w:t>
      </w:r>
      <w:proofErr w:type="gramEnd"/>
      <w:r w:rsidRPr="00C817C2">
        <w:rPr>
          <w:sz w:val="22"/>
          <w:szCs w:val="20"/>
          <w:lang w:val="en-GB"/>
        </w:rPr>
        <w:t xml:space="preserve"> mg/kg ili najviše ukupne doze od 128 mg svake 4 ned</w:t>
      </w:r>
      <w:r>
        <w:rPr>
          <w:sz w:val="22"/>
          <w:szCs w:val="20"/>
          <w:lang w:val="en-GB"/>
        </w:rPr>
        <w:t>j</w:t>
      </w:r>
      <w:r w:rsidRPr="00C817C2">
        <w:rPr>
          <w:sz w:val="22"/>
          <w:szCs w:val="20"/>
          <w:lang w:val="en-GB"/>
        </w:rPr>
        <w:t>elje</w:t>
      </w:r>
      <w:r w:rsidRPr="00C817C2">
        <w:rPr>
          <w:sz w:val="22"/>
          <w:szCs w:val="20"/>
          <w:shd w:val="clear" w:color="auto" w:fill="FFFFFF"/>
          <w:lang w:val="en-GB"/>
        </w:rPr>
        <w:t>. U kliničkim ispitivanjima TIO kod odraslih, toksičnost koja ograničava dozu nije bila zab</w:t>
      </w:r>
      <w:r w:rsidR="00341BAE">
        <w:rPr>
          <w:sz w:val="22"/>
          <w:szCs w:val="20"/>
          <w:shd w:val="clear" w:color="auto" w:fill="FFFFFF"/>
          <w:lang w:val="en-GB"/>
        </w:rPr>
        <w:t>ilj</w:t>
      </w:r>
      <w:r w:rsidRPr="00C817C2">
        <w:rPr>
          <w:sz w:val="22"/>
          <w:szCs w:val="20"/>
          <w:shd w:val="clear" w:color="auto" w:fill="FFFFFF"/>
          <w:lang w:val="en-GB"/>
        </w:rPr>
        <w:t>ežena uz prim</w:t>
      </w:r>
      <w:r>
        <w:rPr>
          <w:sz w:val="22"/>
          <w:szCs w:val="20"/>
          <w:shd w:val="clear" w:color="auto" w:fill="FFFFFF"/>
          <w:lang w:val="en-GB"/>
        </w:rPr>
        <w:t>j</w:t>
      </w:r>
      <w:r w:rsidRPr="00C817C2">
        <w:rPr>
          <w:sz w:val="22"/>
          <w:szCs w:val="20"/>
          <w:shd w:val="clear" w:color="auto" w:fill="FFFFFF"/>
          <w:lang w:val="en-GB"/>
        </w:rPr>
        <w:t>enu doza do 2</w:t>
      </w:r>
      <w:proofErr w:type="gramStart"/>
      <w:r w:rsidRPr="00C817C2">
        <w:rPr>
          <w:sz w:val="22"/>
          <w:szCs w:val="20"/>
          <w:shd w:val="clear" w:color="auto" w:fill="FFFFFF"/>
          <w:lang w:val="en-GB"/>
        </w:rPr>
        <w:t>,0</w:t>
      </w:r>
      <w:proofErr w:type="gramEnd"/>
      <w:r w:rsidRPr="00C817C2">
        <w:rPr>
          <w:sz w:val="22"/>
          <w:szCs w:val="20"/>
          <w:shd w:val="clear" w:color="auto" w:fill="FFFFFF"/>
          <w:lang w:val="en-GB"/>
        </w:rPr>
        <w:t xml:space="preserve"> mg/kg ili najviše ukupne doze od 184 mg svake 4 ned</w:t>
      </w:r>
      <w:r>
        <w:rPr>
          <w:sz w:val="22"/>
          <w:szCs w:val="20"/>
          <w:shd w:val="clear" w:color="auto" w:fill="FFFFFF"/>
          <w:lang w:val="en-GB"/>
        </w:rPr>
        <w:t>j</w:t>
      </w:r>
      <w:r w:rsidRPr="00C817C2">
        <w:rPr>
          <w:sz w:val="22"/>
          <w:szCs w:val="20"/>
          <w:shd w:val="clear" w:color="auto" w:fill="FFFFFF"/>
          <w:lang w:val="en-GB"/>
        </w:rPr>
        <w:t>elje.</w:t>
      </w:r>
    </w:p>
    <w:p w14:paraId="78056BA5" w14:textId="77777777" w:rsidR="00C817C2" w:rsidRPr="00C817C2" w:rsidRDefault="00C817C2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</w:p>
    <w:p w14:paraId="02FF897D" w14:textId="39F52B0A" w:rsidR="00C817C2" w:rsidRPr="00C817C2" w:rsidRDefault="00C817C2" w:rsidP="007E21A6">
      <w:pPr>
        <w:keepNext/>
        <w:tabs>
          <w:tab w:val="left" w:pos="567"/>
        </w:tabs>
        <w:jc w:val="both"/>
        <w:rPr>
          <w:sz w:val="22"/>
          <w:szCs w:val="20"/>
          <w:u w:val="single"/>
          <w:lang w:val="en-GB"/>
        </w:rPr>
      </w:pPr>
      <w:r w:rsidRPr="00C817C2">
        <w:rPr>
          <w:sz w:val="22"/>
          <w:szCs w:val="20"/>
          <w:u w:val="single"/>
          <w:lang w:val="en-GB"/>
        </w:rPr>
        <w:t>L</w:t>
      </w:r>
      <w:r>
        <w:rPr>
          <w:sz w:val="22"/>
          <w:szCs w:val="20"/>
          <w:u w:val="single"/>
          <w:lang w:val="en-GB"/>
        </w:rPr>
        <w:t>ij</w:t>
      </w:r>
      <w:r w:rsidRPr="00C817C2">
        <w:rPr>
          <w:sz w:val="22"/>
          <w:szCs w:val="20"/>
          <w:u w:val="single"/>
          <w:lang w:val="en-GB"/>
        </w:rPr>
        <w:t>ečenje</w:t>
      </w:r>
    </w:p>
    <w:p w14:paraId="204A2D4B" w14:textId="55357FE0" w:rsidR="00C817C2" w:rsidRPr="00C817C2" w:rsidRDefault="00C817C2" w:rsidP="007E21A6">
      <w:pPr>
        <w:keepNext/>
        <w:tabs>
          <w:tab w:val="left" w:pos="567"/>
        </w:tabs>
        <w:jc w:val="both"/>
        <w:rPr>
          <w:sz w:val="22"/>
          <w:szCs w:val="20"/>
          <w:lang w:val="en-GB"/>
        </w:rPr>
      </w:pPr>
      <w:r w:rsidRPr="00C817C2">
        <w:rPr>
          <w:sz w:val="22"/>
          <w:szCs w:val="20"/>
          <w:lang w:val="en-GB"/>
        </w:rPr>
        <w:t xml:space="preserve">U slučaju predoziranja preporučuje se da se prekine </w:t>
      </w:r>
      <w:proofErr w:type="gramStart"/>
      <w:r w:rsidRPr="00C817C2">
        <w:rPr>
          <w:sz w:val="22"/>
          <w:szCs w:val="20"/>
          <w:lang w:val="en-GB"/>
        </w:rPr>
        <w:t>sa</w:t>
      </w:r>
      <w:proofErr w:type="gramEnd"/>
      <w:r w:rsidRPr="00C817C2">
        <w:rPr>
          <w:sz w:val="22"/>
          <w:szCs w:val="20"/>
          <w:lang w:val="en-GB"/>
        </w:rPr>
        <w:t xml:space="preserve"> prim</w:t>
      </w:r>
      <w:r>
        <w:rPr>
          <w:sz w:val="22"/>
          <w:szCs w:val="20"/>
          <w:lang w:val="en-GB"/>
        </w:rPr>
        <w:t>j</w:t>
      </w:r>
      <w:r w:rsidRPr="00C817C2">
        <w:rPr>
          <w:sz w:val="22"/>
          <w:szCs w:val="20"/>
          <w:lang w:val="en-GB"/>
        </w:rPr>
        <w:t>enom buro</w:t>
      </w:r>
      <w:r>
        <w:rPr>
          <w:sz w:val="22"/>
          <w:szCs w:val="20"/>
          <w:lang w:val="en-GB"/>
        </w:rPr>
        <w:t>s</w:t>
      </w:r>
      <w:r w:rsidRPr="00C817C2">
        <w:rPr>
          <w:sz w:val="22"/>
          <w:szCs w:val="20"/>
          <w:lang w:val="en-GB"/>
        </w:rPr>
        <w:t>umaba i da se prati biohemijski odgovor.</w:t>
      </w:r>
    </w:p>
    <w:p w14:paraId="6600D13D" w14:textId="77777777" w:rsidR="00CD6F02" w:rsidRDefault="00CD6F02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867FE08" w14:textId="77777777" w:rsidR="00227BDB" w:rsidRPr="00786071" w:rsidRDefault="00227BDB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8894FD2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FARMAKOLOŠK</w:t>
      </w:r>
      <w:r w:rsidR="000D425A" w:rsidRPr="00786071">
        <w:rPr>
          <w:b/>
          <w:bCs/>
          <w:sz w:val="22"/>
          <w:szCs w:val="22"/>
        </w:rPr>
        <w:t>I</w:t>
      </w:r>
      <w:r w:rsidRPr="00786071">
        <w:rPr>
          <w:b/>
          <w:bCs/>
          <w:sz w:val="22"/>
          <w:szCs w:val="22"/>
        </w:rPr>
        <w:t xml:space="preserve"> PODACI</w:t>
      </w:r>
    </w:p>
    <w:p w14:paraId="26C8201B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684661A" w14:textId="1772DAA4" w:rsidR="0072020E" w:rsidRPr="00D16D9B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86071">
        <w:rPr>
          <w:b/>
          <w:bCs/>
          <w:sz w:val="22"/>
          <w:szCs w:val="22"/>
        </w:rPr>
        <w:t xml:space="preserve">5.1.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Farmakodinamski podaci</w:t>
      </w:r>
    </w:p>
    <w:p w14:paraId="004DD96D" w14:textId="77777777" w:rsidR="00F45F77" w:rsidRPr="00786071" w:rsidRDefault="00F45F77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59AE63E" w14:textId="00EC593B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86071">
        <w:rPr>
          <w:bCs/>
          <w:sz w:val="22"/>
          <w:szCs w:val="22"/>
        </w:rPr>
        <w:t>Farmakoterapijska grupa:</w:t>
      </w:r>
      <w:r w:rsidR="00557EB1" w:rsidRPr="00557EB1">
        <w:rPr>
          <w:sz w:val="22"/>
          <w:szCs w:val="22"/>
          <w:lang w:val="sr-Latn-RS"/>
        </w:rPr>
        <w:t xml:space="preserve"> </w:t>
      </w:r>
      <w:r w:rsidR="00C817C2" w:rsidRPr="00C817C2">
        <w:rPr>
          <w:bCs/>
          <w:sz w:val="22"/>
          <w:szCs w:val="22"/>
          <w:lang w:val="en-GB"/>
        </w:rPr>
        <w:t>l</w:t>
      </w:r>
      <w:r w:rsidR="002D5A5F">
        <w:rPr>
          <w:bCs/>
          <w:sz w:val="22"/>
          <w:szCs w:val="22"/>
          <w:lang w:val="en-GB"/>
        </w:rPr>
        <w:t>j</w:t>
      </w:r>
      <w:r w:rsidR="00C817C2" w:rsidRPr="00C817C2">
        <w:rPr>
          <w:bCs/>
          <w:sz w:val="22"/>
          <w:szCs w:val="22"/>
          <w:lang w:val="en-GB"/>
        </w:rPr>
        <w:t>ekovi za l</w:t>
      </w:r>
      <w:r w:rsidR="002D5A5F">
        <w:rPr>
          <w:bCs/>
          <w:sz w:val="22"/>
          <w:szCs w:val="22"/>
          <w:lang w:val="en-GB"/>
        </w:rPr>
        <w:t>ij</w:t>
      </w:r>
      <w:r w:rsidR="00C817C2" w:rsidRPr="00C817C2">
        <w:rPr>
          <w:bCs/>
          <w:sz w:val="22"/>
          <w:szCs w:val="22"/>
          <w:lang w:val="en-GB"/>
        </w:rPr>
        <w:t>ečenje bolesti kostiju, drugi l</w:t>
      </w:r>
      <w:r w:rsidR="002D5A5F">
        <w:rPr>
          <w:bCs/>
          <w:sz w:val="22"/>
          <w:szCs w:val="22"/>
          <w:lang w:val="en-GB"/>
        </w:rPr>
        <w:t>j</w:t>
      </w:r>
      <w:r w:rsidR="00C817C2" w:rsidRPr="00C817C2">
        <w:rPr>
          <w:bCs/>
          <w:sz w:val="22"/>
          <w:szCs w:val="22"/>
          <w:lang w:val="en-GB"/>
        </w:rPr>
        <w:t xml:space="preserve">ekovi koji utiču </w:t>
      </w:r>
      <w:proofErr w:type="gramStart"/>
      <w:r w:rsidR="00C817C2" w:rsidRPr="00C817C2">
        <w:rPr>
          <w:bCs/>
          <w:sz w:val="22"/>
          <w:szCs w:val="22"/>
          <w:lang w:val="en-GB"/>
        </w:rPr>
        <w:t>na</w:t>
      </w:r>
      <w:proofErr w:type="gramEnd"/>
      <w:r w:rsidR="00C817C2" w:rsidRPr="00C817C2">
        <w:rPr>
          <w:bCs/>
          <w:sz w:val="22"/>
          <w:szCs w:val="22"/>
          <w:lang w:val="en-GB"/>
        </w:rPr>
        <w:t xml:space="preserve"> građu i mineralizaciju kostiju</w:t>
      </w:r>
    </w:p>
    <w:p w14:paraId="627FA27A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5891542" w14:textId="232DE2C8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86071">
        <w:rPr>
          <w:bCs/>
          <w:sz w:val="22"/>
          <w:szCs w:val="22"/>
        </w:rPr>
        <w:t>ATC kod:</w:t>
      </w:r>
      <w:r w:rsidR="00557EB1" w:rsidRPr="00557EB1">
        <w:rPr>
          <w:sz w:val="22"/>
          <w:szCs w:val="22"/>
          <w:lang w:val="sr-Latn-RS"/>
        </w:rPr>
        <w:t xml:space="preserve"> </w:t>
      </w:r>
      <w:r w:rsidR="00C817C2" w:rsidRPr="00C817C2">
        <w:rPr>
          <w:bCs/>
          <w:sz w:val="22"/>
          <w:szCs w:val="22"/>
          <w:lang w:val="en-GB"/>
        </w:rPr>
        <w:t>M05BX05</w:t>
      </w:r>
    </w:p>
    <w:p w14:paraId="34EE4E07" w14:textId="77777777" w:rsidR="00557EB1" w:rsidRPr="00AD43B0" w:rsidRDefault="00557EB1" w:rsidP="007E21A6">
      <w:pPr>
        <w:jc w:val="both"/>
        <w:rPr>
          <w:lang w:val="sr-Latn-RS"/>
        </w:rPr>
      </w:pPr>
    </w:p>
    <w:p w14:paraId="3F8F7A93" w14:textId="77777777" w:rsidR="00C817C2" w:rsidRPr="00C817C2" w:rsidRDefault="00C817C2" w:rsidP="007E21A6">
      <w:pPr>
        <w:tabs>
          <w:tab w:val="left" w:pos="567"/>
        </w:tabs>
        <w:jc w:val="both"/>
        <w:rPr>
          <w:sz w:val="22"/>
          <w:szCs w:val="22"/>
          <w:u w:val="single"/>
          <w:lang w:val="sr-Latn-RS"/>
        </w:rPr>
      </w:pPr>
      <w:r w:rsidRPr="00C817C2">
        <w:rPr>
          <w:sz w:val="22"/>
          <w:szCs w:val="22"/>
          <w:u w:val="single"/>
          <w:lang w:val="sr-Latn-RS"/>
        </w:rPr>
        <w:t>Mehanizam dejstva</w:t>
      </w:r>
    </w:p>
    <w:p w14:paraId="7E5E2BAC" w14:textId="24BCEEEC" w:rsidR="00C817C2" w:rsidRDefault="00C817C2" w:rsidP="007E21A6">
      <w:pPr>
        <w:autoSpaceDE w:val="0"/>
        <w:autoSpaceDN w:val="0"/>
        <w:adjustRightInd w:val="0"/>
        <w:jc w:val="both"/>
        <w:rPr>
          <w:sz w:val="22"/>
          <w:szCs w:val="20"/>
          <w:lang w:val="en-GB"/>
        </w:rPr>
      </w:pPr>
      <w:r w:rsidRPr="00C817C2">
        <w:rPr>
          <w:sz w:val="22"/>
          <w:szCs w:val="20"/>
          <w:lang w:val="en-GB"/>
        </w:rPr>
        <w:t>Burosumab je rekombinantno humano monoklonsko antit</w:t>
      </w:r>
      <w:r>
        <w:rPr>
          <w:sz w:val="22"/>
          <w:szCs w:val="20"/>
          <w:lang w:val="en-GB"/>
        </w:rPr>
        <w:t>ij</w:t>
      </w:r>
      <w:r w:rsidRPr="00C817C2">
        <w:rPr>
          <w:sz w:val="22"/>
          <w:szCs w:val="20"/>
          <w:lang w:val="en-GB"/>
        </w:rPr>
        <w:t xml:space="preserve">elo (IgG1) koje se vezuje </w:t>
      </w:r>
      <w:proofErr w:type="gramStart"/>
      <w:r w:rsidRPr="00C817C2">
        <w:rPr>
          <w:sz w:val="22"/>
          <w:szCs w:val="20"/>
          <w:lang w:val="en-GB"/>
        </w:rPr>
        <w:t>na</w:t>
      </w:r>
      <w:proofErr w:type="gramEnd"/>
      <w:r w:rsidRPr="00C817C2">
        <w:rPr>
          <w:sz w:val="22"/>
          <w:szCs w:val="20"/>
          <w:lang w:val="en-GB"/>
        </w:rPr>
        <w:t xml:space="preserve"> faktor rasta fibroblasta 23 (FGF23) i inhibiše njegovu aktivnost. Inhibirajući FGF23, burosumab pov</w:t>
      </w:r>
      <w:r>
        <w:rPr>
          <w:sz w:val="22"/>
          <w:szCs w:val="20"/>
          <w:lang w:val="en-GB"/>
        </w:rPr>
        <w:t>j</w:t>
      </w:r>
      <w:r w:rsidRPr="00C817C2">
        <w:rPr>
          <w:sz w:val="22"/>
          <w:szCs w:val="20"/>
          <w:lang w:val="en-GB"/>
        </w:rPr>
        <w:t>ećava tubularnu reapsorpciju fosfata iz bubrega i pov</w:t>
      </w:r>
      <w:r>
        <w:rPr>
          <w:sz w:val="22"/>
          <w:szCs w:val="20"/>
          <w:lang w:val="en-GB"/>
        </w:rPr>
        <w:t>j</w:t>
      </w:r>
      <w:r w:rsidRPr="00C817C2">
        <w:rPr>
          <w:sz w:val="22"/>
          <w:szCs w:val="20"/>
          <w:lang w:val="en-GB"/>
        </w:rPr>
        <w:t>ećava koncentraciju 1</w:t>
      </w:r>
      <w:proofErr w:type="gramStart"/>
      <w:r w:rsidRPr="00C817C2">
        <w:rPr>
          <w:sz w:val="22"/>
          <w:szCs w:val="20"/>
          <w:lang w:val="en-GB"/>
        </w:rPr>
        <w:t>,25</w:t>
      </w:r>
      <w:proofErr w:type="gramEnd"/>
      <w:r w:rsidRPr="00C817C2">
        <w:rPr>
          <w:sz w:val="22"/>
          <w:szCs w:val="20"/>
          <w:lang w:val="en-GB"/>
        </w:rPr>
        <w:t>-dihidroksivitamina D u serumu.</w:t>
      </w:r>
    </w:p>
    <w:p w14:paraId="44948A7F" w14:textId="77777777" w:rsidR="002D5A5F" w:rsidRPr="00C817C2" w:rsidRDefault="002D5A5F" w:rsidP="007E21A6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66DD06A9" w14:textId="77777777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u w:val="single"/>
          <w:lang w:val="en-GB"/>
        </w:rPr>
      </w:pPr>
      <w:r w:rsidRPr="002D5A5F">
        <w:rPr>
          <w:sz w:val="22"/>
          <w:szCs w:val="20"/>
          <w:u w:val="single"/>
          <w:lang w:val="en-GB"/>
        </w:rPr>
        <w:t xml:space="preserve">Klinička efikasnost kod pedijatrijskih pacijenata </w:t>
      </w:r>
      <w:proofErr w:type="gramStart"/>
      <w:r w:rsidRPr="002D5A5F">
        <w:rPr>
          <w:sz w:val="22"/>
          <w:szCs w:val="20"/>
          <w:u w:val="single"/>
          <w:lang w:val="en-GB"/>
        </w:rPr>
        <w:t>sa</w:t>
      </w:r>
      <w:proofErr w:type="gramEnd"/>
      <w:r w:rsidRPr="002D5A5F">
        <w:rPr>
          <w:sz w:val="22"/>
          <w:szCs w:val="20"/>
          <w:u w:val="single"/>
          <w:lang w:val="en-GB"/>
        </w:rPr>
        <w:t xml:space="preserve"> XLH</w:t>
      </w:r>
    </w:p>
    <w:p w14:paraId="48556E6A" w14:textId="0042DCE8" w:rsid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u w:val="single"/>
          <w:lang w:val="en-GB"/>
        </w:rPr>
      </w:pPr>
    </w:p>
    <w:p w14:paraId="20215838" w14:textId="77777777" w:rsidR="00D91BC6" w:rsidRPr="002D5A5F" w:rsidRDefault="00D91BC6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u w:val="single"/>
          <w:lang w:val="en-GB"/>
        </w:rPr>
      </w:pPr>
    </w:p>
    <w:p w14:paraId="1079BD5D" w14:textId="77777777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i/>
          <w:sz w:val="22"/>
          <w:szCs w:val="20"/>
          <w:u w:val="single"/>
          <w:lang w:val="en-GB"/>
        </w:rPr>
      </w:pPr>
      <w:r w:rsidRPr="002D5A5F">
        <w:rPr>
          <w:i/>
          <w:iCs/>
          <w:sz w:val="22"/>
          <w:szCs w:val="20"/>
          <w:u w:val="single"/>
          <w:lang w:val="en-GB"/>
        </w:rPr>
        <w:lastRenderedPageBreak/>
        <w:t>Studija UX023-CL301</w:t>
      </w:r>
    </w:p>
    <w:p w14:paraId="29625EFF" w14:textId="1F31E47D" w:rsidR="002D5A5F" w:rsidRDefault="002D5A5F" w:rsidP="007E21A6">
      <w:pPr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U pedijatrijskoj studiji UX023-CL301, 61 pacijent uzrasta od 1 do 12 godina [56% ženskog pola, 44% muškog pola, uzrast pri prvoj dozi (SD): 6</w:t>
      </w:r>
      <w:proofErr w:type="gramStart"/>
      <w:r w:rsidRPr="002D5A5F">
        <w:rPr>
          <w:sz w:val="22"/>
          <w:szCs w:val="20"/>
          <w:lang w:val="en-GB"/>
        </w:rPr>
        <w:t>,3</w:t>
      </w:r>
      <w:proofErr w:type="gramEnd"/>
      <w:r w:rsidRPr="002D5A5F">
        <w:rPr>
          <w:sz w:val="22"/>
          <w:szCs w:val="20"/>
          <w:lang w:val="en-GB"/>
        </w:rPr>
        <w:t xml:space="preserve"> (3,31) godina] bio je randomizovan za buro</w:t>
      </w:r>
      <w:r>
        <w:rPr>
          <w:sz w:val="22"/>
          <w:szCs w:val="20"/>
          <w:lang w:val="en-GB"/>
        </w:rPr>
        <w:t>s</w:t>
      </w:r>
      <w:r w:rsidRPr="002D5A5F">
        <w:rPr>
          <w:sz w:val="22"/>
          <w:szCs w:val="20"/>
          <w:lang w:val="en-GB"/>
        </w:rPr>
        <w:t>umab (n = 29) ili aktivnu kontrolu (n = 32; peroralno fosfat i aktivni vitamin D). Pri uključivanju u studiju svi pacijenti su morali da budu najmanje 6 m</w:t>
      </w:r>
      <w:r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eseci l</w:t>
      </w:r>
      <w:r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ečeni peroralnim fosfatom i aktivnim oblikom vitamina D. Svi pacijenti su imali radiografski dokazanu bolest kostiju zbog XLH</w:t>
      </w:r>
      <w:r w:rsidRPr="002D5A5F">
        <w:rPr>
          <w:color w:val="008000"/>
          <w:sz w:val="22"/>
          <w:szCs w:val="20"/>
          <w:lang w:val="en-GB"/>
        </w:rPr>
        <w:t xml:space="preserve"> </w:t>
      </w:r>
      <w:r w:rsidRPr="002D5A5F">
        <w:rPr>
          <w:sz w:val="22"/>
          <w:szCs w:val="20"/>
          <w:lang w:val="en-GB"/>
        </w:rPr>
        <w:t>(rezultat za težinu rahitisa ≥ 2). Prim</w:t>
      </w:r>
      <w:r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ena burosumaba je počela u dozi od 0,8 mg/kg svake 2 ned</w:t>
      </w:r>
      <w:r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elje, a ako odgovor na osnovu m</w:t>
      </w:r>
      <w:r w:rsidR="009B29D4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erenja fosfata u serumu natašte nije bio odgovarajući, doza je pov</w:t>
      </w:r>
      <w:r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ećavana na 1,2 mg/kg. Pacijenti randomizovani u grupu l</w:t>
      </w:r>
      <w:r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ečenu aktivnim komparatorom primali su višestruke dnevne doze peroralnog fosfata i aktivnog vitamina D.</w:t>
      </w:r>
    </w:p>
    <w:p w14:paraId="58175E29" w14:textId="77777777" w:rsidR="00E32C82" w:rsidRPr="002D5A5F" w:rsidRDefault="00E32C82" w:rsidP="007E21A6">
      <w:pPr>
        <w:jc w:val="both"/>
        <w:rPr>
          <w:sz w:val="22"/>
          <w:szCs w:val="20"/>
          <w:lang w:val="en-GB"/>
        </w:rPr>
      </w:pPr>
    </w:p>
    <w:p w14:paraId="4C104D25" w14:textId="1ACA709F" w:rsidR="002D5A5F" w:rsidRDefault="002D5A5F" w:rsidP="007E21A6">
      <w:pPr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Primarna krajnja tačka efikasnosti bila je prom</w:t>
      </w:r>
      <w:r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ena u težini rahitisa u 40. </w:t>
      </w:r>
      <w:proofErr w:type="gramStart"/>
      <w:r w:rsidRPr="002D5A5F">
        <w:rPr>
          <w:sz w:val="22"/>
          <w:szCs w:val="20"/>
          <w:lang w:val="en-GB"/>
        </w:rPr>
        <w:t>ned</w:t>
      </w:r>
      <w:r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elji</w:t>
      </w:r>
      <w:proofErr w:type="gramEnd"/>
      <w:r w:rsidRPr="002D5A5F">
        <w:rPr>
          <w:sz w:val="22"/>
          <w:szCs w:val="20"/>
          <w:lang w:val="en-GB"/>
        </w:rPr>
        <w:t>, proc</w:t>
      </w:r>
      <w:r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enjena na osnovu skora radiografskog opšteg utiska (engl. Radiographic Global Impression of Change, RGI-C)</w:t>
      </w:r>
      <w:r w:rsidRPr="002D5A5F">
        <w:rPr>
          <w:i/>
          <w:iCs/>
          <w:color w:val="008000"/>
          <w:sz w:val="22"/>
          <w:szCs w:val="22"/>
          <w:lang w:val="en-GB"/>
        </w:rPr>
        <w:t xml:space="preserve"> </w:t>
      </w:r>
      <w:r w:rsidRPr="002D5A5F">
        <w:rPr>
          <w:sz w:val="22"/>
          <w:szCs w:val="20"/>
          <w:lang w:val="en-GB"/>
        </w:rPr>
        <w:t xml:space="preserve">upoređena između grupe koja je primala burosumab i grupe koja je primala aktivni komparator. </w:t>
      </w:r>
    </w:p>
    <w:p w14:paraId="634F397C" w14:textId="77777777" w:rsidR="00E32C82" w:rsidRPr="002D5A5F" w:rsidRDefault="00E32C82" w:rsidP="007E21A6">
      <w:pPr>
        <w:jc w:val="both"/>
        <w:rPr>
          <w:sz w:val="22"/>
          <w:szCs w:val="20"/>
          <w:lang w:val="en-GB"/>
        </w:rPr>
      </w:pPr>
    </w:p>
    <w:p w14:paraId="6135D8A5" w14:textId="00930041" w:rsidR="002D5A5F" w:rsidRDefault="002D5A5F" w:rsidP="007E21A6">
      <w:pPr>
        <w:tabs>
          <w:tab w:val="left" w:pos="567"/>
        </w:tabs>
        <w:ind w:right="-2"/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RGI-C je relativna skala za ocenjivanje koja poredi rahitis pacijenta pr</w:t>
      </w:r>
      <w:r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 i nakon terapije prim</w:t>
      </w:r>
      <w:r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enom ordinalne skale </w:t>
      </w:r>
      <w:proofErr w:type="gramStart"/>
      <w:r w:rsidRPr="002D5A5F">
        <w:rPr>
          <w:sz w:val="22"/>
          <w:szCs w:val="20"/>
          <w:lang w:val="en-GB"/>
        </w:rPr>
        <w:t>sa</w:t>
      </w:r>
      <w:proofErr w:type="gramEnd"/>
      <w:r w:rsidRPr="002D5A5F">
        <w:rPr>
          <w:sz w:val="22"/>
          <w:szCs w:val="20"/>
          <w:lang w:val="en-GB"/>
        </w:rPr>
        <w:t xml:space="preserve"> 7 tačaka u cilju proc</w:t>
      </w:r>
      <w:r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ene prom</w:t>
      </w:r>
      <w:r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ene istih abnormalnosti oc</w:t>
      </w:r>
      <w:r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 xml:space="preserve">enjenih u RSS (kako je opisano u nastavku). Rezultati se kreću u rasponu </w:t>
      </w:r>
      <w:proofErr w:type="gramStart"/>
      <w:r w:rsidRPr="002D5A5F">
        <w:rPr>
          <w:sz w:val="22"/>
          <w:szCs w:val="20"/>
          <w:lang w:val="en-GB"/>
        </w:rPr>
        <w:t>od</w:t>
      </w:r>
      <w:proofErr w:type="gramEnd"/>
      <w:r w:rsidRPr="002D5A5F">
        <w:rPr>
          <w:sz w:val="22"/>
          <w:szCs w:val="20"/>
          <w:lang w:val="en-GB"/>
        </w:rPr>
        <w:t xml:space="preserve"> -3 (pokazuje teško pogoršanje rahitisa) do +3 (pokazuje potpuno izl</w:t>
      </w:r>
      <w:r w:rsidR="009B29D4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ečenje rahitisa). </w:t>
      </w:r>
    </w:p>
    <w:p w14:paraId="227D621B" w14:textId="77777777" w:rsidR="00E32C82" w:rsidRPr="002D5A5F" w:rsidRDefault="00E32C82" w:rsidP="007E21A6">
      <w:pPr>
        <w:tabs>
          <w:tab w:val="left" w:pos="567"/>
        </w:tabs>
        <w:ind w:right="-2"/>
        <w:jc w:val="both"/>
        <w:rPr>
          <w:sz w:val="22"/>
          <w:szCs w:val="22"/>
          <w:lang w:val="en-GB"/>
        </w:rPr>
      </w:pPr>
    </w:p>
    <w:p w14:paraId="49759167" w14:textId="5726573F" w:rsidR="002D5A5F" w:rsidRDefault="002D5A5F" w:rsidP="007E21A6">
      <w:pPr>
        <w:keepNext/>
        <w:keepLines/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Težina rahitisa kod pedijatrijskih pacijenata izm</w:t>
      </w:r>
      <w:r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erena je uz prim</w:t>
      </w:r>
      <w:r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enu RSS, radiografske metode bodovanja </w:t>
      </w:r>
      <w:proofErr w:type="gramStart"/>
      <w:r w:rsidRPr="002D5A5F">
        <w:rPr>
          <w:sz w:val="22"/>
          <w:szCs w:val="20"/>
          <w:lang w:val="en-GB"/>
        </w:rPr>
        <w:t>na</w:t>
      </w:r>
      <w:proofErr w:type="gramEnd"/>
      <w:r w:rsidRPr="002D5A5F">
        <w:rPr>
          <w:sz w:val="22"/>
          <w:szCs w:val="20"/>
          <w:lang w:val="en-GB"/>
        </w:rPr>
        <w:t xml:space="preserve"> osnovu stepena trošenja metafize, njene konkavnosti i ud</w:t>
      </w:r>
      <w:r w:rsidR="009B29D4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ela zahvaćene ploče rasta. U studiji UX023-CL301, bodovanje težine rahitisa zasnivalo se </w:t>
      </w:r>
      <w:proofErr w:type="gramStart"/>
      <w:r w:rsidRPr="002D5A5F">
        <w:rPr>
          <w:sz w:val="22"/>
          <w:szCs w:val="20"/>
          <w:lang w:val="en-GB"/>
        </w:rPr>
        <w:t>na</w:t>
      </w:r>
      <w:proofErr w:type="gramEnd"/>
      <w:r w:rsidRPr="002D5A5F">
        <w:rPr>
          <w:sz w:val="22"/>
          <w:szCs w:val="20"/>
          <w:lang w:val="en-GB"/>
        </w:rPr>
        <w:t xml:space="preserve"> unapr</w:t>
      </w:r>
      <w:r w:rsidR="00E32C82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 definisanoj l</w:t>
      </w:r>
      <w:r w:rsidR="009B29D4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estvici usm</w:t>
      </w:r>
      <w:r w:rsidR="0029223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erenoj na ručne zglobove i kol</w:t>
      </w:r>
      <w:r w:rsidR="00E32C82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ena. </w:t>
      </w:r>
    </w:p>
    <w:p w14:paraId="08F556CC" w14:textId="77777777" w:rsidR="00E32C82" w:rsidRPr="002D5A5F" w:rsidRDefault="00E32C82" w:rsidP="007E21A6">
      <w:pPr>
        <w:keepNext/>
        <w:keepLines/>
        <w:jc w:val="both"/>
        <w:rPr>
          <w:i/>
          <w:sz w:val="22"/>
          <w:szCs w:val="20"/>
          <w:lang w:val="en-GB"/>
        </w:rPr>
      </w:pPr>
    </w:p>
    <w:p w14:paraId="5038AC04" w14:textId="00DCD4DF" w:rsidR="002D5A5F" w:rsidRDefault="002D5A5F" w:rsidP="007E21A6">
      <w:pPr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 xml:space="preserve">Svi pacijenti (n = 61) završili su period randomizovane terapije u trajanju </w:t>
      </w:r>
      <w:proofErr w:type="gramStart"/>
      <w:r w:rsidRPr="002D5A5F">
        <w:rPr>
          <w:sz w:val="22"/>
          <w:szCs w:val="20"/>
          <w:lang w:val="en-GB"/>
        </w:rPr>
        <w:t>od</w:t>
      </w:r>
      <w:proofErr w:type="gramEnd"/>
      <w:r w:rsidRPr="002D5A5F">
        <w:rPr>
          <w:sz w:val="22"/>
          <w:szCs w:val="20"/>
          <w:lang w:val="en-GB"/>
        </w:rPr>
        <w:t xml:space="preserve"> 64 ned</w:t>
      </w:r>
      <w:r w:rsidR="0029223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elje. Ni kod jednog pacijenta nije smanjena doza, a kod 8 (28%) pacijenata koji su primali burosumab doza je pov</w:t>
      </w:r>
      <w:r w:rsidR="0091588D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ećana na 1</w:t>
      </w:r>
      <w:proofErr w:type="gramStart"/>
      <w:r w:rsidRPr="002D5A5F">
        <w:rPr>
          <w:sz w:val="22"/>
          <w:szCs w:val="20"/>
          <w:lang w:val="en-GB"/>
        </w:rPr>
        <w:t>,2</w:t>
      </w:r>
      <w:proofErr w:type="gramEnd"/>
      <w:r w:rsidRPr="002D5A5F">
        <w:rPr>
          <w:sz w:val="22"/>
          <w:szCs w:val="20"/>
          <w:lang w:val="en-GB"/>
        </w:rPr>
        <w:t xml:space="preserve"> mg/kg. U period produžetka terapije uključen je ukupno 51 pacijent, od toga je 26 pacijenata bilo u grupi aktivni komparator→burosumab, a 25 pacijenata u grupi burosumab→burosumab, i l</w:t>
      </w:r>
      <w:r w:rsidR="00083661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ečeni su burosumabom do 124 ned</w:t>
      </w:r>
      <w:r w:rsidR="0091588D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elje.</w:t>
      </w:r>
    </w:p>
    <w:p w14:paraId="32DF19DF" w14:textId="50CE708F" w:rsidR="00D91BC6" w:rsidRDefault="00D91BC6" w:rsidP="007E21A6">
      <w:pPr>
        <w:jc w:val="both"/>
        <w:rPr>
          <w:sz w:val="22"/>
          <w:szCs w:val="20"/>
          <w:lang w:val="en-GB"/>
        </w:rPr>
      </w:pPr>
    </w:p>
    <w:p w14:paraId="1AC10055" w14:textId="5509D0DA" w:rsidR="00D91BC6" w:rsidRPr="002D5A5F" w:rsidRDefault="00D91BC6" w:rsidP="007E21A6">
      <w:pPr>
        <w:jc w:val="both"/>
        <w:rPr>
          <w:i/>
          <w:color w:val="008000"/>
          <w:sz w:val="22"/>
          <w:szCs w:val="20"/>
          <w:lang w:val="en-GB"/>
        </w:rPr>
      </w:pPr>
    </w:p>
    <w:p w14:paraId="194516DB" w14:textId="37D14C1E" w:rsidR="002D5A5F" w:rsidRPr="002D5A5F" w:rsidRDefault="002D5A5F" w:rsidP="007E21A6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  <w:lang w:val="en-GB"/>
        </w:rPr>
      </w:pPr>
      <w:r w:rsidRPr="002D5A5F">
        <w:rPr>
          <w:sz w:val="22"/>
          <w:szCs w:val="22"/>
          <w:u w:val="single"/>
          <w:lang w:val="en-GB"/>
        </w:rPr>
        <w:lastRenderedPageBreak/>
        <w:t>Rezultati primarne efikasnosti</w:t>
      </w:r>
    </w:p>
    <w:p w14:paraId="0010D397" w14:textId="1AC7460E" w:rsidR="002D5A5F" w:rsidRPr="002D5A5F" w:rsidRDefault="002D5A5F" w:rsidP="007E21A6">
      <w:pPr>
        <w:keepNext/>
        <w:autoSpaceDE w:val="0"/>
        <w:autoSpaceDN w:val="0"/>
        <w:adjustRightInd w:val="0"/>
        <w:jc w:val="both"/>
        <w:rPr>
          <w:rFonts w:eastAsia="SimSun"/>
          <w:lang w:val="en-GB"/>
        </w:rPr>
      </w:pPr>
      <w:r w:rsidRPr="002D5A5F">
        <w:rPr>
          <w:sz w:val="22"/>
          <w:szCs w:val="22"/>
          <w:lang w:val="en-GB"/>
        </w:rPr>
        <w:t xml:space="preserve">U 40. </w:t>
      </w:r>
      <w:proofErr w:type="gramStart"/>
      <w:r w:rsidRPr="002D5A5F">
        <w:rPr>
          <w:sz w:val="22"/>
          <w:szCs w:val="22"/>
          <w:lang w:val="en-GB"/>
        </w:rPr>
        <w:t>ned</w:t>
      </w:r>
      <w:r w:rsidR="00083661">
        <w:rPr>
          <w:sz w:val="22"/>
          <w:szCs w:val="22"/>
          <w:lang w:val="en-GB"/>
        </w:rPr>
        <w:t>j</w:t>
      </w:r>
      <w:r w:rsidRPr="002D5A5F">
        <w:rPr>
          <w:sz w:val="22"/>
          <w:szCs w:val="22"/>
          <w:lang w:val="en-GB"/>
        </w:rPr>
        <w:t>elji</w:t>
      </w:r>
      <w:proofErr w:type="gramEnd"/>
      <w:r w:rsidRPr="002D5A5F">
        <w:rPr>
          <w:sz w:val="22"/>
          <w:szCs w:val="22"/>
          <w:lang w:val="en-GB"/>
        </w:rPr>
        <w:t xml:space="preserve"> veći stepen izl</w:t>
      </w:r>
      <w:r w:rsidR="0091588D">
        <w:rPr>
          <w:sz w:val="22"/>
          <w:szCs w:val="22"/>
          <w:lang w:val="en-GB"/>
        </w:rPr>
        <w:t>j</w:t>
      </w:r>
      <w:r w:rsidRPr="002D5A5F">
        <w:rPr>
          <w:sz w:val="22"/>
          <w:szCs w:val="22"/>
          <w:lang w:val="en-GB"/>
        </w:rPr>
        <w:t>ečenja rahitisa zab</w:t>
      </w:r>
      <w:r w:rsidR="00341BAE">
        <w:rPr>
          <w:sz w:val="22"/>
          <w:szCs w:val="22"/>
          <w:lang w:val="en-GB"/>
        </w:rPr>
        <w:t>ilj</w:t>
      </w:r>
      <w:r w:rsidRPr="002D5A5F">
        <w:rPr>
          <w:sz w:val="22"/>
          <w:szCs w:val="22"/>
          <w:lang w:val="en-GB"/>
        </w:rPr>
        <w:t xml:space="preserve">ežen je uz terapiju burosumabom nego uz aktivni komparator i taj efekat se održao i u 64. </w:t>
      </w:r>
      <w:proofErr w:type="gramStart"/>
      <w:r w:rsidRPr="002D5A5F">
        <w:rPr>
          <w:sz w:val="22"/>
          <w:szCs w:val="22"/>
          <w:lang w:val="en-GB"/>
        </w:rPr>
        <w:t>ned</w:t>
      </w:r>
      <w:r w:rsidR="00083661">
        <w:rPr>
          <w:sz w:val="22"/>
          <w:szCs w:val="22"/>
          <w:lang w:val="en-GB"/>
        </w:rPr>
        <w:t>j</w:t>
      </w:r>
      <w:r w:rsidRPr="002D5A5F">
        <w:rPr>
          <w:sz w:val="22"/>
          <w:szCs w:val="22"/>
          <w:lang w:val="en-GB"/>
        </w:rPr>
        <w:t>elji</w:t>
      </w:r>
      <w:proofErr w:type="gramEnd"/>
      <w:r w:rsidRPr="002D5A5F">
        <w:rPr>
          <w:sz w:val="22"/>
          <w:szCs w:val="22"/>
          <w:lang w:val="en-GB"/>
        </w:rPr>
        <w:t xml:space="preserve">, kao što je prikazano na slici 1. Navedeni rezultati održali su se do 88. </w:t>
      </w:r>
      <w:proofErr w:type="gramStart"/>
      <w:r w:rsidRPr="002D5A5F">
        <w:rPr>
          <w:sz w:val="22"/>
          <w:szCs w:val="22"/>
          <w:lang w:val="en-GB"/>
        </w:rPr>
        <w:t>ned</w:t>
      </w:r>
      <w:r w:rsidR="00083661">
        <w:rPr>
          <w:sz w:val="22"/>
          <w:szCs w:val="22"/>
          <w:lang w:val="en-GB"/>
        </w:rPr>
        <w:t>j</w:t>
      </w:r>
      <w:r w:rsidRPr="002D5A5F">
        <w:rPr>
          <w:sz w:val="22"/>
          <w:szCs w:val="22"/>
          <w:lang w:val="en-GB"/>
        </w:rPr>
        <w:t>elje</w:t>
      </w:r>
      <w:proofErr w:type="gramEnd"/>
      <w:r w:rsidRPr="002D5A5F">
        <w:rPr>
          <w:sz w:val="22"/>
          <w:szCs w:val="22"/>
          <w:lang w:val="en-GB"/>
        </w:rPr>
        <w:t xml:space="preserve"> (n = 21).</w:t>
      </w:r>
    </w:p>
    <w:p w14:paraId="695F49AC" w14:textId="77777777" w:rsidR="00E32C82" w:rsidRDefault="00E32C82" w:rsidP="007E21A6">
      <w:pPr>
        <w:keepNext/>
        <w:tabs>
          <w:tab w:val="left" w:pos="567"/>
        </w:tabs>
        <w:spacing w:line="260" w:lineRule="exact"/>
        <w:ind w:left="851" w:hanging="851"/>
        <w:jc w:val="both"/>
        <w:rPr>
          <w:b/>
          <w:bCs/>
          <w:sz w:val="22"/>
          <w:szCs w:val="22"/>
          <w:lang w:val="en-GB"/>
        </w:rPr>
      </w:pPr>
      <w:bookmarkStart w:id="9" w:name="_Ref514775561"/>
      <w:bookmarkStart w:id="10" w:name="_Toc531854490"/>
    </w:p>
    <w:p w14:paraId="2091FDCE" w14:textId="07D3F4B4" w:rsidR="002D5A5F" w:rsidRPr="002D5A5F" w:rsidRDefault="002D5A5F" w:rsidP="007E21A6">
      <w:pPr>
        <w:keepNext/>
        <w:tabs>
          <w:tab w:val="left" w:pos="567"/>
        </w:tabs>
        <w:spacing w:line="260" w:lineRule="exact"/>
        <w:ind w:left="851" w:hanging="851"/>
        <w:jc w:val="both"/>
        <w:rPr>
          <w:b/>
          <w:bCs/>
          <w:sz w:val="22"/>
          <w:szCs w:val="22"/>
          <w:lang w:val="en-GB"/>
        </w:rPr>
      </w:pPr>
      <w:r w:rsidRPr="002D5A5F">
        <w:rPr>
          <w:b/>
          <w:bCs/>
          <w:sz w:val="22"/>
          <w:szCs w:val="22"/>
          <w:lang w:val="en-GB"/>
        </w:rPr>
        <w:t>Slika</w:t>
      </w:r>
      <w:bookmarkEnd w:id="9"/>
      <w:r w:rsidRPr="002D5A5F">
        <w:rPr>
          <w:b/>
          <w:bCs/>
          <w:sz w:val="22"/>
          <w:szCs w:val="22"/>
          <w:lang w:val="en-GB"/>
        </w:rPr>
        <w:t xml:space="preserve"> 1: RGI-C globalni skor (srednja vr</w:t>
      </w:r>
      <w:r w:rsidR="00083661">
        <w:rPr>
          <w:b/>
          <w:bCs/>
          <w:sz w:val="22"/>
          <w:szCs w:val="22"/>
          <w:lang w:val="en-GB"/>
        </w:rPr>
        <w:t>ij</w:t>
      </w:r>
      <w:r w:rsidRPr="002D5A5F">
        <w:rPr>
          <w:b/>
          <w:bCs/>
          <w:sz w:val="22"/>
          <w:szCs w:val="22"/>
          <w:lang w:val="en-GB"/>
        </w:rPr>
        <w:t xml:space="preserve">ednost ± SE) – Primarna krajnja tačka efikasnosti u 40. </w:t>
      </w:r>
      <w:proofErr w:type="gramStart"/>
      <w:r w:rsidRPr="002D5A5F">
        <w:rPr>
          <w:b/>
          <w:bCs/>
          <w:sz w:val="22"/>
          <w:szCs w:val="22"/>
          <w:lang w:val="en-GB"/>
        </w:rPr>
        <w:t>i</w:t>
      </w:r>
      <w:proofErr w:type="gramEnd"/>
      <w:r w:rsidRPr="002D5A5F">
        <w:rPr>
          <w:b/>
          <w:bCs/>
          <w:sz w:val="22"/>
          <w:szCs w:val="22"/>
          <w:lang w:val="en-GB"/>
        </w:rPr>
        <w:t xml:space="preserve"> 64. </w:t>
      </w:r>
      <w:proofErr w:type="gramStart"/>
      <w:r w:rsidRPr="002D5A5F">
        <w:rPr>
          <w:b/>
          <w:bCs/>
          <w:sz w:val="22"/>
          <w:szCs w:val="22"/>
          <w:lang w:val="en-GB"/>
        </w:rPr>
        <w:t>ned</w:t>
      </w:r>
      <w:r w:rsidR="00083661">
        <w:rPr>
          <w:b/>
          <w:bCs/>
          <w:sz w:val="22"/>
          <w:szCs w:val="22"/>
          <w:lang w:val="en-GB"/>
        </w:rPr>
        <w:t>j</w:t>
      </w:r>
      <w:r w:rsidRPr="002D5A5F">
        <w:rPr>
          <w:b/>
          <w:bCs/>
          <w:sz w:val="22"/>
          <w:szCs w:val="22"/>
          <w:lang w:val="en-GB"/>
        </w:rPr>
        <w:t>elji</w:t>
      </w:r>
      <w:proofErr w:type="gramEnd"/>
      <w:r w:rsidRPr="002D5A5F">
        <w:rPr>
          <w:b/>
          <w:bCs/>
          <w:sz w:val="22"/>
          <w:szCs w:val="22"/>
          <w:lang w:val="en-GB"/>
        </w:rPr>
        <w:t xml:space="preserve"> (kompletni skup za analizu)</w:t>
      </w:r>
      <w:bookmarkEnd w:id="10"/>
    </w:p>
    <w:p w14:paraId="1BC29949" w14:textId="77777777" w:rsidR="002D5A5F" w:rsidRPr="002D5A5F" w:rsidRDefault="002D5A5F" w:rsidP="007E21A6">
      <w:pPr>
        <w:keepNext/>
        <w:tabs>
          <w:tab w:val="left" w:pos="567"/>
        </w:tabs>
        <w:spacing w:line="260" w:lineRule="exact"/>
        <w:ind w:left="851" w:hanging="851"/>
        <w:jc w:val="both"/>
        <w:rPr>
          <w:b/>
          <w:bCs/>
          <w:sz w:val="22"/>
          <w:szCs w:val="22"/>
          <w:lang w:val="en-GB"/>
        </w:rPr>
      </w:pPr>
    </w:p>
    <w:p w14:paraId="137F57A5" w14:textId="77777777" w:rsidR="002D5A5F" w:rsidRPr="002D5A5F" w:rsidRDefault="002D5A5F" w:rsidP="007E21A6">
      <w:pPr>
        <w:keepNext/>
        <w:tabs>
          <w:tab w:val="left" w:pos="567"/>
        </w:tabs>
        <w:spacing w:line="260" w:lineRule="exact"/>
        <w:ind w:left="851" w:hanging="851"/>
        <w:jc w:val="both"/>
        <w:rPr>
          <w:rFonts w:eastAsia="SimSun"/>
          <w:b/>
          <w:bCs/>
          <w:sz w:val="22"/>
          <w:szCs w:val="22"/>
          <w:lang w:val="en-GB"/>
        </w:rPr>
      </w:pPr>
    </w:p>
    <w:p w14:paraId="4F49B383" w14:textId="33CBE0B6" w:rsidR="002D5A5F" w:rsidRPr="002D5A5F" w:rsidRDefault="002D5A5F" w:rsidP="007E21A6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en-GB"/>
        </w:rPr>
      </w:pPr>
      <w:r w:rsidRPr="002D5A5F">
        <w:rPr>
          <w:noProof/>
          <w:sz w:val="22"/>
          <w:szCs w:val="20"/>
          <w:lang w:val="sr-Latn-ME" w:eastAsia="sr-Latn-ME"/>
        </w:rPr>
        <w:drawing>
          <wp:inline distT="0" distB="0" distL="0" distR="0" wp14:anchorId="0C506E7F" wp14:editId="727CD94E">
            <wp:extent cx="5739765" cy="4110355"/>
            <wp:effectExtent l="0" t="0" r="0" b="4445"/>
            <wp:docPr id="756666726" name="Picture 6" descr="A graph of different sizes and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66726" name="Picture 6" descr="A graph of different sizes and colo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411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885CD" w14:textId="77777777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en-GB"/>
        </w:rPr>
      </w:pPr>
    </w:p>
    <w:p w14:paraId="7FB1E1CF" w14:textId="77777777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en-GB"/>
        </w:rPr>
      </w:pPr>
      <w:r w:rsidRPr="002D5A5F">
        <w:rPr>
          <w:sz w:val="22"/>
          <w:szCs w:val="22"/>
          <w:u w:val="single"/>
          <w:lang w:val="en-GB"/>
        </w:rPr>
        <w:t>Rezultati sekundarne efikasnosti</w:t>
      </w:r>
    </w:p>
    <w:p w14:paraId="6630C852" w14:textId="35017669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en-GB"/>
        </w:rPr>
      </w:pPr>
      <w:r w:rsidRPr="002D5A5F">
        <w:rPr>
          <w:sz w:val="22"/>
          <w:szCs w:val="22"/>
          <w:lang w:val="en-GB"/>
        </w:rPr>
        <w:t xml:space="preserve">Ključne sekundarne krajnje tačke efikasnosti za 40. </w:t>
      </w:r>
      <w:proofErr w:type="gramStart"/>
      <w:r w:rsidRPr="002D5A5F">
        <w:rPr>
          <w:sz w:val="22"/>
          <w:szCs w:val="22"/>
          <w:lang w:val="en-GB"/>
        </w:rPr>
        <w:t>i</w:t>
      </w:r>
      <w:proofErr w:type="gramEnd"/>
      <w:r w:rsidRPr="002D5A5F">
        <w:rPr>
          <w:sz w:val="22"/>
          <w:szCs w:val="22"/>
          <w:lang w:val="en-GB"/>
        </w:rPr>
        <w:t xml:space="preserve"> 64. </w:t>
      </w:r>
      <w:proofErr w:type="gramStart"/>
      <w:r w:rsidRPr="002D5A5F">
        <w:rPr>
          <w:sz w:val="22"/>
          <w:szCs w:val="22"/>
          <w:lang w:val="en-GB"/>
        </w:rPr>
        <w:t>ned</w:t>
      </w:r>
      <w:r w:rsidR="00083661">
        <w:rPr>
          <w:sz w:val="22"/>
          <w:szCs w:val="22"/>
          <w:lang w:val="en-GB"/>
        </w:rPr>
        <w:t>j</w:t>
      </w:r>
      <w:r w:rsidRPr="002D5A5F">
        <w:rPr>
          <w:sz w:val="22"/>
          <w:szCs w:val="22"/>
          <w:lang w:val="en-GB"/>
        </w:rPr>
        <w:t>elju</w:t>
      </w:r>
      <w:proofErr w:type="gramEnd"/>
      <w:r w:rsidRPr="002D5A5F">
        <w:rPr>
          <w:sz w:val="22"/>
          <w:szCs w:val="22"/>
          <w:lang w:val="en-GB"/>
        </w:rPr>
        <w:t xml:space="preserve"> prikazane su u tabeli 3. Navedeni rezultati održali su se do 88. </w:t>
      </w:r>
      <w:proofErr w:type="gramStart"/>
      <w:r w:rsidRPr="002D5A5F">
        <w:rPr>
          <w:sz w:val="22"/>
          <w:szCs w:val="22"/>
          <w:lang w:val="en-GB"/>
        </w:rPr>
        <w:t>ned</w:t>
      </w:r>
      <w:r w:rsidR="00083661">
        <w:rPr>
          <w:sz w:val="22"/>
          <w:szCs w:val="22"/>
          <w:lang w:val="en-GB"/>
        </w:rPr>
        <w:t>j</w:t>
      </w:r>
      <w:r w:rsidRPr="002D5A5F">
        <w:rPr>
          <w:sz w:val="22"/>
          <w:szCs w:val="22"/>
          <w:lang w:val="en-GB"/>
        </w:rPr>
        <w:t>elje</w:t>
      </w:r>
      <w:proofErr w:type="gramEnd"/>
      <w:r w:rsidRPr="002D5A5F">
        <w:rPr>
          <w:sz w:val="22"/>
          <w:szCs w:val="22"/>
          <w:lang w:val="en-GB"/>
        </w:rPr>
        <w:t xml:space="preserve"> (n = 21). </w:t>
      </w:r>
    </w:p>
    <w:p w14:paraId="7881D105" w14:textId="77777777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en-GB"/>
        </w:rPr>
      </w:pPr>
    </w:p>
    <w:p w14:paraId="273CA7DA" w14:textId="77777777" w:rsidR="002D5A5F" w:rsidRPr="002D5A5F" w:rsidRDefault="002D5A5F" w:rsidP="008B21F3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  <w:r w:rsidRPr="002D5A5F">
        <w:rPr>
          <w:b/>
          <w:bCs/>
          <w:sz w:val="22"/>
          <w:szCs w:val="22"/>
          <w:lang w:val="en-GB"/>
        </w:rPr>
        <w:t xml:space="preserve">Tabela 3: Rezultati sekundarne krajnje tačke efikasnosti </w:t>
      </w:r>
    </w:p>
    <w:p w14:paraId="5D00138F" w14:textId="77777777" w:rsidR="002D5A5F" w:rsidRPr="002D5A5F" w:rsidRDefault="002D5A5F" w:rsidP="00204AFF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115"/>
        <w:gridCol w:w="1911"/>
        <w:gridCol w:w="2020"/>
        <w:gridCol w:w="1770"/>
      </w:tblGrid>
      <w:tr w:rsidR="002D5A5F" w:rsidRPr="002D5A5F" w14:paraId="3738C71D" w14:textId="77777777" w:rsidTr="00B111F9">
        <w:tc>
          <w:tcPr>
            <w:tcW w:w="2245" w:type="dxa"/>
            <w:shd w:val="clear" w:color="auto" w:fill="auto"/>
          </w:tcPr>
          <w:p w14:paraId="66FB4C15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b/>
                <w:sz w:val="22"/>
                <w:szCs w:val="20"/>
                <w:lang w:val="en-GB"/>
              </w:rPr>
            </w:pPr>
            <w:r w:rsidRPr="002D5A5F">
              <w:rPr>
                <w:b/>
                <w:bCs/>
                <w:sz w:val="22"/>
                <w:szCs w:val="20"/>
                <w:lang w:val="en-GB"/>
              </w:rPr>
              <w:t>Krajnja tačka</w:t>
            </w:r>
          </w:p>
        </w:tc>
        <w:tc>
          <w:tcPr>
            <w:tcW w:w="1115" w:type="dxa"/>
            <w:shd w:val="clear" w:color="auto" w:fill="auto"/>
          </w:tcPr>
          <w:p w14:paraId="51A2BA7D" w14:textId="14287243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b/>
                <w:sz w:val="22"/>
                <w:szCs w:val="20"/>
                <w:lang w:val="en-GB"/>
              </w:rPr>
            </w:pPr>
            <w:r w:rsidRPr="002D5A5F">
              <w:rPr>
                <w:b/>
                <w:bCs/>
                <w:sz w:val="22"/>
                <w:szCs w:val="20"/>
                <w:lang w:val="en-GB"/>
              </w:rPr>
              <w:t>Ned</w:t>
            </w:r>
            <w:r w:rsidR="00083661">
              <w:rPr>
                <w:b/>
                <w:bCs/>
                <w:sz w:val="22"/>
                <w:szCs w:val="20"/>
                <w:lang w:val="en-GB"/>
              </w:rPr>
              <w:t>j</w:t>
            </w:r>
            <w:r w:rsidRPr="002D5A5F">
              <w:rPr>
                <w:b/>
                <w:bCs/>
                <w:sz w:val="22"/>
                <w:szCs w:val="20"/>
                <w:lang w:val="en-GB"/>
              </w:rPr>
              <w:t>elje</w:t>
            </w:r>
          </w:p>
        </w:tc>
        <w:tc>
          <w:tcPr>
            <w:tcW w:w="1911" w:type="dxa"/>
            <w:shd w:val="clear" w:color="auto" w:fill="auto"/>
          </w:tcPr>
          <w:p w14:paraId="6AD926B9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b/>
                <w:sz w:val="22"/>
                <w:szCs w:val="20"/>
                <w:lang w:val="en-GB"/>
              </w:rPr>
            </w:pPr>
            <w:r w:rsidRPr="002D5A5F">
              <w:rPr>
                <w:b/>
                <w:bCs/>
                <w:sz w:val="22"/>
                <w:szCs w:val="20"/>
                <w:lang w:val="en-GB"/>
              </w:rPr>
              <w:t>Aktivna kontrola</w:t>
            </w:r>
          </w:p>
          <w:p w14:paraId="27AF74D4" w14:textId="3948F860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b/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LS srednja vr</w:t>
            </w:r>
            <w:r w:rsidR="00E32C82">
              <w:rPr>
                <w:sz w:val="22"/>
                <w:szCs w:val="20"/>
                <w:lang w:val="en-GB"/>
              </w:rPr>
              <w:t>ij</w:t>
            </w:r>
            <w:r w:rsidRPr="002D5A5F">
              <w:rPr>
                <w:sz w:val="22"/>
                <w:szCs w:val="20"/>
                <w:lang w:val="en-GB"/>
              </w:rPr>
              <w:t>ednost (SE)</w:t>
            </w:r>
          </w:p>
        </w:tc>
        <w:tc>
          <w:tcPr>
            <w:tcW w:w="2020" w:type="dxa"/>
            <w:shd w:val="clear" w:color="auto" w:fill="FFFFFF"/>
          </w:tcPr>
          <w:p w14:paraId="1121B8F8" w14:textId="13E92640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b/>
                <w:sz w:val="22"/>
                <w:szCs w:val="20"/>
                <w:lang w:val="en-GB"/>
              </w:rPr>
            </w:pPr>
            <w:r w:rsidRPr="002D5A5F">
              <w:rPr>
                <w:b/>
                <w:bCs/>
                <w:sz w:val="22"/>
                <w:szCs w:val="20"/>
                <w:lang w:val="en-GB"/>
              </w:rPr>
              <w:t>Buro</w:t>
            </w:r>
            <w:r w:rsidR="00083661">
              <w:rPr>
                <w:b/>
                <w:bCs/>
                <w:sz w:val="22"/>
                <w:szCs w:val="20"/>
                <w:lang w:val="en-GB"/>
              </w:rPr>
              <w:t>s</w:t>
            </w:r>
            <w:r w:rsidRPr="002D5A5F">
              <w:rPr>
                <w:b/>
                <w:bCs/>
                <w:sz w:val="22"/>
                <w:szCs w:val="20"/>
                <w:lang w:val="en-GB"/>
              </w:rPr>
              <w:t>umab</w:t>
            </w:r>
          </w:p>
          <w:p w14:paraId="55C1AE4D" w14:textId="0D8A8D35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b/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LS srednja vr</w:t>
            </w:r>
            <w:r w:rsidR="00E32C82">
              <w:rPr>
                <w:sz w:val="22"/>
                <w:szCs w:val="20"/>
                <w:lang w:val="en-GB"/>
              </w:rPr>
              <w:t>ij</w:t>
            </w:r>
            <w:r w:rsidRPr="002D5A5F">
              <w:rPr>
                <w:sz w:val="22"/>
                <w:szCs w:val="20"/>
                <w:lang w:val="en-GB"/>
              </w:rPr>
              <w:t>ednost (SE)</w:t>
            </w:r>
          </w:p>
        </w:tc>
        <w:tc>
          <w:tcPr>
            <w:tcW w:w="1770" w:type="dxa"/>
            <w:shd w:val="clear" w:color="auto" w:fill="auto"/>
          </w:tcPr>
          <w:p w14:paraId="0248A042" w14:textId="6117C9AF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b/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 </w:t>
            </w:r>
            <w:r w:rsidRPr="002D5A5F">
              <w:rPr>
                <w:b/>
                <w:bCs/>
                <w:sz w:val="22"/>
                <w:szCs w:val="20"/>
                <w:lang w:val="en-GB"/>
              </w:rPr>
              <w:t>Razlika</w:t>
            </w:r>
            <w:r w:rsidRPr="002D5A5F">
              <w:rPr>
                <w:sz w:val="22"/>
                <w:szCs w:val="20"/>
                <w:lang w:val="en-GB"/>
              </w:rPr>
              <w:t xml:space="preserve"> (buro</w:t>
            </w:r>
            <w:r w:rsidR="00083661">
              <w:rPr>
                <w:sz w:val="22"/>
                <w:szCs w:val="20"/>
                <w:lang w:val="en-GB"/>
              </w:rPr>
              <w:t>s</w:t>
            </w:r>
            <w:r w:rsidRPr="002D5A5F">
              <w:rPr>
                <w:sz w:val="22"/>
                <w:szCs w:val="20"/>
                <w:lang w:val="en-GB"/>
              </w:rPr>
              <w:t>umab – aktivna kontrola)</w:t>
            </w:r>
          </w:p>
        </w:tc>
      </w:tr>
      <w:tr w:rsidR="002D5A5F" w:rsidRPr="002D5A5F" w14:paraId="548E0F8A" w14:textId="77777777" w:rsidTr="00B111F9">
        <w:tc>
          <w:tcPr>
            <w:tcW w:w="2245" w:type="dxa"/>
            <w:vMerge w:val="restart"/>
            <w:shd w:val="clear" w:color="auto" w:fill="auto"/>
            <w:vAlign w:val="center"/>
          </w:tcPr>
          <w:p w14:paraId="183B73CA" w14:textId="68A13662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Deformacija donjih udova; proc</w:t>
            </w:r>
            <w:r w:rsidR="00083661">
              <w:rPr>
                <w:sz w:val="22"/>
                <w:szCs w:val="20"/>
                <w:lang w:val="en-GB"/>
              </w:rPr>
              <w:t>j</w:t>
            </w:r>
            <w:r w:rsidRPr="002D5A5F">
              <w:rPr>
                <w:sz w:val="22"/>
                <w:szCs w:val="20"/>
                <w:lang w:val="en-GB"/>
              </w:rPr>
              <w:t>ena prema RGI-C</w:t>
            </w:r>
          </w:p>
          <w:p w14:paraId="3BD5C51B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 (GEE model)</w:t>
            </w:r>
          </w:p>
        </w:tc>
        <w:tc>
          <w:tcPr>
            <w:tcW w:w="1115" w:type="dxa"/>
            <w:shd w:val="clear" w:color="auto" w:fill="auto"/>
          </w:tcPr>
          <w:p w14:paraId="12F7638B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40</w:t>
            </w:r>
          </w:p>
        </w:tc>
        <w:tc>
          <w:tcPr>
            <w:tcW w:w="1911" w:type="dxa"/>
            <w:shd w:val="clear" w:color="auto" w:fill="auto"/>
          </w:tcPr>
          <w:p w14:paraId="37B290F5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+0,22 (0,080)</w:t>
            </w:r>
          </w:p>
        </w:tc>
        <w:tc>
          <w:tcPr>
            <w:tcW w:w="2020" w:type="dxa"/>
            <w:shd w:val="clear" w:color="auto" w:fill="FFFFFF"/>
          </w:tcPr>
          <w:p w14:paraId="586FC917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+0,62 (0,153)</w:t>
            </w:r>
          </w:p>
        </w:tc>
        <w:tc>
          <w:tcPr>
            <w:tcW w:w="1770" w:type="dxa"/>
            <w:shd w:val="clear" w:color="auto" w:fill="auto"/>
          </w:tcPr>
          <w:p w14:paraId="53825923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+0.40 [95% CI: 0,07, 0,72] </w:t>
            </w:r>
          </w:p>
          <w:p w14:paraId="4AA26F21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p = 0,0162</w:t>
            </w:r>
          </w:p>
        </w:tc>
      </w:tr>
      <w:tr w:rsidR="002D5A5F" w:rsidRPr="002D5A5F" w14:paraId="329E547C" w14:textId="77777777" w:rsidTr="00B111F9">
        <w:tc>
          <w:tcPr>
            <w:tcW w:w="2245" w:type="dxa"/>
            <w:vMerge/>
            <w:shd w:val="clear" w:color="auto" w:fill="auto"/>
            <w:vAlign w:val="center"/>
          </w:tcPr>
          <w:p w14:paraId="68F71711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</w:p>
        </w:tc>
        <w:tc>
          <w:tcPr>
            <w:tcW w:w="1115" w:type="dxa"/>
            <w:shd w:val="clear" w:color="auto" w:fill="auto"/>
          </w:tcPr>
          <w:p w14:paraId="6A3CE3A1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64</w:t>
            </w:r>
          </w:p>
        </w:tc>
        <w:tc>
          <w:tcPr>
            <w:tcW w:w="1911" w:type="dxa"/>
            <w:shd w:val="clear" w:color="auto" w:fill="auto"/>
          </w:tcPr>
          <w:p w14:paraId="3CF58C60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+0,29 (0,119)</w:t>
            </w:r>
          </w:p>
        </w:tc>
        <w:tc>
          <w:tcPr>
            <w:tcW w:w="2020" w:type="dxa"/>
            <w:shd w:val="clear" w:color="auto" w:fill="FFFFFF"/>
          </w:tcPr>
          <w:p w14:paraId="33172680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 +1,25 (0,170)</w:t>
            </w:r>
          </w:p>
        </w:tc>
        <w:tc>
          <w:tcPr>
            <w:tcW w:w="1770" w:type="dxa"/>
            <w:shd w:val="clear" w:color="auto" w:fill="auto"/>
          </w:tcPr>
          <w:p w14:paraId="1A2CDE5C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+0,97 [95% CI: +0,57, +1,37] </w:t>
            </w:r>
          </w:p>
          <w:p w14:paraId="465B2B70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p &lt;0,0001 </w:t>
            </w:r>
          </w:p>
        </w:tc>
      </w:tr>
      <w:tr w:rsidR="002D5A5F" w:rsidRPr="002D5A5F" w14:paraId="6A090FCD" w14:textId="77777777" w:rsidTr="00B111F9">
        <w:tc>
          <w:tcPr>
            <w:tcW w:w="2245" w:type="dxa"/>
            <w:vMerge w:val="restart"/>
            <w:shd w:val="clear" w:color="auto" w:fill="auto"/>
            <w:vAlign w:val="center"/>
          </w:tcPr>
          <w:p w14:paraId="7F1BE8FE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Visina; Z-skor </w:t>
            </w:r>
          </w:p>
        </w:tc>
        <w:tc>
          <w:tcPr>
            <w:tcW w:w="1115" w:type="dxa"/>
            <w:shd w:val="clear" w:color="auto" w:fill="auto"/>
          </w:tcPr>
          <w:p w14:paraId="6CC65135" w14:textId="02726E5F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Početna vr</w:t>
            </w:r>
            <w:r w:rsidR="00083661">
              <w:rPr>
                <w:sz w:val="22"/>
                <w:szCs w:val="20"/>
                <w:lang w:val="en-GB"/>
              </w:rPr>
              <w:t>ij</w:t>
            </w:r>
            <w:r w:rsidRPr="002D5A5F">
              <w:rPr>
                <w:sz w:val="22"/>
                <w:szCs w:val="20"/>
                <w:lang w:val="en-GB"/>
              </w:rPr>
              <w:t>ednost</w:t>
            </w:r>
          </w:p>
        </w:tc>
        <w:tc>
          <w:tcPr>
            <w:tcW w:w="1911" w:type="dxa"/>
            <w:shd w:val="clear" w:color="auto" w:fill="auto"/>
          </w:tcPr>
          <w:p w14:paraId="0F263EB1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-2,05 (0,87)</w:t>
            </w:r>
          </w:p>
        </w:tc>
        <w:tc>
          <w:tcPr>
            <w:tcW w:w="2020" w:type="dxa"/>
            <w:shd w:val="clear" w:color="auto" w:fill="FFFFFF"/>
          </w:tcPr>
          <w:p w14:paraId="493FB716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-2,32 (1,17)</w:t>
            </w:r>
          </w:p>
        </w:tc>
        <w:tc>
          <w:tcPr>
            <w:tcW w:w="1770" w:type="dxa"/>
            <w:shd w:val="clear" w:color="auto" w:fill="auto"/>
          </w:tcPr>
          <w:p w14:paraId="2C5F95F8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</w:p>
        </w:tc>
      </w:tr>
      <w:tr w:rsidR="002D5A5F" w:rsidRPr="002D5A5F" w14:paraId="74F25110" w14:textId="77777777" w:rsidTr="00B111F9">
        <w:tc>
          <w:tcPr>
            <w:tcW w:w="2245" w:type="dxa"/>
            <w:vMerge/>
            <w:shd w:val="clear" w:color="auto" w:fill="auto"/>
            <w:vAlign w:val="center"/>
          </w:tcPr>
          <w:p w14:paraId="78B01AF6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</w:p>
        </w:tc>
        <w:tc>
          <w:tcPr>
            <w:tcW w:w="1115" w:type="dxa"/>
            <w:shd w:val="clear" w:color="auto" w:fill="auto"/>
          </w:tcPr>
          <w:p w14:paraId="17075A5D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40</w:t>
            </w:r>
            <w:r w:rsidRPr="002D5A5F">
              <w:rPr>
                <w:sz w:val="22"/>
                <w:szCs w:val="20"/>
                <w:vertAlign w:val="superscript"/>
                <w:lang w:val="en-GB"/>
              </w:rPr>
              <w:t xml:space="preserve"> a</w:t>
            </w:r>
          </w:p>
        </w:tc>
        <w:tc>
          <w:tcPr>
            <w:tcW w:w="1911" w:type="dxa"/>
            <w:shd w:val="clear" w:color="auto" w:fill="auto"/>
          </w:tcPr>
          <w:p w14:paraId="1022532B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+0,03 (0,031)</w:t>
            </w:r>
          </w:p>
        </w:tc>
        <w:tc>
          <w:tcPr>
            <w:tcW w:w="2020" w:type="dxa"/>
            <w:shd w:val="clear" w:color="auto" w:fill="FFFFFF"/>
          </w:tcPr>
          <w:p w14:paraId="0FDD40A3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+0,16 (0,052)</w:t>
            </w:r>
          </w:p>
        </w:tc>
        <w:tc>
          <w:tcPr>
            <w:tcW w:w="1770" w:type="dxa"/>
            <w:shd w:val="clear" w:color="auto" w:fill="auto"/>
          </w:tcPr>
          <w:p w14:paraId="3605608B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+0,12 [95% CI: 0,01, 0,24] </w:t>
            </w:r>
          </w:p>
          <w:p w14:paraId="0755783C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p = 0,0408 </w:t>
            </w:r>
          </w:p>
        </w:tc>
      </w:tr>
      <w:tr w:rsidR="002D5A5F" w:rsidRPr="002D5A5F" w14:paraId="0CE0D9BA" w14:textId="77777777" w:rsidTr="00B111F9">
        <w:tc>
          <w:tcPr>
            <w:tcW w:w="2245" w:type="dxa"/>
            <w:vMerge/>
            <w:shd w:val="clear" w:color="auto" w:fill="auto"/>
            <w:vAlign w:val="center"/>
          </w:tcPr>
          <w:p w14:paraId="0F1CC6A8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</w:p>
        </w:tc>
        <w:tc>
          <w:tcPr>
            <w:tcW w:w="1115" w:type="dxa"/>
            <w:shd w:val="clear" w:color="auto" w:fill="auto"/>
          </w:tcPr>
          <w:p w14:paraId="5DFDC79D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64</w:t>
            </w:r>
            <w:r w:rsidRPr="002D5A5F">
              <w:rPr>
                <w:sz w:val="22"/>
                <w:szCs w:val="20"/>
                <w:vertAlign w:val="superscript"/>
                <w:lang w:val="en-GB"/>
              </w:rPr>
              <w:t xml:space="preserve"> b</w:t>
            </w:r>
          </w:p>
        </w:tc>
        <w:tc>
          <w:tcPr>
            <w:tcW w:w="1911" w:type="dxa"/>
            <w:shd w:val="clear" w:color="auto" w:fill="auto"/>
          </w:tcPr>
          <w:p w14:paraId="6BDFAECB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+0,02 (0,035)</w:t>
            </w:r>
          </w:p>
        </w:tc>
        <w:tc>
          <w:tcPr>
            <w:tcW w:w="2020" w:type="dxa"/>
            <w:shd w:val="clear" w:color="auto" w:fill="FFFFFF"/>
          </w:tcPr>
          <w:p w14:paraId="7F419D00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+0,17 (0,066)</w:t>
            </w:r>
          </w:p>
        </w:tc>
        <w:tc>
          <w:tcPr>
            <w:tcW w:w="1770" w:type="dxa"/>
            <w:shd w:val="clear" w:color="auto" w:fill="auto"/>
          </w:tcPr>
          <w:p w14:paraId="13310190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+0,14 [95% CI: 0,00, 0,29]</w:t>
            </w:r>
          </w:p>
          <w:p w14:paraId="5A15AED4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p = 0,0490 </w:t>
            </w:r>
          </w:p>
        </w:tc>
      </w:tr>
      <w:tr w:rsidR="002D5A5F" w:rsidRPr="002D5A5F" w14:paraId="74C58BAB" w14:textId="77777777" w:rsidTr="00B111F9">
        <w:tc>
          <w:tcPr>
            <w:tcW w:w="2245" w:type="dxa"/>
            <w:vMerge w:val="restart"/>
            <w:shd w:val="clear" w:color="auto" w:fill="auto"/>
            <w:vAlign w:val="center"/>
          </w:tcPr>
          <w:p w14:paraId="290D7ED3" w14:textId="77777777" w:rsidR="002D5A5F" w:rsidRPr="002D5A5F" w:rsidRDefault="002D5A5F" w:rsidP="007E21A6">
            <w:pPr>
              <w:tabs>
                <w:tab w:val="left" w:pos="567"/>
              </w:tabs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Težina rahitisa, RSS ukupan skor </w:t>
            </w:r>
          </w:p>
        </w:tc>
        <w:tc>
          <w:tcPr>
            <w:tcW w:w="1115" w:type="dxa"/>
            <w:shd w:val="clear" w:color="auto" w:fill="auto"/>
          </w:tcPr>
          <w:p w14:paraId="05C73EB8" w14:textId="6A3C66D6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Početna vr</w:t>
            </w:r>
            <w:r w:rsidR="00083661">
              <w:rPr>
                <w:sz w:val="22"/>
                <w:szCs w:val="20"/>
                <w:lang w:val="en-GB"/>
              </w:rPr>
              <w:t>ij</w:t>
            </w:r>
            <w:r w:rsidRPr="002D5A5F">
              <w:rPr>
                <w:sz w:val="22"/>
                <w:szCs w:val="20"/>
                <w:lang w:val="en-GB"/>
              </w:rPr>
              <w:t>ednost</w:t>
            </w:r>
          </w:p>
        </w:tc>
        <w:tc>
          <w:tcPr>
            <w:tcW w:w="1911" w:type="dxa"/>
            <w:shd w:val="clear" w:color="auto" w:fill="auto"/>
          </w:tcPr>
          <w:p w14:paraId="47BDD90F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3,19 (1,141)</w:t>
            </w:r>
          </w:p>
        </w:tc>
        <w:tc>
          <w:tcPr>
            <w:tcW w:w="2020" w:type="dxa"/>
            <w:shd w:val="clear" w:color="auto" w:fill="FFFFFF"/>
          </w:tcPr>
          <w:p w14:paraId="593CE179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3,17 (0,975)</w:t>
            </w:r>
          </w:p>
        </w:tc>
        <w:tc>
          <w:tcPr>
            <w:tcW w:w="1770" w:type="dxa"/>
            <w:shd w:val="clear" w:color="auto" w:fill="auto"/>
          </w:tcPr>
          <w:p w14:paraId="0FA2D4AC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</w:p>
        </w:tc>
      </w:tr>
      <w:tr w:rsidR="002D5A5F" w:rsidRPr="002D5A5F" w14:paraId="319D4C6C" w14:textId="77777777" w:rsidTr="00B111F9">
        <w:tc>
          <w:tcPr>
            <w:tcW w:w="2245" w:type="dxa"/>
            <w:vMerge/>
            <w:shd w:val="clear" w:color="auto" w:fill="auto"/>
            <w:vAlign w:val="center"/>
          </w:tcPr>
          <w:p w14:paraId="598C205F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</w:p>
        </w:tc>
        <w:tc>
          <w:tcPr>
            <w:tcW w:w="1115" w:type="dxa"/>
            <w:shd w:val="clear" w:color="auto" w:fill="auto"/>
          </w:tcPr>
          <w:p w14:paraId="6FC2C316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40</w:t>
            </w:r>
            <w:r w:rsidRPr="002D5A5F">
              <w:rPr>
                <w:sz w:val="22"/>
                <w:szCs w:val="20"/>
                <w:vertAlign w:val="superscript"/>
                <w:lang w:val="en-GB"/>
              </w:rPr>
              <w:t xml:space="preserve"> a</w:t>
            </w:r>
          </w:p>
        </w:tc>
        <w:tc>
          <w:tcPr>
            <w:tcW w:w="1911" w:type="dxa"/>
            <w:shd w:val="clear" w:color="auto" w:fill="auto"/>
          </w:tcPr>
          <w:p w14:paraId="1DC31662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-0,72 (0,162)</w:t>
            </w:r>
          </w:p>
        </w:tc>
        <w:tc>
          <w:tcPr>
            <w:tcW w:w="2020" w:type="dxa"/>
            <w:shd w:val="clear" w:color="auto" w:fill="FFFFFF"/>
          </w:tcPr>
          <w:p w14:paraId="603E7CF3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-2,08 (0,104)</w:t>
            </w:r>
          </w:p>
        </w:tc>
        <w:tc>
          <w:tcPr>
            <w:tcW w:w="1770" w:type="dxa"/>
            <w:shd w:val="clear" w:color="auto" w:fill="auto"/>
          </w:tcPr>
          <w:p w14:paraId="584C5DD4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-1,34 [95% CI:</w:t>
            </w:r>
          </w:p>
          <w:p w14:paraId="04B868E8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1,74, -0,94] p &lt; 0,0001 </w:t>
            </w:r>
          </w:p>
        </w:tc>
      </w:tr>
      <w:tr w:rsidR="002D5A5F" w:rsidRPr="002D5A5F" w14:paraId="5CAAF0D8" w14:textId="77777777" w:rsidTr="00B111F9">
        <w:tc>
          <w:tcPr>
            <w:tcW w:w="2245" w:type="dxa"/>
            <w:vMerge/>
            <w:shd w:val="clear" w:color="auto" w:fill="auto"/>
            <w:vAlign w:val="center"/>
          </w:tcPr>
          <w:p w14:paraId="7A89914A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</w:p>
        </w:tc>
        <w:tc>
          <w:tcPr>
            <w:tcW w:w="1115" w:type="dxa"/>
            <w:shd w:val="clear" w:color="auto" w:fill="auto"/>
          </w:tcPr>
          <w:p w14:paraId="0A97BDB8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64</w:t>
            </w:r>
            <w:r w:rsidRPr="002D5A5F">
              <w:rPr>
                <w:sz w:val="22"/>
                <w:szCs w:val="20"/>
                <w:vertAlign w:val="superscript"/>
                <w:lang w:val="en-GB"/>
              </w:rPr>
              <w:t xml:space="preserve"> b</w:t>
            </w:r>
          </w:p>
        </w:tc>
        <w:tc>
          <w:tcPr>
            <w:tcW w:w="1911" w:type="dxa"/>
            <w:shd w:val="clear" w:color="auto" w:fill="auto"/>
          </w:tcPr>
          <w:p w14:paraId="7A55FCCE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-1,01 (0,151)</w:t>
            </w:r>
          </w:p>
        </w:tc>
        <w:tc>
          <w:tcPr>
            <w:tcW w:w="2020" w:type="dxa"/>
            <w:shd w:val="clear" w:color="auto" w:fill="FFFFFF"/>
          </w:tcPr>
          <w:p w14:paraId="4FD0572E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-2,23 (0,117)</w:t>
            </w:r>
          </w:p>
        </w:tc>
        <w:tc>
          <w:tcPr>
            <w:tcW w:w="1770" w:type="dxa"/>
            <w:shd w:val="clear" w:color="auto" w:fill="auto"/>
          </w:tcPr>
          <w:p w14:paraId="06AD72BB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-1,21 [95% CI: </w:t>
            </w:r>
          </w:p>
          <w:p w14:paraId="47171C71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-1,59, -0,83] p &lt; 0,0001</w:t>
            </w:r>
          </w:p>
        </w:tc>
      </w:tr>
      <w:tr w:rsidR="002D5A5F" w:rsidRPr="002D5A5F" w14:paraId="1391AA2C" w14:textId="77777777" w:rsidTr="00B111F9">
        <w:tc>
          <w:tcPr>
            <w:tcW w:w="2245" w:type="dxa"/>
            <w:vMerge w:val="restart"/>
            <w:shd w:val="clear" w:color="auto" w:fill="auto"/>
            <w:vAlign w:val="center"/>
          </w:tcPr>
          <w:p w14:paraId="24E6677C" w14:textId="77777777" w:rsidR="002D5A5F" w:rsidRPr="002D5A5F" w:rsidRDefault="002D5A5F" w:rsidP="007E21A6">
            <w:pPr>
              <w:tabs>
                <w:tab w:val="left" w:pos="567"/>
              </w:tabs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Serum ALP (U/L)</w:t>
            </w:r>
          </w:p>
        </w:tc>
        <w:tc>
          <w:tcPr>
            <w:tcW w:w="1115" w:type="dxa"/>
            <w:shd w:val="clear" w:color="auto" w:fill="auto"/>
          </w:tcPr>
          <w:p w14:paraId="361CD1CB" w14:textId="425540AD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Početna vr</w:t>
            </w:r>
            <w:r w:rsidR="00083661">
              <w:rPr>
                <w:sz w:val="22"/>
                <w:szCs w:val="20"/>
                <w:lang w:val="en-GB"/>
              </w:rPr>
              <w:t>ij</w:t>
            </w:r>
            <w:r w:rsidRPr="002D5A5F">
              <w:rPr>
                <w:sz w:val="22"/>
                <w:szCs w:val="20"/>
                <w:lang w:val="en-GB"/>
              </w:rPr>
              <w:t>ednost</w:t>
            </w:r>
          </w:p>
        </w:tc>
        <w:tc>
          <w:tcPr>
            <w:tcW w:w="1911" w:type="dxa"/>
            <w:shd w:val="clear" w:color="auto" w:fill="auto"/>
          </w:tcPr>
          <w:p w14:paraId="0AA9391C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523 (154)</w:t>
            </w:r>
          </w:p>
        </w:tc>
        <w:tc>
          <w:tcPr>
            <w:tcW w:w="2020" w:type="dxa"/>
            <w:shd w:val="clear" w:color="auto" w:fill="FFFFFF"/>
          </w:tcPr>
          <w:p w14:paraId="19008AEA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511 (125)</w:t>
            </w:r>
          </w:p>
        </w:tc>
        <w:tc>
          <w:tcPr>
            <w:tcW w:w="1770" w:type="dxa"/>
            <w:shd w:val="clear" w:color="auto" w:fill="auto"/>
          </w:tcPr>
          <w:p w14:paraId="44DDFF23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</w:p>
        </w:tc>
      </w:tr>
      <w:tr w:rsidR="002D5A5F" w:rsidRPr="002D5A5F" w14:paraId="6C90ABF8" w14:textId="77777777" w:rsidTr="00B111F9">
        <w:tc>
          <w:tcPr>
            <w:tcW w:w="2245" w:type="dxa"/>
            <w:vMerge/>
            <w:shd w:val="clear" w:color="auto" w:fill="auto"/>
            <w:vAlign w:val="center"/>
          </w:tcPr>
          <w:p w14:paraId="563A2643" w14:textId="77777777" w:rsidR="002D5A5F" w:rsidRPr="002D5A5F" w:rsidRDefault="002D5A5F" w:rsidP="007E21A6">
            <w:pPr>
              <w:tabs>
                <w:tab w:val="left" w:pos="567"/>
              </w:tabs>
              <w:jc w:val="both"/>
              <w:rPr>
                <w:sz w:val="22"/>
                <w:szCs w:val="20"/>
                <w:lang w:val="en-GB"/>
              </w:rPr>
            </w:pPr>
          </w:p>
        </w:tc>
        <w:tc>
          <w:tcPr>
            <w:tcW w:w="1115" w:type="dxa"/>
            <w:shd w:val="clear" w:color="auto" w:fill="auto"/>
          </w:tcPr>
          <w:p w14:paraId="0FDAAEBC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40</w:t>
            </w:r>
            <w:r w:rsidRPr="002D5A5F">
              <w:rPr>
                <w:sz w:val="22"/>
                <w:szCs w:val="20"/>
                <w:vertAlign w:val="superscript"/>
                <w:lang w:val="en-GB"/>
              </w:rPr>
              <w:t xml:space="preserve"> a</w:t>
            </w:r>
          </w:p>
        </w:tc>
        <w:tc>
          <w:tcPr>
            <w:tcW w:w="1911" w:type="dxa"/>
            <w:shd w:val="clear" w:color="auto" w:fill="auto"/>
          </w:tcPr>
          <w:p w14:paraId="536E2655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489 (189)</w:t>
            </w:r>
          </w:p>
        </w:tc>
        <w:tc>
          <w:tcPr>
            <w:tcW w:w="2020" w:type="dxa"/>
            <w:shd w:val="clear" w:color="auto" w:fill="FFFFFF"/>
          </w:tcPr>
          <w:p w14:paraId="43C16205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381 (99)</w:t>
            </w:r>
          </w:p>
        </w:tc>
        <w:tc>
          <w:tcPr>
            <w:tcW w:w="1770" w:type="dxa"/>
            <w:shd w:val="clear" w:color="auto" w:fill="auto"/>
          </w:tcPr>
          <w:p w14:paraId="6CDA3D2B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-97 [95% CI: </w:t>
            </w:r>
          </w:p>
          <w:p w14:paraId="0B699548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-138, -56] p &lt; 0,0001</w:t>
            </w:r>
          </w:p>
        </w:tc>
      </w:tr>
      <w:tr w:rsidR="002D5A5F" w:rsidRPr="002D5A5F" w14:paraId="56A76B02" w14:textId="77777777" w:rsidTr="00B111F9">
        <w:tc>
          <w:tcPr>
            <w:tcW w:w="2245" w:type="dxa"/>
            <w:vMerge/>
            <w:shd w:val="clear" w:color="auto" w:fill="auto"/>
            <w:vAlign w:val="center"/>
          </w:tcPr>
          <w:p w14:paraId="05222782" w14:textId="77777777" w:rsidR="002D5A5F" w:rsidRPr="002D5A5F" w:rsidRDefault="002D5A5F" w:rsidP="007E21A6">
            <w:pPr>
              <w:tabs>
                <w:tab w:val="left" w:pos="567"/>
              </w:tabs>
              <w:jc w:val="both"/>
              <w:rPr>
                <w:sz w:val="22"/>
                <w:szCs w:val="20"/>
                <w:lang w:val="en-GB"/>
              </w:rPr>
            </w:pPr>
          </w:p>
        </w:tc>
        <w:tc>
          <w:tcPr>
            <w:tcW w:w="1115" w:type="dxa"/>
            <w:shd w:val="clear" w:color="auto" w:fill="auto"/>
          </w:tcPr>
          <w:p w14:paraId="0A52549C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64</w:t>
            </w:r>
            <w:r w:rsidRPr="002D5A5F">
              <w:rPr>
                <w:sz w:val="22"/>
                <w:szCs w:val="20"/>
                <w:vertAlign w:val="superscript"/>
                <w:lang w:val="en-GB"/>
              </w:rPr>
              <w:t xml:space="preserve"> b</w:t>
            </w:r>
          </w:p>
        </w:tc>
        <w:tc>
          <w:tcPr>
            <w:tcW w:w="1911" w:type="dxa"/>
            <w:shd w:val="clear" w:color="auto" w:fill="auto"/>
          </w:tcPr>
          <w:p w14:paraId="1384A8DC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495 (182)</w:t>
            </w:r>
          </w:p>
        </w:tc>
        <w:tc>
          <w:tcPr>
            <w:tcW w:w="2020" w:type="dxa"/>
            <w:shd w:val="clear" w:color="auto" w:fill="FFFFFF"/>
          </w:tcPr>
          <w:p w14:paraId="634EBEA3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337 (86)</w:t>
            </w:r>
          </w:p>
        </w:tc>
        <w:tc>
          <w:tcPr>
            <w:tcW w:w="1770" w:type="dxa"/>
            <w:shd w:val="clear" w:color="auto" w:fill="auto"/>
          </w:tcPr>
          <w:p w14:paraId="5EF44E53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-147 [95% CI:</w:t>
            </w:r>
          </w:p>
          <w:p w14:paraId="5D6DC18F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 -192, -102] p &lt; 0,0001</w:t>
            </w:r>
          </w:p>
        </w:tc>
      </w:tr>
      <w:tr w:rsidR="002D5A5F" w:rsidRPr="002D5A5F" w14:paraId="32DAD898" w14:textId="77777777" w:rsidTr="00B111F9">
        <w:tc>
          <w:tcPr>
            <w:tcW w:w="2245" w:type="dxa"/>
            <w:vMerge w:val="restart"/>
            <w:shd w:val="clear" w:color="auto" w:fill="auto"/>
            <w:vAlign w:val="center"/>
          </w:tcPr>
          <w:p w14:paraId="6FC10051" w14:textId="77777777" w:rsidR="002D5A5F" w:rsidRPr="002D5A5F" w:rsidRDefault="002D5A5F" w:rsidP="007E21A6">
            <w:pPr>
              <w:tabs>
                <w:tab w:val="left" w:pos="567"/>
              </w:tabs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Šestominutni test hoda </w:t>
            </w:r>
          </w:p>
          <w:p w14:paraId="5A362666" w14:textId="77777777" w:rsidR="002D5A5F" w:rsidRPr="002D5A5F" w:rsidRDefault="002D5A5F" w:rsidP="007E21A6">
            <w:pPr>
              <w:tabs>
                <w:tab w:val="left" w:pos="567"/>
              </w:tabs>
              <w:jc w:val="both"/>
              <w:rPr>
                <w:sz w:val="22"/>
                <w:szCs w:val="20"/>
                <w:lang w:val="en-GB"/>
              </w:rPr>
            </w:pPr>
          </w:p>
        </w:tc>
        <w:tc>
          <w:tcPr>
            <w:tcW w:w="1115" w:type="dxa"/>
            <w:shd w:val="clear" w:color="auto" w:fill="auto"/>
          </w:tcPr>
          <w:p w14:paraId="6A6C045F" w14:textId="0079CC79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Početna vr</w:t>
            </w:r>
            <w:r w:rsidR="00083661">
              <w:rPr>
                <w:sz w:val="22"/>
                <w:szCs w:val="20"/>
                <w:lang w:val="en-GB"/>
              </w:rPr>
              <w:t>ij</w:t>
            </w:r>
            <w:r w:rsidRPr="002D5A5F">
              <w:rPr>
                <w:sz w:val="22"/>
                <w:szCs w:val="20"/>
                <w:lang w:val="en-GB"/>
              </w:rPr>
              <w:t>ednost</w:t>
            </w:r>
          </w:p>
        </w:tc>
        <w:tc>
          <w:tcPr>
            <w:tcW w:w="1911" w:type="dxa"/>
            <w:shd w:val="clear" w:color="auto" w:fill="auto"/>
          </w:tcPr>
          <w:p w14:paraId="4CF0B13D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450 (106)</w:t>
            </w:r>
          </w:p>
        </w:tc>
        <w:tc>
          <w:tcPr>
            <w:tcW w:w="2020" w:type="dxa"/>
            <w:shd w:val="clear" w:color="auto" w:fill="FFFFFF"/>
          </w:tcPr>
          <w:p w14:paraId="48CC4D3F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385 (86)</w:t>
            </w:r>
          </w:p>
        </w:tc>
        <w:tc>
          <w:tcPr>
            <w:tcW w:w="1770" w:type="dxa"/>
            <w:shd w:val="clear" w:color="auto" w:fill="auto"/>
          </w:tcPr>
          <w:p w14:paraId="60BC4CCA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</w:p>
        </w:tc>
      </w:tr>
      <w:tr w:rsidR="002D5A5F" w:rsidRPr="002D5A5F" w14:paraId="43A37C05" w14:textId="77777777" w:rsidTr="00B111F9">
        <w:tc>
          <w:tcPr>
            <w:tcW w:w="2245" w:type="dxa"/>
            <w:vMerge/>
            <w:shd w:val="clear" w:color="auto" w:fill="auto"/>
          </w:tcPr>
          <w:p w14:paraId="10B418B0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</w:p>
        </w:tc>
        <w:tc>
          <w:tcPr>
            <w:tcW w:w="1115" w:type="dxa"/>
            <w:shd w:val="clear" w:color="auto" w:fill="auto"/>
          </w:tcPr>
          <w:p w14:paraId="6823C6C4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40</w:t>
            </w:r>
            <w:r w:rsidRPr="002D5A5F">
              <w:rPr>
                <w:sz w:val="22"/>
                <w:szCs w:val="20"/>
                <w:vertAlign w:val="superscript"/>
                <w:lang w:val="en-GB"/>
              </w:rPr>
              <w:t xml:space="preserve"> a</w:t>
            </w:r>
          </w:p>
        </w:tc>
        <w:tc>
          <w:tcPr>
            <w:tcW w:w="1911" w:type="dxa"/>
            <w:shd w:val="clear" w:color="auto" w:fill="auto"/>
          </w:tcPr>
          <w:p w14:paraId="3F8D3B33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+4 (14)</w:t>
            </w:r>
          </w:p>
        </w:tc>
        <w:tc>
          <w:tcPr>
            <w:tcW w:w="2020" w:type="dxa"/>
            <w:shd w:val="clear" w:color="auto" w:fill="FFFFFF"/>
          </w:tcPr>
          <w:p w14:paraId="2824DFE2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+47 (16)</w:t>
            </w:r>
          </w:p>
        </w:tc>
        <w:tc>
          <w:tcPr>
            <w:tcW w:w="1770" w:type="dxa"/>
            <w:shd w:val="clear" w:color="auto" w:fill="auto"/>
          </w:tcPr>
          <w:p w14:paraId="29AD981A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+43 [95% CI:</w:t>
            </w:r>
          </w:p>
          <w:p w14:paraId="03B0DD5D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-0,3, 87] </w:t>
            </w:r>
          </w:p>
          <w:p w14:paraId="3328E9F0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p = 0,0514</w:t>
            </w:r>
          </w:p>
        </w:tc>
      </w:tr>
      <w:tr w:rsidR="002D5A5F" w:rsidRPr="002D5A5F" w14:paraId="5F1A64A4" w14:textId="77777777" w:rsidTr="00B111F9">
        <w:tc>
          <w:tcPr>
            <w:tcW w:w="2245" w:type="dxa"/>
            <w:vMerge/>
            <w:shd w:val="clear" w:color="auto" w:fill="auto"/>
          </w:tcPr>
          <w:p w14:paraId="71D9B1DE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</w:p>
        </w:tc>
        <w:tc>
          <w:tcPr>
            <w:tcW w:w="1115" w:type="dxa"/>
            <w:shd w:val="clear" w:color="auto" w:fill="auto"/>
          </w:tcPr>
          <w:p w14:paraId="47897A9F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64</w:t>
            </w:r>
            <w:r w:rsidRPr="002D5A5F">
              <w:rPr>
                <w:sz w:val="22"/>
                <w:szCs w:val="20"/>
                <w:vertAlign w:val="superscript"/>
                <w:lang w:val="en-GB"/>
              </w:rPr>
              <w:t xml:space="preserve"> b</w:t>
            </w:r>
          </w:p>
        </w:tc>
        <w:tc>
          <w:tcPr>
            <w:tcW w:w="1911" w:type="dxa"/>
            <w:shd w:val="clear" w:color="auto" w:fill="auto"/>
          </w:tcPr>
          <w:p w14:paraId="0032120A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+29 (17)</w:t>
            </w:r>
          </w:p>
        </w:tc>
        <w:tc>
          <w:tcPr>
            <w:tcW w:w="2020" w:type="dxa"/>
            <w:shd w:val="clear" w:color="auto" w:fill="FFFFFF"/>
          </w:tcPr>
          <w:p w14:paraId="1BEAA8CE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+75 (13)</w:t>
            </w:r>
          </w:p>
        </w:tc>
        <w:tc>
          <w:tcPr>
            <w:tcW w:w="1770" w:type="dxa"/>
            <w:shd w:val="clear" w:color="auto" w:fill="auto"/>
          </w:tcPr>
          <w:p w14:paraId="145AAFE5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+46 [95% CI: </w:t>
            </w:r>
          </w:p>
          <w:p w14:paraId="761AA9DF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2, 89] </w:t>
            </w:r>
          </w:p>
          <w:p w14:paraId="77F3CD5D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p = 0,0399</w:t>
            </w:r>
          </w:p>
        </w:tc>
      </w:tr>
    </w:tbl>
    <w:p w14:paraId="1293CB29" w14:textId="2F216EA8" w:rsidR="002D5A5F" w:rsidRPr="002D5A5F" w:rsidRDefault="002D5A5F" w:rsidP="007E21A6">
      <w:pPr>
        <w:tabs>
          <w:tab w:val="left" w:pos="567"/>
        </w:tabs>
        <w:spacing w:line="260" w:lineRule="exact"/>
        <w:jc w:val="both"/>
        <w:rPr>
          <w:rFonts w:eastAsia="SimSun"/>
          <w:sz w:val="18"/>
          <w:szCs w:val="18"/>
          <w:lang w:val="en-GB"/>
        </w:rPr>
      </w:pPr>
      <w:proofErr w:type="gramStart"/>
      <w:r w:rsidRPr="002D5A5F">
        <w:rPr>
          <w:rFonts w:eastAsia="SimSun"/>
          <w:sz w:val="18"/>
          <w:szCs w:val="18"/>
          <w:lang w:val="en-GB"/>
        </w:rPr>
        <w:t>a</w:t>
      </w:r>
      <w:proofErr w:type="gramEnd"/>
      <w:r w:rsidRPr="002D5A5F">
        <w:rPr>
          <w:rFonts w:eastAsia="SimSun"/>
          <w:sz w:val="18"/>
          <w:szCs w:val="18"/>
          <w:lang w:val="en-GB"/>
        </w:rPr>
        <w:t>: prom</w:t>
      </w:r>
      <w:r w:rsidR="00083661">
        <w:rPr>
          <w:rFonts w:eastAsia="SimSun"/>
          <w:sz w:val="18"/>
          <w:szCs w:val="18"/>
          <w:lang w:val="en-GB"/>
        </w:rPr>
        <w:t>j</w:t>
      </w:r>
      <w:r w:rsidRPr="002D5A5F">
        <w:rPr>
          <w:rFonts w:eastAsia="SimSun"/>
          <w:sz w:val="18"/>
          <w:szCs w:val="18"/>
          <w:lang w:val="en-GB"/>
        </w:rPr>
        <w:t>ena vr</w:t>
      </w:r>
      <w:r w:rsidR="00083661">
        <w:rPr>
          <w:rFonts w:eastAsia="SimSun"/>
          <w:sz w:val="18"/>
          <w:szCs w:val="18"/>
          <w:lang w:val="en-GB"/>
        </w:rPr>
        <w:t>ij</w:t>
      </w:r>
      <w:r w:rsidRPr="002D5A5F">
        <w:rPr>
          <w:rFonts w:eastAsia="SimSun"/>
          <w:sz w:val="18"/>
          <w:szCs w:val="18"/>
          <w:lang w:val="en-GB"/>
        </w:rPr>
        <w:t>ednosti od početne do vr</w:t>
      </w:r>
      <w:r w:rsidR="00083661">
        <w:rPr>
          <w:rFonts w:eastAsia="SimSun"/>
          <w:sz w:val="18"/>
          <w:szCs w:val="18"/>
          <w:lang w:val="en-GB"/>
        </w:rPr>
        <w:t>ij</w:t>
      </w:r>
      <w:r w:rsidRPr="002D5A5F">
        <w:rPr>
          <w:rFonts w:eastAsia="SimSun"/>
          <w:sz w:val="18"/>
          <w:szCs w:val="18"/>
          <w:lang w:val="en-GB"/>
        </w:rPr>
        <w:t xml:space="preserve">ednosti u 40. </w:t>
      </w:r>
      <w:proofErr w:type="gramStart"/>
      <w:r w:rsidR="008B0E2F">
        <w:rPr>
          <w:rFonts w:eastAsia="SimSun"/>
          <w:sz w:val="18"/>
          <w:szCs w:val="18"/>
          <w:lang w:val="en-GB"/>
        </w:rPr>
        <w:t>nedjelj</w:t>
      </w:r>
      <w:r w:rsidRPr="002D5A5F">
        <w:rPr>
          <w:rFonts w:eastAsia="SimSun"/>
          <w:sz w:val="18"/>
          <w:szCs w:val="18"/>
          <w:lang w:val="en-GB"/>
        </w:rPr>
        <w:t>i</w:t>
      </w:r>
      <w:proofErr w:type="gramEnd"/>
      <w:r w:rsidRPr="002D5A5F">
        <w:rPr>
          <w:rFonts w:eastAsia="SimSun"/>
          <w:sz w:val="18"/>
          <w:szCs w:val="18"/>
          <w:lang w:val="en-GB"/>
        </w:rPr>
        <w:t xml:space="preserve"> prema modelu ANCOVA.</w:t>
      </w:r>
    </w:p>
    <w:p w14:paraId="4AE5A6BB" w14:textId="357C6391" w:rsidR="002D5A5F" w:rsidRPr="002D5A5F" w:rsidRDefault="002D5A5F" w:rsidP="007E21A6">
      <w:pPr>
        <w:tabs>
          <w:tab w:val="left" w:pos="567"/>
        </w:tabs>
        <w:spacing w:line="260" w:lineRule="exact"/>
        <w:jc w:val="both"/>
        <w:rPr>
          <w:rFonts w:eastAsia="SimSun"/>
          <w:sz w:val="18"/>
          <w:szCs w:val="18"/>
          <w:lang w:val="en-GB"/>
        </w:rPr>
      </w:pPr>
      <w:proofErr w:type="gramStart"/>
      <w:r w:rsidRPr="002D5A5F">
        <w:rPr>
          <w:rFonts w:eastAsia="SimSun"/>
          <w:sz w:val="18"/>
          <w:szCs w:val="18"/>
          <w:lang w:val="en-GB"/>
        </w:rPr>
        <w:t>b</w:t>
      </w:r>
      <w:proofErr w:type="gramEnd"/>
      <w:r w:rsidRPr="002D5A5F">
        <w:rPr>
          <w:rFonts w:eastAsia="SimSun"/>
          <w:sz w:val="18"/>
          <w:szCs w:val="18"/>
          <w:lang w:val="en-GB"/>
        </w:rPr>
        <w:t>: prom</w:t>
      </w:r>
      <w:r w:rsidR="009B29D4">
        <w:rPr>
          <w:rFonts w:eastAsia="SimSun"/>
          <w:sz w:val="18"/>
          <w:szCs w:val="18"/>
          <w:lang w:val="en-GB"/>
        </w:rPr>
        <w:t>j</w:t>
      </w:r>
      <w:r w:rsidRPr="002D5A5F">
        <w:rPr>
          <w:rFonts w:eastAsia="SimSun"/>
          <w:sz w:val="18"/>
          <w:szCs w:val="18"/>
          <w:lang w:val="en-GB"/>
        </w:rPr>
        <w:t>ena vr</w:t>
      </w:r>
      <w:r w:rsidR="0091588D">
        <w:rPr>
          <w:rFonts w:eastAsia="SimSun"/>
          <w:sz w:val="18"/>
          <w:szCs w:val="18"/>
          <w:lang w:val="en-GB"/>
        </w:rPr>
        <w:t>ij</w:t>
      </w:r>
      <w:r w:rsidRPr="002D5A5F">
        <w:rPr>
          <w:rFonts w:eastAsia="SimSun"/>
          <w:sz w:val="18"/>
          <w:szCs w:val="18"/>
          <w:lang w:val="en-GB"/>
        </w:rPr>
        <w:t>ednosti od početne do vr</w:t>
      </w:r>
      <w:r w:rsidR="0091588D">
        <w:rPr>
          <w:rFonts w:eastAsia="SimSun"/>
          <w:sz w:val="18"/>
          <w:szCs w:val="18"/>
          <w:lang w:val="en-GB"/>
        </w:rPr>
        <w:t>ij</w:t>
      </w:r>
      <w:r w:rsidRPr="002D5A5F">
        <w:rPr>
          <w:rFonts w:eastAsia="SimSun"/>
          <w:sz w:val="18"/>
          <w:szCs w:val="18"/>
          <w:lang w:val="en-GB"/>
        </w:rPr>
        <w:t xml:space="preserve">ednosti u 64. </w:t>
      </w:r>
      <w:proofErr w:type="gramStart"/>
      <w:r w:rsidRPr="002D5A5F">
        <w:rPr>
          <w:rFonts w:eastAsia="SimSun"/>
          <w:sz w:val="18"/>
          <w:szCs w:val="18"/>
          <w:lang w:val="en-GB"/>
        </w:rPr>
        <w:t>ned</w:t>
      </w:r>
      <w:r w:rsidR="0091588D">
        <w:rPr>
          <w:rFonts w:eastAsia="SimSun"/>
          <w:sz w:val="18"/>
          <w:szCs w:val="18"/>
          <w:lang w:val="en-GB"/>
        </w:rPr>
        <w:t>j</w:t>
      </w:r>
      <w:r w:rsidRPr="002D5A5F">
        <w:rPr>
          <w:rFonts w:eastAsia="SimSun"/>
          <w:sz w:val="18"/>
          <w:szCs w:val="18"/>
          <w:lang w:val="en-GB"/>
        </w:rPr>
        <w:t>elji</w:t>
      </w:r>
      <w:proofErr w:type="gramEnd"/>
      <w:r w:rsidRPr="002D5A5F">
        <w:rPr>
          <w:rFonts w:eastAsia="SimSun"/>
          <w:sz w:val="18"/>
          <w:szCs w:val="18"/>
          <w:lang w:val="en-GB"/>
        </w:rPr>
        <w:t xml:space="preserve"> prema modelu GEE.</w:t>
      </w:r>
    </w:p>
    <w:p w14:paraId="673A2EAB" w14:textId="77777777" w:rsidR="002D5A5F" w:rsidRPr="002D5A5F" w:rsidRDefault="002D5A5F" w:rsidP="007E21A6">
      <w:pPr>
        <w:tabs>
          <w:tab w:val="left" w:pos="567"/>
        </w:tabs>
        <w:spacing w:line="260" w:lineRule="exact"/>
        <w:jc w:val="both"/>
        <w:rPr>
          <w:rFonts w:eastAsia="SimSun"/>
          <w:sz w:val="18"/>
          <w:szCs w:val="18"/>
          <w:lang w:val="en-GB"/>
        </w:rPr>
      </w:pPr>
    </w:p>
    <w:p w14:paraId="3E1D550D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rFonts w:eastAsia="SimSun"/>
          <w:sz w:val="22"/>
          <w:szCs w:val="20"/>
          <w:lang w:val="en-GB"/>
        </w:rPr>
      </w:pPr>
      <w:r w:rsidRPr="002D5A5F">
        <w:rPr>
          <w:rFonts w:eastAsia="SimSun"/>
          <w:i/>
          <w:iCs/>
          <w:sz w:val="22"/>
          <w:szCs w:val="20"/>
          <w:lang w:val="en-GB"/>
        </w:rPr>
        <w:t>Fosfat u serumu</w:t>
      </w:r>
    </w:p>
    <w:p w14:paraId="0654A207" w14:textId="2F786A14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rFonts w:eastAsia="SimSun"/>
          <w:sz w:val="22"/>
          <w:szCs w:val="20"/>
          <w:lang w:val="en-GB"/>
        </w:rPr>
      </w:pPr>
      <w:r w:rsidRPr="002D5A5F">
        <w:rPr>
          <w:rFonts w:eastAsia="SimSun"/>
          <w:sz w:val="22"/>
          <w:szCs w:val="20"/>
          <w:lang w:val="en-GB"/>
        </w:rPr>
        <w:t>Na svakom pregledu u okviru studije na kome se nivo fosfata u serumu proc</w:t>
      </w:r>
      <w:r w:rsidR="0091588D">
        <w:rPr>
          <w:rFonts w:eastAsia="SimSun"/>
          <w:sz w:val="22"/>
          <w:szCs w:val="20"/>
          <w:lang w:val="en-GB"/>
        </w:rPr>
        <w:t>j</w:t>
      </w:r>
      <w:r w:rsidRPr="002D5A5F">
        <w:rPr>
          <w:rFonts w:eastAsia="SimSun"/>
          <w:sz w:val="22"/>
          <w:szCs w:val="20"/>
          <w:lang w:val="en-GB"/>
        </w:rPr>
        <w:t>enjivao u ob</w:t>
      </w:r>
      <w:r w:rsidR="00E32C82">
        <w:rPr>
          <w:rFonts w:eastAsia="SimSun"/>
          <w:sz w:val="22"/>
          <w:szCs w:val="20"/>
          <w:lang w:val="en-GB"/>
        </w:rPr>
        <w:t>j</w:t>
      </w:r>
      <w:r w:rsidRPr="002D5A5F">
        <w:rPr>
          <w:rFonts w:eastAsia="SimSun"/>
          <w:sz w:val="22"/>
          <w:szCs w:val="20"/>
          <w:lang w:val="en-GB"/>
        </w:rPr>
        <w:t>e grupe, prom</w:t>
      </w:r>
      <w:r w:rsidR="0091588D">
        <w:rPr>
          <w:rFonts w:eastAsia="SimSun"/>
          <w:sz w:val="22"/>
          <w:szCs w:val="20"/>
          <w:lang w:val="en-GB"/>
        </w:rPr>
        <w:t>j</w:t>
      </w:r>
      <w:r w:rsidRPr="002D5A5F">
        <w:rPr>
          <w:rFonts w:eastAsia="SimSun"/>
          <w:sz w:val="22"/>
          <w:szCs w:val="20"/>
          <w:lang w:val="en-GB"/>
        </w:rPr>
        <w:t>ene fosfata u serumu bile su veće u grupi koja je primala buro</w:t>
      </w:r>
      <w:r w:rsidR="0091588D">
        <w:rPr>
          <w:rFonts w:eastAsia="SimSun"/>
          <w:sz w:val="22"/>
          <w:szCs w:val="20"/>
          <w:lang w:val="en-GB"/>
        </w:rPr>
        <w:t>s</w:t>
      </w:r>
      <w:r w:rsidRPr="002D5A5F">
        <w:rPr>
          <w:rFonts w:eastAsia="SimSun"/>
          <w:sz w:val="22"/>
          <w:szCs w:val="20"/>
          <w:lang w:val="en-GB"/>
        </w:rPr>
        <w:t>umab nego u grupi koja je primala aktivni komparator (p &lt; 0</w:t>
      </w:r>
      <w:proofErr w:type="gramStart"/>
      <w:r w:rsidRPr="002D5A5F">
        <w:rPr>
          <w:rFonts w:eastAsia="SimSun"/>
          <w:sz w:val="22"/>
          <w:szCs w:val="20"/>
          <w:lang w:val="en-GB"/>
        </w:rPr>
        <w:t>,0001</w:t>
      </w:r>
      <w:proofErr w:type="gramEnd"/>
      <w:r w:rsidRPr="002D5A5F">
        <w:rPr>
          <w:rFonts w:eastAsia="SimSun"/>
          <w:sz w:val="22"/>
          <w:szCs w:val="20"/>
          <w:lang w:val="en-GB"/>
        </w:rPr>
        <w:t>; model GEE) (slika 2).</w:t>
      </w:r>
    </w:p>
    <w:p w14:paraId="77D892E6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rFonts w:eastAsia="SimSun"/>
          <w:b/>
          <w:bCs/>
          <w:sz w:val="22"/>
          <w:szCs w:val="20"/>
          <w:lang w:val="en-GB"/>
        </w:rPr>
      </w:pPr>
    </w:p>
    <w:p w14:paraId="4A886FC6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sz w:val="22"/>
          <w:szCs w:val="22"/>
          <w:lang w:val="sr-Latn-RS"/>
        </w:rPr>
      </w:pPr>
    </w:p>
    <w:p w14:paraId="6F34E042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sz w:val="22"/>
          <w:szCs w:val="22"/>
          <w:lang w:val="sr-Latn-RS"/>
        </w:rPr>
      </w:pPr>
    </w:p>
    <w:p w14:paraId="5A8C424E" w14:textId="47B24951" w:rsidR="002D5A5F" w:rsidRPr="002D5A5F" w:rsidRDefault="002D5A5F" w:rsidP="007E21A6">
      <w:pPr>
        <w:keepNext/>
        <w:tabs>
          <w:tab w:val="left" w:pos="567"/>
        </w:tabs>
        <w:spacing w:line="260" w:lineRule="exact"/>
        <w:ind w:left="851" w:hanging="851"/>
        <w:jc w:val="both"/>
        <w:rPr>
          <w:b/>
          <w:bCs/>
          <w:sz w:val="22"/>
          <w:szCs w:val="22"/>
          <w:lang w:val="en-GB"/>
        </w:rPr>
      </w:pPr>
      <w:r w:rsidRPr="002D5A5F">
        <w:rPr>
          <w:b/>
          <w:bCs/>
          <w:sz w:val="22"/>
          <w:szCs w:val="22"/>
          <w:lang w:val="en-GB"/>
        </w:rPr>
        <w:t xml:space="preserve">Slika </w:t>
      </w:r>
      <w:r w:rsidRPr="002D5A5F">
        <w:rPr>
          <w:b/>
          <w:bCs/>
          <w:noProof/>
          <w:sz w:val="22"/>
          <w:szCs w:val="22"/>
          <w:lang w:val="en-GB"/>
        </w:rPr>
        <w:t>2</w:t>
      </w:r>
      <w:r w:rsidRPr="002D5A5F">
        <w:rPr>
          <w:b/>
          <w:bCs/>
          <w:sz w:val="22"/>
          <w:szCs w:val="22"/>
          <w:lang w:val="en-GB"/>
        </w:rPr>
        <w:t>: Koncentracija fosfata u serumu i prom</w:t>
      </w:r>
      <w:r w:rsidR="0091588D">
        <w:rPr>
          <w:b/>
          <w:bCs/>
          <w:sz w:val="22"/>
          <w:szCs w:val="22"/>
          <w:lang w:val="en-GB"/>
        </w:rPr>
        <w:t>j</w:t>
      </w:r>
      <w:r w:rsidRPr="002D5A5F">
        <w:rPr>
          <w:b/>
          <w:bCs/>
          <w:sz w:val="22"/>
          <w:szCs w:val="22"/>
          <w:lang w:val="en-GB"/>
        </w:rPr>
        <w:t xml:space="preserve">ena </w:t>
      </w:r>
      <w:proofErr w:type="gramStart"/>
      <w:r w:rsidRPr="002D5A5F">
        <w:rPr>
          <w:b/>
          <w:bCs/>
          <w:sz w:val="22"/>
          <w:szCs w:val="22"/>
          <w:lang w:val="en-GB"/>
        </w:rPr>
        <w:t>od</w:t>
      </w:r>
      <w:proofErr w:type="gramEnd"/>
      <w:r w:rsidRPr="002D5A5F">
        <w:rPr>
          <w:b/>
          <w:bCs/>
          <w:sz w:val="22"/>
          <w:szCs w:val="22"/>
          <w:lang w:val="en-GB"/>
        </w:rPr>
        <w:t xml:space="preserve"> početnih vr</w:t>
      </w:r>
      <w:r w:rsidR="0091588D">
        <w:rPr>
          <w:b/>
          <w:bCs/>
          <w:sz w:val="22"/>
          <w:szCs w:val="22"/>
          <w:lang w:val="en-GB"/>
        </w:rPr>
        <w:t>ij</w:t>
      </w:r>
      <w:r w:rsidRPr="002D5A5F">
        <w:rPr>
          <w:b/>
          <w:bCs/>
          <w:sz w:val="22"/>
          <w:szCs w:val="22"/>
          <w:lang w:val="en-GB"/>
        </w:rPr>
        <w:t>ednosti (mg/dl) (srednja vr</w:t>
      </w:r>
      <w:r w:rsidR="0091588D">
        <w:rPr>
          <w:b/>
          <w:bCs/>
          <w:sz w:val="22"/>
          <w:szCs w:val="22"/>
          <w:lang w:val="en-GB"/>
        </w:rPr>
        <w:t>ij</w:t>
      </w:r>
      <w:r w:rsidRPr="002D5A5F">
        <w:rPr>
          <w:b/>
          <w:bCs/>
          <w:sz w:val="22"/>
          <w:szCs w:val="22"/>
          <w:lang w:val="en-GB"/>
        </w:rPr>
        <w:t>ednost ± SE) po terapijskoj grupi (PD skup podataka za analizu)</w:t>
      </w:r>
    </w:p>
    <w:p w14:paraId="51D88DC4" w14:textId="0A5CDF18" w:rsidR="002D5A5F" w:rsidRPr="002D5A5F" w:rsidRDefault="002D5A5F" w:rsidP="007E21A6">
      <w:pPr>
        <w:keepNext/>
        <w:tabs>
          <w:tab w:val="left" w:pos="567"/>
        </w:tabs>
        <w:spacing w:line="260" w:lineRule="exact"/>
        <w:jc w:val="both"/>
        <w:rPr>
          <w:sz w:val="18"/>
          <w:szCs w:val="18"/>
          <w:lang w:val="en-GB"/>
        </w:rPr>
      </w:pPr>
      <w:r w:rsidRPr="002D5A5F">
        <w:rPr>
          <w:i/>
          <w:iCs/>
          <w:sz w:val="18"/>
          <w:szCs w:val="18"/>
          <w:lang w:val="en-GB"/>
        </w:rPr>
        <w:t>Napomena: Isprekidana linija na slici označava donju granicu normalnog raspona vr</w:t>
      </w:r>
      <w:r w:rsidR="0091588D">
        <w:rPr>
          <w:i/>
          <w:iCs/>
          <w:sz w:val="18"/>
          <w:szCs w:val="18"/>
          <w:lang w:val="en-GB"/>
        </w:rPr>
        <w:t>ij</w:t>
      </w:r>
      <w:r w:rsidRPr="002D5A5F">
        <w:rPr>
          <w:i/>
          <w:iCs/>
          <w:sz w:val="18"/>
          <w:szCs w:val="18"/>
          <w:lang w:val="en-GB"/>
        </w:rPr>
        <w:t>ednosti fosfata u serumu, 3</w:t>
      </w:r>
      <w:proofErr w:type="gramStart"/>
      <w:r w:rsidRPr="002D5A5F">
        <w:rPr>
          <w:i/>
          <w:iCs/>
          <w:sz w:val="18"/>
          <w:szCs w:val="18"/>
          <w:lang w:val="en-GB"/>
        </w:rPr>
        <w:t>,2</w:t>
      </w:r>
      <w:proofErr w:type="gramEnd"/>
      <w:r w:rsidRPr="002D5A5F">
        <w:rPr>
          <w:i/>
          <w:iCs/>
          <w:sz w:val="18"/>
          <w:szCs w:val="18"/>
          <w:lang w:val="en-GB"/>
        </w:rPr>
        <w:t xml:space="preserve"> mg/dl (1,03 mmol/l)</w:t>
      </w:r>
    </w:p>
    <w:p w14:paraId="7BC37376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14317F37" w14:textId="6910A569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  <w:r w:rsidRPr="002D5A5F">
        <w:rPr>
          <w:noProof/>
          <w:sz w:val="22"/>
          <w:szCs w:val="20"/>
          <w:lang w:val="sr-Latn-ME" w:eastAsia="sr-Latn-ME"/>
        </w:rPr>
        <w:lastRenderedPageBreak/>
        <w:drawing>
          <wp:inline distT="0" distB="0" distL="0" distR="0" wp14:anchorId="04ABB091" wp14:editId="261E0774">
            <wp:extent cx="5758180" cy="3893185"/>
            <wp:effectExtent l="0" t="0" r="0" b="0"/>
            <wp:docPr id="641712579" name="Picture 5" descr="A graph of a number of numbers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712579" name="Picture 5" descr="A graph of a number of numbers and a 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89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A1282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33D4E18A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08DD3C95" w14:textId="5CD02263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2D5A5F">
        <w:rPr>
          <w:sz w:val="22"/>
          <w:szCs w:val="20"/>
          <w:lang w:val="en-GB"/>
        </w:rPr>
        <w:t>Tokom perioda produžetka terapije (</w:t>
      </w:r>
      <w:proofErr w:type="gramStart"/>
      <w:r w:rsidRPr="002D5A5F">
        <w:rPr>
          <w:sz w:val="22"/>
          <w:szCs w:val="20"/>
          <w:lang w:val="en-GB"/>
        </w:rPr>
        <w:t>od</w:t>
      </w:r>
      <w:proofErr w:type="gramEnd"/>
      <w:r w:rsidRPr="002D5A5F">
        <w:rPr>
          <w:sz w:val="22"/>
          <w:szCs w:val="20"/>
          <w:lang w:val="en-GB"/>
        </w:rPr>
        <w:t xml:space="preserve"> 66. ned</w:t>
      </w:r>
      <w:r w:rsidR="0091588D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 do 140. ned</w:t>
      </w:r>
      <w:r w:rsidR="0091588D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elje) rezultati produžene terapije burosumabom održali su se u ob</w:t>
      </w:r>
      <w:r w:rsidR="00E32C82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 grupe [</w:t>
      </w:r>
      <w:r w:rsidRPr="002D5A5F">
        <w:rPr>
          <w:sz w:val="22"/>
          <w:szCs w:val="22"/>
          <w:lang w:val="en-GB"/>
        </w:rPr>
        <w:t xml:space="preserve">burosumab→burosumab (n = 25) i aktivni komparator→burosumab (n = 26)). </w:t>
      </w:r>
    </w:p>
    <w:p w14:paraId="2A69E49D" w14:textId="77777777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u w:val="single"/>
          <w:lang w:val="en-GB"/>
        </w:rPr>
      </w:pPr>
    </w:p>
    <w:p w14:paraId="3B7435A0" w14:textId="77777777" w:rsidR="002D5A5F" w:rsidRPr="002D5A5F" w:rsidRDefault="002D5A5F" w:rsidP="007E21A6">
      <w:pPr>
        <w:tabs>
          <w:tab w:val="left" w:pos="567"/>
        </w:tabs>
        <w:ind w:right="-2"/>
        <w:jc w:val="both"/>
        <w:rPr>
          <w:i/>
          <w:sz w:val="22"/>
          <w:szCs w:val="22"/>
          <w:u w:val="single"/>
          <w:lang w:val="en-GB"/>
        </w:rPr>
      </w:pPr>
      <w:r w:rsidRPr="002D5A5F">
        <w:rPr>
          <w:i/>
          <w:iCs/>
          <w:sz w:val="22"/>
          <w:szCs w:val="20"/>
          <w:u w:val="single"/>
          <w:lang w:val="en-GB"/>
        </w:rPr>
        <w:t>Studija UX023-CL201</w:t>
      </w:r>
    </w:p>
    <w:p w14:paraId="743A05C0" w14:textId="3563A012" w:rsidR="002D5A5F" w:rsidRPr="002D5A5F" w:rsidRDefault="002D5A5F" w:rsidP="007E21A6">
      <w:pPr>
        <w:tabs>
          <w:tab w:val="left" w:pos="567"/>
        </w:tabs>
        <w:ind w:right="-2"/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U pedijatrijskoj studiji UX023-CL201, 52 pedijatrijska pacijenta sa XLH uzrasta od 5 do 12 godina (srednja vr</w:t>
      </w:r>
      <w:r w:rsidR="0091588D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8</w:t>
      </w:r>
      <w:proofErr w:type="gramStart"/>
      <w:r w:rsidRPr="002D5A5F">
        <w:rPr>
          <w:sz w:val="22"/>
          <w:szCs w:val="20"/>
          <w:lang w:val="en-GB"/>
        </w:rPr>
        <w:t>,5</w:t>
      </w:r>
      <w:proofErr w:type="gramEnd"/>
      <w:r w:rsidRPr="002D5A5F">
        <w:rPr>
          <w:sz w:val="22"/>
          <w:szCs w:val="20"/>
          <w:lang w:val="en-GB"/>
        </w:rPr>
        <w:t xml:space="preserve"> godina; SD 1,87) l</w:t>
      </w:r>
      <w:r w:rsidR="0091588D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ečena su tokom početnog perioda od 64 ned</w:t>
      </w:r>
      <w:r w:rsidR="0091588D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 i primala su dozu svake 2 ned</w:t>
      </w:r>
      <w:r w:rsidR="0091588D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 ili svake 4 ned</w:t>
      </w:r>
      <w:r w:rsidR="0091588D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elje. Nakon toga usl</w:t>
      </w:r>
      <w:r w:rsidR="00341BAE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edila su dva perioda produžetka prim</w:t>
      </w:r>
      <w:r w:rsidR="0091588D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ene u kojima se doza prim</w:t>
      </w:r>
      <w:r w:rsidR="0091588D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enjivala svake 2 ned</w:t>
      </w:r>
      <w:r w:rsidR="0091588D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 kod svih pacijenata; prvi period trajao je do 96 ned</w:t>
      </w:r>
      <w:r w:rsidR="0091588D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elja (ukupno 160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a), a sl</w:t>
      </w:r>
      <w:r w:rsidR="00341BAE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edeći period u trajanju do 56 ned</w:t>
      </w:r>
      <w:r w:rsidR="0091588D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elja služio je za analizu bezb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ednosti.</w:t>
      </w:r>
    </w:p>
    <w:p w14:paraId="70FB93A7" w14:textId="77777777" w:rsidR="002D5A5F" w:rsidRPr="002D5A5F" w:rsidRDefault="002D5A5F" w:rsidP="007E21A6">
      <w:pPr>
        <w:tabs>
          <w:tab w:val="left" w:pos="567"/>
        </w:tabs>
        <w:ind w:right="-2"/>
        <w:jc w:val="both"/>
        <w:rPr>
          <w:sz w:val="22"/>
          <w:szCs w:val="20"/>
          <w:lang w:val="en-GB"/>
        </w:rPr>
      </w:pPr>
    </w:p>
    <w:p w14:paraId="7E5C6613" w14:textId="0B3384F1" w:rsidR="002D5A5F" w:rsidRPr="002D5A5F" w:rsidRDefault="002D5A5F" w:rsidP="007E21A6">
      <w:pPr>
        <w:tabs>
          <w:tab w:val="left" w:pos="567"/>
        </w:tabs>
        <w:ind w:right="-2"/>
        <w:jc w:val="both"/>
        <w:rPr>
          <w:sz w:val="22"/>
          <w:szCs w:val="22"/>
          <w:lang w:val="en-GB"/>
        </w:rPr>
      </w:pPr>
      <w:r w:rsidRPr="002D5A5F">
        <w:rPr>
          <w:sz w:val="22"/>
          <w:szCs w:val="20"/>
          <w:lang w:val="en-GB"/>
        </w:rPr>
        <w:t>Skoro svi pacijenti imali su na početku radiološki dokazan rahitis, a pr</w:t>
      </w:r>
      <w:r w:rsidR="00936A76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 su primali peroralni fosfat i analoge vitamina D u trajanju srednje vr</w:t>
      </w:r>
      <w:r w:rsidR="00936A76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ednosti (SD) 7 (2</w:t>
      </w:r>
      <w:proofErr w:type="gramStart"/>
      <w:r w:rsidRPr="002D5A5F">
        <w:rPr>
          <w:sz w:val="22"/>
          <w:szCs w:val="20"/>
          <w:lang w:val="en-GB"/>
        </w:rPr>
        <w:t>,4</w:t>
      </w:r>
      <w:proofErr w:type="gramEnd"/>
      <w:r w:rsidRPr="002D5A5F">
        <w:rPr>
          <w:sz w:val="22"/>
          <w:szCs w:val="20"/>
          <w:lang w:val="en-GB"/>
        </w:rPr>
        <w:t>) godina</w:t>
      </w:r>
      <w:r w:rsidRPr="002D5A5F">
        <w:rPr>
          <w:rFonts w:ascii="Arial" w:hAnsi="Arial"/>
          <w:sz w:val="22"/>
          <w:szCs w:val="20"/>
          <w:lang w:val="en-GB"/>
        </w:rPr>
        <w:t xml:space="preserve">. </w:t>
      </w:r>
      <w:r w:rsidRPr="002D5A5F">
        <w:rPr>
          <w:sz w:val="22"/>
          <w:szCs w:val="20"/>
          <w:lang w:val="en-GB"/>
        </w:rPr>
        <w:t>Ta konvencionalna terapija prekinuta je 2‒4 ned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 pr</w:t>
      </w:r>
      <w:r w:rsidR="00936A76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 uvođenja burosumaba. Doza burosumaba bila je prilagođena ciljnoj vr</w:t>
      </w:r>
      <w:r w:rsidR="00936A76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ednosti koncentracije fosfata u serumu natašte od 3</w:t>
      </w:r>
      <w:proofErr w:type="gramStart"/>
      <w:r w:rsidRPr="002D5A5F">
        <w:rPr>
          <w:sz w:val="22"/>
          <w:szCs w:val="20"/>
          <w:lang w:val="en-GB"/>
        </w:rPr>
        <w:t>,50</w:t>
      </w:r>
      <w:proofErr w:type="gramEnd"/>
      <w:r w:rsidRPr="002D5A5F">
        <w:rPr>
          <w:sz w:val="22"/>
          <w:szCs w:val="20"/>
          <w:lang w:val="en-GB"/>
        </w:rPr>
        <w:t xml:space="preserve"> do 5,02 mg/dl (od 1,13 do 1,62 mmol/l). U prve 64 ned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elje, 26 </w:t>
      </w:r>
      <w:proofErr w:type="gramStart"/>
      <w:r w:rsidRPr="002D5A5F">
        <w:rPr>
          <w:sz w:val="22"/>
          <w:szCs w:val="20"/>
          <w:lang w:val="en-GB"/>
        </w:rPr>
        <w:t>od</w:t>
      </w:r>
      <w:proofErr w:type="gramEnd"/>
      <w:r w:rsidRPr="002D5A5F">
        <w:rPr>
          <w:sz w:val="22"/>
          <w:szCs w:val="20"/>
          <w:lang w:val="en-GB"/>
        </w:rPr>
        <w:t xml:space="preserve"> 52 pacijenata primalo je burosumab svake 4 ned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elje. Drugih 26 od 52 pacijenta primalo je burosumab svake 2 ned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elje u prosečnoj dozi (minimum, maksimum) od 0,73 (0,3; 1,5), 0,98 (0,4; 2,0) i 1,04 (0,4; 2,0) mg/kg u 16. </w:t>
      </w:r>
      <w:proofErr w:type="gramStart"/>
      <w:r w:rsidRPr="002D5A5F">
        <w:rPr>
          <w:sz w:val="22"/>
          <w:szCs w:val="20"/>
          <w:lang w:val="en-GB"/>
        </w:rPr>
        <w:t>odnosno</w:t>
      </w:r>
      <w:proofErr w:type="gramEnd"/>
      <w:r w:rsidRPr="002D5A5F">
        <w:rPr>
          <w:sz w:val="22"/>
          <w:szCs w:val="20"/>
          <w:lang w:val="en-GB"/>
        </w:rPr>
        <w:t xml:space="preserve"> 40. </w:t>
      </w:r>
      <w:proofErr w:type="gramStart"/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 xml:space="preserve"> 64. </w:t>
      </w:r>
      <w:proofErr w:type="gramStart"/>
      <w:r w:rsidRPr="002D5A5F">
        <w:rPr>
          <w:sz w:val="22"/>
          <w:szCs w:val="20"/>
          <w:lang w:val="en-GB"/>
        </w:rPr>
        <w:t>ned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elji</w:t>
      </w:r>
      <w:proofErr w:type="gramEnd"/>
      <w:r w:rsidRPr="002D5A5F">
        <w:rPr>
          <w:sz w:val="22"/>
          <w:szCs w:val="20"/>
          <w:lang w:val="en-GB"/>
        </w:rPr>
        <w:t xml:space="preserve">, do najveće doze od 2,0 mg/kg. </w:t>
      </w:r>
    </w:p>
    <w:p w14:paraId="39C4E336" w14:textId="77777777" w:rsidR="002D5A5F" w:rsidRPr="002D5A5F" w:rsidRDefault="002D5A5F" w:rsidP="007E21A6">
      <w:pPr>
        <w:tabs>
          <w:tab w:val="left" w:pos="567"/>
        </w:tabs>
        <w:ind w:right="-2"/>
        <w:jc w:val="both"/>
        <w:rPr>
          <w:sz w:val="22"/>
          <w:szCs w:val="22"/>
          <w:lang w:val="en-GB"/>
        </w:rPr>
      </w:pPr>
    </w:p>
    <w:p w14:paraId="514D4F48" w14:textId="3332D62D" w:rsidR="002D5A5F" w:rsidRPr="002D5A5F" w:rsidRDefault="002D5A5F" w:rsidP="007E21A6">
      <w:pPr>
        <w:widowControl w:val="0"/>
        <w:tabs>
          <w:tab w:val="left" w:pos="567"/>
        </w:tabs>
        <w:ind w:right="-2"/>
        <w:jc w:val="both"/>
        <w:rPr>
          <w:noProof/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Burosumab je povećao koncentraciju fosfata u serumu i povećao TmP/GFR. U grupi koja je primala burosumab svake 2 ned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elje, srednja vr</w:t>
      </w:r>
      <w:r w:rsidR="00936A76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(SD) koncentracije fosfata u serumu povećala se sa 2</w:t>
      </w:r>
      <w:proofErr w:type="gramStart"/>
      <w:r w:rsidRPr="002D5A5F">
        <w:rPr>
          <w:sz w:val="22"/>
          <w:szCs w:val="20"/>
          <w:lang w:val="en-GB"/>
        </w:rPr>
        <w:t>,38</w:t>
      </w:r>
      <w:proofErr w:type="gramEnd"/>
      <w:r w:rsidRPr="002D5A5F">
        <w:rPr>
          <w:sz w:val="22"/>
          <w:szCs w:val="20"/>
          <w:lang w:val="en-GB"/>
        </w:rPr>
        <w:t xml:space="preserve"> (0,405) mg/dl [0,77 (0,131) mmol/l] na početku do 3,3 (0,396) mg/dl [1,07 (0,128) mmol/l] u 40. </w:t>
      </w:r>
      <w:proofErr w:type="gramStart"/>
      <w:r w:rsidRPr="002D5A5F">
        <w:rPr>
          <w:sz w:val="22"/>
          <w:szCs w:val="20"/>
          <w:lang w:val="en-GB"/>
        </w:rPr>
        <w:t>ned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elji</w:t>
      </w:r>
      <w:proofErr w:type="gramEnd"/>
      <w:r w:rsidRPr="002D5A5F">
        <w:rPr>
          <w:sz w:val="22"/>
          <w:szCs w:val="20"/>
          <w:lang w:val="en-GB"/>
        </w:rPr>
        <w:t xml:space="preserve"> i održala se do 64. </w:t>
      </w:r>
      <w:proofErr w:type="gramStart"/>
      <w:r w:rsidRPr="002D5A5F">
        <w:rPr>
          <w:sz w:val="22"/>
          <w:szCs w:val="20"/>
          <w:lang w:val="en-GB"/>
        </w:rPr>
        <w:t>ned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</w:t>
      </w:r>
      <w:proofErr w:type="gramEnd"/>
      <w:r w:rsidRPr="002D5A5F">
        <w:rPr>
          <w:sz w:val="22"/>
          <w:szCs w:val="20"/>
          <w:lang w:val="en-GB"/>
        </w:rPr>
        <w:t xml:space="preserve"> na vr</w:t>
      </w:r>
      <w:r w:rsidR="00936A76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ednosti od 3,35 (0,445) mg/dl [1,08 (0,144) mmol/l].</w:t>
      </w:r>
      <w:r w:rsidRPr="002D5A5F">
        <w:rPr>
          <w:noProof/>
          <w:sz w:val="22"/>
          <w:szCs w:val="20"/>
          <w:lang w:val="en-GB"/>
        </w:rPr>
        <w:t xml:space="preserve"> Povišeni nivoi fosfata u </w:t>
      </w:r>
      <w:r w:rsidRPr="002D5A5F">
        <w:rPr>
          <w:sz w:val="22"/>
          <w:szCs w:val="20"/>
          <w:lang w:val="en-GB"/>
        </w:rPr>
        <w:t xml:space="preserve">serumu održali su se do 160. </w:t>
      </w:r>
      <w:proofErr w:type="gramStart"/>
      <w:r w:rsidRPr="002D5A5F">
        <w:rPr>
          <w:sz w:val="22"/>
          <w:szCs w:val="20"/>
          <w:lang w:val="en-GB"/>
        </w:rPr>
        <w:t>ned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</w:t>
      </w:r>
      <w:proofErr w:type="gramEnd"/>
      <w:r w:rsidRPr="002D5A5F">
        <w:rPr>
          <w:sz w:val="22"/>
          <w:szCs w:val="20"/>
          <w:lang w:val="en-GB"/>
        </w:rPr>
        <w:t xml:space="preserve"> (n = 52).</w:t>
      </w:r>
    </w:p>
    <w:p w14:paraId="269169C2" w14:textId="77777777" w:rsidR="002D5A5F" w:rsidRPr="002D5A5F" w:rsidRDefault="002D5A5F" w:rsidP="007E21A6">
      <w:pPr>
        <w:widowControl w:val="0"/>
        <w:tabs>
          <w:tab w:val="left" w:pos="567"/>
        </w:tabs>
        <w:ind w:right="-2"/>
        <w:jc w:val="both"/>
        <w:rPr>
          <w:noProof/>
          <w:sz w:val="22"/>
          <w:szCs w:val="20"/>
          <w:lang w:val="en-GB"/>
        </w:rPr>
      </w:pPr>
    </w:p>
    <w:p w14:paraId="3392FD3C" w14:textId="77777777" w:rsidR="002D5A5F" w:rsidRPr="002D5A5F" w:rsidRDefault="002D5A5F" w:rsidP="007E21A6">
      <w:pPr>
        <w:keepNext/>
        <w:keepLines/>
        <w:widowControl w:val="0"/>
        <w:tabs>
          <w:tab w:val="left" w:pos="567"/>
        </w:tabs>
        <w:jc w:val="both"/>
        <w:rPr>
          <w:rFonts w:eastAsia="TimesNewRoman"/>
          <w:sz w:val="22"/>
          <w:szCs w:val="20"/>
          <w:lang w:val="en-GB"/>
        </w:rPr>
      </w:pPr>
      <w:r w:rsidRPr="002D5A5F">
        <w:rPr>
          <w:rFonts w:eastAsia="TimesNewRoman"/>
          <w:i/>
          <w:iCs/>
          <w:sz w:val="22"/>
          <w:szCs w:val="20"/>
          <w:lang w:val="en-GB"/>
        </w:rPr>
        <w:lastRenderedPageBreak/>
        <w:t>Aktivnost alkalne fosfataze</w:t>
      </w:r>
    </w:p>
    <w:p w14:paraId="2909C4C2" w14:textId="31A3F35C" w:rsidR="002D5A5F" w:rsidRPr="002D5A5F" w:rsidRDefault="002D5A5F" w:rsidP="007E21A6">
      <w:pPr>
        <w:keepNext/>
        <w:keepLines/>
        <w:widowControl w:val="0"/>
        <w:tabs>
          <w:tab w:val="left" w:pos="567"/>
        </w:tabs>
        <w:ind w:right="-2"/>
        <w:jc w:val="both"/>
        <w:rPr>
          <w:rFonts w:eastAsia="TimesNewRoman"/>
          <w:sz w:val="22"/>
          <w:szCs w:val="20"/>
          <w:lang w:val="en-GB"/>
        </w:rPr>
      </w:pPr>
      <w:r w:rsidRPr="002D5A5F">
        <w:rPr>
          <w:rFonts w:eastAsia="TimesNewRoman"/>
          <w:sz w:val="22"/>
          <w:szCs w:val="20"/>
          <w:lang w:val="en-GB"/>
        </w:rPr>
        <w:t>Srednja vr</w:t>
      </w:r>
      <w:r w:rsidR="00936A76">
        <w:rPr>
          <w:rFonts w:eastAsia="TimesNewRoman"/>
          <w:sz w:val="22"/>
          <w:szCs w:val="20"/>
          <w:lang w:val="en-GB"/>
        </w:rPr>
        <w:t>ij</w:t>
      </w:r>
      <w:r w:rsidRPr="002D5A5F">
        <w:rPr>
          <w:rFonts w:eastAsia="TimesNewRoman"/>
          <w:sz w:val="22"/>
          <w:szCs w:val="20"/>
          <w:lang w:val="en-GB"/>
        </w:rPr>
        <w:t xml:space="preserve">ednost (SD) aktivnosti ukupne alkalne fosfataze u serumu iznosila je </w:t>
      </w:r>
      <w:proofErr w:type="gramStart"/>
      <w:r w:rsidRPr="002D5A5F">
        <w:rPr>
          <w:rFonts w:eastAsia="TimesNewRoman"/>
          <w:sz w:val="22"/>
          <w:szCs w:val="20"/>
          <w:lang w:val="en-GB"/>
        </w:rPr>
        <w:t>na</w:t>
      </w:r>
      <w:proofErr w:type="gramEnd"/>
      <w:r w:rsidRPr="002D5A5F">
        <w:rPr>
          <w:rFonts w:eastAsia="TimesNewRoman"/>
          <w:sz w:val="22"/>
          <w:szCs w:val="20"/>
          <w:lang w:val="en-GB"/>
        </w:rPr>
        <w:t xml:space="preserve"> početku 459 (105) U/L i smanjila se na 369 (76) U/L u 64. </w:t>
      </w:r>
      <w:proofErr w:type="gramStart"/>
      <w:r w:rsidRPr="002D5A5F">
        <w:rPr>
          <w:rFonts w:eastAsia="TimesNewRoman"/>
          <w:sz w:val="22"/>
          <w:szCs w:val="20"/>
          <w:lang w:val="en-GB"/>
        </w:rPr>
        <w:t>ned</w:t>
      </w:r>
      <w:r w:rsidR="00936A76">
        <w:rPr>
          <w:rFonts w:eastAsia="TimesNewRoman"/>
          <w:sz w:val="22"/>
          <w:szCs w:val="20"/>
          <w:lang w:val="en-GB"/>
        </w:rPr>
        <w:t>j</w:t>
      </w:r>
      <w:r w:rsidRPr="002D5A5F">
        <w:rPr>
          <w:rFonts w:eastAsia="TimesNewRoman"/>
          <w:sz w:val="22"/>
          <w:szCs w:val="20"/>
          <w:lang w:val="en-GB"/>
        </w:rPr>
        <w:t>elji</w:t>
      </w:r>
      <w:proofErr w:type="gramEnd"/>
      <w:r w:rsidRPr="002D5A5F">
        <w:rPr>
          <w:rFonts w:eastAsia="TimesNewRoman"/>
          <w:sz w:val="22"/>
          <w:szCs w:val="20"/>
          <w:lang w:val="en-GB"/>
        </w:rPr>
        <w:t xml:space="preserve"> (-19,6%, p &lt; 0,0001); smanjenja su u ob</w:t>
      </w:r>
      <w:r w:rsidR="00E32C82">
        <w:rPr>
          <w:rFonts w:eastAsia="TimesNewRoman"/>
          <w:sz w:val="22"/>
          <w:szCs w:val="20"/>
          <w:lang w:val="en-GB"/>
        </w:rPr>
        <w:t>j</w:t>
      </w:r>
      <w:r w:rsidRPr="002D5A5F">
        <w:rPr>
          <w:rFonts w:eastAsia="TimesNewRoman"/>
          <w:sz w:val="22"/>
          <w:szCs w:val="20"/>
          <w:lang w:val="en-GB"/>
        </w:rPr>
        <w:t xml:space="preserve">e dozne grupe bila slična. Ukupno gledano, smanjeni nivoi ALP održali su se do 160. </w:t>
      </w:r>
      <w:proofErr w:type="gramStart"/>
      <w:r w:rsidRPr="002D5A5F">
        <w:rPr>
          <w:rFonts w:eastAsia="TimesNewRoman"/>
          <w:sz w:val="22"/>
          <w:szCs w:val="20"/>
          <w:lang w:val="en-GB"/>
        </w:rPr>
        <w:t>ned</w:t>
      </w:r>
      <w:r w:rsidR="00936A76">
        <w:rPr>
          <w:rFonts w:eastAsia="TimesNewRoman"/>
          <w:sz w:val="22"/>
          <w:szCs w:val="20"/>
          <w:lang w:val="en-GB"/>
        </w:rPr>
        <w:t>j</w:t>
      </w:r>
      <w:r w:rsidRPr="002D5A5F">
        <w:rPr>
          <w:rFonts w:eastAsia="TimesNewRoman"/>
          <w:sz w:val="22"/>
          <w:szCs w:val="20"/>
          <w:lang w:val="en-GB"/>
        </w:rPr>
        <w:t>elje</w:t>
      </w:r>
      <w:proofErr w:type="gramEnd"/>
      <w:r w:rsidRPr="002D5A5F">
        <w:rPr>
          <w:rFonts w:eastAsia="TimesNewRoman"/>
          <w:sz w:val="22"/>
          <w:szCs w:val="20"/>
          <w:lang w:val="en-GB"/>
        </w:rPr>
        <w:t>.</w:t>
      </w:r>
    </w:p>
    <w:p w14:paraId="76CE17C5" w14:textId="77777777" w:rsidR="002D5A5F" w:rsidRPr="002D5A5F" w:rsidRDefault="002D5A5F" w:rsidP="007E21A6">
      <w:pPr>
        <w:keepNext/>
        <w:keepLines/>
        <w:tabs>
          <w:tab w:val="left" w:pos="567"/>
        </w:tabs>
        <w:ind w:right="-2"/>
        <w:jc w:val="both"/>
        <w:rPr>
          <w:rFonts w:eastAsia="TimesNewRoman"/>
          <w:sz w:val="22"/>
          <w:szCs w:val="20"/>
          <w:lang w:val="en-GB"/>
        </w:rPr>
      </w:pPr>
    </w:p>
    <w:p w14:paraId="5B72E3D7" w14:textId="3BD9183A" w:rsidR="002D5A5F" w:rsidRPr="002D5A5F" w:rsidRDefault="002D5A5F" w:rsidP="007E21A6">
      <w:pPr>
        <w:keepNext/>
        <w:keepLines/>
        <w:tabs>
          <w:tab w:val="left" w:pos="567"/>
        </w:tabs>
        <w:ind w:right="-2"/>
        <w:jc w:val="both"/>
        <w:rPr>
          <w:rFonts w:eastAsia="TimesNewRoman"/>
          <w:i/>
          <w:iCs/>
          <w:sz w:val="22"/>
          <w:szCs w:val="20"/>
          <w:lang w:val="en-GB"/>
        </w:rPr>
      </w:pPr>
      <w:r w:rsidRPr="002D5A5F">
        <w:rPr>
          <w:rFonts w:eastAsia="TimesNewRoman"/>
          <w:sz w:val="22"/>
          <w:szCs w:val="20"/>
          <w:lang w:val="en-GB"/>
        </w:rPr>
        <w:t xml:space="preserve">Sadržaj alkalne fosfataze iz kosti u serumu bio je </w:t>
      </w:r>
      <w:proofErr w:type="gramStart"/>
      <w:r w:rsidRPr="002D5A5F">
        <w:rPr>
          <w:rFonts w:eastAsia="TimesNewRoman"/>
          <w:sz w:val="22"/>
          <w:szCs w:val="20"/>
          <w:lang w:val="en-GB"/>
        </w:rPr>
        <w:t>na</w:t>
      </w:r>
      <w:proofErr w:type="gramEnd"/>
      <w:r w:rsidRPr="002D5A5F">
        <w:rPr>
          <w:rFonts w:eastAsia="TimesNewRoman"/>
          <w:sz w:val="22"/>
          <w:szCs w:val="20"/>
          <w:lang w:val="en-GB"/>
        </w:rPr>
        <w:t xml:space="preserve"> početku 165 (52) µg/l [srednja vr</w:t>
      </w:r>
      <w:r w:rsidR="00936A76">
        <w:rPr>
          <w:rFonts w:eastAsia="TimesNewRoman"/>
          <w:sz w:val="22"/>
          <w:szCs w:val="20"/>
          <w:lang w:val="en-GB"/>
        </w:rPr>
        <w:t>ij</w:t>
      </w:r>
      <w:r w:rsidRPr="002D5A5F">
        <w:rPr>
          <w:rFonts w:eastAsia="TimesNewRoman"/>
          <w:sz w:val="22"/>
          <w:szCs w:val="20"/>
          <w:lang w:val="en-GB"/>
        </w:rPr>
        <w:t xml:space="preserve">ednost (SD)], a 115 (31) µg/l u 64. </w:t>
      </w:r>
      <w:proofErr w:type="gramStart"/>
      <w:r w:rsidRPr="002D5A5F">
        <w:rPr>
          <w:rFonts w:eastAsia="TimesNewRoman"/>
          <w:sz w:val="22"/>
          <w:szCs w:val="20"/>
          <w:lang w:val="en-GB"/>
        </w:rPr>
        <w:t>ned</w:t>
      </w:r>
      <w:r w:rsidR="00936A76">
        <w:rPr>
          <w:rFonts w:eastAsia="TimesNewRoman"/>
          <w:sz w:val="22"/>
          <w:szCs w:val="20"/>
          <w:lang w:val="en-GB"/>
        </w:rPr>
        <w:t>j</w:t>
      </w:r>
      <w:r w:rsidRPr="002D5A5F">
        <w:rPr>
          <w:rFonts w:eastAsia="TimesNewRoman"/>
          <w:sz w:val="22"/>
          <w:szCs w:val="20"/>
          <w:lang w:val="en-GB"/>
        </w:rPr>
        <w:t>elji</w:t>
      </w:r>
      <w:proofErr w:type="gramEnd"/>
      <w:r w:rsidRPr="002D5A5F">
        <w:rPr>
          <w:rFonts w:eastAsia="TimesNewRoman"/>
          <w:sz w:val="22"/>
          <w:szCs w:val="20"/>
          <w:lang w:val="en-GB"/>
        </w:rPr>
        <w:t xml:space="preserve"> (srednja vr</w:t>
      </w:r>
      <w:r w:rsidR="00936A76">
        <w:rPr>
          <w:rFonts w:eastAsia="TimesNewRoman"/>
          <w:sz w:val="22"/>
          <w:szCs w:val="20"/>
          <w:lang w:val="en-GB"/>
        </w:rPr>
        <w:t>ij</w:t>
      </w:r>
      <w:r w:rsidRPr="002D5A5F">
        <w:rPr>
          <w:rFonts w:eastAsia="TimesNewRoman"/>
          <w:sz w:val="22"/>
          <w:szCs w:val="20"/>
          <w:lang w:val="en-GB"/>
        </w:rPr>
        <w:t>ednost prom</w:t>
      </w:r>
      <w:r w:rsidR="00936A76">
        <w:rPr>
          <w:rFonts w:eastAsia="TimesNewRoman"/>
          <w:sz w:val="22"/>
          <w:szCs w:val="20"/>
          <w:lang w:val="en-GB"/>
        </w:rPr>
        <w:t>j</w:t>
      </w:r>
      <w:r w:rsidRPr="002D5A5F">
        <w:rPr>
          <w:rFonts w:eastAsia="TimesNewRoman"/>
          <w:sz w:val="22"/>
          <w:szCs w:val="20"/>
          <w:lang w:val="en-GB"/>
        </w:rPr>
        <w:t>ene: -28,5%); smanjenja su u ob</w:t>
      </w:r>
      <w:r w:rsidR="00E32C82">
        <w:rPr>
          <w:rFonts w:eastAsia="TimesNewRoman"/>
          <w:sz w:val="22"/>
          <w:szCs w:val="20"/>
          <w:lang w:val="en-GB"/>
        </w:rPr>
        <w:t>j</w:t>
      </w:r>
      <w:r w:rsidRPr="002D5A5F">
        <w:rPr>
          <w:rFonts w:eastAsia="TimesNewRoman"/>
          <w:sz w:val="22"/>
          <w:szCs w:val="20"/>
          <w:lang w:val="en-GB"/>
        </w:rPr>
        <w:t xml:space="preserve">e dozne grupe bila slična. Ukupno gledano, smanjeni nivoi BALP održali su se do 160. </w:t>
      </w:r>
      <w:proofErr w:type="gramStart"/>
      <w:r w:rsidR="008B0E2F">
        <w:rPr>
          <w:rFonts w:eastAsia="TimesNewRoman"/>
          <w:sz w:val="22"/>
          <w:szCs w:val="20"/>
          <w:lang w:val="en-GB"/>
        </w:rPr>
        <w:t>nedjelj</w:t>
      </w:r>
      <w:r w:rsidRPr="002D5A5F">
        <w:rPr>
          <w:rFonts w:eastAsia="TimesNewRoman"/>
          <w:sz w:val="22"/>
          <w:szCs w:val="20"/>
          <w:lang w:val="en-GB"/>
        </w:rPr>
        <w:t>e</w:t>
      </w:r>
      <w:proofErr w:type="gramEnd"/>
      <w:r w:rsidRPr="002D5A5F">
        <w:rPr>
          <w:rFonts w:eastAsia="TimesNewRoman"/>
          <w:sz w:val="22"/>
          <w:szCs w:val="20"/>
          <w:lang w:val="en-GB"/>
        </w:rPr>
        <w:t>.</w:t>
      </w:r>
    </w:p>
    <w:p w14:paraId="619B91EF" w14:textId="77777777" w:rsidR="002D5A5F" w:rsidRPr="002D5A5F" w:rsidRDefault="002D5A5F" w:rsidP="007E21A6">
      <w:pPr>
        <w:jc w:val="both"/>
        <w:rPr>
          <w:i/>
          <w:sz w:val="22"/>
          <w:szCs w:val="20"/>
          <w:lang w:val="en-GB"/>
        </w:rPr>
      </w:pPr>
    </w:p>
    <w:p w14:paraId="283A6E12" w14:textId="3CDA21BA" w:rsidR="002D5A5F" w:rsidRPr="002D5A5F" w:rsidRDefault="002D5A5F" w:rsidP="007E21A6">
      <w:pPr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U studiji UX023-CL201, težina rahitisa kod pedijatrijskih pacijenata m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erena je </w:t>
      </w:r>
      <w:proofErr w:type="gramStart"/>
      <w:r w:rsidRPr="002D5A5F">
        <w:rPr>
          <w:sz w:val="22"/>
          <w:szCs w:val="20"/>
          <w:lang w:val="en-GB"/>
        </w:rPr>
        <w:t>na</w:t>
      </w:r>
      <w:proofErr w:type="gramEnd"/>
      <w:r w:rsidRPr="002D5A5F">
        <w:rPr>
          <w:sz w:val="22"/>
          <w:szCs w:val="20"/>
          <w:lang w:val="en-GB"/>
        </w:rPr>
        <w:t xml:space="preserve"> osnovu RSS, kako je prethodno opisano, pri čemu se bodovanje zasnivalo na unapred definisanoj l</w:t>
      </w:r>
      <w:r w:rsidR="009B29D4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estvici usm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erenoj na specifične abnormalnosti ručnih zglobova i kol</w:t>
      </w:r>
      <w:r w:rsidR="00E32C82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ena. Kao dodatak u proc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eni RSS korišćena je l</w:t>
      </w:r>
      <w:r w:rsidR="009B29D4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estvica oc</w:t>
      </w:r>
      <w:r w:rsidR="00936A7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ena RGI-C. Rezultati su sažeto prikazani u tabeli</w:t>
      </w:r>
      <w:r w:rsidR="00936A76">
        <w:rPr>
          <w:sz w:val="22"/>
          <w:szCs w:val="20"/>
          <w:lang w:val="en-GB"/>
        </w:rPr>
        <w:t xml:space="preserve"> </w:t>
      </w:r>
      <w:r w:rsidRPr="002D5A5F">
        <w:rPr>
          <w:sz w:val="22"/>
          <w:szCs w:val="20"/>
          <w:lang w:val="en-GB"/>
        </w:rPr>
        <w:t xml:space="preserve">4. </w:t>
      </w:r>
    </w:p>
    <w:p w14:paraId="046F90AA" w14:textId="77777777" w:rsidR="002D5A5F" w:rsidRPr="002D5A5F" w:rsidRDefault="002D5A5F" w:rsidP="007E21A6">
      <w:pPr>
        <w:tabs>
          <w:tab w:val="left" w:pos="567"/>
        </w:tabs>
        <w:ind w:right="-2"/>
        <w:jc w:val="both"/>
        <w:rPr>
          <w:sz w:val="20"/>
          <w:szCs w:val="22"/>
          <w:lang w:val="en-GB"/>
        </w:rPr>
      </w:pPr>
    </w:p>
    <w:p w14:paraId="470D6E8C" w14:textId="70C376F9" w:rsidR="002D5A5F" w:rsidRPr="002D5A5F" w:rsidRDefault="002D5A5F" w:rsidP="007E21A6">
      <w:pPr>
        <w:keepNext/>
        <w:keepLines/>
        <w:tabs>
          <w:tab w:val="left" w:pos="567"/>
        </w:tabs>
        <w:jc w:val="both"/>
        <w:rPr>
          <w:b/>
          <w:bCs/>
          <w:sz w:val="22"/>
          <w:szCs w:val="22"/>
          <w:lang w:val="en-GB"/>
        </w:rPr>
      </w:pPr>
      <w:r w:rsidRPr="002D5A5F">
        <w:rPr>
          <w:b/>
          <w:bCs/>
          <w:sz w:val="22"/>
          <w:szCs w:val="22"/>
          <w:lang w:val="en-GB"/>
        </w:rPr>
        <w:t>Tabela 4: Odgovor rahitisa kod d</w:t>
      </w:r>
      <w:r w:rsidR="00936A76">
        <w:rPr>
          <w:b/>
          <w:bCs/>
          <w:sz w:val="22"/>
          <w:szCs w:val="22"/>
          <w:lang w:val="en-GB"/>
        </w:rPr>
        <w:t>j</w:t>
      </w:r>
      <w:r w:rsidRPr="002D5A5F">
        <w:rPr>
          <w:b/>
          <w:bCs/>
          <w:sz w:val="22"/>
          <w:szCs w:val="22"/>
          <w:lang w:val="en-GB"/>
        </w:rPr>
        <w:t xml:space="preserve">ece uzrasta </w:t>
      </w:r>
      <w:proofErr w:type="gramStart"/>
      <w:r w:rsidRPr="002D5A5F">
        <w:rPr>
          <w:b/>
          <w:bCs/>
          <w:sz w:val="22"/>
          <w:szCs w:val="22"/>
          <w:lang w:val="en-GB"/>
        </w:rPr>
        <w:t>od</w:t>
      </w:r>
      <w:proofErr w:type="gramEnd"/>
      <w:r w:rsidRPr="002D5A5F">
        <w:rPr>
          <w:b/>
          <w:bCs/>
          <w:sz w:val="22"/>
          <w:szCs w:val="22"/>
          <w:lang w:val="en-GB"/>
        </w:rPr>
        <w:t xml:space="preserve"> 5 do 12 godina koja su primala buro</w:t>
      </w:r>
      <w:r w:rsidR="0014226E">
        <w:rPr>
          <w:b/>
          <w:bCs/>
          <w:sz w:val="22"/>
          <w:szCs w:val="22"/>
          <w:lang w:val="en-GB"/>
        </w:rPr>
        <w:t>s</w:t>
      </w:r>
      <w:r w:rsidRPr="002D5A5F">
        <w:rPr>
          <w:b/>
          <w:bCs/>
          <w:sz w:val="22"/>
          <w:szCs w:val="22"/>
          <w:lang w:val="en-GB"/>
        </w:rPr>
        <w:t>umab u Studiji UX023-CL201</w:t>
      </w:r>
    </w:p>
    <w:p w14:paraId="6956D1D0" w14:textId="77777777" w:rsidR="002D5A5F" w:rsidRPr="002D5A5F" w:rsidRDefault="002D5A5F" w:rsidP="007E21A6">
      <w:pPr>
        <w:keepNext/>
        <w:tabs>
          <w:tab w:val="left" w:pos="567"/>
        </w:tabs>
        <w:spacing w:line="260" w:lineRule="exact"/>
        <w:jc w:val="both"/>
        <w:rPr>
          <w:sz w:val="22"/>
          <w:szCs w:val="20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198"/>
        <w:gridCol w:w="2467"/>
        <w:gridCol w:w="2906"/>
      </w:tblGrid>
      <w:tr w:rsidR="002D5A5F" w:rsidRPr="002D5A5F" w14:paraId="19B0927A" w14:textId="77777777" w:rsidTr="00B111F9">
        <w:tc>
          <w:tcPr>
            <w:tcW w:w="1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BC1A6A" w14:textId="77777777" w:rsidR="002D5A5F" w:rsidRPr="002D5A5F" w:rsidRDefault="002D5A5F" w:rsidP="007E21A6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2D5A5F">
              <w:rPr>
                <w:b/>
                <w:bCs/>
                <w:sz w:val="22"/>
                <w:szCs w:val="22"/>
              </w:rPr>
              <w:t>Krajnja tačka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E2608" w14:textId="54B228D9" w:rsidR="002D5A5F" w:rsidRPr="002D5A5F" w:rsidRDefault="002D5A5F" w:rsidP="007E21A6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2D5A5F">
              <w:rPr>
                <w:b/>
                <w:bCs/>
                <w:sz w:val="22"/>
                <w:szCs w:val="22"/>
              </w:rPr>
              <w:t>Trajanje buro</w:t>
            </w:r>
            <w:r w:rsidR="0014226E">
              <w:rPr>
                <w:b/>
                <w:bCs/>
                <w:sz w:val="22"/>
                <w:szCs w:val="22"/>
              </w:rPr>
              <w:t>s</w:t>
            </w:r>
            <w:r w:rsidRPr="002D5A5F">
              <w:rPr>
                <w:b/>
                <w:bCs/>
                <w:sz w:val="22"/>
                <w:szCs w:val="22"/>
              </w:rPr>
              <w:t>umaba</w:t>
            </w:r>
          </w:p>
          <w:p w14:paraId="6215CC5B" w14:textId="51D5FC06" w:rsidR="002D5A5F" w:rsidRPr="002D5A5F" w:rsidRDefault="002D5A5F" w:rsidP="007E21A6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2D5A5F">
              <w:rPr>
                <w:b/>
                <w:bCs/>
                <w:sz w:val="22"/>
                <w:szCs w:val="22"/>
              </w:rPr>
              <w:t>(ned</w:t>
            </w:r>
            <w:r w:rsidR="0014226E">
              <w:rPr>
                <w:b/>
                <w:bCs/>
                <w:sz w:val="22"/>
                <w:szCs w:val="22"/>
              </w:rPr>
              <w:t>j</w:t>
            </w:r>
            <w:r w:rsidRPr="002D5A5F">
              <w:rPr>
                <w:b/>
                <w:bCs/>
                <w:sz w:val="22"/>
                <w:szCs w:val="22"/>
              </w:rPr>
              <w:t>elja)</w:t>
            </w:r>
          </w:p>
        </w:tc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DBBE3" w14:textId="77777777" w:rsidR="002D5A5F" w:rsidRPr="002D5A5F" w:rsidRDefault="002D5A5F" w:rsidP="007E21A6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</w:p>
          <w:p w14:paraId="362DE4D5" w14:textId="77777777" w:rsidR="002D5A5F" w:rsidRPr="002D5A5F" w:rsidRDefault="002D5A5F" w:rsidP="007E21A6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2D5A5F">
              <w:rPr>
                <w:b/>
                <w:bCs/>
                <w:sz w:val="22"/>
                <w:szCs w:val="22"/>
              </w:rPr>
              <w:t xml:space="preserve">Veličina dejstva </w:t>
            </w:r>
          </w:p>
        </w:tc>
      </w:tr>
      <w:tr w:rsidR="002D5A5F" w:rsidRPr="002D5A5F" w14:paraId="3E7B6845" w14:textId="77777777" w:rsidTr="00B111F9">
        <w:tc>
          <w:tcPr>
            <w:tcW w:w="13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16A8" w14:textId="77777777" w:rsidR="002D5A5F" w:rsidRPr="002D5A5F" w:rsidRDefault="002D5A5F" w:rsidP="007E21A6">
            <w:pPr>
              <w:keepNext/>
              <w:tabs>
                <w:tab w:val="left" w:pos="567"/>
              </w:tabs>
              <w:spacing w:line="260" w:lineRule="exact"/>
              <w:jc w:val="both"/>
              <w:rPr>
                <w:b/>
                <w:bCs/>
                <w:sz w:val="22"/>
                <w:szCs w:val="20"/>
                <w:lang w:val="en-GB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F7B0" w14:textId="77777777" w:rsidR="002D5A5F" w:rsidRPr="002D5A5F" w:rsidRDefault="002D5A5F" w:rsidP="007E21A6">
            <w:pPr>
              <w:keepNext/>
              <w:jc w:val="both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EA7C773" w14:textId="1932614D" w:rsidR="002D5A5F" w:rsidRPr="002D5A5F" w:rsidRDefault="002D5A5F" w:rsidP="007E21A6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2D5A5F">
              <w:rPr>
                <w:b/>
                <w:bCs/>
                <w:sz w:val="22"/>
                <w:szCs w:val="22"/>
              </w:rPr>
              <w:t>Na 2 ned</w:t>
            </w:r>
            <w:r w:rsidR="0014226E">
              <w:rPr>
                <w:b/>
                <w:bCs/>
                <w:sz w:val="22"/>
                <w:szCs w:val="22"/>
              </w:rPr>
              <w:t>j</w:t>
            </w:r>
            <w:r w:rsidRPr="002D5A5F">
              <w:rPr>
                <w:b/>
                <w:bCs/>
                <w:sz w:val="22"/>
                <w:szCs w:val="22"/>
              </w:rPr>
              <w:t>elje (N = 26)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3635" w14:textId="3CCB88C3" w:rsidR="002D5A5F" w:rsidRPr="002D5A5F" w:rsidRDefault="002D5A5F" w:rsidP="007E21A6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2D5A5F">
              <w:rPr>
                <w:b/>
                <w:bCs/>
                <w:sz w:val="22"/>
                <w:szCs w:val="22"/>
              </w:rPr>
              <w:t>Na 4 ned</w:t>
            </w:r>
            <w:r w:rsidR="0014226E">
              <w:rPr>
                <w:b/>
                <w:bCs/>
                <w:sz w:val="22"/>
                <w:szCs w:val="22"/>
              </w:rPr>
              <w:t>j</w:t>
            </w:r>
            <w:r w:rsidRPr="002D5A5F">
              <w:rPr>
                <w:b/>
                <w:bCs/>
                <w:sz w:val="22"/>
                <w:szCs w:val="22"/>
              </w:rPr>
              <w:t>elje (N = 26)</w:t>
            </w:r>
          </w:p>
        </w:tc>
      </w:tr>
      <w:tr w:rsidR="002D5A5F" w:rsidRPr="002D5A5F" w14:paraId="39D4A618" w14:textId="77777777" w:rsidTr="00B111F9">
        <w:trPr>
          <w:trHeight w:val="286"/>
        </w:trPr>
        <w:tc>
          <w:tcPr>
            <w:tcW w:w="1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F5BF0D1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b/>
                <w:bCs/>
                <w:sz w:val="22"/>
                <w:szCs w:val="22"/>
              </w:rPr>
              <w:t>RSS ukupan skor</w:t>
            </w:r>
            <w:r w:rsidRPr="002D5A5F">
              <w:rPr>
                <w:sz w:val="22"/>
                <w:szCs w:val="22"/>
              </w:rPr>
              <w:t xml:space="preserve"> </w:t>
            </w:r>
          </w:p>
          <w:p w14:paraId="25323BEC" w14:textId="2C549949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Srednja početna vr</w:t>
            </w:r>
            <w:r w:rsidR="0014226E">
              <w:rPr>
                <w:sz w:val="22"/>
                <w:szCs w:val="22"/>
              </w:rPr>
              <w:t>ij</w:t>
            </w:r>
            <w:r w:rsidRPr="002D5A5F">
              <w:rPr>
                <w:sz w:val="22"/>
                <w:szCs w:val="22"/>
              </w:rPr>
              <w:t>ednost (SD)</w:t>
            </w:r>
          </w:p>
          <w:p w14:paraId="133196D7" w14:textId="469CBA2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LS srednja vr</w:t>
            </w:r>
            <w:r w:rsidR="0014226E">
              <w:rPr>
                <w:sz w:val="22"/>
                <w:szCs w:val="22"/>
              </w:rPr>
              <w:t>ij</w:t>
            </w:r>
            <w:r w:rsidRPr="002D5A5F">
              <w:rPr>
                <w:sz w:val="22"/>
                <w:szCs w:val="22"/>
              </w:rPr>
              <w:t>ednost prom</w:t>
            </w:r>
            <w:r w:rsidR="0014226E">
              <w:rPr>
                <w:sz w:val="22"/>
                <w:szCs w:val="22"/>
              </w:rPr>
              <w:t>j</w:t>
            </w:r>
            <w:r w:rsidRPr="002D5A5F">
              <w:rPr>
                <w:sz w:val="22"/>
                <w:szCs w:val="22"/>
              </w:rPr>
              <w:t>ene (SE) od početne vr</w:t>
            </w:r>
            <w:r w:rsidR="0014226E">
              <w:rPr>
                <w:sz w:val="22"/>
                <w:szCs w:val="22"/>
              </w:rPr>
              <w:t>ij</w:t>
            </w:r>
            <w:r w:rsidRPr="002D5A5F">
              <w:rPr>
                <w:sz w:val="22"/>
                <w:szCs w:val="22"/>
              </w:rPr>
              <w:t>ednosti u ukupnom skoru</w:t>
            </w:r>
            <w:r w:rsidRPr="002D5A5F">
              <w:rPr>
                <w:sz w:val="22"/>
                <w:szCs w:val="22"/>
                <w:vertAlign w:val="superscript"/>
              </w:rPr>
              <w:t>a</w:t>
            </w:r>
            <w:r w:rsidRPr="002D5A5F">
              <w:rPr>
                <w:sz w:val="22"/>
                <w:szCs w:val="22"/>
              </w:rPr>
              <w:t xml:space="preserve"> (smanjeni RSS skor ukazuje na poboljšanje težine rahitisa)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4823B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0B50041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0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789F6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0"/>
              </w:rPr>
            </w:pPr>
          </w:p>
        </w:tc>
      </w:tr>
      <w:tr w:rsidR="002D5A5F" w:rsidRPr="002D5A5F" w14:paraId="66290659" w14:textId="77777777" w:rsidTr="00B111F9">
        <w:trPr>
          <w:trHeight w:val="252"/>
        </w:trPr>
        <w:tc>
          <w:tcPr>
            <w:tcW w:w="13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2DF4A6C9" w14:textId="77777777" w:rsidR="002D5A5F" w:rsidRPr="002D5A5F" w:rsidRDefault="002D5A5F" w:rsidP="007E21A6">
            <w:pPr>
              <w:keepNext/>
              <w:jc w:val="both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2C1D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</w:p>
          <w:p w14:paraId="643C05C3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40</w:t>
            </w:r>
          </w:p>
        </w:tc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6DB5F0A4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1,92 (1,2)</w:t>
            </w:r>
          </w:p>
          <w:p w14:paraId="77DDA582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-1,06 (0,100) (p&lt;0,0001)</w:t>
            </w: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55A7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1,67 (1,0)</w:t>
            </w:r>
          </w:p>
          <w:p w14:paraId="1F99B106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-0,73 (0,100) (p&lt;0,0001)</w:t>
            </w:r>
          </w:p>
        </w:tc>
      </w:tr>
      <w:tr w:rsidR="002D5A5F" w:rsidRPr="002D5A5F" w14:paraId="75CB8FFC" w14:textId="77777777" w:rsidTr="00B111F9">
        <w:trPr>
          <w:trHeight w:val="324"/>
        </w:trPr>
        <w:tc>
          <w:tcPr>
            <w:tcW w:w="1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4EE575FF" w14:textId="77777777" w:rsidR="002D5A5F" w:rsidRPr="002D5A5F" w:rsidRDefault="002D5A5F" w:rsidP="007E21A6">
            <w:pPr>
              <w:keepNext/>
              <w:jc w:val="both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688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</w:p>
          <w:p w14:paraId="38BD82A7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64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594A12F0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-1,00 (0,1) (p&lt;0,0001)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6BF7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-0,84 (0,1) (p&lt;0,0001)</w:t>
            </w:r>
          </w:p>
        </w:tc>
      </w:tr>
      <w:tr w:rsidR="002D5A5F" w:rsidRPr="002D5A5F" w14:paraId="5810C02C" w14:textId="77777777" w:rsidTr="00B111F9">
        <w:trPr>
          <w:trHeight w:val="1289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1D5FABAA" w14:textId="77777777" w:rsidR="002D5A5F" w:rsidRPr="002D5A5F" w:rsidRDefault="002D5A5F" w:rsidP="007E21A6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2D5A5F">
              <w:rPr>
                <w:b/>
                <w:bCs/>
                <w:sz w:val="22"/>
                <w:szCs w:val="22"/>
              </w:rPr>
              <w:t>RGI-C globalni skor</w:t>
            </w:r>
          </w:p>
          <w:p w14:paraId="7A4948A2" w14:textId="19EB152E" w:rsidR="002D5A5F" w:rsidRPr="002D5A5F" w:rsidRDefault="002D5A5F" w:rsidP="007E21A6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LS srednja vr</w:t>
            </w:r>
            <w:r w:rsidR="0014226E">
              <w:rPr>
                <w:sz w:val="22"/>
                <w:szCs w:val="22"/>
              </w:rPr>
              <w:t>ij</w:t>
            </w:r>
            <w:r w:rsidRPr="002D5A5F">
              <w:rPr>
                <w:sz w:val="22"/>
                <w:szCs w:val="22"/>
              </w:rPr>
              <w:t>ednost skora (SE)</w:t>
            </w:r>
            <w:r w:rsidRPr="002D5A5F">
              <w:rPr>
                <w:sz w:val="22"/>
                <w:szCs w:val="22"/>
                <w:vertAlign w:val="superscript"/>
              </w:rPr>
              <w:t>a</w:t>
            </w:r>
            <w:r w:rsidRPr="002D5A5F">
              <w:rPr>
                <w:sz w:val="22"/>
                <w:szCs w:val="22"/>
              </w:rPr>
              <w:t xml:space="preserve"> (pozitivna ukazuje na stepen izl</w:t>
            </w:r>
            <w:r w:rsidR="0014226E">
              <w:rPr>
                <w:sz w:val="22"/>
                <w:szCs w:val="22"/>
              </w:rPr>
              <w:t>j</w:t>
            </w:r>
            <w:r w:rsidRPr="002D5A5F">
              <w:rPr>
                <w:sz w:val="22"/>
                <w:szCs w:val="22"/>
              </w:rPr>
              <w:t>ečenja)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1AD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0"/>
              </w:rPr>
            </w:pPr>
          </w:p>
          <w:p w14:paraId="5639D961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40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04554EC9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</w:p>
          <w:p w14:paraId="57BC21C0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+1,66 (0,1) (p&lt;0,0001)</w:t>
            </w:r>
          </w:p>
          <w:p w14:paraId="6767AD72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E16F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</w:p>
          <w:p w14:paraId="38560BD5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+1,47 (0,1) (p&lt;0,0001)</w:t>
            </w:r>
          </w:p>
        </w:tc>
      </w:tr>
      <w:tr w:rsidR="002D5A5F" w:rsidRPr="002D5A5F" w14:paraId="05789FE8" w14:textId="77777777" w:rsidTr="00B111F9">
        <w:trPr>
          <w:trHeight w:val="1289"/>
        </w:trPr>
        <w:tc>
          <w:tcPr>
            <w:tcW w:w="1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15A93101" w14:textId="77777777" w:rsidR="002D5A5F" w:rsidRPr="002D5A5F" w:rsidRDefault="002D5A5F" w:rsidP="007E21A6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9EC0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0"/>
              </w:rPr>
            </w:pPr>
            <w:r w:rsidRPr="002D5A5F">
              <w:rPr>
                <w:sz w:val="22"/>
                <w:szCs w:val="22"/>
              </w:rPr>
              <w:t>64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4FDBE5BE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+1,56 (0,1) (p&lt;0,0001)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A7E" w14:textId="77777777" w:rsidR="002D5A5F" w:rsidRPr="002D5A5F" w:rsidRDefault="002D5A5F" w:rsidP="007E21A6">
            <w:pPr>
              <w:keepNext/>
              <w:jc w:val="both"/>
              <w:rPr>
                <w:sz w:val="22"/>
                <w:szCs w:val="22"/>
              </w:rPr>
            </w:pPr>
            <w:r w:rsidRPr="002D5A5F">
              <w:rPr>
                <w:sz w:val="22"/>
                <w:szCs w:val="22"/>
              </w:rPr>
              <w:t>+1,58 (0,1) (p&lt;0,0001)</w:t>
            </w:r>
          </w:p>
        </w:tc>
      </w:tr>
    </w:tbl>
    <w:p w14:paraId="7F9B295F" w14:textId="7D128134" w:rsidR="002D5A5F" w:rsidRPr="002D5A5F" w:rsidRDefault="002D5A5F" w:rsidP="007E21A6">
      <w:pPr>
        <w:keepNext/>
        <w:numPr>
          <w:ilvl w:val="0"/>
          <w:numId w:val="13"/>
        </w:numPr>
        <w:tabs>
          <w:tab w:val="left" w:pos="567"/>
        </w:tabs>
        <w:spacing w:line="260" w:lineRule="exact"/>
        <w:ind w:left="270" w:right="-2" w:hanging="270"/>
        <w:contextualSpacing/>
        <w:jc w:val="both"/>
        <w:rPr>
          <w:sz w:val="20"/>
          <w:szCs w:val="20"/>
          <w:lang w:val="en-GB"/>
        </w:rPr>
      </w:pPr>
      <w:r w:rsidRPr="002D5A5F">
        <w:rPr>
          <w:sz w:val="20"/>
          <w:szCs w:val="20"/>
          <w:lang w:val="en-GB"/>
        </w:rPr>
        <w:t>Proc</w:t>
      </w:r>
      <w:r w:rsidR="00A30E59">
        <w:rPr>
          <w:sz w:val="20"/>
          <w:szCs w:val="20"/>
          <w:lang w:val="en-GB"/>
        </w:rPr>
        <w:t>j</w:t>
      </w:r>
      <w:r w:rsidRPr="002D5A5F">
        <w:rPr>
          <w:sz w:val="20"/>
          <w:szCs w:val="20"/>
          <w:lang w:val="en-GB"/>
        </w:rPr>
        <w:t>ene srednjih vr</w:t>
      </w:r>
      <w:r w:rsidR="0014226E">
        <w:rPr>
          <w:sz w:val="20"/>
          <w:szCs w:val="20"/>
          <w:lang w:val="en-GB"/>
        </w:rPr>
        <w:t>ij</w:t>
      </w:r>
      <w:r w:rsidRPr="002D5A5F">
        <w:rPr>
          <w:sz w:val="20"/>
          <w:szCs w:val="20"/>
          <w:lang w:val="en-GB"/>
        </w:rPr>
        <w:t>ednosti LS i p-vr</w:t>
      </w:r>
      <w:r w:rsidR="0014226E">
        <w:rPr>
          <w:sz w:val="20"/>
          <w:szCs w:val="20"/>
          <w:lang w:val="en-GB"/>
        </w:rPr>
        <w:t>ij</w:t>
      </w:r>
      <w:r w:rsidRPr="002D5A5F">
        <w:rPr>
          <w:sz w:val="20"/>
          <w:szCs w:val="20"/>
          <w:lang w:val="en-GB"/>
        </w:rPr>
        <w:t>ednosti uzete su iz modela generalizovane jednačine za proc</w:t>
      </w:r>
      <w:r w:rsidR="0014226E">
        <w:rPr>
          <w:sz w:val="20"/>
          <w:szCs w:val="20"/>
          <w:lang w:val="en-GB"/>
        </w:rPr>
        <w:t>j</w:t>
      </w:r>
      <w:r w:rsidRPr="002D5A5F">
        <w:rPr>
          <w:sz w:val="20"/>
          <w:szCs w:val="20"/>
          <w:lang w:val="en-GB"/>
        </w:rPr>
        <w:t>enu koja uključuje početni RSS, posete i režim i njegovu interakciju.</w:t>
      </w:r>
    </w:p>
    <w:p w14:paraId="7E8F1426" w14:textId="77777777" w:rsidR="002D5A5F" w:rsidRPr="002D5A5F" w:rsidRDefault="002D5A5F" w:rsidP="007E21A6">
      <w:pPr>
        <w:tabs>
          <w:tab w:val="left" w:pos="567"/>
        </w:tabs>
        <w:ind w:right="-2"/>
        <w:jc w:val="both"/>
        <w:rPr>
          <w:sz w:val="22"/>
          <w:szCs w:val="20"/>
          <w:u w:val="single"/>
          <w:lang w:val="en-GB"/>
        </w:rPr>
      </w:pPr>
    </w:p>
    <w:p w14:paraId="5204F2B6" w14:textId="77777777" w:rsidR="002D5A5F" w:rsidRPr="002D5A5F" w:rsidRDefault="002D5A5F" w:rsidP="007E21A6">
      <w:pPr>
        <w:tabs>
          <w:tab w:val="left" w:pos="567"/>
        </w:tabs>
        <w:ind w:right="-2"/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u w:val="single"/>
          <w:lang w:val="en-GB"/>
        </w:rPr>
        <w:t>Studija UX023-CL205</w:t>
      </w:r>
    </w:p>
    <w:p w14:paraId="22E0022A" w14:textId="398A5171" w:rsidR="002D5A5F" w:rsidRPr="002D5A5F" w:rsidRDefault="002D5A5F" w:rsidP="007E21A6">
      <w:pPr>
        <w:tabs>
          <w:tab w:val="left" w:pos="567"/>
        </w:tabs>
        <w:ind w:right="-2"/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U pedijatrijskoj studiji UX023-CL205, burosumab je proc</w:t>
      </w:r>
      <w:r w:rsidR="0014226E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enjivan kod 13 pacijenata sa XLH u uzrastu od 1 do 4 godine (srednja vr</w:t>
      </w:r>
      <w:r w:rsidR="0014226E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2</w:t>
      </w:r>
      <w:proofErr w:type="gramStart"/>
      <w:r w:rsidRPr="002D5A5F">
        <w:rPr>
          <w:sz w:val="22"/>
          <w:szCs w:val="20"/>
          <w:lang w:val="en-GB"/>
        </w:rPr>
        <w:t>,9</w:t>
      </w:r>
      <w:proofErr w:type="gramEnd"/>
      <w:r w:rsidRPr="002D5A5F">
        <w:rPr>
          <w:sz w:val="22"/>
          <w:szCs w:val="20"/>
          <w:lang w:val="en-GB"/>
        </w:rPr>
        <w:t xml:space="preserve"> godina; SD 1,1) tokom perioda terapije od 64 ned</w:t>
      </w:r>
      <w:r w:rsidR="0014226E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elje. Dvanaest pacijenata nastavilo je da prima buro</w:t>
      </w:r>
      <w:r w:rsidR="0014226E">
        <w:rPr>
          <w:sz w:val="22"/>
          <w:szCs w:val="20"/>
          <w:lang w:val="en-GB"/>
        </w:rPr>
        <w:t>s</w:t>
      </w:r>
      <w:r w:rsidRPr="002D5A5F">
        <w:rPr>
          <w:sz w:val="22"/>
          <w:szCs w:val="20"/>
          <w:lang w:val="en-GB"/>
        </w:rPr>
        <w:t>umab dodatnih 96 ned</w:t>
      </w:r>
      <w:r w:rsidR="0014226E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elja tokom perioda produžetka, u maksimalnom trajanju </w:t>
      </w:r>
      <w:proofErr w:type="gramStart"/>
      <w:r w:rsidRPr="002D5A5F">
        <w:rPr>
          <w:sz w:val="22"/>
          <w:szCs w:val="20"/>
          <w:lang w:val="en-GB"/>
        </w:rPr>
        <w:t>od</w:t>
      </w:r>
      <w:proofErr w:type="gramEnd"/>
      <w:r w:rsidRPr="002D5A5F">
        <w:rPr>
          <w:sz w:val="22"/>
          <w:szCs w:val="20"/>
          <w:lang w:val="en-GB"/>
        </w:rPr>
        <w:t xml:space="preserve"> 160 ned</w:t>
      </w:r>
      <w:r w:rsidR="0014226E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elja. Svi pacijenti imali su na početku radiološki dokazan rahitis, a 12 pacijenata je ranije primalo peroralni fosfat i analoge vitamina D u trajanju srednje vr</w:t>
      </w:r>
      <w:r w:rsidR="0014226E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ednosti (SD) 16</w:t>
      </w:r>
      <w:proofErr w:type="gramStart"/>
      <w:r w:rsidRPr="002D5A5F">
        <w:rPr>
          <w:sz w:val="22"/>
          <w:szCs w:val="20"/>
          <w:lang w:val="en-GB"/>
        </w:rPr>
        <w:t>,7</w:t>
      </w:r>
      <w:proofErr w:type="gramEnd"/>
      <w:r w:rsidRPr="002D5A5F">
        <w:rPr>
          <w:sz w:val="22"/>
          <w:szCs w:val="20"/>
          <w:lang w:val="en-GB"/>
        </w:rPr>
        <w:t xml:space="preserve"> (14,4) m</w:t>
      </w:r>
      <w:r w:rsidR="0014226E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eseci. Ta konvencionalna terapija prekinuta je 2‒6 ned</w:t>
      </w:r>
      <w:r w:rsidR="0014226E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elja pre uvođenja buro</w:t>
      </w:r>
      <w:r w:rsidR="0014226E">
        <w:rPr>
          <w:sz w:val="22"/>
          <w:szCs w:val="20"/>
          <w:lang w:val="en-GB"/>
        </w:rPr>
        <w:t>s</w:t>
      </w:r>
      <w:r w:rsidRPr="002D5A5F">
        <w:rPr>
          <w:sz w:val="22"/>
          <w:szCs w:val="20"/>
          <w:lang w:val="en-GB"/>
        </w:rPr>
        <w:t>umaba. Pacijenti su primali buro</w:t>
      </w:r>
      <w:r w:rsidR="0014226E">
        <w:rPr>
          <w:sz w:val="22"/>
          <w:szCs w:val="20"/>
          <w:lang w:val="en-GB"/>
        </w:rPr>
        <w:t>s</w:t>
      </w:r>
      <w:r w:rsidRPr="002D5A5F">
        <w:rPr>
          <w:sz w:val="22"/>
          <w:szCs w:val="20"/>
          <w:lang w:val="en-GB"/>
        </w:rPr>
        <w:t>umab u dozi od 0</w:t>
      </w:r>
      <w:proofErr w:type="gramStart"/>
      <w:r w:rsidRPr="002D5A5F">
        <w:rPr>
          <w:sz w:val="22"/>
          <w:szCs w:val="20"/>
          <w:lang w:val="en-GB"/>
        </w:rPr>
        <w:t>,8</w:t>
      </w:r>
      <w:proofErr w:type="gramEnd"/>
      <w:r w:rsidRPr="002D5A5F">
        <w:rPr>
          <w:sz w:val="22"/>
          <w:szCs w:val="20"/>
          <w:lang w:val="en-GB"/>
        </w:rPr>
        <w:t xml:space="preserve"> mg/kg svake dv</w:t>
      </w:r>
      <w:r w:rsidR="0014226E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 ned</w:t>
      </w:r>
      <w:r w:rsidR="0014226E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elje. </w:t>
      </w:r>
    </w:p>
    <w:p w14:paraId="06BFDB21" w14:textId="77777777" w:rsidR="002D5A5F" w:rsidRPr="002D5A5F" w:rsidRDefault="002D5A5F" w:rsidP="007E21A6">
      <w:pPr>
        <w:tabs>
          <w:tab w:val="left" w:pos="567"/>
        </w:tabs>
        <w:ind w:right="-2"/>
        <w:jc w:val="both"/>
        <w:rPr>
          <w:sz w:val="22"/>
          <w:szCs w:val="22"/>
          <w:lang w:val="en-GB"/>
        </w:rPr>
      </w:pPr>
    </w:p>
    <w:p w14:paraId="09463A9D" w14:textId="613B88ED" w:rsidR="002D5A5F" w:rsidRPr="002D5A5F" w:rsidRDefault="002D5A5F" w:rsidP="007E21A6">
      <w:pPr>
        <w:shd w:val="clear" w:color="auto" w:fill="FFFFFF"/>
        <w:tabs>
          <w:tab w:val="left" w:pos="567"/>
        </w:tabs>
        <w:jc w:val="both"/>
        <w:rPr>
          <w:rFonts w:eastAsia="TimesNewRoman"/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Srednja vr</w:t>
      </w:r>
      <w:r w:rsidR="0014226E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(SD) koncentracije fosfata u serumu natašte povećala se sa 2</w:t>
      </w:r>
      <w:proofErr w:type="gramStart"/>
      <w:r w:rsidRPr="002D5A5F">
        <w:rPr>
          <w:sz w:val="22"/>
          <w:szCs w:val="20"/>
          <w:lang w:val="en-GB"/>
        </w:rPr>
        <w:t>,51</w:t>
      </w:r>
      <w:proofErr w:type="gramEnd"/>
      <w:r w:rsidRPr="002D5A5F">
        <w:rPr>
          <w:sz w:val="22"/>
          <w:szCs w:val="20"/>
          <w:lang w:val="en-GB"/>
        </w:rPr>
        <w:t xml:space="preserve"> (0,284) mg/dl [0,81 (0,092) mmol/l] na početku na 3,47 (0,485) mg/dl [1,12 (0,158) mmol/l] u 40. </w:t>
      </w:r>
      <w:proofErr w:type="gramStart"/>
      <w:r w:rsidRPr="002D5A5F">
        <w:rPr>
          <w:sz w:val="22"/>
          <w:szCs w:val="20"/>
          <w:lang w:val="en-GB"/>
        </w:rPr>
        <w:t>ned</w:t>
      </w:r>
      <w:r w:rsidR="0014226E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elji</w:t>
      </w:r>
      <w:proofErr w:type="gramEnd"/>
      <w:r w:rsidRPr="002D5A5F">
        <w:rPr>
          <w:sz w:val="22"/>
          <w:szCs w:val="20"/>
          <w:lang w:val="en-GB"/>
        </w:rPr>
        <w:t xml:space="preserve"> i održala se do 160. </w:t>
      </w:r>
      <w:proofErr w:type="gramStart"/>
      <w:r w:rsidRPr="002D5A5F">
        <w:rPr>
          <w:sz w:val="22"/>
          <w:szCs w:val="20"/>
          <w:lang w:val="en-GB"/>
        </w:rPr>
        <w:t>ned</w:t>
      </w:r>
      <w:r w:rsidR="0014226E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</w:t>
      </w:r>
      <w:proofErr w:type="gramEnd"/>
      <w:r w:rsidRPr="002D5A5F">
        <w:rPr>
          <w:sz w:val="22"/>
          <w:szCs w:val="20"/>
          <w:lang w:val="en-GB"/>
        </w:rPr>
        <w:t xml:space="preserve">. </w:t>
      </w:r>
    </w:p>
    <w:p w14:paraId="6643404C" w14:textId="77777777" w:rsidR="002D5A5F" w:rsidRPr="002D5A5F" w:rsidRDefault="002D5A5F" w:rsidP="007E21A6">
      <w:pPr>
        <w:shd w:val="clear" w:color="auto" w:fill="FFFFFF"/>
        <w:tabs>
          <w:tab w:val="left" w:pos="567"/>
        </w:tabs>
        <w:jc w:val="both"/>
        <w:rPr>
          <w:rFonts w:eastAsia="TimesNewRoman"/>
          <w:sz w:val="22"/>
          <w:szCs w:val="20"/>
          <w:lang w:val="en-GB"/>
        </w:rPr>
      </w:pPr>
    </w:p>
    <w:p w14:paraId="3D068458" w14:textId="77777777" w:rsidR="002D5A5F" w:rsidRPr="002D5A5F" w:rsidRDefault="002D5A5F" w:rsidP="007E21A6">
      <w:pPr>
        <w:keepNext/>
        <w:tabs>
          <w:tab w:val="left" w:pos="567"/>
        </w:tabs>
        <w:ind w:right="-2"/>
        <w:jc w:val="both"/>
        <w:rPr>
          <w:rFonts w:eastAsia="TimesNewRoman"/>
          <w:sz w:val="22"/>
          <w:szCs w:val="20"/>
          <w:lang w:val="en-GB"/>
        </w:rPr>
      </w:pPr>
      <w:r w:rsidRPr="002D5A5F">
        <w:rPr>
          <w:rFonts w:eastAsia="TimesNewRoman"/>
          <w:i/>
          <w:iCs/>
          <w:sz w:val="22"/>
          <w:szCs w:val="20"/>
          <w:lang w:val="en-GB"/>
        </w:rPr>
        <w:lastRenderedPageBreak/>
        <w:t>Aktivnost alkalne fosfataze u serumu</w:t>
      </w:r>
    </w:p>
    <w:p w14:paraId="3E0FEA8D" w14:textId="0C30BCA9" w:rsidR="002D5A5F" w:rsidRPr="002D5A5F" w:rsidRDefault="002D5A5F" w:rsidP="007E21A6">
      <w:pPr>
        <w:shd w:val="clear" w:color="auto" w:fill="FFFFFF"/>
        <w:tabs>
          <w:tab w:val="left" w:pos="567"/>
        </w:tabs>
        <w:jc w:val="both"/>
        <w:rPr>
          <w:rFonts w:eastAsia="TimesNewRoman"/>
          <w:sz w:val="22"/>
          <w:szCs w:val="20"/>
          <w:lang w:val="en-GB"/>
        </w:rPr>
      </w:pPr>
      <w:r w:rsidRPr="002D5A5F">
        <w:rPr>
          <w:rFonts w:eastAsia="TimesNewRoman"/>
          <w:sz w:val="22"/>
          <w:szCs w:val="20"/>
          <w:lang w:val="en-GB"/>
        </w:rPr>
        <w:t>Srednja vr</w:t>
      </w:r>
      <w:r w:rsidR="0014226E">
        <w:rPr>
          <w:rFonts w:eastAsia="TimesNewRoman"/>
          <w:sz w:val="22"/>
          <w:szCs w:val="20"/>
          <w:lang w:val="en-GB"/>
        </w:rPr>
        <w:t>ij</w:t>
      </w:r>
      <w:r w:rsidRPr="002D5A5F">
        <w:rPr>
          <w:rFonts w:eastAsia="TimesNewRoman"/>
          <w:sz w:val="22"/>
          <w:szCs w:val="20"/>
          <w:lang w:val="en-GB"/>
        </w:rPr>
        <w:t>ednost (SD) aktivnosti ukupne alkalne fosfataze u serumu iznosila je na početku 549 (193</w:t>
      </w:r>
      <w:proofErr w:type="gramStart"/>
      <w:r w:rsidRPr="002D5A5F">
        <w:rPr>
          <w:rFonts w:eastAsia="TimesNewRoman"/>
          <w:sz w:val="22"/>
          <w:szCs w:val="20"/>
          <w:lang w:val="en-GB"/>
        </w:rPr>
        <w:t>,8</w:t>
      </w:r>
      <w:proofErr w:type="gramEnd"/>
      <w:r w:rsidRPr="002D5A5F">
        <w:rPr>
          <w:rFonts w:eastAsia="TimesNewRoman"/>
          <w:sz w:val="22"/>
          <w:szCs w:val="20"/>
          <w:lang w:val="en-GB"/>
        </w:rPr>
        <w:t xml:space="preserve">) U/L i smanjila se na 335 (87,6) U/L u 40. </w:t>
      </w:r>
      <w:proofErr w:type="gramStart"/>
      <w:r w:rsidRPr="002D5A5F">
        <w:rPr>
          <w:rFonts w:eastAsia="TimesNewRoman"/>
          <w:sz w:val="22"/>
          <w:szCs w:val="20"/>
          <w:lang w:val="en-GB"/>
        </w:rPr>
        <w:t>ned</w:t>
      </w:r>
      <w:r w:rsidR="0014226E">
        <w:rPr>
          <w:rFonts w:eastAsia="TimesNewRoman"/>
          <w:sz w:val="22"/>
          <w:szCs w:val="20"/>
          <w:lang w:val="en-GB"/>
        </w:rPr>
        <w:t>j</w:t>
      </w:r>
      <w:r w:rsidRPr="002D5A5F">
        <w:rPr>
          <w:rFonts w:eastAsia="TimesNewRoman"/>
          <w:sz w:val="22"/>
          <w:szCs w:val="20"/>
          <w:lang w:val="en-GB"/>
        </w:rPr>
        <w:t>elji</w:t>
      </w:r>
      <w:proofErr w:type="gramEnd"/>
      <w:r w:rsidRPr="002D5A5F">
        <w:rPr>
          <w:rFonts w:eastAsia="TimesNewRoman"/>
          <w:sz w:val="22"/>
          <w:szCs w:val="20"/>
          <w:lang w:val="en-GB"/>
        </w:rPr>
        <w:t xml:space="preserve"> (srednja vr</w:t>
      </w:r>
      <w:r w:rsidR="0014226E">
        <w:rPr>
          <w:rFonts w:eastAsia="TimesNewRoman"/>
          <w:sz w:val="22"/>
          <w:szCs w:val="20"/>
          <w:lang w:val="en-GB"/>
        </w:rPr>
        <w:t>ij</w:t>
      </w:r>
      <w:r w:rsidRPr="002D5A5F">
        <w:rPr>
          <w:rFonts w:eastAsia="TimesNewRoman"/>
          <w:sz w:val="22"/>
          <w:szCs w:val="20"/>
          <w:lang w:val="en-GB"/>
        </w:rPr>
        <w:t>ednost prom</w:t>
      </w:r>
      <w:r w:rsidR="0014226E">
        <w:rPr>
          <w:rFonts w:eastAsia="TimesNewRoman"/>
          <w:sz w:val="22"/>
          <w:szCs w:val="20"/>
          <w:lang w:val="en-GB"/>
        </w:rPr>
        <w:t>j</w:t>
      </w:r>
      <w:r w:rsidRPr="002D5A5F">
        <w:rPr>
          <w:rFonts w:eastAsia="TimesNewRoman"/>
          <w:sz w:val="22"/>
          <w:szCs w:val="20"/>
          <w:lang w:val="en-GB"/>
        </w:rPr>
        <w:t xml:space="preserve">ene: -36,3%). Smanjena aktivnost ukupne alkalne fosfataze u serumu održala se uz dugotrajnu terapiju do 160. </w:t>
      </w:r>
      <w:proofErr w:type="gramStart"/>
      <w:r w:rsidRPr="002D5A5F">
        <w:rPr>
          <w:rFonts w:eastAsia="TimesNewRoman"/>
          <w:sz w:val="22"/>
          <w:szCs w:val="20"/>
          <w:lang w:val="en-GB"/>
        </w:rPr>
        <w:t>ned</w:t>
      </w:r>
      <w:r w:rsidR="0014226E">
        <w:rPr>
          <w:rFonts w:eastAsia="TimesNewRoman"/>
          <w:sz w:val="22"/>
          <w:szCs w:val="20"/>
          <w:lang w:val="en-GB"/>
        </w:rPr>
        <w:t>j</w:t>
      </w:r>
      <w:r w:rsidRPr="002D5A5F">
        <w:rPr>
          <w:rFonts w:eastAsia="TimesNewRoman"/>
          <w:sz w:val="22"/>
          <w:szCs w:val="20"/>
          <w:lang w:val="en-GB"/>
        </w:rPr>
        <w:t>elje</w:t>
      </w:r>
      <w:proofErr w:type="gramEnd"/>
      <w:r w:rsidRPr="002D5A5F">
        <w:rPr>
          <w:rFonts w:eastAsia="TimesNewRoman"/>
          <w:sz w:val="22"/>
          <w:szCs w:val="20"/>
          <w:lang w:val="en-GB"/>
        </w:rPr>
        <w:t>.</w:t>
      </w:r>
    </w:p>
    <w:p w14:paraId="03A6011D" w14:textId="77777777" w:rsidR="002D5A5F" w:rsidRPr="002D5A5F" w:rsidRDefault="002D5A5F" w:rsidP="007E21A6">
      <w:pPr>
        <w:shd w:val="clear" w:color="auto" w:fill="FFFFFF"/>
        <w:tabs>
          <w:tab w:val="left" w:pos="567"/>
        </w:tabs>
        <w:jc w:val="both"/>
        <w:rPr>
          <w:rFonts w:eastAsia="TimesNewRoman"/>
          <w:sz w:val="22"/>
          <w:szCs w:val="20"/>
          <w:lang w:val="en-GB"/>
        </w:rPr>
      </w:pPr>
    </w:p>
    <w:p w14:paraId="12855981" w14:textId="77777777" w:rsidR="002D5A5F" w:rsidRPr="002D5A5F" w:rsidRDefault="002D5A5F" w:rsidP="007E21A6">
      <w:pPr>
        <w:keepNext/>
        <w:shd w:val="clear" w:color="auto" w:fill="FFFFFF"/>
        <w:tabs>
          <w:tab w:val="left" w:pos="567"/>
        </w:tabs>
        <w:spacing w:line="260" w:lineRule="exact"/>
        <w:jc w:val="both"/>
        <w:rPr>
          <w:i/>
          <w:iCs/>
          <w:sz w:val="22"/>
          <w:szCs w:val="20"/>
          <w:lang w:val="en-GB"/>
        </w:rPr>
      </w:pPr>
      <w:r w:rsidRPr="002D5A5F">
        <w:rPr>
          <w:i/>
          <w:iCs/>
          <w:sz w:val="22"/>
          <w:szCs w:val="20"/>
          <w:lang w:val="en-GB"/>
        </w:rPr>
        <w:t>Skor težine rahitisa (RSS)</w:t>
      </w:r>
    </w:p>
    <w:p w14:paraId="20C76489" w14:textId="6255ACC5" w:rsidR="002D5A5F" w:rsidRPr="002D5A5F" w:rsidRDefault="002D5A5F" w:rsidP="007E21A6">
      <w:pPr>
        <w:keepNext/>
        <w:tabs>
          <w:tab w:val="left" w:pos="567"/>
        </w:tabs>
        <w:spacing w:line="260" w:lineRule="exact"/>
        <w:jc w:val="both"/>
        <w:rPr>
          <w:rFonts w:ascii="Calibri" w:hAnsi="Calibri" w:cs="Calibri"/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Srednja vr</w:t>
      </w:r>
      <w:r w:rsidR="0014226E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ukupnog RSS poboljšala se od 2</w:t>
      </w:r>
      <w:proofErr w:type="gramStart"/>
      <w:r w:rsidRPr="002D5A5F">
        <w:rPr>
          <w:sz w:val="22"/>
          <w:szCs w:val="20"/>
          <w:lang w:val="en-GB"/>
        </w:rPr>
        <w:t>,92</w:t>
      </w:r>
      <w:proofErr w:type="gramEnd"/>
      <w:r w:rsidRPr="002D5A5F">
        <w:rPr>
          <w:sz w:val="22"/>
          <w:szCs w:val="20"/>
          <w:lang w:val="en-GB"/>
        </w:rPr>
        <w:t xml:space="preserve"> (1,367) na početku do 1,19 (0,522) u 40. </w:t>
      </w:r>
      <w:proofErr w:type="gramStart"/>
      <w:r w:rsidRPr="002D5A5F">
        <w:rPr>
          <w:sz w:val="22"/>
          <w:szCs w:val="20"/>
          <w:lang w:val="en-GB"/>
        </w:rPr>
        <w:t>ned</w:t>
      </w:r>
      <w:r w:rsidR="0014226E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elji</w:t>
      </w:r>
      <w:proofErr w:type="gramEnd"/>
      <w:r w:rsidRPr="002D5A5F">
        <w:rPr>
          <w:sz w:val="22"/>
          <w:szCs w:val="20"/>
          <w:lang w:val="en-GB"/>
        </w:rPr>
        <w:t>, što u odnosu na početnu vr</w:t>
      </w:r>
      <w:r w:rsidR="0014226E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odgovara srednjoj vr</w:t>
      </w:r>
      <w:r w:rsidR="0014226E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ednosti prom</w:t>
      </w:r>
      <w:r w:rsidR="0014226E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ene LS (SE) od -1,73 (0,132) (p &lt; 0,0001). Vr</w:t>
      </w:r>
      <w:r w:rsidR="008B0E2F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 xml:space="preserve">ednost RSS održala se do 64, 112. </w:t>
      </w:r>
      <w:proofErr w:type="gramStart"/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 xml:space="preserve"> 160. </w:t>
      </w:r>
      <w:proofErr w:type="gramStart"/>
      <w:r w:rsidRPr="002D5A5F">
        <w:rPr>
          <w:sz w:val="22"/>
          <w:szCs w:val="20"/>
          <w:lang w:val="en-GB"/>
        </w:rPr>
        <w:t>ned</w:t>
      </w:r>
      <w:r w:rsidR="008B0E2F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elje</w:t>
      </w:r>
      <w:proofErr w:type="gramEnd"/>
      <w:r w:rsidRPr="002D5A5F">
        <w:rPr>
          <w:sz w:val="22"/>
          <w:szCs w:val="20"/>
          <w:lang w:val="en-GB"/>
        </w:rPr>
        <w:t>.</w:t>
      </w:r>
    </w:p>
    <w:p w14:paraId="1C6897DD" w14:textId="77777777" w:rsidR="002D5A5F" w:rsidRPr="002D5A5F" w:rsidRDefault="002D5A5F" w:rsidP="007E21A6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7396C6AF" w14:textId="77777777" w:rsidR="002D5A5F" w:rsidRPr="002D5A5F" w:rsidRDefault="002D5A5F" w:rsidP="007E21A6">
      <w:pPr>
        <w:keepNext/>
        <w:keepLines/>
        <w:tabs>
          <w:tab w:val="left" w:pos="567"/>
        </w:tabs>
        <w:ind w:right="-2"/>
        <w:jc w:val="both"/>
        <w:rPr>
          <w:sz w:val="22"/>
          <w:szCs w:val="22"/>
          <w:lang w:val="en-GB"/>
        </w:rPr>
      </w:pPr>
      <w:r w:rsidRPr="002D5A5F">
        <w:rPr>
          <w:i/>
          <w:iCs/>
          <w:sz w:val="22"/>
          <w:szCs w:val="20"/>
          <w:lang w:val="en-GB"/>
        </w:rPr>
        <w:t>Skor radiografskog opšteg utiska</w:t>
      </w:r>
      <w:r w:rsidRPr="002D5A5F">
        <w:rPr>
          <w:sz w:val="22"/>
          <w:szCs w:val="20"/>
          <w:lang w:val="en-GB"/>
        </w:rPr>
        <w:t xml:space="preserve"> </w:t>
      </w:r>
      <w:r w:rsidRPr="002D5A5F">
        <w:rPr>
          <w:i/>
          <w:iCs/>
          <w:sz w:val="22"/>
          <w:szCs w:val="20"/>
          <w:lang w:val="en-GB"/>
        </w:rPr>
        <w:t xml:space="preserve">(RGI-C) </w:t>
      </w:r>
    </w:p>
    <w:p w14:paraId="7A5119C3" w14:textId="3A68CF55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jc w:val="both"/>
        <w:rPr>
          <w:rFonts w:eastAsia="TimesNewRoman"/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 xml:space="preserve">Nakon 40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a terapije burosumabom, srednja vr</w:t>
      </w:r>
      <w:r w:rsidR="008B0E2F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LS (SE) za globalni skor RGI-C bila je +2,21 (0,071) kod svih 13 pacijenata (p &lt; 0,0001) što je dokazalo poboljšanje l</w:t>
      </w:r>
      <w:r w:rsidR="008B0E2F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ečenja rahitisa. Na osnovu globalnog skora RGI-C ≥ +2</w:t>
      </w:r>
      <w:proofErr w:type="gramStart"/>
      <w:r w:rsidRPr="002D5A5F">
        <w:rPr>
          <w:sz w:val="22"/>
          <w:szCs w:val="20"/>
          <w:lang w:val="en-GB"/>
        </w:rPr>
        <w:t>,0</w:t>
      </w:r>
      <w:proofErr w:type="gramEnd"/>
      <w:r w:rsidRPr="002D5A5F">
        <w:rPr>
          <w:sz w:val="22"/>
          <w:szCs w:val="20"/>
          <w:lang w:val="en-GB"/>
        </w:rPr>
        <w:t xml:space="preserve">, smatralo se da je kod svih 13 pacijenata u RGI-C postignut odgovor. Globalni skor RGI-C održao se do 64, 112. </w:t>
      </w:r>
      <w:proofErr w:type="gramStart"/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 xml:space="preserve"> 160.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e</w:t>
      </w:r>
      <w:proofErr w:type="gramEnd"/>
      <w:r w:rsidRPr="002D5A5F">
        <w:rPr>
          <w:sz w:val="22"/>
          <w:szCs w:val="20"/>
          <w:lang w:val="en-GB"/>
        </w:rPr>
        <w:t>.</w:t>
      </w:r>
    </w:p>
    <w:p w14:paraId="14564727" w14:textId="77777777" w:rsidR="002D5A5F" w:rsidRPr="002D5A5F" w:rsidRDefault="002D5A5F" w:rsidP="007E21A6">
      <w:pPr>
        <w:autoSpaceDE w:val="0"/>
        <w:autoSpaceDN w:val="0"/>
        <w:adjustRightInd w:val="0"/>
        <w:jc w:val="both"/>
        <w:rPr>
          <w:rFonts w:eastAsia="SimSun"/>
          <w:sz w:val="22"/>
          <w:szCs w:val="20"/>
          <w:lang w:val="en-GB"/>
        </w:rPr>
      </w:pPr>
    </w:p>
    <w:p w14:paraId="4CF459A4" w14:textId="79DD9D26" w:rsidR="002D5A5F" w:rsidRPr="002D5A5F" w:rsidRDefault="002D5A5F" w:rsidP="007E21A6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2D5A5F">
        <w:rPr>
          <w:sz w:val="22"/>
          <w:szCs w:val="20"/>
          <w:lang w:val="en-GB"/>
        </w:rPr>
        <w:t xml:space="preserve">Evropska agencija je izuzela obavezu podnošenja rezultata studija </w:t>
      </w:r>
      <w:proofErr w:type="gramStart"/>
      <w:r w:rsidRPr="002D5A5F">
        <w:rPr>
          <w:sz w:val="22"/>
          <w:szCs w:val="20"/>
          <w:lang w:val="en-GB"/>
        </w:rPr>
        <w:t>sa</w:t>
      </w:r>
      <w:proofErr w:type="gramEnd"/>
      <w:r w:rsidRPr="002D5A5F">
        <w:rPr>
          <w:sz w:val="22"/>
          <w:szCs w:val="20"/>
          <w:lang w:val="en-GB"/>
        </w:rPr>
        <w:t xml:space="preserve"> burosumabom u jednoj ili više podgrupa pedijatrijske populacije u l</w:t>
      </w:r>
      <w:r w:rsidR="008B0E2F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ečenju X-vezane hipofosfatemije. Pogledajte 4.2 za informacije o pedijatrijskoj prim</w:t>
      </w:r>
      <w:r w:rsidR="00E32C82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eni.</w:t>
      </w:r>
    </w:p>
    <w:p w14:paraId="551FC470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3EBFF10D" w14:textId="77777777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u w:val="single"/>
          <w:lang w:val="en-GB"/>
        </w:rPr>
      </w:pPr>
      <w:r w:rsidRPr="002D5A5F">
        <w:rPr>
          <w:sz w:val="22"/>
          <w:szCs w:val="20"/>
          <w:u w:val="single"/>
          <w:lang w:val="en-GB"/>
        </w:rPr>
        <w:t xml:space="preserve">Klinička efikasnost kod odraslih </w:t>
      </w:r>
      <w:proofErr w:type="gramStart"/>
      <w:r w:rsidRPr="002D5A5F">
        <w:rPr>
          <w:sz w:val="22"/>
          <w:szCs w:val="20"/>
          <w:u w:val="single"/>
          <w:lang w:val="en-GB"/>
        </w:rPr>
        <w:t>sa</w:t>
      </w:r>
      <w:proofErr w:type="gramEnd"/>
      <w:r w:rsidRPr="002D5A5F">
        <w:rPr>
          <w:sz w:val="22"/>
          <w:szCs w:val="20"/>
          <w:u w:val="single"/>
          <w:lang w:val="en-GB"/>
        </w:rPr>
        <w:t xml:space="preserve"> XLH</w:t>
      </w:r>
    </w:p>
    <w:p w14:paraId="648F5CEE" w14:textId="77777777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u w:val="single"/>
          <w:lang w:val="en-GB"/>
        </w:rPr>
      </w:pPr>
    </w:p>
    <w:p w14:paraId="6AED152A" w14:textId="77777777" w:rsidR="002D5A5F" w:rsidRPr="002D5A5F" w:rsidRDefault="002D5A5F" w:rsidP="007E21A6">
      <w:pPr>
        <w:tabs>
          <w:tab w:val="left" w:pos="567"/>
        </w:tabs>
        <w:ind w:right="-2"/>
        <w:jc w:val="both"/>
        <w:rPr>
          <w:sz w:val="22"/>
          <w:szCs w:val="20"/>
          <w:lang w:val="en-GB"/>
        </w:rPr>
      </w:pPr>
      <w:r w:rsidRPr="002D5A5F">
        <w:rPr>
          <w:i/>
          <w:iCs/>
          <w:sz w:val="22"/>
          <w:szCs w:val="20"/>
          <w:u w:val="single"/>
          <w:lang w:val="en-GB"/>
        </w:rPr>
        <w:t>Studija UX023-CL303</w:t>
      </w:r>
    </w:p>
    <w:p w14:paraId="2451CC05" w14:textId="1762A82E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Studija UX023-CL303 predstavlja randomizovanu, dvostruko sl</w:t>
      </w:r>
      <w:r w:rsidR="008B0E2F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 xml:space="preserve">epu, placebom kontrolisanu studiju </w:t>
      </w:r>
      <w:proofErr w:type="gramStart"/>
      <w:r w:rsidRPr="002D5A5F">
        <w:rPr>
          <w:sz w:val="22"/>
          <w:szCs w:val="20"/>
          <w:lang w:val="en-GB"/>
        </w:rPr>
        <w:t>sa</w:t>
      </w:r>
      <w:proofErr w:type="gramEnd"/>
      <w:r w:rsidRPr="002D5A5F">
        <w:rPr>
          <w:sz w:val="22"/>
          <w:szCs w:val="20"/>
          <w:lang w:val="en-GB"/>
        </w:rPr>
        <w:t xml:space="preserve"> 134 odrasla pacijenta sa XLH. Studija se sastojala </w:t>
      </w:r>
      <w:proofErr w:type="gramStart"/>
      <w:r w:rsidRPr="002D5A5F">
        <w:rPr>
          <w:sz w:val="22"/>
          <w:szCs w:val="20"/>
          <w:lang w:val="en-GB"/>
        </w:rPr>
        <w:t>od</w:t>
      </w:r>
      <w:proofErr w:type="gramEnd"/>
      <w:r w:rsidRPr="002D5A5F">
        <w:rPr>
          <w:sz w:val="22"/>
          <w:szCs w:val="20"/>
          <w:lang w:val="en-GB"/>
        </w:rPr>
        <w:t xml:space="preserve"> faze placebom kontrolisane terapije koja je trajala 24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 xml:space="preserve">e i nakon toga otvorenog perioda od 24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 xml:space="preserve">e u kome su svi pacijenti primali burosumab. Tokom studije nisu bili dozvoljeni peroralni fosfat i aktivni analozi vitamina D. Burosumab je davan u dozi </w:t>
      </w:r>
      <w:proofErr w:type="gramStart"/>
      <w:r w:rsidRPr="002D5A5F">
        <w:rPr>
          <w:sz w:val="22"/>
          <w:szCs w:val="20"/>
          <w:lang w:val="en-GB"/>
        </w:rPr>
        <w:t>od</w:t>
      </w:r>
      <w:proofErr w:type="gramEnd"/>
      <w:r w:rsidRPr="002D5A5F">
        <w:rPr>
          <w:sz w:val="22"/>
          <w:szCs w:val="20"/>
          <w:lang w:val="en-GB"/>
        </w:rPr>
        <w:t xml:space="preserve"> 1 mg/kg svake 4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e. Primarna krajnja tačka ove studije bila je normalizacija fosfata u serumu tokom dvostruko sl</w:t>
      </w:r>
      <w:r w:rsidR="00341BAE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 xml:space="preserve">epog perioda </w:t>
      </w:r>
      <w:proofErr w:type="gramStart"/>
      <w:r w:rsidRPr="002D5A5F">
        <w:rPr>
          <w:sz w:val="22"/>
          <w:szCs w:val="20"/>
          <w:lang w:val="en-GB"/>
        </w:rPr>
        <w:t>od</w:t>
      </w:r>
      <w:proofErr w:type="gramEnd"/>
      <w:r w:rsidRPr="002D5A5F">
        <w:rPr>
          <w:sz w:val="22"/>
          <w:szCs w:val="20"/>
          <w:lang w:val="en-GB"/>
        </w:rPr>
        <w:t xml:space="preserve"> 24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e. Ključne sekundarne krajnje tačke uključivale su najgori bol zab</w:t>
      </w:r>
      <w:r w:rsidR="00341BAE">
        <w:rPr>
          <w:sz w:val="22"/>
          <w:szCs w:val="20"/>
          <w:lang w:val="en-GB"/>
        </w:rPr>
        <w:t>ilje</w:t>
      </w:r>
      <w:r w:rsidRPr="002D5A5F">
        <w:rPr>
          <w:sz w:val="22"/>
          <w:szCs w:val="20"/>
          <w:lang w:val="en-GB"/>
        </w:rPr>
        <w:t xml:space="preserve">žen </w:t>
      </w:r>
      <w:proofErr w:type="gramStart"/>
      <w:r w:rsidRPr="002D5A5F">
        <w:rPr>
          <w:sz w:val="22"/>
          <w:szCs w:val="20"/>
          <w:lang w:val="en-GB"/>
        </w:rPr>
        <w:t>na</w:t>
      </w:r>
      <w:proofErr w:type="gramEnd"/>
      <w:r w:rsidRPr="002D5A5F">
        <w:rPr>
          <w:sz w:val="22"/>
          <w:szCs w:val="20"/>
          <w:lang w:val="en-GB"/>
        </w:rPr>
        <w:t xml:space="preserve"> skali Kratkog upitnika za proc</w:t>
      </w:r>
      <w:r w:rsidR="008B0E2F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enu bola (BPI) i ukočenost i fizičko funkcioniranje na osnovu indeksa za osteoartritis WOMAC (</w:t>
      </w:r>
      <w:r w:rsidRPr="007E21A6">
        <w:rPr>
          <w:i/>
          <w:sz w:val="22"/>
          <w:szCs w:val="22"/>
          <w:lang w:val="en-GB"/>
        </w:rPr>
        <w:t>Western Ontario and McMaster Universities Osteoarthritis</w:t>
      </w:r>
      <w:r w:rsidRPr="002D5A5F">
        <w:rPr>
          <w:sz w:val="22"/>
          <w:szCs w:val="22"/>
          <w:lang w:val="en-GB"/>
        </w:rPr>
        <w:t>)</w:t>
      </w:r>
      <w:r w:rsidRPr="002D5A5F">
        <w:rPr>
          <w:sz w:val="22"/>
          <w:szCs w:val="20"/>
          <w:lang w:val="en-GB"/>
        </w:rPr>
        <w:t>. Eksploratorna krajnja tačka uključivala je zac</w:t>
      </w:r>
      <w:r w:rsidR="009B29D4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eljivanje frakture i pseudofrakture, entezopatiju, šestominutni test hoda, interferenciju bola prema BPI, najjači umor i ukupni rezultat za umor prema Kratkom upitniku za proc</w:t>
      </w:r>
      <w:r w:rsidR="008B0E2F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enu umora (BFI). </w:t>
      </w:r>
    </w:p>
    <w:p w14:paraId="710C94AF" w14:textId="77777777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lang w:val="en-GB"/>
        </w:rPr>
      </w:pPr>
    </w:p>
    <w:p w14:paraId="0AB0F89C" w14:textId="145379C6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 xml:space="preserve">Pri ulasku u studiju, srednja starost pacijenata bila je 40 godina (raspon </w:t>
      </w:r>
      <w:proofErr w:type="gramStart"/>
      <w:r w:rsidRPr="002D5A5F">
        <w:rPr>
          <w:sz w:val="22"/>
          <w:szCs w:val="20"/>
          <w:lang w:val="en-GB"/>
        </w:rPr>
        <w:t>od</w:t>
      </w:r>
      <w:proofErr w:type="gramEnd"/>
      <w:r w:rsidRPr="002D5A5F">
        <w:rPr>
          <w:sz w:val="22"/>
          <w:szCs w:val="20"/>
          <w:lang w:val="en-GB"/>
        </w:rPr>
        <w:t xml:space="preserve"> 19 do 66 godina), a 35% pacijenata bilo je muškog pola. Za placebo je bilo randomizovano 66 pacijenata, za l</w:t>
      </w:r>
      <w:r w:rsidR="008B0E2F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ečenje buro</w:t>
      </w:r>
      <w:r w:rsidR="008B0E2F">
        <w:rPr>
          <w:sz w:val="22"/>
          <w:szCs w:val="20"/>
          <w:lang w:val="en-GB"/>
        </w:rPr>
        <w:t>s</w:t>
      </w:r>
      <w:r w:rsidRPr="002D5A5F">
        <w:rPr>
          <w:sz w:val="22"/>
          <w:szCs w:val="20"/>
          <w:lang w:val="en-GB"/>
        </w:rPr>
        <w:t>umabom 68 pacijenata; srednja vr</w:t>
      </w:r>
      <w:r w:rsidR="008B0E2F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(SD) fosfata u serumu iznosila je na početku 0,62 (0,10) mmol/l [1,92</w:t>
      </w:r>
      <w:r w:rsidRPr="002D5A5F">
        <w:rPr>
          <w:color w:val="000000"/>
          <w:sz w:val="22"/>
          <w:szCs w:val="20"/>
          <w:lang w:val="en-GB"/>
        </w:rPr>
        <w:t xml:space="preserve"> (0,32) mg/dl] u grupi koja je primala placebo i </w:t>
      </w:r>
      <w:r w:rsidRPr="002D5A5F">
        <w:rPr>
          <w:sz w:val="22"/>
          <w:szCs w:val="20"/>
          <w:lang w:val="en-GB"/>
        </w:rPr>
        <w:t>0,66 (0,1 mmol/l) [</w:t>
      </w:r>
      <w:r w:rsidRPr="002D5A5F">
        <w:rPr>
          <w:color w:val="000000"/>
          <w:sz w:val="22"/>
          <w:szCs w:val="20"/>
          <w:lang w:val="en-GB"/>
        </w:rPr>
        <w:t>2,03 (0,30) mg/dl] u grupi l</w:t>
      </w:r>
      <w:r w:rsidR="008F3421">
        <w:rPr>
          <w:color w:val="000000"/>
          <w:sz w:val="22"/>
          <w:szCs w:val="20"/>
          <w:lang w:val="en-GB"/>
        </w:rPr>
        <w:t>ij</w:t>
      </w:r>
      <w:r w:rsidRPr="002D5A5F">
        <w:rPr>
          <w:color w:val="000000"/>
          <w:sz w:val="22"/>
          <w:szCs w:val="20"/>
          <w:lang w:val="en-GB"/>
        </w:rPr>
        <w:t>ečenoj buro</w:t>
      </w:r>
      <w:r w:rsidR="008B0E2F">
        <w:rPr>
          <w:color w:val="000000"/>
          <w:sz w:val="22"/>
          <w:szCs w:val="20"/>
          <w:lang w:val="en-GB"/>
        </w:rPr>
        <w:t>s</w:t>
      </w:r>
      <w:r w:rsidRPr="002D5A5F">
        <w:rPr>
          <w:color w:val="000000"/>
          <w:sz w:val="22"/>
          <w:szCs w:val="20"/>
          <w:lang w:val="en-GB"/>
        </w:rPr>
        <w:t xml:space="preserve">umabom. </w:t>
      </w:r>
    </w:p>
    <w:p w14:paraId="423E360A" w14:textId="77777777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2"/>
          <w:szCs w:val="20"/>
          <w:lang w:val="en-GB"/>
        </w:rPr>
      </w:pPr>
    </w:p>
    <w:p w14:paraId="67ABEE67" w14:textId="5359306D" w:rsidR="002D5A5F" w:rsidRPr="002D5A5F" w:rsidRDefault="002D5A5F" w:rsidP="007E21A6">
      <w:pPr>
        <w:autoSpaceDE w:val="0"/>
        <w:autoSpaceDN w:val="0"/>
        <w:adjustRightInd w:val="0"/>
        <w:jc w:val="both"/>
        <w:rPr>
          <w:rFonts w:eastAsia="SimSun"/>
          <w:lang w:val="en-GB"/>
        </w:rPr>
      </w:pPr>
      <w:r w:rsidRPr="002D5A5F">
        <w:rPr>
          <w:color w:val="000000"/>
          <w:sz w:val="22"/>
          <w:szCs w:val="20"/>
          <w:lang w:val="en-GB"/>
        </w:rPr>
        <w:t>Za primarnu krajnju tačku efikasnosti veći procenat pacijenata l</w:t>
      </w:r>
      <w:r w:rsidR="008B0E2F">
        <w:rPr>
          <w:color w:val="000000"/>
          <w:sz w:val="22"/>
          <w:szCs w:val="20"/>
          <w:lang w:val="en-GB"/>
        </w:rPr>
        <w:t>ij</w:t>
      </w:r>
      <w:r w:rsidRPr="002D5A5F">
        <w:rPr>
          <w:color w:val="000000"/>
          <w:sz w:val="22"/>
          <w:szCs w:val="20"/>
          <w:lang w:val="en-GB"/>
        </w:rPr>
        <w:t>ečenih buro</w:t>
      </w:r>
      <w:r w:rsidR="008B0E2F">
        <w:rPr>
          <w:color w:val="000000"/>
          <w:sz w:val="22"/>
          <w:szCs w:val="20"/>
          <w:lang w:val="en-GB"/>
        </w:rPr>
        <w:t>s</w:t>
      </w:r>
      <w:r w:rsidRPr="002D5A5F">
        <w:rPr>
          <w:color w:val="000000"/>
          <w:sz w:val="22"/>
          <w:szCs w:val="20"/>
          <w:lang w:val="en-GB"/>
        </w:rPr>
        <w:t xml:space="preserve">umabom postigao je srednji nivo fosfata u serumu iznad donje granice normale (LLN) u poređenju </w:t>
      </w:r>
      <w:proofErr w:type="gramStart"/>
      <w:r w:rsidRPr="002D5A5F">
        <w:rPr>
          <w:color w:val="000000"/>
          <w:sz w:val="22"/>
          <w:szCs w:val="20"/>
          <w:lang w:val="en-GB"/>
        </w:rPr>
        <w:t>sa</w:t>
      </w:r>
      <w:proofErr w:type="gramEnd"/>
      <w:r w:rsidRPr="002D5A5F">
        <w:rPr>
          <w:color w:val="000000"/>
          <w:sz w:val="22"/>
          <w:szCs w:val="20"/>
          <w:lang w:val="en-GB"/>
        </w:rPr>
        <w:t xml:space="preserve"> grupom koja je primala placebo do kraja 24. </w:t>
      </w:r>
      <w:proofErr w:type="gramStart"/>
      <w:r w:rsidR="008B0E2F">
        <w:rPr>
          <w:color w:val="000000"/>
          <w:sz w:val="22"/>
          <w:szCs w:val="20"/>
          <w:lang w:val="en-GB"/>
        </w:rPr>
        <w:t>nedjelj</w:t>
      </w:r>
      <w:r w:rsidRPr="002D5A5F">
        <w:rPr>
          <w:color w:val="000000"/>
          <w:sz w:val="22"/>
          <w:szCs w:val="20"/>
          <w:lang w:val="en-GB"/>
        </w:rPr>
        <w:t>e</w:t>
      </w:r>
      <w:proofErr w:type="gramEnd"/>
      <w:r w:rsidRPr="002D5A5F">
        <w:rPr>
          <w:color w:val="000000"/>
          <w:sz w:val="22"/>
          <w:szCs w:val="20"/>
          <w:lang w:val="en-GB"/>
        </w:rPr>
        <w:t xml:space="preserve"> (tabela 5 i slika 3). </w:t>
      </w:r>
    </w:p>
    <w:p w14:paraId="49E5DE47" w14:textId="77777777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2"/>
          <w:szCs w:val="20"/>
          <w:lang w:val="en-GB"/>
        </w:rPr>
      </w:pPr>
    </w:p>
    <w:p w14:paraId="128D231C" w14:textId="019D7454" w:rsidR="002D5A5F" w:rsidRPr="002D5A5F" w:rsidRDefault="002D5A5F" w:rsidP="007E21A6">
      <w:pPr>
        <w:keepNext/>
        <w:keepLines/>
        <w:tabs>
          <w:tab w:val="left" w:pos="720"/>
        </w:tabs>
        <w:ind w:left="851" w:hanging="797"/>
        <w:jc w:val="both"/>
        <w:outlineLvl w:val="1"/>
        <w:rPr>
          <w:b/>
          <w:bCs/>
          <w:sz w:val="22"/>
          <w:szCs w:val="20"/>
          <w:lang w:val="en-GB"/>
        </w:rPr>
      </w:pPr>
      <w:r w:rsidRPr="002D5A5F">
        <w:rPr>
          <w:b/>
          <w:bCs/>
          <w:sz w:val="22"/>
          <w:szCs w:val="22"/>
          <w:lang w:val="en-GB"/>
        </w:rPr>
        <w:lastRenderedPageBreak/>
        <w:t xml:space="preserve">Tabela 5: </w:t>
      </w:r>
      <w:r w:rsidRPr="002D5A5F">
        <w:rPr>
          <w:b/>
          <w:bCs/>
          <w:sz w:val="22"/>
          <w:szCs w:val="20"/>
          <w:lang w:val="en-GB"/>
        </w:rPr>
        <w:t>Procenat odraslih pacijenata koji su postigli srednju vr</w:t>
      </w:r>
      <w:r w:rsidR="008F3421">
        <w:rPr>
          <w:b/>
          <w:bCs/>
          <w:sz w:val="22"/>
          <w:szCs w:val="20"/>
          <w:lang w:val="en-GB"/>
        </w:rPr>
        <w:t>ij</w:t>
      </w:r>
      <w:r w:rsidRPr="002D5A5F">
        <w:rPr>
          <w:b/>
          <w:bCs/>
          <w:sz w:val="22"/>
          <w:szCs w:val="20"/>
          <w:lang w:val="en-GB"/>
        </w:rPr>
        <w:t>ednost nivoa fosfata u serumu iznad LLN u sredini intervala doziranja u Studiji UX023-CL303 (period dvostruko sl</w:t>
      </w:r>
      <w:r w:rsidR="008F3421">
        <w:rPr>
          <w:b/>
          <w:bCs/>
          <w:sz w:val="22"/>
          <w:szCs w:val="20"/>
          <w:lang w:val="en-GB"/>
        </w:rPr>
        <w:t>ij</w:t>
      </w:r>
      <w:r w:rsidRPr="002D5A5F">
        <w:rPr>
          <w:b/>
          <w:bCs/>
          <w:sz w:val="22"/>
          <w:szCs w:val="20"/>
          <w:lang w:val="en-GB"/>
        </w:rPr>
        <w:t>epe terapije)</w:t>
      </w:r>
    </w:p>
    <w:tbl>
      <w:tblPr>
        <w:tblW w:w="4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960"/>
        <w:gridCol w:w="1822"/>
      </w:tblGrid>
      <w:tr w:rsidR="002D5A5F" w:rsidRPr="002D5A5F" w14:paraId="55BEB05F" w14:textId="77777777" w:rsidTr="00B111F9">
        <w:trPr>
          <w:tblHeader/>
          <w:jc w:val="center"/>
        </w:trPr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88B06E" w14:textId="77777777" w:rsidR="002D5A5F" w:rsidRPr="002D5A5F" w:rsidRDefault="002D5A5F" w:rsidP="007E21A6">
            <w:pPr>
              <w:keepNext/>
              <w:keepLines/>
              <w:tabs>
                <w:tab w:val="left" w:pos="720"/>
              </w:tabs>
              <w:ind w:left="420" w:hanging="420"/>
              <w:jc w:val="both"/>
              <w:rPr>
                <w:rFonts w:eastAsia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E53BD5" w14:textId="77777777" w:rsidR="002D5A5F" w:rsidRPr="002D5A5F" w:rsidRDefault="002D5A5F" w:rsidP="007E21A6">
            <w:pPr>
              <w:keepNext/>
              <w:keepLines/>
              <w:tabs>
                <w:tab w:val="left" w:pos="720"/>
              </w:tabs>
              <w:jc w:val="both"/>
              <w:rPr>
                <w:rFonts w:eastAsia="Calibri"/>
                <w:b/>
                <w:bCs/>
                <w:sz w:val="22"/>
                <w:szCs w:val="20"/>
                <w:lang w:val="en-GB"/>
              </w:rPr>
            </w:pPr>
            <w:r w:rsidRPr="002D5A5F">
              <w:rPr>
                <w:rFonts w:eastAsia="Calibri"/>
                <w:b/>
                <w:bCs/>
                <w:sz w:val="22"/>
                <w:szCs w:val="20"/>
                <w:lang w:val="en-GB"/>
              </w:rPr>
              <w:t>Placebo</w:t>
            </w:r>
            <w:r w:rsidRPr="002D5A5F">
              <w:rPr>
                <w:rFonts w:eastAsia="Calibri"/>
                <w:sz w:val="22"/>
                <w:szCs w:val="22"/>
                <w:lang w:val="en-GB"/>
              </w:rPr>
              <w:br/>
            </w:r>
            <w:r w:rsidRPr="002D5A5F">
              <w:rPr>
                <w:rFonts w:eastAsia="Calibri"/>
                <w:b/>
                <w:bCs/>
                <w:sz w:val="22"/>
                <w:szCs w:val="20"/>
                <w:lang w:val="en-GB"/>
              </w:rPr>
              <w:t>(N = 66)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6354C58" w14:textId="77777777" w:rsidR="002D5A5F" w:rsidRPr="002D5A5F" w:rsidRDefault="002D5A5F" w:rsidP="007E21A6">
            <w:pPr>
              <w:keepNext/>
              <w:keepLines/>
              <w:tabs>
                <w:tab w:val="left" w:pos="720"/>
              </w:tabs>
              <w:jc w:val="both"/>
              <w:rPr>
                <w:rFonts w:eastAsia="Calibri"/>
                <w:b/>
                <w:bCs/>
                <w:sz w:val="22"/>
                <w:szCs w:val="20"/>
                <w:lang w:val="en-GB"/>
              </w:rPr>
            </w:pPr>
            <w:r w:rsidRPr="002D5A5F">
              <w:rPr>
                <w:rFonts w:eastAsia="Calibri"/>
                <w:b/>
                <w:bCs/>
                <w:sz w:val="22"/>
                <w:szCs w:val="20"/>
                <w:lang w:val="en-GB"/>
              </w:rPr>
              <w:t xml:space="preserve">Burosumab </w:t>
            </w:r>
            <w:r w:rsidRPr="002D5A5F">
              <w:rPr>
                <w:rFonts w:eastAsia="Calibri"/>
                <w:sz w:val="22"/>
                <w:szCs w:val="20"/>
                <w:lang w:val="en-GB"/>
              </w:rPr>
              <w:br/>
            </w:r>
            <w:r w:rsidRPr="002D5A5F">
              <w:rPr>
                <w:rFonts w:eastAsia="Calibri"/>
                <w:b/>
                <w:bCs/>
                <w:sz w:val="22"/>
                <w:szCs w:val="20"/>
                <w:lang w:val="en-GB"/>
              </w:rPr>
              <w:t>(N = 68)</w:t>
            </w:r>
          </w:p>
        </w:tc>
      </w:tr>
      <w:tr w:rsidR="002D5A5F" w:rsidRPr="002D5A5F" w14:paraId="05A694BA" w14:textId="77777777" w:rsidTr="00B111F9">
        <w:trPr>
          <w:jc w:val="center"/>
        </w:trPr>
        <w:tc>
          <w:tcPr>
            <w:tcW w:w="286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8115A4" w14:textId="323DD9DE" w:rsidR="002D5A5F" w:rsidRPr="002D5A5F" w:rsidRDefault="002D5A5F" w:rsidP="007E21A6">
            <w:pPr>
              <w:keepNext/>
              <w:keepLines/>
              <w:tabs>
                <w:tab w:val="left" w:pos="720"/>
              </w:tabs>
              <w:jc w:val="both"/>
              <w:rPr>
                <w:rFonts w:eastAsia="Calibri"/>
                <w:sz w:val="22"/>
                <w:szCs w:val="20"/>
                <w:lang w:val="en-GB"/>
              </w:rPr>
            </w:pPr>
            <w:r w:rsidRPr="002D5A5F">
              <w:rPr>
                <w:rFonts w:eastAsia="Calibri"/>
                <w:sz w:val="22"/>
                <w:szCs w:val="20"/>
                <w:lang w:val="en-GB"/>
              </w:rPr>
              <w:t>Postignuta srednja vr</w:t>
            </w:r>
            <w:r w:rsidR="00E32C82">
              <w:rPr>
                <w:rFonts w:eastAsia="Calibri"/>
                <w:sz w:val="22"/>
                <w:szCs w:val="20"/>
                <w:lang w:val="en-GB"/>
              </w:rPr>
              <w:t>ij</w:t>
            </w:r>
            <w:r w:rsidRPr="002D5A5F">
              <w:rPr>
                <w:rFonts w:eastAsia="Calibri"/>
                <w:sz w:val="22"/>
                <w:szCs w:val="20"/>
                <w:lang w:val="en-GB"/>
              </w:rPr>
              <w:t xml:space="preserve">ednost fosfata u serumu &gt; LLN u sredini intervala doziranja do kraja 24. </w:t>
            </w:r>
            <w:proofErr w:type="gramStart"/>
            <w:r w:rsidR="008B0E2F">
              <w:rPr>
                <w:rFonts w:eastAsia="Calibri"/>
                <w:sz w:val="22"/>
                <w:szCs w:val="20"/>
                <w:lang w:val="en-GB"/>
              </w:rPr>
              <w:t>nedjelj</w:t>
            </w:r>
            <w:r w:rsidRPr="002D5A5F">
              <w:rPr>
                <w:rFonts w:eastAsia="Calibri"/>
                <w:sz w:val="22"/>
                <w:szCs w:val="20"/>
                <w:lang w:val="en-GB"/>
              </w:rPr>
              <w:t>e</w:t>
            </w:r>
            <w:proofErr w:type="gramEnd"/>
            <w:r w:rsidRPr="002D5A5F">
              <w:rPr>
                <w:rFonts w:eastAsia="Calibri"/>
                <w:sz w:val="22"/>
                <w:szCs w:val="20"/>
                <w:lang w:val="en-GB"/>
              </w:rPr>
              <w:t xml:space="preserve"> – n (%)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27E1FC" w14:textId="77777777" w:rsidR="002D5A5F" w:rsidRPr="002D5A5F" w:rsidRDefault="002D5A5F" w:rsidP="007E21A6">
            <w:pPr>
              <w:keepNext/>
              <w:keepLines/>
              <w:tabs>
                <w:tab w:val="left" w:pos="720"/>
              </w:tabs>
              <w:jc w:val="both"/>
              <w:rPr>
                <w:rFonts w:eastAsia="Calibri"/>
                <w:sz w:val="22"/>
                <w:szCs w:val="20"/>
                <w:lang w:val="en-GB"/>
              </w:rPr>
            </w:pPr>
            <w:r w:rsidRPr="002D5A5F">
              <w:rPr>
                <w:rFonts w:eastAsia="Calibri"/>
                <w:sz w:val="22"/>
                <w:szCs w:val="20"/>
                <w:lang w:val="en-GB"/>
              </w:rPr>
              <w:t>7,6% (5/66)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155D3C" w14:textId="77777777" w:rsidR="002D5A5F" w:rsidRPr="002D5A5F" w:rsidRDefault="002D5A5F" w:rsidP="007E21A6">
            <w:pPr>
              <w:keepNext/>
              <w:keepLines/>
              <w:tabs>
                <w:tab w:val="left" w:pos="720"/>
              </w:tabs>
              <w:jc w:val="both"/>
              <w:rPr>
                <w:rFonts w:eastAsia="Calibri"/>
                <w:sz w:val="22"/>
                <w:szCs w:val="20"/>
                <w:lang w:val="en-GB"/>
              </w:rPr>
            </w:pPr>
            <w:r w:rsidRPr="002D5A5F">
              <w:rPr>
                <w:rFonts w:eastAsia="Calibri"/>
                <w:sz w:val="22"/>
                <w:szCs w:val="20"/>
                <w:lang w:val="en-GB"/>
              </w:rPr>
              <w:t>94,1% (64/68)</w:t>
            </w:r>
          </w:p>
        </w:tc>
      </w:tr>
      <w:tr w:rsidR="002D5A5F" w:rsidRPr="002D5A5F" w14:paraId="57F9451A" w14:textId="77777777" w:rsidTr="00B111F9">
        <w:trPr>
          <w:jc w:val="center"/>
        </w:trPr>
        <w:tc>
          <w:tcPr>
            <w:tcW w:w="286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A45373" w14:textId="77777777" w:rsidR="002D5A5F" w:rsidRPr="002D5A5F" w:rsidRDefault="002D5A5F" w:rsidP="007E21A6">
            <w:pPr>
              <w:keepNext/>
              <w:keepLines/>
              <w:tabs>
                <w:tab w:val="left" w:pos="720"/>
              </w:tabs>
              <w:ind w:left="432" w:hanging="162"/>
              <w:jc w:val="both"/>
              <w:rPr>
                <w:rFonts w:eastAsia="Calibri"/>
                <w:sz w:val="22"/>
                <w:szCs w:val="20"/>
                <w:lang w:val="en-GB"/>
              </w:rPr>
            </w:pPr>
            <w:r w:rsidRPr="002D5A5F">
              <w:rPr>
                <w:rFonts w:eastAsia="Calibri"/>
                <w:sz w:val="22"/>
                <w:szCs w:val="20"/>
                <w:lang w:val="en-GB"/>
              </w:rPr>
              <w:t>95% CI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223F3D" w14:textId="77777777" w:rsidR="002D5A5F" w:rsidRPr="002D5A5F" w:rsidRDefault="002D5A5F" w:rsidP="007E21A6">
            <w:pPr>
              <w:keepNext/>
              <w:keepLines/>
              <w:tabs>
                <w:tab w:val="left" w:pos="720"/>
              </w:tabs>
              <w:jc w:val="both"/>
              <w:rPr>
                <w:rFonts w:eastAsia="Calibri"/>
                <w:sz w:val="22"/>
                <w:szCs w:val="20"/>
                <w:lang w:val="en-GB"/>
              </w:rPr>
            </w:pPr>
            <w:r w:rsidRPr="002D5A5F">
              <w:rPr>
                <w:rFonts w:eastAsia="Calibri"/>
                <w:sz w:val="22"/>
                <w:szCs w:val="20"/>
                <w:lang w:val="en-GB"/>
              </w:rPr>
              <w:t>(3,3, 16,5)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E0E68C" w14:textId="77777777" w:rsidR="002D5A5F" w:rsidRPr="002D5A5F" w:rsidRDefault="002D5A5F" w:rsidP="007E21A6">
            <w:pPr>
              <w:keepNext/>
              <w:keepLines/>
              <w:tabs>
                <w:tab w:val="left" w:pos="720"/>
              </w:tabs>
              <w:jc w:val="both"/>
              <w:rPr>
                <w:rFonts w:eastAsia="Calibri"/>
                <w:sz w:val="22"/>
                <w:szCs w:val="20"/>
                <w:lang w:val="en-GB"/>
              </w:rPr>
            </w:pPr>
            <w:r w:rsidRPr="002D5A5F">
              <w:rPr>
                <w:rFonts w:eastAsia="Calibri"/>
                <w:sz w:val="22"/>
                <w:szCs w:val="20"/>
                <w:lang w:val="en-GB"/>
              </w:rPr>
              <w:t>(85,8, 97,7)</w:t>
            </w:r>
          </w:p>
        </w:tc>
      </w:tr>
      <w:tr w:rsidR="002D5A5F" w:rsidRPr="002D5A5F" w14:paraId="07579916" w14:textId="77777777" w:rsidTr="00B111F9">
        <w:trPr>
          <w:jc w:val="center"/>
        </w:trPr>
        <w:tc>
          <w:tcPr>
            <w:tcW w:w="28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DCD1C9" w14:textId="41AACFE6" w:rsidR="002D5A5F" w:rsidRPr="002D5A5F" w:rsidRDefault="002D5A5F" w:rsidP="007E21A6">
            <w:pPr>
              <w:keepNext/>
              <w:keepLines/>
              <w:tabs>
                <w:tab w:val="left" w:pos="720"/>
              </w:tabs>
              <w:ind w:left="432" w:hanging="162"/>
              <w:jc w:val="both"/>
              <w:rPr>
                <w:rFonts w:eastAsia="Calibri"/>
                <w:sz w:val="22"/>
                <w:szCs w:val="20"/>
                <w:lang w:val="en-GB"/>
              </w:rPr>
            </w:pPr>
            <w:r w:rsidRPr="002D5A5F">
              <w:rPr>
                <w:rFonts w:eastAsia="Calibri"/>
                <w:sz w:val="22"/>
                <w:szCs w:val="20"/>
                <w:lang w:val="en-GB"/>
              </w:rPr>
              <w:t>p-vr</w:t>
            </w:r>
            <w:r w:rsidR="008F3421">
              <w:rPr>
                <w:rFonts w:eastAsia="Calibri"/>
                <w:sz w:val="22"/>
                <w:szCs w:val="20"/>
                <w:lang w:val="en-GB"/>
              </w:rPr>
              <w:t>ij</w:t>
            </w:r>
            <w:r w:rsidRPr="002D5A5F">
              <w:rPr>
                <w:rFonts w:eastAsia="Calibri"/>
                <w:sz w:val="22"/>
                <w:szCs w:val="20"/>
                <w:lang w:val="en-GB"/>
              </w:rPr>
              <w:t>ednost</w:t>
            </w:r>
            <w:r w:rsidRPr="002D5A5F">
              <w:rPr>
                <w:rFonts w:eastAsia="Calibri"/>
                <w:sz w:val="22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8CF9C" w14:textId="77777777" w:rsidR="002D5A5F" w:rsidRPr="002D5A5F" w:rsidRDefault="002D5A5F" w:rsidP="007E21A6">
            <w:pPr>
              <w:keepNext/>
              <w:keepLines/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14102" w14:textId="77777777" w:rsidR="002D5A5F" w:rsidRPr="002D5A5F" w:rsidRDefault="002D5A5F" w:rsidP="007E21A6">
            <w:pPr>
              <w:keepNext/>
              <w:keepLines/>
              <w:tabs>
                <w:tab w:val="left" w:pos="720"/>
              </w:tabs>
              <w:jc w:val="both"/>
              <w:rPr>
                <w:rFonts w:eastAsia="Calibri"/>
                <w:sz w:val="22"/>
                <w:szCs w:val="20"/>
                <w:lang w:val="en-GB"/>
              </w:rPr>
            </w:pPr>
            <w:r w:rsidRPr="002D5A5F">
              <w:rPr>
                <w:rFonts w:eastAsia="Calibri"/>
                <w:sz w:val="22"/>
                <w:szCs w:val="20"/>
                <w:lang w:val="en-GB"/>
              </w:rPr>
              <w:t>&lt; 0,0001</w:t>
            </w:r>
          </w:p>
        </w:tc>
      </w:tr>
    </w:tbl>
    <w:p w14:paraId="4698A3AB" w14:textId="77777777" w:rsidR="002D5A5F" w:rsidRPr="002D5A5F" w:rsidRDefault="002D5A5F" w:rsidP="007E21A6">
      <w:pPr>
        <w:keepNext/>
        <w:keepLines/>
        <w:tabs>
          <w:tab w:val="left" w:pos="360"/>
          <w:tab w:val="left" w:pos="567"/>
        </w:tabs>
        <w:ind w:left="360" w:hanging="360"/>
        <w:jc w:val="both"/>
        <w:rPr>
          <w:rFonts w:eastAsia="Calibri"/>
          <w:sz w:val="18"/>
          <w:szCs w:val="20"/>
          <w:lang w:val="en-GB"/>
        </w:rPr>
      </w:pPr>
      <w:r w:rsidRPr="002D5A5F">
        <w:rPr>
          <w:rFonts w:eastAsia="Calibri"/>
          <w:sz w:val="18"/>
          <w:szCs w:val="20"/>
          <w:lang w:val="en-GB"/>
        </w:rPr>
        <w:t>Metodom Vilsonovog skora izračunati su 95% CI.</w:t>
      </w:r>
    </w:p>
    <w:p w14:paraId="68CBBB07" w14:textId="1A7A4CE7" w:rsidR="002D5A5F" w:rsidRPr="002D5A5F" w:rsidRDefault="002D5A5F" w:rsidP="007E21A6">
      <w:pPr>
        <w:keepNext/>
        <w:keepLines/>
        <w:tabs>
          <w:tab w:val="left" w:pos="360"/>
          <w:tab w:val="left" w:pos="567"/>
        </w:tabs>
        <w:ind w:left="360" w:hanging="360"/>
        <w:jc w:val="both"/>
        <w:rPr>
          <w:rFonts w:eastAsia="Calibri"/>
          <w:sz w:val="18"/>
          <w:szCs w:val="20"/>
          <w:lang w:val="en-GB"/>
        </w:rPr>
      </w:pPr>
      <w:proofErr w:type="gramStart"/>
      <w:r w:rsidRPr="002D5A5F">
        <w:rPr>
          <w:rFonts w:eastAsia="Calibri"/>
          <w:sz w:val="18"/>
          <w:szCs w:val="20"/>
          <w:vertAlign w:val="superscript"/>
          <w:lang w:val="en-GB"/>
        </w:rPr>
        <w:t>a</w:t>
      </w:r>
      <w:proofErr w:type="gramEnd"/>
      <w:r w:rsidRPr="002D5A5F">
        <w:rPr>
          <w:rFonts w:eastAsia="Calibri"/>
          <w:sz w:val="18"/>
          <w:szCs w:val="20"/>
          <w:lang w:val="en-GB"/>
        </w:rPr>
        <w:tab/>
        <w:t>P-vr</w:t>
      </w:r>
      <w:r w:rsidR="008F3421">
        <w:rPr>
          <w:rFonts w:eastAsia="Calibri"/>
          <w:sz w:val="18"/>
          <w:szCs w:val="20"/>
          <w:lang w:val="en-GB"/>
        </w:rPr>
        <w:t>ij</w:t>
      </w:r>
      <w:r w:rsidRPr="002D5A5F">
        <w:rPr>
          <w:rFonts w:eastAsia="Calibri"/>
          <w:sz w:val="18"/>
          <w:szCs w:val="20"/>
          <w:lang w:val="en-GB"/>
        </w:rPr>
        <w:t>ednost dobijena je na osnovu Cochran-Mantel-Haenszelovog (CMH) testiranja povezanosti između postizanja primarne krajnje tačke i terapijske grupe, prilagođeno za stratifikaciju randomizacije.</w:t>
      </w:r>
    </w:p>
    <w:p w14:paraId="6AD2E1AB" w14:textId="77777777" w:rsidR="002D5A5F" w:rsidRPr="002D5A5F" w:rsidRDefault="002D5A5F" w:rsidP="007E21A6">
      <w:pPr>
        <w:tabs>
          <w:tab w:val="left" w:pos="360"/>
        </w:tabs>
        <w:ind w:left="360" w:hanging="360"/>
        <w:jc w:val="both"/>
        <w:rPr>
          <w:rFonts w:eastAsia="Calibri"/>
          <w:b/>
          <w:bCs/>
          <w:sz w:val="22"/>
          <w:szCs w:val="22"/>
          <w:lang w:val="en-GB"/>
        </w:rPr>
      </w:pPr>
    </w:p>
    <w:p w14:paraId="37284D11" w14:textId="4A0F4661" w:rsidR="002D5A5F" w:rsidRPr="002D5A5F" w:rsidRDefault="002D5A5F" w:rsidP="007E21A6">
      <w:pPr>
        <w:keepNext/>
        <w:keepLines/>
        <w:tabs>
          <w:tab w:val="left" w:pos="360"/>
        </w:tabs>
        <w:ind w:left="357" w:hanging="357"/>
        <w:jc w:val="both"/>
        <w:rPr>
          <w:rFonts w:eastAsia="SimSun"/>
          <w:b/>
          <w:bCs/>
          <w:sz w:val="22"/>
          <w:szCs w:val="22"/>
          <w:lang w:val="en-GB"/>
        </w:rPr>
      </w:pPr>
      <w:r w:rsidRPr="002D5A5F">
        <w:rPr>
          <w:b/>
          <w:bCs/>
          <w:sz w:val="22"/>
          <w:szCs w:val="22"/>
          <w:lang w:val="en-GB"/>
        </w:rPr>
        <w:t>Slika 3:</w:t>
      </w:r>
      <w:r w:rsidRPr="002D5A5F">
        <w:rPr>
          <w:sz w:val="22"/>
          <w:szCs w:val="22"/>
          <w:lang w:val="en-GB"/>
        </w:rPr>
        <w:t xml:space="preserve"> </w:t>
      </w:r>
      <w:r w:rsidRPr="002D5A5F">
        <w:rPr>
          <w:b/>
          <w:bCs/>
          <w:sz w:val="22"/>
          <w:szCs w:val="22"/>
          <w:lang w:val="en-GB"/>
        </w:rPr>
        <w:t>Srednja vr</w:t>
      </w:r>
      <w:r w:rsidR="008F3421">
        <w:rPr>
          <w:b/>
          <w:bCs/>
          <w:sz w:val="22"/>
          <w:szCs w:val="22"/>
          <w:lang w:val="en-GB"/>
        </w:rPr>
        <w:t>ij</w:t>
      </w:r>
      <w:r w:rsidRPr="002D5A5F">
        <w:rPr>
          <w:b/>
          <w:bCs/>
          <w:sz w:val="22"/>
          <w:szCs w:val="22"/>
          <w:lang w:val="en-GB"/>
        </w:rPr>
        <w:t>ednost (± SE) vršnih koncentracija fosfata u serumu (mg/dl</w:t>
      </w:r>
      <w:r w:rsidRPr="002D5A5F">
        <w:rPr>
          <w:sz w:val="22"/>
          <w:szCs w:val="22"/>
          <w:lang w:val="en-GB"/>
        </w:rPr>
        <w:t xml:space="preserve"> </w:t>
      </w:r>
      <w:r w:rsidRPr="002D5A5F">
        <w:rPr>
          <w:sz w:val="22"/>
          <w:szCs w:val="20"/>
          <w:lang w:val="en-GB"/>
        </w:rPr>
        <w:t>[</w:t>
      </w:r>
      <w:r w:rsidRPr="002D5A5F">
        <w:rPr>
          <w:b/>
          <w:bCs/>
          <w:sz w:val="22"/>
          <w:szCs w:val="22"/>
          <w:lang w:val="en-GB"/>
        </w:rPr>
        <w:t>mmol/l</w:t>
      </w:r>
      <w:r w:rsidRPr="002D5A5F">
        <w:rPr>
          <w:color w:val="000000"/>
          <w:sz w:val="22"/>
          <w:szCs w:val="20"/>
          <w:lang w:val="en-GB"/>
        </w:rPr>
        <w:t>]</w:t>
      </w:r>
      <w:r w:rsidRPr="002D5A5F">
        <w:rPr>
          <w:b/>
          <w:bCs/>
          <w:sz w:val="22"/>
          <w:szCs w:val="22"/>
          <w:lang w:val="en-GB"/>
        </w:rPr>
        <w:t>)</w:t>
      </w:r>
    </w:p>
    <w:p w14:paraId="2021470A" w14:textId="77777777" w:rsidR="002D5A5F" w:rsidRPr="002D5A5F" w:rsidRDefault="002D5A5F" w:rsidP="007E21A6">
      <w:pPr>
        <w:keepNext/>
        <w:keepLines/>
        <w:tabs>
          <w:tab w:val="left" w:pos="360"/>
        </w:tabs>
        <w:ind w:left="357" w:hanging="357"/>
        <w:jc w:val="both"/>
        <w:rPr>
          <w:rFonts w:eastAsia="Calibri"/>
          <w:sz w:val="18"/>
          <w:szCs w:val="20"/>
          <w:lang w:val="en-GB"/>
        </w:rPr>
      </w:pPr>
    </w:p>
    <w:p w14:paraId="37AF1783" w14:textId="49EBAC46" w:rsidR="002D5A5F" w:rsidRPr="002D5A5F" w:rsidRDefault="002D5A5F" w:rsidP="007E21A6">
      <w:pPr>
        <w:keepNext/>
        <w:keepLines/>
        <w:tabs>
          <w:tab w:val="left" w:pos="360"/>
        </w:tabs>
        <w:jc w:val="both"/>
        <w:rPr>
          <w:rFonts w:eastAsia="Calibri"/>
          <w:sz w:val="18"/>
          <w:szCs w:val="20"/>
          <w:lang w:val="en-GB"/>
        </w:rPr>
      </w:pPr>
      <w:r w:rsidRPr="002D5A5F">
        <w:rPr>
          <w:noProof/>
          <w:sz w:val="22"/>
          <w:szCs w:val="20"/>
          <w:lang w:val="sr-Latn-ME" w:eastAsia="sr-Latn-ME"/>
        </w:rPr>
        <w:drawing>
          <wp:inline distT="0" distB="0" distL="0" distR="0" wp14:anchorId="49A16784" wp14:editId="3F55640A">
            <wp:extent cx="5758180" cy="4282440"/>
            <wp:effectExtent l="0" t="0" r="0" b="3810"/>
            <wp:docPr id="1702867728" name="Picture 4" descr="A graph of a number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67728" name="Picture 4" descr="A graph of a number of peop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" r="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5BE00" w14:textId="77777777" w:rsidR="002D5A5F" w:rsidRPr="002D5A5F" w:rsidRDefault="002D5A5F" w:rsidP="007E21A6">
      <w:pPr>
        <w:keepNext/>
        <w:keepLines/>
        <w:tabs>
          <w:tab w:val="left" w:pos="360"/>
        </w:tabs>
        <w:jc w:val="both"/>
        <w:rPr>
          <w:rFonts w:eastAsia="Calibri"/>
          <w:sz w:val="18"/>
          <w:szCs w:val="20"/>
          <w:lang w:val="en-GB"/>
        </w:rPr>
      </w:pPr>
    </w:p>
    <w:p w14:paraId="69F6F5CA" w14:textId="77777777" w:rsidR="002D5A5F" w:rsidRPr="002D5A5F" w:rsidRDefault="002D5A5F" w:rsidP="007E21A6">
      <w:pPr>
        <w:tabs>
          <w:tab w:val="left" w:pos="360"/>
          <w:tab w:val="left" w:pos="567"/>
        </w:tabs>
        <w:ind w:left="360" w:hanging="360"/>
        <w:jc w:val="both"/>
        <w:rPr>
          <w:i/>
          <w:sz w:val="22"/>
          <w:szCs w:val="22"/>
          <w:lang w:val="en-GB"/>
        </w:rPr>
      </w:pPr>
      <w:r w:rsidRPr="002D5A5F">
        <w:rPr>
          <w:i/>
          <w:iCs/>
          <w:sz w:val="22"/>
          <w:szCs w:val="22"/>
          <w:lang w:val="en-GB"/>
        </w:rPr>
        <w:t xml:space="preserve">Bol, fizička funkcija i ukočenost koje prijavljuju pacijenti </w:t>
      </w:r>
    </w:p>
    <w:p w14:paraId="424046E3" w14:textId="6D09A1F8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  <w:r w:rsidRPr="002D5A5F">
        <w:rPr>
          <w:sz w:val="22"/>
          <w:szCs w:val="20"/>
          <w:lang w:val="en-GB"/>
        </w:rPr>
        <w:t>Prom</w:t>
      </w:r>
      <w:r w:rsidR="008F3421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ena u 24.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 xml:space="preserve"> u odnosu na početnu vr</w:t>
      </w:r>
      <w:r w:rsidR="008F3421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pokazala je veću razliku za buro</w:t>
      </w:r>
      <w:r w:rsidR="008F3421">
        <w:rPr>
          <w:sz w:val="22"/>
          <w:szCs w:val="20"/>
          <w:lang w:val="en-GB"/>
        </w:rPr>
        <w:t>s</w:t>
      </w:r>
      <w:r w:rsidRPr="002D5A5F">
        <w:rPr>
          <w:sz w:val="22"/>
          <w:szCs w:val="20"/>
          <w:lang w:val="en-GB"/>
        </w:rPr>
        <w:t>umab u poređenju sa placebom u bolu (BPI), fizičkoj funkciji (WOMAC indeks) i ukočenosti (WOMAC indeks) koje prijavljuju pacijenti. Srednja vr</w:t>
      </w:r>
      <w:r w:rsidR="008F3421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 xml:space="preserve">ednost (SE) razlike između terapijskih grupa (burosumab-placebo) dostigla je statistički značaj za ukočenost </w:t>
      </w:r>
      <w:proofErr w:type="gramStart"/>
      <w:r w:rsidRPr="002D5A5F">
        <w:rPr>
          <w:sz w:val="22"/>
          <w:szCs w:val="20"/>
          <w:lang w:val="en-GB"/>
        </w:rPr>
        <w:t>na</w:t>
      </w:r>
      <w:proofErr w:type="gramEnd"/>
      <w:r w:rsidRPr="002D5A5F">
        <w:rPr>
          <w:sz w:val="22"/>
          <w:szCs w:val="20"/>
          <w:lang w:val="en-GB"/>
        </w:rPr>
        <w:t xml:space="preserve"> WOMAC indeksu u 24.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>. Detalji su prikazani u tabeli 6</w:t>
      </w:r>
    </w:p>
    <w:p w14:paraId="36EC39A6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1F6C5E36" w14:textId="3149A94E" w:rsidR="002D5A5F" w:rsidRPr="002D5A5F" w:rsidRDefault="002D5A5F" w:rsidP="007E21A6">
      <w:pPr>
        <w:keepNext/>
        <w:keepLines/>
        <w:jc w:val="both"/>
        <w:rPr>
          <w:rFonts w:eastAsia="Calibri"/>
          <w:b/>
          <w:bCs/>
          <w:sz w:val="22"/>
          <w:szCs w:val="22"/>
          <w:lang w:val="en-GB"/>
        </w:rPr>
      </w:pPr>
      <w:r w:rsidRPr="002D5A5F">
        <w:rPr>
          <w:rFonts w:eastAsia="Calibri"/>
          <w:b/>
          <w:bCs/>
          <w:sz w:val="22"/>
          <w:szCs w:val="22"/>
          <w:lang w:val="en-GB"/>
        </w:rPr>
        <w:t>Tabela 6: Prom</w:t>
      </w:r>
      <w:r w:rsidR="009B29D4">
        <w:rPr>
          <w:rFonts w:eastAsia="Calibri"/>
          <w:b/>
          <w:bCs/>
          <w:sz w:val="22"/>
          <w:szCs w:val="22"/>
          <w:lang w:val="en-GB"/>
        </w:rPr>
        <w:t>j</w:t>
      </w:r>
      <w:r w:rsidRPr="002D5A5F">
        <w:rPr>
          <w:rFonts w:eastAsia="Calibri"/>
          <w:b/>
          <w:bCs/>
          <w:sz w:val="22"/>
          <w:szCs w:val="22"/>
          <w:lang w:val="en-GB"/>
        </w:rPr>
        <w:t xml:space="preserve">ene skorova bola, fizičke funkcije i ukočenosti koje prijavljuju pacijenti </w:t>
      </w:r>
      <w:proofErr w:type="gramStart"/>
      <w:r w:rsidRPr="002D5A5F">
        <w:rPr>
          <w:rFonts w:eastAsia="Calibri"/>
          <w:b/>
          <w:bCs/>
          <w:sz w:val="22"/>
          <w:szCs w:val="22"/>
          <w:lang w:val="en-GB"/>
        </w:rPr>
        <w:t>od</w:t>
      </w:r>
      <w:proofErr w:type="gramEnd"/>
      <w:r w:rsidRPr="002D5A5F">
        <w:rPr>
          <w:rFonts w:eastAsia="Calibri"/>
          <w:b/>
          <w:bCs/>
          <w:sz w:val="22"/>
          <w:szCs w:val="22"/>
          <w:lang w:val="en-GB"/>
        </w:rPr>
        <w:t xml:space="preserve"> početne vr</w:t>
      </w:r>
      <w:r w:rsidR="008F3421">
        <w:rPr>
          <w:rFonts w:eastAsia="Calibri"/>
          <w:b/>
          <w:bCs/>
          <w:sz w:val="22"/>
          <w:szCs w:val="22"/>
          <w:lang w:val="en-GB"/>
        </w:rPr>
        <w:t>ij</w:t>
      </w:r>
      <w:r w:rsidRPr="002D5A5F">
        <w:rPr>
          <w:rFonts w:eastAsia="Calibri"/>
          <w:b/>
          <w:bCs/>
          <w:sz w:val="22"/>
          <w:szCs w:val="22"/>
          <w:lang w:val="en-GB"/>
        </w:rPr>
        <w:t xml:space="preserve">ednosti do 24. </w:t>
      </w:r>
      <w:proofErr w:type="gramStart"/>
      <w:r w:rsidR="008B0E2F">
        <w:rPr>
          <w:rFonts w:eastAsia="Calibri"/>
          <w:b/>
          <w:bCs/>
          <w:sz w:val="22"/>
          <w:szCs w:val="22"/>
          <w:lang w:val="en-GB"/>
        </w:rPr>
        <w:t>nedjelj</w:t>
      </w:r>
      <w:r w:rsidRPr="002D5A5F">
        <w:rPr>
          <w:rFonts w:eastAsia="Calibri"/>
          <w:b/>
          <w:bCs/>
          <w:sz w:val="22"/>
          <w:szCs w:val="22"/>
          <w:lang w:val="en-GB"/>
        </w:rPr>
        <w:t>e</w:t>
      </w:r>
      <w:proofErr w:type="gramEnd"/>
      <w:r w:rsidRPr="002D5A5F">
        <w:rPr>
          <w:rFonts w:eastAsia="Calibri"/>
          <w:b/>
          <w:bCs/>
          <w:sz w:val="22"/>
          <w:szCs w:val="22"/>
          <w:lang w:val="en-GB"/>
        </w:rPr>
        <w:t xml:space="preserve"> i analiza razlike u 24. </w:t>
      </w:r>
      <w:proofErr w:type="gramStart"/>
      <w:r w:rsidR="008B0E2F">
        <w:rPr>
          <w:rFonts w:eastAsia="Calibri"/>
          <w:b/>
          <w:bCs/>
          <w:sz w:val="22"/>
          <w:szCs w:val="22"/>
          <w:lang w:val="en-GB"/>
        </w:rPr>
        <w:t>nedjelj</w:t>
      </w:r>
      <w:r w:rsidRPr="002D5A5F">
        <w:rPr>
          <w:rFonts w:eastAsia="Calibri"/>
          <w:b/>
          <w:bCs/>
          <w:sz w:val="22"/>
          <w:szCs w:val="22"/>
          <w:lang w:val="en-GB"/>
        </w:rPr>
        <w:t>i</w:t>
      </w:r>
      <w:proofErr w:type="gramEnd"/>
    </w:p>
    <w:p w14:paraId="1B670D58" w14:textId="77777777" w:rsidR="002D5A5F" w:rsidRPr="002D5A5F" w:rsidRDefault="002D5A5F" w:rsidP="007E21A6">
      <w:pPr>
        <w:tabs>
          <w:tab w:val="left" w:pos="360"/>
        </w:tabs>
        <w:ind w:left="360" w:hanging="360"/>
        <w:jc w:val="both"/>
        <w:rPr>
          <w:rFonts w:eastAsia="Calibri"/>
          <w:b/>
          <w:bCs/>
          <w:sz w:val="20"/>
          <w:szCs w:val="20"/>
          <w:lang w:val="en-GB"/>
        </w:rPr>
      </w:pP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2"/>
        <w:gridCol w:w="2828"/>
        <w:gridCol w:w="63"/>
        <w:gridCol w:w="2907"/>
      </w:tblGrid>
      <w:tr w:rsidR="002D5A5F" w:rsidRPr="002D5A5F" w14:paraId="1C3CF568" w14:textId="77777777" w:rsidTr="00B111F9">
        <w:tc>
          <w:tcPr>
            <w:tcW w:w="3256" w:type="dxa"/>
            <w:shd w:val="clear" w:color="auto" w:fill="auto"/>
          </w:tcPr>
          <w:p w14:paraId="5B77A6A2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40" w:type="dxa"/>
            <w:gridSpan w:val="2"/>
            <w:shd w:val="clear" w:color="auto" w:fill="auto"/>
          </w:tcPr>
          <w:p w14:paraId="18408180" w14:textId="77777777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2D5A5F">
              <w:rPr>
                <w:b/>
                <w:bCs/>
                <w:sz w:val="20"/>
                <w:szCs w:val="20"/>
                <w:lang w:val="en-GB"/>
              </w:rPr>
              <w:t>Placebo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7DB4CD82" w14:textId="06A756B1" w:rsidR="002D5A5F" w:rsidRPr="002D5A5F" w:rsidRDefault="002D5A5F" w:rsidP="007E21A6">
            <w:pPr>
              <w:tabs>
                <w:tab w:val="left" w:pos="567"/>
              </w:tabs>
              <w:spacing w:line="260" w:lineRule="exact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2D5A5F">
              <w:rPr>
                <w:b/>
                <w:bCs/>
                <w:sz w:val="20"/>
                <w:szCs w:val="20"/>
                <w:lang w:val="en-GB"/>
              </w:rPr>
              <w:t>Buro</w:t>
            </w:r>
            <w:r w:rsidR="008F3421">
              <w:rPr>
                <w:b/>
                <w:bCs/>
                <w:sz w:val="20"/>
                <w:szCs w:val="20"/>
                <w:lang w:val="en-GB"/>
              </w:rPr>
              <w:t>s</w:t>
            </w:r>
            <w:r w:rsidRPr="002D5A5F">
              <w:rPr>
                <w:b/>
                <w:bCs/>
                <w:sz w:val="20"/>
                <w:szCs w:val="20"/>
                <w:lang w:val="en-GB"/>
              </w:rPr>
              <w:t>umab</w:t>
            </w:r>
          </w:p>
        </w:tc>
      </w:tr>
      <w:tr w:rsidR="002D5A5F" w:rsidRPr="002D5A5F" w14:paraId="1F5B0E4D" w14:textId="77777777" w:rsidTr="00B111F9">
        <w:tc>
          <w:tcPr>
            <w:tcW w:w="3256" w:type="dxa"/>
            <w:shd w:val="clear" w:color="auto" w:fill="auto"/>
          </w:tcPr>
          <w:p w14:paraId="699F4FF3" w14:textId="77777777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40" w:type="dxa"/>
            <w:gridSpan w:val="2"/>
            <w:shd w:val="clear" w:color="auto" w:fill="auto"/>
          </w:tcPr>
          <w:p w14:paraId="1FCB0DD2" w14:textId="77777777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sz w:val="20"/>
                <w:szCs w:val="20"/>
                <w:lang w:val="en-GB"/>
              </w:rPr>
            </w:pPr>
            <w:r w:rsidRPr="002D5A5F">
              <w:rPr>
                <w:sz w:val="20"/>
                <w:szCs w:val="20"/>
                <w:lang w:val="en-GB"/>
              </w:rPr>
              <w:t>N = 66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4BDE0462" w14:textId="77777777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sz w:val="20"/>
                <w:szCs w:val="20"/>
                <w:lang w:val="en-GB"/>
              </w:rPr>
            </w:pPr>
            <w:r w:rsidRPr="002D5A5F">
              <w:rPr>
                <w:sz w:val="20"/>
                <w:szCs w:val="20"/>
                <w:lang w:val="en-GB"/>
              </w:rPr>
              <w:t>N = 68</w:t>
            </w:r>
          </w:p>
        </w:tc>
      </w:tr>
      <w:tr w:rsidR="002D5A5F" w:rsidRPr="002D5A5F" w14:paraId="27930FFB" w14:textId="77777777" w:rsidTr="00B111F9">
        <w:tc>
          <w:tcPr>
            <w:tcW w:w="3256" w:type="dxa"/>
            <w:shd w:val="clear" w:color="auto" w:fill="auto"/>
          </w:tcPr>
          <w:p w14:paraId="03406CA1" w14:textId="77777777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2D5A5F">
              <w:rPr>
                <w:b/>
                <w:bCs/>
                <w:i/>
                <w:iCs/>
                <w:sz w:val="20"/>
                <w:szCs w:val="20"/>
                <w:lang w:val="en-GB"/>
              </w:rPr>
              <w:t>BPI najgori bol</w:t>
            </w:r>
            <w:r w:rsidRPr="002D5A5F">
              <w:rPr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599408FF" w14:textId="77777777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1F29F46F" w14:textId="77777777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2D5A5F" w:rsidRPr="002D5A5F" w14:paraId="13ECBF49" w14:textId="77777777" w:rsidTr="00B111F9">
        <w:trPr>
          <w:trHeight w:val="353"/>
        </w:trPr>
        <w:tc>
          <w:tcPr>
            <w:tcW w:w="3256" w:type="dxa"/>
            <w:shd w:val="clear" w:color="auto" w:fill="auto"/>
          </w:tcPr>
          <w:p w14:paraId="4FD8D8DD" w14:textId="0D8E3ED3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Prom</w:t>
            </w:r>
            <w:r w:rsidR="009B29D4">
              <w:rPr>
                <w:rFonts w:eastAsia="Calibri"/>
                <w:sz w:val="20"/>
                <w:szCs w:val="20"/>
                <w:lang w:val="en-GB"/>
              </w:rPr>
              <w:t>j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ena srednje vr</w:t>
            </w:r>
            <w:r w:rsidR="008F3421">
              <w:rPr>
                <w:rFonts w:eastAsia="Calibri"/>
                <w:sz w:val="20"/>
                <w:szCs w:val="20"/>
                <w:lang w:val="en-GB"/>
              </w:rPr>
              <w:t>ij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ednosti LS (SE) u odnosu na početnu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4D047777" w14:textId="77777777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sz w:val="20"/>
                <w:szCs w:val="20"/>
                <w:lang w:val="en-GB"/>
              </w:rPr>
            </w:pPr>
            <w:r w:rsidRPr="002D5A5F">
              <w:rPr>
                <w:sz w:val="20"/>
                <w:szCs w:val="20"/>
                <w:lang w:val="en-GB"/>
              </w:rPr>
              <w:t xml:space="preserve">-0,32 (0,2) 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3F6800A0" w14:textId="77777777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sz w:val="20"/>
                <w:szCs w:val="20"/>
                <w:lang w:val="en-GB"/>
              </w:rPr>
            </w:pPr>
            <w:r w:rsidRPr="002D5A5F">
              <w:rPr>
                <w:sz w:val="20"/>
                <w:szCs w:val="20"/>
                <w:lang w:val="en-GB"/>
              </w:rPr>
              <w:t>-0,79 (0,2)</w:t>
            </w:r>
          </w:p>
        </w:tc>
      </w:tr>
      <w:tr w:rsidR="002D5A5F" w:rsidRPr="002D5A5F" w14:paraId="2AF06A61" w14:textId="77777777" w:rsidTr="00B111F9">
        <w:tc>
          <w:tcPr>
            <w:tcW w:w="3256" w:type="dxa"/>
            <w:shd w:val="clear" w:color="auto" w:fill="auto"/>
          </w:tcPr>
          <w:p w14:paraId="7C732018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lastRenderedPageBreak/>
              <w:t>[95% CIs]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67A32AFB" w14:textId="77777777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[-0,76, 0,11]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79B4DF88" w14:textId="77777777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[-1,20, -0,37]</w:t>
            </w:r>
          </w:p>
        </w:tc>
      </w:tr>
      <w:tr w:rsidR="002D5A5F" w:rsidRPr="002D5A5F" w14:paraId="36013243" w14:textId="77777777" w:rsidTr="00B111F9">
        <w:tc>
          <w:tcPr>
            <w:tcW w:w="3256" w:type="dxa"/>
            <w:shd w:val="clear" w:color="auto" w:fill="auto"/>
          </w:tcPr>
          <w:p w14:paraId="642DDC62" w14:textId="3FAF057B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Razlika srednje vr</w:t>
            </w:r>
            <w:r w:rsidR="008F3421">
              <w:rPr>
                <w:rFonts w:eastAsia="Calibri"/>
                <w:sz w:val="20"/>
                <w:szCs w:val="20"/>
                <w:lang w:val="en-GB"/>
              </w:rPr>
              <w:t>ij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ednosti LS (SE) (buro</w:t>
            </w:r>
            <w:r w:rsidR="008F3421">
              <w:rPr>
                <w:rFonts w:eastAsia="Calibri"/>
                <w:sz w:val="20"/>
                <w:szCs w:val="20"/>
                <w:lang w:val="en-GB"/>
              </w:rPr>
              <w:t>s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umab-placebo)</w:t>
            </w:r>
          </w:p>
        </w:tc>
        <w:tc>
          <w:tcPr>
            <w:tcW w:w="5810" w:type="dxa"/>
            <w:gridSpan w:val="4"/>
            <w:shd w:val="clear" w:color="auto" w:fill="auto"/>
          </w:tcPr>
          <w:p w14:paraId="4E6C90F0" w14:textId="77777777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sz w:val="20"/>
                <w:szCs w:val="20"/>
                <w:lang w:val="en-GB"/>
              </w:rPr>
            </w:pPr>
            <w:r w:rsidRPr="002D5A5F">
              <w:rPr>
                <w:sz w:val="20"/>
                <w:szCs w:val="20"/>
                <w:lang w:val="en-GB"/>
              </w:rPr>
              <w:t>-0,5 (0,28)</w:t>
            </w:r>
          </w:p>
        </w:tc>
      </w:tr>
      <w:tr w:rsidR="002D5A5F" w:rsidRPr="002D5A5F" w14:paraId="4955675F" w14:textId="77777777" w:rsidTr="00B111F9">
        <w:tc>
          <w:tcPr>
            <w:tcW w:w="3256" w:type="dxa"/>
            <w:shd w:val="clear" w:color="auto" w:fill="auto"/>
          </w:tcPr>
          <w:p w14:paraId="66F1FD78" w14:textId="0A58B1BA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p-vr</w:t>
            </w:r>
            <w:r w:rsidR="008F3421">
              <w:rPr>
                <w:rFonts w:eastAsia="Calibri"/>
                <w:sz w:val="20"/>
                <w:szCs w:val="20"/>
                <w:lang w:val="en-GB"/>
              </w:rPr>
              <w:t>ij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ednost</w:t>
            </w:r>
          </w:p>
        </w:tc>
        <w:tc>
          <w:tcPr>
            <w:tcW w:w="5810" w:type="dxa"/>
            <w:gridSpan w:val="4"/>
            <w:shd w:val="clear" w:color="auto" w:fill="auto"/>
          </w:tcPr>
          <w:p w14:paraId="6C95C938" w14:textId="77777777" w:rsidR="002D5A5F" w:rsidRPr="002D5A5F" w:rsidRDefault="002D5A5F" w:rsidP="007E21A6">
            <w:pPr>
              <w:keepLines/>
              <w:tabs>
                <w:tab w:val="left" w:pos="567"/>
              </w:tabs>
              <w:spacing w:line="260" w:lineRule="exact"/>
              <w:jc w:val="both"/>
              <w:rPr>
                <w:sz w:val="20"/>
                <w:szCs w:val="20"/>
                <w:lang w:val="en-GB"/>
              </w:rPr>
            </w:pPr>
            <w:r w:rsidRPr="002D5A5F">
              <w:rPr>
                <w:sz w:val="20"/>
                <w:szCs w:val="20"/>
                <w:lang w:val="en-GB"/>
              </w:rPr>
              <w:t>0,0919</w:t>
            </w:r>
            <w:r w:rsidRPr="002D5A5F">
              <w:rPr>
                <w:sz w:val="20"/>
                <w:szCs w:val="20"/>
                <w:vertAlign w:val="superscript"/>
                <w:lang w:val="en-GB"/>
              </w:rPr>
              <w:t>c</w:t>
            </w:r>
          </w:p>
        </w:tc>
      </w:tr>
      <w:tr w:rsidR="002D5A5F" w:rsidRPr="002D5A5F" w14:paraId="765088B4" w14:textId="77777777" w:rsidTr="00B111F9">
        <w:tc>
          <w:tcPr>
            <w:tcW w:w="9066" w:type="dxa"/>
            <w:gridSpan w:val="5"/>
            <w:shd w:val="clear" w:color="auto" w:fill="auto"/>
          </w:tcPr>
          <w:p w14:paraId="6C6B956E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  <w:t>Fizička funkcija prema indeksu WOMAC</w:t>
            </w:r>
            <w:r w:rsidRPr="002D5A5F">
              <w:rPr>
                <w:rFonts w:eastAsia="Calibri"/>
                <w:b/>
                <w:bCs/>
                <w:i/>
                <w:iCs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2D5A5F" w:rsidRPr="002D5A5F" w14:paraId="1A8B760B" w14:textId="77777777" w:rsidTr="00B111F9">
        <w:tc>
          <w:tcPr>
            <w:tcW w:w="3268" w:type="dxa"/>
            <w:gridSpan w:val="2"/>
            <w:shd w:val="clear" w:color="auto" w:fill="auto"/>
          </w:tcPr>
          <w:p w14:paraId="0A996964" w14:textId="26CE8443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Prom</w:t>
            </w:r>
            <w:r w:rsidR="008F3421">
              <w:rPr>
                <w:rFonts w:eastAsia="Calibri"/>
                <w:sz w:val="20"/>
                <w:szCs w:val="20"/>
                <w:lang w:val="en-GB"/>
              </w:rPr>
              <w:t>j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ena srednje vr</w:t>
            </w:r>
            <w:r w:rsidR="008F3421">
              <w:rPr>
                <w:rFonts w:eastAsia="Calibri"/>
                <w:sz w:val="20"/>
                <w:szCs w:val="20"/>
                <w:lang w:val="en-GB"/>
              </w:rPr>
              <w:t>ij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ednosti LS (SE) u odnosu na početnu</w:t>
            </w:r>
          </w:p>
          <w:p w14:paraId="3A6CC884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</w:p>
          <w:p w14:paraId="7A5549B7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[95% CIs]</w:t>
            </w:r>
          </w:p>
        </w:tc>
        <w:tc>
          <w:tcPr>
            <w:tcW w:w="2891" w:type="dxa"/>
            <w:gridSpan w:val="2"/>
            <w:shd w:val="clear" w:color="auto" w:fill="auto"/>
          </w:tcPr>
          <w:p w14:paraId="34F9E28C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+1,79 (2,7)</w:t>
            </w:r>
          </w:p>
          <w:p w14:paraId="7174F271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</w:p>
          <w:p w14:paraId="2E85D43C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[-3,54, 7,13]</w:t>
            </w:r>
          </w:p>
        </w:tc>
        <w:tc>
          <w:tcPr>
            <w:tcW w:w="2907" w:type="dxa"/>
            <w:shd w:val="clear" w:color="auto" w:fill="auto"/>
          </w:tcPr>
          <w:p w14:paraId="5F2BCCF3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-3,11 (2,6)</w:t>
            </w:r>
          </w:p>
          <w:p w14:paraId="2E62673C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</w:p>
          <w:p w14:paraId="101F444A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[-8,12, 1,89]</w:t>
            </w:r>
          </w:p>
        </w:tc>
      </w:tr>
      <w:tr w:rsidR="002D5A5F" w:rsidRPr="002D5A5F" w14:paraId="5D5BCD0A" w14:textId="77777777" w:rsidTr="00B111F9">
        <w:tc>
          <w:tcPr>
            <w:tcW w:w="3268" w:type="dxa"/>
            <w:gridSpan w:val="2"/>
            <w:shd w:val="clear" w:color="auto" w:fill="auto"/>
          </w:tcPr>
          <w:p w14:paraId="733C4F72" w14:textId="414C8B9C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Razlika srednje vr</w:t>
            </w:r>
            <w:r w:rsidR="008F3421">
              <w:rPr>
                <w:rFonts w:eastAsia="Calibri"/>
                <w:sz w:val="20"/>
                <w:szCs w:val="20"/>
                <w:lang w:val="en-GB"/>
              </w:rPr>
              <w:t>ij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ednosti LS (SE)</w:t>
            </w:r>
          </w:p>
        </w:tc>
        <w:tc>
          <w:tcPr>
            <w:tcW w:w="5798" w:type="dxa"/>
            <w:gridSpan w:val="3"/>
            <w:shd w:val="clear" w:color="auto" w:fill="auto"/>
          </w:tcPr>
          <w:p w14:paraId="6BC0C53E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-4,9 (2,5)</w:t>
            </w:r>
          </w:p>
        </w:tc>
      </w:tr>
      <w:tr w:rsidR="002D5A5F" w:rsidRPr="002D5A5F" w14:paraId="26C8D862" w14:textId="77777777" w:rsidTr="00B111F9">
        <w:tc>
          <w:tcPr>
            <w:tcW w:w="3268" w:type="dxa"/>
            <w:gridSpan w:val="2"/>
            <w:shd w:val="clear" w:color="auto" w:fill="auto"/>
          </w:tcPr>
          <w:p w14:paraId="25D5D9AB" w14:textId="562496AC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p-vr</w:t>
            </w:r>
            <w:r w:rsidR="008F3421">
              <w:rPr>
                <w:rFonts w:eastAsia="Calibri"/>
                <w:sz w:val="20"/>
                <w:szCs w:val="20"/>
                <w:lang w:val="en-GB"/>
              </w:rPr>
              <w:t>ij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ednost</w:t>
            </w:r>
          </w:p>
        </w:tc>
        <w:tc>
          <w:tcPr>
            <w:tcW w:w="5798" w:type="dxa"/>
            <w:gridSpan w:val="3"/>
            <w:shd w:val="clear" w:color="auto" w:fill="auto"/>
          </w:tcPr>
          <w:p w14:paraId="180C3137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trike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0,0478</w:t>
            </w:r>
            <w:r w:rsidRPr="002D5A5F">
              <w:rPr>
                <w:rFonts w:eastAsia="Calibri"/>
                <w:sz w:val="20"/>
                <w:szCs w:val="20"/>
                <w:vertAlign w:val="superscript"/>
                <w:lang w:val="en-GB"/>
              </w:rPr>
              <w:t>c</w:t>
            </w:r>
          </w:p>
        </w:tc>
      </w:tr>
      <w:tr w:rsidR="002D5A5F" w:rsidRPr="002D5A5F" w14:paraId="6B8495E7" w14:textId="77777777" w:rsidTr="00B111F9">
        <w:tc>
          <w:tcPr>
            <w:tcW w:w="9066" w:type="dxa"/>
            <w:gridSpan w:val="5"/>
            <w:shd w:val="clear" w:color="auto" w:fill="auto"/>
          </w:tcPr>
          <w:p w14:paraId="0221F36F" w14:textId="77777777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  <w:t>Ukočenost prema indeksu WOMAC</w:t>
            </w:r>
            <w:r w:rsidRPr="002D5A5F">
              <w:rPr>
                <w:rFonts w:eastAsia="Calibri"/>
                <w:b/>
                <w:bCs/>
                <w:i/>
                <w:iCs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2D5A5F" w:rsidRPr="002D5A5F" w14:paraId="34E98EF5" w14:textId="77777777" w:rsidTr="00B111F9">
        <w:trPr>
          <w:trHeight w:val="653"/>
        </w:trPr>
        <w:tc>
          <w:tcPr>
            <w:tcW w:w="3268" w:type="dxa"/>
            <w:gridSpan w:val="2"/>
            <w:shd w:val="clear" w:color="auto" w:fill="auto"/>
          </w:tcPr>
          <w:p w14:paraId="5877C20B" w14:textId="5AC2A18E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Prom</w:t>
            </w:r>
            <w:r w:rsidR="009B29D4">
              <w:rPr>
                <w:rFonts w:eastAsia="Calibri"/>
                <w:sz w:val="20"/>
                <w:szCs w:val="20"/>
                <w:lang w:val="en-GB"/>
              </w:rPr>
              <w:t>j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ena srednje vr</w:t>
            </w:r>
            <w:r w:rsidR="008F3421">
              <w:rPr>
                <w:rFonts w:eastAsia="Calibri"/>
                <w:sz w:val="20"/>
                <w:szCs w:val="20"/>
                <w:lang w:val="en-GB"/>
              </w:rPr>
              <w:t>ij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ednosti LS (SE) u odnosu na početnu</w:t>
            </w:r>
          </w:p>
          <w:p w14:paraId="055C0BF9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</w:p>
          <w:p w14:paraId="3743F91E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[95% CIs]</w:t>
            </w:r>
          </w:p>
        </w:tc>
        <w:tc>
          <w:tcPr>
            <w:tcW w:w="2891" w:type="dxa"/>
            <w:gridSpan w:val="2"/>
            <w:shd w:val="clear" w:color="auto" w:fill="auto"/>
          </w:tcPr>
          <w:p w14:paraId="45B8CD70" w14:textId="77777777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 xml:space="preserve">+0,25 (3,1) </w:t>
            </w:r>
          </w:p>
          <w:p w14:paraId="5DAE1DD9" w14:textId="77777777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</w:p>
          <w:p w14:paraId="7BBBF7B4" w14:textId="77777777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[5,89, 6,39]</w:t>
            </w:r>
          </w:p>
        </w:tc>
        <w:tc>
          <w:tcPr>
            <w:tcW w:w="2907" w:type="dxa"/>
            <w:shd w:val="clear" w:color="auto" w:fill="auto"/>
          </w:tcPr>
          <w:p w14:paraId="751AA77A" w14:textId="77777777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 xml:space="preserve">-7,87 (3,0) </w:t>
            </w:r>
          </w:p>
          <w:p w14:paraId="1A97F386" w14:textId="77777777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</w:p>
          <w:p w14:paraId="52662D6D" w14:textId="77777777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[-13,82, -1,91]</w:t>
            </w:r>
          </w:p>
        </w:tc>
      </w:tr>
      <w:tr w:rsidR="002D5A5F" w:rsidRPr="002D5A5F" w14:paraId="2493A76E" w14:textId="77777777" w:rsidTr="00B111F9">
        <w:tc>
          <w:tcPr>
            <w:tcW w:w="3268" w:type="dxa"/>
            <w:gridSpan w:val="2"/>
            <w:shd w:val="clear" w:color="auto" w:fill="auto"/>
          </w:tcPr>
          <w:p w14:paraId="7F1E171B" w14:textId="5836AFB1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Razlika srednje vr</w:t>
            </w:r>
            <w:r w:rsidR="008F3421">
              <w:rPr>
                <w:rFonts w:eastAsia="Calibri"/>
                <w:sz w:val="20"/>
                <w:szCs w:val="20"/>
                <w:lang w:val="en-GB"/>
              </w:rPr>
              <w:t>ij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ednosti LS (SE) (buro</w:t>
            </w:r>
            <w:r w:rsidR="008F3421">
              <w:rPr>
                <w:rFonts w:eastAsia="Calibri"/>
                <w:sz w:val="20"/>
                <w:szCs w:val="20"/>
                <w:lang w:val="en-GB"/>
              </w:rPr>
              <w:t>s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umab-placebo)</w:t>
            </w:r>
          </w:p>
        </w:tc>
        <w:tc>
          <w:tcPr>
            <w:tcW w:w="5798" w:type="dxa"/>
            <w:gridSpan w:val="3"/>
            <w:shd w:val="clear" w:color="auto" w:fill="auto"/>
          </w:tcPr>
          <w:p w14:paraId="4069594D" w14:textId="77777777" w:rsidR="002D5A5F" w:rsidRPr="002D5A5F" w:rsidRDefault="002D5A5F" w:rsidP="007E21A6">
            <w:pPr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 xml:space="preserve">-8,12 (3,2) </w:t>
            </w:r>
          </w:p>
        </w:tc>
      </w:tr>
      <w:tr w:rsidR="002D5A5F" w:rsidRPr="002D5A5F" w14:paraId="0BB9A8A0" w14:textId="77777777" w:rsidTr="00B111F9">
        <w:tc>
          <w:tcPr>
            <w:tcW w:w="3268" w:type="dxa"/>
            <w:gridSpan w:val="2"/>
            <w:shd w:val="clear" w:color="auto" w:fill="auto"/>
          </w:tcPr>
          <w:p w14:paraId="4F8AF33D" w14:textId="0788524D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>p-vr</w:t>
            </w:r>
            <w:r w:rsidR="008F3421">
              <w:rPr>
                <w:rFonts w:eastAsia="Calibri"/>
                <w:sz w:val="20"/>
                <w:szCs w:val="20"/>
                <w:lang w:val="en-GB"/>
              </w:rPr>
              <w:t>ij</w:t>
            </w:r>
            <w:r w:rsidRPr="002D5A5F">
              <w:rPr>
                <w:rFonts w:eastAsia="Calibri"/>
                <w:sz w:val="20"/>
                <w:szCs w:val="20"/>
                <w:lang w:val="en-GB"/>
              </w:rPr>
              <w:t>ednost</w:t>
            </w:r>
          </w:p>
        </w:tc>
        <w:tc>
          <w:tcPr>
            <w:tcW w:w="5798" w:type="dxa"/>
            <w:gridSpan w:val="3"/>
            <w:shd w:val="clear" w:color="auto" w:fill="auto"/>
          </w:tcPr>
          <w:p w14:paraId="20A2418E" w14:textId="77777777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2D5A5F">
              <w:rPr>
                <w:rFonts w:eastAsia="Calibri"/>
                <w:sz w:val="20"/>
                <w:szCs w:val="20"/>
                <w:lang w:val="en-GB"/>
              </w:rPr>
              <w:t xml:space="preserve">0,0122 </w:t>
            </w:r>
          </w:p>
        </w:tc>
      </w:tr>
      <w:tr w:rsidR="002D5A5F" w:rsidRPr="002D5A5F" w14:paraId="4B8E1212" w14:textId="77777777" w:rsidTr="00B111F9">
        <w:tc>
          <w:tcPr>
            <w:tcW w:w="9066" w:type="dxa"/>
            <w:gridSpan w:val="5"/>
            <w:shd w:val="clear" w:color="auto" w:fill="auto"/>
          </w:tcPr>
          <w:p w14:paraId="6C86B2E7" w14:textId="77777777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18"/>
                <w:szCs w:val="18"/>
                <w:vertAlign w:val="superscript"/>
                <w:lang w:val="en-GB"/>
              </w:rPr>
            </w:pPr>
          </w:p>
          <w:p w14:paraId="068A2B47" w14:textId="77777777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18"/>
                <w:szCs w:val="18"/>
                <w:vertAlign w:val="superscript"/>
                <w:lang w:val="en-GB"/>
              </w:rPr>
            </w:pPr>
            <w:r w:rsidRPr="002D5A5F">
              <w:rPr>
                <w:rFonts w:eastAsia="Calibri"/>
                <w:sz w:val="18"/>
                <w:szCs w:val="18"/>
                <w:vertAlign w:val="superscript"/>
                <w:lang w:val="en-GB"/>
              </w:rPr>
              <w:t xml:space="preserve">a </w:t>
            </w:r>
            <w:r w:rsidRPr="002D5A5F">
              <w:rPr>
                <w:rFonts w:eastAsia="Calibri"/>
                <w:sz w:val="18"/>
                <w:szCs w:val="18"/>
                <w:lang w:val="en-GB"/>
              </w:rPr>
              <w:t>Skor stavke za najgori bol prema BPI kreće se u rasponu od 0 (nema bola) do 10 (najgori bol koji se može zamisliti)</w:t>
            </w:r>
          </w:p>
          <w:p w14:paraId="7DAAF0DF" w14:textId="77777777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18"/>
                <w:szCs w:val="18"/>
                <w:vertAlign w:val="superscript"/>
                <w:lang w:val="en-GB"/>
              </w:rPr>
            </w:pPr>
            <w:r w:rsidRPr="002D5A5F">
              <w:rPr>
                <w:rFonts w:eastAsia="Calibri"/>
                <w:sz w:val="18"/>
                <w:szCs w:val="18"/>
                <w:vertAlign w:val="superscript"/>
                <w:lang w:val="en-GB"/>
              </w:rPr>
              <w:t xml:space="preserve">b </w:t>
            </w:r>
            <w:r w:rsidRPr="002D5A5F">
              <w:rPr>
                <w:rFonts w:eastAsia="Calibri"/>
                <w:sz w:val="18"/>
                <w:szCs w:val="18"/>
                <w:lang w:val="en-GB"/>
              </w:rPr>
              <w:t xml:space="preserve">Domeni fizičke funkcije i ukočenosti prema indeksu WOMAC kreću se u rasponu od 0 (najbolje zdravlje) do 100 (najgore zdravlje) </w:t>
            </w:r>
          </w:p>
          <w:p w14:paraId="21E7900D" w14:textId="77777777" w:rsidR="002D5A5F" w:rsidRPr="002D5A5F" w:rsidRDefault="002D5A5F" w:rsidP="007E21A6">
            <w:pPr>
              <w:keepNext/>
              <w:keepLines/>
              <w:tabs>
                <w:tab w:val="left" w:pos="360"/>
                <w:tab w:val="left" w:pos="567"/>
              </w:tabs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2D5A5F">
              <w:rPr>
                <w:rFonts w:eastAsia="Calibri"/>
                <w:sz w:val="18"/>
                <w:szCs w:val="18"/>
                <w:vertAlign w:val="superscript"/>
                <w:lang w:val="en-GB"/>
              </w:rPr>
              <w:t xml:space="preserve">c </w:t>
            </w:r>
            <w:r w:rsidRPr="002D5A5F">
              <w:rPr>
                <w:rFonts w:eastAsia="Calibri"/>
                <w:sz w:val="18"/>
                <w:szCs w:val="18"/>
                <w:lang w:val="en-GB"/>
              </w:rPr>
              <w:t>Nije značajno nakon Hochbergovog podešavanja</w:t>
            </w:r>
          </w:p>
        </w:tc>
      </w:tr>
    </w:tbl>
    <w:p w14:paraId="24582418" w14:textId="77777777" w:rsidR="002D5A5F" w:rsidRPr="002D5A5F" w:rsidRDefault="002D5A5F" w:rsidP="007E21A6">
      <w:pPr>
        <w:keepNext/>
        <w:keepLines/>
        <w:spacing w:line="280" w:lineRule="atLeast"/>
        <w:jc w:val="both"/>
        <w:rPr>
          <w:rFonts w:eastAsia="Verdana"/>
          <w:b/>
          <w:sz w:val="28"/>
          <w:szCs w:val="18"/>
          <w:lang w:val="en-GB" w:eastAsia="en-GB"/>
        </w:rPr>
      </w:pPr>
    </w:p>
    <w:p w14:paraId="646D613E" w14:textId="77777777" w:rsidR="002D5A5F" w:rsidRPr="002D5A5F" w:rsidRDefault="002D5A5F" w:rsidP="007E21A6">
      <w:pPr>
        <w:tabs>
          <w:tab w:val="left" w:pos="720"/>
        </w:tabs>
        <w:autoSpaceDE w:val="0"/>
        <w:autoSpaceDN w:val="0"/>
        <w:adjustRightInd w:val="0"/>
        <w:jc w:val="both"/>
        <w:rPr>
          <w:i/>
          <w:sz w:val="22"/>
          <w:szCs w:val="20"/>
          <w:lang w:val="en-GB"/>
        </w:rPr>
      </w:pPr>
      <w:bookmarkStart w:id="11" w:name="_Ref514939359"/>
      <w:bookmarkStart w:id="12" w:name="_Toc514944847"/>
      <w:r w:rsidRPr="002D5A5F">
        <w:rPr>
          <w:i/>
          <w:iCs/>
          <w:sz w:val="22"/>
          <w:szCs w:val="20"/>
          <w:lang w:val="en-GB"/>
        </w:rPr>
        <w:t>Šestominutni test hoda</w:t>
      </w:r>
    </w:p>
    <w:p w14:paraId="53386E06" w14:textId="4CF9AA23" w:rsidR="002D5A5F" w:rsidRPr="002D5A5F" w:rsidRDefault="002D5A5F" w:rsidP="007E21A6">
      <w:pPr>
        <w:tabs>
          <w:tab w:val="left" w:pos="567"/>
        </w:tabs>
        <w:spacing w:line="260" w:lineRule="exact"/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 xml:space="preserve">Ovaj test fizičke aktivnosti sproveden je kod svih pacijenata </w:t>
      </w:r>
      <w:proofErr w:type="gramStart"/>
      <w:r w:rsidRPr="002D5A5F">
        <w:rPr>
          <w:sz w:val="22"/>
          <w:szCs w:val="20"/>
          <w:lang w:val="en-GB"/>
        </w:rPr>
        <w:t>na</w:t>
      </w:r>
      <w:proofErr w:type="gramEnd"/>
      <w:r w:rsidRPr="002D5A5F">
        <w:rPr>
          <w:sz w:val="22"/>
          <w:szCs w:val="20"/>
          <w:lang w:val="en-GB"/>
        </w:rPr>
        <w:t xml:space="preserve"> početku, u 12, 24, 36. </w:t>
      </w:r>
      <w:proofErr w:type="gramStart"/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 xml:space="preserve"> 48.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 xml:space="preserve"> (srednja vr</w:t>
      </w:r>
      <w:r w:rsidR="008F3421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LS razlike u prom</w:t>
      </w:r>
      <w:r w:rsidR="008F3421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eni u odnosu na početnu vr</w:t>
      </w:r>
      <w:r w:rsidR="008F3421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 xml:space="preserve">ednost, burosumab→placebo, tabela 7). Poboljšanja su se nastavila do kraja 48.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e</w:t>
      </w:r>
      <w:proofErr w:type="gramEnd"/>
      <w:r w:rsidRPr="002D5A5F">
        <w:rPr>
          <w:sz w:val="22"/>
          <w:szCs w:val="20"/>
          <w:lang w:val="en-GB"/>
        </w:rPr>
        <w:t xml:space="preserve">, pa se razdaljina pređena hodanjem povećala sa početnih 357 m na 393 m u 48.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 xml:space="preserve">. Pacijenti koji su prešli </w:t>
      </w:r>
      <w:proofErr w:type="gramStart"/>
      <w:r w:rsidRPr="002D5A5F">
        <w:rPr>
          <w:sz w:val="22"/>
          <w:szCs w:val="20"/>
          <w:lang w:val="en-GB"/>
        </w:rPr>
        <w:t>sa</w:t>
      </w:r>
      <w:proofErr w:type="gramEnd"/>
      <w:r w:rsidRPr="002D5A5F">
        <w:rPr>
          <w:sz w:val="22"/>
          <w:szCs w:val="20"/>
          <w:lang w:val="en-GB"/>
        </w:rPr>
        <w:t xml:space="preserve"> placeba na burosumab postigli su slična poboljšanja nakon 24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e l</w:t>
      </w:r>
      <w:r w:rsidR="008F3421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 xml:space="preserve">ečenja. </w:t>
      </w:r>
    </w:p>
    <w:p w14:paraId="36E1C89A" w14:textId="77777777" w:rsidR="002D5A5F" w:rsidRPr="002D5A5F" w:rsidRDefault="002D5A5F" w:rsidP="007E21A6">
      <w:pPr>
        <w:tabs>
          <w:tab w:val="left" w:pos="567"/>
        </w:tabs>
        <w:spacing w:line="260" w:lineRule="exact"/>
        <w:jc w:val="both"/>
        <w:rPr>
          <w:rFonts w:eastAsia="SimSun"/>
          <w:b/>
          <w:bCs/>
          <w:sz w:val="22"/>
          <w:szCs w:val="22"/>
          <w:lang w:val="en-GB"/>
        </w:rPr>
      </w:pPr>
    </w:p>
    <w:p w14:paraId="0ED98F6B" w14:textId="336A4D97" w:rsidR="002D5A5F" w:rsidRPr="002D5A5F" w:rsidRDefault="002D5A5F" w:rsidP="007E21A6">
      <w:pPr>
        <w:keepNext/>
        <w:keepLines/>
        <w:tabs>
          <w:tab w:val="left" w:pos="567"/>
        </w:tabs>
        <w:spacing w:line="260" w:lineRule="exact"/>
        <w:ind w:left="851" w:hanging="851"/>
        <w:jc w:val="both"/>
        <w:rPr>
          <w:rFonts w:eastAsia="SimSun"/>
          <w:b/>
          <w:bCs/>
          <w:sz w:val="22"/>
          <w:szCs w:val="22"/>
          <w:lang w:val="en-GB"/>
        </w:rPr>
      </w:pPr>
      <w:r w:rsidRPr="002D5A5F">
        <w:rPr>
          <w:rFonts w:eastAsia="SimSun"/>
          <w:b/>
          <w:bCs/>
          <w:sz w:val="22"/>
          <w:szCs w:val="22"/>
          <w:lang w:val="en-GB"/>
        </w:rPr>
        <w:t xml:space="preserve">Tabela 7: Razdaljina (SD) pređena </w:t>
      </w:r>
      <w:proofErr w:type="gramStart"/>
      <w:r w:rsidRPr="002D5A5F">
        <w:rPr>
          <w:rFonts w:eastAsia="SimSun"/>
          <w:b/>
          <w:bCs/>
          <w:sz w:val="22"/>
          <w:szCs w:val="22"/>
          <w:lang w:val="en-GB"/>
        </w:rPr>
        <w:t>na</w:t>
      </w:r>
      <w:proofErr w:type="gramEnd"/>
      <w:r w:rsidRPr="002D5A5F">
        <w:rPr>
          <w:rFonts w:eastAsia="SimSun"/>
          <w:b/>
          <w:bCs/>
          <w:sz w:val="22"/>
          <w:szCs w:val="22"/>
          <w:lang w:val="en-GB"/>
        </w:rPr>
        <w:t xml:space="preserve"> početku i u 24. </w:t>
      </w:r>
      <w:proofErr w:type="gramStart"/>
      <w:r w:rsidR="008B0E2F">
        <w:rPr>
          <w:rFonts w:eastAsia="SimSun"/>
          <w:b/>
          <w:bCs/>
          <w:sz w:val="22"/>
          <w:szCs w:val="22"/>
          <w:lang w:val="en-GB"/>
        </w:rPr>
        <w:t>nedjelj</w:t>
      </w:r>
      <w:r w:rsidRPr="002D5A5F">
        <w:rPr>
          <w:rFonts w:eastAsia="SimSun"/>
          <w:b/>
          <w:bCs/>
          <w:sz w:val="22"/>
          <w:szCs w:val="22"/>
          <w:lang w:val="en-GB"/>
        </w:rPr>
        <w:t>i</w:t>
      </w:r>
      <w:proofErr w:type="gramEnd"/>
      <w:r w:rsidRPr="002D5A5F">
        <w:rPr>
          <w:rFonts w:eastAsia="SimSun"/>
          <w:b/>
          <w:bCs/>
          <w:sz w:val="22"/>
          <w:szCs w:val="22"/>
          <w:lang w:val="en-GB"/>
        </w:rPr>
        <w:t xml:space="preserve"> izm</w:t>
      </w:r>
      <w:r w:rsidR="009B29D4">
        <w:rPr>
          <w:rFonts w:eastAsia="SimSun"/>
          <w:b/>
          <w:bCs/>
          <w:sz w:val="22"/>
          <w:szCs w:val="22"/>
          <w:lang w:val="en-GB"/>
        </w:rPr>
        <w:t>j</w:t>
      </w:r>
      <w:r w:rsidRPr="002D5A5F">
        <w:rPr>
          <w:rFonts w:eastAsia="SimSun"/>
          <w:b/>
          <w:bCs/>
          <w:sz w:val="22"/>
          <w:szCs w:val="22"/>
          <w:lang w:val="en-GB"/>
        </w:rPr>
        <w:t>erena šestominutnim testom hoda; srednja vr</w:t>
      </w:r>
      <w:r w:rsidR="008F3421">
        <w:rPr>
          <w:rFonts w:eastAsia="SimSun"/>
          <w:b/>
          <w:bCs/>
          <w:sz w:val="22"/>
          <w:szCs w:val="22"/>
          <w:lang w:val="en-GB"/>
        </w:rPr>
        <w:t>ij</w:t>
      </w:r>
      <w:r w:rsidRPr="002D5A5F">
        <w:rPr>
          <w:rFonts w:eastAsia="SimSun"/>
          <w:b/>
          <w:bCs/>
          <w:sz w:val="22"/>
          <w:szCs w:val="22"/>
          <w:lang w:val="en-GB"/>
        </w:rPr>
        <w:t>ednost razlike najmanjih kvadrata (SE)</w:t>
      </w:r>
    </w:p>
    <w:p w14:paraId="4B5FBCAF" w14:textId="77777777" w:rsidR="002D5A5F" w:rsidRPr="002D5A5F" w:rsidRDefault="002D5A5F" w:rsidP="007E21A6">
      <w:pPr>
        <w:keepNext/>
        <w:keepLines/>
        <w:tabs>
          <w:tab w:val="left" w:pos="567"/>
        </w:tabs>
        <w:spacing w:line="260" w:lineRule="exact"/>
        <w:jc w:val="both"/>
        <w:rPr>
          <w:sz w:val="22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410"/>
        <w:gridCol w:w="2403"/>
      </w:tblGrid>
      <w:tr w:rsidR="002D5A5F" w:rsidRPr="002D5A5F" w14:paraId="3475050A" w14:textId="77777777" w:rsidTr="00B111F9">
        <w:tc>
          <w:tcPr>
            <w:tcW w:w="4248" w:type="dxa"/>
            <w:shd w:val="clear" w:color="auto" w:fill="auto"/>
          </w:tcPr>
          <w:p w14:paraId="32D663FC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2D5A5F">
              <w:rPr>
                <w:b/>
                <w:bCs/>
                <w:sz w:val="22"/>
                <w:szCs w:val="20"/>
                <w:lang w:val="en-GB"/>
              </w:rPr>
              <w:t>Šestominutni test hoda, m(SD)</w:t>
            </w:r>
          </w:p>
        </w:tc>
        <w:tc>
          <w:tcPr>
            <w:tcW w:w="2410" w:type="dxa"/>
            <w:shd w:val="clear" w:color="auto" w:fill="auto"/>
          </w:tcPr>
          <w:p w14:paraId="65C68F4A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2D5A5F">
              <w:rPr>
                <w:b/>
                <w:bCs/>
                <w:sz w:val="22"/>
                <w:szCs w:val="20"/>
                <w:lang w:val="en-GB"/>
              </w:rPr>
              <w:t>Placebo</w:t>
            </w:r>
          </w:p>
        </w:tc>
        <w:tc>
          <w:tcPr>
            <w:tcW w:w="2403" w:type="dxa"/>
            <w:shd w:val="clear" w:color="auto" w:fill="auto"/>
          </w:tcPr>
          <w:p w14:paraId="0D73F46F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2D5A5F">
              <w:rPr>
                <w:b/>
                <w:bCs/>
                <w:sz w:val="22"/>
                <w:szCs w:val="20"/>
                <w:lang w:val="en-GB"/>
              </w:rPr>
              <w:t>Burosumab</w:t>
            </w:r>
          </w:p>
        </w:tc>
      </w:tr>
      <w:tr w:rsidR="002D5A5F" w:rsidRPr="002D5A5F" w14:paraId="3EB3EB69" w14:textId="77777777" w:rsidTr="00B111F9">
        <w:tc>
          <w:tcPr>
            <w:tcW w:w="4248" w:type="dxa"/>
            <w:shd w:val="clear" w:color="auto" w:fill="auto"/>
          </w:tcPr>
          <w:p w14:paraId="084F2BC0" w14:textId="1C05BBAD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Početna vr</w:t>
            </w:r>
            <w:r w:rsidR="008F3421">
              <w:rPr>
                <w:sz w:val="22"/>
                <w:szCs w:val="20"/>
                <w:lang w:val="en-GB"/>
              </w:rPr>
              <w:t>ij</w:t>
            </w:r>
            <w:r w:rsidRPr="002D5A5F">
              <w:rPr>
                <w:sz w:val="22"/>
                <w:szCs w:val="20"/>
                <w:lang w:val="en-GB"/>
              </w:rPr>
              <w:t xml:space="preserve">ednost </w:t>
            </w:r>
          </w:p>
        </w:tc>
        <w:tc>
          <w:tcPr>
            <w:tcW w:w="2410" w:type="dxa"/>
            <w:shd w:val="clear" w:color="auto" w:fill="auto"/>
          </w:tcPr>
          <w:p w14:paraId="604E136E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367 (103)</w:t>
            </w:r>
          </w:p>
        </w:tc>
        <w:tc>
          <w:tcPr>
            <w:tcW w:w="2403" w:type="dxa"/>
            <w:shd w:val="clear" w:color="auto" w:fill="auto"/>
          </w:tcPr>
          <w:p w14:paraId="2E4C4305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357 (109)</w:t>
            </w:r>
          </w:p>
        </w:tc>
      </w:tr>
      <w:tr w:rsidR="002D5A5F" w:rsidRPr="002D5A5F" w14:paraId="10147C07" w14:textId="77777777" w:rsidTr="00B111F9">
        <w:tc>
          <w:tcPr>
            <w:tcW w:w="4248" w:type="dxa"/>
            <w:shd w:val="clear" w:color="auto" w:fill="auto"/>
          </w:tcPr>
          <w:p w14:paraId="175AF7C2" w14:textId="621F5075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 xml:space="preserve">24. </w:t>
            </w:r>
            <w:r w:rsidR="008B0E2F">
              <w:rPr>
                <w:sz w:val="22"/>
                <w:szCs w:val="20"/>
                <w:lang w:val="en-GB"/>
              </w:rPr>
              <w:t>nedjelj</w:t>
            </w:r>
            <w:r w:rsidRPr="002D5A5F">
              <w:rPr>
                <w:sz w:val="22"/>
                <w:szCs w:val="20"/>
                <w:lang w:val="en-GB"/>
              </w:rPr>
              <w:t xml:space="preserve">a </w:t>
            </w:r>
          </w:p>
        </w:tc>
        <w:tc>
          <w:tcPr>
            <w:tcW w:w="2410" w:type="dxa"/>
            <w:shd w:val="clear" w:color="auto" w:fill="auto"/>
          </w:tcPr>
          <w:p w14:paraId="17DF9470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369 (103)</w:t>
            </w:r>
          </w:p>
        </w:tc>
        <w:tc>
          <w:tcPr>
            <w:tcW w:w="2403" w:type="dxa"/>
            <w:shd w:val="clear" w:color="auto" w:fill="auto"/>
          </w:tcPr>
          <w:p w14:paraId="774E40AF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382 (108)</w:t>
            </w:r>
          </w:p>
        </w:tc>
      </w:tr>
      <w:tr w:rsidR="002D5A5F" w:rsidRPr="002D5A5F" w14:paraId="29F3E476" w14:textId="77777777" w:rsidTr="00B111F9">
        <w:tc>
          <w:tcPr>
            <w:tcW w:w="4248" w:type="dxa"/>
            <w:shd w:val="clear" w:color="auto" w:fill="auto"/>
          </w:tcPr>
          <w:p w14:paraId="7CE6D528" w14:textId="75DD4466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Razlika srednje vr</w:t>
            </w:r>
            <w:r w:rsidR="008F3421">
              <w:rPr>
                <w:sz w:val="22"/>
                <w:szCs w:val="20"/>
                <w:lang w:val="en-GB"/>
              </w:rPr>
              <w:t>ij</w:t>
            </w:r>
            <w:r w:rsidRPr="002D5A5F">
              <w:rPr>
                <w:sz w:val="22"/>
                <w:szCs w:val="20"/>
                <w:lang w:val="en-GB"/>
              </w:rPr>
              <w:t>ednosti LS burosumab-placebo (SE)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3E8C5DB6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20 (7,7)</w:t>
            </w:r>
          </w:p>
        </w:tc>
      </w:tr>
      <w:bookmarkEnd w:id="11"/>
      <w:bookmarkEnd w:id="12"/>
    </w:tbl>
    <w:p w14:paraId="0C905870" w14:textId="77777777" w:rsidR="002D5A5F" w:rsidRPr="002D5A5F" w:rsidRDefault="002D5A5F" w:rsidP="007E21A6">
      <w:pPr>
        <w:keepNext/>
        <w:tabs>
          <w:tab w:val="left" w:pos="567"/>
        </w:tabs>
        <w:spacing w:line="260" w:lineRule="exact"/>
        <w:jc w:val="both"/>
        <w:rPr>
          <w:sz w:val="22"/>
          <w:szCs w:val="20"/>
          <w:lang w:val="en-GB"/>
        </w:rPr>
      </w:pPr>
    </w:p>
    <w:p w14:paraId="189D84CD" w14:textId="77777777" w:rsidR="002D5A5F" w:rsidRPr="002D5A5F" w:rsidRDefault="002D5A5F" w:rsidP="007E21A6">
      <w:pPr>
        <w:keepNext/>
        <w:tabs>
          <w:tab w:val="left" w:pos="900"/>
        </w:tabs>
        <w:jc w:val="both"/>
        <w:rPr>
          <w:i/>
          <w:color w:val="000000"/>
          <w:sz w:val="22"/>
          <w:szCs w:val="20"/>
          <w:lang w:val="en-GB"/>
        </w:rPr>
      </w:pPr>
      <w:r w:rsidRPr="002D5A5F">
        <w:rPr>
          <w:i/>
          <w:iCs/>
          <w:color w:val="000000"/>
          <w:sz w:val="22"/>
          <w:szCs w:val="20"/>
          <w:lang w:val="en-GB"/>
        </w:rPr>
        <w:t>Radiografska evaluacija fraktura i pseudofraktura</w:t>
      </w:r>
    </w:p>
    <w:p w14:paraId="1DEFC703" w14:textId="1C6BCF89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  <w:r w:rsidRPr="002D5A5F">
        <w:rPr>
          <w:sz w:val="22"/>
          <w:szCs w:val="20"/>
          <w:lang w:val="en-GB"/>
        </w:rPr>
        <w:t xml:space="preserve">U Studiji UX023-CL303 </w:t>
      </w:r>
      <w:proofErr w:type="gramStart"/>
      <w:r w:rsidRPr="002D5A5F">
        <w:rPr>
          <w:sz w:val="22"/>
          <w:szCs w:val="20"/>
          <w:lang w:val="en-GB"/>
        </w:rPr>
        <w:t>na</w:t>
      </w:r>
      <w:proofErr w:type="gramEnd"/>
      <w:r w:rsidRPr="002D5A5F">
        <w:rPr>
          <w:sz w:val="22"/>
          <w:szCs w:val="20"/>
          <w:lang w:val="en-GB"/>
        </w:rPr>
        <w:t xml:space="preserve"> početku je izvršeno ispitivanje skeleta kako bi se ustanovile frakture i pseudofrakture povezane sa osteomalacijom. Na početku je bilo 52% (70/134) pacijenata </w:t>
      </w:r>
      <w:proofErr w:type="gramStart"/>
      <w:r w:rsidRPr="002D5A5F">
        <w:rPr>
          <w:sz w:val="22"/>
          <w:szCs w:val="20"/>
          <w:lang w:val="en-GB"/>
        </w:rPr>
        <w:t>ili</w:t>
      </w:r>
      <w:proofErr w:type="gramEnd"/>
      <w:r w:rsidRPr="002D5A5F">
        <w:rPr>
          <w:sz w:val="22"/>
          <w:szCs w:val="20"/>
          <w:lang w:val="en-GB"/>
        </w:rPr>
        <w:t xml:space="preserve"> sa aktivnim frakturama (12%, 16/134) ili sa aktivnim pseudofrakturama (47%, 63/134). Nakon terapije burosumabom kod više pacijenata javilo se zac</w:t>
      </w:r>
      <w:r w:rsidR="009B29D4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 xml:space="preserve">eljivanje fraktura i pseudofraktura u poređenju </w:t>
      </w:r>
      <w:proofErr w:type="gramStart"/>
      <w:r w:rsidRPr="002D5A5F">
        <w:rPr>
          <w:sz w:val="22"/>
          <w:szCs w:val="20"/>
          <w:lang w:val="en-GB"/>
        </w:rPr>
        <w:t>sa</w:t>
      </w:r>
      <w:proofErr w:type="gramEnd"/>
      <w:r w:rsidRPr="002D5A5F">
        <w:rPr>
          <w:sz w:val="22"/>
          <w:szCs w:val="20"/>
          <w:lang w:val="en-GB"/>
        </w:rPr>
        <w:t xml:space="preserve"> grupom koja je primala placebo (slika 4). Tokom perioda terapije kontrolisane placebom u trajanju do 24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 xml:space="preserve">e, ukupno </w:t>
      </w:r>
      <w:proofErr w:type="gramStart"/>
      <w:r w:rsidRPr="002D5A5F">
        <w:rPr>
          <w:sz w:val="22"/>
          <w:szCs w:val="20"/>
          <w:lang w:val="en-GB"/>
        </w:rPr>
        <w:t>6 novih</w:t>
      </w:r>
      <w:proofErr w:type="gramEnd"/>
      <w:r w:rsidRPr="002D5A5F">
        <w:rPr>
          <w:sz w:val="22"/>
          <w:szCs w:val="20"/>
          <w:lang w:val="en-GB"/>
        </w:rPr>
        <w:t xml:space="preserve"> fraktura ili pseudofraktura javilo se kod 68 pacijenata koji su primali burosumab u poređenju sa 8 novih abnormalnosti kod 66 pacijenata koji su primali placebo. Među </w:t>
      </w:r>
      <w:proofErr w:type="gramStart"/>
      <w:r w:rsidRPr="002D5A5F">
        <w:rPr>
          <w:sz w:val="22"/>
          <w:szCs w:val="20"/>
          <w:lang w:val="en-GB"/>
        </w:rPr>
        <w:t>tim</w:t>
      </w:r>
      <w:proofErr w:type="gramEnd"/>
      <w:r w:rsidRPr="002D5A5F">
        <w:rPr>
          <w:sz w:val="22"/>
          <w:szCs w:val="20"/>
          <w:lang w:val="en-GB"/>
        </w:rPr>
        <w:t xml:space="preserve"> novim frakturama do kojih je došlo pre 48.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e</w:t>
      </w:r>
      <w:proofErr w:type="gramEnd"/>
      <w:r w:rsidRPr="002D5A5F">
        <w:rPr>
          <w:sz w:val="22"/>
          <w:szCs w:val="20"/>
          <w:lang w:val="en-GB"/>
        </w:rPr>
        <w:t xml:space="preserve"> većina (10/18) fraktura zac</w:t>
      </w:r>
      <w:r w:rsidR="00A30E59">
        <w:rPr>
          <w:sz w:val="22"/>
          <w:szCs w:val="20"/>
          <w:lang w:val="en-GB"/>
        </w:rPr>
        <w:t>i</w:t>
      </w:r>
      <w:r w:rsidR="008F3421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elila je ili d</w:t>
      </w:r>
      <w:r w:rsidR="009B29D4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elimično zac</w:t>
      </w:r>
      <w:r w:rsidR="008F3421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elila na kraju studije.</w:t>
      </w:r>
    </w:p>
    <w:p w14:paraId="12B272D8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62EC7726" w14:textId="200ADD9A" w:rsidR="002D5A5F" w:rsidRPr="002D5A5F" w:rsidRDefault="002D5A5F" w:rsidP="007E21A6">
      <w:pPr>
        <w:keepNext/>
        <w:keepLines/>
        <w:tabs>
          <w:tab w:val="left" w:pos="720"/>
        </w:tabs>
        <w:jc w:val="both"/>
        <w:rPr>
          <w:b/>
          <w:bCs/>
          <w:sz w:val="22"/>
          <w:szCs w:val="20"/>
          <w:lang w:val="en-GB"/>
        </w:rPr>
      </w:pPr>
      <w:r w:rsidRPr="002D5A5F">
        <w:rPr>
          <w:b/>
          <w:bCs/>
          <w:sz w:val="22"/>
          <w:szCs w:val="20"/>
          <w:lang w:val="en-GB"/>
        </w:rPr>
        <w:t>Slika 4: Procenat aktivnih fraktura i pseudofraktura koje su zac</w:t>
      </w:r>
      <w:r w:rsidR="009B29D4">
        <w:rPr>
          <w:b/>
          <w:bCs/>
          <w:sz w:val="22"/>
          <w:szCs w:val="20"/>
          <w:lang w:val="en-GB"/>
        </w:rPr>
        <w:t>ij</w:t>
      </w:r>
      <w:r w:rsidRPr="002D5A5F">
        <w:rPr>
          <w:b/>
          <w:bCs/>
          <w:sz w:val="22"/>
          <w:szCs w:val="20"/>
          <w:lang w:val="en-GB"/>
        </w:rPr>
        <w:t>elile u Studiji UX023-CL303</w:t>
      </w:r>
    </w:p>
    <w:p w14:paraId="24A3CCDD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3AF70EE1" w14:textId="666CA77D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  <w:r w:rsidRPr="002D5A5F">
        <w:rPr>
          <w:noProof/>
          <w:sz w:val="22"/>
          <w:szCs w:val="20"/>
          <w:lang w:val="sr-Latn-ME" w:eastAsia="sr-Latn-ME"/>
        </w:rPr>
        <w:lastRenderedPageBreak/>
        <w:drawing>
          <wp:inline distT="0" distB="0" distL="0" distR="0" wp14:anchorId="500D1FAC" wp14:editId="1D940458">
            <wp:extent cx="5761355" cy="4789805"/>
            <wp:effectExtent l="0" t="0" r="0" b="0"/>
            <wp:docPr id="113043285" name="Picture 3" descr="A graph with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3285" name="Picture 3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78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2AA5A" w14:textId="77777777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jc w:val="both"/>
        <w:rPr>
          <w:i/>
          <w:color w:val="000000"/>
          <w:sz w:val="22"/>
          <w:szCs w:val="20"/>
          <w:u w:val="single"/>
          <w:lang w:val="en-GB"/>
        </w:rPr>
      </w:pPr>
    </w:p>
    <w:p w14:paraId="084E05A8" w14:textId="7C7C39D5" w:rsidR="002D5A5F" w:rsidRPr="002D5A5F" w:rsidRDefault="002D5A5F" w:rsidP="007E21A6">
      <w:pPr>
        <w:autoSpaceDE w:val="0"/>
        <w:autoSpaceDN w:val="0"/>
        <w:adjustRightInd w:val="0"/>
        <w:jc w:val="both"/>
        <w:rPr>
          <w:rFonts w:eastAsia="Calibri"/>
          <w:sz w:val="22"/>
          <w:szCs w:val="20"/>
          <w:lang w:val="en-GB"/>
        </w:rPr>
      </w:pPr>
      <w:r w:rsidRPr="002D5A5F">
        <w:rPr>
          <w:rFonts w:eastAsia="Calibri"/>
          <w:sz w:val="22"/>
          <w:szCs w:val="20"/>
          <w:lang w:val="en-GB"/>
        </w:rPr>
        <w:t>Na početku, srednja vr</w:t>
      </w:r>
      <w:r w:rsidR="00123A8A">
        <w:rPr>
          <w:rFonts w:eastAsia="Calibri"/>
          <w:sz w:val="22"/>
          <w:szCs w:val="20"/>
          <w:lang w:val="en-GB"/>
        </w:rPr>
        <w:t>ij</w:t>
      </w:r>
      <w:r w:rsidRPr="002D5A5F">
        <w:rPr>
          <w:rFonts w:eastAsia="Calibri"/>
          <w:sz w:val="22"/>
          <w:szCs w:val="20"/>
          <w:lang w:val="en-GB"/>
        </w:rPr>
        <w:t>ednost (SD) ukupnog opterećenja kalkanealnom entezopatijom (zbir gornjih i donjih kalkanealnih entezofita) bila je 5</w:t>
      </w:r>
      <w:proofErr w:type="gramStart"/>
      <w:r w:rsidRPr="002D5A5F">
        <w:rPr>
          <w:rFonts w:eastAsia="Calibri"/>
          <w:sz w:val="22"/>
          <w:szCs w:val="20"/>
          <w:lang w:val="en-GB"/>
        </w:rPr>
        <w:t>,64</w:t>
      </w:r>
      <w:proofErr w:type="gramEnd"/>
      <w:r w:rsidRPr="002D5A5F">
        <w:rPr>
          <w:rFonts w:eastAsia="Calibri"/>
          <w:sz w:val="22"/>
          <w:szCs w:val="20"/>
          <w:lang w:val="en-GB"/>
        </w:rPr>
        <w:t xml:space="preserve"> (3,12) cm u grupi koja je primala burosumab i 5,54 (3,1) cm u grupi koja je primala placebo. U 24. </w:t>
      </w:r>
      <w:proofErr w:type="gramStart"/>
      <w:r w:rsidR="008B0E2F">
        <w:rPr>
          <w:rFonts w:eastAsia="Calibri"/>
          <w:sz w:val="22"/>
          <w:szCs w:val="20"/>
          <w:lang w:val="en-GB"/>
        </w:rPr>
        <w:t>nedjelj</w:t>
      </w:r>
      <w:r w:rsidRPr="002D5A5F">
        <w:rPr>
          <w:rFonts w:eastAsia="Calibri"/>
          <w:sz w:val="22"/>
          <w:szCs w:val="20"/>
          <w:lang w:val="en-GB"/>
        </w:rPr>
        <w:t>i</w:t>
      </w:r>
      <w:proofErr w:type="gramEnd"/>
      <w:r w:rsidRPr="002D5A5F">
        <w:rPr>
          <w:rFonts w:eastAsia="Calibri"/>
          <w:sz w:val="22"/>
          <w:szCs w:val="20"/>
          <w:lang w:val="en-GB"/>
        </w:rPr>
        <w:t xml:space="preserve"> srednja vr</w:t>
      </w:r>
      <w:r w:rsidR="00123A8A">
        <w:rPr>
          <w:rFonts w:eastAsia="Calibri"/>
          <w:sz w:val="22"/>
          <w:szCs w:val="20"/>
          <w:lang w:val="en-GB"/>
        </w:rPr>
        <w:t>ij</w:t>
      </w:r>
      <w:r w:rsidRPr="002D5A5F">
        <w:rPr>
          <w:rFonts w:eastAsia="Calibri"/>
          <w:sz w:val="22"/>
          <w:szCs w:val="20"/>
          <w:lang w:val="en-GB"/>
        </w:rPr>
        <w:t xml:space="preserve">ednost (SD) ukupnog opterećenja kalkanealnom entezopatijom bila je 5,90 (3,56) cm u grupi burosumab→burosumab i 4,07 (2,38) cm u grupi placebo→burosumab. </w:t>
      </w:r>
    </w:p>
    <w:p w14:paraId="343BB208" w14:textId="77777777" w:rsidR="002D5A5F" w:rsidRPr="002D5A5F" w:rsidRDefault="002D5A5F" w:rsidP="007E21A6">
      <w:pPr>
        <w:tabs>
          <w:tab w:val="left" w:pos="720"/>
        </w:tabs>
        <w:jc w:val="both"/>
        <w:rPr>
          <w:sz w:val="22"/>
          <w:szCs w:val="20"/>
          <w:lang w:val="en-GB"/>
        </w:rPr>
      </w:pPr>
    </w:p>
    <w:p w14:paraId="7129B8FE" w14:textId="6F05701E" w:rsidR="002D5A5F" w:rsidRPr="002D5A5F" w:rsidRDefault="002D5A5F" w:rsidP="007E21A6">
      <w:pPr>
        <w:tabs>
          <w:tab w:val="left" w:pos="720"/>
        </w:tabs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Za eksploratorne krajnje tačke interferencije bola prema BPI, najgoreg umora prema BFI i globalnog skora umora prema BFI nije zab</w:t>
      </w:r>
      <w:r w:rsidR="00341BAE">
        <w:rPr>
          <w:sz w:val="22"/>
          <w:szCs w:val="20"/>
          <w:lang w:val="en-GB"/>
        </w:rPr>
        <w:t>ilje</w:t>
      </w:r>
      <w:r w:rsidRPr="002D5A5F">
        <w:rPr>
          <w:sz w:val="22"/>
          <w:szCs w:val="20"/>
          <w:lang w:val="en-GB"/>
        </w:rPr>
        <w:t>žena značajna razlika među terapijskim grupama.</w:t>
      </w:r>
    </w:p>
    <w:p w14:paraId="68AACB2D" w14:textId="77777777" w:rsidR="002D5A5F" w:rsidRPr="002D5A5F" w:rsidRDefault="002D5A5F" w:rsidP="007E21A6">
      <w:pPr>
        <w:shd w:val="clear" w:color="auto" w:fill="FFFFFF"/>
        <w:tabs>
          <w:tab w:val="left" w:pos="567"/>
        </w:tabs>
        <w:jc w:val="both"/>
        <w:rPr>
          <w:i/>
          <w:color w:val="000000"/>
          <w:sz w:val="22"/>
          <w:szCs w:val="20"/>
          <w:u w:val="single"/>
          <w:lang w:val="en-GB"/>
        </w:rPr>
      </w:pPr>
    </w:p>
    <w:p w14:paraId="7B41748E" w14:textId="77777777" w:rsidR="002D5A5F" w:rsidRPr="002D5A5F" w:rsidRDefault="002D5A5F" w:rsidP="007E21A6">
      <w:pPr>
        <w:shd w:val="clear" w:color="auto" w:fill="FFFFFF"/>
        <w:tabs>
          <w:tab w:val="left" w:pos="567"/>
        </w:tabs>
        <w:jc w:val="both"/>
        <w:rPr>
          <w:i/>
          <w:color w:val="000000"/>
          <w:sz w:val="22"/>
          <w:szCs w:val="20"/>
          <w:u w:val="single"/>
          <w:lang w:val="en-GB"/>
        </w:rPr>
      </w:pPr>
      <w:r w:rsidRPr="002D5A5F">
        <w:rPr>
          <w:i/>
          <w:iCs/>
          <w:color w:val="000000"/>
          <w:sz w:val="22"/>
          <w:szCs w:val="20"/>
          <w:u w:val="single"/>
          <w:lang w:val="en-GB"/>
        </w:rPr>
        <w:t>Histomorfometrija kostiju kod odraslih</w:t>
      </w:r>
    </w:p>
    <w:p w14:paraId="19216B6B" w14:textId="77777777" w:rsidR="002D5A5F" w:rsidRPr="002D5A5F" w:rsidRDefault="002D5A5F" w:rsidP="007E21A6">
      <w:pPr>
        <w:shd w:val="clear" w:color="auto" w:fill="FFFFFF"/>
        <w:tabs>
          <w:tab w:val="left" w:pos="567"/>
        </w:tabs>
        <w:jc w:val="both"/>
        <w:rPr>
          <w:rFonts w:eastAsia="TimesNewRoman"/>
          <w:sz w:val="22"/>
          <w:szCs w:val="20"/>
          <w:u w:val="single"/>
          <w:lang w:val="en-GB"/>
        </w:rPr>
      </w:pPr>
    </w:p>
    <w:p w14:paraId="322296DA" w14:textId="77777777" w:rsidR="002D5A5F" w:rsidRPr="002D5A5F" w:rsidRDefault="002D5A5F" w:rsidP="007E21A6">
      <w:pPr>
        <w:tabs>
          <w:tab w:val="left" w:pos="567"/>
        </w:tabs>
        <w:ind w:right="-2"/>
        <w:jc w:val="both"/>
        <w:rPr>
          <w:i/>
          <w:sz w:val="22"/>
          <w:szCs w:val="22"/>
          <w:u w:val="single"/>
          <w:lang w:val="en-GB"/>
        </w:rPr>
      </w:pPr>
      <w:r w:rsidRPr="002D5A5F">
        <w:rPr>
          <w:i/>
          <w:iCs/>
          <w:sz w:val="22"/>
          <w:szCs w:val="20"/>
          <w:u w:val="single"/>
          <w:lang w:val="en-GB"/>
        </w:rPr>
        <w:t>Studija UX023-CL304</w:t>
      </w:r>
    </w:p>
    <w:p w14:paraId="7401FEC3" w14:textId="15A8445E" w:rsidR="002D5A5F" w:rsidRPr="002D5A5F" w:rsidRDefault="002D5A5F" w:rsidP="007E21A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 xml:space="preserve">Studija UX023-CL304 predstavlja otvorenu studiju </w:t>
      </w:r>
      <w:proofErr w:type="gramStart"/>
      <w:r w:rsidRPr="002D5A5F">
        <w:rPr>
          <w:sz w:val="22"/>
          <w:szCs w:val="20"/>
          <w:lang w:val="en-GB"/>
        </w:rPr>
        <w:t>od</w:t>
      </w:r>
      <w:proofErr w:type="gramEnd"/>
      <w:r w:rsidRPr="002D5A5F">
        <w:rPr>
          <w:sz w:val="22"/>
          <w:szCs w:val="20"/>
          <w:lang w:val="en-GB"/>
        </w:rPr>
        <w:t xml:space="preserve"> 48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a sa jednom grupom odraslih pacijenata sa XLH za proc</w:t>
      </w:r>
      <w:r w:rsidR="00A30E59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enu dejstava burosumaba na poboljšanje osteomalacije, prema histološkoj i histomorfometrijskoj proc</w:t>
      </w:r>
      <w:r w:rsidR="00A30E59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eni biopsija bočnog grebena. Pacijenti su primali 1</w:t>
      </w:r>
      <w:proofErr w:type="gramStart"/>
      <w:r w:rsidRPr="002D5A5F">
        <w:rPr>
          <w:sz w:val="22"/>
          <w:szCs w:val="20"/>
          <w:lang w:val="en-GB"/>
        </w:rPr>
        <w:t>,0</w:t>
      </w:r>
      <w:proofErr w:type="gramEnd"/>
      <w:r w:rsidRPr="002D5A5F">
        <w:rPr>
          <w:sz w:val="22"/>
          <w:szCs w:val="20"/>
          <w:lang w:val="en-GB"/>
        </w:rPr>
        <w:t xml:space="preserve"> mg/kg burosumaba svake 4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e. Tokom studije nisu bili dozvoljeni peroralni fosfat i aktivni analozi vitamina D.</w:t>
      </w:r>
    </w:p>
    <w:p w14:paraId="0B976951" w14:textId="77777777" w:rsidR="002D5A5F" w:rsidRPr="002D5A5F" w:rsidRDefault="002D5A5F" w:rsidP="007E21A6">
      <w:pPr>
        <w:shd w:val="clear" w:color="auto" w:fill="FFFFFF"/>
        <w:tabs>
          <w:tab w:val="left" w:pos="567"/>
        </w:tabs>
        <w:jc w:val="both"/>
        <w:rPr>
          <w:rFonts w:eastAsia="TimesNewRoman"/>
          <w:sz w:val="22"/>
          <w:szCs w:val="20"/>
          <w:u w:val="single"/>
          <w:lang w:val="en-GB"/>
        </w:rPr>
      </w:pPr>
    </w:p>
    <w:p w14:paraId="4AB0003F" w14:textId="3EAB1553" w:rsidR="002D5A5F" w:rsidRPr="002D5A5F" w:rsidRDefault="002D5A5F" w:rsidP="007E21A6">
      <w:pPr>
        <w:numPr>
          <w:ilvl w:val="12"/>
          <w:numId w:val="0"/>
        </w:numPr>
        <w:tabs>
          <w:tab w:val="left" w:pos="567"/>
        </w:tabs>
        <w:jc w:val="both"/>
        <w:rPr>
          <w:iCs/>
          <w:noProof/>
          <w:sz w:val="22"/>
          <w:szCs w:val="22"/>
          <w:lang w:val="en-GB"/>
        </w:rPr>
      </w:pPr>
      <w:r w:rsidRPr="002D5A5F">
        <w:rPr>
          <w:sz w:val="22"/>
          <w:szCs w:val="20"/>
          <w:lang w:val="en-GB"/>
        </w:rPr>
        <w:t xml:space="preserve">Bilo je uključeno 14 pacijenata i pri ulasku u studiju, srednja starost pacijenata bila je 40 godina (raspon </w:t>
      </w:r>
      <w:proofErr w:type="gramStart"/>
      <w:r w:rsidRPr="002D5A5F">
        <w:rPr>
          <w:sz w:val="22"/>
          <w:szCs w:val="20"/>
          <w:lang w:val="en-GB"/>
        </w:rPr>
        <w:t>od</w:t>
      </w:r>
      <w:proofErr w:type="gramEnd"/>
      <w:r w:rsidRPr="002D5A5F">
        <w:rPr>
          <w:sz w:val="22"/>
          <w:szCs w:val="20"/>
          <w:lang w:val="en-GB"/>
        </w:rPr>
        <w:t xml:space="preserve"> 25 do 52 godine), a 43% pacijenata bilo je muškog pola. Nakon 48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a terapije u Studiji UX023-CL304 bile su dostupne uparene biopsije 11 pacijenata; zac</w:t>
      </w:r>
      <w:r w:rsidR="00A30E59">
        <w:rPr>
          <w:sz w:val="22"/>
          <w:szCs w:val="20"/>
          <w:lang w:val="en-GB"/>
        </w:rPr>
        <w:t>i</w:t>
      </w:r>
      <w:r w:rsidR="00123A8A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eljivanje osteomalacije zab</w:t>
      </w:r>
      <w:r w:rsidR="00341BAE">
        <w:rPr>
          <w:sz w:val="22"/>
          <w:szCs w:val="20"/>
          <w:lang w:val="en-GB"/>
        </w:rPr>
        <w:t>ilje</w:t>
      </w:r>
      <w:r w:rsidRPr="002D5A5F">
        <w:rPr>
          <w:sz w:val="22"/>
          <w:szCs w:val="20"/>
          <w:lang w:val="en-GB"/>
        </w:rPr>
        <w:t>ženo je kod deset pacijenata koji su mogli da budu proc</w:t>
      </w:r>
      <w:r w:rsidR="00E32C82">
        <w:rPr>
          <w:sz w:val="22"/>
          <w:szCs w:val="20"/>
          <w:lang w:val="en-GB"/>
        </w:rPr>
        <w:t>i</w:t>
      </w:r>
      <w:r w:rsidR="0007212B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enjeni, a pokazalo se kao smanjenje odnosa volumena osteoidnog/koštanog tkiva (OV/BV) od srednje vr</w:t>
      </w:r>
      <w:r w:rsidR="0007212B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ednosti (SD) rezultata od 26,1% (12,4) na početku do 11,9% (6,6). Debljina osteoidnog tkiva smanjila se kod 11 pacijenata koji su mogli da budu proc</w:t>
      </w:r>
      <w:r w:rsidR="0007212B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enjeni od srednje vr</w:t>
      </w:r>
      <w:r w:rsidR="0007212B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ednosti (SD) od 17</w:t>
      </w:r>
      <w:proofErr w:type="gramStart"/>
      <w:r w:rsidRPr="002D5A5F">
        <w:rPr>
          <w:sz w:val="22"/>
          <w:szCs w:val="20"/>
          <w:lang w:val="en-GB"/>
        </w:rPr>
        <w:t>,2</w:t>
      </w:r>
      <w:proofErr w:type="gramEnd"/>
      <w:r w:rsidRPr="002D5A5F">
        <w:rPr>
          <w:sz w:val="22"/>
          <w:szCs w:val="20"/>
          <w:lang w:val="en-GB"/>
        </w:rPr>
        <w:t xml:space="preserve"> (4,1) mikrometra do 11,6 (3,1) mikrometara. </w:t>
      </w:r>
    </w:p>
    <w:p w14:paraId="5D065716" w14:textId="77777777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spacing w:line="244" w:lineRule="auto"/>
        <w:ind w:left="-6" w:right="11" w:hanging="11"/>
        <w:jc w:val="both"/>
        <w:rPr>
          <w:b/>
          <w:bCs/>
          <w:iCs/>
          <w:sz w:val="22"/>
          <w:szCs w:val="20"/>
          <w:lang w:val="en-GB"/>
        </w:rPr>
      </w:pPr>
    </w:p>
    <w:p w14:paraId="5747DDE7" w14:textId="77777777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spacing w:line="244" w:lineRule="auto"/>
        <w:ind w:left="-6" w:right="11" w:hanging="11"/>
        <w:jc w:val="both"/>
        <w:rPr>
          <w:iCs/>
          <w:sz w:val="22"/>
          <w:szCs w:val="20"/>
          <w:u w:val="single"/>
          <w:lang w:val="en-GB"/>
        </w:rPr>
      </w:pPr>
      <w:r w:rsidRPr="002D5A5F">
        <w:rPr>
          <w:sz w:val="22"/>
          <w:szCs w:val="20"/>
          <w:u w:val="single"/>
          <w:lang w:val="en-GB"/>
        </w:rPr>
        <w:t xml:space="preserve">Klinička efikasnost kod odraslih pacijenata </w:t>
      </w:r>
      <w:proofErr w:type="gramStart"/>
      <w:r w:rsidRPr="002D5A5F">
        <w:rPr>
          <w:sz w:val="22"/>
          <w:szCs w:val="20"/>
          <w:u w:val="single"/>
          <w:lang w:val="en-GB"/>
        </w:rPr>
        <w:t>sa</w:t>
      </w:r>
      <w:proofErr w:type="gramEnd"/>
      <w:r w:rsidRPr="002D5A5F">
        <w:rPr>
          <w:sz w:val="22"/>
          <w:szCs w:val="20"/>
          <w:u w:val="single"/>
          <w:lang w:val="en-GB"/>
        </w:rPr>
        <w:t xml:space="preserve"> tumorom indukovanom osteomalacijom</w:t>
      </w:r>
    </w:p>
    <w:p w14:paraId="7B18CADE" w14:textId="77777777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spacing w:line="244" w:lineRule="auto"/>
        <w:ind w:left="-6" w:right="11" w:hanging="11"/>
        <w:jc w:val="both"/>
        <w:rPr>
          <w:iCs/>
          <w:sz w:val="22"/>
          <w:szCs w:val="20"/>
          <w:u w:val="single"/>
          <w:lang w:val="en-GB"/>
        </w:rPr>
      </w:pPr>
    </w:p>
    <w:p w14:paraId="012BB2B2" w14:textId="05049360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spacing w:line="244" w:lineRule="auto"/>
        <w:ind w:left="-5" w:right="10" w:hanging="11"/>
        <w:jc w:val="both"/>
        <w:rPr>
          <w:sz w:val="22"/>
          <w:szCs w:val="20"/>
          <w:lang w:val="en-GB"/>
        </w:rPr>
      </w:pPr>
      <w:bookmarkStart w:id="13" w:name="_Hlk26776981"/>
      <w:r w:rsidRPr="002D5A5F">
        <w:rPr>
          <w:sz w:val="22"/>
          <w:szCs w:val="20"/>
          <w:lang w:val="en-GB"/>
        </w:rPr>
        <w:t>Burosumab je proc</w:t>
      </w:r>
      <w:r w:rsidR="00A30E59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enjen u dv</w:t>
      </w:r>
      <w:r w:rsidR="0007212B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 xml:space="preserve">e otvorene studije </w:t>
      </w:r>
      <w:proofErr w:type="gramStart"/>
      <w:r w:rsidRPr="002D5A5F">
        <w:rPr>
          <w:sz w:val="22"/>
          <w:szCs w:val="20"/>
          <w:lang w:val="en-GB"/>
        </w:rPr>
        <w:t>sa</w:t>
      </w:r>
      <w:proofErr w:type="gramEnd"/>
      <w:r w:rsidRPr="002D5A5F">
        <w:rPr>
          <w:sz w:val="22"/>
          <w:szCs w:val="20"/>
          <w:lang w:val="en-GB"/>
        </w:rPr>
        <w:t xml:space="preserve"> jednom grupom od ukupno 27 odraslih pacijenata sa TIO. Prim</w:t>
      </w:r>
      <w:r w:rsidR="0007212B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ena peroralnog fosfata i aktivnih analoga vitamina D bila je prekinuta </w:t>
      </w:r>
      <w:proofErr w:type="gramStart"/>
      <w:r w:rsidRPr="002D5A5F">
        <w:rPr>
          <w:sz w:val="22"/>
          <w:szCs w:val="20"/>
          <w:lang w:val="en-GB"/>
        </w:rPr>
        <w:t>od</w:t>
      </w:r>
      <w:proofErr w:type="gramEnd"/>
      <w:r w:rsidRPr="002D5A5F">
        <w:rPr>
          <w:sz w:val="22"/>
          <w:szCs w:val="20"/>
          <w:lang w:val="en-GB"/>
        </w:rPr>
        <w:t xml:space="preserve"> 2 do 10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 xml:space="preserve">a pre uvođenja terapije burosumabom. Pacijenti su primali burosumab svake 4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e u početnoj dozi od 0,3 mg/kg određenoj na osnovu t</w:t>
      </w:r>
      <w:r w:rsidR="0007212B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elesne mase, kako bi dostigli nivo fosfata u serumu natašte od 2,5 do 4,0 mg/dl [od 0,81 do 1,29 mmol/l].</w:t>
      </w:r>
    </w:p>
    <w:p w14:paraId="0472F683" w14:textId="77777777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spacing w:line="244" w:lineRule="auto"/>
        <w:ind w:left="-5" w:right="10" w:hanging="11"/>
        <w:jc w:val="both"/>
        <w:rPr>
          <w:sz w:val="22"/>
          <w:szCs w:val="20"/>
          <w:lang w:val="en-GB"/>
        </w:rPr>
      </w:pPr>
    </w:p>
    <w:p w14:paraId="4967BAA2" w14:textId="540D9825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 xml:space="preserve">U Studiji UX023T-CL201 je bilo 14 odraslih pacijenata </w:t>
      </w:r>
      <w:proofErr w:type="gramStart"/>
      <w:r w:rsidRPr="002D5A5F">
        <w:rPr>
          <w:sz w:val="22"/>
          <w:szCs w:val="20"/>
          <w:lang w:val="en-GB"/>
        </w:rPr>
        <w:t>sa</w:t>
      </w:r>
      <w:proofErr w:type="gramEnd"/>
      <w:r w:rsidRPr="002D5A5F">
        <w:rPr>
          <w:sz w:val="22"/>
          <w:szCs w:val="20"/>
          <w:lang w:val="en-GB"/>
        </w:rPr>
        <w:t xml:space="preserve"> potvrđenom dijagnozom hipofosfatemije povezane sa FGF23 indukovane osnovnim tumorom koji nije bilo moguće odstraniti hirurškim putem ili locirati. Osam pacijenata su bili muškarci, a raspon godina života svih pacijenata iznosio je od 33 do 68 godina (medijana 59</w:t>
      </w:r>
      <w:proofErr w:type="gramStart"/>
      <w:r w:rsidRPr="002D5A5F">
        <w:rPr>
          <w:sz w:val="22"/>
          <w:szCs w:val="20"/>
          <w:lang w:val="en-GB"/>
        </w:rPr>
        <w:t>,5</w:t>
      </w:r>
      <w:proofErr w:type="gramEnd"/>
      <w:r w:rsidRPr="002D5A5F">
        <w:rPr>
          <w:sz w:val="22"/>
          <w:szCs w:val="20"/>
          <w:lang w:val="en-GB"/>
        </w:rPr>
        <w:t xml:space="preserve"> godina). Srednja vr</w:t>
      </w:r>
      <w:r w:rsidR="0007212B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(SD) doze burosumaba iznosila je 0</w:t>
      </w:r>
      <w:proofErr w:type="gramStart"/>
      <w:r w:rsidRPr="002D5A5F">
        <w:rPr>
          <w:sz w:val="22"/>
          <w:szCs w:val="20"/>
          <w:lang w:val="en-GB"/>
        </w:rPr>
        <w:t>,83</w:t>
      </w:r>
      <w:proofErr w:type="gramEnd"/>
      <w:r w:rsidRPr="002D5A5F">
        <w:rPr>
          <w:sz w:val="22"/>
          <w:szCs w:val="20"/>
          <w:lang w:val="en-GB"/>
        </w:rPr>
        <w:t xml:space="preserve"> (0,41) mg/kg u 20.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 xml:space="preserve">, 0,87 (0,49) mg/kg u 48.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 xml:space="preserve">, 0,77 (0,52) mg/kg u 96.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 xml:space="preserve"> i 0,67 (0,54) mg/kg u 144.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 xml:space="preserve">. </w:t>
      </w:r>
    </w:p>
    <w:p w14:paraId="2B6FC349" w14:textId="77777777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jc w:val="both"/>
        <w:rPr>
          <w:sz w:val="22"/>
          <w:szCs w:val="20"/>
          <w:lang w:val="en-GB"/>
        </w:rPr>
      </w:pPr>
    </w:p>
    <w:p w14:paraId="79A3875B" w14:textId="7D2DB47F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 xml:space="preserve">U Studiju KRN23-002 bilo je uključeno 13 odraslih pacijenata iz Japana i Južne Koreje </w:t>
      </w:r>
      <w:proofErr w:type="gramStart"/>
      <w:r w:rsidRPr="002D5A5F">
        <w:rPr>
          <w:sz w:val="22"/>
          <w:szCs w:val="20"/>
          <w:lang w:val="en-GB"/>
        </w:rPr>
        <w:t>sa</w:t>
      </w:r>
      <w:proofErr w:type="gramEnd"/>
      <w:r w:rsidRPr="002D5A5F">
        <w:rPr>
          <w:sz w:val="22"/>
          <w:szCs w:val="20"/>
          <w:lang w:val="en-GB"/>
        </w:rPr>
        <w:t xml:space="preserve"> potvrđenom dijagnozom TIO. Šest pacijenata su bili muškarci, a raspon godina života svih pacijenata iznosio je od 41 do 73 godine (medijana 58</w:t>
      </w:r>
      <w:proofErr w:type="gramStart"/>
      <w:r w:rsidRPr="002D5A5F">
        <w:rPr>
          <w:sz w:val="22"/>
          <w:szCs w:val="20"/>
          <w:lang w:val="en-GB"/>
        </w:rPr>
        <w:t>,0</w:t>
      </w:r>
      <w:proofErr w:type="gramEnd"/>
      <w:r w:rsidRPr="002D5A5F">
        <w:rPr>
          <w:sz w:val="22"/>
          <w:szCs w:val="20"/>
          <w:lang w:val="en-GB"/>
        </w:rPr>
        <w:t xml:space="preserve"> godina). Srednja vr</w:t>
      </w:r>
      <w:r w:rsidR="00E32C82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(SD) doze burosumaba iznosila je 0</w:t>
      </w:r>
      <w:proofErr w:type="gramStart"/>
      <w:r w:rsidRPr="002D5A5F">
        <w:rPr>
          <w:sz w:val="22"/>
          <w:szCs w:val="20"/>
          <w:lang w:val="en-GB"/>
        </w:rPr>
        <w:t>,91</w:t>
      </w:r>
      <w:proofErr w:type="gramEnd"/>
      <w:r w:rsidRPr="002D5A5F">
        <w:rPr>
          <w:sz w:val="22"/>
          <w:szCs w:val="20"/>
          <w:lang w:val="en-GB"/>
        </w:rPr>
        <w:t xml:space="preserve"> (0,59) mg/kg u 48.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 xml:space="preserve"> i 0,96 (0,70) mg/kg u 88.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>.</w:t>
      </w:r>
    </w:p>
    <w:bookmarkEnd w:id="13"/>
    <w:p w14:paraId="118CA4F9" w14:textId="77777777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spacing w:line="260" w:lineRule="exact"/>
        <w:ind w:right="10"/>
        <w:jc w:val="both"/>
        <w:rPr>
          <w:sz w:val="22"/>
          <w:szCs w:val="20"/>
          <w:lang w:val="en-GB"/>
        </w:rPr>
      </w:pPr>
    </w:p>
    <w:p w14:paraId="5BA1A21F" w14:textId="77777777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spacing w:line="260" w:lineRule="exact"/>
        <w:ind w:left="-5" w:right="10"/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u w:val="single"/>
          <w:lang w:val="en-GB"/>
        </w:rPr>
        <w:t>Fosfat u serumu</w:t>
      </w:r>
    </w:p>
    <w:p w14:paraId="62D56BE8" w14:textId="77777777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spacing w:line="260" w:lineRule="exact"/>
        <w:ind w:left="-5" w:right="10"/>
        <w:jc w:val="both"/>
        <w:rPr>
          <w:sz w:val="22"/>
          <w:szCs w:val="20"/>
          <w:lang w:val="en-GB"/>
        </w:rPr>
      </w:pPr>
    </w:p>
    <w:p w14:paraId="30998BA8" w14:textId="365712ED" w:rsidR="002D5A5F" w:rsidRPr="002D5A5F" w:rsidRDefault="002D5A5F" w:rsidP="007E21A6">
      <w:pPr>
        <w:widowControl w:val="0"/>
        <w:shd w:val="clear" w:color="auto" w:fill="FFFFFF"/>
        <w:tabs>
          <w:tab w:val="left" w:pos="567"/>
        </w:tabs>
        <w:snapToGrid w:val="0"/>
        <w:spacing w:line="244" w:lineRule="auto"/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Burosumab je u ob</w:t>
      </w:r>
      <w:r w:rsidR="00E32C82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 studije povećao srednju vr</w:t>
      </w:r>
      <w:r w:rsidR="008726D6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nivoa fosfata u serumu i ona je ostala stabilna tokom c</w:t>
      </w:r>
      <w:r w:rsidR="008726D6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 xml:space="preserve">elog perioda studije, kao što je prikazano </w:t>
      </w:r>
      <w:proofErr w:type="gramStart"/>
      <w:r w:rsidRPr="002D5A5F">
        <w:rPr>
          <w:sz w:val="22"/>
          <w:szCs w:val="20"/>
          <w:lang w:val="en-GB"/>
        </w:rPr>
        <w:t>na</w:t>
      </w:r>
      <w:proofErr w:type="gramEnd"/>
      <w:r w:rsidRPr="002D5A5F">
        <w:rPr>
          <w:sz w:val="22"/>
          <w:szCs w:val="20"/>
          <w:lang w:val="en-GB"/>
        </w:rPr>
        <w:t xml:space="preserve"> slikama 5 odnosno 6.</w:t>
      </w:r>
    </w:p>
    <w:p w14:paraId="0D8F86D9" w14:textId="77777777" w:rsidR="002D5A5F" w:rsidRPr="002D5A5F" w:rsidRDefault="002D5A5F" w:rsidP="007E21A6">
      <w:pPr>
        <w:widowControl w:val="0"/>
        <w:shd w:val="clear" w:color="auto" w:fill="FFFFFF"/>
        <w:tabs>
          <w:tab w:val="left" w:pos="567"/>
        </w:tabs>
        <w:snapToGrid w:val="0"/>
        <w:spacing w:line="244" w:lineRule="auto"/>
        <w:jc w:val="both"/>
        <w:rPr>
          <w:sz w:val="22"/>
          <w:szCs w:val="20"/>
          <w:lang w:val="en-GB"/>
        </w:rPr>
      </w:pPr>
    </w:p>
    <w:p w14:paraId="5634EC00" w14:textId="7299BD08" w:rsidR="002D5A5F" w:rsidRPr="002D5A5F" w:rsidRDefault="002D5A5F" w:rsidP="007E21A6">
      <w:pPr>
        <w:keepNext/>
        <w:shd w:val="clear" w:color="auto" w:fill="FFFFFF"/>
        <w:tabs>
          <w:tab w:val="left" w:pos="567"/>
        </w:tabs>
        <w:snapToGrid w:val="0"/>
        <w:spacing w:line="244" w:lineRule="auto"/>
        <w:jc w:val="both"/>
        <w:rPr>
          <w:b/>
          <w:bCs/>
          <w:sz w:val="22"/>
          <w:szCs w:val="20"/>
          <w:lang w:val="en-GB"/>
        </w:rPr>
      </w:pPr>
      <w:bookmarkStart w:id="14" w:name="Figure5"/>
      <w:r w:rsidRPr="002D5A5F">
        <w:rPr>
          <w:b/>
          <w:bCs/>
          <w:sz w:val="22"/>
          <w:szCs w:val="20"/>
          <w:lang w:val="en-GB"/>
        </w:rPr>
        <w:t>Sl</w:t>
      </w:r>
      <w:bookmarkEnd w:id="14"/>
      <w:r w:rsidRPr="002D5A5F">
        <w:rPr>
          <w:b/>
          <w:bCs/>
          <w:sz w:val="22"/>
          <w:szCs w:val="20"/>
          <w:lang w:val="en-GB"/>
        </w:rPr>
        <w:t>ika 5: Koncentracija fosfata u serumu (mg/dl) u Studiji UX023T-CL201 (srednja vr</w:t>
      </w:r>
      <w:r w:rsidR="008726D6">
        <w:rPr>
          <w:b/>
          <w:bCs/>
          <w:sz w:val="22"/>
          <w:szCs w:val="20"/>
          <w:lang w:val="en-GB"/>
        </w:rPr>
        <w:t>ij</w:t>
      </w:r>
      <w:r w:rsidRPr="002D5A5F">
        <w:rPr>
          <w:b/>
          <w:bCs/>
          <w:sz w:val="22"/>
          <w:szCs w:val="20"/>
          <w:lang w:val="en-GB"/>
        </w:rPr>
        <w:t>ednost</w:t>
      </w:r>
      <w:r w:rsidR="008726D6">
        <w:rPr>
          <w:b/>
          <w:bCs/>
          <w:sz w:val="22"/>
          <w:szCs w:val="20"/>
          <w:lang w:val="en-GB"/>
        </w:rPr>
        <w:t xml:space="preserve"> </w:t>
      </w:r>
      <w:r w:rsidRPr="002D5A5F">
        <w:rPr>
          <w:b/>
          <w:bCs/>
          <w:sz w:val="22"/>
          <w:szCs w:val="20"/>
          <w:lang w:val="en-GB"/>
        </w:rPr>
        <w:t>±</w:t>
      </w:r>
      <w:r w:rsidR="008726D6">
        <w:rPr>
          <w:b/>
          <w:bCs/>
          <w:sz w:val="22"/>
          <w:szCs w:val="20"/>
          <w:lang w:val="en-GB"/>
        </w:rPr>
        <w:t xml:space="preserve"> </w:t>
      </w:r>
      <w:r w:rsidRPr="002D5A5F">
        <w:rPr>
          <w:b/>
          <w:bCs/>
          <w:sz w:val="22"/>
          <w:szCs w:val="20"/>
          <w:lang w:val="en-GB"/>
        </w:rPr>
        <w:t>SD)</w:t>
      </w:r>
    </w:p>
    <w:p w14:paraId="474EAC8B" w14:textId="07F5FC56" w:rsidR="002D5A5F" w:rsidRPr="002D5A5F" w:rsidRDefault="002D5A5F" w:rsidP="007E21A6">
      <w:pPr>
        <w:keepNext/>
        <w:shd w:val="clear" w:color="auto" w:fill="FFFFFF"/>
        <w:tabs>
          <w:tab w:val="left" w:pos="567"/>
        </w:tabs>
        <w:snapToGrid w:val="0"/>
        <w:spacing w:line="244" w:lineRule="auto"/>
        <w:jc w:val="both"/>
        <w:rPr>
          <w:i/>
          <w:sz w:val="18"/>
          <w:szCs w:val="18"/>
          <w:lang w:val="en-GB"/>
        </w:rPr>
      </w:pPr>
      <w:r w:rsidRPr="002D5A5F">
        <w:rPr>
          <w:i/>
          <w:iCs/>
          <w:sz w:val="18"/>
          <w:szCs w:val="18"/>
          <w:lang w:val="en-GB"/>
        </w:rPr>
        <w:t>Napomena: Isprekidana linija na slici označava donju granicu referentnog raspona vr</w:t>
      </w:r>
      <w:r w:rsidR="008726D6">
        <w:rPr>
          <w:i/>
          <w:iCs/>
          <w:sz w:val="18"/>
          <w:szCs w:val="18"/>
          <w:lang w:val="en-GB"/>
        </w:rPr>
        <w:t>ij</w:t>
      </w:r>
      <w:r w:rsidRPr="002D5A5F">
        <w:rPr>
          <w:i/>
          <w:iCs/>
          <w:sz w:val="18"/>
          <w:szCs w:val="18"/>
          <w:lang w:val="en-GB"/>
        </w:rPr>
        <w:t xml:space="preserve">ednosti fosfata u serumu, </w:t>
      </w:r>
      <w:r w:rsidRPr="002D5A5F">
        <w:rPr>
          <w:i/>
          <w:iCs/>
          <w:sz w:val="20"/>
          <w:szCs w:val="20"/>
          <w:lang w:val="en-GB"/>
        </w:rPr>
        <w:t>2</w:t>
      </w:r>
      <w:proofErr w:type="gramStart"/>
      <w:r w:rsidRPr="002D5A5F">
        <w:rPr>
          <w:i/>
          <w:iCs/>
          <w:sz w:val="20"/>
          <w:szCs w:val="20"/>
          <w:lang w:val="en-GB"/>
        </w:rPr>
        <w:t>,5</w:t>
      </w:r>
      <w:proofErr w:type="gramEnd"/>
      <w:r w:rsidRPr="002D5A5F">
        <w:rPr>
          <w:i/>
          <w:iCs/>
          <w:sz w:val="20"/>
          <w:szCs w:val="20"/>
          <w:lang w:val="en-GB"/>
        </w:rPr>
        <w:t xml:space="preserve"> </w:t>
      </w:r>
      <w:r w:rsidRPr="002D5A5F">
        <w:rPr>
          <w:i/>
          <w:iCs/>
          <w:sz w:val="18"/>
          <w:szCs w:val="18"/>
          <w:lang w:val="en-GB"/>
        </w:rPr>
        <w:t>mg/dl (0,81 mmol/l)</w:t>
      </w:r>
      <w:r w:rsidRPr="002D5A5F">
        <w:rPr>
          <w:i/>
          <w:iCs/>
          <w:sz w:val="20"/>
          <w:szCs w:val="20"/>
          <w:lang w:val="en-GB"/>
        </w:rPr>
        <w:t xml:space="preserve"> </w:t>
      </w:r>
    </w:p>
    <w:p w14:paraId="303E2398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5AE8428D" w14:textId="12712576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  <w:r w:rsidRPr="002D5A5F">
        <w:rPr>
          <w:noProof/>
          <w:lang w:val="sr-Latn-ME" w:eastAsia="sr-Latn-ME"/>
        </w:rPr>
        <w:drawing>
          <wp:inline distT="0" distB="0" distL="0" distR="0" wp14:anchorId="2284F8D4" wp14:editId="1A111D0C">
            <wp:extent cx="5758180" cy="2996565"/>
            <wp:effectExtent l="0" t="0" r="0" b="0"/>
            <wp:docPr id="434455052" name="Picture 2" descr="A graph with blue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55052" name="Picture 2" descr="A graph with blue lines and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0E3D" w14:textId="5BED224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  <w:r w:rsidRPr="002D5A5F">
        <w:rPr>
          <w:sz w:val="18"/>
          <w:szCs w:val="16"/>
          <w:lang w:val="en-GB"/>
        </w:rPr>
        <w:t>* Pre povlačenja peroralnog fosfata / vitamina D; ove vr</w:t>
      </w:r>
      <w:r w:rsidR="008726D6">
        <w:rPr>
          <w:sz w:val="18"/>
          <w:szCs w:val="16"/>
          <w:lang w:val="en-GB"/>
        </w:rPr>
        <w:t>ij</w:t>
      </w:r>
      <w:r w:rsidRPr="002D5A5F">
        <w:rPr>
          <w:sz w:val="18"/>
          <w:szCs w:val="16"/>
          <w:lang w:val="en-GB"/>
        </w:rPr>
        <w:t>ednosti uzete su pr</w:t>
      </w:r>
      <w:r w:rsidR="008726D6">
        <w:rPr>
          <w:sz w:val="18"/>
          <w:szCs w:val="16"/>
          <w:lang w:val="en-GB"/>
        </w:rPr>
        <w:t>ij</w:t>
      </w:r>
      <w:r w:rsidRPr="002D5A5F">
        <w:rPr>
          <w:sz w:val="18"/>
          <w:szCs w:val="16"/>
          <w:lang w:val="en-GB"/>
        </w:rPr>
        <w:t>e uključivanja u studiju</w:t>
      </w:r>
    </w:p>
    <w:p w14:paraId="1C850D09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3751C1B3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5680C90B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25AD7CBF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0B976562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4A192AB5" w14:textId="3CDBC72D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snapToGrid w:val="0"/>
        <w:spacing w:line="244" w:lineRule="auto"/>
        <w:jc w:val="both"/>
        <w:rPr>
          <w:b/>
          <w:bCs/>
          <w:sz w:val="22"/>
          <w:szCs w:val="20"/>
          <w:lang w:val="en-GB"/>
        </w:rPr>
      </w:pPr>
      <w:bookmarkStart w:id="15" w:name="Figure6"/>
      <w:r w:rsidRPr="002D5A5F">
        <w:rPr>
          <w:b/>
          <w:bCs/>
          <w:sz w:val="22"/>
          <w:szCs w:val="20"/>
          <w:lang w:val="en-GB"/>
        </w:rPr>
        <w:lastRenderedPageBreak/>
        <w:t>S</w:t>
      </w:r>
      <w:bookmarkEnd w:id="15"/>
      <w:r w:rsidRPr="002D5A5F">
        <w:rPr>
          <w:b/>
          <w:bCs/>
          <w:sz w:val="22"/>
          <w:szCs w:val="20"/>
          <w:lang w:val="en-GB"/>
        </w:rPr>
        <w:t>lika 6: Koncentracija fosfata u serumu (mg/dl) u Studiji KRN23-002 (srednja vr</w:t>
      </w:r>
      <w:r w:rsidR="008726D6">
        <w:rPr>
          <w:b/>
          <w:bCs/>
          <w:sz w:val="22"/>
          <w:szCs w:val="20"/>
          <w:lang w:val="en-GB"/>
        </w:rPr>
        <w:t>ij</w:t>
      </w:r>
      <w:r w:rsidRPr="002D5A5F">
        <w:rPr>
          <w:b/>
          <w:bCs/>
          <w:sz w:val="22"/>
          <w:szCs w:val="20"/>
          <w:lang w:val="en-GB"/>
        </w:rPr>
        <w:t>ednost</w:t>
      </w:r>
      <w:r w:rsidR="008726D6">
        <w:rPr>
          <w:b/>
          <w:bCs/>
          <w:sz w:val="22"/>
          <w:szCs w:val="20"/>
          <w:lang w:val="en-GB"/>
        </w:rPr>
        <w:t xml:space="preserve"> </w:t>
      </w:r>
      <w:r w:rsidRPr="002D5A5F">
        <w:rPr>
          <w:b/>
          <w:bCs/>
          <w:sz w:val="22"/>
          <w:szCs w:val="20"/>
          <w:lang w:val="en-GB"/>
        </w:rPr>
        <w:t>±</w:t>
      </w:r>
      <w:r w:rsidR="008726D6">
        <w:rPr>
          <w:b/>
          <w:bCs/>
          <w:sz w:val="22"/>
          <w:szCs w:val="20"/>
          <w:lang w:val="en-GB"/>
        </w:rPr>
        <w:t xml:space="preserve"> </w:t>
      </w:r>
      <w:r w:rsidRPr="002D5A5F">
        <w:rPr>
          <w:b/>
          <w:bCs/>
          <w:sz w:val="22"/>
          <w:szCs w:val="20"/>
          <w:lang w:val="en-GB"/>
        </w:rPr>
        <w:t>SD)</w:t>
      </w:r>
    </w:p>
    <w:p w14:paraId="42882DE2" w14:textId="5F3C2316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snapToGrid w:val="0"/>
        <w:spacing w:line="244" w:lineRule="auto"/>
        <w:jc w:val="both"/>
        <w:rPr>
          <w:b/>
          <w:bCs/>
          <w:sz w:val="22"/>
          <w:szCs w:val="22"/>
          <w:lang w:val="sr-Latn-RS"/>
        </w:rPr>
      </w:pPr>
      <w:r w:rsidRPr="002D5A5F">
        <w:rPr>
          <w:i/>
          <w:iCs/>
          <w:sz w:val="18"/>
          <w:szCs w:val="18"/>
          <w:lang w:val="en-GB"/>
        </w:rPr>
        <w:t>Napomena: Isprekidana linija na slici označava donju granicu referentnog raspona vr</w:t>
      </w:r>
      <w:r w:rsidR="008726D6">
        <w:rPr>
          <w:i/>
          <w:iCs/>
          <w:sz w:val="18"/>
          <w:szCs w:val="18"/>
          <w:lang w:val="en-GB"/>
        </w:rPr>
        <w:t>ij</w:t>
      </w:r>
      <w:r w:rsidRPr="002D5A5F">
        <w:rPr>
          <w:i/>
          <w:iCs/>
          <w:sz w:val="18"/>
          <w:szCs w:val="18"/>
          <w:lang w:val="en-GB"/>
        </w:rPr>
        <w:t xml:space="preserve">ednosti fosfata u serumu, </w:t>
      </w:r>
      <w:r w:rsidRPr="002D5A5F">
        <w:rPr>
          <w:i/>
          <w:iCs/>
          <w:sz w:val="20"/>
          <w:szCs w:val="20"/>
          <w:lang w:val="en-GB"/>
        </w:rPr>
        <w:t>2</w:t>
      </w:r>
      <w:proofErr w:type="gramStart"/>
      <w:r w:rsidRPr="002D5A5F">
        <w:rPr>
          <w:i/>
          <w:iCs/>
          <w:sz w:val="20"/>
          <w:szCs w:val="20"/>
          <w:lang w:val="en-GB"/>
        </w:rPr>
        <w:t>,5</w:t>
      </w:r>
      <w:proofErr w:type="gramEnd"/>
      <w:r w:rsidRPr="002D5A5F">
        <w:rPr>
          <w:i/>
          <w:iCs/>
          <w:sz w:val="20"/>
          <w:szCs w:val="20"/>
          <w:lang w:val="en-GB"/>
        </w:rPr>
        <w:t xml:space="preserve"> </w:t>
      </w:r>
      <w:r w:rsidRPr="002D5A5F">
        <w:rPr>
          <w:i/>
          <w:iCs/>
          <w:sz w:val="18"/>
          <w:szCs w:val="18"/>
          <w:lang w:val="en-GB"/>
        </w:rPr>
        <w:t>mg/dl (0,81 mmol/l)</w:t>
      </w:r>
    </w:p>
    <w:p w14:paraId="7D54FF8E" w14:textId="716402C2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  <w:r w:rsidRPr="002D5A5F">
        <w:rPr>
          <w:noProof/>
          <w:lang w:val="sr-Latn-ME" w:eastAsia="sr-Latn-ME"/>
        </w:rPr>
        <w:drawing>
          <wp:inline distT="0" distB="0" distL="0" distR="0" wp14:anchorId="624AB3B5" wp14:editId="64D35281">
            <wp:extent cx="5758180" cy="3023870"/>
            <wp:effectExtent l="0" t="0" r="0" b="5080"/>
            <wp:docPr id="809220319" name="Picture 1" descr="A graph with blue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220319" name="Picture 1" descr="A graph with blue lines and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DD3A" w14:textId="7C88DCA7" w:rsidR="002D5A5F" w:rsidRPr="002D5A5F" w:rsidRDefault="002D5A5F" w:rsidP="007E21A6">
      <w:pPr>
        <w:shd w:val="clear" w:color="auto" w:fill="FFFFFF"/>
        <w:tabs>
          <w:tab w:val="left" w:pos="567"/>
        </w:tabs>
        <w:jc w:val="both"/>
        <w:rPr>
          <w:sz w:val="18"/>
          <w:szCs w:val="18"/>
          <w:lang w:val="en-GB"/>
        </w:rPr>
      </w:pPr>
      <w:r w:rsidRPr="002D5A5F">
        <w:rPr>
          <w:sz w:val="18"/>
          <w:szCs w:val="16"/>
          <w:lang w:val="en-GB"/>
        </w:rPr>
        <w:t>* Pr</w:t>
      </w:r>
      <w:r w:rsidR="008726D6">
        <w:rPr>
          <w:sz w:val="18"/>
          <w:szCs w:val="16"/>
          <w:lang w:val="en-GB"/>
        </w:rPr>
        <w:t>ij</w:t>
      </w:r>
      <w:r w:rsidRPr="002D5A5F">
        <w:rPr>
          <w:sz w:val="18"/>
          <w:szCs w:val="16"/>
          <w:lang w:val="en-GB"/>
        </w:rPr>
        <w:t>e povlačenja peroralnog fosfata / vitamina D; ove vr</w:t>
      </w:r>
      <w:r w:rsidR="008726D6">
        <w:rPr>
          <w:sz w:val="18"/>
          <w:szCs w:val="16"/>
          <w:lang w:val="en-GB"/>
        </w:rPr>
        <w:t>ij</w:t>
      </w:r>
      <w:r w:rsidRPr="002D5A5F">
        <w:rPr>
          <w:sz w:val="18"/>
          <w:szCs w:val="16"/>
          <w:lang w:val="en-GB"/>
        </w:rPr>
        <w:t>ednosti uzete su pr</w:t>
      </w:r>
      <w:r w:rsidR="008726D6">
        <w:rPr>
          <w:sz w:val="18"/>
          <w:szCs w:val="16"/>
          <w:lang w:val="en-GB"/>
        </w:rPr>
        <w:t>ij</w:t>
      </w:r>
      <w:r w:rsidRPr="002D5A5F">
        <w:rPr>
          <w:sz w:val="18"/>
          <w:szCs w:val="16"/>
          <w:lang w:val="en-GB"/>
        </w:rPr>
        <w:t>e uključivanja u studiju</w:t>
      </w:r>
    </w:p>
    <w:p w14:paraId="741FD09C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0392E903" w14:textId="59BE2164" w:rsidR="002D5A5F" w:rsidRPr="002D5A5F" w:rsidRDefault="002D5A5F" w:rsidP="007E21A6">
      <w:pPr>
        <w:shd w:val="clear" w:color="auto" w:fill="FFFFFF"/>
        <w:tabs>
          <w:tab w:val="left" w:pos="567"/>
        </w:tabs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>U Studiji UX023T-CL201 srazm</w:t>
      </w:r>
      <w:r w:rsidR="009B29D4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era TmP/GFR povećala se kod tih pacijenata sa srednje vr</w:t>
      </w:r>
      <w:r w:rsidR="008726D6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 xml:space="preserve">ednosti (SD) od 1,12 (0,54) mg/dl [0,36 (0,17) mmol/l] na početku na 2,12 (0,64) mg/dl [0,68 (0,21) mmol/l] u 48.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 xml:space="preserve"> i ostala je stabilna do 144.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e</w:t>
      </w:r>
      <w:proofErr w:type="gramEnd"/>
      <w:r w:rsidRPr="002D5A5F">
        <w:rPr>
          <w:sz w:val="22"/>
          <w:szCs w:val="20"/>
          <w:lang w:val="en-GB"/>
        </w:rPr>
        <w:t>. U Studiji KRN23-002 srazm</w:t>
      </w:r>
      <w:r w:rsidR="009B29D4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era TmP/GFR povećala se sa srednje vr</w:t>
      </w:r>
      <w:r w:rsidR="008726D6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 xml:space="preserve">ednosti (SD) od 1,15 (0,43) mg/dl [0,46 (0,17) mmol/l] na početku na 2,30 mg/dl (0,48) mg/dl [0,92 (0,19) mmol/l] u 48.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>.</w:t>
      </w:r>
    </w:p>
    <w:p w14:paraId="3601C0C7" w14:textId="77777777" w:rsidR="002D5A5F" w:rsidRPr="002D5A5F" w:rsidRDefault="002D5A5F" w:rsidP="007E21A6">
      <w:pPr>
        <w:tabs>
          <w:tab w:val="left" w:pos="360"/>
          <w:tab w:val="left" w:pos="567"/>
        </w:tabs>
        <w:ind w:left="360" w:hanging="360"/>
        <w:jc w:val="both"/>
        <w:rPr>
          <w:i/>
          <w:sz w:val="22"/>
          <w:szCs w:val="22"/>
          <w:lang w:val="en-GB"/>
        </w:rPr>
      </w:pPr>
    </w:p>
    <w:p w14:paraId="3F1ADE77" w14:textId="77777777" w:rsidR="002D5A5F" w:rsidRPr="002D5A5F" w:rsidRDefault="002D5A5F" w:rsidP="007E21A6">
      <w:pPr>
        <w:keepNext/>
        <w:shd w:val="clear" w:color="auto" w:fill="FFFFFF"/>
        <w:tabs>
          <w:tab w:val="left" w:pos="567"/>
        </w:tabs>
        <w:spacing w:line="244" w:lineRule="auto"/>
        <w:ind w:left="-6" w:right="11" w:hanging="11"/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u w:val="single"/>
          <w:lang w:val="en-GB"/>
        </w:rPr>
        <w:t xml:space="preserve">Histomorfometrija kostiju </w:t>
      </w:r>
    </w:p>
    <w:p w14:paraId="04D56050" w14:textId="6F2EFD6E" w:rsidR="002D5A5F" w:rsidRPr="002D5A5F" w:rsidRDefault="002D5A5F" w:rsidP="007E21A6">
      <w:pPr>
        <w:keepNext/>
        <w:shd w:val="clear" w:color="auto" w:fill="FFFFFF"/>
        <w:tabs>
          <w:tab w:val="left" w:pos="567"/>
        </w:tabs>
        <w:jc w:val="both"/>
        <w:rPr>
          <w:sz w:val="22"/>
          <w:szCs w:val="20"/>
          <w:lang w:val="en-GB"/>
        </w:rPr>
      </w:pPr>
      <w:bookmarkStart w:id="16" w:name="_Hlk56162803"/>
      <w:r w:rsidRPr="002D5A5F">
        <w:rPr>
          <w:sz w:val="22"/>
          <w:szCs w:val="20"/>
          <w:lang w:val="en-GB"/>
        </w:rPr>
        <w:t>U Studiji UX023T-CL201 11 pacijenata je imalo uparene biopsije kostiju, a prom</w:t>
      </w:r>
      <w:r w:rsidR="008726D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ene su proc</w:t>
      </w:r>
      <w:r w:rsidR="008726D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enjene nakon 48 </w:t>
      </w:r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a terapije. Histomorfološki parametri prikazani su u tabeli 8 u nastavku, prvo kao srednje vr</w:t>
      </w:r>
      <w:r w:rsidR="008726D6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ednosti grupnih rezultata m</w:t>
      </w:r>
      <w:r w:rsidR="008726D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erenja </w:t>
      </w:r>
      <w:proofErr w:type="gramStart"/>
      <w:r w:rsidRPr="002D5A5F">
        <w:rPr>
          <w:sz w:val="22"/>
          <w:szCs w:val="20"/>
          <w:lang w:val="en-GB"/>
        </w:rPr>
        <w:t>na</w:t>
      </w:r>
      <w:proofErr w:type="gramEnd"/>
      <w:r w:rsidRPr="002D5A5F">
        <w:rPr>
          <w:sz w:val="22"/>
          <w:szCs w:val="20"/>
          <w:lang w:val="en-GB"/>
        </w:rPr>
        <w:t xml:space="preserve"> početku i u 48.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i</w:t>
      </w:r>
      <w:proofErr w:type="gramEnd"/>
      <w:r w:rsidRPr="002D5A5F">
        <w:rPr>
          <w:sz w:val="22"/>
          <w:szCs w:val="20"/>
          <w:lang w:val="en-GB"/>
        </w:rPr>
        <w:t>, a zatim kao srednja vr</w:t>
      </w:r>
      <w:r w:rsidR="008726D6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ednost relativnih prom</w:t>
      </w:r>
      <w:r w:rsidR="008726D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ena pojedinačnih m</w:t>
      </w:r>
      <w:r w:rsidR="009B29D4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erenja.</w:t>
      </w:r>
    </w:p>
    <w:p w14:paraId="08DC91D1" w14:textId="77777777" w:rsidR="002D5A5F" w:rsidRPr="002D5A5F" w:rsidRDefault="002D5A5F" w:rsidP="007E21A6">
      <w:pPr>
        <w:keepNext/>
        <w:shd w:val="clear" w:color="auto" w:fill="FFFFFF"/>
        <w:tabs>
          <w:tab w:val="left" w:pos="567"/>
        </w:tabs>
        <w:jc w:val="both"/>
        <w:rPr>
          <w:sz w:val="22"/>
          <w:szCs w:val="20"/>
          <w:lang w:val="en-GB"/>
        </w:rPr>
      </w:pPr>
    </w:p>
    <w:bookmarkEnd w:id="16"/>
    <w:p w14:paraId="10D2AD9C" w14:textId="3D223BE4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spacing w:line="260" w:lineRule="exact"/>
        <w:ind w:left="-5" w:right="10"/>
        <w:jc w:val="both"/>
        <w:rPr>
          <w:b/>
          <w:bCs/>
          <w:sz w:val="22"/>
          <w:szCs w:val="20"/>
          <w:lang w:val="en-GB"/>
        </w:rPr>
      </w:pPr>
      <w:r w:rsidRPr="002D5A5F">
        <w:rPr>
          <w:b/>
          <w:bCs/>
          <w:sz w:val="22"/>
          <w:szCs w:val="20"/>
          <w:lang w:val="en-GB"/>
        </w:rPr>
        <w:t>Tabela 8: Prom</w:t>
      </w:r>
      <w:r w:rsidR="008726D6">
        <w:rPr>
          <w:b/>
          <w:bCs/>
          <w:sz w:val="22"/>
          <w:szCs w:val="20"/>
          <w:lang w:val="en-GB"/>
        </w:rPr>
        <w:t>j</w:t>
      </w:r>
      <w:r w:rsidRPr="002D5A5F">
        <w:rPr>
          <w:b/>
          <w:bCs/>
          <w:sz w:val="22"/>
          <w:szCs w:val="20"/>
          <w:lang w:val="en-GB"/>
        </w:rPr>
        <w:t>ene u histomorfološkim parametrima u Studiji UX023T-CL201</w:t>
      </w:r>
    </w:p>
    <w:p w14:paraId="7D5AF35D" w14:textId="77777777" w:rsidR="002D5A5F" w:rsidRPr="002D5A5F" w:rsidRDefault="002D5A5F" w:rsidP="007E21A6">
      <w:pPr>
        <w:keepNext/>
        <w:keepLines/>
        <w:shd w:val="clear" w:color="auto" w:fill="FFFFFF"/>
        <w:tabs>
          <w:tab w:val="left" w:pos="567"/>
        </w:tabs>
        <w:spacing w:line="260" w:lineRule="exact"/>
        <w:ind w:left="-5" w:right="10"/>
        <w:jc w:val="both"/>
        <w:rPr>
          <w:sz w:val="22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262"/>
        <w:gridCol w:w="2244"/>
        <w:gridCol w:w="2280"/>
      </w:tblGrid>
      <w:tr w:rsidR="002D5A5F" w:rsidRPr="002D5A5F" w14:paraId="6926723D" w14:textId="77777777" w:rsidTr="00B111F9">
        <w:tc>
          <w:tcPr>
            <w:tcW w:w="1256" w:type="pct"/>
            <w:vMerge w:val="restart"/>
            <w:shd w:val="clear" w:color="auto" w:fill="auto"/>
          </w:tcPr>
          <w:p w14:paraId="253731BF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2D5A5F">
              <w:rPr>
                <w:b/>
                <w:bCs/>
                <w:sz w:val="22"/>
                <w:szCs w:val="20"/>
                <w:lang w:val="en-GB"/>
              </w:rPr>
              <w:t>Parametar</w:t>
            </w:r>
          </w:p>
        </w:tc>
        <w:tc>
          <w:tcPr>
            <w:tcW w:w="2486" w:type="pct"/>
            <w:gridSpan w:val="2"/>
            <w:shd w:val="clear" w:color="auto" w:fill="auto"/>
          </w:tcPr>
          <w:p w14:paraId="517C22B6" w14:textId="4178AAD3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2D5A5F">
              <w:rPr>
                <w:b/>
                <w:bCs/>
                <w:sz w:val="22"/>
                <w:szCs w:val="20"/>
                <w:lang w:val="en-GB"/>
              </w:rPr>
              <w:t>Srednja vr</w:t>
            </w:r>
            <w:r w:rsidR="008726D6">
              <w:rPr>
                <w:b/>
                <w:bCs/>
                <w:sz w:val="22"/>
                <w:szCs w:val="20"/>
                <w:lang w:val="en-GB"/>
              </w:rPr>
              <w:t>ij</w:t>
            </w:r>
            <w:r w:rsidRPr="002D5A5F">
              <w:rPr>
                <w:b/>
                <w:bCs/>
                <w:sz w:val="22"/>
                <w:szCs w:val="20"/>
                <w:lang w:val="en-GB"/>
              </w:rPr>
              <w:t>ednost (SD) grupnog skora</w:t>
            </w:r>
          </w:p>
        </w:tc>
        <w:tc>
          <w:tcPr>
            <w:tcW w:w="1258" w:type="pct"/>
            <w:vMerge w:val="restart"/>
            <w:shd w:val="clear" w:color="auto" w:fill="auto"/>
          </w:tcPr>
          <w:p w14:paraId="224C6E0B" w14:textId="38D154A0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2D5A5F">
              <w:rPr>
                <w:b/>
                <w:bCs/>
                <w:sz w:val="22"/>
                <w:szCs w:val="20"/>
                <w:lang w:val="en-GB"/>
              </w:rPr>
              <w:t>Procentualna prom</w:t>
            </w:r>
            <w:r w:rsidR="008726D6">
              <w:rPr>
                <w:b/>
                <w:bCs/>
                <w:sz w:val="22"/>
                <w:szCs w:val="20"/>
                <w:lang w:val="en-GB"/>
              </w:rPr>
              <w:t>j</w:t>
            </w:r>
            <w:r w:rsidRPr="002D5A5F">
              <w:rPr>
                <w:b/>
                <w:bCs/>
                <w:sz w:val="22"/>
                <w:szCs w:val="20"/>
                <w:lang w:val="en-GB"/>
              </w:rPr>
              <w:t>ena u srednjim grupnim vr</w:t>
            </w:r>
            <w:r w:rsidR="008726D6">
              <w:rPr>
                <w:b/>
                <w:bCs/>
                <w:sz w:val="22"/>
                <w:szCs w:val="20"/>
                <w:lang w:val="en-GB"/>
              </w:rPr>
              <w:t>ij</w:t>
            </w:r>
            <w:r w:rsidRPr="002D5A5F">
              <w:rPr>
                <w:b/>
                <w:bCs/>
                <w:sz w:val="22"/>
                <w:szCs w:val="20"/>
                <w:lang w:val="en-GB"/>
              </w:rPr>
              <w:t>ednostima</w:t>
            </w:r>
          </w:p>
        </w:tc>
      </w:tr>
      <w:tr w:rsidR="002D5A5F" w:rsidRPr="002D5A5F" w14:paraId="523A210F" w14:textId="77777777" w:rsidTr="00B111F9">
        <w:tc>
          <w:tcPr>
            <w:tcW w:w="1256" w:type="pct"/>
            <w:vMerge/>
            <w:shd w:val="clear" w:color="auto" w:fill="auto"/>
          </w:tcPr>
          <w:p w14:paraId="02F96AA0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</w:p>
        </w:tc>
        <w:tc>
          <w:tcPr>
            <w:tcW w:w="1248" w:type="pct"/>
            <w:shd w:val="clear" w:color="auto" w:fill="auto"/>
          </w:tcPr>
          <w:p w14:paraId="357C3525" w14:textId="698FEBD6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2D5A5F">
              <w:rPr>
                <w:b/>
                <w:bCs/>
                <w:sz w:val="22"/>
                <w:szCs w:val="20"/>
                <w:lang w:val="en-GB"/>
              </w:rPr>
              <w:t>Početna vr</w:t>
            </w:r>
            <w:r w:rsidR="008726D6">
              <w:rPr>
                <w:b/>
                <w:bCs/>
                <w:sz w:val="22"/>
                <w:szCs w:val="20"/>
                <w:lang w:val="en-GB"/>
              </w:rPr>
              <w:t>ij</w:t>
            </w:r>
            <w:r w:rsidRPr="002D5A5F">
              <w:rPr>
                <w:b/>
                <w:bCs/>
                <w:sz w:val="22"/>
                <w:szCs w:val="20"/>
                <w:lang w:val="en-GB"/>
              </w:rPr>
              <w:t>ednost</w:t>
            </w:r>
          </w:p>
        </w:tc>
        <w:tc>
          <w:tcPr>
            <w:tcW w:w="1238" w:type="pct"/>
            <w:shd w:val="clear" w:color="auto" w:fill="auto"/>
          </w:tcPr>
          <w:p w14:paraId="790FAF0C" w14:textId="352E35BF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b/>
                <w:bCs/>
                <w:sz w:val="22"/>
                <w:szCs w:val="20"/>
                <w:lang w:val="en-GB"/>
              </w:rPr>
            </w:pPr>
            <w:r w:rsidRPr="002D5A5F">
              <w:rPr>
                <w:b/>
                <w:bCs/>
                <w:sz w:val="22"/>
                <w:szCs w:val="20"/>
                <w:lang w:val="en-GB"/>
              </w:rPr>
              <w:t xml:space="preserve">48. </w:t>
            </w:r>
            <w:r w:rsidR="008B0E2F">
              <w:rPr>
                <w:b/>
                <w:bCs/>
                <w:sz w:val="22"/>
                <w:szCs w:val="20"/>
                <w:lang w:val="en-GB"/>
              </w:rPr>
              <w:t>nedjelj</w:t>
            </w:r>
            <w:r w:rsidRPr="002D5A5F">
              <w:rPr>
                <w:b/>
                <w:bCs/>
                <w:sz w:val="22"/>
                <w:szCs w:val="20"/>
                <w:lang w:val="en-GB"/>
              </w:rPr>
              <w:t>a</w:t>
            </w:r>
          </w:p>
        </w:tc>
        <w:tc>
          <w:tcPr>
            <w:tcW w:w="1258" w:type="pct"/>
            <w:vMerge/>
            <w:shd w:val="clear" w:color="auto" w:fill="auto"/>
          </w:tcPr>
          <w:p w14:paraId="69BB51B3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</w:p>
        </w:tc>
      </w:tr>
      <w:tr w:rsidR="002D5A5F" w:rsidRPr="002D5A5F" w14:paraId="4162068C" w14:textId="77777777" w:rsidTr="00B111F9">
        <w:tc>
          <w:tcPr>
            <w:tcW w:w="1256" w:type="pct"/>
            <w:shd w:val="clear" w:color="auto" w:fill="auto"/>
          </w:tcPr>
          <w:p w14:paraId="1B131EE8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OV/BV (%)</w:t>
            </w:r>
          </w:p>
        </w:tc>
        <w:tc>
          <w:tcPr>
            <w:tcW w:w="1248" w:type="pct"/>
            <w:shd w:val="clear" w:color="auto" w:fill="auto"/>
          </w:tcPr>
          <w:p w14:paraId="479577AF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17,6 (19,5)</w:t>
            </w:r>
          </w:p>
        </w:tc>
        <w:tc>
          <w:tcPr>
            <w:tcW w:w="1238" w:type="pct"/>
            <w:shd w:val="clear" w:color="auto" w:fill="auto"/>
          </w:tcPr>
          <w:p w14:paraId="4C1D4067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12,1 (15,4)</w:t>
            </w:r>
          </w:p>
        </w:tc>
        <w:tc>
          <w:tcPr>
            <w:tcW w:w="1258" w:type="pct"/>
            <w:shd w:val="clear" w:color="auto" w:fill="auto"/>
          </w:tcPr>
          <w:p w14:paraId="193C825E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-31,3</w:t>
            </w:r>
          </w:p>
        </w:tc>
      </w:tr>
      <w:tr w:rsidR="002D5A5F" w:rsidRPr="002D5A5F" w14:paraId="7E17017A" w14:textId="77777777" w:rsidTr="00B111F9">
        <w:tc>
          <w:tcPr>
            <w:tcW w:w="1256" w:type="pct"/>
            <w:shd w:val="clear" w:color="auto" w:fill="auto"/>
          </w:tcPr>
          <w:p w14:paraId="68A1FDC0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OS/BS (%)</w:t>
            </w:r>
          </w:p>
        </w:tc>
        <w:tc>
          <w:tcPr>
            <w:tcW w:w="1248" w:type="pct"/>
            <w:shd w:val="clear" w:color="auto" w:fill="auto"/>
          </w:tcPr>
          <w:p w14:paraId="2990A73D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56,8 (31,0)</w:t>
            </w:r>
          </w:p>
        </w:tc>
        <w:tc>
          <w:tcPr>
            <w:tcW w:w="1238" w:type="pct"/>
            <w:shd w:val="clear" w:color="auto" w:fill="auto"/>
          </w:tcPr>
          <w:p w14:paraId="2D6C85A2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56,6 (26,3)</w:t>
            </w:r>
          </w:p>
        </w:tc>
        <w:tc>
          <w:tcPr>
            <w:tcW w:w="1258" w:type="pct"/>
            <w:shd w:val="clear" w:color="auto" w:fill="auto"/>
          </w:tcPr>
          <w:p w14:paraId="374F73B7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-0,004</w:t>
            </w:r>
          </w:p>
        </w:tc>
      </w:tr>
      <w:tr w:rsidR="002D5A5F" w:rsidRPr="002D5A5F" w14:paraId="371A36B4" w14:textId="77777777" w:rsidTr="00B111F9">
        <w:tc>
          <w:tcPr>
            <w:tcW w:w="1256" w:type="pct"/>
            <w:shd w:val="clear" w:color="auto" w:fill="auto"/>
          </w:tcPr>
          <w:p w14:paraId="53A0A8E5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O.Th (μm)</w:t>
            </w:r>
          </w:p>
        </w:tc>
        <w:tc>
          <w:tcPr>
            <w:tcW w:w="1248" w:type="pct"/>
            <w:shd w:val="clear" w:color="auto" w:fill="auto"/>
          </w:tcPr>
          <w:p w14:paraId="557C3188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16,5 (12,0)</w:t>
            </w:r>
          </w:p>
        </w:tc>
        <w:tc>
          <w:tcPr>
            <w:tcW w:w="1238" w:type="pct"/>
            <w:shd w:val="clear" w:color="auto" w:fill="auto"/>
          </w:tcPr>
          <w:p w14:paraId="18850E2B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11,3 (9,2)</w:t>
            </w:r>
          </w:p>
        </w:tc>
        <w:tc>
          <w:tcPr>
            <w:tcW w:w="1258" w:type="pct"/>
            <w:shd w:val="clear" w:color="auto" w:fill="auto"/>
          </w:tcPr>
          <w:p w14:paraId="437D4058" w14:textId="77777777" w:rsidR="002D5A5F" w:rsidRPr="002D5A5F" w:rsidRDefault="002D5A5F" w:rsidP="007E21A6">
            <w:pPr>
              <w:keepNext/>
              <w:keepLines/>
              <w:tabs>
                <w:tab w:val="left" w:pos="567"/>
              </w:tabs>
              <w:spacing w:line="260" w:lineRule="exact"/>
              <w:ind w:right="10"/>
              <w:jc w:val="both"/>
              <w:rPr>
                <w:sz w:val="22"/>
                <w:szCs w:val="20"/>
                <w:lang w:val="en-GB"/>
              </w:rPr>
            </w:pPr>
            <w:r w:rsidRPr="002D5A5F">
              <w:rPr>
                <w:sz w:val="22"/>
                <w:szCs w:val="20"/>
                <w:lang w:val="en-GB"/>
              </w:rPr>
              <w:t>-31,5</w:t>
            </w:r>
          </w:p>
        </w:tc>
      </w:tr>
    </w:tbl>
    <w:p w14:paraId="03B15CDA" w14:textId="77777777" w:rsidR="002D5A5F" w:rsidRPr="002D5A5F" w:rsidRDefault="002D5A5F" w:rsidP="007E21A6">
      <w:pPr>
        <w:shd w:val="clear" w:color="auto" w:fill="FFFFFF"/>
        <w:tabs>
          <w:tab w:val="left" w:pos="567"/>
        </w:tabs>
        <w:spacing w:line="244" w:lineRule="auto"/>
        <w:ind w:left="-6" w:right="11" w:hanging="11"/>
        <w:jc w:val="both"/>
        <w:rPr>
          <w:sz w:val="22"/>
          <w:szCs w:val="20"/>
          <w:lang w:val="en-GB"/>
        </w:rPr>
      </w:pPr>
    </w:p>
    <w:p w14:paraId="4643D948" w14:textId="51A86321" w:rsidR="002D5A5F" w:rsidRPr="002D5A5F" w:rsidRDefault="002D5A5F" w:rsidP="007E21A6">
      <w:pPr>
        <w:shd w:val="clear" w:color="auto" w:fill="FFFFFF"/>
        <w:tabs>
          <w:tab w:val="left" w:pos="567"/>
        </w:tabs>
        <w:spacing w:line="244" w:lineRule="auto"/>
        <w:ind w:left="-6" w:right="11" w:hanging="11"/>
        <w:jc w:val="both"/>
        <w:rPr>
          <w:sz w:val="22"/>
          <w:szCs w:val="20"/>
          <w:u w:val="single"/>
          <w:lang w:val="en-GB"/>
        </w:rPr>
      </w:pPr>
      <w:r w:rsidRPr="002D5A5F">
        <w:rPr>
          <w:sz w:val="22"/>
          <w:szCs w:val="20"/>
          <w:u w:val="single"/>
          <w:lang w:val="en-GB"/>
        </w:rPr>
        <w:t>Radiografska proc</w:t>
      </w:r>
      <w:r w:rsidR="008726D6">
        <w:rPr>
          <w:sz w:val="22"/>
          <w:szCs w:val="20"/>
          <w:u w:val="single"/>
          <w:lang w:val="en-GB"/>
        </w:rPr>
        <w:t>j</w:t>
      </w:r>
      <w:r w:rsidRPr="002D5A5F">
        <w:rPr>
          <w:sz w:val="22"/>
          <w:szCs w:val="20"/>
          <w:u w:val="single"/>
          <w:lang w:val="en-GB"/>
        </w:rPr>
        <w:t xml:space="preserve">ena </w:t>
      </w:r>
    </w:p>
    <w:p w14:paraId="33F380F0" w14:textId="76593F90" w:rsidR="002D5A5F" w:rsidRPr="002D5A5F" w:rsidRDefault="002D5A5F" w:rsidP="007E21A6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b/>
          <w:noProof/>
          <w:sz w:val="22"/>
          <w:szCs w:val="22"/>
          <w:lang w:val="en-GB"/>
        </w:rPr>
      </w:pPr>
      <w:bookmarkStart w:id="17" w:name="_Hlk102302352"/>
      <w:r w:rsidRPr="002D5A5F">
        <w:rPr>
          <w:sz w:val="22"/>
          <w:szCs w:val="20"/>
          <w:lang w:val="en-GB"/>
        </w:rPr>
        <w:t xml:space="preserve">Scintigrafija skeleta pomoću </w:t>
      </w:r>
      <w:r w:rsidRPr="002D5A5F">
        <w:rPr>
          <w:sz w:val="22"/>
          <w:szCs w:val="20"/>
          <w:vertAlign w:val="superscript"/>
          <w:lang w:val="en-GB"/>
        </w:rPr>
        <w:t>99m</w:t>
      </w:r>
      <w:r w:rsidRPr="002D5A5F">
        <w:rPr>
          <w:sz w:val="22"/>
          <w:szCs w:val="20"/>
          <w:lang w:val="en-GB"/>
        </w:rPr>
        <w:t xml:space="preserve">tehnicijuma i radiografski snimci skeleta izvršeni su </w:t>
      </w:r>
      <w:proofErr w:type="gramStart"/>
      <w:r w:rsidRPr="002D5A5F">
        <w:rPr>
          <w:sz w:val="22"/>
          <w:szCs w:val="20"/>
          <w:lang w:val="en-GB"/>
        </w:rPr>
        <w:t>na</w:t>
      </w:r>
      <w:proofErr w:type="gramEnd"/>
      <w:r w:rsidRPr="002D5A5F">
        <w:rPr>
          <w:sz w:val="22"/>
          <w:szCs w:val="20"/>
          <w:lang w:val="en-GB"/>
        </w:rPr>
        <w:t xml:space="preserve"> početku i nakon terapije do 144. </w:t>
      </w:r>
      <w:proofErr w:type="gramStart"/>
      <w:r w:rsidR="008B0E2F">
        <w:rPr>
          <w:sz w:val="22"/>
          <w:szCs w:val="20"/>
          <w:lang w:val="en-GB"/>
        </w:rPr>
        <w:t>nedjelj</w:t>
      </w:r>
      <w:r w:rsidRPr="002D5A5F">
        <w:rPr>
          <w:sz w:val="22"/>
          <w:szCs w:val="20"/>
          <w:lang w:val="en-GB"/>
        </w:rPr>
        <w:t>e</w:t>
      </w:r>
      <w:proofErr w:type="gramEnd"/>
      <w:r w:rsidRPr="002D5A5F">
        <w:rPr>
          <w:sz w:val="22"/>
          <w:szCs w:val="20"/>
          <w:lang w:val="en-GB"/>
        </w:rPr>
        <w:t xml:space="preserve"> kako bi se proc</w:t>
      </w:r>
      <w:r w:rsidR="00A30E59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>enio broj fraktura i pseudofraktura. Smanjenje broja fraktura i pseudofraktura zab</w:t>
      </w:r>
      <w:r w:rsidR="009B29D4">
        <w:rPr>
          <w:sz w:val="22"/>
          <w:szCs w:val="20"/>
          <w:lang w:val="en-GB"/>
        </w:rPr>
        <w:t>ilje</w:t>
      </w:r>
      <w:r w:rsidRPr="002D5A5F">
        <w:rPr>
          <w:sz w:val="22"/>
          <w:szCs w:val="20"/>
          <w:lang w:val="en-GB"/>
        </w:rPr>
        <w:t xml:space="preserve">ženo je i </w:t>
      </w:r>
      <w:proofErr w:type="gramStart"/>
      <w:r w:rsidRPr="002D5A5F">
        <w:rPr>
          <w:sz w:val="22"/>
          <w:szCs w:val="20"/>
          <w:lang w:val="en-GB"/>
        </w:rPr>
        <w:t>na</w:t>
      </w:r>
      <w:proofErr w:type="gramEnd"/>
      <w:r w:rsidRPr="002D5A5F">
        <w:rPr>
          <w:sz w:val="22"/>
          <w:szCs w:val="20"/>
          <w:lang w:val="en-GB"/>
        </w:rPr>
        <w:t xml:space="preserve"> scintigrafskim i na radiografskim snimcima skeleta</w:t>
      </w:r>
      <w:bookmarkEnd w:id="17"/>
      <w:r w:rsidRPr="002D5A5F">
        <w:rPr>
          <w:sz w:val="22"/>
          <w:szCs w:val="20"/>
          <w:lang w:val="en-GB"/>
        </w:rPr>
        <w:t>.</w:t>
      </w:r>
    </w:p>
    <w:p w14:paraId="1FA6529A" w14:textId="77777777" w:rsidR="002D5A5F" w:rsidRPr="002D5A5F" w:rsidRDefault="002D5A5F" w:rsidP="007E21A6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b/>
          <w:noProof/>
          <w:sz w:val="22"/>
          <w:szCs w:val="22"/>
          <w:lang w:val="en-GB"/>
        </w:rPr>
      </w:pPr>
    </w:p>
    <w:p w14:paraId="4ABBA880" w14:textId="77777777" w:rsidR="002D5A5F" w:rsidRPr="002D5A5F" w:rsidRDefault="002D5A5F" w:rsidP="007E21A6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bCs/>
          <w:noProof/>
          <w:sz w:val="22"/>
          <w:szCs w:val="22"/>
          <w:u w:val="single"/>
          <w:lang w:val="en-GB"/>
        </w:rPr>
      </w:pPr>
      <w:r w:rsidRPr="002D5A5F">
        <w:rPr>
          <w:noProof/>
          <w:sz w:val="22"/>
          <w:szCs w:val="22"/>
          <w:u w:val="single"/>
          <w:lang w:val="en-GB"/>
        </w:rPr>
        <w:t>Pedijatrijski pacijenti sa TIO</w:t>
      </w:r>
    </w:p>
    <w:p w14:paraId="1C3C0614" w14:textId="16EA08C8" w:rsidR="002D5A5F" w:rsidRPr="002D5A5F" w:rsidRDefault="002D5A5F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t xml:space="preserve">Nisu sprovedena klinička ispitivanja </w:t>
      </w:r>
      <w:proofErr w:type="gramStart"/>
      <w:r w:rsidRPr="002D5A5F">
        <w:rPr>
          <w:sz w:val="22"/>
          <w:szCs w:val="20"/>
          <w:lang w:val="en-GB"/>
        </w:rPr>
        <w:t>sa</w:t>
      </w:r>
      <w:proofErr w:type="gramEnd"/>
      <w:r w:rsidRPr="002D5A5F">
        <w:rPr>
          <w:sz w:val="22"/>
          <w:szCs w:val="20"/>
          <w:lang w:val="en-GB"/>
        </w:rPr>
        <w:t xml:space="preserve"> buro</w:t>
      </w:r>
      <w:r w:rsidR="008726D6">
        <w:rPr>
          <w:sz w:val="22"/>
          <w:szCs w:val="20"/>
          <w:lang w:val="en-GB"/>
        </w:rPr>
        <w:t>s</w:t>
      </w:r>
      <w:r w:rsidRPr="002D5A5F">
        <w:rPr>
          <w:sz w:val="22"/>
          <w:szCs w:val="20"/>
          <w:lang w:val="en-GB"/>
        </w:rPr>
        <w:t xml:space="preserve">umabom kod pedijatrijskih pacijenata bilo kog uzrasta sa TIO. Doziranje burosumaba kod pedijatrijskih pacijenata </w:t>
      </w:r>
      <w:proofErr w:type="gramStart"/>
      <w:r w:rsidRPr="002D5A5F">
        <w:rPr>
          <w:sz w:val="22"/>
          <w:szCs w:val="20"/>
          <w:lang w:val="en-GB"/>
        </w:rPr>
        <w:t>sa</w:t>
      </w:r>
      <w:proofErr w:type="gramEnd"/>
      <w:r w:rsidRPr="002D5A5F">
        <w:rPr>
          <w:sz w:val="22"/>
          <w:szCs w:val="20"/>
          <w:lang w:val="en-GB"/>
        </w:rPr>
        <w:t xml:space="preserve"> TIO određeno je na osnovu farmakokinetičkog modelovanja i simulacije (vid</w:t>
      </w:r>
      <w:r w:rsidR="008726D6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 xml:space="preserve">eti </w:t>
      </w:r>
      <w:r w:rsidR="008726D6">
        <w:rPr>
          <w:sz w:val="22"/>
          <w:szCs w:val="20"/>
          <w:lang w:val="en-GB"/>
        </w:rPr>
        <w:t>dio</w:t>
      </w:r>
      <w:r w:rsidRPr="002D5A5F">
        <w:rPr>
          <w:sz w:val="22"/>
          <w:szCs w:val="20"/>
          <w:lang w:val="en-GB"/>
        </w:rPr>
        <w:t xml:space="preserve"> 5.2).</w:t>
      </w:r>
    </w:p>
    <w:p w14:paraId="45C1DCFF" w14:textId="77777777" w:rsidR="002D5A5F" w:rsidRPr="002D5A5F" w:rsidRDefault="002D5A5F" w:rsidP="007E21A6">
      <w:pPr>
        <w:autoSpaceDE w:val="0"/>
        <w:autoSpaceDN w:val="0"/>
        <w:adjustRightInd w:val="0"/>
        <w:jc w:val="both"/>
        <w:rPr>
          <w:rFonts w:eastAsia="SimSun"/>
          <w:sz w:val="22"/>
          <w:szCs w:val="20"/>
          <w:lang w:val="en-GB"/>
        </w:rPr>
      </w:pPr>
    </w:p>
    <w:p w14:paraId="3947F12A" w14:textId="7757B124" w:rsidR="002D5A5F" w:rsidRPr="002D5A5F" w:rsidRDefault="002D5A5F" w:rsidP="007E21A6">
      <w:pPr>
        <w:autoSpaceDE w:val="0"/>
        <w:autoSpaceDN w:val="0"/>
        <w:adjustRightInd w:val="0"/>
        <w:jc w:val="both"/>
        <w:rPr>
          <w:rFonts w:eastAsia="SimSun"/>
          <w:sz w:val="22"/>
          <w:szCs w:val="20"/>
          <w:lang w:val="en-GB"/>
        </w:rPr>
      </w:pPr>
      <w:r w:rsidRPr="002D5A5F">
        <w:rPr>
          <w:sz w:val="22"/>
          <w:szCs w:val="20"/>
          <w:lang w:val="en-GB"/>
        </w:rPr>
        <w:lastRenderedPageBreak/>
        <w:t xml:space="preserve">Evropska agencija je izuzela obavezu podnošenja rezultata studija </w:t>
      </w:r>
      <w:proofErr w:type="gramStart"/>
      <w:r w:rsidRPr="002D5A5F">
        <w:rPr>
          <w:sz w:val="22"/>
          <w:szCs w:val="20"/>
          <w:lang w:val="en-GB"/>
        </w:rPr>
        <w:t>sa</w:t>
      </w:r>
      <w:proofErr w:type="gramEnd"/>
      <w:r w:rsidRPr="002D5A5F">
        <w:rPr>
          <w:sz w:val="22"/>
          <w:szCs w:val="20"/>
          <w:lang w:val="en-GB"/>
        </w:rPr>
        <w:t xml:space="preserve"> burosumabom u svim podgrupama pedijatrijske populacije u l</w:t>
      </w:r>
      <w:r w:rsidR="008726D6">
        <w:rPr>
          <w:sz w:val="22"/>
          <w:szCs w:val="20"/>
          <w:lang w:val="en-GB"/>
        </w:rPr>
        <w:t>ij</w:t>
      </w:r>
      <w:r w:rsidRPr="002D5A5F">
        <w:rPr>
          <w:sz w:val="22"/>
          <w:szCs w:val="20"/>
          <w:lang w:val="en-GB"/>
        </w:rPr>
        <w:t xml:space="preserve">ečenju tumorom indukovane osteomalacije. Pogledajte </w:t>
      </w:r>
      <w:r w:rsidR="008726D6">
        <w:rPr>
          <w:sz w:val="22"/>
          <w:szCs w:val="20"/>
          <w:lang w:val="en-GB"/>
        </w:rPr>
        <w:t>dio</w:t>
      </w:r>
      <w:r w:rsidRPr="002D5A5F">
        <w:rPr>
          <w:sz w:val="22"/>
          <w:szCs w:val="20"/>
          <w:lang w:val="en-GB"/>
        </w:rPr>
        <w:t xml:space="preserve"> 4.2 za informacije o pedijatrijskoj prim</w:t>
      </w:r>
      <w:r w:rsidR="00A50892">
        <w:rPr>
          <w:sz w:val="22"/>
          <w:szCs w:val="20"/>
          <w:lang w:val="en-GB"/>
        </w:rPr>
        <w:t>j</w:t>
      </w:r>
      <w:r w:rsidRPr="002D5A5F">
        <w:rPr>
          <w:sz w:val="22"/>
          <w:szCs w:val="20"/>
          <w:lang w:val="en-GB"/>
        </w:rPr>
        <w:t>eni.</w:t>
      </w:r>
    </w:p>
    <w:p w14:paraId="17FB9986" w14:textId="77777777" w:rsidR="002D5A5F" w:rsidRPr="002D5A5F" w:rsidRDefault="002D5A5F" w:rsidP="007E21A6">
      <w:pPr>
        <w:widowControl w:val="0"/>
        <w:autoSpaceDE w:val="0"/>
        <w:autoSpaceDN w:val="0"/>
        <w:ind w:right="362"/>
        <w:jc w:val="both"/>
        <w:rPr>
          <w:b/>
          <w:bCs/>
          <w:sz w:val="22"/>
          <w:szCs w:val="22"/>
          <w:lang w:val="sr-Latn-RS"/>
        </w:rPr>
      </w:pPr>
    </w:p>
    <w:p w14:paraId="5E485F70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Farmakokinetički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46A9176A" w14:textId="77777777" w:rsidR="00A50892" w:rsidRPr="00A50892" w:rsidRDefault="00A50892" w:rsidP="007E21A6">
      <w:pPr>
        <w:keepNext/>
        <w:tabs>
          <w:tab w:val="left" w:pos="567"/>
        </w:tabs>
        <w:jc w:val="both"/>
        <w:outlineLvl w:val="0"/>
        <w:rPr>
          <w:b/>
          <w:noProof/>
          <w:sz w:val="22"/>
          <w:szCs w:val="22"/>
          <w:lang w:val="en-GB"/>
        </w:rPr>
      </w:pPr>
    </w:p>
    <w:p w14:paraId="5FF41552" w14:textId="77777777" w:rsidR="00A50892" w:rsidRPr="00A50892" w:rsidRDefault="00A50892" w:rsidP="007E21A6">
      <w:pPr>
        <w:tabs>
          <w:tab w:val="left" w:pos="567"/>
        </w:tabs>
        <w:ind w:right="-2"/>
        <w:jc w:val="both"/>
        <w:rPr>
          <w:sz w:val="22"/>
          <w:szCs w:val="20"/>
          <w:u w:val="single"/>
          <w:lang w:val="en-GB"/>
        </w:rPr>
      </w:pPr>
      <w:r w:rsidRPr="00A50892">
        <w:rPr>
          <w:sz w:val="22"/>
          <w:szCs w:val="20"/>
          <w:u w:val="single"/>
          <w:lang w:val="en-GB"/>
        </w:rPr>
        <w:t>Resorpcija</w:t>
      </w:r>
    </w:p>
    <w:p w14:paraId="31E2E67F" w14:textId="77777777" w:rsidR="00A50892" w:rsidRPr="00A50892" w:rsidRDefault="00A50892" w:rsidP="007E21A6">
      <w:pPr>
        <w:tabs>
          <w:tab w:val="left" w:pos="567"/>
        </w:tabs>
        <w:ind w:right="-2"/>
        <w:jc w:val="both"/>
        <w:rPr>
          <w:sz w:val="22"/>
          <w:szCs w:val="20"/>
          <w:u w:val="single"/>
          <w:lang w:val="en-GB"/>
        </w:rPr>
      </w:pPr>
    </w:p>
    <w:p w14:paraId="68B16BB4" w14:textId="67BF85F9" w:rsidR="00A50892" w:rsidRPr="00A50892" w:rsidRDefault="00A50892" w:rsidP="007E21A6">
      <w:pPr>
        <w:tabs>
          <w:tab w:val="left" w:pos="567"/>
        </w:tabs>
        <w:ind w:right="-2"/>
        <w:jc w:val="both"/>
        <w:rPr>
          <w:sz w:val="22"/>
          <w:szCs w:val="20"/>
          <w:lang w:val="en-GB"/>
        </w:rPr>
      </w:pPr>
      <w:r w:rsidRPr="00A50892">
        <w:rPr>
          <w:sz w:val="22"/>
          <w:szCs w:val="20"/>
          <w:lang w:val="en-GB"/>
        </w:rPr>
        <w:t xml:space="preserve">Burosumab se </w:t>
      </w:r>
      <w:proofErr w:type="gramStart"/>
      <w:r w:rsidRPr="00A50892">
        <w:rPr>
          <w:sz w:val="22"/>
          <w:szCs w:val="20"/>
          <w:lang w:val="en-GB"/>
        </w:rPr>
        <w:t>sa</w:t>
      </w:r>
      <w:proofErr w:type="gramEnd"/>
      <w:r w:rsidRPr="00A50892">
        <w:rPr>
          <w:sz w:val="22"/>
          <w:szCs w:val="20"/>
          <w:lang w:val="en-GB"/>
        </w:rPr>
        <w:t xml:space="preserve"> m</w:t>
      </w:r>
      <w:r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esta prim</w:t>
      </w:r>
      <w:r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 xml:space="preserve">ene </w:t>
      </w:r>
      <w:r w:rsidR="00E32C82" w:rsidRPr="00A50892">
        <w:rPr>
          <w:sz w:val="22"/>
          <w:szCs w:val="20"/>
          <w:lang w:val="en-GB"/>
        </w:rPr>
        <w:t>su</w:t>
      </w:r>
      <w:r w:rsidR="00E32C82">
        <w:rPr>
          <w:sz w:val="22"/>
          <w:szCs w:val="20"/>
          <w:lang w:val="en-GB"/>
        </w:rPr>
        <w:t>b</w:t>
      </w:r>
      <w:r w:rsidR="00E32C82" w:rsidRPr="00A50892">
        <w:rPr>
          <w:sz w:val="22"/>
          <w:szCs w:val="20"/>
          <w:lang w:val="en-GB"/>
        </w:rPr>
        <w:t xml:space="preserve">kutane </w:t>
      </w:r>
      <w:r w:rsidRPr="00A50892">
        <w:rPr>
          <w:sz w:val="22"/>
          <w:szCs w:val="20"/>
          <w:lang w:val="en-GB"/>
        </w:rPr>
        <w:t xml:space="preserve">injekcije skoro potpuno resorbuje u krvotok. Nakon </w:t>
      </w:r>
      <w:r w:rsidR="00E32C82" w:rsidRPr="00A50892">
        <w:rPr>
          <w:sz w:val="22"/>
          <w:szCs w:val="20"/>
          <w:lang w:val="en-GB"/>
        </w:rPr>
        <w:t>su</w:t>
      </w:r>
      <w:r w:rsidR="00E32C82">
        <w:rPr>
          <w:sz w:val="22"/>
          <w:szCs w:val="20"/>
          <w:lang w:val="en-GB"/>
        </w:rPr>
        <w:t>b</w:t>
      </w:r>
      <w:r w:rsidR="00E32C82" w:rsidRPr="00A50892">
        <w:rPr>
          <w:sz w:val="22"/>
          <w:szCs w:val="20"/>
          <w:lang w:val="en-GB"/>
        </w:rPr>
        <w:t xml:space="preserve">kutane </w:t>
      </w:r>
      <w:r w:rsidRPr="00A50892">
        <w:rPr>
          <w:sz w:val="22"/>
          <w:szCs w:val="20"/>
          <w:lang w:val="en-GB"/>
        </w:rPr>
        <w:t>prim</w:t>
      </w:r>
      <w:r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ene medijana vremena potrebnog da burosumab dostigne maksimalne koncentracije u serumu (T</w:t>
      </w:r>
      <w:r w:rsidRPr="00A50892">
        <w:rPr>
          <w:sz w:val="22"/>
          <w:szCs w:val="20"/>
          <w:vertAlign w:val="subscript"/>
          <w:lang w:val="en-GB"/>
        </w:rPr>
        <w:t>max</w:t>
      </w:r>
      <w:r w:rsidRPr="00A50892">
        <w:rPr>
          <w:sz w:val="22"/>
          <w:szCs w:val="20"/>
          <w:lang w:val="en-GB"/>
        </w:rPr>
        <w:t xml:space="preserve">) iznosi približno 7‒13 </w:t>
      </w:r>
      <w:proofErr w:type="gramStart"/>
      <w:r w:rsidRPr="00A50892">
        <w:rPr>
          <w:sz w:val="22"/>
          <w:szCs w:val="20"/>
          <w:lang w:val="en-GB"/>
        </w:rPr>
        <w:t>dana</w:t>
      </w:r>
      <w:proofErr w:type="gramEnd"/>
      <w:r w:rsidRPr="00A50892">
        <w:rPr>
          <w:sz w:val="22"/>
          <w:szCs w:val="20"/>
          <w:lang w:val="en-GB"/>
        </w:rPr>
        <w:t>. Vršna koncentracija u serumu (C</w:t>
      </w:r>
      <w:r w:rsidRPr="00A50892">
        <w:rPr>
          <w:sz w:val="22"/>
          <w:szCs w:val="20"/>
          <w:vertAlign w:val="subscript"/>
          <w:lang w:val="en-GB"/>
        </w:rPr>
        <w:t>max</w:t>
      </w:r>
      <w:r w:rsidRPr="00A50892">
        <w:rPr>
          <w:sz w:val="22"/>
          <w:szCs w:val="20"/>
          <w:lang w:val="en-GB"/>
        </w:rPr>
        <w:t>) i oblast ispod krive koncentracija–vr</w:t>
      </w:r>
      <w:r>
        <w:rPr>
          <w:sz w:val="22"/>
          <w:szCs w:val="20"/>
          <w:lang w:val="en-GB"/>
        </w:rPr>
        <w:t>ij</w:t>
      </w:r>
      <w:r w:rsidRPr="00A50892">
        <w:rPr>
          <w:sz w:val="22"/>
          <w:szCs w:val="20"/>
          <w:lang w:val="en-GB"/>
        </w:rPr>
        <w:t>eme (AUC) za burosumab u serumu su proporcionalni dozi u rasponu doza od 0</w:t>
      </w:r>
      <w:proofErr w:type="gramStart"/>
      <w:r w:rsidRPr="00A50892">
        <w:rPr>
          <w:sz w:val="22"/>
          <w:szCs w:val="20"/>
          <w:lang w:val="en-GB"/>
        </w:rPr>
        <w:t>,1</w:t>
      </w:r>
      <w:proofErr w:type="gramEnd"/>
      <w:r w:rsidRPr="00A50892">
        <w:rPr>
          <w:sz w:val="22"/>
          <w:szCs w:val="20"/>
          <w:lang w:val="en-GB"/>
        </w:rPr>
        <w:t xml:space="preserve"> do 2,0 mg/kg. </w:t>
      </w:r>
    </w:p>
    <w:p w14:paraId="797DC2DC" w14:textId="77777777" w:rsidR="00A50892" w:rsidRPr="00A50892" w:rsidRDefault="00A50892" w:rsidP="007E21A6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u w:val="single"/>
          <w:lang w:val="en-GB"/>
        </w:rPr>
      </w:pPr>
    </w:p>
    <w:p w14:paraId="68A97665" w14:textId="77777777" w:rsidR="00A50892" w:rsidRPr="00A50892" w:rsidRDefault="00A50892" w:rsidP="007E21A6">
      <w:pPr>
        <w:keepNext/>
        <w:keepLines/>
        <w:tabs>
          <w:tab w:val="left" w:pos="567"/>
        </w:tabs>
        <w:jc w:val="both"/>
        <w:rPr>
          <w:sz w:val="22"/>
          <w:szCs w:val="20"/>
          <w:u w:val="single"/>
          <w:lang w:val="en-GB"/>
        </w:rPr>
      </w:pPr>
      <w:r w:rsidRPr="00A50892">
        <w:rPr>
          <w:sz w:val="22"/>
          <w:szCs w:val="20"/>
          <w:u w:val="single"/>
          <w:lang w:val="en-GB"/>
        </w:rPr>
        <w:t>Distribucija</w:t>
      </w:r>
    </w:p>
    <w:p w14:paraId="482FDFED" w14:textId="77777777" w:rsidR="00A50892" w:rsidRPr="00A50892" w:rsidRDefault="00A50892" w:rsidP="007E21A6">
      <w:pPr>
        <w:keepNext/>
        <w:keepLines/>
        <w:tabs>
          <w:tab w:val="left" w:pos="567"/>
        </w:tabs>
        <w:jc w:val="both"/>
        <w:rPr>
          <w:sz w:val="22"/>
          <w:szCs w:val="22"/>
          <w:lang w:val="en-GB"/>
        </w:rPr>
      </w:pPr>
    </w:p>
    <w:p w14:paraId="6FAE5BC4" w14:textId="398393CC" w:rsidR="00A50892" w:rsidRPr="00A50892" w:rsidRDefault="00A50892" w:rsidP="007E21A6">
      <w:pPr>
        <w:keepNext/>
        <w:keepLines/>
        <w:tabs>
          <w:tab w:val="left" w:pos="567"/>
        </w:tabs>
        <w:jc w:val="both"/>
        <w:rPr>
          <w:sz w:val="22"/>
          <w:szCs w:val="22"/>
          <w:lang w:val="en-GB"/>
        </w:rPr>
      </w:pPr>
      <w:r w:rsidRPr="00A50892">
        <w:rPr>
          <w:sz w:val="22"/>
          <w:szCs w:val="20"/>
          <w:lang w:val="en-GB"/>
        </w:rPr>
        <w:t xml:space="preserve">Kod pacijenata </w:t>
      </w:r>
      <w:proofErr w:type="gramStart"/>
      <w:r w:rsidRPr="00A50892">
        <w:rPr>
          <w:sz w:val="22"/>
          <w:szCs w:val="20"/>
          <w:lang w:val="en-GB"/>
        </w:rPr>
        <w:t>sa</w:t>
      </w:r>
      <w:proofErr w:type="gramEnd"/>
      <w:r w:rsidRPr="00A50892">
        <w:rPr>
          <w:sz w:val="22"/>
          <w:szCs w:val="20"/>
          <w:lang w:val="en-GB"/>
        </w:rPr>
        <w:t xml:space="preserve"> XLH zab</w:t>
      </w:r>
      <w:r w:rsidR="009B29D4">
        <w:rPr>
          <w:sz w:val="22"/>
          <w:szCs w:val="20"/>
          <w:lang w:val="en-GB"/>
        </w:rPr>
        <w:t>ilj</w:t>
      </w:r>
      <w:r w:rsidRPr="00A50892">
        <w:rPr>
          <w:sz w:val="22"/>
          <w:szCs w:val="20"/>
          <w:lang w:val="en-GB"/>
        </w:rPr>
        <w:t>eženi volumen distribucije buro</w:t>
      </w:r>
      <w:r>
        <w:rPr>
          <w:sz w:val="22"/>
          <w:szCs w:val="20"/>
          <w:lang w:val="en-GB"/>
        </w:rPr>
        <w:t>s</w:t>
      </w:r>
      <w:r w:rsidRPr="00A50892">
        <w:rPr>
          <w:sz w:val="22"/>
          <w:szCs w:val="20"/>
          <w:lang w:val="en-GB"/>
        </w:rPr>
        <w:t>umaba približava se volumenu plazme, što ukazuje na ograničenu ekstravaskularnu distribuciju.</w:t>
      </w:r>
    </w:p>
    <w:p w14:paraId="0F0351C9" w14:textId="77777777" w:rsidR="00A50892" w:rsidRPr="00A50892" w:rsidRDefault="00A50892" w:rsidP="007E21A6">
      <w:pPr>
        <w:tabs>
          <w:tab w:val="left" w:pos="567"/>
        </w:tabs>
        <w:ind w:right="-2"/>
        <w:jc w:val="both"/>
        <w:rPr>
          <w:sz w:val="22"/>
          <w:szCs w:val="22"/>
          <w:u w:val="single"/>
          <w:lang w:val="en-GB"/>
        </w:rPr>
      </w:pPr>
    </w:p>
    <w:p w14:paraId="0D654EEF" w14:textId="77777777" w:rsidR="00A50892" w:rsidRPr="00A50892" w:rsidRDefault="00A50892" w:rsidP="007E21A6">
      <w:pPr>
        <w:keepNext/>
        <w:tabs>
          <w:tab w:val="left" w:pos="567"/>
        </w:tabs>
        <w:jc w:val="both"/>
        <w:rPr>
          <w:sz w:val="22"/>
          <w:szCs w:val="20"/>
          <w:u w:val="single"/>
          <w:lang w:val="en-GB"/>
        </w:rPr>
      </w:pPr>
      <w:r w:rsidRPr="00A50892">
        <w:rPr>
          <w:sz w:val="22"/>
          <w:szCs w:val="20"/>
          <w:u w:val="single"/>
          <w:lang w:val="en-GB"/>
        </w:rPr>
        <w:t>Biotransformacija</w:t>
      </w:r>
    </w:p>
    <w:p w14:paraId="0291E22C" w14:textId="77777777" w:rsidR="00A50892" w:rsidRPr="00A50892" w:rsidRDefault="00A50892" w:rsidP="007E21A6">
      <w:pPr>
        <w:keepNext/>
        <w:tabs>
          <w:tab w:val="left" w:pos="567"/>
        </w:tabs>
        <w:jc w:val="both"/>
        <w:rPr>
          <w:sz w:val="22"/>
          <w:szCs w:val="22"/>
          <w:lang w:val="en-GB"/>
        </w:rPr>
      </w:pPr>
    </w:p>
    <w:p w14:paraId="319E6011" w14:textId="3F5614C0" w:rsidR="00A50892" w:rsidRPr="00A50892" w:rsidRDefault="00A50892" w:rsidP="007E21A6">
      <w:pPr>
        <w:tabs>
          <w:tab w:val="left" w:pos="567"/>
        </w:tabs>
        <w:ind w:right="-2"/>
        <w:jc w:val="both"/>
        <w:rPr>
          <w:sz w:val="22"/>
          <w:szCs w:val="22"/>
          <w:lang w:val="en-GB"/>
        </w:rPr>
      </w:pPr>
      <w:r w:rsidRPr="00A50892">
        <w:rPr>
          <w:sz w:val="22"/>
          <w:szCs w:val="20"/>
          <w:lang w:val="en-GB"/>
        </w:rPr>
        <w:t xml:space="preserve">Kao nativni imunoglobulin, burosumab je sastavljen samo </w:t>
      </w:r>
      <w:proofErr w:type="gramStart"/>
      <w:r w:rsidRPr="00A50892">
        <w:rPr>
          <w:sz w:val="22"/>
          <w:szCs w:val="20"/>
          <w:lang w:val="en-GB"/>
        </w:rPr>
        <w:t>od</w:t>
      </w:r>
      <w:proofErr w:type="gramEnd"/>
      <w:r w:rsidRPr="00A50892">
        <w:rPr>
          <w:sz w:val="22"/>
          <w:szCs w:val="20"/>
          <w:lang w:val="en-GB"/>
        </w:rPr>
        <w:t xml:space="preserve"> aminokiselina i ugljenih hidrata i nije v</w:t>
      </w:r>
      <w:r w:rsidR="00E32C82"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 xml:space="preserve">erovatno da će se eliminisati putem hepatičkih metaboličkih mehanizama. Očekuje se da </w:t>
      </w:r>
      <w:proofErr w:type="gramStart"/>
      <w:r w:rsidRPr="00A50892">
        <w:rPr>
          <w:sz w:val="22"/>
          <w:szCs w:val="20"/>
          <w:lang w:val="en-GB"/>
        </w:rPr>
        <w:t>će</w:t>
      </w:r>
      <w:proofErr w:type="gramEnd"/>
      <w:r w:rsidRPr="00A50892">
        <w:rPr>
          <w:sz w:val="22"/>
          <w:szCs w:val="20"/>
          <w:lang w:val="en-GB"/>
        </w:rPr>
        <w:t xml:space="preserve"> metabolizam i eliminacija sl</w:t>
      </w:r>
      <w:r w:rsidR="00341BAE">
        <w:rPr>
          <w:sz w:val="22"/>
          <w:szCs w:val="20"/>
          <w:lang w:val="en-GB"/>
        </w:rPr>
        <w:t>ij</w:t>
      </w:r>
      <w:r w:rsidRPr="00A50892">
        <w:rPr>
          <w:sz w:val="22"/>
          <w:szCs w:val="20"/>
          <w:lang w:val="en-GB"/>
        </w:rPr>
        <w:t xml:space="preserve">editi puteve klirensa imunoglobulina, što rezultuje razgradnjom na male peptide i pojedinačne aminokiseline. </w:t>
      </w:r>
    </w:p>
    <w:p w14:paraId="23D83ADB" w14:textId="77777777" w:rsidR="00A50892" w:rsidRPr="00A50892" w:rsidRDefault="00A50892" w:rsidP="007E21A6">
      <w:pPr>
        <w:numPr>
          <w:ilvl w:val="12"/>
          <w:numId w:val="0"/>
        </w:numPr>
        <w:tabs>
          <w:tab w:val="left" w:pos="1352"/>
        </w:tabs>
        <w:ind w:right="-2"/>
        <w:jc w:val="both"/>
        <w:rPr>
          <w:sz w:val="22"/>
          <w:szCs w:val="22"/>
          <w:u w:val="single"/>
          <w:lang w:val="en-GB"/>
        </w:rPr>
      </w:pPr>
    </w:p>
    <w:p w14:paraId="3956A366" w14:textId="77777777" w:rsidR="00A50892" w:rsidRPr="00A50892" w:rsidRDefault="00A50892" w:rsidP="007E21A6">
      <w:pPr>
        <w:keepNext/>
        <w:keepLines/>
        <w:tabs>
          <w:tab w:val="left" w:pos="567"/>
        </w:tabs>
        <w:ind w:right="-2"/>
        <w:jc w:val="both"/>
        <w:rPr>
          <w:sz w:val="22"/>
          <w:szCs w:val="22"/>
          <w:lang w:val="en-GB"/>
        </w:rPr>
      </w:pPr>
      <w:r w:rsidRPr="00A50892">
        <w:rPr>
          <w:sz w:val="22"/>
          <w:szCs w:val="20"/>
          <w:u w:val="single"/>
          <w:lang w:val="en-GB"/>
        </w:rPr>
        <w:t>Eliminacija</w:t>
      </w:r>
    </w:p>
    <w:p w14:paraId="4BC7509A" w14:textId="77777777" w:rsidR="00A50892" w:rsidRPr="00A50892" w:rsidRDefault="00A50892" w:rsidP="007E21A6">
      <w:pPr>
        <w:keepNext/>
        <w:keepLines/>
        <w:tabs>
          <w:tab w:val="left" w:pos="567"/>
        </w:tabs>
        <w:jc w:val="both"/>
        <w:rPr>
          <w:sz w:val="22"/>
          <w:szCs w:val="20"/>
          <w:lang w:val="en-GB"/>
        </w:rPr>
      </w:pPr>
    </w:p>
    <w:p w14:paraId="386C07E7" w14:textId="07C9D9FF" w:rsidR="00A50892" w:rsidRPr="00A50892" w:rsidRDefault="00A50892" w:rsidP="007E21A6">
      <w:pPr>
        <w:keepNext/>
        <w:keepLines/>
        <w:tabs>
          <w:tab w:val="left" w:pos="567"/>
        </w:tabs>
        <w:jc w:val="both"/>
        <w:rPr>
          <w:sz w:val="22"/>
          <w:szCs w:val="22"/>
          <w:lang w:val="en-GB"/>
        </w:rPr>
      </w:pPr>
      <w:r w:rsidRPr="00A50892">
        <w:rPr>
          <w:sz w:val="22"/>
          <w:szCs w:val="20"/>
          <w:lang w:val="en-GB"/>
        </w:rPr>
        <w:t>Ne očekuje se direktno izlučivanje burosumaba zbog veličine njegovih molekula. Klirens burosumaba zavisi od t</w:t>
      </w:r>
      <w:r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elesne mase i proc</w:t>
      </w:r>
      <w:r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enjuje se da kod tipičnog odraslog pacijenta (70 kg) iznosi 0,290 l na dan, a kod pedijatrijskog pacijenta (30 kg) sa XLH 0,136 l na dan, što odgovara poluv</w:t>
      </w:r>
      <w:r>
        <w:rPr>
          <w:sz w:val="22"/>
          <w:szCs w:val="20"/>
          <w:lang w:val="en-GB"/>
        </w:rPr>
        <w:t>ij</w:t>
      </w:r>
      <w:r w:rsidRPr="00A50892">
        <w:rPr>
          <w:sz w:val="22"/>
          <w:szCs w:val="20"/>
          <w:lang w:val="en-GB"/>
        </w:rPr>
        <w:t>eku raspoloživosti (t1/2) u serumu u rasponu od približno 16 do 19 dana. Prema proc</w:t>
      </w:r>
      <w:r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enama vr</w:t>
      </w:r>
      <w:r>
        <w:rPr>
          <w:sz w:val="22"/>
          <w:szCs w:val="20"/>
          <w:lang w:val="en-GB"/>
        </w:rPr>
        <w:t>ij</w:t>
      </w:r>
      <w:r w:rsidRPr="00A50892">
        <w:rPr>
          <w:sz w:val="22"/>
          <w:szCs w:val="20"/>
          <w:lang w:val="en-GB"/>
        </w:rPr>
        <w:t>ednosti za t1/2, proc</w:t>
      </w:r>
      <w:r w:rsidR="00A30E59">
        <w:rPr>
          <w:sz w:val="22"/>
          <w:szCs w:val="20"/>
          <w:lang w:val="en-GB"/>
        </w:rPr>
        <w:t>i</w:t>
      </w:r>
      <w:r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enjeno vr</w:t>
      </w:r>
      <w:r>
        <w:rPr>
          <w:sz w:val="22"/>
          <w:szCs w:val="20"/>
          <w:lang w:val="en-GB"/>
        </w:rPr>
        <w:t>ij</w:t>
      </w:r>
      <w:r w:rsidRPr="00A50892">
        <w:rPr>
          <w:sz w:val="22"/>
          <w:szCs w:val="20"/>
          <w:lang w:val="en-GB"/>
        </w:rPr>
        <w:t xml:space="preserve">eme za postizanje platoa izloženosti u stanju dinamičke ravnoteže iznosi približno 67 </w:t>
      </w:r>
      <w:proofErr w:type="gramStart"/>
      <w:r w:rsidRPr="00A50892">
        <w:rPr>
          <w:sz w:val="22"/>
          <w:szCs w:val="20"/>
          <w:lang w:val="en-GB"/>
        </w:rPr>
        <w:t>dana</w:t>
      </w:r>
      <w:proofErr w:type="gramEnd"/>
      <w:r w:rsidRPr="00A50892">
        <w:rPr>
          <w:sz w:val="22"/>
          <w:szCs w:val="20"/>
          <w:lang w:val="en-GB"/>
        </w:rPr>
        <w:t>. Nakon prim</w:t>
      </w:r>
      <w:r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ene višestrukih doza kod pedijatrijskih osoba zab</w:t>
      </w:r>
      <w:r w:rsidR="00341BAE">
        <w:rPr>
          <w:sz w:val="22"/>
          <w:szCs w:val="20"/>
          <w:lang w:val="en-GB"/>
        </w:rPr>
        <w:t>ilj</w:t>
      </w:r>
      <w:r w:rsidRPr="00A50892">
        <w:rPr>
          <w:sz w:val="22"/>
          <w:szCs w:val="20"/>
          <w:lang w:val="en-GB"/>
        </w:rPr>
        <w:t xml:space="preserve">ežene najniže koncentracije u serumu dostigle su </w:t>
      </w:r>
      <w:proofErr w:type="gramStart"/>
      <w:r w:rsidRPr="00A50892">
        <w:rPr>
          <w:sz w:val="22"/>
          <w:szCs w:val="20"/>
          <w:lang w:val="en-GB"/>
        </w:rPr>
        <w:t>plato</w:t>
      </w:r>
      <w:proofErr w:type="gramEnd"/>
      <w:r w:rsidRPr="00A50892">
        <w:rPr>
          <w:sz w:val="22"/>
          <w:szCs w:val="20"/>
          <w:lang w:val="en-GB"/>
        </w:rPr>
        <w:t xml:space="preserve"> 8 ned</w:t>
      </w:r>
      <w:r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elja nakon uvođenja terapije.</w:t>
      </w:r>
      <w:r w:rsidRPr="00A50892">
        <w:rPr>
          <w:sz w:val="16"/>
          <w:szCs w:val="16"/>
          <w:lang w:val="en-GB"/>
        </w:rPr>
        <w:t xml:space="preserve"> </w:t>
      </w:r>
    </w:p>
    <w:p w14:paraId="2377E83C" w14:textId="77777777" w:rsidR="00A50892" w:rsidRPr="00A50892" w:rsidRDefault="00A50892" w:rsidP="007E21A6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lang w:val="en-GB"/>
        </w:rPr>
      </w:pPr>
    </w:p>
    <w:p w14:paraId="4A150BEE" w14:textId="77777777" w:rsidR="00A50892" w:rsidRPr="00A50892" w:rsidRDefault="00A50892" w:rsidP="007E21A6">
      <w:pPr>
        <w:keepNext/>
        <w:tabs>
          <w:tab w:val="left" w:pos="567"/>
        </w:tabs>
        <w:jc w:val="both"/>
        <w:rPr>
          <w:sz w:val="22"/>
          <w:szCs w:val="22"/>
          <w:lang w:val="en-GB"/>
        </w:rPr>
      </w:pPr>
      <w:r w:rsidRPr="00A50892">
        <w:rPr>
          <w:sz w:val="22"/>
          <w:szCs w:val="20"/>
          <w:u w:val="single"/>
          <w:lang w:val="en-GB"/>
        </w:rPr>
        <w:t>Linearnost/nelinearnost</w:t>
      </w:r>
    </w:p>
    <w:p w14:paraId="247783E7" w14:textId="77777777" w:rsidR="00A50892" w:rsidRPr="00A50892" w:rsidRDefault="00A50892" w:rsidP="007E21A6">
      <w:pPr>
        <w:tabs>
          <w:tab w:val="left" w:pos="567"/>
        </w:tabs>
        <w:ind w:right="-2"/>
        <w:jc w:val="both"/>
        <w:rPr>
          <w:sz w:val="22"/>
          <w:szCs w:val="20"/>
          <w:lang w:val="en-GB"/>
        </w:rPr>
      </w:pPr>
    </w:p>
    <w:p w14:paraId="180BF19D" w14:textId="65BCB9CA" w:rsidR="00A50892" w:rsidRPr="00A50892" w:rsidRDefault="00A50892" w:rsidP="007E21A6">
      <w:pPr>
        <w:tabs>
          <w:tab w:val="left" w:pos="567"/>
        </w:tabs>
        <w:ind w:right="-2"/>
        <w:jc w:val="both"/>
        <w:rPr>
          <w:sz w:val="22"/>
          <w:szCs w:val="22"/>
          <w:lang w:val="en-GB"/>
        </w:rPr>
      </w:pPr>
      <w:r w:rsidRPr="00A50892">
        <w:rPr>
          <w:sz w:val="22"/>
          <w:szCs w:val="20"/>
          <w:lang w:val="en-GB"/>
        </w:rPr>
        <w:t>Burosumab pokazuje vremenski neprom</w:t>
      </w:r>
      <w:r w:rsidR="00341BAE"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 xml:space="preserve">enljivu farmakokinetiku koja je linearna sa dozom u rasponu </w:t>
      </w:r>
      <w:r w:rsidR="00E32C82" w:rsidRPr="00A50892">
        <w:rPr>
          <w:sz w:val="22"/>
          <w:szCs w:val="20"/>
          <w:lang w:val="en-GB"/>
        </w:rPr>
        <w:t>su</w:t>
      </w:r>
      <w:r w:rsidR="00E32C82">
        <w:rPr>
          <w:sz w:val="22"/>
          <w:szCs w:val="20"/>
          <w:lang w:val="en-GB"/>
        </w:rPr>
        <w:t>b</w:t>
      </w:r>
      <w:r w:rsidR="00E32C82" w:rsidRPr="00A50892">
        <w:rPr>
          <w:sz w:val="22"/>
          <w:szCs w:val="20"/>
          <w:lang w:val="en-GB"/>
        </w:rPr>
        <w:t xml:space="preserve">kutano </w:t>
      </w:r>
      <w:r w:rsidRPr="00A50892">
        <w:rPr>
          <w:sz w:val="22"/>
          <w:szCs w:val="20"/>
          <w:lang w:val="en-GB"/>
        </w:rPr>
        <w:t>prim</w:t>
      </w:r>
      <w:r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enjene doze od 0</w:t>
      </w:r>
      <w:proofErr w:type="gramStart"/>
      <w:r w:rsidRPr="00A50892">
        <w:rPr>
          <w:sz w:val="22"/>
          <w:szCs w:val="20"/>
          <w:lang w:val="en-GB"/>
        </w:rPr>
        <w:t>,1</w:t>
      </w:r>
      <w:proofErr w:type="gramEnd"/>
      <w:r w:rsidRPr="00A50892">
        <w:rPr>
          <w:sz w:val="22"/>
          <w:szCs w:val="20"/>
          <w:lang w:val="en-GB"/>
        </w:rPr>
        <w:t xml:space="preserve"> do 2,0 mg/kg.</w:t>
      </w:r>
    </w:p>
    <w:p w14:paraId="1D40CC75" w14:textId="77777777" w:rsidR="00A50892" w:rsidRPr="00A50892" w:rsidRDefault="00A50892" w:rsidP="007E21A6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lang w:val="en-GB"/>
        </w:rPr>
      </w:pPr>
    </w:p>
    <w:p w14:paraId="59F075BA" w14:textId="77777777" w:rsidR="00A50892" w:rsidRPr="00A50892" w:rsidRDefault="00A50892" w:rsidP="007E21A6">
      <w:pPr>
        <w:keepNext/>
        <w:tabs>
          <w:tab w:val="left" w:pos="567"/>
        </w:tabs>
        <w:jc w:val="both"/>
        <w:rPr>
          <w:sz w:val="22"/>
          <w:szCs w:val="20"/>
          <w:u w:val="single"/>
          <w:lang w:val="en-GB"/>
        </w:rPr>
      </w:pPr>
      <w:r w:rsidRPr="00A50892">
        <w:rPr>
          <w:sz w:val="22"/>
          <w:szCs w:val="20"/>
          <w:u w:val="single"/>
          <w:lang w:val="en-GB"/>
        </w:rPr>
        <w:t xml:space="preserve">Farmakokinetički/farmakodinamički </w:t>
      </w:r>
      <w:proofErr w:type="gramStart"/>
      <w:r w:rsidRPr="00A50892">
        <w:rPr>
          <w:sz w:val="22"/>
          <w:szCs w:val="20"/>
          <w:u w:val="single"/>
          <w:lang w:val="en-GB"/>
        </w:rPr>
        <w:t>odnos(</w:t>
      </w:r>
      <w:proofErr w:type="gramEnd"/>
      <w:r w:rsidRPr="00A50892">
        <w:rPr>
          <w:sz w:val="22"/>
          <w:szCs w:val="20"/>
          <w:u w:val="single"/>
          <w:lang w:val="en-GB"/>
        </w:rPr>
        <w:t>i)</w:t>
      </w:r>
    </w:p>
    <w:p w14:paraId="78E13683" w14:textId="77777777" w:rsidR="00A50892" w:rsidRPr="00A50892" w:rsidRDefault="00A50892" w:rsidP="007E21A6">
      <w:pPr>
        <w:keepNext/>
        <w:tabs>
          <w:tab w:val="left" w:pos="567"/>
        </w:tabs>
        <w:jc w:val="both"/>
        <w:rPr>
          <w:sz w:val="22"/>
          <w:szCs w:val="20"/>
          <w:lang w:val="en-GB"/>
        </w:rPr>
      </w:pPr>
    </w:p>
    <w:p w14:paraId="72F5268A" w14:textId="73D5452C" w:rsidR="00A50892" w:rsidRPr="00A50892" w:rsidRDefault="00A5089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A50892">
        <w:rPr>
          <w:sz w:val="22"/>
          <w:szCs w:val="20"/>
          <w:lang w:val="en-GB"/>
        </w:rPr>
        <w:t xml:space="preserve">Kod </w:t>
      </w:r>
      <w:r w:rsidR="00E32C82" w:rsidRPr="00A50892">
        <w:rPr>
          <w:sz w:val="22"/>
          <w:szCs w:val="20"/>
          <w:lang w:val="en-GB"/>
        </w:rPr>
        <w:t>su</w:t>
      </w:r>
      <w:r w:rsidR="00E32C82">
        <w:rPr>
          <w:sz w:val="22"/>
          <w:szCs w:val="20"/>
          <w:lang w:val="en-GB"/>
        </w:rPr>
        <w:t>b</w:t>
      </w:r>
      <w:r w:rsidR="00E32C82" w:rsidRPr="00A50892">
        <w:rPr>
          <w:sz w:val="22"/>
          <w:szCs w:val="20"/>
          <w:lang w:val="en-GB"/>
        </w:rPr>
        <w:t xml:space="preserve">kutanog </w:t>
      </w:r>
      <w:r w:rsidRPr="00A50892">
        <w:rPr>
          <w:sz w:val="22"/>
          <w:szCs w:val="20"/>
          <w:lang w:val="en-GB"/>
        </w:rPr>
        <w:t>puta prim</w:t>
      </w:r>
      <w:r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 xml:space="preserve">ene kod osoba </w:t>
      </w:r>
      <w:proofErr w:type="gramStart"/>
      <w:r w:rsidRPr="00A50892">
        <w:rPr>
          <w:sz w:val="22"/>
          <w:szCs w:val="20"/>
          <w:lang w:val="en-GB"/>
        </w:rPr>
        <w:t>sa</w:t>
      </w:r>
      <w:proofErr w:type="gramEnd"/>
      <w:r w:rsidRPr="00A50892">
        <w:rPr>
          <w:sz w:val="22"/>
          <w:szCs w:val="20"/>
          <w:lang w:val="en-GB"/>
        </w:rPr>
        <w:t xml:space="preserve"> XLH i TIO, b</w:t>
      </w:r>
      <w:r w:rsidR="00341BAE">
        <w:rPr>
          <w:sz w:val="22"/>
          <w:szCs w:val="20"/>
          <w:lang w:val="en-GB"/>
        </w:rPr>
        <w:t>ilje</w:t>
      </w:r>
      <w:r w:rsidRPr="00A50892">
        <w:rPr>
          <w:sz w:val="22"/>
          <w:szCs w:val="20"/>
          <w:lang w:val="en-GB"/>
        </w:rPr>
        <w:t>ži se direktan farmakokinetičko-farmakodinamički odnos između koncentracija burosumaba u serumu i povećanja koncentracija fosfata u serumu i dobro ga opisuje model E</w:t>
      </w:r>
      <w:r w:rsidRPr="00A50892">
        <w:rPr>
          <w:sz w:val="22"/>
          <w:szCs w:val="20"/>
          <w:vertAlign w:val="subscript"/>
          <w:lang w:val="en-GB"/>
        </w:rPr>
        <w:t>max</w:t>
      </w:r>
      <w:r w:rsidRPr="00A50892">
        <w:rPr>
          <w:sz w:val="22"/>
          <w:szCs w:val="20"/>
          <w:lang w:val="en-GB"/>
        </w:rPr>
        <w:t>/EC</w:t>
      </w:r>
      <w:r w:rsidRPr="00A50892">
        <w:rPr>
          <w:sz w:val="22"/>
          <w:szCs w:val="20"/>
          <w:vertAlign w:val="subscript"/>
          <w:lang w:val="en-GB"/>
        </w:rPr>
        <w:t>50</w:t>
      </w:r>
      <w:r w:rsidRPr="00A50892">
        <w:rPr>
          <w:sz w:val="22"/>
          <w:szCs w:val="20"/>
          <w:lang w:val="en-GB"/>
        </w:rPr>
        <w:t>. Serumske koncentracije burosumaba i fosfata, kao i TmP/GFR, paralelno su se povećavale i smanjivale, a maksimalni nivoi postignuti su u približno istoj vremenskoj tački nakon svake doze, što potkrepljuje direktni farmakokinetičko-farmakodinamički odnos. AUC prom</w:t>
      </w:r>
      <w:r w:rsidR="008F1E25"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ene serumskog fosfata u odnosu na početnu vr</w:t>
      </w:r>
      <w:r w:rsidR="00341BAE">
        <w:rPr>
          <w:sz w:val="22"/>
          <w:szCs w:val="20"/>
          <w:lang w:val="en-GB"/>
        </w:rPr>
        <w:t>ij</w:t>
      </w:r>
      <w:r w:rsidRPr="00A50892">
        <w:rPr>
          <w:sz w:val="22"/>
          <w:szCs w:val="20"/>
          <w:lang w:val="en-GB"/>
        </w:rPr>
        <w:t>ednost i vr</w:t>
      </w:r>
      <w:r w:rsidR="00341BAE">
        <w:rPr>
          <w:sz w:val="22"/>
          <w:szCs w:val="20"/>
          <w:lang w:val="en-GB"/>
        </w:rPr>
        <w:t>ij</w:t>
      </w:r>
      <w:r w:rsidRPr="00A50892">
        <w:rPr>
          <w:sz w:val="22"/>
          <w:szCs w:val="20"/>
          <w:lang w:val="en-GB"/>
        </w:rPr>
        <w:t>ednosti TmP/GFR i 1</w:t>
      </w:r>
      <w:proofErr w:type="gramStart"/>
      <w:r w:rsidRPr="00A50892">
        <w:rPr>
          <w:sz w:val="22"/>
          <w:szCs w:val="20"/>
          <w:lang w:val="en-GB"/>
        </w:rPr>
        <w:t>,25</w:t>
      </w:r>
      <w:proofErr w:type="gramEnd"/>
      <w:r w:rsidRPr="00A50892">
        <w:rPr>
          <w:sz w:val="22"/>
          <w:szCs w:val="20"/>
          <w:lang w:val="en-GB"/>
        </w:rPr>
        <w:t>(OH)2D povećavale su se linearno sa povećanjem AUC burosumaba.</w:t>
      </w:r>
    </w:p>
    <w:p w14:paraId="41D46C27" w14:textId="77777777" w:rsidR="00A50892" w:rsidRPr="00A50892" w:rsidRDefault="00A5089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</w:p>
    <w:p w14:paraId="0D45DCED" w14:textId="77777777" w:rsidR="00A50892" w:rsidRPr="00A50892" w:rsidRDefault="00A50892" w:rsidP="007E21A6">
      <w:pPr>
        <w:keepNext/>
        <w:tabs>
          <w:tab w:val="left" w:pos="567"/>
        </w:tabs>
        <w:jc w:val="both"/>
        <w:rPr>
          <w:sz w:val="22"/>
          <w:szCs w:val="22"/>
          <w:lang w:val="en-GB"/>
        </w:rPr>
      </w:pPr>
      <w:r w:rsidRPr="00A50892">
        <w:rPr>
          <w:sz w:val="22"/>
          <w:szCs w:val="20"/>
          <w:u w:val="single"/>
          <w:lang w:val="en-GB"/>
        </w:rPr>
        <w:t>Pedijatrijska farmakokinetika/farmakodinamika</w:t>
      </w:r>
    </w:p>
    <w:p w14:paraId="4C3931E2" w14:textId="77777777" w:rsidR="00A50892" w:rsidRPr="00A50892" w:rsidRDefault="00A50892" w:rsidP="007E21A6">
      <w:pPr>
        <w:keepNext/>
        <w:tabs>
          <w:tab w:val="left" w:pos="567"/>
        </w:tabs>
        <w:jc w:val="both"/>
        <w:rPr>
          <w:sz w:val="22"/>
          <w:szCs w:val="20"/>
          <w:lang w:val="en-GB"/>
        </w:rPr>
      </w:pPr>
    </w:p>
    <w:p w14:paraId="493B975F" w14:textId="39D8F730" w:rsidR="00A50892" w:rsidRPr="00A50892" w:rsidRDefault="00A50892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A50892">
        <w:rPr>
          <w:sz w:val="22"/>
          <w:szCs w:val="20"/>
          <w:lang w:val="en-GB"/>
        </w:rPr>
        <w:t>Kod pedijatrijskih pacijenata nije zab</w:t>
      </w:r>
      <w:r w:rsidR="00341BAE">
        <w:rPr>
          <w:sz w:val="22"/>
          <w:szCs w:val="20"/>
          <w:lang w:val="en-GB"/>
        </w:rPr>
        <w:t>ilj</w:t>
      </w:r>
      <w:r w:rsidRPr="00A50892">
        <w:rPr>
          <w:sz w:val="22"/>
          <w:szCs w:val="20"/>
          <w:lang w:val="en-GB"/>
        </w:rPr>
        <w:t xml:space="preserve">ežena značajna razlika u farmakokinetici </w:t>
      </w:r>
      <w:proofErr w:type="gramStart"/>
      <w:r w:rsidRPr="00A50892">
        <w:rPr>
          <w:sz w:val="22"/>
          <w:szCs w:val="20"/>
          <w:lang w:val="en-GB"/>
        </w:rPr>
        <w:t>ili</w:t>
      </w:r>
      <w:proofErr w:type="gramEnd"/>
      <w:r w:rsidRPr="00A50892">
        <w:rPr>
          <w:sz w:val="22"/>
          <w:szCs w:val="20"/>
          <w:lang w:val="en-GB"/>
        </w:rPr>
        <w:t xml:space="preserve"> farmakodinamici pacijenata u poređenju sa onom odrasle populacije. Klirens burosumaba i volumen distribucije zavise </w:t>
      </w:r>
      <w:proofErr w:type="gramStart"/>
      <w:r w:rsidRPr="00A50892">
        <w:rPr>
          <w:sz w:val="22"/>
          <w:szCs w:val="20"/>
          <w:lang w:val="en-GB"/>
        </w:rPr>
        <w:t>od</w:t>
      </w:r>
      <w:proofErr w:type="gramEnd"/>
      <w:r w:rsidRPr="00A50892">
        <w:rPr>
          <w:sz w:val="22"/>
          <w:szCs w:val="20"/>
          <w:lang w:val="en-GB"/>
        </w:rPr>
        <w:t xml:space="preserve"> t</w:t>
      </w:r>
      <w:r w:rsidR="00341BAE"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elesne mase.</w:t>
      </w:r>
    </w:p>
    <w:p w14:paraId="0E2B0369" w14:textId="77777777" w:rsidR="00A50892" w:rsidRPr="00A50892" w:rsidRDefault="00A50892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</w:p>
    <w:p w14:paraId="232E9C34" w14:textId="77777777" w:rsidR="00A50892" w:rsidRPr="00A50892" w:rsidRDefault="00A50892" w:rsidP="007E21A6">
      <w:pPr>
        <w:tabs>
          <w:tab w:val="left" w:pos="567"/>
        </w:tabs>
        <w:spacing w:line="0" w:lineRule="atLeast"/>
        <w:jc w:val="both"/>
        <w:rPr>
          <w:i/>
          <w:iCs/>
          <w:sz w:val="22"/>
          <w:szCs w:val="20"/>
          <w:lang w:val="en-GB"/>
        </w:rPr>
      </w:pPr>
      <w:r w:rsidRPr="00A50892">
        <w:rPr>
          <w:i/>
          <w:iCs/>
          <w:sz w:val="22"/>
          <w:szCs w:val="20"/>
          <w:lang w:val="en-GB"/>
        </w:rPr>
        <w:lastRenderedPageBreak/>
        <w:t xml:space="preserve">Pedijatrijski pacijenti </w:t>
      </w:r>
      <w:proofErr w:type="gramStart"/>
      <w:r w:rsidRPr="00A50892">
        <w:rPr>
          <w:i/>
          <w:iCs/>
          <w:sz w:val="22"/>
          <w:szCs w:val="20"/>
          <w:lang w:val="en-GB"/>
        </w:rPr>
        <w:t>sa</w:t>
      </w:r>
      <w:proofErr w:type="gramEnd"/>
      <w:r w:rsidRPr="00A50892">
        <w:rPr>
          <w:i/>
          <w:iCs/>
          <w:sz w:val="22"/>
          <w:szCs w:val="20"/>
          <w:lang w:val="en-GB"/>
        </w:rPr>
        <w:t xml:space="preserve"> TIO</w:t>
      </w:r>
    </w:p>
    <w:p w14:paraId="4E2B2E30" w14:textId="538FB81D" w:rsidR="00A50892" w:rsidRPr="00A50892" w:rsidRDefault="00A50892" w:rsidP="007E21A6">
      <w:pPr>
        <w:tabs>
          <w:tab w:val="left" w:pos="567"/>
        </w:tabs>
        <w:spacing w:line="0" w:lineRule="atLeast"/>
        <w:jc w:val="both"/>
        <w:rPr>
          <w:sz w:val="22"/>
          <w:szCs w:val="20"/>
          <w:lang w:val="en-GB"/>
        </w:rPr>
      </w:pPr>
      <w:proofErr w:type="gramStart"/>
      <w:r w:rsidRPr="00A50892">
        <w:rPr>
          <w:sz w:val="22"/>
          <w:szCs w:val="20"/>
          <w:lang w:val="en-GB"/>
        </w:rPr>
        <w:t>Početna doza buro</w:t>
      </w:r>
      <w:r w:rsidR="008F1E25">
        <w:rPr>
          <w:sz w:val="22"/>
          <w:szCs w:val="20"/>
          <w:lang w:val="en-GB"/>
        </w:rPr>
        <w:t>s</w:t>
      </w:r>
      <w:r w:rsidRPr="00A50892">
        <w:rPr>
          <w:sz w:val="22"/>
          <w:szCs w:val="20"/>
          <w:lang w:val="en-GB"/>
        </w:rPr>
        <w:t>umaba za pedijatrijske pacijente sa TIO zasniva se na populacionom farmakokinetičkom/farmakodinamičkom modelovanju i simulacijama koje pokazuju da se za prim</w:t>
      </w:r>
      <w:r w:rsidR="008F1E25"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enu početne doze od 0,4 mg/kg svake 2 ned</w:t>
      </w:r>
      <w:r w:rsidR="008F1E25"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elje za d</w:t>
      </w:r>
      <w:r w:rsidR="008F1E25"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ecu uzrasta 1–12 godina i 0,3 mg/kg svake 2 ned</w:t>
      </w:r>
      <w:r w:rsidR="008F1E25">
        <w:rPr>
          <w:sz w:val="22"/>
          <w:szCs w:val="20"/>
          <w:lang w:val="en-GB"/>
        </w:rPr>
        <w:t>j</w:t>
      </w:r>
      <w:r w:rsidRPr="00A50892">
        <w:rPr>
          <w:sz w:val="22"/>
          <w:szCs w:val="20"/>
          <w:lang w:val="en-GB"/>
        </w:rPr>
        <w:t>elje za adolescente uzrasta 13–17 godina predviđa da će određeni ud</w:t>
      </w:r>
      <w:r w:rsidR="009B29D4">
        <w:rPr>
          <w:sz w:val="22"/>
          <w:szCs w:val="20"/>
          <w:lang w:val="en-GB"/>
        </w:rPr>
        <w:t>i</w:t>
      </w:r>
      <w:r w:rsidRPr="00A50892">
        <w:rPr>
          <w:sz w:val="22"/>
          <w:szCs w:val="20"/>
          <w:lang w:val="en-GB"/>
        </w:rPr>
        <w:t>o pedijatrijskih pacijenata sa TIO postići normalne nivoe koncentracije fosfata u serumu.</w:t>
      </w:r>
      <w:proofErr w:type="gramEnd"/>
      <w:r w:rsidRPr="00A50892">
        <w:rPr>
          <w:sz w:val="22"/>
          <w:szCs w:val="20"/>
          <w:lang w:val="en-GB"/>
        </w:rPr>
        <w:t xml:space="preserve"> </w:t>
      </w:r>
      <w:r w:rsidRPr="00A50892">
        <w:rPr>
          <w:color w:val="000000"/>
          <w:sz w:val="22"/>
          <w:szCs w:val="20"/>
          <w:lang w:val="en-GB"/>
        </w:rPr>
        <w:t>Oni se mogu titrirati do maksimalne vr</w:t>
      </w:r>
      <w:r w:rsidR="00E32C82">
        <w:rPr>
          <w:color w:val="000000"/>
          <w:sz w:val="22"/>
          <w:szCs w:val="20"/>
          <w:lang w:val="en-GB"/>
        </w:rPr>
        <w:t>ij</w:t>
      </w:r>
      <w:r w:rsidRPr="00A50892">
        <w:rPr>
          <w:color w:val="000000"/>
          <w:sz w:val="22"/>
          <w:szCs w:val="20"/>
          <w:lang w:val="en-GB"/>
        </w:rPr>
        <w:t>ednosti od 2</w:t>
      </w:r>
      <w:proofErr w:type="gramStart"/>
      <w:r w:rsidRPr="00A50892">
        <w:rPr>
          <w:color w:val="000000"/>
          <w:sz w:val="22"/>
          <w:szCs w:val="20"/>
          <w:lang w:val="en-GB"/>
        </w:rPr>
        <w:t>,0</w:t>
      </w:r>
      <w:proofErr w:type="gramEnd"/>
      <w:r w:rsidRPr="00A50892">
        <w:rPr>
          <w:color w:val="000000"/>
          <w:sz w:val="22"/>
          <w:szCs w:val="20"/>
          <w:lang w:val="en-GB"/>
        </w:rPr>
        <w:t xml:space="preserve"> mg/kg svake 2 ned</w:t>
      </w:r>
      <w:r w:rsidR="008F1E25">
        <w:rPr>
          <w:color w:val="000000"/>
          <w:sz w:val="22"/>
          <w:szCs w:val="20"/>
          <w:lang w:val="en-GB"/>
        </w:rPr>
        <w:t>j</w:t>
      </w:r>
      <w:r w:rsidRPr="00A50892">
        <w:rPr>
          <w:color w:val="000000"/>
          <w:sz w:val="22"/>
          <w:szCs w:val="20"/>
          <w:lang w:val="en-GB"/>
        </w:rPr>
        <w:t>elje (najviša simulirana doza).</w:t>
      </w:r>
    </w:p>
    <w:p w14:paraId="6997C339" w14:textId="77777777" w:rsidR="00A50892" w:rsidRPr="00A50892" w:rsidRDefault="00A5089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</w:p>
    <w:p w14:paraId="7E294F19" w14:textId="77777777" w:rsidR="00A50892" w:rsidRPr="00A50892" w:rsidRDefault="00A50892" w:rsidP="007E21A6">
      <w:pPr>
        <w:keepNext/>
        <w:keepLines/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  <w:r w:rsidRPr="00A50892">
        <w:rPr>
          <w:sz w:val="22"/>
          <w:szCs w:val="22"/>
          <w:u w:val="single"/>
          <w:lang w:val="en-GB"/>
        </w:rPr>
        <w:t>Posebne populacije</w:t>
      </w:r>
    </w:p>
    <w:p w14:paraId="11CC79C8" w14:textId="77777777" w:rsidR="00A50892" w:rsidRPr="00A50892" w:rsidRDefault="00A50892" w:rsidP="007E21A6">
      <w:pPr>
        <w:keepNext/>
        <w:keepLines/>
        <w:shd w:val="clear" w:color="auto" w:fill="FFFFFF"/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</w:p>
    <w:p w14:paraId="6C689F55" w14:textId="69BB1AF3" w:rsidR="00A50892" w:rsidRPr="00A50892" w:rsidRDefault="00A50892" w:rsidP="007E21A6">
      <w:pPr>
        <w:keepNext/>
        <w:keepLines/>
        <w:shd w:val="clear" w:color="auto" w:fill="FFFFFF"/>
        <w:tabs>
          <w:tab w:val="left" w:pos="567"/>
        </w:tabs>
        <w:spacing w:line="260" w:lineRule="exact"/>
        <w:ind w:left="-5" w:right="10"/>
        <w:jc w:val="both"/>
        <w:rPr>
          <w:sz w:val="22"/>
          <w:szCs w:val="20"/>
          <w:lang w:val="en-GB"/>
        </w:rPr>
      </w:pPr>
      <w:r w:rsidRPr="00A50892">
        <w:rPr>
          <w:sz w:val="22"/>
          <w:szCs w:val="22"/>
          <w:lang w:val="en-GB"/>
        </w:rPr>
        <w:t xml:space="preserve">Analiza populacione farmakokinetike na podacima pedijatrijskih i odraslih pacijenata sa XLH i odraslih osoba sa TIO pokazala je da </w:t>
      </w:r>
      <w:r w:rsidRPr="00A50892">
        <w:rPr>
          <w:sz w:val="22"/>
          <w:szCs w:val="20"/>
          <w:lang w:val="en-GB"/>
        </w:rPr>
        <w:t>uzrast, pol, rasa, etnička pripadnost, albumin u serumu na početku, alkalna fosfataza u serumu na početku, alanin aminotransferaza u serumu na početku i klirens kreatinina ≥ 49,9 ml/min na početku nisu bili značajni prediktori farmakokinetike burosumaba. Prema analizi populacione farmakokinetike, buro</w:t>
      </w:r>
      <w:r w:rsidR="008F1E25">
        <w:rPr>
          <w:sz w:val="22"/>
          <w:szCs w:val="20"/>
          <w:lang w:val="en-GB"/>
        </w:rPr>
        <w:t>s</w:t>
      </w:r>
      <w:r w:rsidRPr="00A50892">
        <w:rPr>
          <w:sz w:val="22"/>
          <w:szCs w:val="20"/>
          <w:lang w:val="en-GB"/>
        </w:rPr>
        <w:t xml:space="preserve">umab je pokazao slične farmakokinetičke karakteristike kod pacijenata </w:t>
      </w:r>
      <w:proofErr w:type="gramStart"/>
      <w:r w:rsidRPr="00A50892">
        <w:rPr>
          <w:sz w:val="22"/>
          <w:szCs w:val="20"/>
          <w:lang w:val="en-GB"/>
        </w:rPr>
        <w:t>sa</w:t>
      </w:r>
      <w:proofErr w:type="gramEnd"/>
      <w:r w:rsidRPr="00A50892">
        <w:rPr>
          <w:sz w:val="22"/>
          <w:szCs w:val="20"/>
          <w:lang w:val="en-GB"/>
        </w:rPr>
        <w:t xml:space="preserve"> XLH i TIO.</w:t>
      </w:r>
    </w:p>
    <w:p w14:paraId="04B56A22" w14:textId="77777777" w:rsidR="00A50892" w:rsidRPr="00A50892" w:rsidRDefault="00A50892" w:rsidP="007E21A6">
      <w:pPr>
        <w:tabs>
          <w:tab w:val="left" w:pos="567"/>
        </w:tabs>
        <w:jc w:val="both"/>
        <w:rPr>
          <w:sz w:val="22"/>
          <w:szCs w:val="20"/>
          <w:u w:val="single"/>
          <w:lang w:val="en-GB"/>
        </w:rPr>
      </w:pPr>
    </w:p>
    <w:p w14:paraId="3EB53D58" w14:textId="77777777" w:rsidR="00A50892" w:rsidRPr="00A50892" w:rsidRDefault="00A50892" w:rsidP="007E21A6">
      <w:pPr>
        <w:tabs>
          <w:tab w:val="left" w:pos="567"/>
        </w:tabs>
        <w:jc w:val="both"/>
        <w:rPr>
          <w:sz w:val="22"/>
          <w:szCs w:val="22"/>
          <w:u w:val="single"/>
          <w:lang w:val="en-GB"/>
        </w:rPr>
      </w:pPr>
      <w:r w:rsidRPr="00A50892">
        <w:rPr>
          <w:sz w:val="22"/>
          <w:szCs w:val="22"/>
          <w:u w:val="single"/>
          <w:lang w:val="en-GB"/>
        </w:rPr>
        <w:t xml:space="preserve">Postprandijalno dejstvo </w:t>
      </w:r>
      <w:proofErr w:type="gramStart"/>
      <w:r w:rsidRPr="00A50892">
        <w:rPr>
          <w:sz w:val="22"/>
          <w:szCs w:val="22"/>
          <w:u w:val="single"/>
          <w:lang w:val="en-GB"/>
        </w:rPr>
        <w:t>na</w:t>
      </w:r>
      <w:proofErr w:type="gramEnd"/>
      <w:r w:rsidRPr="00A50892">
        <w:rPr>
          <w:sz w:val="22"/>
          <w:szCs w:val="22"/>
          <w:u w:val="single"/>
          <w:lang w:val="en-GB"/>
        </w:rPr>
        <w:t xml:space="preserve"> fosfat i kalcijum u serumu </w:t>
      </w:r>
    </w:p>
    <w:p w14:paraId="49FF2C24" w14:textId="77777777" w:rsidR="00A50892" w:rsidRPr="00A50892" w:rsidRDefault="00A5089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</w:p>
    <w:p w14:paraId="5D4D2C61" w14:textId="244DD7D7" w:rsidR="00A50892" w:rsidRPr="00A50892" w:rsidRDefault="00A5089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A50892">
        <w:rPr>
          <w:sz w:val="22"/>
          <w:szCs w:val="22"/>
          <w:lang w:val="en-GB"/>
        </w:rPr>
        <w:t xml:space="preserve">Dejstvo burosumaba </w:t>
      </w:r>
      <w:proofErr w:type="gramStart"/>
      <w:r w:rsidRPr="00A50892">
        <w:rPr>
          <w:sz w:val="22"/>
          <w:szCs w:val="22"/>
          <w:lang w:val="en-GB"/>
        </w:rPr>
        <w:t>na</w:t>
      </w:r>
      <w:proofErr w:type="gramEnd"/>
      <w:r w:rsidRPr="00A50892">
        <w:rPr>
          <w:sz w:val="22"/>
          <w:szCs w:val="22"/>
          <w:lang w:val="en-GB"/>
        </w:rPr>
        <w:t xml:space="preserve"> nivoe fosfata i kalcijuma u serumu nakon uzimanja hrane ispitan je u dv</w:t>
      </w:r>
      <w:r w:rsidR="008F1E25">
        <w:rPr>
          <w:sz w:val="22"/>
          <w:szCs w:val="22"/>
          <w:lang w:val="en-GB"/>
        </w:rPr>
        <w:t>ij</w:t>
      </w:r>
      <w:r w:rsidRPr="00A50892">
        <w:rPr>
          <w:sz w:val="22"/>
          <w:szCs w:val="22"/>
          <w:lang w:val="en-GB"/>
        </w:rPr>
        <w:t>e podstudije (Studija UX023-CL301 i UX023-CL303) sa 13 pedijatrijskih pacijenata (uzrasta &gt; 3 godine) i 26 odraslih pacijenata (starosti 24‒65 godina). Fosfat i kalcijum u serumu izm</w:t>
      </w:r>
      <w:r w:rsidR="008F1E25">
        <w:rPr>
          <w:sz w:val="22"/>
          <w:szCs w:val="22"/>
          <w:lang w:val="en-GB"/>
        </w:rPr>
        <w:t>j</w:t>
      </w:r>
      <w:r w:rsidRPr="00A50892">
        <w:rPr>
          <w:sz w:val="22"/>
          <w:szCs w:val="22"/>
          <w:lang w:val="en-GB"/>
        </w:rPr>
        <w:t xml:space="preserve">ereni su </w:t>
      </w:r>
      <w:proofErr w:type="gramStart"/>
      <w:r w:rsidRPr="00A50892">
        <w:rPr>
          <w:sz w:val="22"/>
          <w:szCs w:val="22"/>
          <w:lang w:val="en-GB"/>
        </w:rPr>
        <w:t>na</w:t>
      </w:r>
      <w:proofErr w:type="gramEnd"/>
      <w:r w:rsidRPr="00A50892">
        <w:rPr>
          <w:sz w:val="22"/>
          <w:szCs w:val="22"/>
          <w:lang w:val="en-GB"/>
        </w:rPr>
        <w:t xml:space="preserve"> kraju intervala l</w:t>
      </w:r>
      <w:r w:rsidR="008F1E25">
        <w:rPr>
          <w:sz w:val="22"/>
          <w:szCs w:val="22"/>
          <w:lang w:val="en-GB"/>
        </w:rPr>
        <w:t>ij</w:t>
      </w:r>
      <w:r w:rsidRPr="00A50892">
        <w:rPr>
          <w:sz w:val="22"/>
          <w:szCs w:val="22"/>
          <w:lang w:val="en-GB"/>
        </w:rPr>
        <w:t>ečenja kod pedijatrijskih pacijenata i u sredini intervala kod odraslih pacijenata. Uzorci krvi uzeti su natašte i ponovo sat-dva nakon standardizovanog obroka.</w:t>
      </w:r>
    </w:p>
    <w:p w14:paraId="74AC7421" w14:textId="77777777" w:rsidR="00A50892" w:rsidRPr="00A50892" w:rsidRDefault="00A50892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</w:p>
    <w:p w14:paraId="16F00F9A" w14:textId="3F4CA16B" w:rsidR="00A50892" w:rsidRPr="00A50892" w:rsidRDefault="00A50892" w:rsidP="007E21A6">
      <w:pPr>
        <w:jc w:val="both"/>
        <w:rPr>
          <w:sz w:val="22"/>
          <w:szCs w:val="22"/>
          <w:lang w:eastAsia="ja-JP"/>
        </w:rPr>
      </w:pPr>
      <w:r w:rsidRPr="00A50892">
        <w:rPr>
          <w:sz w:val="22"/>
          <w:szCs w:val="22"/>
          <w:lang w:eastAsia="ja-JP"/>
        </w:rPr>
        <w:t>U ovim podstudijama l</w:t>
      </w:r>
      <w:r w:rsidR="008F1E25">
        <w:rPr>
          <w:sz w:val="22"/>
          <w:szCs w:val="22"/>
          <w:lang w:eastAsia="ja-JP"/>
        </w:rPr>
        <w:t>ij</w:t>
      </w:r>
      <w:r w:rsidRPr="00A50892">
        <w:rPr>
          <w:sz w:val="22"/>
          <w:szCs w:val="22"/>
          <w:lang w:eastAsia="ja-JP"/>
        </w:rPr>
        <w:t>ečenje buro</w:t>
      </w:r>
      <w:r w:rsidR="008F1E25">
        <w:rPr>
          <w:sz w:val="22"/>
          <w:szCs w:val="22"/>
          <w:lang w:eastAsia="ja-JP"/>
        </w:rPr>
        <w:t>s</w:t>
      </w:r>
      <w:r w:rsidRPr="00A50892">
        <w:rPr>
          <w:sz w:val="22"/>
          <w:szCs w:val="22"/>
          <w:lang w:eastAsia="ja-JP"/>
        </w:rPr>
        <w:t>umabom nije dovelo do postprandijalnih odstupanja u vr</w:t>
      </w:r>
      <w:r w:rsidR="008F1E25">
        <w:rPr>
          <w:sz w:val="22"/>
          <w:szCs w:val="22"/>
          <w:lang w:eastAsia="ja-JP"/>
        </w:rPr>
        <w:t>ij</w:t>
      </w:r>
      <w:r w:rsidRPr="00A50892">
        <w:rPr>
          <w:sz w:val="22"/>
          <w:szCs w:val="22"/>
          <w:lang w:eastAsia="ja-JP"/>
        </w:rPr>
        <w:t xml:space="preserve">ednostima fosfata </w:t>
      </w:r>
      <w:proofErr w:type="gramStart"/>
      <w:r w:rsidRPr="00A50892">
        <w:rPr>
          <w:sz w:val="22"/>
          <w:szCs w:val="22"/>
          <w:lang w:eastAsia="ja-JP"/>
        </w:rPr>
        <w:t>ili</w:t>
      </w:r>
      <w:proofErr w:type="gramEnd"/>
      <w:r w:rsidRPr="00A50892">
        <w:rPr>
          <w:sz w:val="22"/>
          <w:szCs w:val="22"/>
          <w:lang w:eastAsia="ja-JP"/>
        </w:rPr>
        <w:t xml:space="preserve"> kalcijuma u serumu iznad gornjih granica normale prilagođenih za godine života ni kod pedijatrijskih ni kod odraslih osoba.</w:t>
      </w:r>
    </w:p>
    <w:p w14:paraId="129332EE" w14:textId="77777777" w:rsidR="00A50892" w:rsidRPr="00A50892" w:rsidRDefault="00A50892" w:rsidP="007E21A6">
      <w:pPr>
        <w:tabs>
          <w:tab w:val="left" w:pos="567"/>
        </w:tabs>
        <w:jc w:val="both"/>
        <w:rPr>
          <w:iCs/>
          <w:noProof/>
          <w:sz w:val="22"/>
          <w:szCs w:val="22"/>
          <w:u w:val="single"/>
          <w:lang w:val="en-GB"/>
        </w:rPr>
      </w:pPr>
    </w:p>
    <w:p w14:paraId="30B87FC9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Pretklinički podaci o bezbjednosti </w:t>
      </w:r>
    </w:p>
    <w:p w14:paraId="7562D6A8" w14:textId="77777777" w:rsidR="008F1E25" w:rsidRPr="008F1E25" w:rsidRDefault="008F1E25" w:rsidP="007E21A6">
      <w:pPr>
        <w:keepNext/>
        <w:tabs>
          <w:tab w:val="left" w:pos="567"/>
        </w:tabs>
        <w:jc w:val="both"/>
        <w:rPr>
          <w:sz w:val="22"/>
          <w:szCs w:val="22"/>
          <w:u w:val="single"/>
          <w:lang w:val="sr-Latn-RS"/>
        </w:rPr>
      </w:pPr>
    </w:p>
    <w:p w14:paraId="6BD1DF3E" w14:textId="7F167848" w:rsidR="008F1E25" w:rsidRPr="008F1E25" w:rsidRDefault="008F1E25" w:rsidP="007E21A6">
      <w:pPr>
        <w:jc w:val="both"/>
        <w:rPr>
          <w:i/>
          <w:sz w:val="22"/>
          <w:szCs w:val="20"/>
          <w:lang w:val="en-GB"/>
        </w:rPr>
      </w:pPr>
      <w:r w:rsidRPr="008F1E25">
        <w:rPr>
          <w:sz w:val="22"/>
          <w:szCs w:val="20"/>
          <w:lang w:val="en-GB"/>
        </w:rPr>
        <w:t xml:space="preserve">U </w:t>
      </w:r>
      <w:r w:rsidR="00A30E59">
        <w:rPr>
          <w:sz w:val="22"/>
          <w:szCs w:val="20"/>
          <w:lang w:val="en-GB"/>
        </w:rPr>
        <w:t>pret</w:t>
      </w:r>
      <w:r w:rsidRPr="008F1E25">
        <w:rPr>
          <w:sz w:val="22"/>
          <w:szCs w:val="20"/>
          <w:lang w:val="en-GB"/>
        </w:rPr>
        <w:t xml:space="preserve">kliničkim studijama </w:t>
      </w:r>
      <w:proofErr w:type="gramStart"/>
      <w:r w:rsidRPr="008F1E25">
        <w:rPr>
          <w:sz w:val="22"/>
          <w:szCs w:val="20"/>
          <w:lang w:val="en-GB"/>
        </w:rPr>
        <w:t>na</w:t>
      </w:r>
      <w:proofErr w:type="gramEnd"/>
      <w:r w:rsidRPr="008F1E25">
        <w:rPr>
          <w:sz w:val="22"/>
          <w:szCs w:val="20"/>
          <w:lang w:val="en-GB"/>
        </w:rPr>
        <w:t xml:space="preserve"> normalnim životinjama zab</w:t>
      </w:r>
      <w:r w:rsidR="00341BAE">
        <w:rPr>
          <w:sz w:val="22"/>
          <w:szCs w:val="20"/>
          <w:lang w:val="en-GB"/>
        </w:rPr>
        <w:t>ilj</w:t>
      </w:r>
      <w:r w:rsidRPr="008F1E25">
        <w:rPr>
          <w:sz w:val="22"/>
          <w:szCs w:val="20"/>
          <w:lang w:val="en-GB"/>
        </w:rPr>
        <w:t xml:space="preserve">ežene su neželjene reakcije pri izloženostima koje su dovele do koncentracije fosfata u serumu iznad normalnih granica. Ta dejstva su bila u skladu </w:t>
      </w:r>
      <w:proofErr w:type="gramStart"/>
      <w:r w:rsidRPr="008F1E25">
        <w:rPr>
          <w:sz w:val="22"/>
          <w:szCs w:val="20"/>
          <w:lang w:val="en-GB"/>
        </w:rPr>
        <w:t>sa</w:t>
      </w:r>
      <w:proofErr w:type="gramEnd"/>
      <w:r w:rsidRPr="008F1E25">
        <w:rPr>
          <w:sz w:val="22"/>
          <w:szCs w:val="20"/>
          <w:lang w:val="en-GB"/>
        </w:rPr>
        <w:t xml:space="preserve"> preteranim odgovorom na inhibiciju normalnih nivoa FGF23 koje su za posl</w:t>
      </w:r>
      <w:r w:rsidR="00341BAE">
        <w:rPr>
          <w:sz w:val="22"/>
          <w:szCs w:val="20"/>
          <w:lang w:val="en-GB"/>
        </w:rPr>
        <w:t>j</w:t>
      </w:r>
      <w:r w:rsidRPr="008F1E25">
        <w:rPr>
          <w:sz w:val="22"/>
          <w:szCs w:val="20"/>
          <w:lang w:val="en-GB"/>
        </w:rPr>
        <w:t>edicu imale suprafiziološki porast fosfata u serumu iznad gornje granice normale.</w:t>
      </w:r>
    </w:p>
    <w:p w14:paraId="6D6E433C" w14:textId="77777777" w:rsidR="008F1E25" w:rsidRPr="008F1E25" w:rsidRDefault="008F1E25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</w:p>
    <w:p w14:paraId="3A163C6C" w14:textId="611CBEFF" w:rsidR="008F1E25" w:rsidRPr="008F1E25" w:rsidRDefault="008F1E25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8F1E25">
        <w:rPr>
          <w:sz w:val="22"/>
          <w:szCs w:val="20"/>
          <w:lang w:val="en-GB"/>
        </w:rPr>
        <w:t>Studije na kunićima i odraslim i mladim makaki majmunima pokazale su povišenja serumskog fosfata i 1</w:t>
      </w:r>
      <w:proofErr w:type="gramStart"/>
      <w:r w:rsidRPr="008F1E25">
        <w:rPr>
          <w:sz w:val="22"/>
          <w:szCs w:val="20"/>
          <w:lang w:val="en-GB"/>
        </w:rPr>
        <w:t>,25</w:t>
      </w:r>
      <w:proofErr w:type="gramEnd"/>
      <w:r w:rsidRPr="008F1E25">
        <w:rPr>
          <w:sz w:val="22"/>
          <w:szCs w:val="20"/>
          <w:lang w:val="en-GB"/>
        </w:rPr>
        <w:t xml:space="preserve"> (OH)2D zavisna od doze, što potvrđuje farmakološka dejstva burosumaba u tim vrstama. Ektopična mineralizacija više tkiva i organa (npr. bubrega, srca, pluća i aorte) i u nekim slučajevima povezane sekundarne posl</w:t>
      </w:r>
      <w:r w:rsidR="00341BAE">
        <w:rPr>
          <w:sz w:val="22"/>
          <w:szCs w:val="20"/>
          <w:lang w:val="en-GB"/>
        </w:rPr>
        <w:t>j</w:t>
      </w:r>
      <w:r w:rsidRPr="008F1E25">
        <w:rPr>
          <w:sz w:val="22"/>
          <w:szCs w:val="20"/>
          <w:lang w:val="en-GB"/>
        </w:rPr>
        <w:t>edice (npr. nefrokalcinoza) zbog hiperfosfatemije, zab</w:t>
      </w:r>
      <w:r w:rsidR="00341BAE">
        <w:rPr>
          <w:sz w:val="22"/>
          <w:szCs w:val="20"/>
          <w:lang w:val="en-GB"/>
        </w:rPr>
        <w:t>ilj</w:t>
      </w:r>
      <w:r w:rsidRPr="008F1E25">
        <w:rPr>
          <w:sz w:val="22"/>
          <w:szCs w:val="20"/>
          <w:lang w:val="en-GB"/>
        </w:rPr>
        <w:t>ežene su kod normalnih životinja pri dozama burosumaba koje su dovele do koncentracija fosfata u serumu životinja većim od približno 8 mg/dl (2</w:t>
      </w:r>
      <w:proofErr w:type="gramStart"/>
      <w:r w:rsidRPr="008F1E25">
        <w:rPr>
          <w:sz w:val="22"/>
          <w:szCs w:val="20"/>
          <w:lang w:val="en-GB"/>
        </w:rPr>
        <w:t>,6</w:t>
      </w:r>
      <w:proofErr w:type="gramEnd"/>
      <w:r w:rsidRPr="008F1E25">
        <w:rPr>
          <w:sz w:val="22"/>
          <w:szCs w:val="20"/>
          <w:lang w:val="en-GB"/>
        </w:rPr>
        <w:t xml:space="preserve"> mmol/l). Na mišjem modelu XLH, značajno smanjenje incidence ektopične mineralizacije zab</w:t>
      </w:r>
      <w:r w:rsidR="00341BAE">
        <w:rPr>
          <w:sz w:val="22"/>
          <w:szCs w:val="20"/>
          <w:lang w:val="en-GB"/>
        </w:rPr>
        <w:t>ilj</w:t>
      </w:r>
      <w:r w:rsidRPr="008F1E25">
        <w:rPr>
          <w:sz w:val="22"/>
          <w:szCs w:val="20"/>
          <w:lang w:val="en-GB"/>
        </w:rPr>
        <w:t xml:space="preserve">eženo je pri jednakim nivoima serumskog fosfata, što upućuje </w:t>
      </w:r>
      <w:proofErr w:type="gramStart"/>
      <w:r w:rsidRPr="008F1E25">
        <w:rPr>
          <w:sz w:val="22"/>
          <w:szCs w:val="20"/>
          <w:lang w:val="en-GB"/>
        </w:rPr>
        <w:t>na</w:t>
      </w:r>
      <w:proofErr w:type="gramEnd"/>
      <w:r w:rsidRPr="008F1E25">
        <w:rPr>
          <w:sz w:val="22"/>
          <w:szCs w:val="20"/>
          <w:lang w:val="en-GB"/>
        </w:rPr>
        <w:t xml:space="preserve"> zaključak da je rizik od mineralizacije manji u prisustvu viška FGF23.</w:t>
      </w:r>
    </w:p>
    <w:p w14:paraId="0218DD2B" w14:textId="77777777" w:rsidR="008F1E25" w:rsidRPr="008F1E25" w:rsidRDefault="008F1E25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</w:p>
    <w:p w14:paraId="0EE97D9C" w14:textId="26D8234A" w:rsidR="008F1E25" w:rsidRPr="008F1E25" w:rsidRDefault="008F1E25" w:rsidP="00BC4A23">
      <w:pPr>
        <w:tabs>
          <w:tab w:val="left" w:pos="567"/>
        </w:tabs>
        <w:rPr>
          <w:sz w:val="22"/>
          <w:szCs w:val="20"/>
          <w:shd w:val="clear" w:color="auto" w:fill="FFFFFF"/>
          <w:lang w:val="en-GB"/>
        </w:rPr>
      </w:pPr>
      <w:r w:rsidRPr="008F1E25">
        <w:rPr>
          <w:sz w:val="22"/>
          <w:szCs w:val="20"/>
          <w:shd w:val="clear" w:color="auto" w:fill="FFFFFF"/>
          <w:lang w:val="en-GB"/>
        </w:rPr>
        <w:t xml:space="preserve">Dejstva </w:t>
      </w:r>
      <w:proofErr w:type="gramStart"/>
      <w:r w:rsidRPr="008F1E25">
        <w:rPr>
          <w:sz w:val="22"/>
          <w:szCs w:val="20"/>
          <w:shd w:val="clear" w:color="auto" w:fill="FFFFFF"/>
          <w:lang w:val="en-GB"/>
        </w:rPr>
        <w:t>na</w:t>
      </w:r>
      <w:proofErr w:type="gramEnd"/>
      <w:r w:rsidRPr="008F1E25">
        <w:rPr>
          <w:sz w:val="22"/>
          <w:szCs w:val="20"/>
          <w:shd w:val="clear" w:color="auto" w:fill="FFFFFF"/>
          <w:lang w:val="en-GB"/>
        </w:rPr>
        <w:t xml:space="preserve"> kosti zab</w:t>
      </w:r>
      <w:r w:rsidR="00341BAE">
        <w:rPr>
          <w:sz w:val="22"/>
          <w:szCs w:val="20"/>
          <w:shd w:val="clear" w:color="auto" w:fill="FFFFFF"/>
          <w:lang w:val="en-GB"/>
        </w:rPr>
        <w:t>ilj</w:t>
      </w:r>
      <w:r w:rsidRPr="008F1E25">
        <w:rPr>
          <w:sz w:val="22"/>
          <w:szCs w:val="20"/>
          <w:shd w:val="clear" w:color="auto" w:fill="FFFFFF"/>
          <w:lang w:val="en-GB"/>
        </w:rPr>
        <w:t>ežena kod odraslih i mladih majmuna uključivala su prom</w:t>
      </w:r>
      <w:r w:rsidR="009B29D4">
        <w:rPr>
          <w:sz w:val="22"/>
          <w:szCs w:val="20"/>
          <w:shd w:val="clear" w:color="auto" w:fill="FFFFFF"/>
          <w:lang w:val="en-GB"/>
        </w:rPr>
        <w:t>j</w:t>
      </w:r>
      <w:r w:rsidRPr="008F1E25">
        <w:rPr>
          <w:sz w:val="22"/>
          <w:szCs w:val="20"/>
          <w:shd w:val="clear" w:color="auto" w:fill="FFFFFF"/>
          <w:lang w:val="en-GB"/>
        </w:rPr>
        <w:t>ene markera koštanog metabolizma, pov</w:t>
      </w:r>
      <w:r>
        <w:rPr>
          <w:sz w:val="22"/>
          <w:szCs w:val="20"/>
          <w:shd w:val="clear" w:color="auto" w:fill="FFFFFF"/>
          <w:lang w:val="en-GB"/>
        </w:rPr>
        <w:t>j</w:t>
      </w:r>
      <w:r w:rsidRPr="008F1E25">
        <w:rPr>
          <w:sz w:val="22"/>
          <w:szCs w:val="20"/>
          <w:shd w:val="clear" w:color="auto" w:fill="FFFFFF"/>
          <w:lang w:val="en-GB"/>
        </w:rPr>
        <w:t>ećanja debljine i gustine kortikalne kosti, veću ukupnu koštanu gustinu i zadebljanje duge kosti. Te prom</w:t>
      </w:r>
      <w:r>
        <w:rPr>
          <w:sz w:val="22"/>
          <w:szCs w:val="20"/>
          <w:shd w:val="clear" w:color="auto" w:fill="FFFFFF"/>
          <w:lang w:val="en-GB"/>
        </w:rPr>
        <w:t>j</w:t>
      </w:r>
      <w:r w:rsidRPr="008F1E25">
        <w:rPr>
          <w:sz w:val="22"/>
          <w:szCs w:val="20"/>
          <w:shd w:val="clear" w:color="auto" w:fill="FFFFFF"/>
          <w:lang w:val="en-GB"/>
        </w:rPr>
        <w:t>ene bile su posl</w:t>
      </w:r>
      <w:r w:rsidR="00341BAE">
        <w:rPr>
          <w:sz w:val="22"/>
          <w:szCs w:val="20"/>
          <w:shd w:val="clear" w:color="auto" w:fill="FFFFFF"/>
          <w:lang w:val="en-GB"/>
        </w:rPr>
        <w:t>j</w:t>
      </w:r>
      <w:r w:rsidRPr="008F1E25">
        <w:rPr>
          <w:sz w:val="22"/>
          <w:szCs w:val="20"/>
          <w:shd w:val="clear" w:color="auto" w:fill="FFFFFF"/>
          <w:lang w:val="en-GB"/>
        </w:rPr>
        <w:t xml:space="preserve">edica nivoa serumskog fosfata viših </w:t>
      </w:r>
      <w:proofErr w:type="gramStart"/>
      <w:r w:rsidRPr="008F1E25">
        <w:rPr>
          <w:sz w:val="22"/>
          <w:szCs w:val="20"/>
          <w:shd w:val="clear" w:color="auto" w:fill="FFFFFF"/>
          <w:lang w:val="en-GB"/>
        </w:rPr>
        <w:t>od</w:t>
      </w:r>
      <w:proofErr w:type="gramEnd"/>
      <w:r w:rsidRPr="008F1E25">
        <w:rPr>
          <w:sz w:val="22"/>
          <w:szCs w:val="20"/>
          <w:shd w:val="clear" w:color="auto" w:fill="FFFFFF"/>
          <w:lang w:val="en-GB"/>
        </w:rPr>
        <w:t xml:space="preserve"> normalnih, što je ubrzalo pregrađivanje kosti, a takođe su dovele do </w:t>
      </w:r>
      <w:r w:rsidRPr="008F1E25">
        <w:rPr>
          <w:sz w:val="22"/>
          <w:szCs w:val="20"/>
          <w:lang w:val="en-GB"/>
        </w:rPr>
        <w:t xml:space="preserve">periostalne hiperostoze i smanjenja čvrstoće kosti kod odraslih, ali ne i </w:t>
      </w:r>
      <w:r w:rsidRPr="008F1E25">
        <w:rPr>
          <w:sz w:val="22"/>
          <w:szCs w:val="20"/>
          <w:shd w:val="clear" w:color="auto" w:fill="FFFFFF"/>
          <w:lang w:val="en-GB"/>
        </w:rPr>
        <w:t>mla</w:t>
      </w:r>
      <w:bookmarkStart w:id="18" w:name="_GoBack"/>
      <w:bookmarkEnd w:id="18"/>
      <w:r w:rsidRPr="008F1E25">
        <w:rPr>
          <w:sz w:val="22"/>
          <w:szCs w:val="20"/>
          <w:shd w:val="clear" w:color="auto" w:fill="FFFFFF"/>
          <w:lang w:val="en-GB"/>
        </w:rPr>
        <w:t xml:space="preserve">dih životinja pri testiranim dozama. </w:t>
      </w:r>
      <w:r w:rsidRPr="008F1E25">
        <w:rPr>
          <w:sz w:val="22"/>
          <w:szCs w:val="20"/>
          <w:lang w:val="en-GB"/>
        </w:rPr>
        <w:t>Burosumab nije podstakao abnormalni razvoj kostiju jer kod mladunčadi nisu uočene prom</w:t>
      </w:r>
      <w:r w:rsidR="009B29D4">
        <w:rPr>
          <w:sz w:val="22"/>
          <w:szCs w:val="20"/>
          <w:lang w:val="en-GB"/>
        </w:rPr>
        <w:t>j</w:t>
      </w:r>
      <w:r w:rsidRPr="008F1E25">
        <w:rPr>
          <w:sz w:val="22"/>
          <w:szCs w:val="20"/>
          <w:lang w:val="en-GB"/>
        </w:rPr>
        <w:t xml:space="preserve">ene u dužini femoralne kosti </w:t>
      </w:r>
      <w:proofErr w:type="gramStart"/>
      <w:r w:rsidRPr="008F1E25">
        <w:rPr>
          <w:sz w:val="22"/>
          <w:szCs w:val="20"/>
          <w:lang w:val="en-GB"/>
        </w:rPr>
        <w:t>ili</w:t>
      </w:r>
      <w:proofErr w:type="gramEnd"/>
      <w:r w:rsidRPr="008F1E25">
        <w:rPr>
          <w:sz w:val="22"/>
          <w:szCs w:val="20"/>
          <w:lang w:val="en-GB"/>
        </w:rPr>
        <w:t xml:space="preserve"> čvrstoći kostiju. </w:t>
      </w:r>
      <w:r w:rsidRPr="008F1E25">
        <w:rPr>
          <w:sz w:val="22"/>
          <w:szCs w:val="20"/>
          <w:shd w:val="clear" w:color="auto" w:fill="FFFFFF"/>
          <w:lang w:val="en-GB"/>
        </w:rPr>
        <w:t>Prom</w:t>
      </w:r>
      <w:r>
        <w:rPr>
          <w:sz w:val="22"/>
          <w:szCs w:val="20"/>
          <w:shd w:val="clear" w:color="auto" w:fill="FFFFFF"/>
          <w:lang w:val="en-GB"/>
        </w:rPr>
        <w:t>j</w:t>
      </w:r>
      <w:r w:rsidRPr="008F1E25">
        <w:rPr>
          <w:sz w:val="22"/>
          <w:szCs w:val="20"/>
          <w:shd w:val="clear" w:color="auto" w:fill="FFFFFF"/>
          <w:lang w:val="en-GB"/>
        </w:rPr>
        <w:t xml:space="preserve">ene kostiju bile su u skladu </w:t>
      </w:r>
      <w:proofErr w:type="gramStart"/>
      <w:r w:rsidRPr="008F1E25">
        <w:rPr>
          <w:sz w:val="22"/>
          <w:szCs w:val="20"/>
          <w:shd w:val="clear" w:color="auto" w:fill="FFFFFF"/>
          <w:lang w:val="en-GB"/>
        </w:rPr>
        <w:t>sa</w:t>
      </w:r>
      <w:proofErr w:type="gramEnd"/>
      <w:r w:rsidRPr="008F1E25">
        <w:rPr>
          <w:sz w:val="22"/>
          <w:szCs w:val="20"/>
          <w:shd w:val="clear" w:color="auto" w:fill="FFFFFF"/>
          <w:lang w:val="en-GB"/>
        </w:rPr>
        <w:t xml:space="preserve"> farmakologijom burosumaba i ulogom fosfata u mineralizaciji kostiju, njihovom metabolizmu i pregrađivanju.</w:t>
      </w:r>
      <w:r w:rsidRPr="008F1E25">
        <w:rPr>
          <w:sz w:val="22"/>
          <w:szCs w:val="20"/>
          <w:lang w:val="en-GB"/>
        </w:rPr>
        <w:br/>
      </w:r>
    </w:p>
    <w:p w14:paraId="2E848BFD" w14:textId="2E24FFF8" w:rsidR="008F1E25" w:rsidRPr="008F1E25" w:rsidRDefault="008F1E25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8F1E25">
        <w:rPr>
          <w:sz w:val="22"/>
          <w:szCs w:val="20"/>
          <w:lang w:val="en-GB"/>
        </w:rPr>
        <w:t>U ispitivanjima toksičnosti ponovljenih doza u trajanju do 40 ned</w:t>
      </w:r>
      <w:r w:rsidR="009B29D4">
        <w:rPr>
          <w:sz w:val="22"/>
          <w:szCs w:val="20"/>
          <w:lang w:val="en-GB"/>
        </w:rPr>
        <w:t>j</w:t>
      </w:r>
      <w:r w:rsidRPr="008F1E25">
        <w:rPr>
          <w:sz w:val="22"/>
          <w:szCs w:val="20"/>
          <w:lang w:val="en-GB"/>
        </w:rPr>
        <w:t xml:space="preserve">elja izvršenim </w:t>
      </w:r>
      <w:proofErr w:type="gramStart"/>
      <w:r w:rsidRPr="008F1E25">
        <w:rPr>
          <w:sz w:val="22"/>
          <w:szCs w:val="20"/>
          <w:lang w:val="en-GB"/>
        </w:rPr>
        <w:t>na</w:t>
      </w:r>
      <w:proofErr w:type="gramEnd"/>
      <w:r w:rsidRPr="008F1E25">
        <w:rPr>
          <w:sz w:val="22"/>
          <w:szCs w:val="20"/>
          <w:lang w:val="en-GB"/>
        </w:rPr>
        <w:t xml:space="preserve"> makaki majmunima, kod mužjaka je zab</w:t>
      </w:r>
      <w:r w:rsidR="00341BAE">
        <w:rPr>
          <w:sz w:val="22"/>
          <w:szCs w:val="20"/>
          <w:lang w:val="en-GB"/>
        </w:rPr>
        <w:t>ilj</w:t>
      </w:r>
      <w:r w:rsidRPr="008F1E25">
        <w:rPr>
          <w:sz w:val="22"/>
          <w:szCs w:val="20"/>
          <w:lang w:val="en-GB"/>
        </w:rPr>
        <w:t xml:space="preserve">ežena mineralizacija rete testisa / semenskih tubula; međutim, u analizi semena </w:t>
      </w:r>
      <w:r w:rsidRPr="008F1E25">
        <w:rPr>
          <w:sz w:val="22"/>
          <w:szCs w:val="20"/>
          <w:lang w:val="en-GB"/>
        </w:rPr>
        <w:lastRenderedPageBreak/>
        <w:t>nisu zab</w:t>
      </w:r>
      <w:r w:rsidR="00341BAE">
        <w:rPr>
          <w:sz w:val="22"/>
          <w:szCs w:val="20"/>
          <w:lang w:val="en-GB"/>
        </w:rPr>
        <w:t>ilj</w:t>
      </w:r>
      <w:r w:rsidRPr="008F1E25">
        <w:rPr>
          <w:sz w:val="22"/>
          <w:szCs w:val="20"/>
          <w:lang w:val="en-GB"/>
        </w:rPr>
        <w:t>ežene prom</w:t>
      </w:r>
      <w:r>
        <w:rPr>
          <w:sz w:val="22"/>
          <w:szCs w:val="20"/>
          <w:lang w:val="en-GB"/>
        </w:rPr>
        <w:t>j</w:t>
      </w:r>
      <w:r w:rsidRPr="008F1E25">
        <w:rPr>
          <w:sz w:val="22"/>
          <w:szCs w:val="20"/>
          <w:lang w:val="en-GB"/>
        </w:rPr>
        <w:t xml:space="preserve">ene. U </w:t>
      </w:r>
      <w:proofErr w:type="gramStart"/>
      <w:r w:rsidRPr="008F1E25">
        <w:rPr>
          <w:sz w:val="22"/>
          <w:szCs w:val="20"/>
          <w:lang w:val="en-GB"/>
        </w:rPr>
        <w:t>tim</w:t>
      </w:r>
      <w:proofErr w:type="gramEnd"/>
      <w:r w:rsidRPr="008F1E25">
        <w:rPr>
          <w:sz w:val="22"/>
          <w:szCs w:val="20"/>
          <w:lang w:val="en-GB"/>
        </w:rPr>
        <w:t xml:space="preserve"> ispitivanjima nisu ustanovljena neželjena dejstva na reproduktivne organe ženki.</w:t>
      </w:r>
    </w:p>
    <w:p w14:paraId="2DFB29E0" w14:textId="77777777" w:rsidR="008F1E25" w:rsidRPr="008F1E25" w:rsidRDefault="008F1E25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</w:p>
    <w:p w14:paraId="17823C5C" w14:textId="21250CF4" w:rsidR="008F1E25" w:rsidRPr="008F1E25" w:rsidRDefault="008F1E25" w:rsidP="007E21A6">
      <w:pPr>
        <w:keepNext/>
        <w:keepLines/>
        <w:tabs>
          <w:tab w:val="left" w:pos="567"/>
        </w:tabs>
        <w:jc w:val="both"/>
        <w:rPr>
          <w:sz w:val="22"/>
          <w:szCs w:val="22"/>
          <w:lang w:val="en-GB"/>
        </w:rPr>
      </w:pPr>
      <w:r w:rsidRPr="008F1E25">
        <w:rPr>
          <w:sz w:val="22"/>
          <w:szCs w:val="20"/>
          <w:lang w:val="en-GB"/>
        </w:rPr>
        <w:t>U studiji reproduktivne i razvojne toksikologije izvršenoj na skotnim makaki majmunicama, kod skotnih životinja koje su primile 30 mg/kg burosumaba zab</w:t>
      </w:r>
      <w:r w:rsidR="00341BAE">
        <w:rPr>
          <w:sz w:val="22"/>
          <w:szCs w:val="20"/>
          <w:lang w:val="en-GB"/>
        </w:rPr>
        <w:t>ilj</w:t>
      </w:r>
      <w:r w:rsidRPr="008F1E25">
        <w:rPr>
          <w:sz w:val="22"/>
          <w:szCs w:val="20"/>
          <w:lang w:val="en-GB"/>
        </w:rPr>
        <w:t>ežena je um</w:t>
      </w:r>
      <w:r>
        <w:rPr>
          <w:sz w:val="22"/>
          <w:szCs w:val="20"/>
          <w:lang w:val="en-GB"/>
        </w:rPr>
        <w:t>j</w:t>
      </w:r>
      <w:r w:rsidRPr="008F1E25">
        <w:rPr>
          <w:sz w:val="22"/>
          <w:szCs w:val="20"/>
          <w:lang w:val="en-GB"/>
        </w:rPr>
        <w:t>erena mineralizacija placente, a razvila se kod životinja sa vršnom koncentracijom fosfata u serumu većom od približno 8 mg/dl (2</w:t>
      </w:r>
      <w:proofErr w:type="gramStart"/>
      <w:r w:rsidRPr="008F1E25">
        <w:rPr>
          <w:sz w:val="22"/>
          <w:szCs w:val="20"/>
          <w:lang w:val="en-GB"/>
        </w:rPr>
        <w:t>,6</w:t>
      </w:r>
      <w:proofErr w:type="gramEnd"/>
      <w:r w:rsidRPr="008F1E25">
        <w:rPr>
          <w:sz w:val="22"/>
          <w:szCs w:val="20"/>
          <w:lang w:val="en-GB"/>
        </w:rPr>
        <w:t xml:space="preserve"> mmol/l). Skraćeni period gestacije i sa tim povezana veća incidenca pr</w:t>
      </w:r>
      <w:r w:rsidR="00A30E59">
        <w:rPr>
          <w:sz w:val="22"/>
          <w:szCs w:val="20"/>
          <w:lang w:val="en-GB"/>
        </w:rPr>
        <w:t>ij</w:t>
      </w:r>
      <w:r w:rsidRPr="008F1E25">
        <w:rPr>
          <w:sz w:val="22"/>
          <w:szCs w:val="20"/>
          <w:lang w:val="en-GB"/>
        </w:rPr>
        <w:t>evremenih okota zab</w:t>
      </w:r>
      <w:r w:rsidR="00341BAE">
        <w:rPr>
          <w:sz w:val="22"/>
          <w:szCs w:val="20"/>
          <w:lang w:val="en-GB"/>
        </w:rPr>
        <w:t>ilj</w:t>
      </w:r>
      <w:r w:rsidRPr="008F1E25">
        <w:rPr>
          <w:sz w:val="22"/>
          <w:szCs w:val="20"/>
          <w:lang w:val="en-GB"/>
        </w:rPr>
        <w:t>eženi su kod skotnih majmunica pri dozama ≥ 0</w:t>
      </w:r>
      <w:proofErr w:type="gramStart"/>
      <w:r w:rsidRPr="008F1E25">
        <w:rPr>
          <w:sz w:val="22"/>
          <w:szCs w:val="20"/>
          <w:lang w:val="en-GB"/>
        </w:rPr>
        <w:t>,3</w:t>
      </w:r>
      <w:proofErr w:type="gramEnd"/>
      <w:r w:rsidRPr="008F1E25">
        <w:rPr>
          <w:sz w:val="22"/>
          <w:szCs w:val="20"/>
          <w:lang w:val="en-GB"/>
        </w:rPr>
        <w:t xml:space="preserve"> mg/kg, što odgovara izloženostima burosumabu koje su ≥ 0,875 do 1,39 puta veće od očekivanih kliničkih nivoa. Buro</w:t>
      </w:r>
      <w:r w:rsidR="0050639E">
        <w:rPr>
          <w:sz w:val="22"/>
          <w:szCs w:val="20"/>
          <w:lang w:val="en-GB"/>
        </w:rPr>
        <w:t>s</w:t>
      </w:r>
      <w:r w:rsidRPr="008F1E25">
        <w:rPr>
          <w:sz w:val="22"/>
          <w:szCs w:val="20"/>
          <w:lang w:val="en-GB"/>
        </w:rPr>
        <w:t>umab je otkriven u serumu fetusa, što pokazuje da je burosumab prolazio kroz placentu u fetus. Nisu nađeni dokazi teratogenih dejstava. Ektopična mineralizacija nije zab</w:t>
      </w:r>
      <w:r w:rsidR="00341BAE">
        <w:rPr>
          <w:sz w:val="22"/>
          <w:szCs w:val="20"/>
          <w:lang w:val="en-GB"/>
        </w:rPr>
        <w:t>ilj</w:t>
      </w:r>
      <w:r w:rsidRPr="008F1E25">
        <w:rPr>
          <w:sz w:val="22"/>
          <w:szCs w:val="20"/>
          <w:lang w:val="en-GB"/>
        </w:rPr>
        <w:t xml:space="preserve">ežena u fetusima </w:t>
      </w:r>
      <w:proofErr w:type="gramStart"/>
      <w:r w:rsidRPr="008F1E25">
        <w:rPr>
          <w:sz w:val="22"/>
          <w:szCs w:val="20"/>
          <w:lang w:val="en-GB"/>
        </w:rPr>
        <w:t>ili</w:t>
      </w:r>
      <w:proofErr w:type="gramEnd"/>
      <w:r w:rsidRPr="008F1E25">
        <w:rPr>
          <w:sz w:val="22"/>
          <w:szCs w:val="20"/>
          <w:lang w:val="en-GB"/>
        </w:rPr>
        <w:t xml:space="preserve"> mladuncima i burosumab nije uticao na prenatalni i postnatalni rast uključujući sposobnost preživljavanja mladunaca.</w:t>
      </w:r>
    </w:p>
    <w:p w14:paraId="7A5261EC" w14:textId="77777777" w:rsidR="008F1E25" w:rsidRPr="008F1E25" w:rsidRDefault="008F1E25" w:rsidP="007E21A6">
      <w:pPr>
        <w:tabs>
          <w:tab w:val="left" w:pos="567"/>
        </w:tabs>
        <w:jc w:val="both"/>
        <w:rPr>
          <w:noProof/>
          <w:sz w:val="22"/>
          <w:szCs w:val="22"/>
          <w:lang w:val="en-GB"/>
        </w:rPr>
      </w:pPr>
    </w:p>
    <w:p w14:paraId="45838608" w14:textId="23122D44" w:rsidR="008F1E25" w:rsidRPr="008F1E25" w:rsidRDefault="008F1E25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8F1E25">
        <w:rPr>
          <w:sz w:val="22"/>
          <w:szCs w:val="20"/>
          <w:lang w:val="en-GB"/>
        </w:rPr>
        <w:t>U pretkliničkim studijama ektopična mineralizacija zab</w:t>
      </w:r>
      <w:r w:rsidR="00341BAE">
        <w:rPr>
          <w:sz w:val="22"/>
          <w:szCs w:val="20"/>
          <w:lang w:val="en-GB"/>
        </w:rPr>
        <w:t>ilje</w:t>
      </w:r>
      <w:r w:rsidRPr="008F1E25">
        <w:rPr>
          <w:sz w:val="22"/>
          <w:szCs w:val="20"/>
          <w:lang w:val="en-GB"/>
        </w:rPr>
        <w:t>žena je kod normalnih životinja, najčešće u bubregu, pri dozama burosumaba koje su dovele do koncentracija fosfata u serumu većih od 8 mg/dl (2</w:t>
      </w:r>
      <w:proofErr w:type="gramStart"/>
      <w:r w:rsidRPr="008F1E25">
        <w:rPr>
          <w:sz w:val="22"/>
          <w:szCs w:val="20"/>
          <w:lang w:val="en-GB"/>
        </w:rPr>
        <w:t>,6</w:t>
      </w:r>
      <w:proofErr w:type="gramEnd"/>
      <w:r w:rsidRPr="008F1E25">
        <w:rPr>
          <w:sz w:val="22"/>
          <w:szCs w:val="20"/>
          <w:lang w:val="en-GB"/>
        </w:rPr>
        <w:t xml:space="preserve"> mmol/l). U kliničkim ispitivanjima </w:t>
      </w:r>
      <w:proofErr w:type="gramStart"/>
      <w:r w:rsidRPr="008F1E25">
        <w:rPr>
          <w:sz w:val="22"/>
          <w:szCs w:val="20"/>
          <w:lang w:val="en-GB"/>
        </w:rPr>
        <w:t>sa</w:t>
      </w:r>
      <w:proofErr w:type="gramEnd"/>
      <w:r w:rsidRPr="008F1E25">
        <w:rPr>
          <w:sz w:val="22"/>
          <w:szCs w:val="20"/>
          <w:lang w:val="en-GB"/>
        </w:rPr>
        <w:t xml:space="preserve"> pacijentima sa XLH l</w:t>
      </w:r>
      <w:r w:rsidR="009B29D4">
        <w:rPr>
          <w:sz w:val="22"/>
          <w:szCs w:val="20"/>
          <w:lang w:val="en-GB"/>
        </w:rPr>
        <w:t>ij</w:t>
      </w:r>
      <w:r w:rsidRPr="008F1E25">
        <w:rPr>
          <w:sz w:val="22"/>
          <w:szCs w:val="20"/>
          <w:lang w:val="en-GB"/>
        </w:rPr>
        <w:t>ečenih burosumabom kako bi se postigli normalni nivoi fosfata u serumu, nisu zab</w:t>
      </w:r>
      <w:r w:rsidR="00341BAE">
        <w:rPr>
          <w:sz w:val="22"/>
          <w:szCs w:val="20"/>
          <w:lang w:val="en-GB"/>
        </w:rPr>
        <w:t>ilj</w:t>
      </w:r>
      <w:r w:rsidRPr="008F1E25">
        <w:rPr>
          <w:sz w:val="22"/>
          <w:szCs w:val="20"/>
          <w:lang w:val="en-GB"/>
        </w:rPr>
        <w:t>ežena nova ili klinički značajna pogoršanja nefrokalcinoze ili ektopične mineralizacije.</w:t>
      </w:r>
    </w:p>
    <w:p w14:paraId="61B9BEF1" w14:textId="77777777" w:rsidR="008F1E25" w:rsidRPr="008F1E25" w:rsidRDefault="008F1E25" w:rsidP="007E21A6">
      <w:pPr>
        <w:tabs>
          <w:tab w:val="left" w:pos="567"/>
        </w:tabs>
        <w:jc w:val="both"/>
        <w:rPr>
          <w:noProof/>
          <w:sz w:val="22"/>
          <w:szCs w:val="22"/>
          <w:lang w:val="en-GB"/>
        </w:rPr>
      </w:pPr>
    </w:p>
    <w:p w14:paraId="2DDEFBD1" w14:textId="77777777" w:rsidR="008F1E25" w:rsidRPr="008F1E25" w:rsidRDefault="008F1E25" w:rsidP="007E21A6">
      <w:pPr>
        <w:tabs>
          <w:tab w:val="left" w:pos="567"/>
        </w:tabs>
        <w:jc w:val="both"/>
        <w:rPr>
          <w:sz w:val="22"/>
          <w:szCs w:val="22"/>
          <w:lang w:val="sr-Latn-RS"/>
        </w:rPr>
      </w:pPr>
    </w:p>
    <w:p w14:paraId="0300CD03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PODACI</w:t>
      </w:r>
    </w:p>
    <w:p w14:paraId="50C5A87B" w14:textId="77777777" w:rsidR="00836B35" w:rsidRPr="00786071" w:rsidRDefault="00836B35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9DD5FF6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Lista pomoćnih supstanci</w:t>
      </w:r>
      <w:r w:rsidR="002E0135" w:rsidRPr="00786071">
        <w:rPr>
          <w:b/>
          <w:bCs/>
          <w:sz w:val="22"/>
          <w:szCs w:val="22"/>
        </w:rPr>
        <w:t xml:space="preserve"> (ekscipijenasa)</w:t>
      </w:r>
    </w:p>
    <w:p w14:paraId="4BD4E1B3" w14:textId="77777777" w:rsidR="0050639E" w:rsidRPr="0050639E" w:rsidRDefault="0050639E" w:rsidP="007E21A6">
      <w:pPr>
        <w:tabs>
          <w:tab w:val="left" w:pos="567"/>
        </w:tabs>
        <w:jc w:val="both"/>
        <w:rPr>
          <w:sz w:val="22"/>
          <w:szCs w:val="20"/>
          <w:lang w:val="sr-Latn-RS"/>
        </w:rPr>
      </w:pPr>
    </w:p>
    <w:p w14:paraId="40E35BC8" w14:textId="77777777" w:rsidR="0050639E" w:rsidRPr="0050639E" w:rsidRDefault="0050639E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50639E">
        <w:rPr>
          <w:sz w:val="22"/>
          <w:szCs w:val="20"/>
          <w:lang w:val="en-GB"/>
        </w:rPr>
        <w:t>L-histidin</w:t>
      </w:r>
    </w:p>
    <w:p w14:paraId="6D44D3A2" w14:textId="6C1A583E" w:rsidR="0050639E" w:rsidRPr="0050639E" w:rsidRDefault="0050639E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50639E">
        <w:rPr>
          <w:sz w:val="22"/>
          <w:szCs w:val="20"/>
          <w:lang w:val="en-GB"/>
        </w:rPr>
        <w:t xml:space="preserve">D-sorbitol </w:t>
      </w:r>
      <w:r w:rsidR="007C6F62">
        <w:rPr>
          <w:sz w:val="22"/>
          <w:szCs w:val="20"/>
          <w:lang w:val="en-GB"/>
        </w:rPr>
        <w:t>(</w:t>
      </w:r>
      <w:r w:rsidRPr="0050639E">
        <w:rPr>
          <w:sz w:val="22"/>
          <w:szCs w:val="20"/>
          <w:lang w:val="en-GB"/>
        </w:rPr>
        <w:t>E420</w:t>
      </w:r>
      <w:r w:rsidR="007C6F62">
        <w:rPr>
          <w:sz w:val="22"/>
          <w:szCs w:val="20"/>
          <w:lang w:val="en-GB"/>
        </w:rPr>
        <w:t>)</w:t>
      </w:r>
    </w:p>
    <w:p w14:paraId="0477CEBD" w14:textId="77777777" w:rsidR="0050639E" w:rsidRPr="0050639E" w:rsidRDefault="0050639E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50639E">
        <w:rPr>
          <w:sz w:val="22"/>
          <w:szCs w:val="20"/>
          <w:lang w:val="en-GB"/>
        </w:rPr>
        <w:t>Polisorbat 80</w:t>
      </w:r>
    </w:p>
    <w:p w14:paraId="0342D6E5" w14:textId="77777777" w:rsidR="0050639E" w:rsidRPr="0050639E" w:rsidRDefault="0050639E" w:rsidP="007E21A6">
      <w:pPr>
        <w:tabs>
          <w:tab w:val="left" w:pos="567"/>
        </w:tabs>
        <w:jc w:val="both"/>
        <w:rPr>
          <w:sz w:val="22"/>
          <w:szCs w:val="20"/>
          <w:lang w:val="en-GB"/>
        </w:rPr>
      </w:pPr>
      <w:r w:rsidRPr="0050639E">
        <w:rPr>
          <w:sz w:val="22"/>
          <w:szCs w:val="20"/>
          <w:lang w:val="en-GB"/>
        </w:rPr>
        <w:t xml:space="preserve">L-metionin </w:t>
      </w:r>
    </w:p>
    <w:p w14:paraId="363AC571" w14:textId="77777777" w:rsidR="0050639E" w:rsidRPr="0050639E" w:rsidRDefault="0050639E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50639E">
        <w:rPr>
          <w:sz w:val="22"/>
          <w:szCs w:val="20"/>
          <w:lang w:val="en-GB"/>
        </w:rPr>
        <w:t>Hlorovodonična kiselina, 10% (za podešavanje pH)</w:t>
      </w:r>
    </w:p>
    <w:p w14:paraId="07B54704" w14:textId="77777777" w:rsidR="0050639E" w:rsidRPr="0050639E" w:rsidRDefault="0050639E" w:rsidP="007E21A6">
      <w:pPr>
        <w:tabs>
          <w:tab w:val="left" w:pos="567"/>
        </w:tabs>
        <w:jc w:val="both"/>
        <w:rPr>
          <w:sz w:val="22"/>
          <w:szCs w:val="20"/>
          <w:lang w:val="sr-Latn-RS"/>
        </w:rPr>
      </w:pPr>
      <w:r w:rsidRPr="0050639E">
        <w:rPr>
          <w:sz w:val="22"/>
          <w:szCs w:val="20"/>
          <w:lang w:val="en-GB"/>
        </w:rPr>
        <w:t>Voda za injekcije</w:t>
      </w:r>
    </w:p>
    <w:p w14:paraId="50720918" w14:textId="77777777" w:rsidR="0050639E" w:rsidRPr="0050639E" w:rsidRDefault="0050639E" w:rsidP="007E21A6">
      <w:pPr>
        <w:widowControl w:val="0"/>
        <w:autoSpaceDE w:val="0"/>
        <w:autoSpaceDN w:val="0"/>
        <w:jc w:val="both"/>
        <w:rPr>
          <w:sz w:val="21"/>
          <w:szCs w:val="22"/>
          <w:lang w:val="sr-Latn-RS"/>
        </w:rPr>
      </w:pPr>
    </w:p>
    <w:p w14:paraId="2B2161DC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Inkompatibilnost</w:t>
      </w:r>
      <w:r w:rsidR="002846DB" w:rsidRPr="00786071">
        <w:rPr>
          <w:b/>
          <w:bCs/>
          <w:sz w:val="22"/>
          <w:szCs w:val="22"/>
        </w:rPr>
        <w:t>i</w:t>
      </w:r>
    </w:p>
    <w:p w14:paraId="79CD1311" w14:textId="77777777" w:rsidR="0050639E" w:rsidRPr="0050639E" w:rsidRDefault="0050639E" w:rsidP="007E21A6">
      <w:pPr>
        <w:widowControl w:val="0"/>
        <w:autoSpaceDE w:val="0"/>
        <w:autoSpaceDN w:val="0"/>
        <w:jc w:val="both"/>
        <w:rPr>
          <w:b/>
          <w:sz w:val="21"/>
          <w:szCs w:val="22"/>
          <w:lang w:val="sr-Latn-RS"/>
        </w:rPr>
      </w:pPr>
    </w:p>
    <w:p w14:paraId="4B6175A0" w14:textId="7196C03F" w:rsidR="0050639E" w:rsidRPr="0050639E" w:rsidRDefault="0050639E" w:rsidP="007E21A6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50639E">
        <w:rPr>
          <w:sz w:val="22"/>
          <w:szCs w:val="22"/>
          <w:lang w:val="sr-Latn-RS"/>
        </w:rPr>
        <w:t>Zbog nedostatka studija kompatibilnosti ovaj l</w:t>
      </w:r>
      <w:r>
        <w:rPr>
          <w:sz w:val="22"/>
          <w:szCs w:val="22"/>
          <w:lang w:val="sr-Latn-RS"/>
        </w:rPr>
        <w:t>ij</w:t>
      </w:r>
      <w:r w:rsidRPr="0050639E">
        <w:rPr>
          <w:sz w:val="22"/>
          <w:szCs w:val="22"/>
          <w:lang w:val="sr-Latn-RS"/>
        </w:rPr>
        <w:t>ek se ne sm</w:t>
      </w:r>
      <w:r>
        <w:rPr>
          <w:sz w:val="22"/>
          <w:szCs w:val="22"/>
          <w:lang w:val="sr-Latn-RS"/>
        </w:rPr>
        <w:t>ij</w:t>
      </w:r>
      <w:r w:rsidRPr="0050639E">
        <w:rPr>
          <w:sz w:val="22"/>
          <w:szCs w:val="22"/>
          <w:lang w:val="sr-Latn-RS"/>
        </w:rPr>
        <w:t>e m</w:t>
      </w:r>
      <w:r w:rsidR="00204AFF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sr-Latn-RS"/>
        </w:rPr>
        <w:t>j</w:t>
      </w:r>
      <w:r w:rsidRPr="0050639E">
        <w:rPr>
          <w:sz w:val="22"/>
          <w:szCs w:val="22"/>
          <w:lang w:val="sr-Latn-RS"/>
        </w:rPr>
        <w:t>ešati sa drugim l</w:t>
      </w:r>
      <w:r>
        <w:rPr>
          <w:sz w:val="22"/>
          <w:szCs w:val="22"/>
          <w:lang w:val="sr-Latn-RS"/>
        </w:rPr>
        <w:t>j</w:t>
      </w:r>
      <w:r w:rsidRPr="0050639E">
        <w:rPr>
          <w:sz w:val="22"/>
          <w:szCs w:val="22"/>
          <w:lang w:val="sr-Latn-RS"/>
        </w:rPr>
        <w:t>ekovima.</w:t>
      </w:r>
    </w:p>
    <w:p w14:paraId="74EA5E1A" w14:textId="77777777" w:rsidR="0050639E" w:rsidRPr="0050639E" w:rsidRDefault="0050639E" w:rsidP="007E21A6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271A725C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6.3.</w:t>
      </w:r>
      <w:r w:rsidR="00C05DF8">
        <w:rPr>
          <w:b/>
          <w:bCs/>
          <w:sz w:val="22"/>
          <w:szCs w:val="22"/>
        </w:rPr>
        <w:t xml:space="preserve">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Rok upotrebe</w:t>
      </w:r>
    </w:p>
    <w:p w14:paraId="3B28ABB4" w14:textId="77777777" w:rsidR="0050639E" w:rsidRPr="0050639E" w:rsidRDefault="0050639E" w:rsidP="007E21A6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224FDB14" w14:textId="6D91793D" w:rsidR="0050639E" w:rsidRPr="0050639E" w:rsidRDefault="0050639E" w:rsidP="007E21A6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50639E">
        <w:rPr>
          <w:sz w:val="22"/>
          <w:szCs w:val="22"/>
          <w:lang w:val="sr-Latn-RS"/>
        </w:rPr>
        <w:t>3 godine</w:t>
      </w:r>
      <w:r w:rsidR="00D91BC6">
        <w:rPr>
          <w:sz w:val="22"/>
          <w:szCs w:val="22"/>
          <w:lang w:val="sr-Latn-RS"/>
        </w:rPr>
        <w:t>.</w:t>
      </w:r>
    </w:p>
    <w:p w14:paraId="6C945B11" w14:textId="77777777" w:rsidR="0050639E" w:rsidRPr="0050639E" w:rsidRDefault="0050639E" w:rsidP="007E21A6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2ECFA16E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Posebne mjere upozorenja pri čuvanju</w:t>
      </w:r>
      <w:r w:rsidR="00F8570A" w:rsidRPr="00786071">
        <w:rPr>
          <w:b/>
          <w:bCs/>
          <w:sz w:val="22"/>
          <w:szCs w:val="22"/>
        </w:rPr>
        <w:t xml:space="preserve"> lijeka</w:t>
      </w:r>
    </w:p>
    <w:p w14:paraId="523F4055" w14:textId="77777777" w:rsidR="0050639E" w:rsidRPr="0050639E" w:rsidRDefault="0050639E" w:rsidP="007E21A6">
      <w:pPr>
        <w:tabs>
          <w:tab w:val="left" w:pos="567"/>
        </w:tabs>
        <w:jc w:val="both"/>
        <w:rPr>
          <w:sz w:val="22"/>
          <w:szCs w:val="20"/>
          <w:lang w:val="sr-Latn-RS"/>
        </w:rPr>
      </w:pPr>
    </w:p>
    <w:p w14:paraId="5F93E5B4" w14:textId="6389538A" w:rsidR="0050639E" w:rsidRPr="0050639E" w:rsidRDefault="0050639E" w:rsidP="007E21A6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50639E">
        <w:rPr>
          <w:rFonts w:eastAsia="TimesNewRoman"/>
          <w:sz w:val="22"/>
          <w:szCs w:val="20"/>
          <w:lang w:val="en-GB"/>
        </w:rPr>
        <w:t>Čuvati l</w:t>
      </w:r>
      <w:r>
        <w:rPr>
          <w:rFonts w:eastAsia="TimesNewRoman"/>
          <w:sz w:val="22"/>
          <w:szCs w:val="20"/>
          <w:lang w:val="en-GB"/>
        </w:rPr>
        <w:t>ij</w:t>
      </w:r>
      <w:r w:rsidRPr="0050639E">
        <w:rPr>
          <w:rFonts w:eastAsia="TimesNewRoman"/>
          <w:sz w:val="22"/>
          <w:szCs w:val="20"/>
          <w:lang w:val="en-GB"/>
        </w:rPr>
        <w:t>ek u frižideru (2°C do 8°C). Ne zamrzavati.</w:t>
      </w:r>
    </w:p>
    <w:p w14:paraId="47E008A6" w14:textId="77777777" w:rsidR="0050639E" w:rsidRPr="0050639E" w:rsidRDefault="0050639E" w:rsidP="007E21A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en-GB"/>
        </w:rPr>
      </w:pPr>
    </w:p>
    <w:p w14:paraId="78B8B579" w14:textId="7823F9DF" w:rsidR="0050639E" w:rsidRPr="0050639E" w:rsidRDefault="007C6F62" w:rsidP="007E21A6">
      <w:pPr>
        <w:jc w:val="both"/>
        <w:rPr>
          <w:rFonts w:eastAsia="TimesNewRoman"/>
          <w:sz w:val="22"/>
          <w:szCs w:val="20"/>
          <w:lang w:val="en-GB"/>
        </w:rPr>
      </w:pPr>
      <w:r>
        <w:rPr>
          <w:rFonts w:eastAsia="TimesNewRoman"/>
          <w:sz w:val="22"/>
          <w:szCs w:val="20"/>
          <w:lang w:val="en-GB"/>
        </w:rPr>
        <w:t>Lijek č</w:t>
      </w:r>
      <w:r w:rsidR="0050639E" w:rsidRPr="0050639E">
        <w:rPr>
          <w:rFonts w:eastAsia="TimesNewRoman"/>
          <w:sz w:val="22"/>
          <w:szCs w:val="20"/>
          <w:lang w:val="en-GB"/>
        </w:rPr>
        <w:t>uva</w:t>
      </w:r>
      <w:r>
        <w:rPr>
          <w:rFonts w:eastAsia="TimesNewRoman"/>
          <w:sz w:val="22"/>
          <w:szCs w:val="20"/>
          <w:lang w:val="en-GB"/>
        </w:rPr>
        <w:t>ti</w:t>
      </w:r>
      <w:r w:rsidR="0050639E" w:rsidRPr="0050639E">
        <w:rPr>
          <w:rFonts w:eastAsia="TimesNewRoman"/>
          <w:sz w:val="22"/>
          <w:szCs w:val="20"/>
          <w:lang w:val="en-GB"/>
        </w:rPr>
        <w:t xml:space="preserve"> u originalnom pakovanju</w:t>
      </w:r>
      <w:r>
        <w:rPr>
          <w:rFonts w:eastAsia="TimesNewRoman"/>
          <w:sz w:val="22"/>
          <w:szCs w:val="20"/>
          <w:lang w:val="en-GB"/>
        </w:rPr>
        <w:t>,</w:t>
      </w:r>
      <w:r w:rsidR="0050639E" w:rsidRPr="0050639E">
        <w:rPr>
          <w:rFonts w:eastAsia="TimesNewRoman"/>
          <w:sz w:val="22"/>
          <w:szCs w:val="20"/>
          <w:lang w:val="en-GB"/>
        </w:rPr>
        <w:t xml:space="preserve"> radi zaštite </w:t>
      </w:r>
      <w:proofErr w:type="gramStart"/>
      <w:r w:rsidR="0050639E" w:rsidRPr="0050639E">
        <w:rPr>
          <w:rFonts w:eastAsia="TimesNewRoman"/>
          <w:sz w:val="22"/>
          <w:szCs w:val="20"/>
          <w:lang w:val="en-GB"/>
        </w:rPr>
        <w:t>od</w:t>
      </w:r>
      <w:proofErr w:type="gramEnd"/>
      <w:r w:rsidR="0050639E" w:rsidRPr="0050639E">
        <w:rPr>
          <w:rFonts w:eastAsia="TimesNewRoman"/>
          <w:sz w:val="22"/>
          <w:szCs w:val="20"/>
          <w:lang w:val="en-GB"/>
        </w:rPr>
        <w:t xml:space="preserve"> sv</w:t>
      </w:r>
      <w:r w:rsidR="0050639E">
        <w:rPr>
          <w:rFonts w:eastAsia="TimesNewRoman"/>
          <w:sz w:val="22"/>
          <w:szCs w:val="20"/>
          <w:lang w:val="en-GB"/>
        </w:rPr>
        <w:t>j</w:t>
      </w:r>
      <w:r w:rsidR="0050639E" w:rsidRPr="0050639E">
        <w:rPr>
          <w:rFonts w:eastAsia="TimesNewRoman"/>
          <w:sz w:val="22"/>
          <w:szCs w:val="20"/>
          <w:lang w:val="en-GB"/>
        </w:rPr>
        <w:t>etlosti.</w:t>
      </w:r>
    </w:p>
    <w:p w14:paraId="6116D5BF" w14:textId="77777777" w:rsidR="0050639E" w:rsidRPr="0050639E" w:rsidRDefault="0050639E" w:rsidP="007E21A6">
      <w:pPr>
        <w:jc w:val="both"/>
        <w:rPr>
          <w:i/>
          <w:sz w:val="22"/>
          <w:szCs w:val="22"/>
          <w:lang w:val="sr-Latn-RS"/>
        </w:rPr>
      </w:pPr>
    </w:p>
    <w:p w14:paraId="754EC271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6.5.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Vrsta i sadržaj </w:t>
      </w:r>
      <w:r w:rsidR="00F8570A" w:rsidRPr="00786071">
        <w:rPr>
          <w:b/>
          <w:bCs/>
          <w:sz w:val="22"/>
          <w:szCs w:val="22"/>
        </w:rPr>
        <w:t>pakovanja</w:t>
      </w:r>
      <w:r w:rsidR="00C06864" w:rsidRPr="00786071">
        <w:rPr>
          <w:b/>
          <w:bCs/>
          <w:sz w:val="22"/>
          <w:szCs w:val="22"/>
        </w:rPr>
        <w:t xml:space="preserve"> </w:t>
      </w:r>
    </w:p>
    <w:p w14:paraId="6FA9BBA0" w14:textId="77777777" w:rsidR="0050639E" w:rsidRPr="0050639E" w:rsidRDefault="0050639E" w:rsidP="007E21A6">
      <w:pPr>
        <w:tabs>
          <w:tab w:val="left" w:pos="567"/>
        </w:tabs>
        <w:jc w:val="both"/>
        <w:rPr>
          <w:sz w:val="22"/>
          <w:szCs w:val="20"/>
          <w:lang w:val="sr-Latn-RS"/>
        </w:rPr>
      </w:pPr>
    </w:p>
    <w:p w14:paraId="5D8FCCDA" w14:textId="1EE448C4" w:rsidR="0050639E" w:rsidRPr="0050639E" w:rsidRDefault="007C6F62" w:rsidP="007E21A6">
      <w:pPr>
        <w:tabs>
          <w:tab w:val="left" w:pos="567"/>
        </w:tabs>
        <w:jc w:val="both"/>
        <w:rPr>
          <w:noProof/>
          <w:sz w:val="22"/>
          <w:szCs w:val="20"/>
          <w:lang w:val="en-GB"/>
        </w:rPr>
      </w:pPr>
      <w:r>
        <w:rPr>
          <w:sz w:val="22"/>
          <w:szCs w:val="20"/>
          <w:lang w:val="en-GB"/>
        </w:rPr>
        <w:t>Unutrašnje pakovanje je b</w:t>
      </w:r>
      <w:r w:rsidR="0050639E" w:rsidRPr="0050639E">
        <w:rPr>
          <w:sz w:val="22"/>
          <w:szCs w:val="20"/>
          <w:lang w:val="en-GB"/>
        </w:rPr>
        <w:t xml:space="preserve">očica </w:t>
      </w:r>
      <w:proofErr w:type="gramStart"/>
      <w:r w:rsidR="0050639E" w:rsidRPr="0050639E">
        <w:rPr>
          <w:sz w:val="22"/>
          <w:szCs w:val="20"/>
          <w:lang w:val="en-GB"/>
        </w:rPr>
        <w:t>od</w:t>
      </w:r>
      <w:proofErr w:type="gramEnd"/>
      <w:r w:rsidR="0050639E" w:rsidRPr="0050639E">
        <w:rPr>
          <w:sz w:val="22"/>
          <w:szCs w:val="20"/>
          <w:lang w:val="en-GB"/>
        </w:rPr>
        <w:t xml:space="preserve"> stakla</w:t>
      </w:r>
      <w:r>
        <w:rPr>
          <w:sz w:val="22"/>
          <w:szCs w:val="20"/>
          <w:lang w:val="en-GB"/>
        </w:rPr>
        <w:t xml:space="preserve"> tipa I (providno borsilikatno staklo) </w:t>
      </w:r>
      <w:r w:rsidR="0050639E" w:rsidRPr="0050639E">
        <w:rPr>
          <w:sz w:val="22"/>
          <w:szCs w:val="20"/>
          <w:lang w:val="en-GB"/>
        </w:rPr>
        <w:t>sa</w:t>
      </w:r>
      <w:r>
        <w:rPr>
          <w:sz w:val="22"/>
          <w:szCs w:val="20"/>
          <w:lang w:val="en-GB"/>
        </w:rPr>
        <w:t xml:space="preserve"> obloženim</w:t>
      </w:r>
      <w:r w:rsidR="0050639E" w:rsidRPr="0050639E">
        <w:rPr>
          <w:sz w:val="22"/>
          <w:szCs w:val="20"/>
          <w:lang w:val="en-GB"/>
        </w:rPr>
        <w:t xml:space="preserve"> butil</w:t>
      </w:r>
      <w:r>
        <w:rPr>
          <w:sz w:val="22"/>
          <w:szCs w:val="20"/>
          <w:lang w:val="en-GB"/>
        </w:rPr>
        <w:t>nim</w:t>
      </w:r>
      <w:r w:rsidR="0050639E" w:rsidRPr="0050639E">
        <w:rPr>
          <w:sz w:val="22"/>
          <w:szCs w:val="20"/>
          <w:lang w:val="en-GB"/>
        </w:rPr>
        <w:t xml:space="preserve"> gume</w:t>
      </w:r>
      <w:r>
        <w:rPr>
          <w:sz w:val="22"/>
          <w:szCs w:val="20"/>
          <w:lang w:val="en-GB"/>
        </w:rPr>
        <w:t>nim čepom</w:t>
      </w:r>
      <w:r w:rsidR="0050639E" w:rsidRPr="0050639E">
        <w:rPr>
          <w:sz w:val="22"/>
          <w:szCs w:val="20"/>
          <w:lang w:val="en-GB"/>
        </w:rPr>
        <w:t xml:space="preserve"> i aluminijsk</w:t>
      </w:r>
      <w:r>
        <w:rPr>
          <w:sz w:val="22"/>
          <w:szCs w:val="20"/>
          <w:lang w:val="en-GB"/>
        </w:rPr>
        <w:t xml:space="preserve">om kapicom sa </w:t>
      </w:r>
      <w:r w:rsidRPr="007E21A6">
        <w:rPr>
          <w:i/>
          <w:sz w:val="22"/>
          <w:szCs w:val="20"/>
          <w:lang w:val="en-GB"/>
        </w:rPr>
        <w:t>flip-off</w:t>
      </w:r>
      <w:r w:rsidR="0050639E" w:rsidRPr="0050639E">
        <w:rPr>
          <w:sz w:val="22"/>
          <w:szCs w:val="20"/>
          <w:lang w:val="en-GB"/>
        </w:rPr>
        <w:t xml:space="preserve"> </w:t>
      </w:r>
      <w:r>
        <w:rPr>
          <w:sz w:val="22"/>
          <w:szCs w:val="20"/>
          <w:lang w:val="en-GB"/>
        </w:rPr>
        <w:t>poklopcem sa 1 ml rastvora za injekciju</w:t>
      </w:r>
      <w:r w:rsidR="0050639E" w:rsidRPr="0050639E">
        <w:rPr>
          <w:noProof/>
          <w:sz w:val="22"/>
          <w:szCs w:val="20"/>
          <w:lang w:val="en-GB"/>
        </w:rPr>
        <w:t>.</w:t>
      </w:r>
    </w:p>
    <w:p w14:paraId="70B2BE67" w14:textId="77777777" w:rsidR="0050639E" w:rsidRPr="0050639E" w:rsidRDefault="0050639E" w:rsidP="007E21A6">
      <w:pPr>
        <w:widowControl w:val="0"/>
        <w:autoSpaceDE w:val="0"/>
        <w:autoSpaceDN w:val="0"/>
        <w:jc w:val="both"/>
        <w:rPr>
          <w:sz w:val="21"/>
          <w:szCs w:val="22"/>
          <w:lang w:val="sr-Latn-RS"/>
        </w:rPr>
      </w:pPr>
    </w:p>
    <w:p w14:paraId="143F7540" w14:textId="36C85A4D" w:rsidR="0050639E" w:rsidRPr="0050639E" w:rsidRDefault="007C6F62" w:rsidP="007E21A6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Spoljnje pakovanje je složiva kartonska kutija u kojoj se nalazi jedna staklena bočica sa rastvorom za injekciju i Uputstvo za lijek.</w:t>
      </w:r>
    </w:p>
    <w:p w14:paraId="6181C73A" w14:textId="77777777" w:rsidR="0050639E" w:rsidRPr="0050639E" w:rsidRDefault="0050639E" w:rsidP="007E21A6">
      <w:pPr>
        <w:jc w:val="both"/>
        <w:rPr>
          <w:sz w:val="22"/>
          <w:szCs w:val="22"/>
          <w:lang w:val="sr-Latn-RS"/>
        </w:rPr>
      </w:pPr>
    </w:p>
    <w:p w14:paraId="61505916" w14:textId="77777777" w:rsidR="002846DB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6.6. </w:t>
      </w:r>
      <w:r w:rsidR="00480FB1" w:rsidRPr="00786071">
        <w:rPr>
          <w:b/>
          <w:bCs/>
          <w:sz w:val="22"/>
          <w:szCs w:val="22"/>
        </w:rPr>
        <w:tab/>
      </w:r>
      <w:r w:rsidRPr="00D47634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786071">
        <w:rPr>
          <w:b/>
          <w:bCs/>
          <w:sz w:val="22"/>
          <w:szCs w:val="22"/>
        </w:rPr>
        <w:t xml:space="preserve"> </w:t>
      </w:r>
      <w:r w:rsidR="00310F03">
        <w:rPr>
          <w:b/>
          <w:bCs/>
          <w:sz w:val="22"/>
          <w:szCs w:val="22"/>
        </w:rPr>
        <w:t>(i druga uputs</w:t>
      </w:r>
      <w:r w:rsidR="004109FA">
        <w:rPr>
          <w:b/>
          <w:bCs/>
          <w:sz w:val="22"/>
          <w:szCs w:val="22"/>
        </w:rPr>
        <w:t>t</w:t>
      </w:r>
      <w:r w:rsidR="00310F03">
        <w:rPr>
          <w:b/>
          <w:bCs/>
          <w:sz w:val="22"/>
          <w:szCs w:val="22"/>
        </w:rPr>
        <w:t xml:space="preserve">va za rukovanje lijekom) </w:t>
      </w:r>
    </w:p>
    <w:p w14:paraId="7B34B802" w14:textId="77777777" w:rsidR="0050639E" w:rsidRPr="0050639E" w:rsidRDefault="0050639E" w:rsidP="007E21A6">
      <w:pPr>
        <w:tabs>
          <w:tab w:val="left" w:pos="567"/>
        </w:tabs>
        <w:jc w:val="both"/>
        <w:rPr>
          <w:sz w:val="22"/>
          <w:szCs w:val="20"/>
          <w:lang w:val="sr-Latn-RS"/>
        </w:rPr>
      </w:pPr>
    </w:p>
    <w:p w14:paraId="30842827" w14:textId="3F3D004F" w:rsidR="0050639E" w:rsidRPr="0050639E" w:rsidRDefault="0050639E" w:rsidP="007E21A6">
      <w:pPr>
        <w:jc w:val="both"/>
        <w:rPr>
          <w:sz w:val="22"/>
          <w:szCs w:val="22"/>
          <w:lang w:val="en-GB"/>
        </w:rPr>
      </w:pPr>
      <w:r w:rsidRPr="0050639E">
        <w:rPr>
          <w:sz w:val="22"/>
          <w:szCs w:val="20"/>
          <w:lang w:val="en-GB"/>
        </w:rPr>
        <w:t>Svaka bočica</w:t>
      </w:r>
      <w:r w:rsidR="00F11866">
        <w:rPr>
          <w:sz w:val="22"/>
          <w:szCs w:val="20"/>
          <w:lang w:val="en-GB"/>
        </w:rPr>
        <w:t xml:space="preserve"> je</w:t>
      </w:r>
      <w:r w:rsidRPr="0050639E">
        <w:rPr>
          <w:sz w:val="22"/>
          <w:szCs w:val="20"/>
          <w:lang w:val="en-GB"/>
        </w:rPr>
        <w:t xml:space="preserve"> nam</w:t>
      </w:r>
      <w:r>
        <w:rPr>
          <w:sz w:val="22"/>
          <w:szCs w:val="20"/>
          <w:lang w:val="en-GB"/>
        </w:rPr>
        <w:t>ij</w:t>
      </w:r>
      <w:r w:rsidRPr="0050639E">
        <w:rPr>
          <w:sz w:val="22"/>
          <w:szCs w:val="20"/>
          <w:lang w:val="en-GB"/>
        </w:rPr>
        <w:t xml:space="preserve">enjena samo za jednokratnu upotrebu. </w:t>
      </w:r>
    </w:p>
    <w:p w14:paraId="59052AB8" w14:textId="77777777" w:rsidR="0050639E" w:rsidRPr="0050639E" w:rsidRDefault="0050639E" w:rsidP="007E21A6">
      <w:pPr>
        <w:jc w:val="both"/>
        <w:rPr>
          <w:sz w:val="22"/>
          <w:szCs w:val="22"/>
          <w:lang w:val="en-GB"/>
        </w:rPr>
      </w:pPr>
    </w:p>
    <w:p w14:paraId="3644CAC8" w14:textId="4B248691" w:rsidR="0050639E" w:rsidRPr="0050639E" w:rsidRDefault="0050639E" w:rsidP="007E21A6">
      <w:pPr>
        <w:jc w:val="both"/>
        <w:rPr>
          <w:sz w:val="22"/>
          <w:szCs w:val="22"/>
          <w:lang w:val="en-GB"/>
        </w:rPr>
      </w:pPr>
      <w:r w:rsidRPr="0050639E">
        <w:rPr>
          <w:sz w:val="22"/>
          <w:szCs w:val="20"/>
          <w:lang w:val="en-GB"/>
        </w:rPr>
        <w:t>Nemojte mućkat</w:t>
      </w:r>
      <w:r w:rsidR="00F11866">
        <w:rPr>
          <w:sz w:val="22"/>
          <w:szCs w:val="20"/>
          <w:lang w:val="en-GB"/>
        </w:rPr>
        <w:t>i</w:t>
      </w:r>
      <w:r w:rsidRPr="0050639E">
        <w:rPr>
          <w:sz w:val="22"/>
          <w:szCs w:val="20"/>
          <w:lang w:val="en-GB"/>
        </w:rPr>
        <w:t xml:space="preserve"> bočicu pr</w:t>
      </w:r>
      <w:r>
        <w:rPr>
          <w:sz w:val="22"/>
          <w:szCs w:val="20"/>
          <w:lang w:val="en-GB"/>
        </w:rPr>
        <w:t>ij</w:t>
      </w:r>
      <w:r w:rsidRPr="0050639E">
        <w:rPr>
          <w:sz w:val="22"/>
          <w:szCs w:val="20"/>
          <w:lang w:val="en-GB"/>
        </w:rPr>
        <w:t>e upotrebe.</w:t>
      </w:r>
    </w:p>
    <w:p w14:paraId="082430C1" w14:textId="77777777" w:rsidR="0050639E" w:rsidRPr="0050639E" w:rsidRDefault="0050639E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</w:p>
    <w:p w14:paraId="6F6F0446" w14:textId="499A15C1" w:rsidR="0050639E" w:rsidRPr="0050639E" w:rsidRDefault="0050639E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  <w:r w:rsidRPr="0050639E">
        <w:rPr>
          <w:sz w:val="22"/>
          <w:szCs w:val="20"/>
          <w:lang w:val="en-GB"/>
        </w:rPr>
        <w:t>Burosumab treba davati uz prim</w:t>
      </w:r>
      <w:r>
        <w:rPr>
          <w:sz w:val="22"/>
          <w:szCs w:val="20"/>
          <w:lang w:val="en-GB"/>
        </w:rPr>
        <w:t>j</w:t>
      </w:r>
      <w:r w:rsidRPr="0050639E">
        <w:rPr>
          <w:sz w:val="22"/>
          <w:szCs w:val="20"/>
          <w:lang w:val="en-GB"/>
        </w:rPr>
        <w:t xml:space="preserve">enu aseptične tehnike i sterilnih špriceva i igala za injekciju. </w:t>
      </w:r>
    </w:p>
    <w:p w14:paraId="1103D90F" w14:textId="77777777" w:rsidR="0050639E" w:rsidRPr="0050639E" w:rsidRDefault="0050639E" w:rsidP="007E21A6">
      <w:pPr>
        <w:tabs>
          <w:tab w:val="left" w:pos="567"/>
        </w:tabs>
        <w:jc w:val="both"/>
        <w:rPr>
          <w:sz w:val="22"/>
          <w:szCs w:val="22"/>
          <w:lang w:val="en-GB"/>
        </w:rPr>
      </w:pPr>
    </w:p>
    <w:p w14:paraId="5BAAD004" w14:textId="534B3E78" w:rsidR="0050639E" w:rsidRPr="0050639E" w:rsidRDefault="0050639E" w:rsidP="007E21A6">
      <w:pPr>
        <w:tabs>
          <w:tab w:val="left" w:pos="567"/>
        </w:tabs>
        <w:spacing w:line="260" w:lineRule="exact"/>
        <w:jc w:val="both"/>
        <w:rPr>
          <w:sz w:val="22"/>
          <w:szCs w:val="20"/>
          <w:lang w:val="en-GB"/>
        </w:rPr>
      </w:pPr>
      <w:r w:rsidRPr="0050639E">
        <w:rPr>
          <w:sz w:val="22"/>
          <w:szCs w:val="20"/>
          <w:lang w:val="en-GB"/>
        </w:rPr>
        <w:t>Svu neiskorišćenu količinu l</w:t>
      </w:r>
      <w:r>
        <w:rPr>
          <w:sz w:val="22"/>
          <w:szCs w:val="20"/>
          <w:lang w:val="en-GB"/>
        </w:rPr>
        <w:t>ij</w:t>
      </w:r>
      <w:r w:rsidRPr="0050639E">
        <w:rPr>
          <w:sz w:val="22"/>
          <w:szCs w:val="20"/>
          <w:lang w:val="en-GB"/>
        </w:rPr>
        <w:t xml:space="preserve">eka </w:t>
      </w:r>
      <w:proofErr w:type="gramStart"/>
      <w:r w:rsidRPr="0050639E">
        <w:rPr>
          <w:sz w:val="22"/>
          <w:szCs w:val="20"/>
          <w:lang w:val="en-GB"/>
        </w:rPr>
        <w:t>ili</w:t>
      </w:r>
      <w:proofErr w:type="gramEnd"/>
      <w:r w:rsidRPr="0050639E">
        <w:rPr>
          <w:sz w:val="22"/>
          <w:szCs w:val="20"/>
          <w:lang w:val="en-GB"/>
        </w:rPr>
        <w:t xml:space="preserve"> otpadnog materijala treba ukloniti u skladu sa </w:t>
      </w:r>
      <w:r w:rsidR="00F11866">
        <w:rPr>
          <w:sz w:val="22"/>
          <w:szCs w:val="20"/>
          <w:lang w:val="en-GB"/>
        </w:rPr>
        <w:t xml:space="preserve">važećim </w:t>
      </w:r>
      <w:r w:rsidRPr="0050639E">
        <w:rPr>
          <w:sz w:val="22"/>
          <w:szCs w:val="20"/>
          <w:lang w:val="en-GB"/>
        </w:rPr>
        <w:t>propisima.</w:t>
      </w:r>
    </w:p>
    <w:p w14:paraId="42FB12CD" w14:textId="77777777" w:rsidR="0050639E" w:rsidRPr="0050639E" w:rsidRDefault="0050639E" w:rsidP="007E21A6">
      <w:pPr>
        <w:tabs>
          <w:tab w:val="left" w:pos="567"/>
        </w:tabs>
        <w:jc w:val="both"/>
        <w:rPr>
          <w:b/>
          <w:sz w:val="22"/>
          <w:szCs w:val="22"/>
          <w:lang w:val="sr-Latn-RS"/>
        </w:rPr>
      </w:pPr>
    </w:p>
    <w:p w14:paraId="350D2B26" w14:textId="77777777" w:rsidR="0050639E" w:rsidRPr="0050639E" w:rsidRDefault="0050639E" w:rsidP="007E21A6">
      <w:pPr>
        <w:tabs>
          <w:tab w:val="left" w:pos="567"/>
        </w:tabs>
        <w:jc w:val="both"/>
        <w:rPr>
          <w:b/>
          <w:sz w:val="22"/>
          <w:szCs w:val="22"/>
          <w:lang w:val="sr-Latn-RS"/>
        </w:rPr>
      </w:pPr>
    </w:p>
    <w:p w14:paraId="64E6C72C" w14:textId="77777777" w:rsidR="00F8570A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NOSILAC DOZVOLE</w:t>
      </w:r>
      <w:r w:rsidR="00483928" w:rsidRPr="00786071">
        <w:rPr>
          <w:b/>
          <w:bCs/>
          <w:sz w:val="22"/>
          <w:szCs w:val="22"/>
        </w:rPr>
        <w:t xml:space="preserve"> </w:t>
      </w:r>
    </w:p>
    <w:p w14:paraId="226E7AB5" w14:textId="77777777" w:rsidR="003A335F" w:rsidRDefault="003A335F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1C5D998" w14:textId="77777777" w:rsidR="00B537CE" w:rsidRDefault="003A335F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335F">
        <w:rPr>
          <w:bCs/>
          <w:sz w:val="22"/>
          <w:szCs w:val="22"/>
          <w:lang w:val="sr-Latn-RS"/>
        </w:rPr>
        <w:t>AMICUS Pharma d.o.o.</w:t>
      </w:r>
    </w:p>
    <w:p w14:paraId="0473C020" w14:textId="064DA40A" w:rsidR="00C61BE0" w:rsidRDefault="003A335F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A335F">
        <w:rPr>
          <w:bCs/>
          <w:sz w:val="22"/>
          <w:szCs w:val="22"/>
          <w:lang w:val="sr-Latn-RS"/>
        </w:rPr>
        <w:t xml:space="preserve">Bulevar Džordža Vašingtona </w:t>
      </w:r>
      <w:r w:rsidR="00F11866">
        <w:rPr>
          <w:bCs/>
          <w:sz w:val="22"/>
          <w:szCs w:val="22"/>
          <w:lang w:val="sr-Latn-RS"/>
        </w:rPr>
        <w:t xml:space="preserve">br. </w:t>
      </w:r>
      <w:r w:rsidRPr="003A335F">
        <w:rPr>
          <w:bCs/>
          <w:sz w:val="22"/>
          <w:szCs w:val="22"/>
          <w:lang w:val="sr-Latn-RS"/>
        </w:rPr>
        <w:t>51, 81000 Podgorica</w:t>
      </w:r>
      <w:r w:rsidR="00F11866">
        <w:rPr>
          <w:bCs/>
          <w:sz w:val="22"/>
          <w:szCs w:val="22"/>
          <w:lang w:val="sr-Latn-RS"/>
        </w:rPr>
        <w:t>, Crna Gora</w:t>
      </w:r>
    </w:p>
    <w:p w14:paraId="679E36A2" w14:textId="1F2F4C3D" w:rsidR="00C37FD7" w:rsidRDefault="00C37FD7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48C91FB" w14:textId="77777777" w:rsidR="00F11866" w:rsidRPr="00786071" w:rsidRDefault="00F11866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BA2C8BB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BROJ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6EFB8CA4" w14:textId="6E39662C" w:rsidR="0072020E" w:rsidRDefault="0072020E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1D2AB3F" w14:textId="06C5FA5F" w:rsidR="00F11866" w:rsidRPr="007E21A6" w:rsidRDefault="00F11866" w:rsidP="008B21F3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7E21A6">
        <w:rPr>
          <w:bCs/>
          <w:iCs/>
          <w:sz w:val="22"/>
          <w:szCs w:val="22"/>
        </w:rPr>
        <w:t xml:space="preserve">CRYSVITA, 10 mg, rastvor za injekciju: </w:t>
      </w:r>
      <w:r w:rsidR="00250A1F">
        <w:rPr>
          <w:bCs/>
          <w:iCs/>
          <w:sz w:val="22"/>
          <w:szCs w:val="22"/>
        </w:rPr>
        <w:t>2030/24/3507-3244</w:t>
      </w:r>
    </w:p>
    <w:p w14:paraId="2A0047C9" w14:textId="0D8875AD" w:rsidR="00F11866" w:rsidRPr="007E21A6" w:rsidRDefault="00F11866" w:rsidP="00204AFF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7E21A6">
        <w:rPr>
          <w:bCs/>
          <w:iCs/>
          <w:sz w:val="22"/>
          <w:szCs w:val="22"/>
        </w:rPr>
        <w:t xml:space="preserve">CRYSVITA, 20 mg, rastvor za injekciju: </w:t>
      </w:r>
      <w:r w:rsidR="00250A1F" w:rsidRPr="00250A1F">
        <w:rPr>
          <w:bCs/>
          <w:iCs/>
          <w:sz w:val="22"/>
          <w:szCs w:val="22"/>
        </w:rPr>
        <w:t>2030/24/350</w:t>
      </w:r>
      <w:r w:rsidR="00250A1F">
        <w:rPr>
          <w:bCs/>
          <w:iCs/>
          <w:sz w:val="22"/>
          <w:szCs w:val="22"/>
        </w:rPr>
        <w:t>8</w:t>
      </w:r>
      <w:r w:rsidR="00250A1F" w:rsidRPr="00250A1F">
        <w:rPr>
          <w:bCs/>
          <w:iCs/>
          <w:sz w:val="22"/>
          <w:szCs w:val="22"/>
        </w:rPr>
        <w:t>-324</w:t>
      </w:r>
      <w:r w:rsidR="00250A1F">
        <w:rPr>
          <w:bCs/>
          <w:iCs/>
          <w:sz w:val="22"/>
          <w:szCs w:val="22"/>
        </w:rPr>
        <w:t>5</w:t>
      </w:r>
    </w:p>
    <w:p w14:paraId="4282886F" w14:textId="5DC9066F" w:rsidR="00F11866" w:rsidRPr="007E21A6" w:rsidRDefault="00F11866" w:rsidP="007E21A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7E21A6">
        <w:rPr>
          <w:bCs/>
          <w:iCs/>
          <w:sz w:val="22"/>
          <w:szCs w:val="22"/>
        </w:rPr>
        <w:t xml:space="preserve">CRYSVITA, 30 mg, rastvor za injekciju: </w:t>
      </w:r>
      <w:r w:rsidR="00250A1F" w:rsidRPr="00250A1F">
        <w:rPr>
          <w:bCs/>
          <w:iCs/>
          <w:sz w:val="22"/>
          <w:szCs w:val="22"/>
        </w:rPr>
        <w:t>2030/24/350</w:t>
      </w:r>
      <w:r w:rsidR="00250A1F">
        <w:rPr>
          <w:bCs/>
          <w:iCs/>
          <w:sz w:val="22"/>
          <w:szCs w:val="22"/>
        </w:rPr>
        <w:t>9</w:t>
      </w:r>
      <w:r w:rsidR="00250A1F" w:rsidRPr="00250A1F">
        <w:rPr>
          <w:bCs/>
          <w:iCs/>
          <w:sz w:val="22"/>
          <w:szCs w:val="22"/>
        </w:rPr>
        <w:t>-324</w:t>
      </w:r>
      <w:r w:rsidR="00250A1F">
        <w:rPr>
          <w:bCs/>
          <w:iCs/>
          <w:sz w:val="22"/>
          <w:szCs w:val="22"/>
        </w:rPr>
        <w:t>6</w:t>
      </w:r>
    </w:p>
    <w:p w14:paraId="0886B146" w14:textId="77777777" w:rsidR="00F11866" w:rsidRDefault="00F11866" w:rsidP="007E21A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</w:rPr>
      </w:pPr>
    </w:p>
    <w:p w14:paraId="434F6032" w14:textId="77777777" w:rsidR="00F45F77" w:rsidRPr="00786071" w:rsidRDefault="00F45F77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72A384D" w14:textId="77777777" w:rsidR="0072020E" w:rsidRPr="00786071" w:rsidRDefault="0072020E" w:rsidP="007E21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DATUM </w:t>
      </w:r>
      <w:r w:rsidR="00C05DF8">
        <w:rPr>
          <w:b/>
          <w:bCs/>
          <w:sz w:val="22"/>
          <w:szCs w:val="22"/>
        </w:rPr>
        <w:t xml:space="preserve">PRVE </w:t>
      </w:r>
      <w:r w:rsidR="008A6D43" w:rsidRPr="00786071">
        <w:rPr>
          <w:b/>
          <w:bCs/>
          <w:sz w:val="22"/>
          <w:szCs w:val="22"/>
        </w:rPr>
        <w:t>DOZVOLE</w:t>
      </w:r>
      <w:r w:rsidR="00C05DF8">
        <w:rPr>
          <w:b/>
          <w:bCs/>
          <w:sz w:val="22"/>
          <w:szCs w:val="22"/>
        </w:rPr>
        <w:t>/OBNOVE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09BECF85" w14:textId="6A31E547" w:rsidR="0072020E" w:rsidRDefault="0072020E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464ACE7" w14:textId="26D77CB1" w:rsidR="00B537CE" w:rsidRPr="00775D78" w:rsidRDefault="00250A1F" w:rsidP="007E21A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775D78">
        <w:rPr>
          <w:bCs/>
          <w:iCs/>
          <w:sz w:val="22"/>
          <w:szCs w:val="22"/>
        </w:rPr>
        <w:t xml:space="preserve">28.06.2024. </w:t>
      </w:r>
      <w:proofErr w:type="gramStart"/>
      <w:r w:rsidRPr="00775D78">
        <w:rPr>
          <w:bCs/>
          <w:iCs/>
          <w:sz w:val="22"/>
          <w:szCs w:val="22"/>
        </w:rPr>
        <w:t>godine</w:t>
      </w:r>
      <w:proofErr w:type="gramEnd"/>
    </w:p>
    <w:p w14:paraId="782BEA38" w14:textId="0567AAB3" w:rsidR="00836B35" w:rsidRDefault="00836B35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50C5683" w14:textId="77777777" w:rsidR="00F11866" w:rsidRPr="00786071" w:rsidRDefault="00F11866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7C55C6E" w14:textId="77777777" w:rsidR="003F6A59" w:rsidRPr="00786071" w:rsidRDefault="0072020E" w:rsidP="007E21A6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10.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>D</w:t>
      </w:r>
      <w:r w:rsidR="00EC2532" w:rsidRPr="00786071">
        <w:rPr>
          <w:b/>
          <w:bCs/>
          <w:sz w:val="22"/>
          <w:szCs w:val="22"/>
        </w:rPr>
        <w:t xml:space="preserve">ATUM REVIZIJE TEKSTA </w:t>
      </w:r>
    </w:p>
    <w:p w14:paraId="7977CBFD" w14:textId="2549CFA5" w:rsidR="003F6A59" w:rsidRDefault="003F6A59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D05CAE5" w14:textId="33D74734" w:rsidR="00B537CE" w:rsidRPr="00775D78" w:rsidRDefault="00250A1F" w:rsidP="007E21A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proofErr w:type="gramStart"/>
      <w:r w:rsidRPr="00775D78">
        <w:rPr>
          <w:bCs/>
          <w:iCs/>
          <w:sz w:val="22"/>
          <w:szCs w:val="22"/>
        </w:rPr>
        <w:t>Jun,</w:t>
      </w:r>
      <w:proofErr w:type="gramEnd"/>
      <w:r w:rsidRPr="00775D78">
        <w:rPr>
          <w:bCs/>
          <w:iCs/>
          <w:sz w:val="22"/>
          <w:szCs w:val="22"/>
        </w:rPr>
        <w:t xml:space="preserve"> 2024. </w:t>
      </w:r>
      <w:proofErr w:type="gramStart"/>
      <w:r w:rsidRPr="00775D78">
        <w:rPr>
          <w:bCs/>
          <w:iCs/>
          <w:sz w:val="22"/>
          <w:szCs w:val="22"/>
        </w:rPr>
        <w:t>godine</w:t>
      </w:r>
      <w:proofErr w:type="gramEnd"/>
    </w:p>
    <w:p w14:paraId="03D9958F" w14:textId="207803CE" w:rsidR="008A6D43" w:rsidRPr="00786071" w:rsidRDefault="008A6D43" w:rsidP="007E2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sectPr w:rsidR="008A6D43" w:rsidRPr="00786071" w:rsidSect="006B5404">
      <w:footerReference w:type="default" r:id="rId18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4A36F" w14:textId="77777777" w:rsidR="00DB02B5" w:rsidRDefault="00DB02B5">
      <w:r>
        <w:separator/>
      </w:r>
    </w:p>
  </w:endnote>
  <w:endnote w:type="continuationSeparator" w:id="0">
    <w:p w14:paraId="67627B01" w14:textId="77777777" w:rsidR="00DB02B5" w:rsidRDefault="00DB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2C669" w14:textId="4660CA91" w:rsidR="003D5B5D" w:rsidRPr="00B23F69" w:rsidRDefault="003D5B5D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C4A23">
      <w:rPr>
        <w:noProof/>
        <w:sz w:val="22"/>
        <w:szCs w:val="22"/>
      </w:rPr>
      <w:t>26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C4A23">
      <w:rPr>
        <w:noProof/>
        <w:sz w:val="22"/>
        <w:szCs w:val="22"/>
      </w:rPr>
      <w:t>26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E4AF" w14:textId="77777777" w:rsidR="00DB02B5" w:rsidRDefault="00DB02B5">
      <w:r>
        <w:separator/>
      </w:r>
    </w:p>
  </w:footnote>
  <w:footnote w:type="continuationSeparator" w:id="0">
    <w:p w14:paraId="753306ED" w14:textId="77777777" w:rsidR="00DB02B5" w:rsidRDefault="00DB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75pt;height:14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7B97D53"/>
    <w:multiLevelType w:val="hybridMultilevel"/>
    <w:tmpl w:val="5B6C99C0"/>
    <w:lvl w:ilvl="0" w:tplc="D74E4D1A">
      <w:numFmt w:val="bullet"/>
      <w:lvlText w:val=""/>
      <w:lvlJc w:val="left"/>
      <w:pPr>
        <w:ind w:left="765" w:hanging="568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7534B5B4">
      <w:numFmt w:val="bullet"/>
      <w:lvlText w:val="•"/>
      <w:lvlJc w:val="left"/>
      <w:pPr>
        <w:ind w:left="1636" w:hanging="568"/>
      </w:pPr>
      <w:rPr>
        <w:rFonts w:hint="default"/>
        <w:lang w:val="en-US" w:eastAsia="en-US" w:bidi="ar-SA"/>
      </w:rPr>
    </w:lvl>
    <w:lvl w:ilvl="2" w:tplc="5E9E27FE">
      <w:numFmt w:val="bullet"/>
      <w:lvlText w:val="•"/>
      <w:lvlJc w:val="left"/>
      <w:pPr>
        <w:ind w:left="2513" w:hanging="568"/>
      </w:pPr>
      <w:rPr>
        <w:rFonts w:hint="default"/>
        <w:lang w:val="en-US" w:eastAsia="en-US" w:bidi="ar-SA"/>
      </w:rPr>
    </w:lvl>
    <w:lvl w:ilvl="3" w:tplc="C1AEE2B4">
      <w:numFmt w:val="bullet"/>
      <w:lvlText w:val="•"/>
      <w:lvlJc w:val="left"/>
      <w:pPr>
        <w:ind w:left="3390" w:hanging="568"/>
      </w:pPr>
      <w:rPr>
        <w:rFonts w:hint="default"/>
        <w:lang w:val="en-US" w:eastAsia="en-US" w:bidi="ar-SA"/>
      </w:rPr>
    </w:lvl>
    <w:lvl w:ilvl="4" w:tplc="D43EE9D0">
      <w:numFmt w:val="bullet"/>
      <w:lvlText w:val="•"/>
      <w:lvlJc w:val="left"/>
      <w:pPr>
        <w:ind w:left="4267" w:hanging="568"/>
      </w:pPr>
      <w:rPr>
        <w:rFonts w:hint="default"/>
        <w:lang w:val="en-US" w:eastAsia="en-US" w:bidi="ar-SA"/>
      </w:rPr>
    </w:lvl>
    <w:lvl w:ilvl="5" w:tplc="9930475C">
      <w:numFmt w:val="bullet"/>
      <w:lvlText w:val="•"/>
      <w:lvlJc w:val="left"/>
      <w:pPr>
        <w:ind w:left="5143" w:hanging="568"/>
      </w:pPr>
      <w:rPr>
        <w:rFonts w:hint="default"/>
        <w:lang w:val="en-US" w:eastAsia="en-US" w:bidi="ar-SA"/>
      </w:rPr>
    </w:lvl>
    <w:lvl w:ilvl="6" w:tplc="2B608A98">
      <w:numFmt w:val="bullet"/>
      <w:lvlText w:val="•"/>
      <w:lvlJc w:val="left"/>
      <w:pPr>
        <w:ind w:left="6020" w:hanging="568"/>
      </w:pPr>
      <w:rPr>
        <w:rFonts w:hint="default"/>
        <w:lang w:val="en-US" w:eastAsia="en-US" w:bidi="ar-SA"/>
      </w:rPr>
    </w:lvl>
    <w:lvl w:ilvl="7" w:tplc="56325076">
      <w:numFmt w:val="bullet"/>
      <w:lvlText w:val="•"/>
      <w:lvlJc w:val="left"/>
      <w:pPr>
        <w:ind w:left="6897" w:hanging="568"/>
      </w:pPr>
      <w:rPr>
        <w:rFonts w:hint="default"/>
        <w:lang w:val="en-US" w:eastAsia="en-US" w:bidi="ar-SA"/>
      </w:rPr>
    </w:lvl>
    <w:lvl w:ilvl="8" w:tplc="3FFABDF2">
      <w:numFmt w:val="bullet"/>
      <w:lvlText w:val="•"/>
      <w:lvlJc w:val="left"/>
      <w:pPr>
        <w:ind w:left="7774" w:hanging="568"/>
      </w:pPr>
      <w:rPr>
        <w:rFonts w:hint="default"/>
        <w:lang w:val="en-US" w:eastAsia="en-US" w:bidi="ar-SA"/>
      </w:r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37F7D4F"/>
    <w:multiLevelType w:val="hybridMultilevel"/>
    <w:tmpl w:val="929A96AC"/>
    <w:lvl w:ilvl="0" w:tplc="201E99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8CAE26" w:tentative="1">
      <w:start w:val="1"/>
      <w:numFmt w:val="lowerLetter"/>
      <w:lvlText w:val="%2."/>
      <w:lvlJc w:val="left"/>
      <w:pPr>
        <w:ind w:left="1440" w:hanging="360"/>
      </w:pPr>
    </w:lvl>
    <w:lvl w:ilvl="2" w:tplc="7180D518" w:tentative="1">
      <w:start w:val="1"/>
      <w:numFmt w:val="lowerRoman"/>
      <w:lvlText w:val="%3."/>
      <w:lvlJc w:val="right"/>
      <w:pPr>
        <w:ind w:left="2160" w:hanging="180"/>
      </w:pPr>
    </w:lvl>
    <w:lvl w:ilvl="3" w:tplc="B4220F5C" w:tentative="1">
      <w:start w:val="1"/>
      <w:numFmt w:val="decimal"/>
      <w:lvlText w:val="%4."/>
      <w:lvlJc w:val="left"/>
      <w:pPr>
        <w:ind w:left="2880" w:hanging="360"/>
      </w:pPr>
    </w:lvl>
    <w:lvl w:ilvl="4" w:tplc="8AC66FE4" w:tentative="1">
      <w:start w:val="1"/>
      <w:numFmt w:val="lowerLetter"/>
      <w:lvlText w:val="%5."/>
      <w:lvlJc w:val="left"/>
      <w:pPr>
        <w:ind w:left="3600" w:hanging="360"/>
      </w:pPr>
    </w:lvl>
    <w:lvl w:ilvl="5" w:tplc="E9666C8C" w:tentative="1">
      <w:start w:val="1"/>
      <w:numFmt w:val="lowerRoman"/>
      <w:lvlText w:val="%6."/>
      <w:lvlJc w:val="right"/>
      <w:pPr>
        <w:ind w:left="4320" w:hanging="180"/>
      </w:pPr>
    </w:lvl>
    <w:lvl w:ilvl="6" w:tplc="BB6479B8" w:tentative="1">
      <w:start w:val="1"/>
      <w:numFmt w:val="decimal"/>
      <w:lvlText w:val="%7."/>
      <w:lvlJc w:val="left"/>
      <w:pPr>
        <w:ind w:left="5040" w:hanging="360"/>
      </w:pPr>
    </w:lvl>
    <w:lvl w:ilvl="7" w:tplc="FFE48C94" w:tentative="1">
      <w:start w:val="1"/>
      <w:numFmt w:val="lowerLetter"/>
      <w:lvlText w:val="%8."/>
      <w:lvlJc w:val="left"/>
      <w:pPr>
        <w:ind w:left="5760" w:hanging="360"/>
      </w:pPr>
    </w:lvl>
    <w:lvl w:ilvl="8" w:tplc="72AEF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212B"/>
    <w:rsid w:val="00076726"/>
    <w:rsid w:val="00080303"/>
    <w:rsid w:val="00083661"/>
    <w:rsid w:val="000A3F58"/>
    <w:rsid w:val="000D2343"/>
    <w:rsid w:val="000D3449"/>
    <w:rsid w:val="000D4045"/>
    <w:rsid w:val="000D425A"/>
    <w:rsid w:val="000D60CC"/>
    <w:rsid w:val="000E2084"/>
    <w:rsid w:val="000E6F55"/>
    <w:rsid w:val="000F77FA"/>
    <w:rsid w:val="001001BB"/>
    <w:rsid w:val="00107BF7"/>
    <w:rsid w:val="00123A8A"/>
    <w:rsid w:val="00126F53"/>
    <w:rsid w:val="0014226E"/>
    <w:rsid w:val="0014766D"/>
    <w:rsid w:val="001536CC"/>
    <w:rsid w:val="00175CF9"/>
    <w:rsid w:val="00187038"/>
    <w:rsid w:val="001A3FBA"/>
    <w:rsid w:val="001A5518"/>
    <w:rsid w:val="001B1C6A"/>
    <w:rsid w:val="001B2F41"/>
    <w:rsid w:val="001C1263"/>
    <w:rsid w:val="001C1417"/>
    <w:rsid w:val="001D467A"/>
    <w:rsid w:val="001E390B"/>
    <w:rsid w:val="001F42FB"/>
    <w:rsid w:val="001F719A"/>
    <w:rsid w:val="002031B3"/>
    <w:rsid w:val="00204AFF"/>
    <w:rsid w:val="00215931"/>
    <w:rsid w:val="00224C91"/>
    <w:rsid w:val="00227BDB"/>
    <w:rsid w:val="00231338"/>
    <w:rsid w:val="00234CB1"/>
    <w:rsid w:val="002352F8"/>
    <w:rsid w:val="00250A1F"/>
    <w:rsid w:val="00250B00"/>
    <w:rsid w:val="002510A5"/>
    <w:rsid w:val="00254A0A"/>
    <w:rsid w:val="00262820"/>
    <w:rsid w:val="00266046"/>
    <w:rsid w:val="00267CD4"/>
    <w:rsid w:val="002762E1"/>
    <w:rsid w:val="002846DB"/>
    <w:rsid w:val="00284CCD"/>
    <w:rsid w:val="00292236"/>
    <w:rsid w:val="002C18A7"/>
    <w:rsid w:val="002C6637"/>
    <w:rsid w:val="002D5A5F"/>
    <w:rsid w:val="002E0135"/>
    <w:rsid w:val="002E37A5"/>
    <w:rsid w:val="00310F03"/>
    <w:rsid w:val="003247D2"/>
    <w:rsid w:val="00341BAE"/>
    <w:rsid w:val="003445C1"/>
    <w:rsid w:val="00355B61"/>
    <w:rsid w:val="00362686"/>
    <w:rsid w:val="00363B0A"/>
    <w:rsid w:val="00371510"/>
    <w:rsid w:val="00396DFD"/>
    <w:rsid w:val="003A335F"/>
    <w:rsid w:val="003A7059"/>
    <w:rsid w:val="003B7A36"/>
    <w:rsid w:val="003C17AB"/>
    <w:rsid w:val="003C7823"/>
    <w:rsid w:val="003D5B5D"/>
    <w:rsid w:val="003E1DCC"/>
    <w:rsid w:val="003F11A1"/>
    <w:rsid w:val="003F6A59"/>
    <w:rsid w:val="004065C8"/>
    <w:rsid w:val="004109FA"/>
    <w:rsid w:val="00411344"/>
    <w:rsid w:val="00411B4B"/>
    <w:rsid w:val="00415BEE"/>
    <w:rsid w:val="00427F85"/>
    <w:rsid w:val="00436F42"/>
    <w:rsid w:val="004376AF"/>
    <w:rsid w:val="004378B4"/>
    <w:rsid w:val="00451314"/>
    <w:rsid w:val="00452E9D"/>
    <w:rsid w:val="004534C7"/>
    <w:rsid w:val="004671AA"/>
    <w:rsid w:val="00480FB1"/>
    <w:rsid w:val="00483928"/>
    <w:rsid w:val="00493BD6"/>
    <w:rsid w:val="004C331F"/>
    <w:rsid w:val="004D4D70"/>
    <w:rsid w:val="004D6103"/>
    <w:rsid w:val="004E3BCE"/>
    <w:rsid w:val="004E70AD"/>
    <w:rsid w:val="004F0E97"/>
    <w:rsid w:val="00501DD1"/>
    <w:rsid w:val="0050639E"/>
    <w:rsid w:val="00515C21"/>
    <w:rsid w:val="00530BD7"/>
    <w:rsid w:val="00545CD2"/>
    <w:rsid w:val="005476F3"/>
    <w:rsid w:val="00557EB1"/>
    <w:rsid w:val="00572527"/>
    <w:rsid w:val="00573E40"/>
    <w:rsid w:val="00576348"/>
    <w:rsid w:val="0058560B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9427C"/>
    <w:rsid w:val="006A1497"/>
    <w:rsid w:val="006B0BD1"/>
    <w:rsid w:val="006B5404"/>
    <w:rsid w:val="006D20A5"/>
    <w:rsid w:val="006D37BF"/>
    <w:rsid w:val="006F086B"/>
    <w:rsid w:val="00702E22"/>
    <w:rsid w:val="0072020E"/>
    <w:rsid w:val="00764113"/>
    <w:rsid w:val="00775D78"/>
    <w:rsid w:val="00786071"/>
    <w:rsid w:val="00796707"/>
    <w:rsid w:val="007A3ECB"/>
    <w:rsid w:val="007A7F89"/>
    <w:rsid w:val="007C6F62"/>
    <w:rsid w:val="007D7BB3"/>
    <w:rsid w:val="007E21A6"/>
    <w:rsid w:val="00824AB9"/>
    <w:rsid w:val="00836B35"/>
    <w:rsid w:val="00843BDE"/>
    <w:rsid w:val="00870707"/>
    <w:rsid w:val="008726D6"/>
    <w:rsid w:val="0087588C"/>
    <w:rsid w:val="0089705C"/>
    <w:rsid w:val="00897198"/>
    <w:rsid w:val="008A6D43"/>
    <w:rsid w:val="008B0E2F"/>
    <w:rsid w:val="008B21F3"/>
    <w:rsid w:val="008B491E"/>
    <w:rsid w:val="008C1A28"/>
    <w:rsid w:val="008C2E98"/>
    <w:rsid w:val="008E49BD"/>
    <w:rsid w:val="008E53E9"/>
    <w:rsid w:val="008E5771"/>
    <w:rsid w:val="008F1E25"/>
    <w:rsid w:val="008F3421"/>
    <w:rsid w:val="008F4ACF"/>
    <w:rsid w:val="00902F13"/>
    <w:rsid w:val="009121E1"/>
    <w:rsid w:val="0091588D"/>
    <w:rsid w:val="00924166"/>
    <w:rsid w:val="00936A76"/>
    <w:rsid w:val="00940B9B"/>
    <w:rsid w:val="00955E46"/>
    <w:rsid w:val="0095676E"/>
    <w:rsid w:val="00956983"/>
    <w:rsid w:val="00963CF0"/>
    <w:rsid w:val="00964841"/>
    <w:rsid w:val="00964BB1"/>
    <w:rsid w:val="0097125C"/>
    <w:rsid w:val="009775D9"/>
    <w:rsid w:val="00997175"/>
    <w:rsid w:val="009A067E"/>
    <w:rsid w:val="009A1847"/>
    <w:rsid w:val="009B062A"/>
    <w:rsid w:val="009B29D4"/>
    <w:rsid w:val="009D7121"/>
    <w:rsid w:val="009E0B96"/>
    <w:rsid w:val="009E7C6F"/>
    <w:rsid w:val="009F1793"/>
    <w:rsid w:val="009F2D23"/>
    <w:rsid w:val="00A01D69"/>
    <w:rsid w:val="00A02335"/>
    <w:rsid w:val="00A15906"/>
    <w:rsid w:val="00A30E59"/>
    <w:rsid w:val="00A46C9A"/>
    <w:rsid w:val="00A50892"/>
    <w:rsid w:val="00A619F3"/>
    <w:rsid w:val="00A62A73"/>
    <w:rsid w:val="00A87FF6"/>
    <w:rsid w:val="00AA0A3B"/>
    <w:rsid w:val="00AA2763"/>
    <w:rsid w:val="00AA33B6"/>
    <w:rsid w:val="00AB2F68"/>
    <w:rsid w:val="00AB50CA"/>
    <w:rsid w:val="00AB6D64"/>
    <w:rsid w:val="00AC53CE"/>
    <w:rsid w:val="00AD2193"/>
    <w:rsid w:val="00AE438F"/>
    <w:rsid w:val="00AF2AC7"/>
    <w:rsid w:val="00AF74CE"/>
    <w:rsid w:val="00B111F9"/>
    <w:rsid w:val="00B208DB"/>
    <w:rsid w:val="00B2172B"/>
    <w:rsid w:val="00B23F69"/>
    <w:rsid w:val="00B537CE"/>
    <w:rsid w:val="00B60619"/>
    <w:rsid w:val="00B66A70"/>
    <w:rsid w:val="00B67366"/>
    <w:rsid w:val="00B80EE1"/>
    <w:rsid w:val="00B84135"/>
    <w:rsid w:val="00B92EB9"/>
    <w:rsid w:val="00BC4A23"/>
    <w:rsid w:val="00C04D34"/>
    <w:rsid w:val="00C05DF8"/>
    <w:rsid w:val="00C06864"/>
    <w:rsid w:val="00C10F54"/>
    <w:rsid w:val="00C1652D"/>
    <w:rsid w:val="00C23D8D"/>
    <w:rsid w:val="00C37AA3"/>
    <w:rsid w:val="00C37FD7"/>
    <w:rsid w:val="00C43419"/>
    <w:rsid w:val="00C44CF3"/>
    <w:rsid w:val="00C46446"/>
    <w:rsid w:val="00C52D4A"/>
    <w:rsid w:val="00C61BE0"/>
    <w:rsid w:val="00C6707E"/>
    <w:rsid w:val="00C70B0E"/>
    <w:rsid w:val="00C741A9"/>
    <w:rsid w:val="00C773CA"/>
    <w:rsid w:val="00C817C2"/>
    <w:rsid w:val="00C83785"/>
    <w:rsid w:val="00C94C0D"/>
    <w:rsid w:val="00CA1FEB"/>
    <w:rsid w:val="00CA6382"/>
    <w:rsid w:val="00CD4F85"/>
    <w:rsid w:val="00CD6F02"/>
    <w:rsid w:val="00CE246D"/>
    <w:rsid w:val="00CF07A0"/>
    <w:rsid w:val="00CF3266"/>
    <w:rsid w:val="00CF3E03"/>
    <w:rsid w:val="00D0082A"/>
    <w:rsid w:val="00D16D9B"/>
    <w:rsid w:val="00D21455"/>
    <w:rsid w:val="00D47634"/>
    <w:rsid w:val="00D62BE4"/>
    <w:rsid w:val="00D709B3"/>
    <w:rsid w:val="00D91BC6"/>
    <w:rsid w:val="00DA2ED6"/>
    <w:rsid w:val="00DB02B5"/>
    <w:rsid w:val="00DB76B8"/>
    <w:rsid w:val="00DC14FF"/>
    <w:rsid w:val="00DC2EA1"/>
    <w:rsid w:val="00DD6AAF"/>
    <w:rsid w:val="00DE3F5C"/>
    <w:rsid w:val="00DF1D20"/>
    <w:rsid w:val="00E21324"/>
    <w:rsid w:val="00E222AB"/>
    <w:rsid w:val="00E246B9"/>
    <w:rsid w:val="00E31FEA"/>
    <w:rsid w:val="00E32C82"/>
    <w:rsid w:val="00E45169"/>
    <w:rsid w:val="00E47787"/>
    <w:rsid w:val="00E51C30"/>
    <w:rsid w:val="00E603E9"/>
    <w:rsid w:val="00E64180"/>
    <w:rsid w:val="00E74AEE"/>
    <w:rsid w:val="00E868E5"/>
    <w:rsid w:val="00E9237A"/>
    <w:rsid w:val="00E939FA"/>
    <w:rsid w:val="00EA495F"/>
    <w:rsid w:val="00EA5765"/>
    <w:rsid w:val="00EA797D"/>
    <w:rsid w:val="00EB5734"/>
    <w:rsid w:val="00EC00DF"/>
    <w:rsid w:val="00EC2532"/>
    <w:rsid w:val="00ED7812"/>
    <w:rsid w:val="00EF3B86"/>
    <w:rsid w:val="00F02906"/>
    <w:rsid w:val="00F07D75"/>
    <w:rsid w:val="00F11866"/>
    <w:rsid w:val="00F27EAB"/>
    <w:rsid w:val="00F317E9"/>
    <w:rsid w:val="00F34554"/>
    <w:rsid w:val="00F45F77"/>
    <w:rsid w:val="00F5167F"/>
    <w:rsid w:val="00F52258"/>
    <w:rsid w:val="00F8570A"/>
    <w:rsid w:val="00F91C7B"/>
    <w:rsid w:val="00FA7E62"/>
    <w:rsid w:val="00FC6AE9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99A1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C-BodyText">
    <w:name w:val="C-Body Text"/>
    <w:link w:val="C-BodyTextChar"/>
    <w:rsid w:val="00EA495F"/>
    <w:pPr>
      <w:spacing w:before="120" w:after="120" w:line="280" w:lineRule="atLeast"/>
    </w:pPr>
    <w:rPr>
      <w:sz w:val="24"/>
      <w:lang w:val="en-US" w:eastAsia="en-US"/>
    </w:rPr>
  </w:style>
  <w:style w:type="character" w:customStyle="1" w:styleId="C-BodyTextChar">
    <w:name w:val="C-Body Text Char"/>
    <w:link w:val="C-BodyText"/>
    <w:rsid w:val="00EA495F"/>
    <w:rPr>
      <w:sz w:val="24"/>
      <w:lang w:val="en-US" w:eastAsia="en-US"/>
    </w:rPr>
  </w:style>
  <w:style w:type="paragraph" w:styleId="Revision">
    <w:name w:val="Revision"/>
    <w:hidden/>
    <w:uiPriority w:val="99"/>
    <w:semiHidden/>
    <w:rsid w:val="00E222A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primaryreporting.who-umc.org/M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E56C-EEED-407E-9580-A4B81303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9426</Words>
  <Characters>53730</Characters>
  <Application>Microsoft Office Word</Application>
  <DocSecurity>0</DocSecurity>
  <Lines>447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63030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4</cp:revision>
  <dcterms:created xsi:type="dcterms:W3CDTF">2024-09-03T05:22:00Z</dcterms:created>
  <dcterms:modified xsi:type="dcterms:W3CDTF">2024-09-03T05:24:00Z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