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A88BE" w14:textId="77777777" w:rsidR="00052B0D" w:rsidRPr="00D01E98" w:rsidRDefault="00052B0D" w:rsidP="00923DFD">
      <w:pPr>
        <w:jc w:val="center"/>
        <w:rPr>
          <w:b/>
          <w:bCs/>
          <w:iCs/>
          <w:sz w:val="22"/>
          <w:szCs w:val="22"/>
          <w:u w:val="single"/>
        </w:rPr>
      </w:pPr>
      <w:r w:rsidRPr="00D01E98">
        <w:rPr>
          <w:b/>
          <w:bCs/>
          <w:iCs/>
          <w:sz w:val="22"/>
          <w:szCs w:val="22"/>
          <w:u w:val="single"/>
        </w:rPr>
        <w:t>SAŽETAK KARAKTERISTIKA LIJEKA</w:t>
      </w:r>
    </w:p>
    <w:p w14:paraId="49FC243E" w14:textId="77777777" w:rsidR="00976D6B" w:rsidRPr="00D01E98" w:rsidRDefault="00976D6B" w:rsidP="00923DFD">
      <w:pPr>
        <w:pStyle w:val="Header"/>
        <w:tabs>
          <w:tab w:val="left" w:pos="284"/>
        </w:tabs>
        <w:jc w:val="both"/>
        <w:rPr>
          <w:sz w:val="22"/>
          <w:szCs w:val="22"/>
        </w:rPr>
      </w:pPr>
    </w:p>
    <w:p w14:paraId="6FBDC40C" w14:textId="77777777" w:rsidR="0020267D" w:rsidRPr="00D01E98" w:rsidRDefault="0020267D" w:rsidP="00923DFD">
      <w:pPr>
        <w:pStyle w:val="Header"/>
        <w:tabs>
          <w:tab w:val="left" w:pos="284"/>
        </w:tabs>
        <w:jc w:val="both"/>
        <w:rPr>
          <w:sz w:val="22"/>
          <w:szCs w:val="22"/>
        </w:rPr>
      </w:pPr>
    </w:p>
    <w:tbl>
      <w:tblPr>
        <w:tblW w:w="9906" w:type="dxa"/>
        <w:tblLayout w:type="fixed"/>
        <w:tblLook w:val="0000" w:firstRow="0" w:lastRow="0" w:firstColumn="0" w:lastColumn="0" w:noHBand="0" w:noVBand="0"/>
      </w:tblPr>
      <w:tblGrid>
        <w:gridCol w:w="1188"/>
        <w:gridCol w:w="1620"/>
        <w:gridCol w:w="7098"/>
      </w:tblGrid>
      <w:tr w:rsidR="0020267D" w:rsidRPr="00D01E98" w14:paraId="2F027996" w14:textId="77777777" w:rsidTr="00757DA0">
        <w:trPr>
          <w:trHeight w:val="284"/>
        </w:trPr>
        <w:tc>
          <w:tcPr>
            <w:tcW w:w="9906" w:type="dxa"/>
            <w:gridSpan w:val="3"/>
            <w:shd w:val="clear" w:color="auto" w:fill="auto"/>
            <w:vAlign w:val="center"/>
          </w:tcPr>
          <w:p w14:paraId="0EA6DE1C" w14:textId="0773A38D" w:rsidR="0020267D" w:rsidRPr="00D01E98" w:rsidRDefault="00264191" w:rsidP="00923DFD">
            <w:pPr>
              <w:pStyle w:val="Header"/>
              <w:tabs>
                <w:tab w:val="left" w:pos="567"/>
              </w:tabs>
              <w:jc w:val="both"/>
              <w:rPr>
                <w:b/>
                <w:bCs/>
                <w:sz w:val="22"/>
                <w:szCs w:val="22"/>
              </w:rPr>
            </w:pPr>
            <w:r w:rsidRPr="00D01E98">
              <w:rPr>
                <w:b/>
                <w:bCs/>
                <w:sz w:val="22"/>
                <w:szCs w:val="22"/>
              </w:rPr>
              <w:t>1.</w:t>
            </w:r>
            <w:r w:rsidRPr="00D01E98">
              <w:rPr>
                <w:b/>
                <w:bCs/>
                <w:sz w:val="22"/>
                <w:szCs w:val="22"/>
              </w:rPr>
              <w:tab/>
            </w:r>
            <w:r w:rsidR="0020267D" w:rsidRPr="00D01E98">
              <w:rPr>
                <w:b/>
                <w:bCs/>
                <w:sz w:val="22"/>
                <w:szCs w:val="22"/>
              </w:rPr>
              <w:t>NAZIV LIJEKA</w:t>
            </w:r>
          </w:p>
          <w:p w14:paraId="5E16E2AA" w14:textId="6237B851" w:rsidR="00264191" w:rsidRPr="00D01E98" w:rsidRDefault="00264191" w:rsidP="00923DFD">
            <w:pPr>
              <w:pStyle w:val="Header"/>
              <w:tabs>
                <w:tab w:val="left" w:pos="567"/>
              </w:tabs>
              <w:jc w:val="both"/>
              <w:rPr>
                <w:b/>
                <w:bCs/>
                <w:sz w:val="22"/>
                <w:szCs w:val="22"/>
              </w:rPr>
            </w:pPr>
          </w:p>
        </w:tc>
      </w:tr>
      <w:tr w:rsidR="0020267D" w:rsidRPr="00D01E98" w14:paraId="778EF2A5" w14:textId="77777777" w:rsidTr="00757DA0">
        <w:trPr>
          <w:trHeight w:val="1110"/>
        </w:trPr>
        <w:tc>
          <w:tcPr>
            <w:tcW w:w="9906" w:type="dxa"/>
            <w:gridSpan w:val="3"/>
            <w:shd w:val="clear" w:color="auto" w:fill="auto"/>
            <w:vAlign w:val="center"/>
          </w:tcPr>
          <w:p w14:paraId="5596C162" w14:textId="5A79E201" w:rsidR="00633808" w:rsidRPr="00D01E98" w:rsidRDefault="00633808" w:rsidP="00923DFD">
            <w:pPr>
              <w:jc w:val="both"/>
              <w:rPr>
                <w:sz w:val="22"/>
                <w:szCs w:val="22"/>
              </w:rPr>
            </w:pPr>
            <w:r w:rsidRPr="00D01E98">
              <w:rPr>
                <w:sz w:val="22"/>
                <w:szCs w:val="22"/>
              </w:rPr>
              <w:t>Inlyta, 1 mg, film tableta</w:t>
            </w:r>
          </w:p>
          <w:p w14:paraId="677B2D5C" w14:textId="10E02B84" w:rsidR="00757DA0" w:rsidRPr="00D01E98" w:rsidRDefault="00633808" w:rsidP="00923DFD">
            <w:pPr>
              <w:jc w:val="both"/>
              <w:rPr>
                <w:sz w:val="22"/>
                <w:szCs w:val="22"/>
              </w:rPr>
            </w:pPr>
            <w:r w:rsidRPr="00D01E98">
              <w:rPr>
                <w:sz w:val="22"/>
                <w:szCs w:val="22"/>
              </w:rPr>
              <w:t>Inlyta, 5 mg, film tableta</w:t>
            </w:r>
          </w:p>
          <w:p w14:paraId="243EFA12" w14:textId="77777777" w:rsidR="00264191" w:rsidRPr="00D01E98" w:rsidRDefault="00264191" w:rsidP="00923DFD">
            <w:pPr>
              <w:jc w:val="both"/>
              <w:rPr>
                <w:color w:val="000000"/>
                <w:sz w:val="22"/>
                <w:szCs w:val="22"/>
              </w:rPr>
            </w:pPr>
          </w:p>
          <w:p w14:paraId="411150AE" w14:textId="12DC308B" w:rsidR="0020267D" w:rsidRPr="00D01E98" w:rsidRDefault="0020267D" w:rsidP="00923DFD">
            <w:pPr>
              <w:jc w:val="both"/>
              <w:rPr>
                <w:sz w:val="22"/>
                <w:szCs w:val="22"/>
              </w:rPr>
            </w:pPr>
            <w:r w:rsidRPr="00D01E98">
              <w:rPr>
                <w:color w:val="000000"/>
                <w:sz w:val="22"/>
                <w:szCs w:val="22"/>
              </w:rPr>
              <w:t xml:space="preserve">INN: </w:t>
            </w:r>
            <w:r w:rsidRPr="00D01E98">
              <w:rPr>
                <w:sz w:val="22"/>
                <w:szCs w:val="22"/>
              </w:rPr>
              <w:t>aksitinib</w:t>
            </w:r>
          </w:p>
          <w:p w14:paraId="37A60808" w14:textId="33A7A27C" w:rsidR="00757DA0" w:rsidRPr="00D01E98" w:rsidRDefault="00757DA0" w:rsidP="00923DFD">
            <w:pPr>
              <w:jc w:val="both"/>
              <w:rPr>
                <w:sz w:val="22"/>
                <w:szCs w:val="22"/>
              </w:rPr>
            </w:pPr>
          </w:p>
        </w:tc>
      </w:tr>
      <w:tr w:rsidR="0020267D" w:rsidRPr="00D01E98" w14:paraId="0591250E" w14:textId="77777777" w:rsidTr="00757DA0">
        <w:trPr>
          <w:trHeight w:val="288"/>
        </w:trPr>
        <w:tc>
          <w:tcPr>
            <w:tcW w:w="9906" w:type="dxa"/>
            <w:gridSpan w:val="3"/>
            <w:shd w:val="clear" w:color="auto" w:fill="auto"/>
            <w:vAlign w:val="center"/>
          </w:tcPr>
          <w:p w14:paraId="463AA82F" w14:textId="77777777" w:rsidR="00264191" w:rsidRPr="00D01E98" w:rsidRDefault="00264191" w:rsidP="00923DFD">
            <w:pPr>
              <w:pStyle w:val="Header"/>
              <w:tabs>
                <w:tab w:val="left" w:pos="567"/>
              </w:tabs>
              <w:jc w:val="both"/>
              <w:rPr>
                <w:b/>
                <w:bCs/>
                <w:sz w:val="22"/>
                <w:szCs w:val="22"/>
              </w:rPr>
            </w:pPr>
          </w:p>
          <w:p w14:paraId="41FF98AE" w14:textId="3FDE178F" w:rsidR="0020267D" w:rsidRPr="00D01E98" w:rsidRDefault="0020267D" w:rsidP="00923DFD">
            <w:pPr>
              <w:pStyle w:val="Header"/>
              <w:tabs>
                <w:tab w:val="left" w:pos="567"/>
              </w:tabs>
              <w:jc w:val="both"/>
              <w:rPr>
                <w:b/>
                <w:bCs/>
                <w:sz w:val="22"/>
                <w:szCs w:val="22"/>
              </w:rPr>
            </w:pPr>
            <w:r w:rsidRPr="00D01E98">
              <w:rPr>
                <w:b/>
                <w:bCs/>
                <w:sz w:val="22"/>
                <w:szCs w:val="22"/>
              </w:rPr>
              <w:t>2</w:t>
            </w:r>
            <w:r w:rsidR="000C0EC1" w:rsidRPr="00D01E98">
              <w:rPr>
                <w:b/>
                <w:bCs/>
                <w:sz w:val="22"/>
                <w:szCs w:val="22"/>
              </w:rPr>
              <w:t>.</w:t>
            </w:r>
            <w:r w:rsidR="000C0EC1" w:rsidRPr="00D01E98">
              <w:rPr>
                <w:b/>
                <w:bCs/>
                <w:sz w:val="22"/>
                <w:szCs w:val="22"/>
              </w:rPr>
              <w:tab/>
            </w:r>
            <w:r w:rsidRPr="00D01E98">
              <w:rPr>
                <w:b/>
                <w:bCs/>
                <w:sz w:val="22"/>
                <w:szCs w:val="22"/>
              </w:rPr>
              <w:t>KVALITATIVNI I KVANTITATIVNI SASTAV</w:t>
            </w:r>
          </w:p>
        </w:tc>
      </w:tr>
      <w:tr w:rsidR="0020267D" w:rsidRPr="00D01E98" w14:paraId="1C5D3785" w14:textId="77777777" w:rsidTr="00757DA0">
        <w:trPr>
          <w:trHeight w:val="1145"/>
        </w:trPr>
        <w:tc>
          <w:tcPr>
            <w:tcW w:w="9906" w:type="dxa"/>
            <w:gridSpan w:val="3"/>
            <w:shd w:val="clear" w:color="auto" w:fill="auto"/>
            <w:vAlign w:val="center"/>
          </w:tcPr>
          <w:p w14:paraId="79841300" w14:textId="77777777" w:rsidR="00264191" w:rsidRPr="00D01E98" w:rsidRDefault="00264191" w:rsidP="00923DFD">
            <w:pPr>
              <w:jc w:val="both"/>
              <w:rPr>
                <w:sz w:val="22"/>
                <w:szCs w:val="22"/>
                <w:u w:val="single"/>
              </w:rPr>
            </w:pPr>
          </w:p>
          <w:p w14:paraId="2C473565" w14:textId="02F210B1" w:rsidR="0020267D" w:rsidRPr="00D01E98" w:rsidRDefault="000C0EC1" w:rsidP="00923DFD">
            <w:pPr>
              <w:jc w:val="both"/>
              <w:rPr>
                <w:szCs w:val="22"/>
                <w:u w:val="single"/>
              </w:rPr>
            </w:pPr>
            <w:r w:rsidRPr="00D01E98">
              <w:rPr>
                <w:sz w:val="22"/>
                <w:szCs w:val="22"/>
                <w:u w:val="single"/>
              </w:rPr>
              <w:t>Inlyta 1 mg film tablet</w:t>
            </w:r>
            <w:r w:rsidR="00264191" w:rsidRPr="00D01E98">
              <w:rPr>
                <w:sz w:val="22"/>
                <w:szCs w:val="22"/>
                <w:u w:val="single"/>
              </w:rPr>
              <w:t>a</w:t>
            </w:r>
          </w:p>
          <w:p w14:paraId="42D83D15" w14:textId="6B7E3C0D" w:rsidR="0020267D" w:rsidRPr="00D01E98" w:rsidRDefault="0020267D" w:rsidP="00923DFD">
            <w:pPr>
              <w:jc w:val="both"/>
              <w:rPr>
                <w:sz w:val="22"/>
                <w:szCs w:val="22"/>
              </w:rPr>
            </w:pPr>
            <w:r w:rsidRPr="00D01E98">
              <w:rPr>
                <w:sz w:val="22"/>
                <w:szCs w:val="22"/>
              </w:rPr>
              <w:t xml:space="preserve">Jedna film tableta sadrži </w:t>
            </w:r>
            <w:r w:rsidR="000C0EC1" w:rsidRPr="00D01E98">
              <w:rPr>
                <w:sz w:val="22"/>
                <w:szCs w:val="22"/>
              </w:rPr>
              <w:t>1</w:t>
            </w:r>
            <w:r w:rsidR="000C0EC1" w:rsidRPr="00D01E98">
              <w:rPr>
                <w:szCs w:val="22"/>
              </w:rPr>
              <w:t xml:space="preserve"> mg </w:t>
            </w:r>
            <w:r w:rsidRPr="00D01E98">
              <w:rPr>
                <w:sz w:val="22"/>
                <w:szCs w:val="22"/>
              </w:rPr>
              <w:t>aksitiniba.</w:t>
            </w:r>
          </w:p>
          <w:p w14:paraId="7CAC1CDA" w14:textId="77777777" w:rsidR="000C0EC1" w:rsidRPr="00D01E98" w:rsidRDefault="000C0EC1" w:rsidP="00923DFD">
            <w:pPr>
              <w:jc w:val="both"/>
              <w:rPr>
                <w:sz w:val="22"/>
                <w:szCs w:val="22"/>
              </w:rPr>
            </w:pPr>
          </w:p>
          <w:p w14:paraId="71DBC94F" w14:textId="1B771073" w:rsidR="000C0EC1" w:rsidRPr="00D01E98" w:rsidRDefault="000C0EC1" w:rsidP="00923DFD">
            <w:pPr>
              <w:jc w:val="both"/>
              <w:rPr>
                <w:sz w:val="22"/>
                <w:szCs w:val="22"/>
                <w:u w:val="single"/>
              </w:rPr>
            </w:pPr>
            <w:r w:rsidRPr="00D01E98">
              <w:rPr>
                <w:sz w:val="22"/>
                <w:szCs w:val="22"/>
                <w:u w:val="single"/>
              </w:rPr>
              <w:t>Inlyta 5 mg film tablet</w:t>
            </w:r>
            <w:r w:rsidR="00264191" w:rsidRPr="00D01E98">
              <w:rPr>
                <w:sz w:val="22"/>
                <w:szCs w:val="22"/>
                <w:u w:val="single"/>
              </w:rPr>
              <w:t>a</w:t>
            </w:r>
          </w:p>
          <w:p w14:paraId="17C6CE1E" w14:textId="77777777" w:rsidR="000C0EC1" w:rsidRPr="00D01E98" w:rsidRDefault="000C0EC1" w:rsidP="00923DFD">
            <w:pPr>
              <w:jc w:val="both"/>
              <w:rPr>
                <w:sz w:val="22"/>
                <w:szCs w:val="22"/>
              </w:rPr>
            </w:pPr>
            <w:r w:rsidRPr="00D01E98">
              <w:rPr>
                <w:sz w:val="22"/>
                <w:szCs w:val="22"/>
              </w:rPr>
              <w:t>Jedna film tableta sadrži 5</w:t>
            </w:r>
            <w:r w:rsidRPr="00D01E98">
              <w:rPr>
                <w:szCs w:val="22"/>
              </w:rPr>
              <w:t xml:space="preserve"> mg </w:t>
            </w:r>
            <w:r w:rsidRPr="00D01E98">
              <w:rPr>
                <w:sz w:val="22"/>
                <w:szCs w:val="22"/>
              </w:rPr>
              <w:t>aksitiniba.</w:t>
            </w:r>
          </w:p>
          <w:p w14:paraId="40DE1676" w14:textId="77777777" w:rsidR="000C0EC1" w:rsidRPr="00D01E98" w:rsidRDefault="000C0EC1" w:rsidP="00923DFD">
            <w:pPr>
              <w:jc w:val="both"/>
              <w:rPr>
                <w:sz w:val="22"/>
                <w:szCs w:val="22"/>
              </w:rPr>
            </w:pPr>
          </w:p>
          <w:p w14:paraId="2310843C" w14:textId="2E7C4066" w:rsidR="0020267D" w:rsidRPr="00D01E98" w:rsidRDefault="0020267D">
            <w:pPr>
              <w:pStyle w:val="Tekst"/>
              <w:rPr>
                <w:sz w:val="22"/>
                <w:szCs w:val="22"/>
                <w:u w:val="single"/>
                <w:lang w:val="sr-Latn-ME"/>
              </w:rPr>
            </w:pPr>
            <w:r w:rsidRPr="00D01E98">
              <w:rPr>
                <w:sz w:val="22"/>
                <w:szCs w:val="22"/>
                <w:u w:val="single"/>
                <w:lang w:val="sr-Latn-ME"/>
              </w:rPr>
              <w:t>Pomoćne supstance sa potvrđenim dejstvom</w:t>
            </w:r>
          </w:p>
          <w:p w14:paraId="6FBF569A" w14:textId="77777777" w:rsidR="00AA11B4" w:rsidRPr="00D01E98" w:rsidRDefault="00AA11B4">
            <w:pPr>
              <w:pStyle w:val="Tekst"/>
              <w:rPr>
                <w:sz w:val="22"/>
                <w:szCs w:val="22"/>
                <w:u w:val="single"/>
                <w:lang w:val="sr-Latn-ME"/>
              </w:rPr>
            </w:pPr>
          </w:p>
          <w:p w14:paraId="4BADC3B1" w14:textId="41BEBD75" w:rsidR="000C0EC1" w:rsidRPr="00D01E98" w:rsidRDefault="000C0EC1" w:rsidP="00923DFD">
            <w:pPr>
              <w:jc w:val="both"/>
              <w:rPr>
                <w:sz w:val="22"/>
                <w:szCs w:val="22"/>
                <w:u w:val="single"/>
              </w:rPr>
            </w:pPr>
            <w:r w:rsidRPr="00D01E98">
              <w:rPr>
                <w:sz w:val="22"/>
                <w:szCs w:val="22"/>
                <w:u w:val="single"/>
              </w:rPr>
              <w:t>Inlyta 1 mg film tablet</w:t>
            </w:r>
            <w:r w:rsidR="00A62344" w:rsidRPr="00D01E98">
              <w:rPr>
                <w:sz w:val="22"/>
                <w:szCs w:val="22"/>
                <w:u w:val="single"/>
              </w:rPr>
              <w:t>a</w:t>
            </w:r>
          </w:p>
          <w:p w14:paraId="64394B98" w14:textId="4D770C64" w:rsidR="0020267D" w:rsidRPr="00D01E98" w:rsidRDefault="0020267D" w:rsidP="00923DFD">
            <w:pPr>
              <w:jc w:val="both"/>
              <w:rPr>
                <w:sz w:val="22"/>
                <w:szCs w:val="22"/>
              </w:rPr>
            </w:pPr>
            <w:r w:rsidRPr="00D01E98">
              <w:rPr>
                <w:sz w:val="22"/>
                <w:szCs w:val="22"/>
              </w:rPr>
              <w:t>Jedna film tableta sadrži 33,6 mg laktoze monohidrat.</w:t>
            </w:r>
          </w:p>
          <w:p w14:paraId="0515EE73" w14:textId="77777777" w:rsidR="000C0EC1" w:rsidRPr="00D01E98" w:rsidRDefault="000C0EC1" w:rsidP="00923DFD">
            <w:pPr>
              <w:jc w:val="both"/>
              <w:rPr>
                <w:sz w:val="22"/>
                <w:szCs w:val="22"/>
              </w:rPr>
            </w:pPr>
          </w:p>
          <w:p w14:paraId="3569584B" w14:textId="6B233ED4" w:rsidR="000C0EC1" w:rsidRPr="00D01E98" w:rsidRDefault="000C0EC1" w:rsidP="00923DFD">
            <w:pPr>
              <w:jc w:val="both"/>
              <w:rPr>
                <w:sz w:val="22"/>
                <w:szCs w:val="22"/>
                <w:u w:val="single"/>
              </w:rPr>
            </w:pPr>
            <w:r w:rsidRPr="00D01E98">
              <w:rPr>
                <w:sz w:val="22"/>
                <w:szCs w:val="22"/>
                <w:u w:val="single"/>
              </w:rPr>
              <w:t>Inlyta 5 mg film tablet</w:t>
            </w:r>
            <w:r w:rsidR="00A62344" w:rsidRPr="00D01E98">
              <w:rPr>
                <w:sz w:val="22"/>
                <w:szCs w:val="22"/>
                <w:u w:val="single"/>
              </w:rPr>
              <w:t>a</w:t>
            </w:r>
          </w:p>
          <w:p w14:paraId="256CF6A9" w14:textId="422E3770" w:rsidR="0020267D" w:rsidRPr="00D01E98" w:rsidRDefault="0020267D" w:rsidP="00923DFD">
            <w:pPr>
              <w:jc w:val="both"/>
              <w:rPr>
                <w:sz w:val="22"/>
                <w:szCs w:val="22"/>
              </w:rPr>
            </w:pPr>
            <w:r w:rsidRPr="00D01E98">
              <w:rPr>
                <w:sz w:val="22"/>
                <w:szCs w:val="22"/>
              </w:rPr>
              <w:t>Jedna film tableta sadrži 58,8 mg laktoze monohidrat.</w:t>
            </w:r>
          </w:p>
          <w:p w14:paraId="603F7AD3" w14:textId="77777777" w:rsidR="000C0EC1" w:rsidRPr="00D01E98" w:rsidRDefault="000C0EC1" w:rsidP="00923DFD">
            <w:pPr>
              <w:jc w:val="both"/>
              <w:rPr>
                <w:sz w:val="22"/>
                <w:szCs w:val="22"/>
              </w:rPr>
            </w:pPr>
          </w:p>
          <w:p w14:paraId="7E57CACA" w14:textId="77777777" w:rsidR="000C0EC1" w:rsidRPr="00D01E98" w:rsidRDefault="000C0EC1" w:rsidP="00923DFD">
            <w:pPr>
              <w:jc w:val="both"/>
              <w:rPr>
                <w:sz w:val="22"/>
                <w:szCs w:val="22"/>
              </w:rPr>
            </w:pPr>
          </w:p>
          <w:p w14:paraId="2F775361" w14:textId="77777777" w:rsidR="0020267D" w:rsidRPr="00D01E98" w:rsidRDefault="0020267D" w:rsidP="00923DFD">
            <w:pPr>
              <w:jc w:val="both"/>
              <w:outlineLvl w:val="0"/>
              <w:rPr>
                <w:sz w:val="22"/>
                <w:szCs w:val="22"/>
              </w:rPr>
            </w:pPr>
            <w:r w:rsidRPr="00D01E98">
              <w:rPr>
                <w:sz w:val="22"/>
                <w:szCs w:val="22"/>
              </w:rPr>
              <w:t>Za</w:t>
            </w:r>
            <w:r w:rsidR="00C34D6F" w:rsidRPr="00D01E98">
              <w:rPr>
                <w:sz w:val="22"/>
                <w:szCs w:val="22"/>
              </w:rPr>
              <w:t xml:space="preserve"> spisak</w:t>
            </w:r>
            <w:r w:rsidRPr="00D01E98">
              <w:rPr>
                <w:sz w:val="22"/>
                <w:szCs w:val="22"/>
              </w:rPr>
              <w:t xml:space="preserve"> svih </w:t>
            </w:r>
            <w:r w:rsidR="00C34D6F" w:rsidRPr="00D01E98">
              <w:rPr>
                <w:sz w:val="22"/>
                <w:szCs w:val="22"/>
              </w:rPr>
              <w:t>ekscipijenasa</w:t>
            </w:r>
            <w:r w:rsidRPr="00D01E98">
              <w:rPr>
                <w:sz w:val="22"/>
                <w:szCs w:val="22"/>
              </w:rPr>
              <w:t xml:space="preserve">, </w:t>
            </w:r>
            <w:r w:rsidR="00C34D6F" w:rsidRPr="00D01E98">
              <w:rPr>
                <w:sz w:val="22"/>
                <w:szCs w:val="22"/>
              </w:rPr>
              <w:t>pogleda</w:t>
            </w:r>
            <w:r w:rsidRPr="00D01E98">
              <w:rPr>
                <w:sz w:val="22"/>
                <w:szCs w:val="22"/>
              </w:rPr>
              <w:t xml:space="preserve">ti </w:t>
            </w:r>
            <w:r w:rsidR="00C34D6F" w:rsidRPr="00D01E98">
              <w:rPr>
                <w:sz w:val="22"/>
                <w:szCs w:val="22"/>
              </w:rPr>
              <w:t xml:space="preserve">dio </w:t>
            </w:r>
            <w:r w:rsidRPr="00D01E98">
              <w:rPr>
                <w:sz w:val="22"/>
                <w:szCs w:val="22"/>
              </w:rPr>
              <w:t>6.1.</w:t>
            </w:r>
          </w:p>
          <w:p w14:paraId="090B94EF" w14:textId="7B881AC1" w:rsidR="00757DA0" w:rsidRPr="00D01E98" w:rsidRDefault="00757DA0" w:rsidP="00923DFD">
            <w:pPr>
              <w:jc w:val="both"/>
              <w:outlineLvl w:val="0"/>
              <w:rPr>
                <w:sz w:val="22"/>
                <w:szCs w:val="22"/>
              </w:rPr>
            </w:pPr>
          </w:p>
        </w:tc>
      </w:tr>
      <w:tr w:rsidR="0020267D" w:rsidRPr="00D01E98" w14:paraId="6E4982D2" w14:textId="77777777" w:rsidTr="00757DA0">
        <w:trPr>
          <w:trHeight w:val="288"/>
        </w:trPr>
        <w:tc>
          <w:tcPr>
            <w:tcW w:w="9906" w:type="dxa"/>
            <w:gridSpan w:val="3"/>
            <w:shd w:val="clear" w:color="auto" w:fill="auto"/>
            <w:vAlign w:val="center"/>
          </w:tcPr>
          <w:p w14:paraId="0C50CDC2" w14:textId="77777777" w:rsidR="00264191" w:rsidRPr="00D01E98" w:rsidRDefault="00264191" w:rsidP="00923DFD">
            <w:pPr>
              <w:pStyle w:val="Header"/>
              <w:tabs>
                <w:tab w:val="left" w:pos="284"/>
              </w:tabs>
              <w:jc w:val="both"/>
              <w:rPr>
                <w:b/>
                <w:bCs/>
                <w:sz w:val="22"/>
                <w:szCs w:val="22"/>
              </w:rPr>
            </w:pPr>
          </w:p>
          <w:p w14:paraId="3F27A09D" w14:textId="3D15E722" w:rsidR="0020267D" w:rsidRPr="00D01E98" w:rsidRDefault="0020267D" w:rsidP="00923DFD">
            <w:pPr>
              <w:pStyle w:val="Header"/>
              <w:tabs>
                <w:tab w:val="left" w:pos="284"/>
              </w:tabs>
              <w:jc w:val="both"/>
              <w:rPr>
                <w:b/>
                <w:bCs/>
                <w:sz w:val="22"/>
                <w:szCs w:val="22"/>
              </w:rPr>
            </w:pPr>
            <w:r w:rsidRPr="00D01E98">
              <w:rPr>
                <w:b/>
                <w:bCs/>
                <w:sz w:val="22"/>
                <w:szCs w:val="22"/>
              </w:rPr>
              <w:t>3. FARMACEUTSKI OBLIK</w:t>
            </w:r>
          </w:p>
        </w:tc>
      </w:tr>
      <w:tr w:rsidR="0020267D" w:rsidRPr="00D01E98" w14:paraId="793659F2" w14:textId="77777777" w:rsidTr="00757DA0">
        <w:trPr>
          <w:trHeight w:val="1000"/>
        </w:trPr>
        <w:tc>
          <w:tcPr>
            <w:tcW w:w="9906" w:type="dxa"/>
            <w:gridSpan w:val="3"/>
            <w:shd w:val="clear" w:color="auto" w:fill="auto"/>
            <w:vAlign w:val="center"/>
          </w:tcPr>
          <w:p w14:paraId="152C9FB0" w14:textId="77777777" w:rsidR="0020267D" w:rsidRPr="00D01E98" w:rsidRDefault="0020267D">
            <w:pPr>
              <w:pStyle w:val="Tekst"/>
              <w:rPr>
                <w:sz w:val="22"/>
                <w:szCs w:val="22"/>
                <w:lang w:val="sr-Latn-ME"/>
              </w:rPr>
            </w:pPr>
          </w:p>
          <w:p w14:paraId="6BF6DDE7" w14:textId="1A6A5213" w:rsidR="0020267D" w:rsidRPr="00D01E98" w:rsidRDefault="0020267D">
            <w:pPr>
              <w:pStyle w:val="Tekst"/>
              <w:rPr>
                <w:sz w:val="22"/>
                <w:szCs w:val="22"/>
                <w:lang w:val="sr-Latn-ME"/>
              </w:rPr>
            </w:pPr>
            <w:r w:rsidRPr="00D01E98">
              <w:rPr>
                <w:sz w:val="22"/>
                <w:szCs w:val="22"/>
                <w:lang w:val="sr-Latn-ME"/>
              </w:rPr>
              <w:t>Film tableta.</w:t>
            </w:r>
          </w:p>
          <w:p w14:paraId="7BDB6DC1" w14:textId="77777777" w:rsidR="00AA11B4" w:rsidRPr="00D01E98" w:rsidRDefault="00AA11B4">
            <w:pPr>
              <w:pStyle w:val="Tekst"/>
              <w:rPr>
                <w:sz w:val="22"/>
                <w:szCs w:val="22"/>
                <w:lang w:val="sr-Latn-ME"/>
              </w:rPr>
            </w:pPr>
          </w:p>
          <w:p w14:paraId="78ABE53E" w14:textId="144CBFA1" w:rsidR="000C0EC1" w:rsidRPr="00D01E98" w:rsidRDefault="0020267D" w:rsidP="00923DFD">
            <w:pPr>
              <w:keepNext/>
              <w:jc w:val="both"/>
              <w:rPr>
                <w:sz w:val="22"/>
                <w:szCs w:val="22"/>
                <w:u w:val="single"/>
              </w:rPr>
            </w:pPr>
            <w:r w:rsidRPr="00D01E98">
              <w:rPr>
                <w:sz w:val="22"/>
                <w:szCs w:val="22"/>
                <w:u w:val="single"/>
              </w:rPr>
              <w:t>Inlyta 1</w:t>
            </w:r>
            <w:r w:rsidR="000C0EC1" w:rsidRPr="00D01E98">
              <w:rPr>
                <w:szCs w:val="22"/>
                <w:u w:val="single"/>
              </w:rPr>
              <w:t> </w:t>
            </w:r>
            <w:r w:rsidRPr="00D01E98">
              <w:rPr>
                <w:sz w:val="22"/>
                <w:szCs w:val="22"/>
                <w:u w:val="single"/>
              </w:rPr>
              <w:t xml:space="preserve">mg film </w:t>
            </w:r>
            <w:r w:rsidR="000C0EC1" w:rsidRPr="00D01E98">
              <w:rPr>
                <w:sz w:val="22"/>
                <w:szCs w:val="22"/>
                <w:u w:val="single"/>
              </w:rPr>
              <w:t>tablete</w:t>
            </w:r>
            <w:r w:rsidRPr="00D01E98">
              <w:rPr>
                <w:sz w:val="22"/>
                <w:szCs w:val="22"/>
                <w:u w:val="single"/>
              </w:rPr>
              <w:t xml:space="preserve"> </w:t>
            </w:r>
          </w:p>
          <w:p w14:paraId="75868550" w14:textId="2C0E7090" w:rsidR="0020267D" w:rsidRPr="00D01E98" w:rsidRDefault="0020267D" w:rsidP="00923DFD">
            <w:pPr>
              <w:keepNext/>
              <w:jc w:val="both"/>
              <w:rPr>
                <w:sz w:val="22"/>
                <w:szCs w:val="22"/>
              </w:rPr>
            </w:pPr>
            <w:r w:rsidRPr="00D01E98">
              <w:rPr>
                <w:sz w:val="22"/>
                <w:szCs w:val="22"/>
              </w:rPr>
              <w:t>Ovalne film tablete crvene boje sa utisnutom oznakom „Pfizer“ na jednoj strani i oznakom „1 XNB“ na drugoj strani.</w:t>
            </w:r>
          </w:p>
          <w:p w14:paraId="41010A12" w14:textId="77777777" w:rsidR="00AA11B4" w:rsidRPr="00D01E98" w:rsidRDefault="00AA11B4" w:rsidP="00923DFD">
            <w:pPr>
              <w:jc w:val="both"/>
              <w:rPr>
                <w:sz w:val="22"/>
                <w:szCs w:val="22"/>
              </w:rPr>
            </w:pPr>
          </w:p>
          <w:p w14:paraId="44B54FC3" w14:textId="5F604DE4" w:rsidR="000C0EC1" w:rsidRPr="00D01E98" w:rsidRDefault="0020267D" w:rsidP="00923DFD">
            <w:pPr>
              <w:jc w:val="both"/>
              <w:rPr>
                <w:sz w:val="22"/>
                <w:szCs w:val="22"/>
                <w:u w:val="single"/>
              </w:rPr>
            </w:pPr>
            <w:r w:rsidRPr="00D01E98">
              <w:rPr>
                <w:sz w:val="22"/>
                <w:szCs w:val="22"/>
                <w:u w:val="single"/>
              </w:rPr>
              <w:t>Inlyta 5</w:t>
            </w:r>
            <w:r w:rsidR="000C0EC1" w:rsidRPr="00D01E98">
              <w:rPr>
                <w:szCs w:val="22"/>
                <w:u w:val="single"/>
              </w:rPr>
              <w:t> </w:t>
            </w:r>
            <w:r w:rsidRPr="00D01E98">
              <w:rPr>
                <w:sz w:val="22"/>
                <w:szCs w:val="22"/>
                <w:u w:val="single"/>
              </w:rPr>
              <w:t xml:space="preserve">mg film </w:t>
            </w:r>
            <w:r w:rsidR="000C0EC1" w:rsidRPr="00D01E98">
              <w:rPr>
                <w:sz w:val="22"/>
                <w:szCs w:val="22"/>
                <w:u w:val="single"/>
              </w:rPr>
              <w:t>tablete</w:t>
            </w:r>
            <w:r w:rsidRPr="00D01E98">
              <w:rPr>
                <w:sz w:val="22"/>
                <w:szCs w:val="22"/>
                <w:u w:val="single"/>
              </w:rPr>
              <w:t xml:space="preserve"> </w:t>
            </w:r>
          </w:p>
          <w:p w14:paraId="5418A67A" w14:textId="77777777" w:rsidR="0020267D" w:rsidRPr="00D01E98" w:rsidRDefault="0020267D" w:rsidP="00923DFD">
            <w:pPr>
              <w:jc w:val="both"/>
              <w:rPr>
                <w:sz w:val="22"/>
                <w:szCs w:val="22"/>
              </w:rPr>
            </w:pPr>
            <w:r w:rsidRPr="00D01E98">
              <w:rPr>
                <w:sz w:val="22"/>
                <w:szCs w:val="22"/>
              </w:rPr>
              <w:t xml:space="preserve">Trouglaste film tablete crvene boje sa utisnutom oznakom „Pfizer“ na jednoj strani i oznakom „5 XNB“ na drugoj strani. </w:t>
            </w:r>
          </w:p>
          <w:p w14:paraId="6D0697D2" w14:textId="62B8516D" w:rsidR="00757DA0" w:rsidRPr="00D01E98" w:rsidRDefault="00757DA0" w:rsidP="00923DFD">
            <w:pPr>
              <w:jc w:val="both"/>
              <w:rPr>
                <w:sz w:val="22"/>
                <w:szCs w:val="22"/>
              </w:rPr>
            </w:pPr>
          </w:p>
        </w:tc>
      </w:tr>
      <w:tr w:rsidR="0020267D" w:rsidRPr="00D01E98" w14:paraId="7D39739C" w14:textId="77777777" w:rsidTr="00757DA0">
        <w:trPr>
          <w:trHeight w:val="288"/>
        </w:trPr>
        <w:tc>
          <w:tcPr>
            <w:tcW w:w="9906" w:type="dxa"/>
            <w:gridSpan w:val="3"/>
            <w:shd w:val="clear" w:color="auto" w:fill="auto"/>
            <w:vAlign w:val="center"/>
          </w:tcPr>
          <w:p w14:paraId="5DD40A59" w14:textId="77777777" w:rsidR="00264191" w:rsidRPr="00D01E98" w:rsidRDefault="00264191" w:rsidP="00923DFD">
            <w:pPr>
              <w:pStyle w:val="Header"/>
              <w:tabs>
                <w:tab w:val="left" w:pos="284"/>
              </w:tabs>
              <w:jc w:val="both"/>
              <w:rPr>
                <w:b/>
                <w:bCs/>
                <w:sz w:val="22"/>
                <w:szCs w:val="22"/>
              </w:rPr>
            </w:pPr>
          </w:p>
          <w:p w14:paraId="35259106" w14:textId="75ABE097" w:rsidR="0020267D" w:rsidRPr="00D01E98" w:rsidRDefault="0020267D" w:rsidP="00923DFD">
            <w:pPr>
              <w:pStyle w:val="Header"/>
              <w:tabs>
                <w:tab w:val="left" w:pos="284"/>
              </w:tabs>
              <w:jc w:val="both"/>
              <w:rPr>
                <w:b/>
                <w:bCs/>
                <w:sz w:val="22"/>
                <w:szCs w:val="22"/>
              </w:rPr>
            </w:pPr>
            <w:r w:rsidRPr="00D01E98">
              <w:rPr>
                <w:b/>
                <w:bCs/>
                <w:sz w:val="22"/>
                <w:szCs w:val="22"/>
              </w:rPr>
              <w:t>4. KLINIČKI PODACI</w:t>
            </w:r>
          </w:p>
        </w:tc>
      </w:tr>
      <w:tr w:rsidR="0020267D" w:rsidRPr="00D01E98" w14:paraId="65573D53" w14:textId="77777777" w:rsidTr="00757DA0">
        <w:tc>
          <w:tcPr>
            <w:tcW w:w="9906" w:type="dxa"/>
            <w:gridSpan w:val="3"/>
            <w:shd w:val="clear" w:color="auto" w:fill="auto"/>
            <w:vAlign w:val="center"/>
          </w:tcPr>
          <w:p w14:paraId="3C670C12" w14:textId="77777777" w:rsidR="00264191" w:rsidRPr="00D01E98" w:rsidRDefault="00264191" w:rsidP="00923DFD">
            <w:pPr>
              <w:pStyle w:val="Header"/>
              <w:tabs>
                <w:tab w:val="left" w:pos="284"/>
              </w:tabs>
              <w:jc w:val="both"/>
              <w:rPr>
                <w:b/>
                <w:bCs/>
                <w:sz w:val="22"/>
                <w:szCs w:val="22"/>
              </w:rPr>
            </w:pPr>
          </w:p>
          <w:p w14:paraId="20151F1C" w14:textId="09FE88E3" w:rsidR="0020267D" w:rsidRPr="00D01E98" w:rsidRDefault="0020267D" w:rsidP="00923DFD">
            <w:pPr>
              <w:pStyle w:val="Header"/>
              <w:tabs>
                <w:tab w:val="left" w:pos="284"/>
              </w:tabs>
              <w:jc w:val="both"/>
              <w:rPr>
                <w:b/>
                <w:bCs/>
                <w:sz w:val="22"/>
                <w:szCs w:val="22"/>
              </w:rPr>
            </w:pPr>
            <w:r w:rsidRPr="00D01E98">
              <w:rPr>
                <w:b/>
                <w:bCs/>
                <w:sz w:val="22"/>
                <w:szCs w:val="22"/>
              </w:rPr>
              <w:t>4.1. Terapijske indikacije</w:t>
            </w:r>
          </w:p>
        </w:tc>
      </w:tr>
      <w:tr w:rsidR="0020267D" w:rsidRPr="00D01E98" w14:paraId="360A2F09" w14:textId="77777777" w:rsidTr="00757DA0">
        <w:trPr>
          <w:trHeight w:val="828"/>
        </w:trPr>
        <w:tc>
          <w:tcPr>
            <w:tcW w:w="9906" w:type="dxa"/>
            <w:gridSpan w:val="3"/>
            <w:shd w:val="clear" w:color="auto" w:fill="auto"/>
            <w:vAlign w:val="center"/>
          </w:tcPr>
          <w:p w14:paraId="5ED89648" w14:textId="77777777" w:rsidR="0020267D" w:rsidRPr="00D01E98" w:rsidRDefault="0020267D" w:rsidP="00923DFD">
            <w:pPr>
              <w:pStyle w:val="Tekst"/>
              <w:spacing w:before="100" w:beforeAutospacing="1" w:after="100" w:afterAutospacing="1"/>
              <w:rPr>
                <w:sz w:val="22"/>
                <w:szCs w:val="22"/>
                <w:lang w:val="sr-Latn-ME"/>
              </w:rPr>
            </w:pPr>
            <w:r w:rsidRPr="00D01E98">
              <w:rPr>
                <w:sz w:val="22"/>
                <w:szCs w:val="22"/>
                <w:lang w:val="sr-Latn-ME"/>
              </w:rPr>
              <w:t>Lijek Inlyta je indikovan za liječenje</w:t>
            </w:r>
            <w:r w:rsidRPr="00D01E98">
              <w:rPr>
                <w:sz w:val="22"/>
                <w:szCs w:val="22"/>
                <w:lang w:val="sr-Latn-ME" w:eastAsia="en-GB"/>
              </w:rPr>
              <w:t xml:space="preserve"> odraslih pacijenata sa uznapredovalim karcinomom bubrežnih ćelija (eng. </w:t>
            </w:r>
            <w:r w:rsidRPr="00D01E98">
              <w:rPr>
                <w:i/>
                <w:sz w:val="22"/>
                <w:szCs w:val="22"/>
                <w:lang w:val="sr-Latn-ME" w:eastAsia="en-GB"/>
              </w:rPr>
              <w:t>renal cell carcinoma</w:t>
            </w:r>
            <w:r w:rsidRPr="00D01E98">
              <w:rPr>
                <w:sz w:val="22"/>
                <w:szCs w:val="22"/>
                <w:lang w:val="sr-Latn-ME" w:eastAsia="en-GB"/>
              </w:rPr>
              <w:t>, RCC) nakon prethodne neuspješne terapije sunitinibom ili citokinom.</w:t>
            </w:r>
          </w:p>
        </w:tc>
      </w:tr>
      <w:tr w:rsidR="0020267D" w:rsidRPr="00D01E98" w14:paraId="0AFF7A11" w14:textId="77777777" w:rsidTr="00757DA0">
        <w:trPr>
          <w:trHeight w:val="176"/>
        </w:trPr>
        <w:tc>
          <w:tcPr>
            <w:tcW w:w="9906" w:type="dxa"/>
            <w:gridSpan w:val="3"/>
            <w:shd w:val="clear" w:color="auto" w:fill="auto"/>
            <w:vAlign w:val="center"/>
          </w:tcPr>
          <w:p w14:paraId="3FBB2ECE" w14:textId="4A8EB45A" w:rsidR="0020267D" w:rsidRPr="00D01E98" w:rsidRDefault="0020267D" w:rsidP="00923DFD">
            <w:pPr>
              <w:pStyle w:val="Header"/>
              <w:tabs>
                <w:tab w:val="left" w:pos="284"/>
              </w:tabs>
              <w:spacing w:before="100" w:beforeAutospacing="1" w:after="100" w:afterAutospacing="1"/>
              <w:jc w:val="both"/>
              <w:rPr>
                <w:b/>
                <w:bCs/>
                <w:sz w:val="22"/>
                <w:szCs w:val="22"/>
              </w:rPr>
            </w:pPr>
            <w:r w:rsidRPr="00D01E98">
              <w:rPr>
                <w:b/>
                <w:bCs/>
                <w:sz w:val="22"/>
                <w:szCs w:val="22"/>
              </w:rPr>
              <w:t>4.2. Doziranje i način primjene</w:t>
            </w:r>
          </w:p>
        </w:tc>
      </w:tr>
      <w:tr w:rsidR="0020267D" w:rsidRPr="00D01E98" w14:paraId="2F7E1386" w14:textId="77777777" w:rsidTr="00757DA0">
        <w:trPr>
          <w:trHeight w:val="1145"/>
        </w:trPr>
        <w:tc>
          <w:tcPr>
            <w:tcW w:w="9906" w:type="dxa"/>
            <w:gridSpan w:val="3"/>
            <w:shd w:val="clear" w:color="auto" w:fill="auto"/>
            <w:vAlign w:val="center"/>
          </w:tcPr>
          <w:p w14:paraId="350C97FE" w14:textId="77777777" w:rsidR="00264191" w:rsidRPr="00D01E98" w:rsidRDefault="00264191">
            <w:pPr>
              <w:pStyle w:val="Tekst"/>
              <w:rPr>
                <w:sz w:val="22"/>
                <w:szCs w:val="22"/>
                <w:lang w:val="sr-Latn-ME"/>
              </w:rPr>
            </w:pPr>
          </w:p>
          <w:p w14:paraId="05FAA0DE" w14:textId="1B054AA0" w:rsidR="0020267D" w:rsidRPr="00D01E98" w:rsidRDefault="0020267D">
            <w:pPr>
              <w:pStyle w:val="Tekst"/>
              <w:rPr>
                <w:sz w:val="22"/>
                <w:szCs w:val="22"/>
                <w:lang w:val="sr-Latn-ME"/>
              </w:rPr>
            </w:pPr>
            <w:r w:rsidRPr="00D01E98">
              <w:rPr>
                <w:sz w:val="22"/>
                <w:szCs w:val="22"/>
                <w:lang w:val="sr-Latn-ME"/>
              </w:rPr>
              <w:t>Samo ljekar sa iskustvom u primjeni ljekova protiv karcinoma treba da sprovodi terapiju lijekom Inlyta.</w:t>
            </w:r>
          </w:p>
          <w:p w14:paraId="7AFA0B15" w14:textId="77777777" w:rsidR="0020267D" w:rsidRPr="00D01E98" w:rsidRDefault="0020267D">
            <w:pPr>
              <w:pStyle w:val="Tekst"/>
              <w:rPr>
                <w:sz w:val="22"/>
                <w:szCs w:val="22"/>
                <w:u w:val="single"/>
                <w:lang w:val="sr-Latn-ME"/>
              </w:rPr>
            </w:pPr>
          </w:p>
          <w:p w14:paraId="65882BCC" w14:textId="77777777" w:rsidR="0020267D" w:rsidRPr="00D01E98" w:rsidRDefault="0020267D">
            <w:pPr>
              <w:pStyle w:val="Tekst"/>
              <w:rPr>
                <w:sz w:val="22"/>
                <w:szCs w:val="22"/>
                <w:u w:val="single"/>
                <w:lang w:val="sr-Latn-ME"/>
              </w:rPr>
            </w:pPr>
            <w:r w:rsidRPr="00D01E98">
              <w:rPr>
                <w:sz w:val="22"/>
                <w:szCs w:val="22"/>
                <w:u w:val="single"/>
                <w:lang w:val="sr-Latn-ME"/>
              </w:rPr>
              <w:t>Doziranje</w:t>
            </w:r>
          </w:p>
          <w:p w14:paraId="34052506" w14:textId="77777777" w:rsidR="0020267D" w:rsidRPr="00D01E98" w:rsidRDefault="0020267D">
            <w:pPr>
              <w:pStyle w:val="Tekst"/>
              <w:rPr>
                <w:sz w:val="22"/>
                <w:szCs w:val="22"/>
                <w:u w:val="single"/>
                <w:lang w:val="sr-Latn-ME"/>
              </w:rPr>
            </w:pPr>
          </w:p>
          <w:p w14:paraId="446A30F2" w14:textId="77777777" w:rsidR="0020267D" w:rsidRPr="00D01E98" w:rsidRDefault="0020267D">
            <w:pPr>
              <w:pStyle w:val="Tekst"/>
              <w:rPr>
                <w:sz w:val="22"/>
                <w:szCs w:val="22"/>
                <w:lang w:val="sr-Latn-ME"/>
              </w:rPr>
            </w:pPr>
            <w:r w:rsidRPr="00D01E98">
              <w:rPr>
                <w:sz w:val="22"/>
                <w:szCs w:val="22"/>
                <w:lang w:val="sr-Latn-ME"/>
              </w:rPr>
              <w:lastRenderedPageBreak/>
              <w:t>Preporučena doza aksitiniba je 5 mg dva puta dnevno.</w:t>
            </w:r>
          </w:p>
          <w:p w14:paraId="593AF3EF" w14:textId="77777777" w:rsidR="00551A0D" w:rsidRPr="00D01E98" w:rsidRDefault="00551A0D">
            <w:pPr>
              <w:pStyle w:val="Tekst"/>
              <w:rPr>
                <w:sz w:val="22"/>
                <w:szCs w:val="22"/>
                <w:lang w:val="sr-Latn-ME"/>
              </w:rPr>
            </w:pPr>
          </w:p>
          <w:p w14:paraId="38E47E9E" w14:textId="77777777" w:rsidR="0020267D" w:rsidRPr="00D01E98" w:rsidRDefault="0020267D">
            <w:pPr>
              <w:pStyle w:val="Tekst"/>
              <w:rPr>
                <w:sz w:val="22"/>
                <w:szCs w:val="22"/>
                <w:lang w:val="sr-Latn-ME"/>
              </w:rPr>
            </w:pPr>
            <w:r w:rsidRPr="00D01E98">
              <w:rPr>
                <w:sz w:val="22"/>
                <w:szCs w:val="22"/>
                <w:lang w:val="sr-Latn-ME"/>
              </w:rPr>
              <w:t>Terapiju treba nastaviti sve dok postoji klinička korist ili dok ne nastupi neprihvatljiva toksičnost koja se ne može kontrolisati istovremenom primjenom drugih ljekova ili podešavanjem doze.</w:t>
            </w:r>
          </w:p>
          <w:p w14:paraId="30DA50E9" w14:textId="77777777" w:rsidR="0020267D" w:rsidRPr="00D01E98" w:rsidRDefault="0020267D">
            <w:pPr>
              <w:pStyle w:val="Tekst"/>
              <w:rPr>
                <w:sz w:val="22"/>
                <w:szCs w:val="22"/>
                <w:lang w:val="sr-Latn-ME"/>
              </w:rPr>
            </w:pPr>
          </w:p>
          <w:p w14:paraId="425EC87F" w14:textId="77777777" w:rsidR="0020267D" w:rsidRPr="00D01E98" w:rsidRDefault="0020267D">
            <w:pPr>
              <w:pStyle w:val="Tekst"/>
              <w:rPr>
                <w:sz w:val="22"/>
                <w:szCs w:val="22"/>
                <w:lang w:val="sr-Latn-ME"/>
              </w:rPr>
            </w:pPr>
            <w:r w:rsidRPr="00D01E98">
              <w:rPr>
                <w:sz w:val="22"/>
                <w:szCs w:val="22"/>
                <w:lang w:val="sr-Latn-ME"/>
              </w:rPr>
              <w:t>Ako pacijent povrati ili propusti dozu, ne smije uzeti dodatnu dozu. Sljedeću propisanu dozu treba uzeti u predviđeno vrijeme.</w:t>
            </w:r>
          </w:p>
          <w:p w14:paraId="493E7F69" w14:textId="77777777" w:rsidR="0020267D" w:rsidRPr="00D01E98" w:rsidRDefault="0020267D">
            <w:pPr>
              <w:pStyle w:val="Tekst"/>
              <w:rPr>
                <w:sz w:val="22"/>
                <w:szCs w:val="22"/>
                <w:lang w:val="sr-Latn-ME"/>
              </w:rPr>
            </w:pPr>
          </w:p>
          <w:p w14:paraId="7DAABFB9" w14:textId="77777777" w:rsidR="0020267D" w:rsidRPr="00D01E98" w:rsidRDefault="0020267D" w:rsidP="00923DFD">
            <w:pPr>
              <w:pStyle w:val="Tekst"/>
              <w:rPr>
                <w:i/>
                <w:sz w:val="22"/>
                <w:szCs w:val="22"/>
                <w:u w:val="single"/>
                <w:lang w:val="sr-Latn-ME"/>
              </w:rPr>
            </w:pPr>
            <w:r w:rsidRPr="00D01E98">
              <w:rPr>
                <w:i/>
                <w:sz w:val="22"/>
                <w:szCs w:val="22"/>
                <w:u w:val="single"/>
                <w:lang w:val="sr-Latn-ME"/>
              </w:rPr>
              <w:t>Prilagođavanje doze</w:t>
            </w:r>
          </w:p>
          <w:p w14:paraId="1A8A2195" w14:textId="77777777" w:rsidR="0020267D" w:rsidRPr="00D01E98" w:rsidRDefault="0020267D">
            <w:pPr>
              <w:pStyle w:val="Tekst"/>
              <w:rPr>
                <w:i/>
                <w:sz w:val="22"/>
                <w:szCs w:val="22"/>
                <w:u w:val="single"/>
                <w:lang w:val="sr-Latn-ME"/>
              </w:rPr>
            </w:pPr>
          </w:p>
          <w:p w14:paraId="403710E5" w14:textId="77777777" w:rsidR="0020267D" w:rsidRPr="00D01E98" w:rsidRDefault="0020267D">
            <w:pPr>
              <w:pStyle w:val="Tekst"/>
              <w:rPr>
                <w:sz w:val="22"/>
                <w:szCs w:val="22"/>
                <w:lang w:val="sr-Latn-ME"/>
              </w:rPr>
            </w:pPr>
            <w:r w:rsidRPr="00D01E98">
              <w:rPr>
                <w:sz w:val="22"/>
                <w:szCs w:val="22"/>
                <w:lang w:val="sr-Latn-ME"/>
              </w:rPr>
              <w:t>Povećanje ili smanjenje doze se preporučuje na osnovu individualne bezbjednosti i podnošljivosti.</w:t>
            </w:r>
          </w:p>
          <w:p w14:paraId="1B8FEAC6" w14:textId="77777777" w:rsidR="0020267D" w:rsidRPr="00D01E98" w:rsidRDefault="0020267D">
            <w:pPr>
              <w:pStyle w:val="Tekst"/>
              <w:rPr>
                <w:sz w:val="22"/>
                <w:szCs w:val="22"/>
                <w:lang w:val="sr-Latn-ME"/>
              </w:rPr>
            </w:pPr>
          </w:p>
          <w:p w14:paraId="7B2E6FA3" w14:textId="0C990BD5" w:rsidR="0020267D" w:rsidRPr="00D01E98" w:rsidRDefault="0020267D">
            <w:pPr>
              <w:pStyle w:val="Tekst"/>
              <w:rPr>
                <w:sz w:val="22"/>
                <w:szCs w:val="22"/>
                <w:lang w:val="sr-Latn-ME"/>
              </w:rPr>
            </w:pPr>
            <w:r w:rsidRPr="00D01E98">
              <w:rPr>
                <w:sz w:val="22"/>
                <w:szCs w:val="22"/>
                <w:lang w:val="sr-Latn-ME"/>
              </w:rPr>
              <w:t xml:space="preserve">Pacijentima koji dobro podnose početnu dozu aksitiniba od 5 mg dva puta dnevno, bez pojave neželjenih reakcija iznad </w:t>
            </w:r>
            <w:r w:rsidR="00735F18" w:rsidRPr="00D01E98">
              <w:rPr>
                <w:sz w:val="22"/>
                <w:szCs w:val="22"/>
                <w:lang w:val="sr-Latn-ME"/>
              </w:rPr>
              <w:t>g</w:t>
            </w:r>
            <w:r w:rsidRPr="00D01E98">
              <w:rPr>
                <w:sz w:val="22"/>
                <w:szCs w:val="22"/>
                <w:lang w:val="sr-Latn-ME"/>
              </w:rPr>
              <w:t xml:space="preserve">radusa 2 (tj. bez ozbiljnih neželjenih reakcija prema Kriterijumima </w:t>
            </w:r>
            <w:r w:rsidRPr="00D01E98">
              <w:rPr>
                <w:color w:val="auto"/>
                <w:sz w:val="22"/>
                <w:szCs w:val="22"/>
                <w:lang w:val="sr-Latn-ME"/>
              </w:rPr>
              <w:t xml:space="preserve">standardne </w:t>
            </w:r>
            <w:r w:rsidRPr="00D01E98">
              <w:rPr>
                <w:sz w:val="22"/>
                <w:szCs w:val="22"/>
                <w:lang w:val="sr-Latn-ME"/>
              </w:rPr>
              <w:t>terminologije za neželjene događaje [</w:t>
            </w:r>
            <w:r w:rsidRPr="00D01E98">
              <w:rPr>
                <w:i/>
                <w:color w:val="auto"/>
                <w:sz w:val="22"/>
                <w:szCs w:val="22"/>
                <w:lang w:val="sr-Latn-ME"/>
              </w:rPr>
              <w:t xml:space="preserve">Common Terminology Criteria for Adverse Events - </w:t>
            </w:r>
            <w:r w:rsidRPr="00D01E98">
              <w:rPr>
                <w:color w:val="auto"/>
                <w:sz w:val="22"/>
                <w:szCs w:val="22"/>
                <w:lang w:val="sr-Latn-ME"/>
              </w:rPr>
              <w:t>CTCAE</w:t>
            </w:r>
            <w:r w:rsidRPr="00D01E98">
              <w:rPr>
                <w:sz w:val="22"/>
                <w:szCs w:val="22"/>
                <w:lang w:val="sr-Latn-ME"/>
              </w:rPr>
              <w:t>] verzija 3.0) tokom dvije uzastopne nedjelje, doza može da se poveća na 7 mg dva puta dnevno, osim ako je krvni pritisak pacijenta &gt; 150/90 mmHg ili pacijent prima antihipertenzivnu terapiju. Nakon toga, pacijentima koji prema istim kriterijumima dobro podnose dozu aksitiniba od 7 mg dva puta dnevno, doza može da se poveća do najviše 10 mg dva puta dnevno.</w:t>
            </w:r>
          </w:p>
          <w:p w14:paraId="3F7DCBE2" w14:textId="77777777" w:rsidR="0020267D" w:rsidRPr="00D01E98" w:rsidRDefault="0020267D">
            <w:pPr>
              <w:pStyle w:val="Tekst"/>
              <w:rPr>
                <w:sz w:val="22"/>
                <w:szCs w:val="22"/>
                <w:lang w:val="sr-Latn-ME"/>
              </w:rPr>
            </w:pPr>
          </w:p>
          <w:p w14:paraId="580366C1" w14:textId="0211973D" w:rsidR="0020267D" w:rsidRPr="00D01E98" w:rsidRDefault="0020267D">
            <w:pPr>
              <w:pStyle w:val="Tekst"/>
              <w:rPr>
                <w:sz w:val="22"/>
                <w:szCs w:val="22"/>
                <w:lang w:val="sr-Latn-ME"/>
              </w:rPr>
            </w:pPr>
            <w:r w:rsidRPr="00D01E98">
              <w:rPr>
                <w:sz w:val="22"/>
                <w:szCs w:val="22"/>
                <w:lang w:val="sr-Latn-ME"/>
              </w:rPr>
              <w:t xml:space="preserve">Kontrola nekih neželjenih reakcija može da zahtijeva privremeni ili trajni prekid terapije aksitinibom i/ili smanjenje doze (vidjeti </w:t>
            </w:r>
            <w:r w:rsidR="00264191" w:rsidRPr="00D01E98">
              <w:rPr>
                <w:sz w:val="22"/>
                <w:szCs w:val="22"/>
                <w:lang w:val="sr-Latn-ME"/>
              </w:rPr>
              <w:t>dio</w:t>
            </w:r>
            <w:r w:rsidRPr="00D01E98">
              <w:rPr>
                <w:sz w:val="22"/>
                <w:szCs w:val="22"/>
                <w:lang w:val="sr-Latn-ME"/>
              </w:rPr>
              <w:t xml:space="preserve"> 4.4). Kada je potrebno smanjenje doze ona može da se smanji na 3 mg aksitiniba dva puta dnevno i dalje, do 2 mg dva puta dnevno.</w:t>
            </w:r>
          </w:p>
          <w:p w14:paraId="1589E929" w14:textId="77777777" w:rsidR="0020267D" w:rsidRPr="00D01E98" w:rsidRDefault="0020267D">
            <w:pPr>
              <w:pStyle w:val="Tekst"/>
              <w:rPr>
                <w:sz w:val="22"/>
                <w:szCs w:val="22"/>
                <w:lang w:val="sr-Latn-ME"/>
              </w:rPr>
            </w:pPr>
          </w:p>
          <w:p w14:paraId="66C284B6" w14:textId="77777777" w:rsidR="0020267D" w:rsidRPr="00D01E98" w:rsidRDefault="0020267D">
            <w:pPr>
              <w:pStyle w:val="Tekst"/>
              <w:rPr>
                <w:sz w:val="22"/>
                <w:szCs w:val="22"/>
                <w:lang w:val="sr-Latn-ME"/>
              </w:rPr>
            </w:pPr>
            <w:r w:rsidRPr="00D01E98">
              <w:rPr>
                <w:sz w:val="22"/>
                <w:szCs w:val="22"/>
                <w:lang w:val="sr-Latn-ME"/>
              </w:rPr>
              <w:t>Nije potrebno prilagođavanje doze na osnovu starosti pacijenta, rase, pola ili tjelesne mase.</w:t>
            </w:r>
          </w:p>
          <w:p w14:paraId="4F6A2A82" w14:textId="77777777" w:rsidR="0020267D" w:rsidRPr="00D01E98" w:rsidRDefault="0020267D">
            <w:pPr>
              <w:pStyle w:val="Tekst"/>
              <w:rPr>
                <w:i/>
                <w:sz w:val="22"/>
                <w:szCs w:val="22"/>
                <w:u w:val="single"/>
                <w:lang w:val="sr-Latn-ME"/>
              </w:rPr>
            </w:pPr>
          </w:p>
          <w:p w14:paraId="36EDA8C0" w14:textId="77777777" w:rsidR="0020267D" w:rsidRPr="00D01E98" w:rsidRDefault="0020267D">
            <w:pPr>
              <w:pStyle w:val="Tekst"/>
              <w:rPr>
                <w:i/>
                <w:sz w:val="22"/>
                <w:szCs w:val="22"/>
                <w:lang w:val="sr-Latn-ME"/>
              </w:rPr>
            </w:pPr>
            <w:r w:rsidRPr="00D01E98">
              <w:rPr>
                <w:i/>
                <w:sz w:val="22"/>
                <w:szCs w:val="22"/>
                <w:lang w:val="sr-Latn-ME"/>
              </w:rPr>
              <w:t>Istovremena primjena sa jakim inhibitorima CYP3A4/5</w:t>
            </w:r>
          </w:p>
          <w:p w14:paraId="566F9A53" w14:textId="77E3A093" w:rsidR="0020267D" w:rsidRPr="00D01E98" w:rsidRDefault="0020267D">
            <w:pPr>
              <w:pStyle w:val="Tekst"/>
              <w:rPr>
                <w:sz w:val="22"/>
                <w:szCs w:val="22"/>
                <w:lang w:val="sr-Latn-ME"/>
              </w:rPr>
            </w:pPr>
            <w:r w:rsidRPr="00D01E98">
              <w:rPr>
                <w:sz w:val="22"/>
                <w:szCs w:val="22"/>
                <w:lang w:val="sr-Latn-ME"/>
              </w:rPr>
              <w:t xml:space="preserve">Istovremena primjena aksitiniba sa jakim inhibitorima CYP3A4/5 može da poveća koncentraciju aksitiniba u plazmi (vidjeti </w:t>
            </w:r>
            <w:r w:rsidR="00264191" w:rsidRPr="00D01E98">
              <w:rPr>
                <w:sz w:val="22"/>
                <w:szCs w:val="22"/>
                <w:lang w:val="sr-Latn-ME"/>
              </w:rPr>
              <w:t xml:space="preserve">dio </w:t>
            </w:r>
            <w:r w:rsidRPr="00D01E98">
              <w:rPr>
                <w:sz w:val="22"/>
                <w:szCs w:val="22"/>
                <w:lang w:val="sr-Latn-ME"/>
              </w:rPr>
              <w:t>4.5). Preporučuje se izbor alternativnog lijeka čija istovremena primjena nema ili ima minimalni potencijal inhibicije CYP3A4/5.</w:t>
            </w:r>
          </w:p>
          <w:p w14:paraId="1280546C" w14:textId="77777777" w:rsidR="0020267D" w:rsidRPr="00D01E98" w:rsidRDefault="0020267D">
            <w:pPr>
              <w:pStyle w:val="Tekst"/>
              <w:rPr>
                <w:sz w:val="22"/>
                <w:szCs w:val="22"/>
                <w:lang w:val="sr-Latn-ME"/>
              </w:rPr>
            </w:pPr>
          </w:p>
          <w:p w14:paraId="1F713C42" w14:textId="0D01D727" w:rsidR="00264191" w:rsidRPr="00D01E98" w:rsidRDefault="0020267D">
            <w:pPr>
              <w:pStyle w:val="Tekst"/>
              <w:rPr>
                <w:i/>
                <w:sz w:val="22"/>
                <w:szCs w:val="22"/>
                <w:lang w:val="sr-Latn-ME"/>
              </w:rPr>
            </w:pPr>
            <w:r w:rsidRPr="00D01E98">
              <w:rPr>
                <w:sz w:val="22"/>
                <w:szCs w:val="22"/>
                <w:lang w:val="sr-Latn-ME"/>
              </w:rPr>
              <w:t xml:space="preserve">Iako prilagođavanje doze aksitiniba nije ispitivano kod pacijenata koji su na terapiji jakim inhibitorima CYP3A4/5, ukoliko je istovremena primjena jakog CYP3A4/5 inhibitora neophodna, preporučuje se smanjenje doze aksitiniba na približno polovinu doze (npr. početnu dozu treba smanjiti sa 5 mg dva puta dnevno na 2 mg dva puta dnevno). Kontrola nekih neželjenih reakcija može da zahtijeva privremeni ili trajni prekid terapije aksitinibom (vidjeti </w:t>
            </w:r>
            <w:r w:rsidR="00264191" w:rsidRPr="00D01E98">
              <w:rPr>
                <w:sz w:val="22"/>
                <w:szCs w:val="22"/>
                <w:lang w:val="sr-Latn-ME"/>
              </w:rPr>
              <w:t xml:space="preserve">dio </w:t>
            </w:r>
            <w:r w:rsidRPr="00D01E98">
              <w:rPr>
                <w:sz w:val="22"/>
                <w:szCs w:val="22"/>
                <w:lang w:val="sr-Latn-ME"/>
              </w:rPr>
              <w:t xml:space="preserve">4.4). U slučaju prekida terapije jakim inhibitorom, može se razmotriti ponovno uvođenje aksitiniba u dozi koja se primjenjivala prije nego što je započeta istovremena terapija jakim inhibitorom CYP3A4/5 (vidjeti </w:t>
            </w:r>
            <w:r w:rsidR="00264191" w:rsidRPr="00D01E98">
              <w:rPr>
                <w:sz w:val="22"/>
                <w:szCs w:val="22"/>
                <w:lang w:val="sr-Latn-ME"/>
              </w:rPr>
              <w:t>dio</w:t>
            </w:r>
            <w:r w:rsidRPr="00D01E98">
              <w:rPr>
                <w:sz w:val="22"/>
                <w:szCs w:val="22"/>
                <w:lang w:val="sr-Latn-ME"/>
              </w:rPr>
              <w:t xml:space="preserve"> 4.5).</w:t>
            </w:r>
          </w:p>
          <w:p w14:paraId="049C4C8F" w14:textId="77777777" w:rsidR="00264191" w:rsidRPr="00D01E98" w:rsidRDefault="00264191">
            <w:pPr>
              <w:pStyle w:val="Tekst"/>
              <w:rPr>
                <w:i/>
                <w:sz w:val="22"/>
                <w:szCs w:val="22"/>
                <w:lang w:val="sr-Latn-ME"/>
              </w:rPr>
            </w:pPr>
          </w:p>
          <w:p w14:paraId="6F14F9A9" w14:textId="6258D2CF" w:rsidR="0020267D" w:rsidRPr="00D01E98" w:rsidRDefault="0020267D">
            <w:pPr>
              <w:pStyle w:val="Tekst"/>
              <w:rPr>
                <w:i/>
                <w:sz w:val="22"/>
                <w:szCs w:val="22"/>
                <w:lang w:val="sr-Latn-ME"/>
              </w:rPr>
            </w:pPr>
            <w:r w:rsidRPr="00D01E98">
              <w:rPr>
                <w:i/>
                <w:sz w:val="22"/>
                <w:szCs w:val="22"/>
                <w:lang w:val="sr-Latn-ME"/>
              </w:rPr>
              <w:t>Istovremena primjena sa jakim induktorima CYP3A4/5</w:t>
            </w:r>
          </w:p>
          <w:p w14:paraId="03B67AFA" w14:textId="77777777" w:rsidR="00264191" w:rsidRPr="00D01E98" w:rsidRDefault="00264191">
            <w:pPr>
              <w:pStyle w:val="Tekst"/>
              <w:rPr>
                <w:sz w:val="22"/>
                <w:szCs w:val="22"/>
                <w:lang w:val="sr-Latn-ME"/>
              </w:rPr>
            </w:pPr>
          </w:p>
          <w:p w14:paraId="12BABD5C" w14:textId="1AA7A599" w:rsidR="0020267D" w:rsidRPr="00D01E98" w:rsidRDefault="0020267D">
            <w:pPr>
              <w:pStyle w:val="Tekst"/>
              <w:rPr>
                <w:sz w:val="22"/>
                <w:szCs w:val="22"/>
                <w:lang w:val="sr-Latn-ME"/>
              </w:rPr>
            </w:pPr>
            <w:r w:rsidRPr="00D01E98">
              <w:rPr>
                <w:sz w:val="22"/>
                <w:szCs w:val="22"/>
                <w:lang w:val="sr-Latn-ME"/>
              </w:rPr>
              <w:t xml:space="preserve">Istovremena primjena aksitiniba sa jakim induktorima CYP3A4/5 može da smanji koncentraciju aksitiniba u plazmi (vidjeti </w:t>
            </w:r>
            <w:r w:rsidR="00264191" w:rsidRPr="00D01E98">
              <w:rPr>
                <w:sz w:val="22"/>
                <w:szCs w:val="22"/>
                <w:lang w:val="sr-Latn-ME"/>
              </w:rPr>
              <w:t xml:space="preserve">dio </w:t>
            </w:r>
            <w:r w:rsidRPr="00D01E98">
              <w:rPr>
                <w:sz w:val="22"/>
                <w:szCs w:val="22"/>
                <w:lang w:val="sr-Latn-ME"/>
              </w:rPr>
              <w:t>4.5). Preporučuje se izbor alternativnog lijeka čija istovremena primjena nema ili ima minimalni potencijal za indukciju CYP3A4/5.</w:t>
            </w:r>
          </w:p>
          <w:p w14:paraId="20FF3ABB" w14:textId="77777777" w:rsidR="0020267D" w:rsidRPr="00D01E98" w:rsidRDefault="0020267D">
            <w:pPr>
              <w:pStyle w:val="Tekst"/>
              <w:rPr>
                <w:sz w:val="22"/>
                <w:szCs w:val="22"/>
                <w:lang w:val="sr-Latn-ME"/>
              </w:rPr>
            </w:pPr>
          </w:p>
          <w:p w14:paraId="7A7CD645" w14:textId="0FBF6AF5" w:rsidR="0020267D" w:rsidRPr="00D01E98" w:rsidRDefault="0020267D">
            <w:pPr>
              <w:pStyle w:val="Tekst"/>
              <w:rPr>
                <w:sz w:val="22"/>
                <w:szCs w:val="22"/>
                <w:lang w:val="sr-Latn-ME"/>
              </w:rPr>
            </w:pPr>
            <w:r w:rsidRPr="00D01E98">
              <w:rPr>
                <w:sz w:val="22"/>
                <w:szCs w:val="22"/>
                <w:lang w:val="sr-Latn-ME"/>
              </w:rPr>
              <w:t xml:space="preserve">Iako prilagođavanje doze aksitiniba nije ispitivano kod pacijenata koji primaju jake induktore CYP3A4/5, ukoliko je istovremena primjena jakog CYP3A4/5 induktora neophodna, preporučuje se postepeno povećavati dozu aksitiniba. Prijavljeno je da maksimalna indukcija nastupa u roku od jedne nedjelje nakon terapije visokim dozama jakih induktora CYP3A4/5. Ako se doza aksitiniba poveća, pacijenta treba pažljivo pratiti zbog moguće toksičnosti. Kontrola nekih neželjenih reakcija može da zahtijeva privremeni ili trajni prekid terapije aksitinibom i/ili smanjenje doze (vidjeti </w:t>
            </w:r>
            <w:r w:rsidR="00264191" w:rsidRPr="00D01E98">
              <w:rPr>
                <w:sz w:val="22"/>
                <w:szCs w:val="22"/>
                <w:lang w:val="sr-Latn-ME"/>
              </w:rPr>
              <w:t xml:space="preserve">dio </w:t>
            </w:r>
            <w:r w:rsidRPr="00D01E98">
              <w:rPr>
                <w:sz w:val="22"/>
                <w:szCs w:val="22"/>
                <w:lang w:val="sr-Latn-ME"/>
              </w:rPr>
              <w:t xml:space="preserve">4.4). U slučaju prekida terapije jakim induktorom, dozu aksitiniba treba odmah vratiti na onu koja se primjenjivala prije uvođenja jakog induktora CYP3A4/5 (vidjeti </w:t>
            </w:r>
            <w:r w:rsidR="00264191" w:rsidRPr="00D01E98">
              <w:rPr>
                <w:sz w:val="22"/>
                <w:szCs w:val="22"/>
                <w:lang w:val="sr-Latn-ME"/>
              </w:rPr>
              <w:t xml:space="preserve">dio </w:t>
            </w:r>
            <w:r w:rsidRPr="00D01E98">
              <w:rPr>
                <w:sz w:val="22"/>
                <w:szCs w:val="22"/>
                <w:lang w:val="sr-Latn-ME"/>
              </w:rPr>
              <w:t>4.5).</w:t>
            </w:r>
          </w:p>
          <w:p w14:paraId="22351A11" w14:textId="77777777" w:rsidR="0020267D" w:rsidRPr="00D01E98" w:rsidRDefault="0020267D">
            <w:pPr>
              <w:pStyle w:val="Tekst"/>
              <w:rPr>
                <w:sz w:val="22"/>
                <w:szCs w:val="22"/>
                <w:lang w:val="sr-Latn-ME"/>
              </w:rPr>
            </w:pPr>
          </w:p>
          <w:p w14:paraId="6A35C189" w14:textId="77777777" w:rsidR="0020267D" w:rsidRPr="00D01E98" w:rsidRDefault="0020267D">
            <w:pPr>
              <w:pStyle w:val="Tekst"/>
              <w:rPr>
                <w:i/>
                <w:sz w:val="22"/>
                <w:szCs w:val="22"/>
                <w:u w:val="single"/>
                <w:lang w:val="sr-Latn-ME"/>
              </w:rPr>
            </w:pPr>
            <w:r w:rsidRPr="00D01E98">
              <w:rPr>
                <w:i/>
                <w:sz w:val="22"/>
                <w:szCs w:val="22"/>
                <w:u w:val="single"/>
                <w:lang w:val="sr-Latn-ME"/>
              </w:rPr>
              <w:t>Posebne populacije</w:t>
            </w:r>
          </w:p>
          <w:p w14:paraId="0B7A6E78" w14:textId="77777777" w:rsidR="00551A0D" w:rsidRPr="00D01E98" w:rsidRDefault="00551A0D">
            <w:pPr>
              <w:pStyle w:val="Tekst"/>
              <w:rPr>
                <w:i/>
                <w:sz w:val="22"/>
                <w:szCs w:val="22"/>
                <w:u w:val="single"/>
                <w:lang w:val="sr-Latn-ME"/>
              </w:rPr>
            </w:pPr>
          </w:p>
          <w:p w14:paraId="2B4E89ED" w14:textId="5632E2D5" w:rsidR="000C0EC1" w:rsidRPr="00D01E98" w:rsidRDefault="0020267D">
            <w:pPr>
              <w:pStyle w:val="Tekst"/>
              <w:rPr>
                <w:i/>
                <w:sz w:val="22"/>
                <w:szCs w:val="22"/>
                <w:lang w:val="sr-Latn-ME"/>
              </w:rPr>
            </w:pPr>
            <w:r w:rsidRPr="00D01E98">
              <w:rPr>
                <w:i/>
                <w:sz w:val="22"/>
                <w:szCs w:val="22"/>
                <w:lang w:val="sr-Latn-ME"/>
              </w:rPr>
              <w:t>Stariji pacijenti (</w:t>
            </w:r>
            <w:r w:rsidRPr="00D01E98">
              <w:rPr>
                <w:i/>
                <w:sz w:val="22"/>
                <w:szCs w:val="22"/>
                <w:lang w:val="sr-Latn-ME"/>
              </w:rPr>
              <w:sym w:font="Symbol" w:char="F0B3"/>
            </w:r>
            <w:r w:rsidRPr="00D01E98">
              <w:rPr>
                <w:i/>
                <w:sz w:val="22"/>
                <w:szCs w:val="22"/>
                <w:lang w:val="sr-Latn-ME"/>
              </w:rPr>
              <w:t xml:space="preserve"> 65 godina)</w:t>
            </w:r>
          </w:p>
          <w:p w14:paraId="7F0E04D0" w14:textId="3D7701FC" w:rsidR="0020267D" w:rsidRPr="00D01E98" w:rsidRDefault="0020267D">
            <w:pPr>
              <w:pStyle w:val="Tekst"/>
              <w:rPr>
                <w:sz w:val="22"/>
                <w:szCs w:val="22"/>
                <w:lang w:val="sr-Latn-ME"/>
              </w:rPr>
            </w:pPr>
            <w:r w:rsidRPr="00D01E98">
              <w:rPr>
                <w:sz w:val="22"/>
                <w:szCs w:val="22"/>
                <w:lang w:val="sr-Latn-ME"/>
              </w:rPr>
              <w:lastRenderedPageBreak/>
              <w:t xml:space="preserve">Nije potrebno prilagođavanje doze (vidjeti </w:t>
            </w:r>
            <w:r w:rsidR="00264191" w:rsidRPr="00D01E98">
              <w:rPr>
                <w:sz w:val="22"/>
                <w:szCs w:val="22"/>
                <w:lang w:val="sr-Latn-ME"/>
              </w:rPr>
              <w:t xml:space="preserve">djelove </w:t>
            </w:r>
            <w:r w:rsidRPr="00D01E98">
              <w:rPr>
                <w:sz w:val="22"/>
                <w:szCs w:val="22"/>
                <w:lang w:val="sr-Latn-ME"/>
              </w:rPr>
              <w:t>4.4 i 5.2).</w:t>
            </w:r>
          </w:p>
          <w:p w14:paraId="57DB96D9" w14:textId="77777777" w:rsidR="0020267D" w:rsidRPr="00D01E98" w:rsidRDefault="0020267D">
            <w:pPr>
              <w:pStyle w:val="Tekst"/>
              <w:rPr>
                <w:sz w:val="22"/>
                <w:szCs w:val="22"/>
                <w:lang w:val="sr-Latn-ME"/>
              </w:rPr>
            </w:pPr>
          </w:p>
          <w:p w14:paraId="1E36E344" w14:textId="7934E31C" w:rsidR="000C0EC1" w:rsidRPr="00D01E98" w:rsidRDefault="0020267D">
            <w:pPr>
              <w:pStyle w:val="Tekst"/>
              <w:rPr>
                <w:i/>
                <w:sz w:val="22"/>
                <w:szCs w:val="22"/>
                <w:lang w:val="sr-Latn-ME"/>
              </w:rPr>
            </w:pPr>
            <w:r w:rsidRPr="00D01E98">
              <w:rPr>
                <w:i/>
                <w:sz w:val="22"/>
                <w:szCs w:val="22"/>
                <w:lang w:val="sr-Latn-ME"/>
              </w:rPr>
              <w:t>Primjena kod pacijenata sa oštećenom funkcijom bubrega</w:t>
            </w:r>
          </w:p>
          <w:p w14:paraId="3AB978C7" w14:textId="1993F73E" w:rsidR="0020267D" w:rsidRPr="00D01E98" w:rsidRDefault="0020267D">
            <w:pPr>
              <w:pStyle w:val="Tekst"/>
              <w:rPr>
                <w:sz w:val="22"/>
                <w:szCs w:val="22"/>
                <w:lang w:val="sr-Latn-ME"/>
              </w:rPr>
            </w:pPr>
            <w:r w:rsidRPr="00D01E98">
              <w:rPr>
                <w:sz w:val="22"/>
                <w:szCs w:val="22"/>
                <w:lang w:val="sr-Latn-ME"/>
              </w:rPr>
              <w:t xml:space="preserve">Nije potrebno prilagođavanje doze (vidjeti </w:t>
            </w:r>
            <w:r w:rsidR="00264191" w:rsidRPr="00D01E98">
              <w:rPr>
                <w:sz w:val="22"/>
                <w:szCs w:val="22"/>
                <w:lang w:val="sr-Latn-ME"/>
              </w:rPr>
              <w:t>dio</w:t>
            </w:r>
            <w:r w:rsidRPr="00D01E98">
              <w:rPr>
                <w:sz w:val="22"/>
                <w:szCs w:val="22"/>
                <w:lang w:val="sr-Latn-ME"/>
              </w:rPr>
              <w:t xml:space="preserve"> 5.2). Nijesu dostupni podaci o primjeni aksitiniba kod pacijenata sa klirensom kreatinina &lt; 15 ml/min. </w:t>
            </w:r>
          </w:p>
          <w:p w14:paraId="785B324C" w14:textId="77777777" w:rsidR="0020267D" w:rsidRPr="00D01E98" w:rsidRDefault="0020267D">
            <w:pPr>
              <w:pStyle w:val="Tekst"/>
              <w:rPr>
                <w:sz w:val="22"/>
                <w:szCs w:val="22"/>
                <w:lang w:val="sr-Latn-ME"/>
              </w:rPr>
            </w:pPr>
          </w:p>
          <w:p w14:paraId="5DA57CCD" w14:textId="1239AA4F" w:rsidR="000C0EC1" w:rsidRPr="00D01E98" w:rsidRDefault="0020267D">
            <w:pPr>
              <w:pStyle w:val="Tekst"/>
              <w:rPr>
                <w:sz w:val="22"/>
                <w:szCs w:val="22"/>
                <w:lang w:val="sr-Latn-ME"/>
              </w:rPr>
            </w:pPr>
            <w:r w:rsidRPr="00D01E98">
              <w:rPr>
                <w:i/>
                <w:sz w:val="22"/>
                <w:szCs w:val="22"/>
                <w:lang w:val="sr-Latn-ME"/>
              </w:rPr>
              <w:t>Primjena kod pacijenata sa oštećenom funkcijom jetre</w:t>
            </w:r>
          </w:p>
          <w:p w14:paraId="30B1B398" w14:textId="5C80BF11" w:rsidR="0020267D" w:rsidRPr="00D01E98" w:rsidRDefault="0020267D">
            <w:pPr>
              <w:pStyle w:val="Tekst"/>
              <w:rPr>
                <w:sz w:val="22"/>
                <w:szCs w:val="22"/>
                <w:lang w:val="sr-Latn-ME"/>
              </w:rPr>
            </w:pPr>
            <w:r w:rsidRPr="00D01E98">
              <w:rPr>
                <w:sz w:val="22"/>
                <w:szCs w:val="22"/>
                <w:lang w:val="sr-Latn-ME"/>
              </w:rPr>
              <w:t xml:space="preserve">Nije potrebno prilagođavanje doze kada se aksitinib primjenjuje kod pacijenata sa blagim oštećenjem funkcije jetre (Child-Pugh klasa A). Preporučuje se smanjenje doze kada se aksitinib primjenjuje kod pacijenata sa umjerenim oštećenjem funkcije jetre (Child-Pugh klasa B) (npr. početnu dozu treba smanjiti sa 5 mg dva puta dnevno na 2 mg dva puta dnevno). Primjena aksitiniba nije ispitivana kod pacijenata sa teškim oštećenjem funkcije jetre (Child-Pugh klasa C) i ne smije se primjenjivati u ovoj populaciji (vidjeti </w:t>
            </w:r>
            <w:r w:rsidR="00264191" w:rsidRPr="00D01E98">
              <w:rPr>
                <w:sz w:val="22"/>
                <w:szCs w:val="22"/>
                <w:lang w:val="sr-Latn-ME"/>
              </w:rPr>
              <w:t xml:space="preserve">djelove </w:t>
            </w:r>
            <w:r w:rsidRPr="00D01E98">
              <w:rPr>
                <w:sz w:val="22"/>
                <w:szCs w:val="22"/>
                <w:lang w:val="sr-Latn-ME"/>
              </w:rPr>
              <w:t>4.4 i 5.2).</w:t>
            </w:r>
          </w:p>
          <w:p w14:paraId="2C439002" w14:textId="77777777" w:rsidR="0020267D" w:rsidRPr="00D01E98" w:rsidRDefault="0020267D">
            <w:pPr>
              <w:pStyle w:val="Tekst"/>
              <w:rPr>
                <w:sz w:val="22"/>
                <w:szCs w:val="22"/>
                <w:lang w:val="sr-Latn-ME"/>
              </w:rPr>
            </w:pPr>
          </w:p>
          <w:p w14:paraId="71ECCCBF" w14:textId="1F21C4F6" w:rsidR="000C0EC1" w:rsidRPr="00D01E98" w:rsidRDefault="008447ED">
            <w:pPr>
              <w:pStyle w:val="Tekst"/>
              <w:rPr>
                <w:i/>
                <w:sz w:val="22"/>
                <w:szCs w:val="22"/>
                <w:u w:val="single"/>
                <w:lang w:val="sr-Latn-ME"/>
              </w:rPr>
            </w:pPr>
            <w:r w:rsidRPr="00D01E98">
              <w:rPr>
                <w:i/>
                <w:sz w:val="22"/>
                <w:szCs w:val="22"/>
                <w:lang w:val="sr-Latn-ME"/>
              </w:rPr>
              <w:t>Pedijatrijska populacija</w:t>
            </w:r>
          </w:p>
          <w:p w14:paraId="2477AACF" w14:textId="4947620E" w:rsidR="0020267D" w:rsidRPr="00D01E98" w:rsidRDefault="0020267D">
            <w:pPr>
              <w:pStyle w:val="Tekst"/>
              <w:rPr>
                <w:sz w:val="22"/>
                <w:szCs w:val="22"/>
                <w:lang w:val="sr-Latn-ME"/>
              </w:rPr>
            </w:pPr>
            <w:r w:rsidRPr="00D01E98">
              <w:rPr>
                <w:sz w:val="22"/>
                <w:szCs w:val="22"/>
                <w:lang w:val="sr-Latn-ME"/>
              </w:rPr>
              <w:t xml:space="preserve">Nije utvrđena bezbjednost i efikasnost </w:t>
            </w:r>
            <w:r w:rsidR="000C0EC1" w:rsidRPr="00D01E98">
              <w:rPr>
                <w:sz w:val="22"/>
                <w:szCs w:val="22"/>
                <w:lang w:val="sr-Latn-ME"/>
              </w:rPr>
              <w:t>l</w:t>
            </w:r>
            <w:r w:rsidR="009E4687" w:rsidRPr="00D01E98">
              <w:rPr>
                <w:sz w:val="22"/>
                <w:szCs w:val="22"/>
                <w:lang w:val="sr-Latn-ME"/>
              </w:rPr>
              <w:t>ij</w:t>
            </w:r>
            <w:r w:rsidR="000C0EC1" w:rsidRPr="00D01E98">
              <w:rPr>
                <w:sz w:val="22"/>
                <w:szCs w:val="22"/>
                <w:lang w:val="sr-Latn-ME"/>
              </w:rPr>
              <w:t xml:space="preserve">eka Inlyta </w:t>
            </w:r>
            <w:r w:rsidRPr="00D01E98">
              <w:rPr>
                <w:sz w:val="22"/>
                <w:szCs w:val="22"/>
                <w:lang w:val="sr-Latn-ME"/>
              </w:rPr>
              <w:t>kod djece i adolescenata &lt; 18 godina. Nema dostupnih podataka.</w:t>
            </w:r>
          </w:p>
          <w:p w14:paraId="1DE07E93" w14:textId="77777777" w:rsidR="0020267D" w:rsidRPr="00D01E98" w:rsidRDefault="0020267D">
            <w:pPr>
              <w:pStyle w:val="Tekst"/>
              <w:rPr>
                <w:sz w:val="22"/>
                <w:szCs w:val="22"/>
                <w:lang w:val="sr-Latn-ME"/>
              </w:rPr>
            </w:pPr>
          </w:p>
          <w:p w14:paraId="486489CB" w14:textId="77777777" w:rsidR="0020267D" w:rsidRPr="00D01E98" w:rsidRDefault="0020267D">
            <w:pPr>
              <w:pStyle w:val="Tekst"/>
              <w:rPr>
                <w:sz w:val="22"/>
                <w:szCs w:val="22"/>
                <w:u w:val="single"/>
                <w:lang w:val="sr-Latn-ME"/>
              </w:rPr>
            </w:pPr>
            <w:r w:rsidRPr="00D01E98">
              <w:rPr>
                <w:sz w:val="22"/>
                <w:szCs w:val="22"/>
                <w:u w:val="single"/>
                <w:lang w:val="sr-Latn-ME"/>
              </w:rPr>
              <w:t>Način primjene</w:t>
            </w:r>
          </w:p>
          <w:p w14:paraId="721E845E" w14:textId="77777777" w:rsidR="00551A0D" w:rsidRPr="00D01E98" w:rsidRDefault="00551A0D">
            <w:pPr>
              <w:pStyle w:val="Tekst"/>
              <w:rPr>
                <w:sz w:val="22"/>
                <w:szCs w:val="22"/>
                <w:u w:val="single"/>
                <w:lang w:val="sr-Latn-ME"/>
              </w:rPr>
            </w:pPr>
          </w:p>
          <w:p w14:paraId="54071A05" w14:textId="522EDC32" w:rsidR="0020267D" w:rsidRPr="00D01E98" w:rsidRDefault="0020267D">
            <w:pPr>
              <w:pStyle w:val="Tekst"/>
              <w:rPr>
                <w:sz w:val="22"/>
                <w:szCs w:val="22"/>
                <w:lang w:val="sr-Latn-ME"/>
              </w:rPr>
            </w:pPr>
            <w:r w:rsidRPr="00D01E98">
              <w:rPr>
                <w:sz w:val="22"/>
                <w:szCs w:val="22"/>
                <w:lang w:val="sr-Latn-ME"/>
              </w:rPr>
              <w:t xml:space="preserve">Aksitinib </w:t>
            </w:r>
            <w:r w:rsidR="000C0EC1" w:rsidRPr="00D01E98">
              <w:rPr>
                <w:sz w:val="22"/>
                <w:szCs w:val="22"/>
                <w:lang w:val="sr-Latn-ME"/>
              </w:rPr>
              <w:t xml:space="preserve">je za oralnu upotrebu. Tablete </w:t>
            </w:r>
            <w:r w:rsidRPr="00D01E98">
              <w:rPr>
                <w:sz w:val="22"/>
                <w:szCs w:val="22"/>
                <w:lang w:val="sr-Latn-ME"/>
              </w:rPr>
              <w:t xml:space="preserve">treba uzimati peroralno dva puta dnevno u razmaku od približno 12 sati sa hranom ili bez nje (vidjeti </w:t>
            </w:r>
            <w:r w:rsidR="00264191" w:rsidRPr="00D01E98">
              <w:rPr>
                <w:sz w:val="22"/>
                <w:szCs w:val="22"/>
                <w:lang w:val="sr-Latn-ME"/>
              </w:rPr>
              <w:t>dio</w:t>
            </w:r>
            <w:r w:rsidRPr="00D01E98">
              <w:rPr>
                <w:sz w:val="22"/>
                <w:szCs w:val="22"/>
                <w:lang w:val="sr-Latn-ME"/>
              </w:rPr>
              <w:t xml:space="preserve"> 5.2). </w:t>
            </w:r>
            <w:r w:rsidR="000C0EC1" w:rsidRPr="00D01E98">
              <w:rPr>
                <w:sz w:val="22"/>
                <w:szCs w:val="22"/>
                <w:lang w:val="sr-Latn-ME"/>
              </w:rPr>
              <w:t>T</w:t>
            </w:r>
            <w:r w:rsidRPr="00D01E98">
              <w:rPr>
                <w:sz w:val="22"/>
                <w:szCs w:val="22"/>
                <w:lang w:val="sr-Latn-ME"/>
              </w:rPr>
              <w:t>ablete treba progutati cijele sa čašom vode.</w:t>
            </w:r>
          </w:p>
        </w:tc>
      </w:tr>
      <w:tr w:rsidR="0020267D" w:rsidRPr="00D01E98" w14:paraId="63A02A4C" w14:textId="77777777" w:rsidTr="00757DA0">
        <w:trPr>
          <w:trHeight w:val="630"/>
        </w:trPr>
        <w:tc>
          <w:tcPr>
            <w:tcW w:w="9906" w:type="dxa"/>
            <w:gridSpan w:val="3"/>
            <w:shd w:val="clear" w:color="auto" w:fill="auto"/>
            <w:vAlign w:val="center"/>
          </w:tcPr>
          <w:p w14:paraId="12BFD021" w14:textId="77777777" w:rsidR="0020267D" w:rsidRPr="00D01E98" w:rsidRDefault="0020267D" w:rsidP="00923DFD">
            <w:pPr>
              <w:pStyle w:val="Header"/>
              <w:tabs>
                <w:tab w:val="left" w:pos="284"/>
              </w:tabs>
              <w:jc w:val="both"/>
              <w:rPr>
                <w:b/>
                <w:bCs/>
                <w:sz w:val="22"/>
                <w:szCs w:val="22"/>
              </w:rPr>
            </w:pPr>
            <w:r w:rsidRPr="00D01E98">
              <w:rPr>
                <w:b/>
                <w:bCs/>
                <w:sz w:val="22"/>
                <w:szCs w:val="22"/>
              </w:rPr>
              <w:lastRenderedPageBreak/>
              <w:t>4.3. Kontraindikacije</w:t>
            </w:r>
          </w:p>
        </w:tc>
      </w:tr>
      <w:tr w:rsidR="0020267D" w:rsidRPr="00D01E98" w14:paraId="5DE4C099" w14:textId="77777777" w:rsidTr="00757DA0">
        <w:trPr>
          <w:trHeight w:val="630"/>
        </w:trPr>
        <w:tc>
          <w:tcPr>
            <w:tcW w:w="9906" w:type="dxa"/>
            <w:gridSpan w:val="3"/>
            <w:shd w:val="clear" w:color="auto" w:fill="auto"/>
            <w:vAlign w:val="center"/>
          </w:tcPr>
          <w:p w14:paraId="12839B2D" w14:textId="236D0453" w:rsidR="0020267D" w:rsidRPr="00D01E98" w:rsidRDefault="0020267D" w:rsidP="00923DFD">
            <w:pPr>
              <w:jc w:val="both"/>
              <w:rPr>
                <w:sz w:val="22"/>
                <w:szCs w:val="22"/>
              </w:rPr>
            </w:pPr>
            <w:r w:rsidRPr="00D01E98">
              <w:rPr>
                <w:sz w:val="22"/>
                <w:szCs w:val="22"/>
              </w:rPr>
              <w:t xml:space="preserve">Preosjetljivost na aksitinib ili na bilo koju od pomoćnih supstanci navedenih u </w:t>
            </w:r>
            <w:r w:rsidR="00264191" w:rsidRPr="00D01E98">
              <w:rPr>
                <w:sz w:val="22"/>
                <w:szCs w:val="22"/>
              </w:rPr>
              <w:t xml:space="preserve">dijelu </w:t>
            </w:r>
            <w:r w:rsidRPr="00D01E98">
              <w:rPr>
                <w:sz w:val="22"/>
                <w:szCs w:val="22"/>
              </w:rPr>
              <w:t>6.1.</w:t>
            </w:r>
          </w:p>
        </w:tc>
      </w:tr>
      <w:tr w:rsidR="0020267D" w:rsidRPr="00D01E98" w14:paraId="22657BDF" w14:textId="77777777" w:rsidTr="00757DA0">
        <w:trPr>
          <w:trHeight w:val="657"/>
        </w:trPr>
        <w:tc>
          <w:tcPr>
            <w:tcW w:w="9906" w:type="dxa"/>
            <w:gridSpan w:val="3"/>
            <w:shd w:val="clear" w:color="auto" w:fill="auto"/>
            <w:vAlign w:val="center"/>
          </w:tcPr>
          <w:p w14:paraId="2BBD90B7" w14:textId="77777777" w:rsidR="0020267D" w:rsidRPr="00D01E98" w:rsidRDefault="0020267D" w:rsidP="00923DFD">
            <w:pPr>
              <w:pStyle w:val="Header"/>
              <w:tabs>
                <w:tab w:val="left" w:pos="284"/>
              </w:tabs>
              <w:jc w:val="both"/>
              <w:rPr>
                <w:b/>
                <w:bCs/>
                <w:sz w:val="22"/>
                <w:szCs w:val="22"/>
              </w:rPr>
            </w:pPr>
            <w:r w:rsidRPr="00D01E98">
              <w:rPr>
                <w:b/>
                <w:bCs/>
                <w:sz w:val="22"/>
                <w:szCs w:val="22"/>
              </w:rPr>
              <w:t>4.4. Posebna upozorenja i mjere opreza pri upotrebi lijeka</w:t>
            </w:r>
          </w:p>
        </w:tc>
      </w:tr>
      <w:tr w:rsidR="0020267D" w:rsidRPr="00D01E98" w14:paraId="1A4C8C4E" w14:textId="77777777" w:rsidTr="00757DA0">
        <w:trPr>
          <w:trHeight w:val="360"/>
        </w:trPr>
        <w:tc>
          <w:tcPr>
            <w:tcW w:w="9906" w:type="dxa"/>
            <w:gridSpan w:val="3"/>
            <w:shd w:val="clear" w:color="auto" w:fill="auto"/>
            <w:vAlign w:val="center"/>
          </w:tcPr>
          <w:p w14:paraId="2A4DE71D" w14:textId="77777777" w:rsidR="0020267D" w:rsidRPr="00D01E98" w:rsidRDefault="0020267D">
            <w:pPr>
              <w:pStyle w:val="Tekst"/>
              <w:rPr>
                <w:sz w:val="22"/>
                <w:szCs w:val="22"/>
                <w:lang w:val="sr-Latn-ME"/>
              </w:rPr>
            </w:pPr>
            <w:r w:rsidRPr="00D01E98">
              <w:rPr>
                <w:sz w:val="22"/>
                <w:szCs w:val="22"/>
                <w:lang w:val="sr-Latn-ME"/>
              </w:rPr>
              <w:t>Pojedine bezbjednosne događaje treba pratiti prije početka i periodično tokom terapije aksitinibom, kao što je opisano dalje u tekstu.</w:t>
            </w:r>
          </w:p>
          <w:p w14:paraId="09A819DB" w14:textId="77777777" w:rsidR="0020267D" w:rsidRPr="00D01E98" w:rsidRDefault="0020267D">
            <w:pPr>
              <w:pStyle w:val="Tekst"/>
              <w:rPr>
                <w:sz w:val="22"/>
                <w:szCs w:val="22"/>
                <w:lang w:val="sr-Latn-ME"/>
              </w:rPr>
            </w:pPr>
          </w:p>
          <w:p w14:paraId="10F4A3A1" w14:textId="77777777" w:rsidR="0020267D" w:rsidRPr="00D01E98" w:rsidRDefault="0020267D" w:rsidP="00923DFD">
            <w:pPr>
              <w:keepNext/>
              <w:jc w:val="both"/>
              <w:rPr>
                <w:bCs/>
                <w:sz w:val="22"/>
                <w:szCs w:val="22"/>
                <w:u w:val="single"/>
              </w:rPr>
            </w:pPr>
            <w:r w:rsidRPr="00D01E98">
              <w:rPr>
                <w:bCs/>
                <w:sz w:val="22"/>
                <w:szCs w:val="22"/>
                <w:u w:val="single"/>
              </w:rPr>
              <w:t>Događaji povezani sa srčanom insuficijencijom</w:t>
            </w:r>
          </w:p>
          <w:p w14:paraId="14360C64" w14:textId="3B5E3906" w:rsidR="0020267D" w:rsidRPr="00D01E98" w:rsidRDefault="0020267D" w:rsidP="00923DFD">
            <w:pPr>
              <w:jc w:val="both"/>
              <w:rPr>
                <w:sz w:val="22"/>
                <w:szCs w:val="22"/>
              </w:rPr>
            </w:pPr>
            <w:r w:rsidRPr="00D01E98">
              <w:rPr>
                <w:sz w:val="22"/>
                <w:szCs w:val="22"/>
              </w:rPr>
              <w:t>U kliničk</w:t>
            </w:r>
            <w:r w:rsidR="000C0EC1" w:rsidRPr="00D01E98">
              <w:rPr>
                <w:sz w:val="22"/>
                <w:szCs w:val="22"/>
              </w:rPr>
              <w:t>i</w:t>
            </w:r>
            <w:r w:rsidRPr="00D01E98">
              <w:rPr>
                <w:sz w:val="22"/>
                <w:szCs w:val="22"/>
              </w:rPr>
              <w:t>m ispitivanj</w:t>
            </w:r>
            <w:r w:rsidR="000C0EC1" w:rsidRPr="00D01E98">
              <w:rPr>
                <w:sz w:val="22"/>
                <w:szCs w:val="22"/>
              </w:rPr>
              <w:t>ima</w:t>
            </w:r>
            <w:r w:rsidRPr="00D01E98">
              <w:rPr>
                <w:sz w:val="22"/>
                <w:szCs w:val="22"/>
              </w:rPr>
              <w:t xml:space="preserve"> sa aksitinibom za liječenje pacijenata sa RCC, prijavljeni su događaji </w:t>
            </w:r>
            <w:r w:rsidRPr="00D01E98">
              <w:rPr>
                <w:bCs/>
                <w:sz w:val="22"/>
                <w:szCs w:val="22"/>
              </w:rPr>
              <w:t xml:space="preserve">povezani sa srčanom insuficijencijom </w:t>
            </w:r>
            <w:r w:rsidRPr="00D01E98">
              <w:rPr>
                <w:sz w:val="22"/>
                <w:szCs w:val="22"/>
              </w:rPr>
              <w:t xml:space="preserve">(uključujući srčanu insuficijenciju, kongestivnu srčanu insuficijenciju, kardiopulmonarnu insuficijenciju, disfunkciju lijeve komore, smanjenje ejekcione frakcije i insuficijenciju desne komore) (vidjeti </w:t>
            </w:r>
            <w:r w:rsidR="00264191" w:rsidRPr="00D01E98">
              <w:rPr>
                <w:sz w:val="22"/>
                <w:szCs w:val="22"/>
              </w:rPr>
              <w:t>dio</w:t>
            </w:r>
            <w:r w:rsidRPr="00D01E98">
              <w:rPr>
                <w:sz w:val="22"/>
                <w:szCs w:val="22"/>
              </w:rPr>
              <w:t xml:space="preserve"> 4.8).</w:t>
            </w:r>
          </w:p>
          <w:p w14:paraId="788614F1" w14:textId="77777777" w:rsidR="0020267D" w:rsidRPr="00D01E98" w:rsidRDefault="0020267D" w:rsidP="00923DFD">
            <w:pPr>
              <w:jc w:val="both"/>
              <w:rPr>
                <w:sz w:val="22"/>
                <w:szCs w:val="22"/>
              </w:rPr>
            </w:pPr>
          </w:p>
          <w:p w14:paraId="4ADE5FBB" w14:textId="77777777" w:rsidR="0020267D" w:rsidRPr="00D01E98" w:rsidRDefault="0020267D">
            <w:pPr>
              <w:pStyle w:val="Tekst"/>
              <w:rPr>
                <w:sz w:val="22"/>
                <w:szCs w:val="22"/>
                <w:lang w:val="sr-Latn-ME"/>
              </w:rPr>
            </w:pPr>
            <w:r w:rsidRPr="00D01E98">
              <w:rPr>
                <w:sz w:val="22"/>
                <w:szCs w:val="22"/>
                <w:lang w:val="sr-Latn-ME"/>
              </w:rPr>
              <w:t xml:space="preserve">Tokom terapije aksitinibom treba periodično pratiti znake i simptome </w:t>
            </w:r>
            <w:r w:rsidRPr="00D01E98">
              <w:rPr>
                <w:bCs w:val="0"/>
                <w:sz w:val="22"/>
                <w:szCs w:val="22"/>
                <w:lang w:val="sr-Latn-ME"/>
              </w:rPr>
              <w:t xml:space="preserve">srčane insuficijencije. </w:t>
            </w:r>
            <w:r w:rsidRPr="00D01E98">
              <w:rPr>
                <w:sz w:val="22"/>
                <w:szCs w:val="22"/>
                <w:lang w:val="sr-Latn-ME"/>
              </w:rPr>
              <w:t xml:space="preserve">Kontrola događaja </w:t>
            </w:r>
            <w:r w:rsidRPr="00D01E98">
              <w:rPr>
                <w:bCs w:val="0"/>
                <w:sz w:val="22"/>
                <w:szCs w:val="22"/>
                <w:lang w:val="sr-Latn-ME"/>
              </w:rPr>
              <w:t xml:space="preserve">povezanih sa srčanom insuficijencijom </w:t>
            </w:r>
            <w:r w:rsidRPr="00D01E98">
              <w:rPr>
                <w:sz w:val="22"/>
                <w:szCs w:val="22"/>
                <w:lang w:val="sr-Latn-ME"/>
              </w:rPr>
              <w:t>može zahtijevati privremeni ili trajni prekid terapije i/ili smanjenje doze aksitiniba.</w:t>
            </w:r>
          </w:p>
          <w:p w14:paraId="500B5E47" w14:textId="77777777" w:rsidR="0020267D" w:rsidRPr="00D01E98" w:rsidRDefault="0020267D">
            <w:pPr>
              <w:pStyle w:val="Tekst"/>
              <w:rPr>
                <w:sz w:val="22"/>
                <w:szCs w:val="22"/>
                <w:lang w:val="sr-Latn-ME"/>
              </w:rPr>
            </w:pPr>
          </w:p>
          <w:p w14:paraId="5F2C9F5C" w14:textId="77777777" w:rsidR="0020267D" w:rsidRPr="00D01E98" w:rsidRDefault="0020267D">
            <w:pPr>
              <w:pStyle w:val="Tekst"/>
              <w:rPr>
                <w:sz w:val="22"/>
                <w:szCs w:val="22"/>
                <w:u w:val="single"/>
                <w:lang w:val="sr-Latn-ME"/>
              </w:rPr>
            </w:pPr>
            <w:r w:rsidRPr="00D01E98">
              <w:rPr>
                <w:sz w:val="22"/>
                <w:szCs w:val="22"/>
                <w:u w:val="single"/>
                <w:lang w:val="sr-Latn-ME"/>
              </w:rPr>
              <w:t>Hipertenzija</w:t>
            </w:r>
          </w:p>
          <w:p w14:paraId="4DEA76E5" w14:textId="28BE7C97" w:rsidR="000C0EC1" w:rsidRPr="00D01E98" w:rsidRDefault="0020267D">
            <w:pPr>
              <w:pStyle w:val="Tekst"/>
              <w:rPr>
                <w:sz w:val="22"/>
                <w:szCs w:val="22"/>
                <w:lang w:val="sr-Latn-ME"/>
              </w:rPr>
            </w:pPr>
            <w:r w:rsidRPr="00D01E98">
              <w:rPr>
                <w:sz w:val="22"/>
                <w:szCs w:val="22"/>
                <w:lang w:val="sr-Latn-ME"/>
              </w:rPr>
              <w:t>U kliničk</w:t>
            </w:r>
            <w:r w:rsidR="000C0EC1" w:rsidRPr="00D01E98">
              <w:rPr>
                <w:sz w:val="22"/>
                <w:szCs w:val="22"/>
                <w:lang w:val="sr-Latn-ME"/>
              </w:rPr>
              <w:t>i</w:t>
            </w:r>
            <w:r w:rsidRPr="00D01E98">
              <w:rPr>
                <w:sz w:val="22"/>
                <w:szCs w:val="22"/>
                <w:lang w:val="sr-Latn-ME"/>
              </w:rPr>
              <w:t>m ispitivanj</w:t>
            </w:r>
            <w:r w:rsidR="000C0EC1" w:rsidRPr="00D01E98">
              <w:rPr>
                <w:sz w:val="22"/>
                <w:szCs w:val="22"/>
                <w:lang w:val="sr-Latn-ME"/>
              </w:rPr>
              <w:t>ima</w:t>
            </w:r>
            <w:r w:rsidRPr="00D01E98">
              <w:rPr>
                <w:sz w:val="22"/>
                <w:szCs w:val="22"/>
                <w:lang w:val="sr-Latn-ME"/>
              </w:rPr>
              <w:t xml:space="preserve"> aksitiniba u liječenju pacijenata sa RCC, hipertenzija je prijavljivana veoma često (vidjeti </w:t>
            </w:r>
            <w:r w:rsidR="00264191" w:rsidRPr="00D01E98">
              <w:rPr>
                <w:sz w:val="22"/>
                <w:szCs w:val="22"/>
                <w:lang w:val="sr-Latn-ME"/>
              </w:rPr>
              <w:t>dio</w:t>
            </w:r>
            <w:r w:rsidRPr="00D01E98">
              <w:rPr>
                <w:sz w:val="22"/>
                <w:szCs w:val="22"/>
                <w:lang w:val="sr-Latn-ME"/>
              </w:rPr>
              <w:t xml:space="preserve"> 4.8). </w:t>
            </w:r>
          </w:p>
          <w:p w14:paraId="36E00D4D" w14:textId="77777777" w:rsidR="000C0EC1" w:rsidRPr="00D01E98" w:rsidRDefault="000C0EC1">
            <w:pPr>
              <w:pStyle w:val="Tekst"/>
              <w:rPr>
                <w:sz w:val="22"/>
                <w:szCs w:val="22"/>
                <w:lang w:val="sr-Latn-ME"/>
              </w:rPr>
            </w:pPr>
          </w:p>
          <w:p w14:paraId="4C6B2235" w14:textId="6667A259" w:rsidR="0020267D" w:rsidRPr="00D01E98" w:rsidRDefault="000C0EC1">
            <w:pPr>
              <w:pStyle w:val="Tekst"/>
              <w:rPr>
                <w:sz w:val="22"/>
                <w:szCs w:val="22"/>
                <w:lang w:val="sr-Latn-ME"/>
              </w:rPr>
            </w:pPr>
            <w:r w:rsidRPr="00D01E98">
              <w:rPr>
                <w:sz w:val="22"/>
                <w:szCs w:val="22"/>
                <w:lang w:val="sr-Latn-ME"/>
              </w:rPr>
              <w:t>U kontrolisano</w:t>
            </w:r>
            <w:r w:rsidR="00DF01F5" w:rsidRPr="00D01E98">
              <w:rPr>
                <w:sz w:val="22"/>
                <w:szCs w:val="22"/>
                <w:lang w:val="sr-Latn-ME"/>
              </w:rPr>
              <w:t>m</w:t>
            </w:r>
            <w:r w:rsidRPr="00D01E98">
              <w:rPr>
                <w:sz w:val="22"/>
                <w:szCs w:val="22"/>
                <w:lang w:val="sr-Latn-ME"/>
              </w:rPr>
              <w:t xml:space="preserve"> kliničko</w:t>
            </w:r>
            <w:r w:rsidR="00DF01F5" w:rsidRPr="00D01E98">
              <w:rPr>
                <w:sz w:val="22"/>
                <w:szCs w:val="22"/>
                <w:lang w:val="sr-Latn-ME"/>
              </w:rPr>
              <w:t>m</w:t>
            </w:r>
            <w:r w:rsidRPr="00D01E98">
              <w:rPr>
                <w:sz w:val="22"/>
                <w:szCs w:val="22"/>
                <w:lang w:val="sr-Latn-ME"/>
              </w:rPr>
              <w:t xml:space="preserve"> </w:t>
            </w:r>
            <w:r w:rsidR="00DF01F5" w:rsidRPr="00D01E98">
              <w:rPr>
                <w:sz w:val="22"/>
                <w:szCs w:val="22"/>
                <w:lang w:val="sr-Latn-ME"/>
              </w:rPr>
              <w:t>ispitivanju</w:t>
            </w:r>
            <w:r w:rsidRPr="00D01E98">
              <w:rPr>
                <w:sz w:val="22"/>
                <w:szCs w:val="22"/>
                <w:lang w:val="sr-Latn-ME"/>
              </w:rPr>
              <w:t xml:space="preserve"> m</w:t>
            </w:r>
            <w:r w:rsidR="0020267D" w:rsidRPr="00D01E98">
              <w:rPr>
                <w:sz w:val="22"/>
                <w:szCs w:val="22"/>
                <w:lang w:val="sr-Latn-ME"/>
              </w:rPr>
              <w:t>edijana vremena nastupa hipertenzije (sistolni krvni pritisak &gt; 150 mmHg ili dijastolni krvni pritisak &gt; 100 mmHg) bila je u prvih mjesec dana od početka terapije aksitinibom, a povišenje krvnog pritiska uočeno je ve</w:t>
            </w:r>
            <w:r w:rsidR="00B30992" w:rsidRPr="00D01E98">
              <w:rPr>
                <w:sz w:val="22"/>
                <w:szCs w:val="22"/>
                <w:lang w:val="sr-Latn-ME"/>
              </w:rPr>
              <w:t>ć</w:t>
            </w:r>
            <w:r w:rsidR="0020267D" w:rsidRPr="00D01E98">
              <w:rPr>
                <w:sz w:val="22"/>
                <w:szCs w:val="22"/>
                <w:lang w:val="sr-Latn-ME"/>
              </w:rPr>
              <w:t xml:space="preserve"> 4 dana nakon uvođenja aksitiniba.</w:t>
            </w:r>
          </w:p>
          <w:p w14:paraId="450C1FEC" w14:textId="77777777" w:rsidR="0020267D" w:rsidRPr="00D01E98" w:rsidRDefault="0020267D">
            <w:pPr>
              <w:pStyle w:val="Tekst"/>
              <w:rPr>
                <w:sz w:val="22"/>
                <w:szCs w:val="22"/>
                <w:lang w:val="sr-Latn-ME"/>
              </w:rPr>
            </w:pPr>
          </w:p>
          <w:p w14:paraId="6FADDA42" w14:textId="0375BC08" w:rsidR="0020267D" w:rsidRPr="00D01E98" w:rsidRDefault="0020267D">
            <w:pPr>
              <w:pStyle w:val="Tekst"/>
              <w:rPr>
                <w:sz w:val="22"/>
                <w:szCs w:val="22"/>
                <w:lang w:val="sr-Latn-ME"/>
              </w:rPr>
            </w:pPr>
            <w:r w:rsidRPr="00D01E98">
              <w:rPr>
                <w:sz w:val="22"/>
                <w:szCs w:val="22"/>
                <w:lang w:val="sr-Latn-ME"/>
              </w:rPr>
              <w:t xml:space="preserve">Prije uvođenja aksitiniba u terapiju potrebno je uspostaviti kontrolu krvnog pritiska. Pacijente treba pratiti u odnosu na znake hipertenzije i ako je neophodno liječiti standardnom antihipertenzivnom terapijom. U slučaju perzistentne hipertenzije uprkos korišćenju antihipertenzivnih ljekova, dozu aksitiniba treba smanjiti. Kod pacijenata kod kojih se javi teška hipertenzija, primjenu aksitiniba treba privremeno prekinuti i ponovo početi sa manjom dozom kada se postigne normotenzija. U slučaju prekida primjene aksitiniba kod pacijenata koji primaju antihipertenzivnu terapiju treba pratiti znake hipotenzije (vidjeti </w:t>
            </w:r>
            <w:r w:rsidR="00264191" w:rsidRPr="00D01E98">
              <w:rPr>
                <w:sz w:val="22"/>
                <w:szCs w:val="22"/>
                <w:lang w:val="sr-Latn-ME"/>
              </w:rPr>
              <w:t>dio</w:t>
            </w:r>
            <w:r w:rsidRPr="00D01E98">
              <w:rPr>
                <w:sz w:val="22"/>
                <w:szCs w:val="22"/>
                <w:lang w:val="sr-Latn-ME"/>
              </w:rPr>
              <w:t xml:space="preserve"> 4.2).</w:t>
            </w:r>
          </w:p>
          <w:p w14:paraId="7B9B1713" w14:textId="77777777" w:rsidR="0020267D" w:rsidRPr="00D01E98" w:rsidRDefault="0020267D">
            <w:pPr>
              <w:pStyle w:val="Tekst"/>
              <w:rPr>
                <w:sz w:val="22"/>
                <w:szCs w:val="22"/>
                <w:lang w:val="sr-Latn-ME"/>
              </w:rPr>
            </w:pPr>
            <w:r w:rsidRPr="00D01E98">
              <w:rPr>
                <w:sz w:val="22"/>
                <w:szCs w:val="22"/>
                <w:lang w:val="sr-Latn-ME"/>
              </w:rPr>
              <w:lastRenderedPageBreak/>
              <w:t>U slučaju teške ili perzistentne arterijske hipertenzije i simptoma koji ukazuju na pojavu sindroma posteriorne reverzibilne encefalopatije (vidjeti dalje u tekstu), treba razmotriti dijagnostičko snimanje mozga magnetnom rezonancom (MRI).</w:t>
            </w:r>
          </w:p>
          <w:p w14:paraId="07D132E9" w14:textId="77777777" w:rsidR="0020267D" w:rsidRPr="00D01E98" w:rsidRDefault="0020267D">
            <w:pPr>
              <w:pStyle w:val="Tekst"/>
              <w:rPr>
                <w:b/>
                <w:sz w:val="22"/>
                <w:szCs w:val="22"/>
                <w:lang w:val="sr-Latn-ME"/>
              </w:rPr>
            </w:pPr>
          </w:p>
          <w:p w14:paraId="7F9AC39F" w14:textId="77777777" w:rsidR="0020267D" w:rsidRPr="00D01E98" w:rsidRDefault="0020267D">
            <w:pPr>
              <w:pStyle w:val="Tekst"/>
              <w:rPr>
                <w:sz w:val="22"/>
                <w:szCs w:val="22"/>
                <w:u w:val="single"/>
                <w:lang w:val="sr-Latn-ME"/>
              </w:rPr>
            </w:pPr>
            <w:r w:rsidRPr="00D01E98">
              <w:rPr>
                <w:sz w:val="22"/>
                <w:szCs w:val="22"/>
                <w:u w:val="single"/>
                <w:lang w:val="sr-Latn-ME"/>
              </w:rPr>
              <w:t>Tireoidna disfunkcija</w:t>
            </w:r>
          </w:p>
          <w:p w14:paraId="6F4FA6B1" w14:textId="5945E5C1" w:rsidR="0020267D" w:rsidRPr="00D01E98" w:rsidRDefault="0020267D">
            <w:pPr>
              <w:pStyle w:val="Tekst"/>
              <w:rPr>
                <w:sz w:val="22"/>
                <w:szCs w:val="22"/>
                <w:lang w:val="sr-Latn-ME"/>
              </w:rPr>
            </w:pPr>
            <w:r w:rsidRPr="00D01E98">
              <w:rPr>
                <w:sz w:val="22"/>
                <w:szCs w:val="22"/>
                <w:lang w:val="sr-Latn-ME"/>
              </w:rPr>
              <w:t>U kliničk</w:t>
            </w:r>
            <w:r w:rsidR="00DF01F5" w:rsidRPr="00D01E98">
              <w:rPr>
                <w:sz w:val="22"/>
                <w:szCs w:val="22"/>
                <w:lang w:val="sr-Latn-ME"/>
              </w:rPr>
              <w:t>i</w:t>
            </w:r>
            <w:r w:rsidRPr="00D01E98">
              <w:rPr>
                <w:sz w:val="22"/>
                <w:szCs w:val="22"/>
                <w:lang w:val="sr-Latn-ME"/>
              </w:rPr>
              <w:t>m ispitivanj</w:t>
            </w:r>
            <w:r w:rsidR="00DF01F5" w:rsidRPr="00D01E98">
              <w:rPr>
                <w:sz w:val="22"/>
                <w:szCs w:val="22"/>
                <w:lang w:val="sr-Latn-ME"/>
              </w:rPr>
              <w:t>ima</w:t>
            </w:r>
            <w:r w:rsidRPr="00D01E98">
              <w:rPr>
                <w:sz w:val="22"/>
                <w:szCs w:val="22"/>
                <w:lang w:val="sr-Latn-ME"/>
              </w:rPr>
              <w:t xml:space="preserve"> aksitiniba u liječenju pacijenata sa RCC, prijavljena je pojava hipotireoze i, u manjoj mjeri, hipertireoze (vidjeti </w:t>
            </w:r>
            <w:r w:rsidR="00264191" w:rsidRPr="00D01E98">
              <w:rPr>
                <w:sz w:val="22"/>
                <w:szCs w:val="22"/>
                <w:lang w:val="sr-Latn-ME"/>
              </w:rPr>
              <w:t>dio</w:t>
            </w:r>
            <w:r w:rsidRPr="00D01E98">
              <w:rPr>
                <w:sz w:val="22"/>
                <w:szCs w:val="22"/>
                <w:lang w:val="sr-Latn-ME"/>
              </w:rPr>
              <w:t xml:space="preserve"> 4.8).</w:t>
            </w:r>
          </w:p>
          <w:p w14:paraId="5DBABEEC" w14:textId="77777777" w:rsidR="0020267D" w:rsidRPr="00D01E98" w:rsidRDefault="0020267D">
            <w:pPr>
              <w:pStyle w:val="Tekst"/>
              <w:rPr>
                <w:sz w:val="22"/>
                <w:szCs w:val="22"/>
                <w:lang w:val="sr-Latn-ME"/>
              </w:rPr>
            </w:pPr>
          </w:p>
          <w:p w14:paraId="603B4FDB" w14:textId="30CC2479" w:rsidR="0020267D" w:rsidRPr="00D01E98" w:rsidRDefault="0020267D">
            <w:pPr>
              <w:pStyle w:val="Tekst"/>
              <w:rPr>
                <w:sz w:val="22"/>
                <w:szCs w:val="22"/>
                <w:lang w:val="sr-Latn-ME"/>
              </w:rPr>
            </w:pPr>
            <w:r w:rsidRPr="00D01E98">
              <w:rPr>
                <w:sz w:val="22"/>
                <w:szCs w:val="22"/>
                <w:lang w:val="sr-Latn-ME"/>
              </w:rPr>
              <w:t>Tireoidnu funkciju bi trebalo pratiti prije započinjanja i povremeno tokom te</w:t>
            </w:r>
            <w:r w:rsidR="00226C90" w:rsidRPr="00D01E98">
              <w:rPr>
                <w:sz w:val="22"/>
                <w:szCs w:val="22"/>
                <w:lang w:val="sr-Latn-ME"/>
              </w:rPr>
              <w:t>ra</w:t>
            </w:r>
            <w:r w:rsidRPr="00D01E98">
              <w:rPr>
                <w:sz w:val="22"/>
                <w:szCs w:val="22"/>
                <w:lang w:val="sr-Latn-ME"/>
              </w:rPr>
              <w:t>pije aksitinibom. Hipotireozu ili hipertireozu treba liječiti u skladu sa standardnom medicinskom praksom da bi se održala eutireoza.</w:t>
            </w:r>
          </w:p>
          <w:p w14:paraId="5E736284" w14:textId="77777777" w:rsidR="0020267D" w:rsidRPr="00D01E98" w:rsidRDefault="0020267D">
            <w:pPr>
              <w:pStyle w:val="Tekst"/>
              <w:rPr>
                <w:i/>
                <w:sz w:val="22"/>
                <w:szCs w:val="22"/>
                <w:u w:val="single"/>
                <w:lang w:val="sr-Latn-ME"/>
              </w:rPr>
            </w:pPr>
          </w:p>
          <w:p w14:paraId="0B97599E" w14:textId="77777777" w:rsidR="0020267D" w:rsidRPr="00D01E98" w:rsidRDefault="0020267D">
            <w:pPr>
              <w:pStyle w:val="Tekst"/>
              <w:rPr>
                <w:sz w:val="22"/>
                <w:szCs w:val="22"/>
                <w:u w:val="single"/>
                <w:lang w:val="sr-Latn-ME"/>
              </w:rPr>
            </w:pPr>
            <w:r w:rsidRPr="00D01E98">
              <w:rPr>
                <w:sz w:val="22"/>
                <w:szCs w:val="22"/>
                <w:u w:val="single"/>
                <w:lang w:val="sr-Latn-ME"/>
              </w:rPr>
              <w:t>Arterijski embolijski i trombotični događaji</w:t>
            </w:r>
          </w:p>
          <w:p w14:paraId="4855B8F2" w14:textId="698C112D" w:rsidR="0020267D" w:rsidRPr="00D01E98" w:rsidRDefault="0020267D">
            <w:pPr>
              <w:pStyle w:val="Tekst"/>
              <w:rPr>
                <w:sz w:val="22"/>
                <w:szCs w:val="22"/>
                <w:lang w:val="sr-Latn-ME"/>
              </w:rPr>
            </w:pPr>
            <w:r w:rsidRPr="00D01E98">
              <w:rPr>
                <w:sz w:val="22"/>
                <w:szCs w:val="22"/>
                <w:lang w:val="sr-Latn-ME"/>
              </w:rPr>
              <w:t xml:space="preserve">U kliničkim ispitivanjima sa aksitinibom, prijavljeni su arterijski embolijski i trombotični događaji (uključujući tranzitorni ishemijski napad, infarkt miokarda, cerebrovaskularni insult i okluziju retinalne arterije) (vidjeti </w:t>
            </w:r>
            <w:r w:rsidR="00264191" w:rsidRPr="00D01E98">
              <w:rPr>
                <w:sz w:val="22"/>
                <w:szCs w:val="22"/>
                <w:lang w:val="sr-Latn-ME"/>
              </w:rPr>
              <w:t>dio</w:t>
            </w:r>
            <w:r w:rsidRPr="00D01E98">
              <w:rPr>
                <w:sz w:val="22"/>
                <w:szCs w:val="22"/>
                <w:lang w:val="sr-Latn-ME"/>
              </w:rPr>
              <w:t xml:space="preserve"> 4.8).</w:t>
            </w:r>
          </w:p>
          <w:p w14:paraId="1BA4FEBF" w14:textId="77777777" w:rsidR="0020267D" w:rsidRPr="00D01E98" w:rsidRDefault="0020267D">
            <w:pPr>
              <w:pStyle w:val="Tekst"/>
              <w:rPr>
                <w:sz w:val="22"/>
                <w:szCs w:val="22"/>
                <w:lang w:val="sr-Latn-ME"/>
              </w:rPr>
            </w:pPr>
          </w:p>
          <w:p w14:paraId="23CDAF45" w14:textId="77777777" w:rsidR="0020267D" w:rsidRPr="00D01E98" w:rsidRDefault="0020267D">
            <w:pPr>
              <w:pStyle w:val="Tekst"/>
              <w:rPr>
                <w:sz w:val="22"/>
                <w:szCs w:val="22"/>
                <w:lang w:val="sr-Latn-ME"/>
              </w:rPr>
            </w:pPr>
            <w:r w:rsidRPr="00D01E98">
              <w:rPr>
                <w:sz w:val="22"/>
                <w:szCs w:val="22"/>
                <w:lang w:val="sr-Latn-ME"/>
              </w:rPr>
              <w:t>Aksitinib treba koristiti sa oprezom kod pacijenata sa rizikom ili kod pacijenata sa ovim događajima u anamnezi. Aksitinib nije ispitivan kod pacijenata koji su imali arterijski embolijski ili trombotični događaj u prethodnih 12 mjeseci.</w:t>
            </w:r>
          </w:p>
          <w:p w14:paraId="24C9A14A" w14:textId="77777777" w:rsidR="0020267D" w:rsidRPr="00D01E98" w:rsidRDefault="0020267D">
            <w:pPr>
              <w:pStyle w:val="Tekst"/>
              <w:rPr>
                <w:sz w:val="22"/>
                <w:szCs w:val="22"/>
                <w:lang w:val="sr-Latn-ME"/>
              </w:rPr>
            </w:pPr>
          </w:p>
          <w:p w14:paraId="663D68B3" w14:textId="77777777" w:rsidR="0020267D" w:rsidRPr="00D01E98" w:rsidRDefault="0020267D">
            <w:pPr>
              <w:pStyle w:val="Tekst"/>
              <w:rPr>
                <w:sz w:val="22"/>
                <w:szCs w:val="22"/>
                <w:u w:val="single"/>
                <w:lang w:val="sr-Latn-ME"/>
              </w:rPr>
            </w:pPr>
            <w:r w:rsidRPr="00D01E98">
              <w:rPr>
                <w:sz w:val="22"/>
                <w:szCs w:val="22"/>
                <w:u w:val="single"/>
                <w:lang w:val="sr-Latn-ME"/>
              </w:rPr>
              <w:t>Venski embolijski i trombotični događaji</w:t>
            </w:r>
          </w:p>
          <w:p w14:paraId="5CE68C8B" w14:textId="3D7BD30D" w:rsidR="0020267D" w:rsidRPr="00D01E98" w:rsidRDefault="0020267D">
            <w:pPr>
              <w:pStyle w:val="Tekst"/>
              <w:rPr>
                <w:sz w:val="22"/>
                <w:szCs w:val="22"/>
                <w:lang w:val="sr-Latn-ME"/>
              </w:rPr>
            </w:pPr>
            <w:r w:rsidRPr="00D01E98">
              <w:rPr>
                <w:sz w:val="22"/>
                <w:szCs w:val="22"/>
                <w:lang w:val="sr-Latn-ME"/>
              </w:rPr>
              <w:t>U kliničkim ispitivanjima sa aksitinibom, prijavljeni su venski embolijski i trombotični događaj</w:t>
            </w:r>
            <w:r w:rsidR="00A07F6A" w:rsidRPr="00D01E98">
              <w:rPr>
                <w:sz w:val="22"/>
                <w:szCs w:val="22"/>
                <w:lang w:val="sr-Latn-ME"/>
              </w:rPr>
              <w:t>i</w:t>
            </w:r>
            <w:r w:rsidRPr="00D01E98">
              <w:rPr>
                <w:sz w:val="22"/>
                <w:szCs w:val="22"/>
                <w:lang w:val="sr-Latn-ME"/>
              </w:rPr>
              <w:t xml:space="preserve"> (uključujući plućnu emboliju, trombozu dubokih vena i okluziju/trombozu retinalne vene) (vidjeti </w:t>
            </w:r>
            <w:r w:rsidR="00264191" w:rsidRPr="00D01E98">
              <w:rPr>
                <w:sz w:val="22"/>
                <w:szCs w:val="22"/>
                <w:lang w:val="sr-Latn-ME"/>
              </w:rPr>
              <w:t>dio</w:t>
            </w:r>
            <w:r w:rsidRPr="00D01E98">
              <w:rPr>
                <w:sz w:val="22"/>
                <w:szCs w:val="22"/>
                <w:lang w:val="sr-Latn-ME"/>
              </w:rPr>
              <w:t xml:space="preserve"> 4.8).</w:t>
            </w:r>
          </w:p>
          <w:p w14:paraId="13AA9175" w14:textId="77777777" w:rsidR="0020267D" w:rsidRPr="00D01E98" w:rsidRDefault="0020267D">
            <w:pPr>
              <w:pStyle w:val="Tekst"/>
              <w:rPr>
                <w:sz w:val="22"/>
                <w:szCs w:val="22"/>
                <w:lang w:val="sr-Latn-ME"/>
              </w:rPr>
            </w:pPr>
          </w:p>
          <w:p w14:paraId="119AEAA2" w14:textId="77777777" w:rsidR="0020267D" w:rsidRPr="00D01E98" w:rsidRDefault="0020267D">
            <w:pPr>
              <w:pStyle w:val="Tekst"/>
              <w:rPr>
                <w:sz w:val="22"/>
                <w:szCs w:val="22"/>
                <w:lang w:val="sr-Latn-ME"/>
              </w:rPr>
            </w:pPr>
            <w:r w:rsidRPr="00D01E98">
              <w:rPr>
                <w:sz w:val="22"/>
                <w:szCs w:val="22"/>
                <w:lang w:val="sr-Latn-ME"/>
              </w:rPr>
              <w:t>Aksitinib treba koristiti sa oprezom kod pacijenata sa rizikom ili kod pacijenata sa ovim događajima u anamnezi. Aksitinib nije ispitivan kod pacijenata koji su imali venski embolijski ili trombotični događaj u prethodnih 6 mjeseci.</w:t>
            </w:r>
          </w:p>
          <w:p w14:paraId="7F27F402" w14:textId="77777777" w:rsidR="0020267D" w:rsidRPr="00D01E98" w:rsidRDefault="0020267D">
            <w:pPr>
              <w:pStyle w:val="Tekst"/>
              <w:rPr>
                <w:sz w:val="22"/>
                <w:szCs w:val="22"/>
                <w:lang w:val="sr-Latn-ME"/>
              </w:rPr>
            </w:pPr>
          </w:p>
          <w:p w14:paraId="3AC8E28B" w14:textId="77777777" w:rsidR="0020267D" w:rsidRPr="00D01E98" w:rsidRDefault="0020267D">
            <w:pPr>
              <w:pStyle w:val="Tekst"/>
              <w:rPr>
                <w:sz w:val="22"/>
                <w:szCs w:val="22"/>
                <w:u w:val="single"/>
                <w:lang w:val="sr-Latn-ME"/>
              </w:rPr>
            </w:pPr>
            <w:r w:rsidRPr="00D01E98">
              <w:rPr>
                <w:sz w:val="22"/>
                <w:szCs w:val="22"/>
                <w:u w:val="single"/>
                <w:lang w:val="sr-Latn-ME"/>
              </w:rPr>
              <w:t>Povišenje hemoglobina ili hematokrita</w:t>
            </w:r>
          </w:p>
          <w:p w14:paraId="47A7C50A" w14:textId="525C5C2F" w:rsidR="0020267D" w:rsidRPr="00D01E98" w:rsidRDefault="0020267D">
            <w:pPr>
              <w:pStyle w:val="Tekst"/>
              <w:rPr>
                <w:sz w:val="22"/>
                <w:szCs w:val="22"/>
                <w:lang w:val="sr-Latn-ME"/>
              </w:rPr>
            </w:pPr>
            <w:r w:rsidRPr="00D01E98">
              <w:rPr>
                <w:sz w:val="22"/>
                <w:szCs w:val="22"/>
                <w:lang w:val="sr-Latn-ME"/>
              </w:rPr>
              <w:t xml:space="preserve">Tokom liječenja aksitinibom može se javiti povećanje vrijednosti hemoglobina ili hematokrita koje je posljedica povećanja mase eritrocita (vidjeti </w:t>
            </w:r>
            <w:r w:rsidR="00264191" w:rsidRPr="00D01E98">
              <w:rPr>
                <w:sz w:val="22"/>
                <w:szCs w:val="22"/>
                <w:lang w:val="sr-Latn-ME"/>
              </w:rPr>
              <w:t>dio</w:t>
            </w:r>
            <w:r w:rsidRPr="00D01E98">
              <w:rPr>
                <w:sz w:val="22"/>
                <w:szCs w:val="22"/>
                <w:lang w:val="sr-Latn-ME"/>
              </w:rPr>
              <w:t xml:space="preserve"> 4.8, policitemija). Povećanje mase eritrocita može da poveća rizik od embolijskih i trombotičnih događaja.</w:t>
            </w:r>
          </w:p>
          <w:p w14:paraId="0A3EE29C" w14:textId="77777777" w:rsidR="0020267D" w:rsidRPr="00D01E98" w:rsidRDefault="0020267D">
            <w:pPr>
              <w:pStyle w:val="Tekst"/>
              <w:rPr>
                <w:sz w:val="22"/>
                <w:szCs w:val="22"/>
                <w:lang w:val="sr-Latn-ME"/>
              </w:rPr>
            </w:pPr>
          </w:p>
          <w:p w14:paraId="29882336" w14:textId="3C495556" w:rsidR="0020267D" w:rsidRPr="00D01E98" w:rsidRDefault="0020267D">
            <w:pPr>
              <w:pStyle w:val="Tekst"/>
              <w:rPr>
                <w:sz w:val="22"/>
                <w:szCs w:val="22"/>
                <w:lang w:val="sr-Latn-ME"/>
              </w:rPr>
            </w:pPr>
            <w:r w:rsidRPr="00D01E98">
              <w:rPr>
                <w:sz w:val="22"/>
                <w:szCs w:val="22"/>
                <w:lang w:val="sr-Latn-ME"/>
              </w:rPr>
              <w:t>Vrijednosti hemoglobina ili hematokrita treba pratiti prije započinjanja i povremeno tokom terapije aksitinibom. Ako se vrijednosti hemoglobina ili hematokrita povi</w:t>
            </w:r>
            <w:r w:rsidR="008B5E8B" w:rsidRPr="00D01E98">
              <w:rPr>
                <w:sz w:val="22"/>
                <w:szCs w:val="22"/>
                <w:lang w:val="sr-Latn-ME"/>
              </w:rPr>
              <w:t>š</w:t>
            </w:r>
            <w:r w:rsidRPr="00D01E98">
              <w:rPr>
                <w:sz w:val="22"/>
                <w:szCs w:val="22"/>
                <w:lang w:val="sr-Latn-ME"/>
              </w:rPr>
              <w:t>e iznad normalnog nivoa, pacijente bi trebalo liječiti u skladu sa standardnom medicinskom praksom da bi se vrijednosti hemoglobina ili hematokrita smanjile na prihvatljiv nivo.</w:t>
            </w:r>
          </w:p>
          <w:p w14:paraId="66BB8C5B" w14:textId="77777777" w:rsidR="0020267D" w:rsidRPr="00D01E98" w:rsidRDefault="0020267D">
            <w:pPr>
              <w:pStyle w:val="Tekst"/>
              <w:rPr>
                <w:sz w:val="22"/>
                <w:szCs w:val="22"/>
                <w:lang w:val="sr-Latn-ME"/>
              </w:rPr>
            </w:pPr>
          </w:p>
          <w:p w14:paraId="440472AC" w14:textId="77777777" w:rsidR="0020267D" w:rsidRPr="00D01E98" w:rsidRDefault="0020267D">
            <w:pPr>
              <w:pStyle w:val="Tekst"/>
              <w:rPr>
                <w:sz w:val="22"/>
                <w:szCs w:val="22"/>
                <w:u w:val="single"/>
                <w:lang w:val="sr-Latn-ME"/>
              </w:rPr>
            </w:pPr>
            <w:r w:rsidRPr="00D01E98">
              <w:rPr>
                <w:sz w:val="22"/>
                <w:szCs w:val="22"/>
                <w:u w:val="single"/>
                <w:lang w:val="sr-Latn-ME"/>
              </w:rPr>
              <w:t>Krvarenje</w:t>
            </w:r>
          </w:p>
          <w:p w14:paraId="79B014BC" w14:textId="645B8B0C" w:rsidR="0020267D" w:rsidRPr="00D01E98" w:rsidRDefault="0020267D">
            <w:pPr>
              <w:pStyle w:val="Tekst"/>
              <w:rPr>
                <w:sz w:val="22"/>
                <w:szCs w:val="22"/>
                <w:lang w:val="sr-Latn-ME"/>
              </w:rPr>
            </w:pPr>
            <w:r w:rsidRPr="00D01E98">
              <w:rPr>
                <w:sz w:val="22"/>
                <w:szCs w:val="22"/>
                <w:lang w:val="sr-Latn-ME"/>
              </w:rPr>
              <w:t xml:space="preserve">U kliničkim ispitivanjima sa aksitinibom prijavljeni su hemoragični događaji (vidjeti </w:t>
            </w:r>
            <w:r w:rsidR="00264191" w:rsidRPr="00D01E98">
              <w:rPr>
                <w:sz w:val="22"/>
                <w:szCs w:val="22"/>
                <w:lang w:val="sr-Latn-ME"/>
              </w:rPr>
              <w:t>dio</w:t>
            </w:r>
            <w:r w:rsidRPr="00D01E98">
              <w:rPr>
                <w:sz w:val="22"/>
                <w:szCs w:val="22"/>
                <w:lang w:val="sr-Latn-ME"/>
              </w:rPr>
              <w:t xml:space="preserve"> 4.8).</w:t>
            </w:r>
          </w:p>
          <w:p w14:paraId="731871D8" w14:textId="77777777" w:rsidR="0020267D" w:rsidRPr="00D01E98" w:rsidRDefault="0020267D">
            <w:pPr>
              <w:pStyle w:val="Tekst"/>
              <w:rPr>
                <w:sz w:val="22"/>
                <w:szCs w:val="22"/>
                <w:lang w:val="sr-Latn-ME"/>
              </w:rPr>
            </w:pPr>
          </w:p>
          <w:p w14:paraId="6224A162" w14:textId="36471C22" w:rsidR="00A62344" w:rsidRPr="00D01E98" w:rsidRDefault="0020267D">
            <w:pPr>
              <w:pStyle w:val="Tekst"/>
              <w:rPr>
                <w:bCs w:val="0"/>
                <w:sz w:val="22"/>
                <w:szCs w:val="22"/>
                <w:u w:val="single"/>
                <w:lang w:val="sr-Latn-ME"/>
              </w:rPr>
            </w:pPr>
            <w:r w:rsidRPr="00D01E98">
              <w:rPr>
                <w:sz w:val="22"/>
                <w:szCs w:val="22"/>
                <w:lang w:val="sr-Latn-ME"/>
              </w:rPr>
              <w:t>Aksitinib nije ispitivan kod pacijenata koji imaju neliječene metastaze na mozgu ili nedavno aktivno gastrointestinalno krvarenje i kod tih pacijenata ga ne bi trebalo primjenjivati. Ako neko krvarenje zahtijeva ljekarsku intervenciju, trebalo bi privremeno prekinuti primjenu aksitiniba</w:t>
            </w:r>
            <w:r w:rsidR="00DF01F5" w:rsidRPr="00D01E98">
              <w:rPr>
                <w:sz w:val="22"/>
                <w:szCs w:val="22"/>
                <w:lang w:val="sr-Latn-ME"/>
              </w:rPr>
              <w:t>.</w:t>
            </w:r>
          </w:p>
          <w:p w14:paraId="5C50BBDA" w14:textId="77777777" w:rsidR="00A62344" w:rsidRPr="00D01E98" w:rsidRDefault="00A62344">
            <w:pPr>
              <w:pStyle w:val="Tekst"/>
              <w:rPr>
                <w:bCs w:val="0"/>
                <w:sz w:val="22"/>
                <w:szCs w:val="22"/>
                <w:u w:val="single"/>
                <w:lang w:val="sr-Latn-ME"/>
              </w:rPr>
            </w:pPr>
          </w:p>
          <w:p w14:paraId="733CFA39" w14:textId="610F2682" w:rsidR="00B34A5B" w:rsidRPr="00D01E98" w:rsidRDefault="00884FAC">
            <w:pPr>
              <w:pStyle w:val="Tekst"/>
              <w:rPr>
                <w:sz w:val="22"/>
                <w:szCs w:val="22"/>
                <w:u w:val="single"/>
                <w:lang w:val="sr-Latn-ME"/>
              </w:rPr>
            </w:pPr>
            <w:r w:rsidRPr="00D01E98">
              <w:rPr>
                <w:sz w:val="22"/>
                <w:szCs w:val="22"/>
                <w:u w:val="single"/>
                <w:lang w:val="sr-Latn-ME"/>
              </w:rPr>
              <w:t>Aneurizme i disekcije arterija</w:t>
            </w:r>
            <w:r w:rsidR="00B34A5B" w:rsidRPr="00D01E98">
              <w:rPr>
                <w:sz w:val="22"/>
                <w:szCs w:val="22"/>
                <w:lang w:val="sr-Latn-ME"/>
              </w:rPr>
              <w:t xml:space="preserve"> </w:t>
            </w:r>
          </w:p>
          <w:p w14:paraId="68A0FBA4" w14:textId="2CD2252B" w:rsidR="00551A0D" w:rsidRPr="00D01E98" w:rsidRDefault="00551A0D">
            <w:pPr>
              <w:pStyle w:val="Tekst"/>
              <w:rPr>
                <w:sz w:val="22"/>
                <w:szCs w:val="22"/>
                <w:lang w:val="sr-Latn-ME"/>
              </w:rPr>
            </w:pPr>
            <w:r w:rsidRPr="00D01E98">
              <w:rPr>
                <w:sz w:val="22"/>
                <w:szCs w:val="22"/>
                <w:lang w:val="sr-Latn-ME"/>
              </w:rPr>
              <w:t>Primjena inhibitora puta VEGF kod pacijenata sa ili bez hipertenzije može po</w:t>
            </w:r>
            <w:r w:rsidR="00F14F1D" w:rsidRPr="00D01E98">
              <w:rPr>
                <w:sz w:val="22"/>
                <w:szCs w:val="22"/>
                <w:lang w:val="sr-Latn-ME"/>
              </w:rPr>
              <w:t>dstaći</w:t>
            </w:r>
            <w:r w:rsidRPr="00D01E98">
              <w:rPr>
                <w:sz w:val="22"/>
                <w:szCs w:val="22"/>
                <w:lang w:val="sr-Latn-ME"/>
              </w:rPr>
              <w:t xml:space="preserve"> nastanak an</w:t>
            </w:r>
            <w:r w:rsidR="00884FAC" w:rsidRPr="00D01E98">
              <w:rPr>
                <w:sz w:val="22"/>
                <w:szCs w:val="22"/>
                <w:lang w:val="sr-Latn-ME"/>
              </w:rPr>
              <w:t>eurizmi i/ili disekcije arterija</w:t>
            </w:r>
            <w:r w:rsidRPr="00D01E98">
              <w:rPr>
                <w:sz w:val="22"/>
                <w:szCs w:val="22"/>
                <w:lang w:val="sr-Latn-ME"/>
              </w:rPr>
              <w:t>. Prije započinjanja terapije lijekom</w:t>
            </w:r>
            <w:r w:rsidR="00B30992" w:rsidRPr="00D01E98">
              <w:rPr>
                <w:sz w:val="22"/>
                <w:szCs w:val="22"/>
                <w:lang w:val="sr-Latn-ME"/>
              </w:rPr>
              <w:t xml:space="preserve"> Inly</w:t>
            </w:r>
            <w:r w:rsidRPr="00D01E98">
              <w:rPr>
                <w:sz w:val="22"/>
                <w:szCs w:val="22"/>
                <w:lang w:val="sr-Latn-ME"/>
              </w:rPr>
              <w:t>ta, ovaj rizik treba pažljivo razmotriti kod pacijenata sa faktorima rizika kao što su hipertenzija ili aneurizme u anamnezi.</w:t>
            </w:r>
          </w:p>
          <w:p w14:paraId="6F89B359" w14:textId="77777777" w:rsidR="0020267D" w:rsidRPr="00D01E98" w:rsidRDefault="0020267D">
            <w:pPr>
              <w:pStyle w:val="Tekst"/>
              <w:rPr>
                <w:sz w:val="22"/>
                <w:szCs w:val="22"/>
                <w:lang w:val="sr-Latn-ME"/>
              </w:rPr>
            </w:pPr>
          </w:p>
          <w:p w14:paraId="10B25B84" w14:textId="77777777" w:rsidR="0020267D" w:rsidRPr="00D01E98" w:rsidRDefault="0020267D">
            <w:pPr>
              <w:pStyle w:val="Tekst"/>
              <w:rPr>
                <w:sz w:val="22"/>
                <w:szCs w:val="22"/>
                <w:u w:val="single"/>
                <w:lang w:val="sr-Latn-ME"/>
              </w:rPr>
            </w:pPr>
            <w:r w:rsidRPr="00D01E98">
              <w:rPr>
                <w:sz w:val="22"/>
                <w:szCs w:val="22"/>
                <w:u w:val="single"/>
                <w:lang w:val="sr-Latn-ME"/>
              </w:rPr>
              <w:t>Gastrointestinalna perforacija i stvaranje fistula</w:t>
            </w:r>
          </w:p>
          <w:p w14:paraId="256D85EF" w14:textId="1D45211F" w:rsidR="0020267D" w:rsidRPr="00D01E98" w:rsidRDefault="0020267D">
            <w:pPr>
              <w:pStyle w:val="Tekst"/>
              <w:rPr>
                <w:sz w:val="22"/>
                <w:szCs w:val="22"/>
                <w:lang w:val="sr-Latn-ME"/>
              </w:rPr>
            </w:pPr>
            <w:r w:rsidRPr="00D01E98">
              <w:rPr>
                <w:sz w:val="22"/>
                <w:szCs w:val="22"/>
                <w:lang w:val="sr-Latn-ME"/>
              </w:rPr>
              <w:t xml:space="preserve">U kliničkim ispitivanjima sa aksitinibom, prijavljene su gastrointestinalne perforacije i fistule (vidjeti </w:t>
            </w:r>
            <w:r w:rsidR="00264191" w:rsidRPr="00D01E98">
              <w:rPr>
                <w:sz w:val="22"/>
                <w:szCs w:val="22"/>
                <w:lang w:val="sr-Latn-ME"/>
              </w:rPr>
              <w:t>dio</w:t>
            </w:r>
            <w:r w:rsidRPr="00D01E98">
              <w:rPr>
                <w:sz w:val="22"/>
                <w:szCs w:val="22"/>
                <w:lang w:val="sr-Latn-ME"/>
              </w:rPr>
              <w:t xml:space="preserve"> 4.8).</w:t>
            </w:r>
          </w:p>
          <w:p w14:paraId="75B7F764" w14:textId="77777777" w:rsidR="0020267D" w:rsidRPr="00D01E98" w:rsidRDefault="0020267D">
            <w:pPr>
              <w:pStyle w:val="Tekst"/>
              <w:rPr>
                <w:sz w:val="22"/>
                <w:szCs w:val="22"/>
                <w:lang w:val="sr-Latn-ME"/>
              </w:rPr>
            </w:pPr>
          </w:p>
          <w:p w14:paraId="2D9AA1CD" w14:textId="77777777" w:rsidR="0020267D" w:rsidRPr="00D01E98" w:rsidRDefault="0020267D">
            <w:pPr>
              <w:pStyle w:val="Tekst"/>
              <w:rPr>
                <w:sz w:val="22"/>
                <w:szCs w:val="22"/>
                <w:lang w:val="sr-Latn-ME"/>
              </w:rPr>
            </w:pPr>
            <w:r w:rsidRPr="00D01E98">
              <w:rPr>
                <w:sz w:val="22"/>
                <w:szCs w:val="22"/>
                <w:lang w:val="sr-Latn-ME"/>
              </w:rPr>
              <w:t>Simptome gastrointestinalne perforacije ili fistule trebalo bi periodično kontrolisati tokom terapije aksitinibom.</w:t>
            </w:r>
          </w:p>
          <w:p w14:paraId="203E13A9" w14:textId="77777777" w:rsidR="0020267D" w:rsidRPr="00D01E98" w:rsidRDefault="0020267D">
            <w:pPr>
              <w:pStyle w:val="Tekst"/>
              <w:rPr>
                <w:sz w:val="22"/>
                <w:szCs w:val="22"/>
                <w:lang w:val="sr-Latn-ME"/>
              </w:rPr>
            </w:pPr>
          </w:p>
          <w:p w14:paraId="0172D900" w14:textId="77777777" w:rsidR="00015DCE" w:rsidRPr="00D01E98" w:rsidRDefault="00015DCE">
            <w:pPr>
              <w:pStyle w:val="Tekst"/>
              <w:rPr>
                <w:sz w:val="22"/>
                <w:szCs w:val="22"/>
                <w:u w:val="single"/>
                <w:lang w:val="sr-Latn-ME"/>
              </w:rPr>
            </w:pPr>
          </w:p>
          <w:p w14:paraId="0884FA3D" w14:textId="50E522BF" w:rsidR="0020267D" w:rsidRPr="00D01E98" w:rsidRDefault="0020267D">
            <w:pPr>
              <w:pStyle w:val="Tekst"/>
              <w:rPr>
                <w:sz w:val="22"/>
                <w:szCs w:val="22"/>
                <w:u w:val="single"/>
                <w:lang w:val="sr-Latn-ME"/>
              </w:rPr>
            </w:pPr>
            <w:r w:rsidRPr="00D01E98">
              <w:rPr>
                <w:sz w:val="22"/>
                <w:szCs w:val="22"/>
                <w:u w:val="single"/>
                <w:lang w:val="sr-Latn-ME"/>
              </w:rPr>
              <w:lastRenderedPageBreak/>
              <w:t>Komplikacije pri zarastanju rana</w:t>
            </w:r>
          </w:p>
          <w:p w14:paraId="7080A058" w14:textId="77777777" w:rsidR="0020267D" w:rsidRPr="00D01E98" w:rsidRDefault="0020267D">
            <w:pPr>
              <w:pStyle w:val="Tekst"/>
              <w:rPr>
                <w:sz w:val="22"/>
                <w:szCs w:val="22"/>
                <w:lang w:val="sr-Latn-ME"/>
              </w:rPr>
            </w:pPr>
            <w:r w:rsidRPr="00D01E98">
              <w:rPr>
                <w:sz w:val="22"/>
                <w:szCs w:val="22"/>
                <w:lang w:val="sr-Latn-ME"/>
              </w:rPr>
              <w:t>Nijesu sprovedena zvanična ispitivanja o dejstvu aksitiniba na zarastanje rana.</w:t>
            </w:r>
          </w:p>
          <w:p w14:paraId="119433ED" w14:textId="77777777" w:rsidR="0020267D" w:rsidRPr="00D01E98" w:rsidRDefault="0020267D">
            <w:pPr>
              <w:pStyle w:val="Tekst"/>
              <w:rPr>
                <w:sz w:val="22"/>
                <w:szCs w:val="22"/>
                <w:lang w:val="sr-Latn-ME"/>
              </w:rPr>
            </w:pPr>
          </w:p>
          <w:p w14:paraId="7D98CA8F" w14:textId="77777777" w:rsidR="0020267D" w:rsidRPr="00D01E98" w:rsidRDefault="0020267D">
            <w:pPr>
              <w:pStyle w:val="Tekst"/>
              <w:rPr>
                <w:sz w:val="22"/>
                <w:szCs w:val="22"/>
                <w:lang w:val="sr-Latn-ME"/>
              </w:rPr>
            </w:pPr>
            <w:r w:rsidRPr="00D01E98">
              <w:rPr>
                <w:sz w:val="22"/>
                <w:szCs w:val="22"/>
                <w:lang w:val="sr-Latn-ME"/>
              </w:rPr>
              <w:t>Liječenje aksitinibom treba prekinuti najmanje 24 sata prije zakazane operacije. Odluka da se nastavi sa terapijom aksitinibom poslije operacije treba da se zasniva na kliničkoj procjeni adekvatnog zarastanja rane.</w:t>
            </w:r>
          </w:p>
          <w:p w14:paraId="699FCA61" w14:textId="77777777" w:rsidR="0020267D" w:rsidRPr="00D01E98" w:rsidRDefault="0020267D">
            <w:pPr>
              <w:pStyle w:val="Tekst"/>
              <w:rPr>
                <w:sz w:val="22"/>
                <w:szCs w:val="22"/>
                <w:lang w:val="sr-Latn-ME"/>
              </w:rPr>
            </w:pPr>
          </w:p>
          <w:p w14:paraId="3223E3F3" w14:textId="01F3DE08" w:rsidR="0020267D" w:rsidRPr="00D01E98" w:rsidRDefault="0020267D">
            <w:pPr>
              <w:pStyle w:val="Tekst"/>
              <w:rPr>
                <w:sz w:val="22"/>
                <w:szCs w:val="22"/>
                <w:u w:val="single"/>
                <w:lang w:val="sr-Latn-ME"/>
              </w:rPr>
            </w:pPr>
            <w:r w:rsidRPr="00D01E98">
              <w:rPr>
                <w:sz w:val="22"/>
                <w:szCs w:val="22"/>
                <w:u w:val="single"/>
                <w:lang w:val="sr-Latn-ME"/>
              </w:rPr>
              <w:t>Sindrom posteriorne reverzibilne encefalopatije</w:t>
            </w:r>
            <w:r w:rsidR="009E4687" w:rsidRPr="00D01E98">
              <w:rPr>
                <w:sz w:val="22"/>
                <w:szCs w:val="22"/>
                <w:u w:val="single"/>
                <w:lang w:val="sr-Latn-ME"/>
              </w:rPr>
              <w:t xml:space="preserve"> (PRES)</w:t>
            </w:r>
          </w:p>
          <w:p w14:paraId="25ECACA8" w14:textId="00145837" w:rsidR="0020267D" w:rsidRPr="00D01E98" w:rsidRDefault="0020267D">
            <w:pPr>
              <w:pStyle w:val="Tekst"/>
              <w:rPr>
                <w:sz w:val="22"/>
                <w:szCs w:val="22"/>
                <w:lang w:val="sr-Latn-ME"/>
              </w:rPr>
            </w:pPr>
            <w:r w:rsidRPr="00D01E98">
              <w:rPr>
                <w:sz w:val="22"/>
                <w:szCs w:val="22"/>
                <w:lang w:val="sr-Latn-ME"/>
              </w:rPr>
              <w:t xml:space="preserve">U kliničkim ispitivanjima sa aksitinibom, prijavljeni su događaji sindroma posteriorne reverzibilne encefalopatije (PRES) (vidjeti </w:t>
            </w:r>
            <w:r w:rsidR="00264191" w:rsidRPr="00D01E98">
              <w:rPr>
                <w:sz w:val="22"/>
                <w:szCs w:val="22"/>
                <w:lang w:val="sr-Latn-ME"/>
              </w:rPr>
              <w:t>dio</w:t>
            </w:r>
            <w:r w:rsidRPr="00D01E98">
              <w:rPr>
                <w:sz w:val="22"/>
                <w:szCs w:val="22"/>
                <w:lang w:val="sr-Latn-ME"/>
              </w:rPr>
              <w:t xml:space="preserve"> 4.8).</w:t>
            </w:r>
          </w:p>
          <w:p w14:paraId="03A87889" w14:textId="77777777" w:rsidR="0020267D" w:rsidRPr="00D01E98" w:rsidRDefault="0020267D">
            <w:pPr>
              <w:pStyle w:val="Tekst"/>
              <w:rPr>
                <w:sz w:val="22"/>
                <w:szCs w:val="22"/>
                <w:lang w:val="sr-Latn-ME"/>
              </w:rPr>
            </w:pPr>
          </w:p>
          <w:p w14:paraId="7124C887" w14:textId="77777777" w:rsidR="0020267D" w:rsidRPr="00D01E98" w:rsidRDefault="0020267D">
            <w:pPr>
              <w:pStyle w:val="Tekst"/>
              <w:rPr>
                <w:sz w:val="22"/>
                <w:szCs w:val="22"/>
                <w:lang w:val="sr-Latn-ME"/>
              </w:rPr>
            </w:pPr>
            <w:r w:rsidRPr="00D01E98">
              <w:rPr>
                <w:sz w:val="22"/>
                <w:szCs w:val="22"/>
                <w:lang w:val="sr-Latn-ME"/>
              </w:rPr>
              <w:t>PRES je neurološki poremećaj koji se može manifestovati glavoboljom, konvulzijama, letargijom, konfuzijom, sljepilom i drugim vizuelnim i neurološkim poremećajima. Može biti prisutna blaga do teška hipertenzija. Magnetna rezonanca je potrebna da bi se potvrdila dijagnoza PRES. Kod pacijenata sa znacima ili simptomima PRES, potrebno je privremeno prekinuti ili trajno obustaviti terapiju aksitinibom. Nije poznata bezbjednost ponovnog započinjanja terapije aksitinibom kod pacijenata koji su prethodno imali PRES.</w:t>
            </w:r>
          </w:p>
          <w:p w14:paraId="2B2DDC0E" w14:textId="77777777" w:rsidR="0020267D" w:rsidRPr="00D01E98" w:rsidRDefault="0020267D">
            <w:pPr>
              <w:pStyle w:val="Tekst"/>
              <w:rPr>
                <w:sz w:val="22"/>
                <w:szCs w:val="22"/>
                <w:lang w:val="sr-Latn-ME"/>
              </w:rPr>
            </w:pPr>
          </w:p>
          <w:p w14:paraId="195FC60D" w14:textId="77777777" w:rsidR="0020267D" w:rsidRPr="00D01E98" w:rsidRDefault="0020267D">
            <w:pPr>
              <w:pStyle w:val="Tekst"/>
              <w:rPr>
                <w:sz w:val="22"/>
                <w:szCs w:val="22"/>
                <w:u w:val="single"/>
                <w:lang w:val="sr-Latn-ME"/>
              </w:rPr>
            </w:pPr>
            <w:r w:rsidRPr="00D01E98">
              <w:rPr>
                <w:sz w:val="22"/>
                <w:szCs w:val="22"/>
                <w:u w:val="single"/>
                <w:lang w:val="sr-Latn-ME"/>
              </w:rPr>
              <w:t>Proteinurija</w:t>
            </w:r>
          </w:p>
          <w:p w14:paraId="0A3DA6B6" w14:textId="2788E111" w:rsidR="0020267D" w:rsidRPr="00D01E98" w:rsidRDefault="0020267D">
            <w:pPr>
              <w:pStyle w:val="Tekst"/>
              <w:rPr>
                <w:sz w:val="22"/>
                <w:szCs w:val="22"/>
                <w:lang w:val="sr-Latn-ME"/>
              </w:rPr>
            </w:pPr>
            <w:r w:rsidRPr="00D01E98">
              <w:rPr>
                <w:sz w:val="22"/>
                <w:szCs w:val="22"/>
                <w:lang w:val="sr-Latn-ME"/>
              </w:rPr>
              <w:t xml:space="preserve">U kliničkim ispitivanjima sa aksitinibom, prijavljena je proteinurija, uključujući i proteinuriju </w:t>
            </w:r>
            <w:r w:rsidR="00735F18" w:rsidRPr="00D01E98">
              <w:rPr>
                <w:sz w:val="22"/>
                <w:szCs w:val="22"/>
                <w:lang w:val="sr-Latn-ME"/>
              </w:rPr>
              <w:t>g</w:t>
            </w:r>
            <w:r w:rsidRPr="00D01E98">
              <w:rPr>
                <w:sz w:val="22"/>
                <w:szCs w:val="22"/>
                <w:lang w:val="sr-Latn-ME"/>
              </w:rPr>
              <w:t xml:space="preserve">radusa 3 </w:t>
            </w:r>
            <w:r w:rsidR="00DF01F5" w:rsidRPr="00D01E98">
              <w:rPr>
                <w:sz w:val="22"/>
                <w:szCs w:val="22"/>
                <w:lang w:val="sr-Latn-ME"/>
              </w:rPr>
              <w:t xml:space="preserve">i 4 </w:t>
            </w:r>
            <w:r w:rsidRPr="00D01E98">
              <w:rPr>
                <w:sz w:val="22"/>
                <w:szCs w:val="22"/>
                <w:lang w:val="sr-Latn-ME"/>
              </w:rPr>
              <w:t xml:space="preserve">(vidjeti </w:t>
            </w:r>
            <w:r w:rsidR="00264191" w:rsidRPr="00D01E98">
              <w:rPr>
                <w:sz w:val="22"/>
                <w:szCs w:val="22"/>
                <w:lang w:val="sr-Latn-ME"/>
              </w:rPr>
              <w:t>dio</w:t>
            </w:r>
            <w:r w:rsidRPr="00D01E98">
              <w:rPr>
                <w:sz w:val="22"/>
                <w:szCs w:val="22"/>
                <w:lang w:val="sr-Latn-ME"/>
              </w:rPr>
              <w:t xml:space="preserve"> 4.8).</w:t>
            </w:r>
          </w:p>
          <w:p w14:paraId="7A313A41" w14:textId="77777777" w:rsidR="0020267D" w:rsidRPr="00D01E98" w:rsidRDefault="0020267D">
            <w:pPr>
              <w:pStyle w:val="Tekst"/>
              <w:rPr>
                <w:sz w:val="22"/>
                <w:szCs w:val="22"/>
                <w:lang w:val="sr-Latn-ME"/>
              </w:rPr>
            </w:pPr>
          </w:p>
          <w:p w14:paraId="4D94BAE9" w14:textId="492F0DA9" w:rsidR="0020267D" w:rsidRPr="00D01E98" w:rsidRDefault="0020267D">
            <w:pPr>
              <w:pStyle w:val="Tekst"/>
              <w:rPr>
                <w:sz w:val="22"/>
                <w:szCs w:val="22"/>
                <w:lang w:val="sr-Latn-ME"/>
              </w:rPr>
            </w:pPr>
            <w:r w:rsidRPr="00D01E98">
              <w:rPr>
                <w:sz w:val="22"/>
                <w:szCs w:val="22"/>
                <w:lang w:val="sr-Latn-ME"/>
              </w:rPr>
              <w:t xml:space="preserve">Kontrola proteinurije se preporučuje prije započinjanja i povremeno tokom terapije aksitinibom. Za pacijente kod kojih se razvije umjerena do teška proteinurija, treba smanjiti dozu ili privremeno prekinuti terapiju aksitinibom (vidjeti </w:t>
            </w:r>
            <w:r w:rsidR="00264191" w:rsidRPr="00D01E98">
              <w:rPr>
                <w:sz w:val="22"/>
                <w:szCs w:val="22"/>
                <w:lang w:val="sr-Latn-ME"/>
              </w:rPr>
              <w:t>dio</w:t>
            </w:r>
            <w:r w:rsidRPr="00D01E98">
              <w:rPr>
                <w:sz w:val="22"/>
                <w:szCs w:val="22"/>
                <w:lang w:val="sr-Latn-ME"/>
              </w:rPr>
              <w:t xml:space="preserve"> 4.2).</w:t>
            </w:r>
            <w:r w:rsidR="00DF01F5" w:rsidRPr="00D01E98">
              <w:rPr>
                <w:sz w:val="22"/>
                <w:szCs w:val="22"/>
                <w:lang w:val="sr-Latn-ME"/>
              </w:rPr>
              <w:t xml:space="preserve"> Treba obustaviti prim</w:t>
            </w:r>
            <w:r w:rsidR="00C121D7" w:rsidRPr="00D01E98">
              <w:rPr>
                <w:sz w:val="22"/>
                <w:szCs w:val="22"/>
                <w:lang w:val="sr-Latn-ME"/>
              </w:rPr>
              <w:t>j</w:t>
            </w:r>
            <w:r w:rsidR="00DF01F5" w:rsidRPr="00D01E98">
              <w:rPr>
                <w:sz w:val="22"/>
                <w:szCs w:val="22"/>
                <w:lang w:val="sr-Latn-ME"/>
              </w:rPr>
              <w:t>enu aksitiniba ako kod pacijenta dođe do pojave nefrotskog sindroma.</w:t>
            </w:r>
          </w:p>
          <w:p w14:paraId="5DD35AAE" w14:textId="77777777" w:rsidR="0020267D" w:rsidRPr="00D01E98" w:rsidRDefault="0020267D">
            <w:pPr>
              <w:pStyle w:val="Tekst"/>
              <w:rPr>
                <w:sz w:val="22"/>
                <w:szCs w:val="22"/>
                <w:lang w:val="sr-Latn-ME"/>
              </w:rPr>
            </w:pPr>
          </w:p>
          <w:p w14:paraId="104A9D7B" w14:textId="77777777" w:rsidR="0020267D" w:rsidRPr="00D01E98" w:rsidRDefault="0020267D">
            <w:pPr>
              <w:pStyle w:val="Tekst"/>
              <w:rPr>
                <w:sz w:val="22"/>
                <w:szCs w:val="22"/>
                <w:u w:val="single"/>
                <w:lang w:val="sr-Latn-ME"/>
              </w:rPr>
            </w:pPr>
            <w:r w:rsidRPr="00D01E98">
              <w:rPr>
                <w:sz w:val="22"/>
                <w:szCs w:val="22"/>
                <w:u w:val="single"/>
                <w:lang w:val="sr-Latn-ME"/>
              </w:rPr>
              <w:t>Neželjene reakcije povezane sa funkcijom jetre</w:t>
            </w:r>
          </w:p>
          <w:p w14:paraId="19882A1D" w14:textId="2D2BF49F" w:rsidR="0020267D" w:rsidRPr="00D01E98" w:rsidRDefault="0020267D">
            <w:pPr>
              <w:pStyle w:val="Tekst"/>
              <w:rPr>
                <w:sz w:val="22"/>
                <w:szCs w:val="22"/>
                <w:lang w:val="sr-Latn-ME"/>
              </w:rPr>
            </w:pPr>
            <w:r w:rsidRPr="00D01E98">
              <w:rPr>
                <w:sz w:val="22"/>
                <w:szCs w:val="22"/>
                <w:lang w:val="sr-Latn-ME"/>
              </w:rPr>
              <w:t xml:space="preserve">U kontrolisanom kliničkom ispitivanju sa aksitinibom za liječenje pacijenata sa RCC, prijavljene su neželjene reakcije vezane za jetru. Najčešće prijavljene neželjene reakcije vezane za jetru su povećanje alanin aminotransferaze (ALT), aspartat aminotransferaze (AST) i bilirubina u krvi (vidjeti </w:t>
            </w:r>
            <w:r w:rsidR="00264191" w:rsidRPr="00D01E98">
              <w:rPr>
                <w:sz w:val="22"/>
                <w:szCs w:val="22"/>
                <w:lang w:val="sr-Latn-ME"/>
              </w:rPr>
              <w:t>dio</w:t>
            </w:r>
            <w:r w:rsidRPr="00D01E98">
              <w:rPr>
                <w:sz w:val="22"/>
                <w:szCs w:val="22"/>
                <w:lang w:val="sr-Latn-ME"/>
              </w:rPr>
              <w:t xml:space="preserve"> 4.8). Nijesu primijećena istovremena povećanja ALT (&gt; 3 puta od gornje granice normalnih vrijednosti) i bilirubina (&gt; 2 puta od gornje granice normalnih vrijednosti).</w:t>
            </w:r>
          </w:p>
          <w:p w14:paraId="17C45761" w14:textId="77777777" w:rsidR="0020267D" w:rsidRPr="00D01E98" w:rsidRDefault="0020267D">
            <w:pPr>
              <w:pStyle w:val="Tekst"/>
              <w:rPr>
                <w:sz w:val="22"/>
                <w:szCs w:val="22"/>
                <w:lang w:val="sr-Latn-ME"/>
              </w:rPr>
            </w:pPr>
          </w:p>
          <w:p w14:paraId="6258EA98" w14:textId="77777777" w:rsidR="0020267D" w:rsidRPr="00D01E98" w:rsidRDefault="0020267D">
            <w:pPr>
              <w:pStyle w:val="Tekst"/>
              <w:rPr>
                <w:sz w:val="22"/>
                <w:szCs w:val="22"/>
                <w:lang w:val="sr-Latn-ME"/>
              </w:rPr>
            </w:pPr>
            <w:r w:rsidRPr="00D01E98">
              <w:rPr>
                <w:sz w:val="22"/>
                <w:szCs w:val="22"/>
                <w:lang w:val="sr-Latn-ME"/>
              </w:rPr>
              <w:t>U kliničkom ispitivanju za određivanje doze, primijećena su istovremena povećanja ALT (12 puta od gornje granice normalnih vrijednosti) i bilirubina (2,3 puta od gornje granice normalnih vrijednosti), za koje se smatra da su povezana sa hepatotoksičnošću izazvanom lijekom, kod jednog pacijenta koji je primio aksitinib u početnoj dozi od 20 mg dva puta dnevno (doza četvorostruko veća od početne).</w:t>
            </w:r>
          </w:p>
          <w:p w14:paraId="082CB891" w14:textId="77777777" w:rsidR="0020267D" w:rsidRPr="00D01E98" w:rsidRDefault="0020267D">
            <w:pPr>
              <w:pStyle w:val="Tekst"/>
              <w:rPr>
                <w:sz w:val="22"/>
                <w:szCs w:val="22"/>
                <w:lang w:val="sr-Latn-ME"/>
              </w:rPr>
            </w:pPr>
          </w:p>
          <w:p w14:paraId="36B14301" w14:textId="77777777" w:rsidR="0020267D" w:rsidRPr="00D01E98" w:rsidRDefault="0020267D">
            <w:pPr>
              <w:pStyle w:val="Tekst"/>
              <w:rPr>
                <w:sz w:val="22"/>
                <w:szCs w:val="22"/>
                <w:lang w:val="sr-Latn-ME"/>
              </w:rPr>
            </w:pPr>
            <w:r w:rsidRPr="00D01E98">
              <w:rPr>
                <w:sz w:val="22"/>
                <w:szCs w:val="22"/>
                <w:lang w:val="sr-Latn-ME"/>
              </w:rPr>
              <w:t>Treba pratiti testove funkcije jetre prije započinjanja i povremeno tokom terapije aksitinibom.</w:t>
            </w:r>
          </w:p>
          <w:p w14:paraId="49645D45" w14:textId="77777777" w:rsidR="0020267D" w:rsidRPr="00D01E98" w:rsidRDefault="0020267D">
            <w:pPr>
              <w:pStyle w:val="Tekst"/>
              <w:rPr>
                <w:sz w:val="22"/>
                <w:szCs w:val="22"/>
                <w:lang w:val="sr-Latn-ME"/>
              </w:rPr>
            </w:pPr>
          </w:p>
          <w:p w14:paraId="2A5B0D17" w14:textId="77777777" w:rsidR="0020267D" w:rsidRPr="00D01E98" w:rsidRDefault="0020267D">
            <w:pPr>
              <w:pStyle w:val="Tekst"/>
              <w:rPr>
                <w:sz w:val="22"/>
                <w:szCs w:val="22"/>
                <w:u w:val="single"/>
                <w:lang w:val="sr-Latn-ME"/>
              </w:rPr>
            </w:pPr>
            <w:r w:rsidRPr="00D01E98">
              <w:rPr>
                <w:sz w:val="22"/>
                <w:szCs w:val="22"/>
                <w:u w:val="single"/>
                <w:lang w:val="sr-Latn-ME"/>
              </w:rPr>
              <w:t>Oštećenje funkcije jetre</w:t>
            </w:r>
          </w:p>
          <w:p w14:paraId="0211E9DA" w14:textId="0A5444A4" w:rsidR="0020267D" w:rsidRPr="00D01E98" w:rsidRDefault="0020267D">
            <w:pPr>
              <w:pStyle w:val="Tekst"/>
              <w:rPr>
                <w:sz w:val="22"/>
                <w:szCs w:val="22"/>
                <w:lang w:val="sr-Latn-ME"/>
              </w:rPr>
            </w:pPr>
            <w:r w:rsidRPr="00D01E98">
              <w:rPr>
                <w:sz w:val="22"/>
                <w:szCs w:val="22"/>
                <w:lang w:val="sr-Latn-ME"/>
              </w:rPr>
              <w:t xml:space="preserve">U kliničkim ispitivanjima sa aksitinibom, sistemska izloženost aksitinibu je približno dva puta veća kod ispitanika sa umjerenim oštećenjem funkcije jetre (Child-Pugh klasa B) u odnosu na ispitanike sa normalnom funkcijom jetre. Preporučuje se smanjenje doze kada se aksitinib primjenjuje kod pacijenata sa umjerenim oštećenjem funkcije jetre (Child-Pugh klasa B) (vidjeti </w:t>
            </w:r>
            <w:r w:rsidR="00264191" w:rsidRPr="00D01E98">
              <w:rPr>
                <w:sz w:val="22"/>
                <w:szCs w:val="22"/>
                <w:lang w:val="sr-Latn-ME"/>
              </w:rPr>
              <w:t>dio</w:t>
            </w:r>
            <w:r w:rsidRPr="00D01E98">
              <w:rPr>
                <w:sz w:val="22"/>
                <w:szCs w:val="22"/>
                <w:lang w:val="sr-Latn-ME"/>
              </w:rPr>
              <w:t xml:space="preserve"> 4.2).</w:t>
            </w:r>
          </w:p>
          <w:p w14:paraId="0444F00B" w14:textId="77777777" w:rsidR="0020267D" w:rsidRPr="00D01E98" w:rsidRDefault="0020267D">
            <w:pPr>
              <w:pStyle w:val="Tekst"/>
              <w:rPr>
                <w:sz w:val="22"/>
                <w:szCs w:val="22"/>
                <w:lang w:val="sr-Latn-ME"/>
              </w:rPr>
            </w:pPr>
          </w:p>
          <w:p w14:paraId="63B9910A" w14:textId="2A01C5A2" w:rsidR="0020267D" w:rsidRPr="00D01E98" w:rsidRDefault="0020267D">
            <w:pPr>
              <w:pStyle w:val="Tekst"/>
              <w:rPr>
                <w:sz w:val="22"/>
                <w:szCs w:val="22"/>
                <w:lang w:val="sr-Latn-ME"/>
              </w:rPr>
            </w:pPr>
            <w:r w:rsidRPr="00D01E98">
              <w:rPr>
                <w:sz w:val="22"/>
                <w:szCs w:val="22"/>
                <w:lang w:val="sr-Latn-ME"/>
              </w:rPr>
              <w:t>Aksitinib nije ispitivan kod pacijenata sa teškim oštećenjem funkcije jetre (Child-Pugh klasa C) i ne smije se primjenjivati u ovoj populaciji.</w:t>
            </w:r>
          </w:p>
          <w:p w14:paraId="60FE228F" w14:textId="77777777" w:rsidR="0020267D" w:rsidRPr="00D01E98" w:rsidRDefault="0020267D">
            <w:pPr>
              <w:pStyle w:val="Tekst"/>
              <w:rPr>
                <w:sz w:val="22"/>
                <w:szCs w:val="22"/>
                <w:lang w:val="sr-Latn-ME"/>
              </w:rPr>
            </w:pPr>
          </w:p>
          <w:p w14:paraId="1080B51F" w14:textId="77777777" w:rsidR="0020267D" w:rsidRPr="00D01E98" w:rsidRDefault="0020267D">
            <w:pPr>
              <w:pStyle w:val="Tekst"/>
              <w:rPr>
                <w:sz w:val="22"/>
                <w:szCs w:val="22"/>
                <w:u w:val="single"/>
                <w:lang w:val="sr-Latn-ME"/>
              </w:rPr>
            </w:pPr>
            <w:r w:rsidRPr="00D01E98">
              <w:rPr>
                <w:sz w:val="22"/>
                <w:szCs w:val="22"/>
                <w:u w:val="single"/>
                <w:lang w:val="sr-Latn-ME"/>
              </w:rPr>
              <w:t>Stariji pacijenti (</w:t>
            </w:r>
            <w:r w:rsidRPr="00D01E98">
              <w:rPr>
                <w:sz w:val="22"/>
                <w:szCs w:val="22"/>
                <w:u w:val="single"/>
                <w:lang w:val="sr-Latn-ME"/>
              </w:rPr>
              <w:sym w:font="Symbol" w:char="F0B3"/>
            </w:r>
            <w:r w:rsidRPr="00D01E98">
              <w:rPr>
                <w:sz w:val="22"/>
                <w:szCs w:val="22"/>
                <w:u w:val="single"/>
                <w:lang w:val="sr-Latn-ME"/>
              </w:rPr>
              <w:t xml:space="preserve"> 65 godina) i rasa</w:t>
            </w:r>
          </w:p>
          <w:p w14:paraId="34B132B1" w14:textId="3BDA4BC5" w:rsidR="0020267D" w:rsidRPr="00D01E98" w:rsidRDefault="0020267D">
            <w:pPr>
              <w:pStyle w:val="Tekst"/>
              <w:rPr>
                <w:sz w:val="22"/>
                <w:szCs w:val="22"/>
                <w:lang w:val="sr-Latn-ME"/>
              </w:rPr>
            </w:pPr>
            <w:r w:rsidRPr="00D01E98">
              <w:rPr>
                <w:sz w:val="22"/>
                <w:szCs w:val="22"/>
                <w:lang w:val="sr-Latn-ME"/>
              </w:rPr>
              <w:t xml:space="preserve">U kliničkom ispitivanju sa aksitinibom za liječenje pacijenata sa RCC, 34% pacijenata liječenih aksitinibom bilo je starosti </w:t>
            </w:r>
            <w:r w:rsidRPr="00D01E98">
              <w:rPr>
                <w:sz w:val="22"/>
                <w:szCs w:val="22"/>
                <w:lang w:val="sr-Latn-ME"/>
              </w:rPr>
              <w:sym w:font="Symbol" w:char="F0B3"/>
            </w:r>
            <w:r w:rsidRPr="00D01E98">
              <w:rPr>
                <w:sz w:val="22"/>
                <w:szCs w:val="22"/>
                <w:lang w:val="sr-Latn-ME"/>
              </w:rPr>
              <w:t xml:space="preserve"> 65 godina. Većina pacijenata su bili bijelci (77%) ili azijati (21%). Iako se veća osjetljivost starijih pacijenata i pacijenata azijskog porijekla za pojavu neželjenih reakcija ne može isključiti, ukupno gledajući, nema velikih razlika u bezbjednosti i efikasnosti aksitiniba između pacijenata starosti </w:t>
            </w:r>
            <w:r w:rsidRPr="00D01E98">
              <w:rPr>
                <w:sz w:val="22"/>
                <w:szCs w:val="22"/>
                <w:lang w:val="sr-Latn-ME"/>
              </w:rPr>
              <w:sym w:font="Symbol" w:char="F0B3"/>
            </w:r>
            <w:r w:rsidRPr="00D01E98">
              <w:rPr>
                <w:sz w:val="22"/>
                <w:szCs w:val="22"/>
                <w:lang w:val="sr-Latn-ME"/>
              </w:rPr>
              <w:t xml:space="preserve"> 65 godina i mlađih, kao ni između bijelaca i pacijenata drugih rasa.</w:t>
            </w:r>
          </w:p>
          <w:p w14:paraId="0CF26E45" w14:textId="77777777" w:rsidR="0020267D" w:rsidRPr="00D01E98" w:rsidRDefault="0020267D">
            <w:pPr>
              <w:pStyle w:val="Tekst"/>
              <w:rPr>
                <w:sz w:val="22"/>
                <w:szCs w:val="22"/>
                <w:lang w:val="sr-Latn-ME"/>
              </w:rPr>
            </w:pPr>
          </w:p>
          <w:p w14:paraId="4B7D08DC" w14:textId="5DDA08FD" w:rsidR="0020267D" w:rsidRPr="00D01E98" w:rsidRDefault="0020267D">
            <w:pPr>
              <w:pStyle w:val="Tekst"/>
              <w:rPr>
                <w:sz w:val="22"/>
                <w:szCs w:val="22"/>
                <w:lang w:val="sr-Latn-ME"/>
              </w:rPr>
            </w:pPr>
            <w:r w:rsidRPr="00D01E98">
              <w:rPr>
                <w:sz w:val="22"/>
                <w:szCs w:val="22"/>
                <w:lang w:val="sr-Latn-ME"/>
              </w:rPr>
              <w:t xml:space="preserve">Nije potrebno prilagođavanje doze na osnovu starosti ili rase pacijenta (vidjeti </w:t>
            </w:r>
            <w:r w:rsidR="008B5E8B" w:rsidRPr="00D01E98">
              <w:rPr>
                <w:sz w:val="22"/>
                <w:szCs w:val="22"/>
                <w:lang w:val="sr-Latn-ME"/>
              </w:rPr>
              <w:t xml:space="preserve">djelove </w:t>
            </w:r>
            <w:r w:rsidRPr="00D01E98">
              <w:rPr>
                <w:sz w:val="22"/>
                <w:szCs w:val="22"/>
                <w:lang w:val="sr-Latn-ME"/>
              </w:rPr>
              <w:t>4.2 i 5.2).</w:t>
            </w:r>
          </w:p>
          <w:p w14:paraId="60EF3B57" w14:textId="29C46B61" w:rsidR="001C273C" w:rsidRPr="00D01E98" w:rsidRDefault="001C273C">
            <w:pPr>
              <w:pStyle w:val="Tekst"/>
              <w:rPr>
                <w:sz w:val="22"/>
                <w:szCs w:val="22"/>
                <w:lang w:val="sr-Latn-ME"/>
              </w:rPr>
            </w:pPr>
          </w:p>
          <w:p w14:paraId="6F58436C" w14:textId="18ECC38D" w:rsidR="001C273C" w:rsidRPr="00D01E98" w:rsidRDefault="001C273C">
            <w:pPr>
              <w:pStyle w:val="Tekst"/>
              <w:rPr>
                <w:sz w:val="22"/>
                <w:szCs w:val="22"/>
                <w:lang w:val="sr-Latn-ME"/>
              </w:rPr>
            </w:pPr>
            <w:r w:rsidRPr="00D01E98">
              <w:rPr>
                <w:sz w:val="22"/>
                <w:szCs w:val="22"/>
                <w:u w:val="single"/>
                <w:lang w:val="sr-Latn-ME"/>
              </w:rPr>
              <w:t>Pomoćne supstance</w:t>
            </w:r>
          </w:p>
          <w:p w14:paraId="16C9B7D1" w14:textId="77777777" w:rsidR="0020267D" w:rsidRPr="00D01E98" w:rsidRDefault="0020267D">
            <w:pPr>
              <w:pStyle w:val="Tekst"/>
              <w:rPr>
                <w:sz w:val="22"/>
                <w:szCs w:val="22"/>
                <w:lang w:val="sr-Latn-ME"/>
              </w:rPr>
            </w:pPr>
          </w:p>
          <w:p w14:paraId="539D82E0" w14:textId="77777777" w:rsidR="0020267D" w:rsidRPr="00D01E98" w:rsidRDefault="0020267D">
            <w:pPr>
              <w:pStyle w:val="Tekst"/>
              <w:rPr>
                <w:i/>
                <w:sz w:val="22"/>
                <w:szCs w:val="22"/>
                <w:u w:val="single"/>
                <w:lang w:val="sr-Latn-ME"/>
              </w:rPr>
            </w:pPr>
            <w:r w:rsidRPr="00D01E98">
              <w:rPr>
                <w:i/>
                <w:sz w:val="22"/>
                <w:szCs w:val="22"/>
                <w:u w:val="single"/>
                <w:lang w:val="sr-Latn-ME"/>
              </w:rPr>
              <w:t>Laktoza</w:t>
            </w:r>
          </w:p>
          <w:p w14:paraId="5CB29CD2" w14:textId="23697459" w:rsidR="0020267D" w:rsidRPr="00D01E98" w:rsidRDefault="0020267D">
            <w:pPr>
              <w:pStyle w:val="Tekst"/>
              <w:rPr>
                <w:sz w:val="22"/>
                <w:szCs w:val="22"/>
                <w:lang w:val="sr-Latn-ME" w:eastAsia="en-GB"/>
              </w:rPr>
            </w:pPr>
            <w:r w:rsidRPr="00D01E98">
              <w:rPr>
                <w:sz w:val="22"/>
                <w:szCs w:val="22"/>
                <w:lang w:val="sr-Latn-ME"/>
              </w:rPr>
              <w:t xml:space="preserve">Ovaj lijek sadrži laktozu. </w:t>
            </w:r>
            <w:r w:rsidRPr="00D01E98">
              <w:rPr>
                <w:sz w:val="22"/>
                <w:szCs w:val="22"/>
                <w:lang w:val="sr-Latn-ME" w:eastAsia="en-GB"/>
              </w:rPr>
              <w:t xml:space="preserve">Pacijenti sa rijetkim nasljednim poremećajima netolerancije na galaktozu, </w:t>
            </w:r>
            <w:r w:rsidR="00E139D0" w:rsidRPr="00D01E98">
              <w:rPr>
                <w:sz w:val="22"/>
                <w:szCs w:val="22"/>
                <w:lang w:val="sr-Latn-ME" w:eastAsia="en-GB"/>
              </w:rPr>
              <w:t xml:space="preserve">potpune </w:t>
            </w:r>
            <w:r w:rsidRPr="00D01E98">
              <w:rPr>
                <w:sz w:val="22"/>
                <w:szCs w:val="22"/>
                <w:lang w:val="sr-Latn-ME" w:eastAsia="en-GB"/>
              </w:rPr>
              <w:t>deficijencije laktaze ili malapsorpcije glukoze i galaktoze, ne treba da koriste ovaj lijek.</w:t>
            </w:r>
          </w:p>
          <w:p w14:paraId="10786B7F" w14:textId="27711AB7" w:rsidR="006E0205" w:rsidRPr="00D01E98" w:rsidRDefault="006E0205">
            <w:pPr>
              <w:pStyle w:val="Tekst"/>
              <w:rPr>
                <w:sz w:val="22"/>
                <w:szCs w:val="22"/>
                <w:lang w:val="sr-Latn-ME" w:eastAsia="en-GB"/>
              </w:rPr>
            </w:pPr>
          </w:p>
          <w:p w14:paraId="6854E1AA" w14:textId="4673DC81" w:rsidR="006E0205" w:rsidRPr="00D01E98" w:rsidRDefault="006E0205" w:rsidP="00923DFD">
            <w:pPr>
              <w:jc w:val="both"/>
              <w:rPr>
                <w:i/>
                <w:iCs/>
                <w:sz w:val="22"/>
                <w:szCs w:val="22"/>
                <w:u w:val="single"/>
              </w:rPr>
            </w:pPr>
            <w:r w:rsidRPr="00D01E98">
              <w:rPr>
                <w:i/>
                <w:iCs/>
                <w:sz w:val="22"/>
                <w:szCs w:val="22"/>
                <w:u w:val="single"/>
              </w:rPr>
              <w:t>Natrijum</w:t>
            </w:r>
          </w:p>
          <w:p w14:paraId="1B6215FF" w14:textId="424CED4D" w:rsidR="006E0205" w:rsidRPr="00D01E98" w:rsidRDefault="006639FE" w:rsidP="00923DFD">
            <w:pPr>
              <w:jc w:val="both"/>
              <w:rPr>
                <w:sz w:val="22"/>
                <w:szCs w:val="22"/>
              </w:rPr>
            </w:pPr>
            <w:r w:rsidRPr="00D01E98">
              <w:rPr>
                <w:sz w:val="22"/>
                <w:szCs w:val="22"/>
              </w:rPr>
              <w:t>Ovaj lijek sadrži manje od</w:t>
            </w:r>
            <w:r w:rsidR="006E0205" w:rsidRPr="00D01E98">
              <w:rPr>
                <w:sz w:val="22"/>
                <w:szCs w:val="22"/>
              </w:rPr>
              <w:t xml:space="preserve"> 1 mmol (23 mg) </w:t>
            </w:r>
            <w:r w:rsidRPr="00D01E98">
              <w:rPr>
                <w:sz w:val="22"/>
                <w:szCs w:val="22"/>
              </w:rPr>
              <w:t>natrijuma po film tableti</w:t>
            </w:r>
            <w:r w:rsidR="006E0205" w:rsidRPr="00D01E98">
              <w:rPr>
                <w:sz w:val="22"/>
                <w:szCs w:val="22"/>
              </w:rPr>
              <w:t xml:space="preserve">, </w:t>
            </w:r>
            <w:r w:rsidRPr="00D01E98">
              <w:rPr>
                <w:sz w:val="22"/>
                <w:szCs w:val="22"/>
              </w:rPr>
              <w:t>što znači da praktično ne sadrži natrijum.</w:t>
            </w:r>
            <w:r w:rsidR="006E0205" w:rsidRPr="00D01E98">
              <w:rPr>
                <w:sz w:val="22"/>
                <w:szCs w:val="22"/>
              </w:rPr>
              <w:t xml:space="preserve"> </w:t>
            </w:r>
          </w:p>
          <w:p w14:paraId="4B370F23" w14:textId="77777777" w:rsidR="0020267D" w:rsidRPr="00D01E98" w:rsidRDefault="0020267D">
            <w:pPr>
              <w:pStyle w:val="Tekst"/>
              <w:rPr>
                <w:sz w:val="22"/>
                <w:szCs w:val="22"/>
                <w:lang w:val="sr-Latn-ME" w:eastAsia="en-GB"/>
              </w:rPr>
            </w:pPr>
          </w:p>
        </w:tc>
      </w:tr>
      <w:tr w:rsidR="0020267D" w:rsidRPr="00D01E98" w14:paraId="32A81846" w14:textId="77777777" w:rsidTr="00757DA0">
        <w:tc>
          <w:tcPr>
            <w:tcW w:w="9906" w:type="dxa"/>
            <w:gridSpan w:val="3"/>
            <w:shd w:val="clear" w:color="auto" w:fill="auto"/>
            <w:vAlign w:val="center"/>
          </w:tcPr>
          <w:p w14:paraId="05AF56F8" w14:textId="77777777" w:rsidR="0020267D" w:rsidRPr="00D01E98" w:rsidRDefault="0020267D" w:rsidP="00923DFD">
            <w:pPr>
              <w:pStyle w:val="Header"/>
              <w:tabs>
                <w:tab w:val="left" w:pos="284"/>
              </w:tabs>
              <w:jc w:val="both"/>
              <w:rPr>
                <w:b/>
                <w:bCs/>
                <w:sz w:val="22"/>
                <w:szCs w:val="22"/>
              </w:rPr>
            </w:pPr>
            <w:r w:rsidRPr="00D01E98">
              <w:rPr>
                <w:b/>
                <w:bCs/>
                <w:sz w:val="22"/>
                <w:szCs w:val="22"/>
              </w:rPr>
              <w:lastRenderedPageBreak/>
              <w:t>4.5. Interakcije sa drugim ljekovima i druge vrste interakcija</w:t>
            </w:r>
          </w:p>
        </w:tc>
      </w:tr>
      <w:tr w:rsidR="0020267D" w:rsidRPr="00D01E98" w14:paraId="5419924C" w14:textId="77777777" w:rsidTr="00757DA0">
        <w:trPr>
          <w:trHeight w:val="387"/>
        </w:trPr>
        <w:tc>
          <w:tcPr>
            <w:tcW w:w="9906" w:type="dxa"/>
            <w:gridSpan w:val="3"/>
            <w:shd w:val="clear" w:color="auto" w:fill="auto"/>
            <w:vAlign w:val="center"/>
          </w:tcPr>
          <w:p w14:paraId="13B6683F" w14:textId="77777777" w:rsidR="008B5E8B" w:rsidRPr="00D01E98" w:rsidRDefault="008B5E8B">
            <w:pPr>
              <w:pStyle w:val="Tekst"/>
              <w:rPr>
                <w:bCs w:val="0"/>
                <w:i/>
                <w:sz w:val="22"/>
                <w:szCs w:val="22"/>
                <w:lang w:val="sr-Latn-ME"/>
              </w:rPr>
            </w:pPr>
          </w:p>
          <w:p w14:paraId="75B80766" w14:textId="0D6C6DA1" w:rsidR="0020267D" w:rsidRPr="00D01E98" w:rsidRDefault="0020267D">
            <w:pPr>
              <w:pStyle w:val="Tekst"/>
              <w:rPr>
                <w:bCs w:val="0"/>
                <w:sz w:val="22"/>
                <w:szCs w:val="22"/>
                <w:lang w:val="sr-Latn-ME"/>
              </w:rPr>
            </w:pPr>
            <w:r w:rsidRPr="00D01E98">
              <w:rPr>
                <w:bCs w:val="0"/>
                <w:i/>
                <w:sz w:val="22"/>
                <w:szCs w:val="22"/>
                <w:lang w:val="sr-Latn-ME"/>
              </w:rPr>
              <w:t>In vitro</w:t>
            </w:r>
            <w:r w:rsidRPr="00D01E98">
              <w:rPr>
                <w:bCs w:val="0"/>
                <w:sz w:val="22"/>
                <w:szCs w:val="22"/>
                <w:lang w:val="sr-Latn-ME"/>
              </w:rPr>
              <w:t xml:space="preserve"> podaci ukazuju da se aksitinib prvenstveno metaboliše putem CYP3A4/5 i u manjoj mjeri putem CYP1A2, CYP2C19 i uridin difosfat-</w:t>
            </w:r>
            <w:r w:rsidRPr="00D01E98">
              <w:rPr>
                <w:sz w:val="22"/>
                <w:szCs w:val="22"/>
                <w:lang w:val="sr-Latn-ME"/>
              </w:rPr>
              <w:t>glukuronoziltransferaze</w:t>
            </w:r>
            <w:r w:rsidRPr="00D01E98">
              <w:rPr>
                <w:bCs w:val="0"/>
                <w:sz w:val="22"/>
                <w:szCs w:val="22"/>
                <w:lang w:val="sr-Latn-ME"/>
              </w:rPr>
              <w:t xml:space="preserve"> (UGT) 1A1.</w:t>
            </w:r>
          </w:p>
          <w:p w14:paraId="3000C952" w14:textId="77777777" w:rsidR="0020267D" w:rsidRPr="00D01E98" w:rsidRDefault="0020267D">
            <w:pPr>
              <w:pStyle w:val="Tekst"/>
              <w:rPr>
                <w:b/>
                <w:bCs w:val="0"/>
                <w:sz w:val="22"/>
                <w:szCs w:val="22"/>
                <w:lang w:val="sr-Latn-ME"/>
              </w:rPr>
            </w:pPr>
          </w:p>
          <w:p w14:paraId="29380C9B" w14:textId="77777777" w:rsidR="0020267D" w:rsidRPr="00D01E98" w:rsidRDefault="0020267D">
            <w:pPr>
              <w:pStyle w:val="Tekst"/>
              <w:rPr>
                <w:b/>
                <w:bCs w:val="0"/>
                <w:sz w:val="22"/>
                <w:szCs w:val="22"/>
                <w:lang w:val="sr-Latn-ME"/>
              </w:rPr>
            </w:pPr>
            <w:r w:rsidRPr="00D01E98">
              <w:rPr>
                <w:sz w:val="22"/>
                <w:szCs w:val="22"/>
                <w:u w:val="single"/>
                <w:lang w:val="sr-Latn-ME"/>
              </w:rPr>
              <w:t>Inhibitori CYP3A4/5</w:t>
            </w:r>
          </w:p>
          <w:p w14:paraId="66486A87" w14:textId="77777777" w:rsidR="0020267D" w:rsidRPr="00D01E98" w:rsidRDefault="0020267D">
            <w:pPr>
              <w:pStyle w:val="Tekst"/>
              <w:rPr>
                <w:bCs w:val="0"/>
                <w:sz w:val="22"/>
                <w:szCs w:val="22"/>
                <w:lang w:val="sr-Latn-ME"/>
              </w:rPr>
            </w:pPr>
            <w:r w:rsidRPr="00D01E98">
              <w:rPr>
                <w:bCs w:val="0"/>
                <w:sz w:val="22"/>
                <w:szCs w:val="22"/>
                <w:lang w:val="sr-Latn-ME"/>
              </w:rPr>
              <w:t>Ketokonazol, jak inhibitor CYP3A4/5, primjenjen u dozi od 400 mg jednom dnevno tokom sedam dana kod zdravih dobrovoljaca, povećao je prosječnu vrijednost površine ispod krive (PIK) dva puta, a C</w:t>
            </w:r>
            <w:r w:rsidRPr="00D01E98">
              <w:rPr>
                <w:bCs w:val="0"/>
                <w:sz w:val="22"/>
                <w:szCs w:val="22"/>
                <w:vertAlign w:val="subscript"/>
                <w:lang w:val="sr-Latn-ME"/>
              </w:rPr>
              <w:t xml:space="preserve">max </w:t>
            </w:r>
            <w:r w:rsidRPr="00D01E98">
              <w:rPr>
                <w:bCs w:val="0"/>
                <w:sz w:val="22"/>
                <w:szCs w:val="22"/>
                <w:lang w:val="sr-Latn-ME"/>
              </w:rPr>
              <w:t xml:space="preserve">1,5 puta nakon primjene jedne oralne doze od 5 mg aksitiniba. </w:t>
            </w:r>
          </w:p>
          <w:p w14:paraId="032B9D2E" w14:textId="1097C1B5" w:rsidR="0020267D" w:rsidRPr="00D01E98" w:rsidRDefault="0020267D">
            <w:pPr>
              <w:pStyle w:val="Tekst"/>
              <w:rPr>
                <w:sz w:val="22"/>
                <w:szCs w:val="22"/>
                <w:lang w:val="sr-Latn-ME"/>
              </w:rPr>
            </w:pPr>
            <w:r w:rsidRPr="00D01E98">
              <w:rPr>
                <w:bCs w:val="0"/>
                <w:sz w:val="22"/>
                <w:szCs w:val="22"/>
                <w:lang w:val="sr-Latn-ME"/>
              </w:rPr>
              <w:t xml:space="preserve">Istovremena primjena aksitiniba sa jakim inhibitorima CYP3A4/5 (npr. ketokonazolom, itrakonazolom, klaritromicinom, eritromicinom, atazanavirom, indinavirom, nefazodonom, nefinavirom, ritonavirom, sakvinavirom i telitromicinom) može da poveća koncentraciju aksitiniba u plazmi. Grejpfrut, takođe, može da poveća koncentracije aksitiniba u plazmi. </w:t>
            </w:r>
            <w:r w:rsidRPr="00D01E98">
              <w:rPr>
                <w:sz w:val="22"/>
                <w:szCs w:val="22"/>
                <w:lang w:val="sr-Latn-ME"/>
              </w:rPr>
              <w:t xml:space="preserve">Preporučuje se izbor alternativnog lijeka čija istovremena primjena nema ili ima minimalni potencijal za inhibiciju CYP3A4/5. Ako je primjena jakog inhibitora CYP3A4/5 neophodna, preporučuje se prilagoditi dozu aksitiniba (vidjeti </w:t>
            </w:r>
            <w:r w:rsidR="00264191" w:rsidRPr="00D01E98">
              <w:rPr>
                <w:sz w:val="22"/>
                <w:szCs w:val="22"/>
                <w:lang w:val="sr-Latn-ME"/>
              </w:rPr>
              <w:t>dio</w:t>
            </w:r>
            <w:r w:rsidRPr="00D01E98">
              <w:rPr>
                <w:sz w:val="22"/>
                <w:szCs w:val="22"/>
                <w:lang w:val="sr-Latn-ME"/>
              </w:rPr>
              <w:t xml:space="preserve"> 4.2).</w:t>
            </w:r>
          </w:p>
          <w:p w14:paraId="625FCE8E" w14:textId="77777777" w:rsidR="009E4687" w:rsidRPr="00D01E98" w:rsidRDefault="009E4687">
            <w:pPr>
              <w:pStyle w:val="Tekst"/>
              <w:rPr>
                <w:sz w:val="22"/>
                <w:szCs w:val="22"/>
                <w:lang w:val="sr-Latn-ME"/>
              </w:rPr>
            </w:pPr>
          </w:p>
          <w:p w14:paraId="3B39A2E9" w14:textId="77777777" w:rsidR="0020267D" w:rsidRPr="00D01E98" w:rsidRDefault="0020267D">
            <w:pPr>
              <w:pStyle w:val="Tekst"/>
              <w:rPr>
                <w:bCs w:val="0"/>
                <w:sz w:val="22"/>
                <w:szCs w:val="22"/>
                <w:u w:val="single"/>
                <w:lang w:val="sr-Latn-ME"/>
              </w:rPr>
            </w:pPr>
            <w:r w:rsidRPr="00D01E98">
              <w:rPr>
                <w:sz w:val="22"/>
                <w:szCs w:val="22"/>
                <w:u w:val="single"/>
                <w:lang w:val="sr-Latn-ME"/>
              </w:rPr>
              <w:t xml:space="preserve">Inhibitori </w:t>
            </w:r>
            <w:r w:rsidRPr="00D01E98">
              <w:rPr>
                <w:bCs w:val="0"/>
                <w:sz w:val="22"/>
                <w:szCs w:val="22"/>
                <w:u w:val="single"/>
                <w:lang w:val="sr-Latn-ME"/>
              </w:rPr>
              <w:t>CYP1A2 i CYP2C19</w:t>
            </w:r>
          </w:p>
          <w:p w14:paraId="2D2B9D23" w14:textId="77777777" w:rsidR="0020267D" w:rsidRPr="00D01E98" w:rsidRDefault="0020267D">
            <w:pPr>
              <w:pStyle w:val="Tekst"/>
              <w:rPr>
                <w:bCs w:val="0"/>
                <w:sz w:val="22"/>
                <w:szCs w:val="22"/>
                <w:lang w:val="sr-Latn-ME"/>
              </w:rPr>
            </w:pPr>
            <w:r w:rsidRPr="00D01E98">
              <w:rPr>
                <w:bCs w:val="0"/>
                <w:sz w:val="22"/>
                <w:szCs w:val="22"/>
                <w:lang w:val="sr-Latn-ME"/>
              </w:rPr>
              <w:t>CYP1A2 i CYP2C19 čine manje značajne (&lt; 10%) puteve metabolizma aksitiniba. Nije ispitano dejstvo jakih inhibitora ovih izoenzima na farmakokinetiku aksitiniba. Potreban je oprez zbog rizika od povećanja koncentracije aksitiniba u plazmi kod pacijenata koji uzimaju jake inhibitore ovih izoenzima.</w:t>
            </w:r>
          </w:p>
          <w:p w14:paraId="7D38260C" w14:textId="77777777" w:rsidR="0020267D" w:rsidRPr="00D01E98" w:rsidRDefault="0020267D">
            <w:pPr>
              <w:pStyle w:val="Tekst"/>
              <w:rPr>
                <w:bCs w:val="0"/>
                <w:sz w:val="22"/>
                <w:szCs w:val="22"/>
                <w:lang w:val="sr-Latn-ME"/>
              </w:rPr>
            </w:pPr>
          </w:p>
          <w:p w14:paraId="6E188E7F" w14:textId="77777777" w:rsidR="0020267D" w:rsidRPr="00D01E98" w:rsidRDefault="0020267D">
            <w:pPr>
              <w:pStyle w:val="Tekst"/>
              <w:rPr>
                <w:bCs w:val="0"/>
                <w:sz w:val="22"/>
                <w:szCs w:val="22"/>
                <w:lang w:val="sr-Latn-ME"/>
              </w:rPr>
            </w:pPr>
            <w:r w:rsidRPr="00D01E98">
              <w:rPr>
                <w:bCs w:val="0"/>
                <w:sz w:val="22"/>
                <w:szCs w:val="22"/>
                <w:u w:val="single"/>
                <w:lang w:val="sr-Latn-ME"/>
              </w:rPr>
              <w:t xml:space="preserve">Induktori </w:t>
            </w:r>
            <w:r w:rsidRPr="00D01E98">
              <w:rPr>
                <w:sz w:val="22"/>
                <w:szCs w:val="22"/>
                <w:u w:val="single"/>
                <w:lang w:val="sr-Latn-ME"/>
              </w:rPr>
              <w:t>CYP3A4/5</w:t>
            </w:r>
          </w:p>
          <w:p w14:paraId="3F1F8CF5" w14:textId="619AFF3A" w:rsidR="0020267D" w:rsidRPr="00D01E98" w:rsidRDefault="0020267D">
            <w:pPr>
              <w:pStyle w:val="Tekst"/>
              <w:rPr>
                <w:bCs w:val="0"/>
                <w:sz w:val="22"/>
                <w:szCs w:val="22"/>
                <w:lang w:val="sr-Latn-ME"/>
              </w:rPr>
            </w:pPr>
            <w:r w:rsidRPr="00D01E98">
              <w:rPr>
                <w:bCs w:val="0"/>
                <w:sz w:val="22"/>
                <w:szCs w:val="22"/>
                <w:lang w:val="sr-Latn-ME"/>
              </w:rPr>
              <w:t>Rifampicin, jak induktor CYP3A4/5, primjenjen u dozi od 600 mg jednom dnevno tokom devet dana kod zdravih dobrovoljaca, smanjio je prosječnu PIK vrijednost za 79% i C</w:t>
            </w:r>
            <w:r w:rsidRPr="00D01E98">
              <w:rPr>
                <w:bCs w:val="0"/>
                <w:sz w:val="22"/>
                <w:szCs w:val="22"/>
                <w:vertAlign w:val="subscript"/>
                <w:lang w:val="sr-Latn-ME"/>
              </w:rPr>
              <w:t xml:space="preserve">max </w:t>
            </w:r>
            <w:r w:rsidRPr="00D01E98">
              <w:rPr>
                <w:bCs w:val="0"/>
                <w:sz w:val="22"/>
                <w:szCs w:val="22"/>
                <w:lang w:val="sr-Latn-ME"/>
              </w:rPr>
              <w:t>za 71% nakon primjene jedne oralne doze od 5 mg aksitiniba.</w:t>
            </w:r>
          </w:p>
          <w:p w14:paraId="386F5F5B" w14:textId="28EEF088" w:rsidR="0020267D" w:rsidRPr="00D01E98" w:rsidRDefault="0020267D">
            <w:pPr>
              <w:pStyle w:val="Tekst"/>
              <w:rPr>
                <w:bCs w:val="0"/>
                <w:sz w:val="22"/>
                <w:szCs w:val="22"/>
                <w:lang w:val="sr-Latn-ME"/>
              </w:rPr>
            </w:pPr>
            <w:r w:rsidRPr="00D01E98">
              <w:rPr>
                <w:bCs w:val="0"/>
                <w:sz w:val="22"/>
                <w:szCs w:val="22"/>
                <w:lang w:val="sr-Latn-ME"/>
              </w:rPr>
              <w:t xml:space="preserve">Istovremena primjena aksitiniba sa jakim induktorima CYP3A4/5 (npr. rifampicin, deksametazon, fenitoin, karbamazepin, rifabutin, rifapentin, fenobarbital i </w:t>
            </w:r>
            <w:r w:rsidRPr="00D01E98">
              <w:rPr>
                <w:bCs w:val="0"/>
                <w:i/>
                <w:sz w:val="22"/>
                <w:szCs w:val="22"/>
                <w:lang w:val="sr-Latn-ME"/>
              </w:rPr>
              <w:t xml:space="preserve">Hypericum perforatum </w:t>
            </w:r>
            <w:r w:rsidRPr="00D01E98">
              <w:rPr>
                <w:bCs w:val="0"/>
                <w:sz w:val="22"/>
                <w:szCs w:val="22"/>
                <w:lang w:val="sr-Latn-ME"/>
              </w:rPr>
              <w:t xml:space="preserve">[kantarion]) može da smanji koncentraciju aksitiniba u plazmi. </w:t>
            </w:r>
            <w:r w:rsidRPr="00D01E98">
              <w:rPr>
                <w:sz w:val="22"/>
                <w:szCs w:val="22"/>
                <w:lang w:val="sr-Latn-ME"/>
              </w:rPr>
              <w:t xml:space="preserve">Preporučuje se izbor alternativnog lijeka čija istovremena primjena nema ili ima minimalni potencijal za indukciju CYP3A4/5. Ako je primjena jakog induktora CYP3A4/5 neophodna, preporučuje se prilagoditi dozu aksitiniba (vidjeti </w:t>
            </w:r>
            <w:r w:rsidR="00264191" w:rsidRPr="00D01E98">
              <w:rPr>
                <w:sz w:val="22"/>
                <w:szCs w:val="22"/>
                <w:lang w:val="sr-Latn-ME"/>
              </w:rPr>
              <w:t>dio</w:t>
            </w:r>
            <w:r w:rsidRPr="00D01E98">
              <w:rPr>
                <w:sz w:val="22"/>
                <w:szCs w:val="22"/>
                <w:lang w:val="sr-Latn-ME"/>
              </w:rPr>
              <w:t xml:space="preserve"> 4.2).</w:t>
            </w:r>
          </w:p>
          <w:p w14:paraId="23AA036C" w14:textId="77777777" w:rsidR="0020267D" w:rsidRPr="00D01E98" w:rsidRDefault="0020267D">
            <w:pPr>
              <w:pStyle w:val="Tekst"/>
              <w:rPr>
                <w:bCs w:val="0"/>
                <w:sz w:val="22"/>
                <w:szCs w:val="22"/>
                <w:lang w:val="sr-Latn-ME"/>
              </w:rPr>
            </w:pPr>
          </w:p>
          <w:p w14:paraId="4C520626" w14:textId="77777777" w:rsidR="0020267D" w:rsidRPr="00D01E98" w:rsidRDefault="0020267D">
            <w:pPr>
              <w:pStyle w:val="Tekst"/>
              <w:rPr>
                <w:sz w:val="22"/>
                <w:szCs w:val="22"/>
                <w:u w:val="single"/>
                <w:lang w:val="sr-Latn-ME"/>
              </w:rPr>
            </w:pPr>
            <w:r w:rsidRPr="00D01E98">
              <w:rPr>
                <w:bCs w:val="0"/>
                <w:sz w:val="22"/>
                <w:szCs w:val="22"/>
                <w:u w:val="single"/>
                <w:lang w:val="sr-Latn-ME"/>
              </w:rPr>
              <w:t>In vitro ispitivanja CYP i UGT inhibicije i indukcije</w:t>
            </w:r>
          </w:p>
          <w:p w14:paraId="01C2B753" w14:textId="77777777" w:rsidR="0020267D" w:rsidRPr="00D01E98" w:rsidRDefault="0020267D">
            <w:pPr>
              <w:pStyle w:val="Tekst"/>
              <w:rPr>
                <w:sz w:val="22"/>
                <w:szCs w:val="22"/>
                <w:lang w:val="sr-Latn-ME"/>
              </w:rPr>
            </w:pPr>
            <w:r w:rsidRPr="00D01E98">
              <w:rPr>
                <w:i/>
                <w:sz w:val="22"/>
                <w:szCs w:val="22"/>
                <w:lang w:val="sr-Latn-ME"/>
              </w:rPr>
              <w:t xml:space="preserve">In vitro </w:t>
            </w:r>
            <w:r w:rsidRPr="00D01E98">
              <w:rPr>
                <w:sz w:val="22"/>
                <w:szCs w:val="22"/>
                <w:lang w:val="sr-Latn-ME"/>
              </w:rPr>
              <w:t>ispitivanja su pokazala da aksitinib ne inhibira CYP2A6, CYP2C9, CYP2C19, CYP2D6, CYP2E1, CYP3A4/5 ili UGT1A1 pri terapijskim koncentracijama u plazmi.</w:t>
            </w:r>
          </w:p>
          <w:p w14:paraId="25FFA4A0" w14:textId="77777777" w:rsidR="0020267D" w:rsidRPr="00D01E98" w:rsidRDefault="0020267D">
            <w:pPr>
              <w:pStyle w:val="Tekst"/>
              <w:rPr>
                <w:sz w:val="22"/>
                <w:szCs w:val="22"/>
                <w:lang w:val="sr-Latn-ME"/>
              </w:rPr>
            </w:pPr>
          </w:p>
          <w:p w14:paraId="5B5B4DD1" w14:textId="77777777" w:rsidR="0020267D" w:rsidRPr="00D01E98" w:rsidRDefault="0020267D">
            <w:pPr>
              <w:pStyle w:val="Tekst"/>
              <w:rPr>
                <w:sz w:val="22"/>
                <w:szCs w:val="22"/>
                <w:lang w:val="sr-Latn-ME"/>
              </w:rPr>
            </w:pPr>
            <w:r w:rsidRPr="00D01E98">
              <w:rPr>
                <w:i/>
                <w:sz w:val="22"/>
                <w:szCs w:val="22"/>
                <w:lang w:val="sr-Latn-ME"/>
              </w:rPr>
              <w:t xml:space="preserve">In vitro </w:t>
            </w:r>
            <w:r w:rsidRPr="00D01E98">
              <w:rPr>
                <w:sz w:val="22"/>
                <w:szCs w:val="22"/>
                <w:lang w:val="sr-Latn-ME"/>
              </w:rPr>
              <w:t>ispitivanja su pokazala da aksitinib ima potencijal inhibiranja CYP1A2. Samim tim, istovremena primjena aksitiniba sa supstratima CYP1A2 može dovesti do povećanja koncentracija supstrata CYP1A2 u plazmi (npr. teofilina).</w:t>
            </w:r>
          </w:p>
          <w:p w14:paraId="58C5248A" w14:textId="77777777" w:rsidR="0020267D" w:rsidRPr="00D01E98" w:rsidRDefault="0020267D">
            <w:pPr>
              <w:pStyle w:val="Tekst"/>
              <w:rPr>
                <w:sz w:val="22"/>
                <w:szCs w:val="22"/>
                <w:lang w:val="sr-Latn-ME"/>
              </w:rPr>
            </w:pPr>
          </w:p>
          <w:p w14:paraId="1E17A544" w14:textId="77777777" w:rsidR="0020267D" w:rsidRPr="00D01E98" w:rsidRDefault="0020267D">
            <w:pPr>
              <w:pStyle w:val="Tekst"/>
              <w:rPr>
                <w:sz w:val="22"/>
                <w:szCs w:val="22"/>
                <w:lang w:val="sr-Latn-ME"/>
              </w:rPr>
            </w:pPr>
            <w:r w:rsidRPr="00D01E98">
              <w:rPr>
                <w:i/>
                <w:sz w:val="22"/>
                <w:szCs w:val="22"/>
                <w:lang w:val="sr-Latn-ME"/>
              </w:rPr>
              <w:t xml:space="preserve">In vitro </w:t>
            </w:r>
            <w:r w:rsidRPr="00D01E98">
              <w:rPr>
                <w:sz w:val="22"/>
                <w:szCs w:val="22"/>
                <w:lang w:val="sr-Latn-ME"/>
              </w:rPr>
              <w:t>ispitivanja su, takođe, pokazala da aksitinib ima potencijal inhibiranja CYP2A8. Međutim, istovremena primjena aksitiniba sa paklitakselom, poznatim supstratom CYP2A8, nije dovela do povećanja koncentracije paklitaksela u plazmi kod pacijenata sa uznapredovalim karcinomom, ukazujući na odsustvo inhibicije CYP2A8 u kliničkim uslovima.</w:t>
            </w:r>
          </w:p>
          <w:p w14:paraId="0C2BE119" w14:textId="77777777" w:rsidR="0020267D" w:rsidRPr="00D01E98" w:rsidRDefault="0020267D">
            <w:pPr>
              <w:pStyle w:val="Tekst"/>
              <w:rPr>
                <w:sz w:val="22"/>
                <w:szCs w:val="22"/>
                <w:lang w:val="sr-Latn-ME"/>
              </w:rPr>
            </w:pPr>
          </w:p>
          <w:p w14:paraId="0A6722D3" w14:textId="6190ED5B" w:rsidR="0020267D" w:rsidRPr="00D01E98" w:rsidRDefault="0020267D">
            <w:pPr>
              <w:pStyle w:val="Tekst"/>
              <w:rPr>
                <w:sz w:val="22"/>
                <w:szCs w:val="22"/>
                <w:lang w:val="sr-Latn-ME"/>
              </w:rPr>
            </w:pPr>
            <w:r w:rsidRPr="00D01E98">
              <w:rPr>
                <w:i/>
                <w:sz w:val="22"/>
                <w:szCs w:val="22"/>
                <w:lang w:val="sr-Latn-ME"/>
              </w:rPr>
              <w:lastRenderedPageBreak/>
              <w:t xml:space="preserve">In vitro </w:t>
            </w:r>
            <w:r w:rsidRPr="00D01E98">
              <w:rPr>
                <w:sz w:val="22"/>
                <w:szCs w:val="22"/>
                <w:lang w:val="sr-Latn-ME"/>
              </w:rPr>
              <w:t xml:space="preserve">ispitivanja humanih hepatocita takođe su pokazala da aksitinib ne indukuje CYP1A1, CYP1A2 ili CYP3A4/5. Samim tim se ne očekuje da će istovremena primjena aksitiniba smanjiti </w:t>
            </w:r>
            <w:r w:rsidRPr="00D01E98">
              <w:rPr>
                <w:i/>
                <w:sz w:val="22"/>
                <w:szCs w:val="22"/>
                <w:lang w:val="sr-Latn-ME"/>
              </w:rPr>
              <w:t xml:space="preserve">in vivo </w:t>
            </w:r>
            <w:r w:rsidRPr="00D01E98">
              <w:rPr>
                <w:sz w:val="22"/>
                <w:szCs w:val="22"/>
                <w:lang w:val="sr-Latn-ME"/>
              </w:rPr>
              <w:t>koncentracije istovremeno prim</w:t>
            </w:r>
            <w:r w:rsidR="00B46DFA" w:rsidRPr="00D01E98">
              <w:rPr>
                <w:sz w:val="22"/>
                <w:szCs w:val="22"/>
                <w:lang w:val="sr-Latn-ME"/>
              </w:rPr>
              <w:t>i</w:t>
            </w:r>
            <w:r w:rsidRPr="00D01E98">
              <w:rPr>
                <w:sz w:val="22"/>
                <w:szCs w:val="22"/>
                <w:lang w:val="sr-Latn-ME"/>
              </w:rPr>
              <w:t>jenjenih supstrata CYP1A1, CYP1A2 ili CYP3A4/5 u plazmi.</w:t>
            </w:r>
          </w:p>
          <w:p w14:paraId="31AFA89C" w14:textId="77777777" w:rsidR="0020267D" w:rsidRPr="00D01E98" w:rsidRDefault="0020267D">
            <w:pPr>
              <w:pStyle w:val="Tekst"/>
              <w:rPr>
                <w:sz w:val="22"/>
                <w:szCs w:val="22"/>
                <w:lang w:val="sr-Latn-ME"/>
              </w:rPr>
            </w:pPr>
          </w:p>
          <w:p w14:paraId="3AE425BD" w14:textId="77777777" w:rsidR="0020267D" w:rsidRPr="00D01E98" w:rsidRDefault="0020267D">
            <w:pPr>
              <w:pStyle w:val="Tekst"/>
              <w:rPr>
                <w:sz w:val="22"/>
                <w:szCs w:val="22"/>
                <w:u w:val="single"/>
                <w:lang w:val="sr-Latn-ME"/>
              </w:rPr>
            </w:pPr>
            <w:r w:rsidRPr="00D01E98">
              <w:rPr>
                <w:sz w:val="22"/>
                <w:szCs w:val="22"/>
                <w:u w:val="single"/>
                <w:lang w:val="sr-Latn-ME"/>
              </w:rPr>
              <w:t>In vitro ispitivanja sa P-glikoproteinom</w:t>
            </w:r>
          </w:p>
          <w:p w14:paraId="5D889EEC" w14:textId="77777777" w:rsidR="0020267D" w:rsidRPr="00D01E98" w:rsidRDefault="0020267D">
            <w:pPr>
              <w:pStyle w:val="Tekst"/>
              <w:rPr>
                <w:sz w:val="22"/>
                <w:szCs w:val="22"/>
                <w:lang w:val="sr-Latn-ME"/>
              </w:rPr>
            </w:pPr>
            <w:r w:rsidRPr="00D01E98">
              <w:rPr>
                <w:i/>
                <w:sz w:val="22"/>
                <w:szCs w:val="22"/>
                <w:lang w:val="sr-Latn-ME"/>
              </w:rPr>
              <w:t xml:space="preserve">In vitro </w:t>
            </w:r>
            <w:r w:rsidRPr="00D01E98">
              <w:rPr>
                <w:sz w:val="22"/>
                <w:szCs w:val="22"/>
                <w:lang w:val="sr-Latn-ME"/>
              </w:rPr>
              <w:t xml:space="preserve">ispitivanja su pokazala da aksitinib inhibira P-glikoprotein. Međutim, ne očekuje se da će aksitinib inhibirati P-glikoprotein pri terapijskim koncentracijama u plazmi. Samim tim, ne očekuje se da će istovremena primjena aksitiniba povećati </w:t>
            </w:r>
            <w:r w:rsidRPr="00D01E98">
              <w:rPr>
                <w:i/>
                <w:sz w:val="22"/>
                <w:szCs w:val="22"/>
                <w:lang w:val="sr-Latn-ME"/>
              </w:rPr>
              <w:t xml:space="preserve">in vivo </w:t>
            </w:r>
            <w:r w:rsidRPr="00D01E98">
              <w:rPr>
                <w:sz w:val="22"/>
                <w:szCs w:val="22"/>
                <w:lang w:val="sr-Latn-ME"/>
              </w:rPr>
              <w:t xml:space="preserve">koncentracije digoksina ili drugih supstrata P-glikoproteina u plazmi. </w:t>
            </w:r>
          </w:p>
          <w:p w14:paraId="5D45A6B7" w14:textId="77777777" w:rsidR="0020267D" w:rsidRPr="00D01E98" w:rsidRDefault="0020267D">
            <w:pPr>
              <w:pStyle w:val="Tekst"/>
              <w:rPr>
                <w:sz w:val="22"/>
                <w:szCs w:val="22"/>
                <w:lang w:val="sr-Latn-ME"/>
              </w:rPr>
            </w:pPr>
          </w:p>
        </w:tc>
      </w:tr>
      <w:tr w:rsidR="0020267D" w:rsidRPr="00D01E98" w14:paraId="622B6035" w14:textId="77777777" w:rsidTr="00757DA0">
        <w:tc>
          <w:tcPr>
            <w:tcW w:w="9906" w:type="dxa"/>
            <w:gridSpan w:val="3"/>
            <w:shd w:val="clear" w:color="auto" w:fill="auto"/>
            <w:vAlign w:val="center"/>
          </w:tcPr>
          <w:p w14:paraId="740E42F3" w14:textId="5F710C53" w:rsidR="0020267D" w:rsidRPr="00D01E98" w:rsidRDefault="0020267D" w:rsidP="00923DFD">
            <w:pPr>
              <w:pStyle w:val="Header"/>
              <w:tabs>
                <w:tab w:val="left" w:pos="284"/>
              </w:tabs>
              <w:jc w:val="both"/>
              <w:rPr>
                <w:b/>
                <w:bCs/>
                <w:sz w:val="22"/>
                <w:szCs w:val="22"/>
              </w:rPr>
            </w:pPr>
            <w:r w:rsidRPr="00D01E98">
              <w:rPr>
                <w:b/>
                <w:bCs/>
                <w:sz w:val="22"/>
                <w:szCs w:val="22"/>
              </w:rPr>
              <w:lastRenderedPageBreak/>
              <w:t>4.6. P</w:t>
            </w:r>
            <w:r w:rsidR="000D580E" w:rsidRPr="00D01E98">
              <w:rPr>
                <w:b/>
                <w:bCs/>
                <w:sz w:val="22"/>
                <w:szCs w:val="22"/>
              </w:rPr>
              <w:t xml:space="preserve">lodnost, </w:t>
            </w:r>
            <w:r w:rsidRPr="00D01E98">
              <w:rPr>
                <w:b/>
                <w:bCs/>
                <w:sz w:val="22"/>
                <w:szCs w:val="22"/>
              </w:rPr>
              <w:t>trudnoć</w:t>
            </w:r>
            <w:r w:rsidR="000D580E" w:rsidRPr="00D01E98">
              <w:rPr>
                <w:b/>
                <w:bCs/>
                <w:sz w:val="22"/>
                <w:szCs w:val="22"/>
              </w:rPr>
              <w:t>a</w:t>
            </w:r>
            <w:r w:rsidRPr="00D01E98">
              <w:rPr>
                <w:b/>
                <w:bCs/>
                <w:sz w:val="22"/>
                <w:szCs w:val="22"/>
              </w:rPr>
              <w:t xml:space="preserve"> i dojenj</w:t>
            </w:r>
            <w:r w:rsidR="000D580E" w:rsidRPr="00D01E98">
              <w:rPr>
                <w:b/>
                <w:bCs/>
                <w:sz w:val="22"/>
                <w:szCs w:val="22"/>
              </w:rPr>
              <w:t>e</w:t>
            </w:r>
          </w:p>
        </w:tc>
      </w:tr>
      <w:tr w:rsidR="0020267D" w:rsidRPr="00D01E98" w14:paraId="3C625244" w14:textId="77777777" w:rsidTr="00757DA0">
        <w:tc>
          <w:tcPr>
            <w:tcW w:w="9906" w:type="dxa"/>
            <w:gridSpan w:val="3"/>
            <w:shd w:val="clear" w:color="auto" w:fill="auto"/>
            <w:vAlign w:val="center"/>
          </w:tcPr>
          <w:p w14:paraId="3516BBE1" w14:textId="77777777" w:rsidR="0020267D" w:rsidRPr="00D01E98" w:rsidRDefault="0020267D">
            <w:pPr>
              <w:pStyle w:val="Tekst"/>
              <w:rPr>
                <w:i/>
                <w:sz w:val="22"/>
                <w:szCs w:val="22"/>
                <w:u w:val="single"/>
                <w:lang w:val="sr-Latn-ME"/>
              </w:rPr>
            </w:pPr>
          </w:p>
          <w:p w14:paraId="44326C6C" w14:textId="77777777" w:rsidR="0020267D" w:rsidRPr="00D01E98" w:rsidRDefault="0020267D">
            <w:pPr>
              <w:pStyle w:val="Tekst"/>
              <w:rPr>
                <w:sz w:val="22"/>
                <w:szCs w:val="22"/>
                <w:u w:val="single"/>
                <w:lang w:val="sr-Latn-ME"/>
              </w:rPr>
            </w:pPr>
            <w:r w:rsidRPr="00D01E98">
              <w:rPr>
                <w:sz w:val="22"/>
                <w:szCs w:val="22"/>
                <w:u w:val="single"/>
                <w:lang w:val="sr-Latn-ME"/>
              </w:rPr>
              <w:t>Trudnoća</w:t>
            </w:r>
          </w:p>
          <w:p w14:paraId="5D76423A" w14:textId="718E5896" w:rsidR="0020267D" w:rsidRPr="00D01E98" w:rsidRDefault="0020267D">
            <w:pPr>
              <w:pStyle w:val="Tekst"/>
              <w:rPr>
                <w:color w:val="auto"/>
                <w:sz w:val="22"/>
                <w:szCs w:val="22"/>
                <w:lang w:val="sr-Latn-ME"/>
              </w:rPr>
            </w:pPr>
            <w:r w:rsidRPr="00D01E98">
              <w:rPr>
                <w:sz w:val="22"/>
                <w:szCs w:val="22"/>
                <w:lang w:val="sr-Latn-ME"/>
              </w:rPr>
              <w:t xml:space="preserve">Ne postoje podaci o primjeni aksitiniba kod trudnica. Na osnovu farmakoloških karakteristika, aksitinib može izazvati oštećenja fetusa kada se </w:t>
            </w:r>
            <w:r w:rsidRPr="00D01E98">
              <w:rPr>
                <w:color w:val="auto"/>
                <w:sz w:val="22"/>
                <w:szCs w:val="22"/>
                <w:lang w:val="sr-Latn-ME"/>
              </w:rPr>
              <w:t xml:space="preserve">primjenjuje kod trudnica. Ispitivanja na životinjama su pokazala reproduktivnu toksičnost uključujući malformacije (vidjeti </w:t>
            </w:r>
            <w:r w:rsidR="00264191" w:rsidRPr="00D01E98">
              <w:rPr>
                <w:color w:val="auto"/>
                <w:sz w:val="22"/>
                <w:szCs w:val="22"/>
                <w:lang w:val="sr-Latn-ME"/>
              </w:rPr>
              <w:t>dio</w:t>
            </w:r>
            <w:r w:rsidRPr="00D01E98">
              <w:rPr>
                <w:color w:val="auto"/>
                <w:sz w:val="22"/>
                <w:szCs w:val="22"/>
                <w:lang w:val="sr-Latn-ME"/>
              </w:rPr>
              <w:t xml:space="preserve"> 5.3). Aksitinib se ne smije koristiti tokom trudnoće osim kada kliničko stanje majke zahtijeva terapiju ovim lijekom.</w:t>
            </w:r>
          </w:p>
          <w:p w14:paraId="1CD7807E" w14:textId="77777777" w:rsidR="0020267D" w:rsidRPr="00D01E98" w:rsidRDefault="0020267D">
            <w:pPr>
              <w:pStyle w:val="Tekst"/>
              <w:rPr>
                <w:color w:val="auto"/>
                <w:sz w:val="22"/>
                <w:szCs w:val="22"/>
                <w:lang w:val="sr-Latn-ME"/>
              </w:rPr>
            </w:pPr>
            <w:r w:rsidRPr="00D01E98">
              <w:rPr>
                <w:sz w:val="22"/>
                <w:szCs w:val="22"/>
                <w:lang w:val="sr-Latn-ME"/>
              </w:rPr>
              <w:t xml:space="preserve"> </w:t>
            </w:r>
          </w:p>
          <w:p w14:paraId="126917F3" w14:textId="77777777" w:rsidR="0020267D" w:rsidRPr="00D01E98" w:rsidRDefault="0020267D">
            <w:pPr>
              <w:pStyle w:val="Tekst"/>
              <w:rPr>
                <w:color w:val="auto"/>
                <w:sz w:val="22"/>
                <w:szCs w:val="22"/>
                <w:lang w:val="sr-Latn-ME"/>
              </w:rPr>
            </w:pPr>
            <w:r w:rsidRPr="00D01E98">
              <w:rPr>
                <w:color w:val="auto"/>
                <w:sz w:val="22"/>
                <w:szCs w:val="22"/>
                <w:lang w:val="sr-Latn-ME"/>
              </w:rPr>
              <w:t>Žene u reproduktivnom periodu moraju da koriste efikasnu kontracepciju tokom terapije i u periodu do 1 nedjelje poslije prekida terapije.</w:t>
            </w:r>
          </w:p>
          <w:p w14:paraId="64C88544" w14:textId="77777777" w:rsidR="0020267D" w:rsidRPr="00D01E98" w:rsidRDefault="0020267D">
            <w:pPr>
              <w:pStyle w:val="Tekst"/>
              <w:rPr>
                <w:sz w:val="22"/>
                <w:szCs w:val="22"/>
                <w:lang w:val="sr-Latn-ME"/>
              </w:rPr>
            </w:pPr>
          </w:p>
          <w:p w14:paraId="7BAD602F" w14:textId="77777777" w:rsidR="0020267D" w:rsidRPr="00D01E98" w:rsidRDefault="0020267D">
            <w:pPr>
              <w:pStyle w:val="Tekst"/>
              <w:rPr>
                <w:sz w:val="22"/>
                <w:szCs w:val="22"/>
                <w:u w:val="single"/>
                <w:lang w:val="sr-Latn-ME"/>
              </w:rPr>
            </w:pPr>
            <w:r w:rsidRPr="00D01E98">
              <w:rPr>
                <w:sz w:val="22"/>
                <w:szCs w:val="22"/>
                <w:u w:val="single"/>
                <w:lang w:val="sr-Latn-ME"/>
              </w:rPr>
              <w:t>Dojenje</w:t>
            </w:r>
          </w:p>
          <w:p w14:paraId="454FED26" w14:textId="77777777" w:rsidR="0020267D" w:rsidRPr="00D01E98" w:rsidRDefault="0020267D">
            <w:pPr>
              <w:pStyle w:val="Tekst"/>
              <w:rPr>
                <w:rFonts w:eastAsia="MS Mincho"/>
                <w:sz w:val="22"/>
                <w:szCs w:val="22"/>
                <w:lang w:val="sr-Latn-ME"/>
              </w:rPr>
            </w:pPr>
            <w:r w:rsidRPr="00D01E98">
              <w:rPr>
                <w:rFonts w:eastAsia="MS Mincho"/>
                <w:sz w:val="22"/>
                <w:szCs w:val="22"/>
                <w:lang w:val="sr-Latn-ME"/>
              </w:rPr>
              <w:t>Nije poznato da li se aksitinib izlučuje u majčino mlijeko. Ne može se isključiti rizik za odojče. Aksitinib se ne smije koristiti tokom perioda dojenja.</w:t>
            </w:r>
          </w:p>
          <w:p w14:paraId="2649B13C" w14:textId="77777777" w:rsidR="0020267D" w:rsidRPr="00D01E98" w:rsidRDefault="0020267D">
            <w:pPr>
              <w:pStyle w:val="Tekst"/>
              <w:rPr>
                <w:sz w:val="22"/>
                <w:szCs w:val="22"/>
                <w:lang w:val="sr-Latn-ME"/>
              </w:rPr>
            </w:pPr>
          </w:p>
          <w:p w14:paraId="742109E2" w14:textId="77777777" w:rsidR="0020267D" w:rsidRPr="00D01E98" w:rsidRDefault="0020267D">
            <w:pPr>
              <w:pStyle w:val="Tekst"/>
              <w:rPr>
                <w:sz w:val="22"/>
                <w:szCs w:val="22"/>
                <w:u w:val="single"/>
                <w:lang w:val="sr-Latn-ME"/>
              </w:rPr>
            </w:pPr>
            <w:r w:rsidRPr="00D01E98">
              <w:rPr>
                <w:sz w:val="22"/>
                <w:szCs w:val="22"/>
                <w:u w:val="single"/>
                <w:lang w:val="sr-Latn-ME"/>
              </w:rPr>
              <w:t>Plodnost</w:t>
            </w:r>
          </w:p>
          <w:p w14:paraId="3285210F" w14:textId="7CE961C2" w:rsidR="0020267D" w:rsidRPr="00D01E98" w:rsidRDefault="0020267D">
            <w:pPr>
              <w:pStyle w:val="Tekst"/>
              <w:rPr>
                <w:sz w:val="22"/>
                <w:szCs w:val="22"/>
                <w:lang w:val="sr-Latn-ME"/>
              </w:rPr>
            </w:pPr>
            <w:r w:rsidRPr="00D01E98">
              <w:rPr>
                <w:sz w:val="22"/>
                <w:szCs w:val="22"/>
                <w:lang w:val="sr-Latn-ME"/>
              </w:rPr>
              <w:t xml:space="preserve">Na osnovu nekliničkih podataka, aksitinib može štetno djelovati na reproduktivnu funkciju i plodnost kod ljudi (vidjeti </w:t>
            </w:r>
            <w:r w:rsidR="00264191" w:rsidRPr="00D01E98">
              <w:rPr>
                <w:sz w:val="22"/>
                <w:szCs w:val="22"/>
                <w:lang w:val="sr-Latn-ME"/>
              </w:rPr>
              <w:t>dio</w:t>
            </w:r>
            <w:r w:rsidRPr="00D01E98">
              <w:rPr>
                <w:sz w:val="22"/>
                <w:szCs w:val="22"/>
                <w:lang w:val="sr-Latn-ME"/>
              </w:rPr>
              <w:t xml:space="preserve"> 5.3).</w:t>
            </w:r>
          </w:p>
          <w:p w14:paraId="3851FCF7" w14:textId="77777777" w:rsidR="0020267D" w:rsidRPr="00D01E98" w:rsidRDefault="0020267D">
            <w:pPr>
              <w:pStyle w:val="Tekst"/>
              <w:rPr>
                <w:sz w:val="22"/>
                <w:szCs w:val="22"/>
                <w:lang w:val="sr-Latn-ME"/>
              </w:rPr>
            </w:pPr>
          </w:p>
        </w:tc>
      </w:tr>
      <w:tr w:rsidR="0020267D" w:rsidRPr="00D01E98" w14:paraId="0D6D9684" w14:textId="77777777" w:rsidTr="00757DA0">
        <w:tc>
          <w:tcPr>
            <w:tcW w:w="9906" w:type="dxa"/>
            <w:gridSpan w:val="3"/>
            <w:shd w:val="clear" w:color="auto" w:fill="auto"/>
            <w:vAlign w:val="center"/>
          </w:tcPr>
          <w:p w14:paraId="22FADFEF" w14:textId="123E3482" w:rsidR="0020267D" w:rsidRPr="00D01E98" w:rsidRDefault="0020267D" w:rsidP="00923DFD">
            <w:pPr>
              <w:pStyle w:val="Header"/>
              <w:tabs>
                <w:tab w:val="left" w:pos="284"/>
              </w:tabs>
              <w:jc w:val="both"/>
              <w:rPr>
                <w:b/>
                <w:bCs/>
                <w:sz w:val="22"/>
                <w:szCs w:val="22"/>
              </w:rPr>
            </w:pPr>
            <w:r w:rsidRPr="00D01E98">
              <w:rPr>
                <w:b/>
                <w:bCs/>
                <w:sz w:val="22"/>
                <w:szCs w:val="22"/>
              </w:rPr>
              <w:t>4.7. Uticaj na sposobnost upravljanja vozil</w:t>
            </w:r>
            <w:r w:rsidR="00477947" w:rsidRPr="00D01E98">
              <w:rPr>
                <w:b/>
                <w:bCs/>
                <w:sz w:val="22"/>
                <w:szCs w:val="22"/>
              </w:rPr>
              <w:t>i</w:t>
            </w:r>
            <w:r w:rsidRPr="00D01E98">
              <w:rPr>
                <w:b/>
                <w:bCs/>
                <w:sz w:val="22"/>
                <w:szCs w:val="22"/>
              </w:rPr>
              <w:t>m</w:t>
            </w:r>
            <w:r w:rsidR="00477947" w:rsidRPr="00D01E98">
              <w:rPr>
                <w:b/>
                <w:bCs/>
                <w:sz w:val="22"/>
                <w:szCs w:val="22"/>
              </w:rPr>
              <w:t>a</w:t>
            </w:r>
            <w:r w:rsidRPr="00D01E98">
              <w:rPr>
                <w:b/>
                <w:bCs/>
                <w:sz w:val="22"/>
                <w:szCs w:val="22"/>
              </w:rPr>
              <w:t xml:space="preserve"> i rukovanj</w:t>
            </w:r>
            <w:r w:rsidR="00477947" w:rsidRPr="00D01E98">
              <w:rPr>
                <w:b/>
                <w:bCs/>
                <w:sz w:val="22"/>
                <w:szCs w:val="22"/>
              </w:rPr>
              <w:t>e</w:t>
            </w:r>
            <w:r w:rsidRPr="00D01E98">
              <w:rPr>
                <w:b/>
                <w:bCs/>
                <w:sz w:val="22"/>
                <w:szCs w:val="22"/>
              </w:rPr>
              <w:t xml:space="preserve"> mašinama</w:t>
            </w:r>
          </w:p>
        </w:tc>
      </w:tr>
      <w:tr w:rsidR="0020267D" w:rsidRPr="00D01E98" w14:paraId="31DA8778" w14:textId="77777777" w:rsidTr="00757DA0">
        <w:tc>
          <w:tcPr>
            <w:tcW w:w="9906" w:type="dxa"/>
            <w:gridSpan w:val="3"/>
            <w:shd w:val="clear" w:color="auto" w:fill="auto"/>
            <w:vAlign w:val="center"/>
          </w:tcPr>
          <w:p w14:paraId="4033EC64" w14:textId="77777777" w:rsidR="0020267D" w:rsidRPr="00D01E98" w:rsidRDefault="0020267D">
            <w:pPr>
              <w:pStyle w:val="Tekst"/>
              <w:rPr>
                <w:color w:val="auto"/>
                <w:sz w:val="22"/>
                <w:szCs w:val="22"/>
                <w:lang w:val="sr-Latn-ME"/>
              </w:rPr>
            </w:pPr>
          </w:p>
          <w:p w14:paraId="23009923" w14:textId="77777777" w:rsidR="0020267D" w:rsidRPr="00D01E98" w:rsidRDefault="0020267D">
            <w:pPr>
              <w:pStyle w:val="Tekst"/>
              <w:rPr>
                <w:color w:val="auto"/>
                <w:sz w:val="22"/>
                <w:szCs w:val="22"/>
                <w:lang w:val="sr-Latn-ME"/>
              </w:rPr>
            </w:pPr>
            <w:r w:rsidRPr="00D01E98">
              <w:rPr>
                <w:color w:val="auto"/>
                <w:sz w:val="22"/>
                <w:szCs w:val="22"/>
                <w:lang w:val="sr-Latn-ME"/>
              </w:rPr>
              <w:t>Aksitinib ima zanemarljiv uticaj na sposobnost upravljanja motornim vozilima i rukovanja mašinama. Pacijente treba upozoriti na mogućnost pojave nesvjestice i/ili zamora tokom terapije aksitinibom.</w:t>
            </w:r>
          </w:p>
          <w:p w14:paraId="68FFA143" w14:textId="77777777" w:rsidR="0020267D" w:rsidRPr="00D01E98" w:rsidRDefault="0020267D">
            <w:pPr>
              <w:pStyle w:val="Tekst"/>
              <w:rPr>
                <w:color w:val="auto"/>
                <w:sz w:val="22"/>
                <w:szCs w:val="22"/>
                <w:lang w:val="sr-Latn-ME"/>
              </w:rPr>
            </w:pPr>
          </w:p>
        </w:tc>
      </w:tr>
      <w:tr w:rsidR="0020267D" w:rsidRPr="00D01E98" w14:paraId="39E92E1F" w14:textId="77777777" w:rsidTr="00757DA0">
        <w:trPr>
          <w:trHeight w:val="495"/>
        </w:trPr>
        <w:tc>
          <w:tcPr>
            <w:tcW w:w="9906" w:type="dxa"/>
            <w:gridSpan w:val="3"/>
            <w:shd w:val="clear" w:color="auto" w:fill="auto"/>
            <w:vAlign w:val="center"/>
          </w:tcPr>
          <w:p w14:paraId="278BD14D" w14:textId="77777777" w:rsidR="0020267D" w:rsidRPr="00D01E98" w:rsidRDefault="0020267D" w:rsidP="00923DFD">
            <w:pPr>
              <w:pStyle w:val="Header"/>
              <w:tabs>
                <w:tab w:val="left" w:pos="284"/>
              </w:tabs>
              <w:jc w:val="both"/>
              <w:rPr>
                <w:b/>
                <w:bCs/>
                <w:sz w:val="22"/>
                <w:szCs w:val="22"/>
              </w:rPr>
            </w:pPr>
            <w:r w:rsidRPr="00D01E98">
              <w:rPr>
                <w:b/>
                <w:bCs/>
                <w:sz w:val="22"/>
                <w:szCs w:val="22"/>
              </w:rPr>
              <w:t>4.8. Neželjena dejstva</w:t>
            </w:r>
          </w:p>
        </w:tc>
      </w:tr>
      <w:tr w:rsidR="0020267D" w:rsidRPr="00D01E98" w14:paraId="0BF11FC6" w14:textId="77777777" w:rsidTr="00757DA0">
        <w:tc>
          <w:tcPr>
            <w:tcW w:w="9906" w:type="dxa"/>
            <w:gridSpan w:val="3"/>
            <w:shd w:val="clear" w:color="auto" w:fill="auto"/>
            <w:vAlign w:val="center"/>
          </w:tcPr>
          <w:p w14:paraId="419B291D" w14:textId="77777777" w:rsidR="0020267D" w:rsidRPr="00D01E98" w:rsidRDefault="0020267D" w:rsidP="00923DFD">
            <w:pPr>
              <w:jc w:val="both"/>
              <w:outlineLvl w:val="0"/>
              <w:rPr>
                <w:i/>
                <w:sz w:val="22"/>
                <w:szCs w:val="22"/>
                <w:u w:val="single"/>
              </w:rPr>
            </w:pPr>
          </w:p>
          <w:p w14:paraId="78850CCE" w14:textId="77777777" w:rsidR="0020267D" w:rsidRPr="00D01E98" w:rsidRDefault="0020267D" w:rsidP="00923DFD">
            <w:pPr>
              <w:jc w:val="both"/>
              <w:outlineLvl w:val="0"/>
              <w:rPr>
                <w:i/>
                <w:sz w:val="22"/>
                <w:szCs w:val="22"/>
                <w:u w:val="single"/>
              </w:rPr>
            </w:pPr>
            <w:r w:rsidRPr="00D01E98">
              <w:rPr>
                <w:i/>
                <w:sz w:val="22"/>
                <w:szCs w:val="22"/>
                <w:u w:val="single"/>
              </w:rPr>
              <w:t>Sažetak bezbjednosnog profila</w:t>
            </w:r>
          </w:p>
          <w:p w14:paraId="234941C9" w14:textId="7BB40D0C" w:rsidR="0020267D" w:rsidRPr="00D01E98" w:rsidRDefault="00DF01F5" w:rsidP="00923DFD">
            <w:pPr>
              <w:keepNext/>
              <w:jc w:val="both"/>
              <w:rPr>
                <w:sz w:val="22"/>
                <w:szCs w:val="22"/>
              </w:rPr>
            </w:pPr>
            <w:r w:rsidRPr="00D01E98">
              <w:rPr>
                <w:sz w:val="22"/>
                <w:szCs w:val="22"/>
              </w:rPr>
              <w:t>Sl</w:t>
            </w:r>
            <w:r w:rsidR="00C121D7" w:rsidRPr="00D01E98">
              <w:rPr>
                <w:sz w:val="22"/>
                <w:szCs w:val="22"/>
              </w:rPr>
              <w:t>j</w:t>
            </w:r>
            <w:r w:rsidRPr="00D01E98">
              <w:rPr>
                <w:sz w:val="22"/>
                <w:szCs w:val="22"/>
              </w:rPr>
              <w:t>edeći rizici, uključujući m</w:t>
            </w:r>
            <w:r w:rsidR="00C121D7" w:rsidRPr="00D01E98">
              <w:rPr>
                <w:sz w:val="22"/>
                <w:szCs w:val="22"/>
              </w:rPr>
              <w:t>j</w:t>
            </w:r>
            <w:r w:rsidRPr="00D01E98">
              <w:rPr>
                <w:sz w:val="22"/>
                <w:szCs w:val="22"/>
              </w:rPr>
              <w:t>ere koje treba preduzeti detaljnije su razmotreni u od</w:t>
            </w:r>
            <w:r w:rsidR="00C121D7" w:rsidRPr="00D01E98">
              <w:rPr>
                <w:sz w:val="22"/>
                <w:szCs w:val="22"/>
              </w:rPr>
              <w:t>j</w:t>
            </w:r>
            <w:r w:rsidRPr="00D01E98">
              <w:rPr>
                <w:sz w:val="22"/>
                <w:szCs w:val="22"/>
              </w:rPr>
              <w:t xml:space="preserve">eljku 4.4: </w:t>
            </w:r>
            <w:r w:rsidR="0020267D" w:rsidRPr="00D01E98">
              <w:rPr>
                <w:bCs/>
                <w:sz w:val="22"/>
                <w:szCs w:val="22"/>
              </w:rPr>
              <w:t xml:space="preserve">događaji povezani sa srčanom insuficijencijom, </w:t>
            </w:r>
            <w:r w:rsidRPr="00D01E98">
              <w:rPr>
                <w:bCs/>
                <w:sz w:val="22"/>
                <w:szCs w:val="22"/>
              </w:rPr>
              <w:t xml:space="preserve">hipertenzija, tireoidna disfunkcija, </w:t>
            </w:r>
            <w:r w:rsidR="0020267D" w:rsidRPr="00D01E98">
              <w:rPr>
                <w:sz w:val="22"/>
                <w:szCs w:val="22"/>
              </w:rPr>
              <w:t>arterijski trombo</w:t>
            </w:r>
            <w:r w:rsidRPr="00D01E98">
              <w:rPr>
                <w:sz w:val="22"/>
                <w:szCs w:val="22"/>
              </w:rPr>
              <w:t>embolijski</w:t>
            </w:r>
            <w:r w:rsidR="0020267D" w:rsidRPr="00D01E98">
              <w:rPr>
                <w:sz w:val="22"/>
                <w:szCs w:val="22"/>
              </w:rPr>
              <w:t xml:space="preserve"> događaji, venski embolijski i trombo</w:t>
            </w:r>
            <w:r w:rsidR="00D47E45" w:rsidRPr="00D01E98">
              <w:rPr>
                <w:sz w:val="22"/>
                <w:szCs w:val="22"/>
              </w:rPr>
              <w:t>embolijski</w:t>
            </w:r>
            <w:r w:rsidR="0020267D" w:rsidRPr="00D01E98">
              <w:rPr>
                <w:sz w:val="22"/>
                <w:szCs w:val="22"/>
              </w:rPr>
              <w:t xml:space="preserve"> događaji,</w:t>
            </w:r>
            <w:r w:rsidR="00D47E45" w:rsidRPr="00D01E98">
              <w:rPr>
                <w:sz w:val="22"/>
                <w:szCs w:val="22"/>
              </w:rPr>
              <w:t xml:space="preserve"> povećanje nivoa hemoglobina ili hematokrita,</w:t>
            </w:r>
            <w:r w:rsidR="0020267D" w:rsidRPr="00D01E98">
              <w:rPr>
                <w:sz w:val="22"/>
                <w:szCs w:val="22"/>
              </w:rPr>
              <w:t xml:space="preserve"> krvarenje, gastrointestinalna perforacija i stvaranje fistule,</w:t>
            </w:r>
            <w:r w:rsidR="00D47E45" w:rsidRPr="00D01E98">
              <w:rPr>
                <w:sz w:val="22"/>
                <w:szCs w:val="22"/>
              </w:rPr>
              <w:t>komplikacije zarastanja rane, PRES, proteinurija i povećanje nivoa enzima jetre.</w:t>
            </w:r>
          </w:p>
          <w:p w14:paraId="4C6D74BD" w14:textId="77777777" w:rsidR="0020267D" w:rsidRPr="00D01E98" w:rsidRDefault="0020267D">
            <w:pPr>
              <w:pStyle w:val="Tekst"/>
              <w:rPr>
                <w:color w:val="auto"/>
                <w:sz w:val="22"/>
                <w:szCs w:val="22"/>
                <w:lang w:val="sr-Latn-ME"/>
              </w:rPr>
            </w:pPr>
          </w:p>
          <w:p w14:paraId="1E2463C2" w14:textId="613DA871" w:rsidR="0020267D" w:rsidRPr="00D01E98" w:rsidRDefault="0020267D">
            <w:pPr>
              <w:pStyle w:val="Tekst"/>
              <w:rPr>
                <w:color w:val="auto"/>
                <w:sz w:val="22"/>
                <w:szCs w:val="22"/>
                <w:lang w:val="sr-Latn-ME"/>
              </w:rPr>
            </w:pPr>
            <w:r w:rsidRPr="00D01E98">
              <w:rPr>
                <w:color w:val="auto"/>
                <w:sz w:val="22"/>
                <w:szCs w:val="22"/>
                <w:lang w:val="sr-Latn-ME"/>
              </w:rPr>
              <w:t>Najčešće (</w:t>
            </w:r>
            <w:r w:rsidRPr="00D01E98">
              <w:rPr>
                <w:color w:val="auto"/>
                <w:sz w:val="22"/>
                <w:szCs w:val="22"/>
                <w:lang w:val="sr-Latn-ME"/>
              </w:rPr>
              <w:sym w:font="Symbol" w:char="F0B3"/>
            </w:r>
            <w:r w:rsidRPr="00D01E98">
              <w:rPr>
                <w:color w:val="auto"/>
                <w:sz w:val="22"/>
                <w:szCs w:val="22"/>
                <w:lang w:val="sr-Latn-ME"/>
              </w:rPr>
              <w:t xml:space="preserve"> 20%) neželjene reakcije primijećene prilikom terapije aksitinibom su dijareja, hipertenzija, zamor, smanjen apetit</w:t>
            </w:r>
            <w:r w:rsidR="00D47E45" w:rsidRPr="00D01E98">
              <w:rPr>
                <w:color w:val="auto"/>
                <w:sz w:val="22"/>
                <w:szCs w:val="22"/>
                <w:lang w:val="sr-Latn-ME"/>
              </w:rPr>
              <w:t>, mučnina, smanjenje t</w:t>
            </w:r>
            <w:r w:rsidR="00C121D7" w:rsidRPr="00D01E98">
              <w:rPr>
                <w:color w:val="auto"/>
                <w:sz w:val="22"/>
                <w:szCs w:val="22"/>
                <w:lang w:val="sr-Latn-ME"/>
              </w:rPr>
              <w:t>j</w:t>
            </w:r>
            <w:r w:rsidR="00D47E45" w:rsidRPr="00D01E98">
              <w:rPr>
                <w:color w:val="auto"/>
                <w:sz w:val="22"/>
                <w:szCs w:val="22"/>
                <w:lang w:val="sr-Latn-ME"/>
              </w:rPr>
              <w:t>elesne težine, disfonija,</w:t>
            </w:r>
            <w:r w:rsidRPr="00D01E98">
              <w:rPr>
                <w:color w:val="auto"/>
                <w:sz w:val="22"/>
                <w:szCs w:val="22"/>
                <w:lang w:val="sr-Latn-ME"/>
              </w:rPr>
              <w:t xml:space="preserve"> sindrom palmarno-plantarne eritrodizestezije (šaka-stopalo)</w:t>
            </w:r>
            <w:r w:rsidR="00D47E45" w:rsidRPr="00D01E98">
              <w:rPr>
                <w:color w:val="auto"/>
                <w:sz w:val="22"/>
                <w:szCs w:val="22"/>
                <w:lang w:val="sr-Latn-ME"/>
              </w:rPr>
              <w:t>, krvarenje, hipotireoza, povraćanje, proteinurija, kašalj i zatvor</w:t>
            </w:r>
            <w:r w:rsidRPr="00D01E98">
              <w:rPr>
                <w:color w:val="auto"/>
                <w:sz w:val="22"/>
                <w:szCs w:val="22"/>
                <w:lang w:val="sr-Latn-ME"/>
              </w:rPr>
              <w:t>.</w:t>
            </w:r>
          </w:p>
          <w:p w14:paraId="7513CEEF" w14:textId="77777777" w:rsidR="0020267D" w:rsidRPr="00D01E98" w:rsidRDefault="0020267D">
            <w:pPr>
              <w:pStyle w:val="Tekst"/>
              <w:rPr>
                <w:color w:val="auto"/>
                <w:sz w:val="22"/>
                <w:szCs w:val="22"/>
                <w:lang w:val="sr-Latn-ME"/>
              </w:rPr>
            </w:pPr>
          </w:p>
          <w:p w14:paraId="13F68F47" w14:textId="77777777" w:rsidR="0020267D" w:rsidRPr="00D01E98" w:rsidRDefault="0020267D" w:rsidP="00923DFD">
            <w:pPr>
              <w:jc w:val="both"/>
              <w:outlineLvl w:val="0"/>
              <w:rPr>
                <w:sz w:val="22"/>
                <w:szCs w:val="22"/>
                <w:u w:val="single"/>
              </w:rPr>
            </w:pPr>
            <w:r w:rsidRPr="00D01E98">
              <w:rPr>
                <w:sz w:val="22"/>
                <w:szCs w:val="22"/>
                <w:u w:val="single"/>
              </w:rPr>
              <w:t>Tabelarni prikaz neželjenih reakcija</w:t>
            </w:r>
          </w:p>
          <w:p w14:paraId="74E3525C" w14:textId="205845A4" w:rsidR="0020267D" w:rsidRPr="00D01E98" w:rsidRDefault="0020267D">
            <w:pPr>
              <w:pStyle w:val="Tekst"/>
              <w:rPr>
                <w:color w:val="auto"/>
                <w:sz w:val="22"/>
                <w:szCs w:val="22"/>
                <w:lang w:val="sr-Latn-ME"/>
              </w:rPr>
            </w:pPr>
            <w:r w:rsidRPr="00D01E98">
              <w:rPr>
                <w:color w:val="auto"/>
                <w:sz w:val="22"/>
                <w:szCs w:val="22"/>
                <w:lang w:val="sr-Latn-ME"/>
              </w:rPr>
              <w:t xml:space="preserve">Tabela 1 predstavlja neželjene reakcije prijavljene kod </w:t>
            </w:r>
            <w:r w:rsidR="00D47E45" w:rsidRPr="00D01E98">
              <w:rPr>
                <w:color w:val="auto"/>
                <w:sz w:val="22"/>
                <w:szCs w:val="22"/>
                <w:lang w:val="sr-Latn-ME"/>
              </w:rPr>
              <w:t xml:space="preserve">objedinjenog skupa podataka 672 </w:t>
            </w:r>
            <w:r w:rsidRPr="00D01E98">
              <w:rPr>
                <w:color w:val="auto"/>
                <w:sz w:val="22"/>
                <w:szCs w:val="22"/>
                <w:lang w:val="sr-Latn-ME"/>
              </w:rPr>
              <w:t>pacijenta koji su primali aksitinib u kliničk</w:t>
            </w:r>
            <w:r w:rsidR="00D47E45" w:rsidRPr="00D01E98">
              <w:rPr>
                <w:color w:val="auto"/>
                <w:sz w:val="22"/>
                <w:szCs w:val="22"/>
                <w:lang w:val="sr-Latn-ME"/>
              </w:rPr>
              <w:t>i</w:t>
            </w:r>
            <w:r w:rsidRPr="00D01E98">
              <w:rPr>
                <w:color w:val="auto"/>
                <w:sz w:val="22"/>
                <w:szCs w:val="22"/>
                <w:lang w:val="sr-Latn-ME"/>
              </w:rPr>
              <w:t>m ispitivanj</w:t>
            </w:r>
            <w:r w:rsidR="00D47E45" w:rsidRPr="00D01E98">
              <w:rPr>
                <w:color w:val="auto"/>
                <w:sz w:val="22"/>
                <w:szCs w:val="22"/>
                <w:lang w:val="sr-Latn-ME"/>
              </w:rPr>
              <w:t>ima</w:t>
            </w:r>
            <w:r w:rsidRPr="00D01E98">
              <w:rPr>
                <w:color w:val="auto"/>
                <w:sz w:val="22"/>
                <w:szCs w:val="22"/>
                <w:lang w:val="sr-Latn-ME"/>
              </w:rPr>
              <w:t xml:space="preserve"> za liječenje pacijenata sa RCC (vidjeti </w:t>
            </w:r>
            <w:r w:rsidR="00264191" w:rsidRPr="00D01E98">
              <w:rPr>
                <w:color w:val="auto"/>
                <w:sz w:val="22"/>
                <w:szCs w:val="22"/>
                <w:lang w:val="sr-Latn-ME"/>
              </w:rPr>
              <w:t>dio</w:t>
            </w:r>
            <w:r w:rsidRPr="00D01E98">
              <w:rPr>
                <w:color w:val="auto"/>
                <w:sz w:val="22"/>
                <w:szCs w:val="22"/>
                <w:lang w:val="sr-Latn-ME"/>
              </w:rPr>
              <w:t xml:space="preserve"> 5.1).</w:t>
            </w:r>
            <w:r w:rsidR="00D47E45" w:rsidRPr="00D01E98">
              <w:rPr>
                <w:color w:val="auto"/>
                <w:sz w:val="22"/>
                <w:szCs w:val="22"/>
                <w:lang w:val="sr-Latn-ME"/>
              </w:rPr>
              <w:t xml:space="preserve"> Takođe su obuhvaćene</w:t>
            </w:r>
            <w:r w:rsidR="00A667D5" w:rsidRPr="00D01E98">
              <w:rPr>
                <w:color w:val="auto"/>
                <w:sz w:val="22"/>
                <w:szCs w:val="22"/>
                <w:lang w:val="sr-Latn-ME"/>
              </w:rPr>
              <w:t xml:space="preserve"> post</w:t>
            </w:r>
            <w:r w:rsidR="00D47E45" w:rsidRPr="00D01E98">
              <w:rPr>
                <w:color w:val="auto"/>
                <w:sz w:val="22"/>
                <w:szCs w:val="22"/>
                <w:lang w:val="sr-Latn-ME"/>
              </w:rPr>
              <w:t>m</w:t>
            </w:r>
            <w:r w:rsidR="00A667D5" w:rsidRPr="00D01E98">
              <w:rPr>
                <w:color w:val="auto"/>
                <w:sz w:val="22"/>
                <w:szCs w:val="22"/>
                <w:lang w:val="sr-Latn-ME"/>
              </w:rPr>
              <w:t>a</w:t>
            </w:r>
            <w:r w:rsidR="00D47E45" w:rsidRPr="00D01E98">
              <w:rPr>
                <w:color w:val="auto"/>
                <w:sz w:val="22"/>
                <w:szCs w:val="22"/>
                <w:lang w:val="sr-Latn-ME"/>
              </w:rPr>
              <w:t>rk</w:t>
            </w:r>
            <w:r w:rsidR="00A667D5" w:rsidRPr="00D01E98">
              <w:rPr>
                <w:color w:val="auto"/>
                <w:sz w:val="22"/>
                <w:szCs w:val="22"/>
                <w:lang w:val="sr-Latn-ME"/>
              </w:rPr>
              <w:t>e</w:t>
            </w:r>
            <w:r w:rsidR="00D47E45" w:rsidRPr="00D01E98">
              <w:rPr>
                <w:color w:val="auto"/>
                <w:sz w:val="22"/>
                <w:szCs w:val="22"/>
                <w:lang w:val="sr-Latn-ME"/>
              </w:rPr>
              <w:t>tinške neželjene reakcije utvrđene u kliničkim ispitivanjima.</w:t>
            </w:r>
          </w:p>
          <w:p w14:paraId="4FDB7CC5" w14:textId="77777777" w:rsidR="0020267D" w:rsidRPr="00D01E98" w:rsidRDefault="0020267D">
            <w:pPr>
              <w:pStyle w:val="Tekst"/>
              <w:rPr>
                <w:color w:val="auto"/>
                <w:sz w:val="22"/>
                <w:szCs w:val="22"/>
                <w:lang w:val="sr-Latn-ME"/>
              </w:rPr>
            </w:pPr>
          </w:p>
          <w:p w14:paraId="324E7A64" w14:textId="2A88BB12" w:rsidR="0020267D" w:rsidRPr="00D01E98" w:rsidRDefault="0020267D">
            <w:pPr>
              <w:pStyle w:val="Tekst"/>
              <w:rPr>
                <w:color w:val="auto"/>
                <w:sz w:val="22"/>
                <w:szCs w:val="22"/>
                <w:lang w:val="sr-Latn-ME"/>
              </w:rPr>
            </w:pPr>
            <w:r w:rsidRPr="00D01E98">
              <w:rPr>
                <w:color w:val="auto"/>
                <w:sz w:val="22"/>
                <w:szCs w:val="22"/>
                <w:lang w:val="sr-Latn-ME"/>
              </w:rPr>
              <w:t>Neželjen</w:t>
            </w:r>
            <w:r w:rsidR="004B7FEA" w:rsidRPr="00D01E98">
              <w:rPr>
                <w:color w:val="auto"/>
                <w:sz w:val="22"/>
                <w:szCs w:val="22"/>
                <w:lang w:val="sr-Latn-ME"/>
              </w:rPr>
              <w:t>e</w:t>
            </w:r>
            <w:r w:rsidRPr="00D01E98">
              <w:rPr>
                <w:color w:val="auto"/>
                <w:sz w:val="22"/>
                <w:szCs w:val="22"/>
                <w:lang w:val="sr-Latn-ME"/>
              </w:rPr>
              <w:t xml:space="preserve"> </w:t>
            </w:r>
            <w:r w:rsidR="004B7FEA" w:rsidRPr="00D01E98">
              <w:rPr>
                <w:color w:val="auto"/>
                <w:sz w:val="22"/>
                <w:szCs w:val="22"/>
                <w:lang w:val="sr-Latn-ME"/>
              </w:rPr>
              <w:t>reakcije</w:t>
            </w:r>
            <w:r w:rsidRPr="00D01E98">
              <w:rPr>
                <w:color w:val="auto"/>
                <w:sz w:val="22"/>
                <w:szCs w:val="22"/>
                <w:lang w:val="sr-Latn-ME"/>
              </w:rPr>
              <w:t xml:space="preserve"> su naveden</w:t>
            </w:r>
            <w:r w:rsidR="004B7FEA" w:rsidRPr="00D01E98">
              <w:rPr>
                <w:color w:val="auto"/>
                <w:sz w:val="22"/>
                <w:szCs w:val="22"/>
                <w:lang w:val="sr-Latn-ME"/>
              </w:rPr>
              <w:t>e</w:t>
            </w:r>
            <w:r w:rsidRPr="00D01E98">
              <w:rPr>
                <w:color w:val="auto"/>
                <w:sz w:val="22"/>
                <w:szCs w:val="22"/>
                <w:lang w:val="sr-Latn-ME"/>
              </w:rPr>
              <w:t xml:space="preserve"> po klasama sistema organa, kategoriji učestalosti i gradusu težine. Kategorije učestalosti definisane su kao: veoma česta (</w:t>
            </w:r>
            <w:r w:rsidRPr="00D01E98">
              <w:rPr>
                <w:color w:val="auto"/>
                <w:sz w:val="22"/>
                <w:szCs w:val="22"/>
                <w:lang w:val="sr-Latn-ME"/>
              </w:rPr>
              <w:sym w:font="Symbol" w:char="F0B3"/>
            </w:r>
            <w:r w:rsidRPr="00D01E98">
              <w:rPr>
                <w:color w:val="auto"/>
                <w:sz w:val="22"/>
                <w:szCs w:val="22"/>
                <w:lang w:val="sr-Latn-ME"/>
              </w:rPr>
              <w:t xml:space="preserve"> 1/10), česta (</w:t>
            </w:r>
            <w:r w:rsidRPr="00D01E98">
              <w:rPr>
                <w:color w:val="auto"/>
                <w:sz w:val="22"/>
                <w:szCs w:val="22"/>
                <w:lang w:val="sr-Latn-ME"/>
              </w:rPr>
              <w:sym w:font="Symbol" w:char="F0B3"/>
            </w:r>
            <w:r w:rsidRPr="00D01E98">
              <w:rPr>
                <w:color w:val="auto"/>
                <w:sz w:val="22"/>
                <w:szCs w:val="22"/>
                <w:lang w:val="sr-Latn-ME"/>
              </w:rPr>
              <w:t xml:space="preserve"> 1/100 do &lt; 1/10), povremena (</w:t>
            </w:r>
            <w:r w:rsidRPr="00D01E98">
              <w:rPr>
                <w:color w:val="auto"/>
                <w:sz w:val="22"/>
                <w:szCs w:val="22"/>
                <w:lang w:val="sr-Latn-ME"/>
              </w:rPr>
              <w:sym w:font="Symbol" w:char="F0B3"/>
            </w:r>
            <w:r w:rsidRPr="00D01E98">
              <w:rPr>
                <w:color w:val="auto"/>
                <w:sz w:val="22"/>
                <w:szCs w:val="22"/>
                <w:lang w:val="sr-Latn-ME"/>
              </w:rPr>
              <w:t xml:space="preserve"> 1/1 000 do &lt; 1/100), </w:t>
            </w:r>
            <w:r w:rsidRPr="00D01E98">
              <w:rPr>
                <w:rFonts w:eastAsia="MS Mincho"/>
                <w:color w:val="auto"/>
                <w:sz w:val="22"/>
                <w:szCs w:val="22"/>
                <w:lang w:val="sr-Latn-ME" w:eastAsia="ja-JP"/>
              </w:rPr>
              <w:t>rijetka (</w:t>
            </w:r>
            <w:r w:rsidRPr="00D01E98">
              <w:rPr>
                <w:rFonts w:eastAsia="MS Mincho"/>
                <w:color w:val="auto"/>
                <w:sz w:val="22"/>
                <w:szCs w:val="22"/>
                <w:lang w:val="sr-Latn-ME" w:eastAsia="ja-JP"/>
              </w:rPr>
              <w:sym w:font="Symbol" w:char="F0B3"/>
            </w:r>
            <w:r w:rsidRPr="00D01E98">
              <w:rPr>
                <w:rFonts w:eastAsia="MS Mincho"/>
                <w:color w:val="auto"/>
                <w:sz w:val="22"/>
                <w:szCs w:val="22"/>
                <w:lang w:val="sr-Latn-ME" w:eastAsia="ja-JP"/>
              </w:rPr>
              <w:t>1/10 000 do &lt; 1/1 000) ), veoma rijetka (&lt; 1/10 000)</w:t>
            </w:r>
            <w:r w:rsidRPr="00D01E98">
              <w:rPr>
                <w:color w:val="auto"/>
                <w:sz w:val="22"/>
                <w:szCs w:val="22"/>
                <w:lang w:val="sr-Latn-ME"/>
              </w:rPr>
              <w:t xml:space="preserve"> i nepoznata (ne može se procijeniti na </w:t>
            </w:r>
            <w:r w:rsidRPr="00D01E98">
              <w:rPr>
                <w:color w:val="auto"/>
                <w:sz w:val="22"/>
                <w:szCs w:val="22"/>
                <w:lang w:val="sr-Latn-ME"/>
              </w:rPr>
              <w:lastRenderedPageBreak/>
              <w:t>osnovu raspoloživih podataka). Postojeća bezbjednosna baza podataka za aksitinib je suviše mala da bi registrovala rijetke i veoma rijetke neželjene reakcije.</w:t>
            </w:r>
          </w:p>
          <w:p w14:paraId="07BA2C97" w14:textId="77777777" w:rsidR="0020267D" w:rsidRPr="00D01E98" w:rsidRDefault="0020267D">
            <w:pPr>
              <w:pStyle w:val="Tekst"/>
              <w:rPr>
                <w:color w:val="auto"/>
                <w:sz w:val="22"/>
                <w:szCs w:val="22"/>
                <w:lang w:val="sr-Latn-ME"/>
              </w:rPr>
            </w:pPr>
          </w:p>
          <w:p w14:paraId="0C4D63AB" w14:textId="77777777" w:rsidR="0020267D" w:rsidRPr="00D01E98" w:rsidRDefault="0020267D">
            <w:pPr>
              <w:pStyle w:val="Tekst"/>
              <w:rPr>
                <w:color w:val="auto"/>
                <w:sz w:val="22"/>
                <w:szCs w:val="22"/>
                <w:lang w:val="sr-Latn-ME"/>
              </w:rPr>
            </w:pPr>
            <w:r w:rsidRPr="00D01E98">
              <w:rPr>
                <w:color w:val="auto"/>
                <w:sz w:val="22"/>
                <w:szCs w:val="22"/>
                <w:lang w:val="sr-Latn-ME"/>
              </w:rPr>
              <w:t xml:space="preserve">Kategorije su dodijeljene na osnovu apsolutnih učestalosti </w:t>
            </w:r>
            <w:r w:rsidR="00D47E45" w:rsidRPr="00D01E98">
              <w:rPr>
                <w:color w:val="auto"/>
                <w:sz w:val="22"/>
                <w:szCs w:val="22"/>
                <w:lang w:val="sr-Latn-ME"/>
              </w:rPr>
              <w:t xml:space="preserve">objedinjenih </w:t>
            </w:r>
            <w:r w:rsidRPr="00D01E98">
              <w:rPr>
                <w:color w:val="auto"/>
                <w:sz w:val="22"/>
                <w:szCs w:val="22"/>
                <w:lang w:val="sr-Latn-ME"/>
              </w:rPr>
              <w:t>podataka dobijenih u kliničkim ispitivanjima. U okviru svake klase sistema organa, neželjene reakcije sa istom učestalošću predstavljene su po opadajućoj ozbiljnosti.</w:t>
            </w:r>
          </w:p>
          <w:p w14:paraId="21FE244C" w14:textId="77777777" w:rsidR="0020267D" w:rsidRPr="00D01E98" w:rsidRDefault="0020267D">
            <w:pPr>
              <w:pStyle w:val="Tekst"/>
              <w:tabs>
                <w:tab w:val="left" w:pos="993"/>
              </w:tabs>
              <w:rPr>
                <w:b/>
                <w:color w:val="auto"/>
                <w:sz w:val="22"/>
                <w:szCs w:val="22"/>
                <w:lang w:val="sr-Latn-ME"/>
              </w:rPr>
            </w:pPr>
          </w:p>
          <w:p w14:paraId="2DC32DA2" w14:textId="1C21B673" w:rsidR="0020267D" w:rsidRPr="00D01E98" w:rsidRDefault="0020267D">
            <w:pPr>
              <w:pStyle w:val="Tekst"/>
              <w:tabs>
                <w:tab w:val="left" w:pos="993"/>
              </w:tabs>
              <w:rPr>
                <w:b/>
                <w:color w:val="auto"/>
                <w:sz w:val="22"/>
                <w:szCs w:val="22"/>
                <w:lang w:val="sr-Latn-ME"/>
              </w:rPr>
            </w:pPr>
            <w:r w:rsidRPr="00D01E98">
              <w:rPr>
                <w:b/>
                <w:color w:val="auto"/>
                <w:sz w:val="22"/>
                <w:szCs w:val="22"/>
                <w:lang w:val="sr-Latn-ME"/>
              </w:rPr>
              <w:t>Tabela 1. Neželjene reakcije prijavljene u ispitivanj</w:t>
            </w:r>
            <w:r w:rsidR="00D47E45" w:rsidRPr="00D01E98">
              <w:rPr>
                <w:b/>
                <w:color w:val="auto"/>
                <w:sz w:val="22"/>
                <w:szCs w:val="22"/>
                <w:lang w:val="sr-Latn-ME"/>
              </w:rPr>
              <w:t>ima</w:t>
            </w:r>
            <w:r w:rsidRPr="00D01E98">
              <w:rPr>
                <w:b/>
                <w:color w:val="auto"/>
                <w:sz w:val="22"/>
                <w:szCs w:val="22"/>
                <w:lang w:val="sr-Latn-ME"/>
              </w:rPr>
              <w:t xml:space="preserve"> RCC kod pacijenata koji su primili aksitinib (N=</w:t>
            </w:r>
            <w:r w:rsidR="00D47E45" w:rsidRPr="00D01E98">
              <w:rPr>
                <w:b/>
                <w:color w:val="auto"/>
                <w:sz w:val="22"/>
                <w:szCs w:val="22"/>
                <w:lang w:val="sr-Latn-ME"/>
              </w:rPr>
              <w:t>672</w:t>
            </w:r>
            <w:r w:rsidRPr="00D01E98">
              <w:rPr>
                <w:b/>
                <w:color w:val="auto"/>
                <w:sz w:val="22"/>
                <w:szCs w:val="22"/>
                <w:lang w:val="sr-Latn-M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1462"/>
              <w:gridCol w:w="2340"/>
              <w:gridCol w:w="1350"/>
              <w:gridCol w:w="1205"/>
              <w:gridCol w:w="1207"/>
            </w:tblGrid>
            <w:tr w:rsidR="0020267D" w:rsidRPr="00D01E98" w14:paraId="44047EDA" w14:textId="77777777" w:rsidTr="000C0EC1">
              <w:trPr>
                <w:tblHeader/>
              </w:trPr>
              <w:tc>
                <w:tcPr>
                  <w:tcW w:w="2043" w:type="dxa"/>
                </w:tcPr>
                <w:p w14:paraId="33BA7845" w14:textId="0A29970D" w:rsidR="0020267D" w:rsidRPr="00D01E98" w:rsidRDefault="0020267D">
                  <w:pPr>
                    <w:pStyle w:val="Tekst"/>
                    <w:rPr>
                      <w:b/>
                      <w:color w:val="auto"/>
                      <w:sz w:val="22"/>
                      <w:szCs w:val="22"/>
                      <w:lang w:val="sr-Latn-ME"/>
                    </w:rPr>
                  </w:pPr>
                  <w:r w:rsidRPr="00D01E98">
                    <w:rPr>
                      <w:b/>
                      <w:color w:val="auto"/>
                      <w:sz w:val="22"/>
                      <w:szCs w:val="22"/>
                      <w:lang w:val="sr-Latn-ME"/>
                    </w:rPr>
                    <w:lastRenderedPageBreak/>
                    <w:t>Klasa sistema organa</w:t>
                  </w:r>
                </w:p>
              </w:tc>
              <w:tc>
                <w:tcPr>
                  <w:tcW w:w="1462" w:type="dxa"/>
                </w:tcPr>
                <w:p w14:paraId="13A4AF6F" w14:textId="77777777" w:rsidR="0020267D" w:rsidRPr="00D01E98" w:rsidRDefault="0020267D">
                  <w:pPr>
                    <w:pStyle w:val="Tekst"/>
                    <w:rPr>
                      <w:b/>
                      <w:color w:val="auto"/>
                      <w:sz w:val="22"/>
                      <w:szCs w:val="22"/>
                      <w:lang w:val="sr-Latn-ME"/>
                    </w:rPr>
                  </w:pPr>
                  <w:r w:rsidRPr="00D01E98">
                    <w:rPr>
                      <w:b/>
                      <w:color w:val="auto"/>
                      <w:sz w:val="22"/>
                      <w:szCs w:val="22"/>
                      <w:lang w:val="sr-Latn-ME"/>
                    </w:rPr>
                    <w:t>Kategorija učestalosti</w:t>
                  </w:r>
                </w:p>
              </w:tc>
              <w:tc>
                <w:tcPr>
                  <w:tcW w:w="2340" w:type="dxa"/>
                </w:tcPr>
                <w:p w14:paraId="2FEAE9ED" w14:textId="77777777" w:rsidR="0020267D" w:rsidRPr="00D01E98" w:rsidRDefault="0020267D">
                  <w:pPr>
                    <w:pStyle w:val="Tekst"/>
                    <w:rPr>
                      <w:b/>
                      <w:color w:val="auto"/>
                      <w:sz w:val="22"/>
                      <w:szCs w:val="22"/>
                      <w:lang w:val="sr-Latn-ME"/>
                    </w:rPr>
                  </w:pPr>
                  <w:r w:rsidRPr="00D01E98">
                    <w:rPr>
                      <w:b/>
                      <w:color w:val="auto"/>
                      <w:sz w:val="22"/>
                      <w:szCs w:val="22"/>
                      <w:lang w:val="sr-Latn-ME"/>
                    </w:rPr>
                    <w:t>Neželjena reakcija</w:t>
                  </w:r>
                  <w:r w:rsidRPr="00D01E98">
                    <w:rPr>
                      <w:b/>
                      <w:color w:val="auto"/>
                      <w:sz w:val="22"/>
                      <w:szCs w:val="22"/>
                      <w:vertAlign w:val="superscript"/>
                      <w:lang w:val="sr-Latn-ME"/>
                    </w:rPr>
                    <w:t>a</w:t>
                  </w:r>
                </w:p>
              </w:tc>
              <w:tc>
                <w:tcPr>
                  <w:tcW w:w="1350" w:type="dxa"/>
                </w:tcPr>
                <w:p w14:paraId="621CF034" w14:textId="77777777" w:rsidR="0020267D" w:rsidRPr="00D01E98" w:rsidRDefault="0020267D">
                  <w:pPr>
                    <w:pStyle w:val="Tekst"/>
                    <w:rPr>
                      <w:b/>
                      <w:color w:val="auto"/>
                      <w:sz w:val="22"/>
                      <w:szCs w:val="22"/>
                      <w:vertAlign w:val="superscript"/>
                      <w:lang w:val="sr-Latn-ME"/>
                    </w:rPr>
                  </w:pPr>
                  <w:r w:rsidRPr="00D01E98">
                    <w:rPr>
                      <w:b/>
                      <w:color w:val="auto"/>
                      <w:sz w:val="22"/>
                      <w:szCs w:val="22"/>
                      <w:lang w:val="sr-Latn-ME"/>
                    </w:rPr>
                    <w:t>Svi gradusi</w:t>
                  </w:r>
                  <w:r w:rsidRPr="00D01E98">
                    <w:rPr>
                      <w:b/>
                      <w:color w:val="auto"/>
                      <w:sz w:val="22"/>
                      <w:szCs w:val="22"/>
                      <w:vertAlign w:val="superscript"/>
                      <w:lang w:val="sr-Latn-ME"/>
                    </w:rPr>
                    <w:t>b</w:t>
                  </w:r>
                </w:p>
                <w:p w14:paraId="0B37E332" w14:textId="77777777" w:rsidR="0020267D" w:rsidRPr="00D01E98" w:rsidRDefault="0020267D">
                  <w:pPr>
                    <w:pStyle w:val="Tekst"/>
                    <w:rPr>
                      <w:b/>
                      <w:color w:val="auto"/>
                      <w:sz w:val="22"/>
                      <w:szCs w:val="22"/>
                      <w:lang w:val="sr-Latn-ME"/>
                    </w:rPr>
                  </w:pPr>
                  <w:r w:rsidRPr="00D01E98">
                    <w:rPr>
                      <w:b/>
                      <w:color w:val="auto"/>
                      <w:sz w:val="22"/>
                      <w:szCs w:val="22"/>
                      <w:lang w:val="sr-Latn-ME"/>
                    </w:rPr>
                    <w:t>%</w:t>
                  </w:r>
                </w:p>
              </w:tc>
              <w:tc>
                <w:tcPr>
                  <w:tcW w:w="1205" w:type="dxa"/>
                </w:tcPr>
                <w:p w14:paraId="7A13A2A4" w14:textId="77777777" w:rsidR="0020267D" w:rsidRPr="00D01E98" w:rsidRDefault="0020267D">
                  <w:pPr>
                    <w:pStyle w:val="Tekst"/>
                    <w:rPr>
                      <w:b/>
                      <w:color w:val="auto"/>
                      <w:sz w:val="22"/>
                      <w:szCs w:val="22"/>
                      <w:vertAlign w:val="subscript"/>
                      <w:lang w:val="sr-Latn-ME"/>
                    </w:rPr>
                  </w:pPr>
                  <w:r w:rsidRPr="00D01E98">
                    <w:rPr>
                      <w:b/>
                      <w:color w:val="auto"/>
                      <w:sz w:val="22"/>
                      <w:szCs w:val="22"/>
                      <w:lang w:val="sr-Latn-ME"/>
                    </w:rPr>
                    <w:t>Gradus 3</w:t>
                  </w:r>
                  <w:r w:rsidRPr="00D01E98">
                    <w:rPr>
                      <w:b/>
                      <w:color w:val="auto"/>
                      <w:sz w:val="22"/>
                      <w:szCs w:val="22"/>
                      <w:vertAlign w:val="superscript"/>
                      <w:lang w:val="sr-Latn-ME"/>
                    </w:rPr>
                    <w:t>b</w:t>
                  </w:r>
                </w:p>
                <w:p w14:paraId="5E537798" w14:textId="77777777" w:rsidR="0020267D" w:rsidRPr="00D01E98" w:rsidRDefault="0020267D">
                  <w:pPr>
                    <w:pStyle w:val="Tekst"/>
                    <w:rPr>
                      <w:b/>
                      <w:color w:val="auto"/>
                      <w:sz w:val="22"/>
                      <w:szCs w:val="22"/>
                      <w:lang w:val="sr-Latn-ME"/>
                    </w:rPr>
                  </w:pPr>
                  <w:r w:rsidRPr="00D01E98">
                    <w:rPr>
                      <w:b/>
                      <w:color w:val="auto"/>
                      <w:sz w:val="22"/>
                      <w:szCs w:val="22"/>
                      <w:lang w:val="sr-Latn-ME"/>
                    </w:rPr>
                    <w:t>%</w:t>
                  </w:r>
                </w:p>
              </w:tc>
              <w:tc>
                <w:tcPr>
                  <w:tcW w:w="1207" w:type="dxa"/>
                </w:tcPr>
                <w:p w14:paraId="431FF289" w14:textId="77777777" w:rsidR="0020267D" w:rsidRPr="00D01E98" w:rsidRDefault="0020267D">
                  <w:pPr>
                    <w:pStyle w:val="Tekst"/>
                    <w:rPr>
                      <w:b/>
                      <w:color w:val="auto"/>
                      <w:sz w:val="22"/>
                      <w:szCs w:val="22"/>
                      <w:vertAlign w:val="subscript"/>
                      <w:lang w:val="sr-Latn-ME"/>
                    </w:rPr>
                  </w:pPr>
                  <w:r w:rsidRPr="00D01E98">
                    <w:rPr>
                      <w:b/>
                      <w:color w:val="auto"/>
                      <w:sz w:val="22"/>
                      <w:szCs w:val="22"/>
                      <w:lang w:val="sr-Latn-ME"/>
                    </w:rPr>
                    <w:t>Gradus 4</w:t>
                  </w:r>
                  <w:r w:rsidRPr="00D01E98">
                    <w:rPr>
                      <w:b/>
                      <w:color w:val="auto"/>
                      <w:sz w:val="22"/>
                      <w:szCs w:val="22"/>
                      <w:vertAlign w:val="superscript"/>
                      <w:lang w:val="sr-Latn-ME"/>
                    </w:rPr>
                    <w:t>b</w:t>
                  </w:r>
                </w:p>
                <w:p w14:paraId="3BA85653" w14:textId="77777777" w:rsidR="0020267D" w:rsidRPr="00D01E98" w:rsidRDefault="0020267D">
                  <w:pPr>
                    <w:pStyle w:val="Tekst"/>
                    <w:rPr>
                      <w:b/>
                      <w:color w:val="auto"/>
                      <w:sz w:val="22"/>
                      <w:szCs w:val="22"/>
                      <w:lang w:val="sr-Latn-ME"/>
                    </w:rPr>
                  </w:pPr>
                  <w:r w:rsidRPr="00D01E98">
                    <w:rPr>
                      <w:b/>
                      <w:color w:val="auto"/>
                      <w:sz w:val="22"/>
                      <w:szCs w:val="22"/>
                      <w:lang w:val="sr-Latn-ME"/>
                    </w:rPr>
                    <w:t>%</w:t>
                  </w:r>
                </w:p>
              </w:tc>
            </w:tr>
            <w:tr w:rsidR="0020267D" w:rsidRPr="00D01E98" w14:paraId="43B2321B" w14:textId="77777777" w:rsidTr="000C0EC1">
              <w:trPr>
                <w:tblHeader/>
              </w:trPr>
              <w:tc>
                <w:tcPr>
                  <w:tcW w:w="2043" w:type="dxa"/>
                  <w:vMerge w:val="restart"/>
                </w:tcPr>
                <w:p w14:paraId="7B833CB8" w14:textId="77777777" w:rsidR="0020267D" w:rsidRPr="00D01E98" w:rsidRDefault="0020267D">
                  <w:pPr>
                    <w:pStyle w:val="TableText"/>
                    <w:jc w:val="both"/>
                    <w:rPr>
                      <w:rFonts w:cs="Times New Roman"/>
                      <w:sz w:val="22"/>
                      <w:szCs w:val="22"/>
                      <w:lang w:val="sr-Latn-ME"/>
                    </w:rPr>
                  </w:pPr>
                  <w:r w:rsidRPr="00D01E98">
                    <w:rPr>
                      <w:rFonts w:cs="Times New Roman"/>
                      <w:sz w:val="22"/>
                      <w:szCs w:val="22"/>
                      <w:lang w:val="sr-Latn-ME"/>
                    </w:rPr>
                    <w:t>Poremećaji na nivou krvi i limfnog sistema</w:t>
                  </w:r>
                </w:p>
                <w:p w14:paraId="74BD62A4" w14:textId="77777777" w:rsidR="0020267D" w:rsidRPr="00D01E98" w:rsidRDefault="0020267D">
                  <w:pPr>
                    <w:pStyle w:val="Tekst"/>
                    <w:rPr>
                      <w:color w:val="auto"/>
                      <w:sz w:val="22"/>
                      <w:szCs w:val="22"/>
                      <w:lang w:val="sr-Latn-ME"/>
                    </w:rPr>
                  </w:pPr>
                </w:p>
              </w:tc>
              <w:tc>
                <w:tcPr>
                  <w:tcW w:w="1462" w:type="dxa"/>
                  <w:vMerge w:val="restart"/>
                </w:tcPr>
                <w:p w14:paraId="207E1AE7" w14:textId="77777777" w:rsidR="0020267D" w:rsidRPr="00D01E98" w:rsidRDefault="0020267D">
                  <w:pPr>
                    <w:pStyle w:val="Tekst"/>
                    <w:rPr>
                      <w:color w:val="auto"/>
                      <w:sz w:val="22"/>
                      <w:szCs w:val="22"/>
                      <w:lang w:val="sr-Latn-ME"/>
                    </w:rPr>
                  </w:pPr>
                  <w:r w:rsidRPr="00D01E98">
                    <w:rPr>
                      <w:color w:val="auto"/>
                      <w:sz w:val="22"/>
                      <w:szCs w:val="22"/>
                      <w:lang w:val="sr-Latn-ME"/>
                    </w:rPr>
                    <w:t>Česta</w:t>
                  </w:r>
                </w:p>
              </w:tc>
              <w:tc>
                <w:tcPr>
                  <w:tcW w:w="2340" w:type="dxa"/>
                </w:tcPr>
                <w:p w14:paraId="20DAC3FF" w14:textId="77777777" w:rsidR="0020267D" w:rsidRPr="00D01E98" w:rsidRDefault="0020267D">
                  <w:pPr>
                    <w:pStyle w:val="Tekst"/>
                    <w:rPr>
                      <w:color w:val="auto"/>
                      <w:sz w:val="22"/>
                      <w:szCs w:val="22"/>
                      <w:lang w:val="sr-Latn-ME"/>
                    </w:rPr>
                  </w:pPr>
                  <w:r w:rsidRPr="00D01E98">
                    <w:rPr>
                      <w:color w:val="auto"/>
                      <w:sz w:val="22"/>
                      <w:szCs w:val="22"/>
                      <w:lang w:val="sr-Latn-ME"/>
                    </w:rPr>
                    <w:t>Anemija</w:t>
                  </w:r>
                </w:p>
              </w:tc>
              <w:tc>
                <w:tcPr>
                  <w:tcW w:w="1350" w:type="dxa"/>
                </w:tcPr>
                <w:p w14:paraId="039DCA55" w14:textId="546112F2" w:rsidR="0020267D" w:rsidRPr="00D01E98" w:rsidRDefault="00D47E45">
                  <w:pPr>
                    <w:pStyle w:val="Tekst"/>
                    <w:rPr>
                      <w:color w:val="auto"/>
                      <w:sz w:val="22"/>
                      <w:szCs w:val="22"/>
                      <w:lang w:val="sr-Latn-ME"/>
                    </w:rPr>
                  </w:pPr>
                  <w:r w:rsidRPr="00D01E98">
                    <w:rPr>
                      <w:color w:val="auto"/>
                      <w:sz w:val="22"/>
                      <w:szCs w:val="22"/>
                      <w:lang w:val="sr-Latn-ME"/>
                    </w:rPr>
                    <w:t>6,3</w:t>
                  </w:r>
                </w:p>
              </w:tc>
              <w:tc>
                <w:tcPr>
                  <w:tcW w:w="1205" w:type="dxa"/>
                </w:tcPr>
                <w:p w14:paraId="5767D74C" w14:textId="2B20BE75" w:rsidR="0020267D" w:rsidRPr="00D01E98" w:rsidRDefault="003A6A22">
                  <w:pPr>
                    <w:pStyle w:val="Tekst"/>
                    <w:rPr>
                      <w:color w:val="auto"/>
                      <w:sz w:val="22"/>
                      <w:szCs w:val="22"/>
                      <w:lang w:val="sr-Latn-ME"/>
                    </w:rPr>
                  </w:pPr>
                  <w:r w:rsidRPr="00D01E98">
                    <w:rPr>
                      <w:color w:val="auto"/>
                      <w:sz w:val="22"/>
                      <w:szCs w:val="22"/>
                      <w:lang w:val="sr-Latn-ME"/>
                    </w:rPr>
                    <w:t>1,2</w:t>
                  </w:r>
                </w:p>
              </w:tc>
              <w:tc>
                <w:tcPr>
                  <w:tcW w:w="1207" w:type="dxa"/>
                </w:tcPr>
                <w:p w14:paraId="45BB7632" w14:textId="77777777" w:rsidR="0020267D" w:rsidRPr="00D01E98" w:rsidRDefault="0020267D" w:rsidP="00923DFD">
                  <w:pPr>
                    <w:jc w:val="both"/>
                    <w:rPr>
                      <w:sz w:val="22"/>
                      <w:szCs w:val="22"/>
                    </w:rPr>
                  </w:pPr>
                  <w:r w:rsidRPr="00D01E98">
                    <w:rPr>
                      <w:sz w:val="22"/>
                      <w:szCs w:val="22"/>
                    </w:rPr>
                    <w:t>0</w:t>
                  </w:r>
                  <w:r w:rsidR="003A6A22" w:rsidRPr="00D01E98">
                    <w:rPr>
                      <w:sz w:val="22"/>
                      <w:szCs w:val="22"/>
                    </w:rPr>
                    <w:t>,4</w:t>
                  </w:r>
                </w:p>
              </w:tc>
            </w:tr>
            <w:tr w:rsidR="0020267D" w:rsidRPr="00D01E98" w14:paraId="5089CA7C" w14:textId="77777777" w:rsidTr="000C0EC1">
              <w:trPr>
                <w:tblHeader/>
              </w:trPr>
              <w:tc>
                <w:tcPr>
                  <w:tcW w:w="2043" w:type="dxa"/>
                  <w:vMerge/>
                </w:tcPr>
                <w:p w14:paraId="26391CC3" w14:textId="77777777" w:rsidR="0020267D" w:rsidRPr="00D01E98" w:rsidRDefault="0020267D">
                  <w:pPr>
                    <w:pStyle w:val="Tekst"/>
                    <w:rPr>
                      <w:color w:val="auto"/>
                      <w:sz w:val="22"/>
                      <w:szCs w:val="22"/>
                      <w:lang w:val="sr-Latn-ME"/>
                    </w:rPr>
                  </w:pPr>
                </w:p>
              </w:tc>
              <w:tc>
                <w:tcPr>
                  <w:tcW w:w="1462" w:type="dxa"/>
                  <w:vMerge/>
                </w:tcPr>
                <w:p w14:paraId="78112E57" w14:textId="77777777" w:rsidR="0020267D" w:rsidRPr="00D01E98" w:rsidRDefault="0020267D">
                  <w:pPr>
                    <w:pStyle w:val="Tekst"/>
                    <w:rPr>
                      <w:color w:val="auto"/>
                      <w:sz w:val="22"/>
                      <w:szCs w:val="22"/>
                      <w:lang w:val="sr-Latn-ME"/>
                    </w:rPr>
                  </w:pPr>
                </w:p>
              </w:tc>
              <w:tc>
                <w:tcPr>
                  <w:tcW w:w="2340" w:type="dxa"/>
                </w:tcPr>
                <w:p w14:paraId="462BC713" w14:textId="77777777" w:rsidR="0020267D" w:rsidRPr="00D01E98" w:rsidRDefault="0020267D">
                  <w:pPr>
                    <w:pStyle w:val="Tekst"/>
                    <w:rPr>
                      <w:color w:val="auto"/>
                      <w:sz w:val="22"/>
                      <w:szCs w:val="22"/>
                      <w:lang w:val="sr-Latn-ME"/>
                    </w:rPr>
                  </w:pPr>
                  <w:r w:rsidRPr="00D01E98">
                    <w:rPr>
                      <w:color w:val="auto"/>
                      <w:sz w:val="22"/>
                      <w:szCs w:val="22"/>
                      <w:lang w:val="sr-Latn-ME"/>
                    </w:rPr>
                    <w:t>Trombocitopenija</w:t>
                  </w:r>
                </w:p>
              </w:tc>
              <w:tc>
                <w:tcPr>
                  <w:tcW w:w="1350" w:type="dxa"/>
                </w:tcPr>
                <w:p w14:paraId="18810D54" w14:textId="2237619A" w:rsidR="0020267D" w:rsidRPr="00D01E98" w:rsidRDefault="0020267D">
                  <w:pPr>
                    <w:pStyle w:val="Tekst"/>
                    <w:rPr>
                      <w:color w:val="auto"/>
                      <w:sz w:val="22"/>
                      <w:szCs w:val="22"/>
                      <w:lang w:val="sr-Latn-ME"/>
                    </w:rPr>
                  </w:pPr>
                  <w:r w:rsidRPr="00D01E98">
                    <w:rPr>
                      <w:color w:val="auto"/>
                      <w:sz w:val="22"/>
                      <w:szCs w:val="22"/>
                      <w:lang w:val="sr-Latn-ME"/>
                    </w:rPr>
                    <w:t>1,</w:t>
                  </w:r>
                  <w:r w:rsidR="00D47E45" w:rsidRPr="00D01E98">
                    <w:rPr>
                      <w:color w:val="auto"/>
                      <w:sz w:val="22"/>
                      <w:szCs w:val="22"/>
                      <w:lang w:val="sr-Latn-ME"/>
                    </w:rPr>
                    <w:t>6</w:t>
                  </w:r>
                </w:p>
              </w:tc>
              <w:tc>
                <w:tcPr>
                  <w:tcW w:w="1205" w:type="dxa"/>
                </w:tcPr>
                <w:p w14:paraId="29E918CC" w14:textId="41A81548"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c>
                <w:tcPr>
                  <w:tcW w:w="1207" w:type="dxa"/>
                </w:tcPr>
                <w:p w14:paraId="6E69164F" w14:textId="77777777" w:rsidR="0020267D" w:rsidRPr="00D01E98" w:rsidRDefault="0020267D" w:rsidP="00923DFD">
                  <w:pPr>
                    <w:jc w:val="both"/>
                    <w:rPr>
                      <w:sz w:val="22"/>
                      <w:szCs w:val="22"/>
                    </w:rPr>
                  </w:pPr>
                  <w:r w:rsidRPr="00D01E98">
                    <w:rPr>
                      <w:sz w:val="22"/>
                      <w:szCs w:val="22"/>
                    </w:rPr>
                    <w:t>0</w:t>
                  </w:r>
                </w:p>
              </w:tc>
            </w:tr>
            <w:tr w:rsidR="0020267D" w:rsidRPr="00D01E98" w14:paraId="2EF1E8EA" w14:textId="77777777" w:rsidTr="000C0EC1">
              <w:trPr>
                <w:tblHeader/>
              </w:trPr>
              <w:tc>
                <w:tcPr>
                  <w:tcW w:w="2043" w:type="dxa"/>
                  <w:vMerge/>
                </w:tcPr>
                <w:p w14:paraId="5129E591" w14:textId="77777777" w:rsidR="0020267D" w:rsidRPr="00D01E98" w:rsidRDefault="0020267D">
                  <w:pPr>
                    <w:pStyle w:val="Tekst"/>
                    <w:rPr>
                      <w:color w:val="auto"/>
                      <w:sz w:val="22"/>
                      <w:szCs w:val="22"/>
                      <w:lang w:val="sr-Latn-ME"/>
                    </w:rPr>
                  </w:pPr>
                </w:p>
              </w:tc>
              <w:tc>
                <w:tcPr>
                  <w:tcW w:w="1462" w:type="dxa"/>
                  <w:vMerge/>
                </w:tcPr>
                <w:p w14:paraId="4F58C271" w14:textId="77777777" w:rsidR="0020267D" w:rsidRPr="00D01E98" w:rsidRDefault="0020267D">
                  <w:pPr>
                    <w:pStyle w:val="Tekst"/>
                    <w:rPr>
                      <w:color w:val="auto"/>
                      <w:sz w:val="22"/>
                      <w:szCs w:val="22"/>
                      <w:lang w:val="sr-Latn-ME"/>
                    </w:rPr>
                  </w:pPr>
                </w:p>
              </w:tc>
              <w:tc>
                <w:tcPr>
                  <w:tcW w:w="2340" w:type="dxa"/>
                </w:tcPr>
                <w:p w14:paraId="1B284FEE" w14:textId="77777777" w:rsidR="0020267D" w:rsidRPr="00D01E98" w:rsidRDefault="0020267D">
                  <w:pPr>
                    <w:pStyle w:val="Tekst"/>
                    <w:rPr>
                      <w:color w:val="auto"/>
                      <w:sz w:val="22"/>
                      <w:szCs w:val="22"/>
                      <w:lang w:val="sr-Latn-ME"/>
                    </w:rPr>
                  </w:pPr>
                  <w:r w:rsidRPr="00D01E98">
                    <w:rPr>
                      <w:color w:val="auto"/>
                      <w:sz w:val="22"/>
                      <w:szCs w:val="22"/>
                      <w:lang w:val="sr-Latn-ME"/>
                    </w:rPr>
                    <w:t>Policitemija</w:t>
                  </w:r>
                  <w:r w:rsidRPr="00D01E98">
                    <w:rPr>
                      <w:color w:val="auto"/>
                      <w:sz w:val="22"/>
                      <w:szCs w:val="22"/>
                      <w:vertAlign w:val="superscript"/>
                      <w:lang w:val="sr-Latn-ME"/>
                    </w:rPr>
                    <w:t>c</w:t>
                  </w:r>
                </w:p>
              </w:tc>
              <w:tc>
                <w:tcPr>
                  <w:tcW w:w="1350" w:type="dxa"/>
                </w:tcPr>
                <w:p w14:paraId="748F1FFF" w14:textId="684537CE" w:rsidR="0020267D" w:rsidRPr="00D01E98" w:rsidRDefault="0020267D">
                  <w:pPr>
                    <w:pStyle w:val="Tekst"/>
                    <w:rPr>
                      <w:color w:val="auto"/>
                      <w:sz w:val="22"/>
                      <w:szCs w:val="22"/>
                      <w:lang w:val="sr-Latn-ME"/>
                    </w:rPr>
                  </w:pPr>
                  <w:r w:rsidRPr="00D01E98">
                    <w:rPr>
                      <w:color w:val="auto"/>
                      <w:sz w:val="22"/>
                      <w:szCs w:val="22"/>
                      <w:lang w:val="sr-Latn-ME"/>
                    </w:rPr>
                    <w:t>1,</w:t>
                  </w:r>
                  <w:r w:rsidR="00D47E45" w:rsidRPr="00D01E98">
                    <w:rPr>
                      <w:color w:val="auto"/>
                      <w:sz w:val="22"/>
                      <w:szCs w:val="22"/>
                      <w:lang w:val="sr-Latn-ME"/>
                    </w:rPr>
                    <w:t>5</w:t>
                  </w:r>
                </w:p>
              </w:tc>
              <w:tc>
                <w:tcPr>
                  <w:tcW w:w="1205" w:type="dxa"/>
                </w:tcPr>
                <w:p w14:paraId="31CB5EDE" w14:textId="427AD312"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c>
                <w:tcPr>
                  <w:tcW w:w="1207" w:type="dxa"/>
                </w:tcPr>
                <w:p w14:paraId="62032D68" w14:textId="77777777" w:rsidR="0020267D" w:rsidRPr="00D01E98" w:rsidRDefault="0020267D" w:rsidP="00923DFD">
                  <w:pPr>
                    <w:jc w:val="both"/>
                    <w:rPr>
                      <w:sz w:val="22"/>
                      <w:szCs w:val="22"/>
                    </w:rPr>
                  </w:pPr>
                  <w:r w:rsidRPr="00D01E98">
                    <w:rPr>
                      <w:sz w:val="22"/>
                      <w:szCs w:val="22"/>
                    </w:rPr>
                    <w:t>0</w:t>
                  </w:r>
                </w:p>
              </w:tc>
            </w:tr>
            <w:tr w:rsidR="0020267D" w:rsidRPr="00D01E98" w14:paraId="7A054D9A" w14:textId="77777777" w:rsidTr="000C0EC1">
              <w:trPr>
                <w:trHeight w:val="152"/>
                <w:tblHeader/>
              </w:trPr>
              <w:tc>
                <w:tcPr>
                  <w:tcW w:w="2043" w:type="dxa"/>
                  <w:vMerge/>
                </w:tcPr>
                <w:p w14:paraId="118135B3" w14:textId="77777777" w:rsidR="0020267D" w:rsidRPr="00D01E98" w:rsidRDefault="0020267D">
                  <w:pPr>
                    <w:pStyle w:val="Tekst"/>
                    <w:rPr>
                      <w:color w:val="auto"/>
                      <w:sz w:val="22"/>
                      <w:szCs w:val="22"/>
                      <w:lang w:val="sr-Latn-ME"/>
                    </w:rPr>
                  </w:pPr>
                </w:p>
              </w:tc>
              <w:tc>
                <w:tcPr>
                  <w:tcW w:w="1462" w:type="dxa"/>
                  <w:vMerge w:val="restart"/>
                </w:tcPr>
                <w:p w14:paraId="24F5BB97" w14:textId="77777777" w:rsidR="0020267D" w:rsidRPr="00D01E98" w:rsidRDefault="0020267D">
                  <w:pPr>
                    <w:pStyle w:val="Tekst"/>
                    <w:rPr>
                      <w:color w:val="auto"/>
                      <w:sz w:val="22"/>
                      <w:szCs w:val="22"/>
                      <w:lang w:val="sr-Latn-ME"/>
                    </w:rPr>
                  </w:pPr>
                  <w:r w:rsidRPr="00D01E98">
                    <w:rPr>
                      <w:color w:val="auto"/>
                      <w:sz w:val="22"/>
                      <w:szCs w:val="22"/>
                      <w:lang w:val="sr-Latn-ME"/>
                    </w:rPr>
                    <w:t>Povremena</w:t>
                  </w:r>
                </w:p>
              </w:tc>
              <w:tc>
                <w:tcPr>
                  <w:tcW w:w="2340" w:type="dxa"/>
                </w:tcPr>
                <w:p w14:paraId="022A661A" w14:textId="77777777" w:rsidR="0020267D" w:rsidRPr="00D01E98" w:rsidRDefault="0020267D">
                  <w:pPr>
                    <w:pStyle w:val="Tekst"/>
                    <w:rPr>
                      <w:color w:val="auto"/>
                      <w:sz w:val="22"/>
                      <w:szCs w:val="22"/>
                      <w:lang w:val="sr-Latn-ME"/>
                    </w:rPr>
                  </w:pPr>
                  <w:r w:rsidRPr="00D01E98">
                    <w:rPr>
                      <w:color w:val="auto"/>
                      <w:sz w:val="22"/>
                      <w:szCs w:val="22"/>
                      <w:lang w:val="sr-Latn-ME"/>
                    </w:rPr>
                    <w:t>Neutropenija</w:t>
                  </w:r>
                </w:p>
              </w:tc>
              <w:tc>
                <w:tcPr>
                  <w:tcW w:w="1350" w:type="dxa"/>
                </w:tcPr>
                <w:p w14:paraId="2F9BA98B" w14:textId="7D002F54" w:rsidR="0020267D" w:rsidRPr="00D01E98" w:rsidRDefault="0020267D">
                  <w:pPr>
                    <w:pStyle w:val="Tekst"/>
                    <w:rPr>
                      <w:color w:val="auto"/>
                      <w:sz w:val="22"/>
                      <w:szCs w:val="22"/>
                      <w:lang w:val="sr-Latn-ME"/>
                    </w:rPr>
                  </w:pPr>
                  <w:r w:rsidRPr="00D01E98">
                    <w:rPr>
                      <w:color w:val="auto"/>
                      <w:sz w:val="22"/>
                      <w:szCs w:val="22"/>
                      <w:lang w:val="sr-Latn-ME"/>
                    </w:rPr>
                    <w:t>0,</w:t>
                  </w:r>
                  <w:r w:rsidR="00D47E45" w:rsidRPr="00D01E98">
                    <w:rPr>
                      <w:color w:val="auto"/>
                      <w:sz w:val="22"/>
                      <w:szCs w:val="22"/>
                      <w:lang w:val="sr-Latn-ME"/>
                    </w:rPr>
                    <w:t>3</w:t>
                  </w:r>
                </w:p>
              </w:tc>
              <w:tc>
                <w:tcPr>
                  <w:tcW w:w="1205" w:type="dxa"/>
                </w:tcPr>
                <w:p w14:paraId="01C418E3" w14:textId="0B24A8E6"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c>
                <w:tcPr>
                  <w:tcW w:w="1207" w:type="dxa"/>
                </w:tcPr>
                <w:p w14:paraId="5AFB6958" w14:textId="77777777" w:rsidR="0020267D" w:rsidRPr="00D01E98" w:rsidRDefault="0020267D" w:rsidP="00923DFD">
                  <w:pPr>
                    <w:jc w:val="both"/>
                    <w:rPr>
                      <w:sz w:val="22"/>
                      <w:szCs w:val="22"/>
                    </w:rPr>
                  </w:pPr>
                  <w:r w:rsidRPr="00D01E98">
                    <w:rPr>
                      <w:sz w:val="22"/>
                      <w:szCs w:val="22"/>
                    </w:rPr>
                    <w:t>0</w:t>
                  </w:r>
                </w:p>
              </w:tc>
            </w:tr>
            <w:tr w:rsidR="0020267D" w:rsidRPr="00D01E98" w14:paraId="26F4949C" w14:textId="77777777" w:rsidTr="000C0EC1">
              <w:trPr>
                <w:tblHeader/>
              </w:trPr>
              <w:tc>
                <w:tcPr>
                  <w:tcW w:w="2043" w:type="dxa"/>
                  <w:vMerge/>
                </w:tcPr>
                <w:p w14:paraId="387F0EB9" w14:textId="77777777" w:rsidR="0020267D" w:rsidRPr="00D01E98" w:rsidRDefault="0020267D">
                  <w:pPr>
                    <w:pStyle w:val="Tekst"/>
                    <w:rPr>
                      <w:color w:val="auto"/>
                      <w:sz w:val="22"/>
                      <w:szCs w:val="22"/>
                      <w:lang w:val="sr-Latn-ME"/>
                    </w:rPr>
                  </w:pPr>
                </w:p>
              </w:tc>
              <w:tc>
                <w:tcPr>
                  <w:tcW w:w="1462" w:type="dxa"/>
                  <w:vMerge/>
                </w:tcPr>
                <w:p w14:paraId="7D6499C2" w14:textId="77777777" w:rsidR="0020267D" w:rsidRPr="00D01E98" w:rsidRDefault="0020267D">
                  <w:pPr>
                    <w:pStyle w:val="Tekst"/>
                    <w:rPr>
                      <w:color w:val="auto"/>
                      <w:sz w:val="22"/>
                      <w:szCs w:val="22"/>
                      <w:lang w:val="sr-Latn-ME"/>
                    </w:rPr>
                  </w:pPr>
                </w:p>
              </w:tc>
              <w:tc>
                <w:tcPr>
                  <w:tcW w:w="2340" w:type="dxa"/>
                </w:tcPr>
                <w:p w14:paraId="176B9D6B" w14:textId="77777777" w:rsidR="0020267D" w:rsidRPr="00D01E98" w:rsidRDefault="0020267D">
                  <w:pPr>
                    <w:pStyle w:val="Tekst"/>
                    <w:rPr>
                      <w:color w:val="auto"/>
                      <w:sz w:val="22"/>
                      <w:szCs w:val="22"/>
                      <w:lang w:val="sr-Latn-ME"/>
                    </w:rPr>
                  </w:pPr>
                  <w:r w:rsidRPr="00D01E98">
                    <w:rPr>
                      <w:color w:val="auto"/>
                      <w:sz w:val="22"/>
                      <w:szCs w:val="22"/>
                      <w:lang w:val="sr-Latn-ME"/>
                    </w:rPr>
                    <w:t>Leukopenija</w:t>
                  </w:r>
                </w:p>
              </w:tc>
              <w:tc>
                <w:tcPr>
                  <w:tcW w:w="1350" w:type="dxa"/>
                </w:tcPr>
                <w:p w14:paraId="1682C1C1" w14:textId="18702AF1" w:rsidR="0020267D" w:rsidRPr="00D01E98" w:rsidRDefault="0020267D">
                  <w:pPr>
                    <w:pStyle w:val="Tekst"/>
                    <w:rPr>
                      <w:color w:val="auto"/>
                      <w:sz w:val="22"/>
                      <w:szCs w:val="22"/>
                      <w:lang w:val="sr-Latn-ME"/>
                    </w:rPr>
                  </w:pPr>
                  <w:r w:rsidRPr="00D01E98">
                    <w:rPr>
                      <w:color w:val="auto"/>
                      <w:sz w:val="22"/>
                      <w:szCs w:val="22"/>
                      <w:lang w:val="sr-Latn-ME"/>
                    </w:rPr>
                    <w:t>0,</w:t>
                  </w:r>
                  <w:r w:rsidR="00D47E45" w:rsidRPr="00D01E98">
                    <w:rPr>
                      <w:color w:val="auto"/>
                      <w:sz w:val="22"/>
                      <w:szCs w:val="22"/>
                      <w:lang w:val="sr-Latn-ME"/>
                    </w:rPr>
                    <w:t>4</w:t>
                  </w:r>
                </w:p>
              </w:tc>
              <w:tc>
                <w:tcPr>
                  <w:tcW w:w="1205" w:type="dxa"/>
                </w:tcPr>
                <w:p w14:paraId="314FBF36" w14:textId="77777777" w:rsidR="0020267D" w:rsidRPr="00D01E98" w:rsidRDefault="0020267D">
                  <w:pPr>
                    <w:pStyle w:val="Tekst"/>
                    <w:rPr>
                      <w:color w:val="auto"/>
                      <w:sz w:val="22"/>
                      <w:szCs w:val="22"/>
                      <w:lang w:val="sr-Latn-ME"/>
                    </w:rPr>
                  </w:pPr>
                  <w:r w:rsidRPr="00D01E98">
                    <w:rPr>
                      <w:color w:val="auto"/>
                      <w:sz w:val="22"/>
                      <w:szCs w:val="22"/>
                      <w:lang w:val="sr-Latn-ME"/>
                    </w:rPr>
                    <w:t>0</w:t>
                  </w:r>
                </w:p>
              </w:tc>
              <w:tc>
                <w:tcPr>
                  <w:tcW w:w="1207" w:type="dxa"/>
                </w:tcPr>
                <w:p w14:paraId="5B675A00" w14:textId="77777777" w:rsidR="0020267D" w:rsidRPr="00D01E98" w:rsidRDefault="0020267D" w:rsidP="00923DFD">
                  <w:pPr>
                    <w:jc w:val="both"/>
                    <w:rPr>
                      <w:sz w:val="22"/>
                      <w:szCs w:val="22"/>
                    </w:rPr>
                  </w:pPr>
                  <w:r w:rsidRPr="00D01E98">
                    <w:rPr>
                      <w:sz w:val="22"/>
                      <w:szCs w:val="22"/>
                    </w:rPr>
                    <w:t>0</w:t>
                  </w:r>
                </w:p>
              </w:tc>
            </w:tr>
            <w:tr w:rsidR="0020267D" w:rsidRPr="00D01E98" w14:paraId="2BD1070C" w14:textId="77777777" w:rsidTr="000C0EC1">
              <w:trPr>
                <w:tblHeader/>
              </w:trPr>
              <w:tc>
                <w:tcPr>
                  <w:tcW w:w="2043" w:type="dxa"/>
                  <w:vMerge w:val="restart"/>
                </w:tcPr>
                <w:p w14:paraId="0FF5D9A6" w14:textId="77777777" w:rsidR="0020267D" w:rsidRPr="00D01E98" w:rsidRDefault="0020267D">
                  <w:pPr>
                    <w:pStyle w:val="Tekst"/>
                    <w:rPr>
                      <w:color w:val="auto"/>
                      <w:sz w:val="22"/>
                      <w:szCs w:val="22"/>
                      <w:lang w:val="sr-Latn-ME"/>
                    </w:rPr>
                  </w:pPr>
                  <w:r w:rsidRPr="00D01E98">
                    <w:rPr>
                      <w:color w:val="auto"/>
                      <w:sz w:val="22"/>
                      <w:szCs w:val="22"/>
                      <w:lang w:val="sr-Latn-ME"/>
                    </w:rPr>
                    <w:t>Endokrinološki poremećaji</w:t>
                  </w:r>
                </w:p>
              </w:tc>
              <w:tc>
                <w:tcPr>
                  <w:tcW w:w="1462" w:type="dxa"/>
                </w:tcPr>
                <w:p w14:paraId="65AB78E3" w14:textId="77777777" w:rsidR="0020267D" w:rsidRPr="00D01E98" w:rsidRDefault="0020267D">
                  <w:pPr>
                    <w:pStyle w:val="Tekst"/>
                    <w:rPr>
                      <w:color w:val="auto"/>
                      <w:sz w:val="22"/>
                      <w:szCs w:val="22"/>
                      <w:lang w:val="sr-Latn-ME"/>
                    </w:rPr>
                  </w:pPr>
                  <w:r w:rsidRPr="00D01E98">
                    <w:rPr>
                      <w:color w:val="auto"/>
                      <w:sz w:val="22"/>
                      <w:szCs w:val="22"/>
                      <w:lang w:val="sr-Latn-ME"/>
                    </w:rPr>
                    <w:t>Veoma česta</w:t>
                  </w:r>
                </w:p>
              </w:tc>
              <w:tc>
                <w:tcPr>
                  <w:tcW w:w="2340" w:type="dxa"/>
                </w:tcPr>
                <w:p w14:paraId="7E499685" w14:textId="77777777" w:rsidR="0020267D" w:rsidRPr="00D01E98" w:rsidRDefault="0020267D">
                  <w:pPr>
                    <w:pStyle w:val="Tekst"/>
                    <w:rPr>
                      <w:color w:val="auto"/>
                      <w:sz w:val="22"/>
                      <w:szCs w:val="22"/>
                      <w:lang w:val="sr-Latn-ME"/>
                    </w:rPr>
                  </w:pPr>
                  <w:r w:rsidRPr="00D01E98">
                    <w:rPr>
                      <w:color w:val="auto"/>
                      <w:sz w:val="22"/>
                      <w:szCs w:val="22"/>
                      <w:lang w:val="sr-Latn-ME"/>
                    </w:rPr>
                    <w:t>Hipotireoza</w:t>
                  </w:r>
                  <w:r w:rsidRPr="00D01E98">
                    <w:rPr>
                      <w:color w:val="auto"/>
                      <w:sz w:val="22"/>
                      <w:szCs w:val="22"/>
                      <w:vertAlign w:val="superscript"/>
                      <w:lang w:val="sr-Latn-ME"/>
                    </w:rPr>
                    <w:t xml:space="preserve"> c</w:t>
                  </w:r>
                </w:p>
              </w:tc>
              <w:tc>
                <w:tcPr>
                  <w:tcW w:w="1350" w:type="dxa"/>
                </w:tcPr>
                <w:p w14:paraId="68206865" w14:textId="222C198C" w:rsidR="0020267D" w:rsidRPr="00D01E98" w:rsidRDefault="00D47E45">
                  <w:pPr>
                    <w:pStyle w:val="Tekst"/>
                    <w:rPr>
                      <w:color w:val="auto"/>
                      <w:sz w:val="22"/>
                      <w:szCs w:val="22"/>
                      <w:lang w:val="sr-Latn-ME"/>
                    </w:rPr>
                  </w:pPr>
                  <w:r w:rsidRPr="00D01E98">
                    <w:rPr>
                      <w:color w:val="auto"/>
                      <w:sz w:val="22"/>
                      <w:szCs w:val="22"/>
                      <w:lang w:val="sr-Latn-ME"/>
                    </w:rPr>
                    <w:t>24,6</w:t>
                  </w:r>
                </w:p>
              </w:tc>
              <w:tc>
                <w:tcPr>
                  <w:tcW w:w="1205" w:type="dxa"/>
                </w:tcPr>
                <w:p w14:paraId="3E51E31A" w14:textId="77777777" w:rsidR="0020267D" w:rsidRPr="00D01E98" w:rsidRDefault="0020267D">
                  <w:pPr>
                    <w:pStyle w:val="Tekst"/>
                    <w:rPr>
                      <w:color w:val="auto"/>
                      <w:sz w:val="22"/>
                      <w:szCs w:val="22"/>
                      <w:lang w:val="sr-Latn-ME"/>
                    </w:rPr>
                  </w:pPr>
                  <w:r w:rsidRPr="00D01E98">
                    <w:rPr>
                      <w:color w:val="auto"/>
                      <w:sz w:val="22"/>
                      <w:szCs w:val="22"/>
                      <w:lang w:val="sr-Latn-ME"/>
                    </w:rPr>
                    <w:t>0,3</w:t>
                  </w:r>
                </w:p>
              </w:tc>
              <w:tc>
                <w:tcPr>
                  <w:tcW w:w="1207" w:type="dxa"/>
                </w:tcPr>
                <w:p w14:paraId="66823250"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6EE1ED0C" w14:textId="77777777" w:rsidTr="000C0EC1">
              <w:trPr>
                <w:tblHeader/>
              </w:trPr>
              <w:tc>
                <w:tcPr>
                  <w:tcW w:w="2043" w:type="dxa"/>
                  <w:vMerge/>
                </w:tcPr>
                <w:p w14:paraId="0D0824FD" w14:textId="77777777" w:rsidR="0020267D" w:rsidRPr="00D01E98" w:rsidRDefault="0020267D">
                  <w:pPr>
                    <w:pStyle w:val="Tekst"/>
                    <w:rPr>
                      <w:color w:val="auto"/>
                      <w:sz w:val="22"/>
                      <w:szCs w:val="22"/>
                      <w:lang w:val="sr-Latn-ME"/>
                    </w:rPr>
                  </w:pPr>
                </w:p>
              </w:tc>
              <w:tc>
                <w:tcPr>
                  <w:tcW w:w="1462" w:type="dxa"/>
                </w:tcPr>
                <w:p w14:paraId="0C7FB848" w14:textId="77777777" w:rsidR="0020267D" w:rsidRPr="00D01E98" w:rsidRDefault="0020267D">
                  <w:pPr>
                    <w:pStyle w:val="Tekst"/>
                    <w:rPr>
                      <w:color w:val="auto"/>
                      <w:sz w:val="22"/>
                      <w:szCs w:val="22"/>
                      <w:lang w:val="sr-Latn-ME"/>
                    </w:rPr>
                  </w:pPr>
                  <w:r w:rsidRPr="00D01E98">
                    <w:rPr>
                      <w:color w:val="auto"/>
                      <w:sz w:val="22"/>
                      <w:szCs w:val="22"/>
                      <w:lang w:val="sr-Latn-ME"/>
                    </w:rPr>
                    <w:t>Česta</w:t>
                  </w:r>
                </w:p>
              </w:tc>
              <w:tc>
                <w:tcPr>
                  <w:tcW w:w="2340" w:type="dxa"/>
                </w:tcPr>
                <w:p w14:paraId="1ACD68BE" w14:textId="77777777" w:rsidR="0020267D" w:rsidRPr="00D01E98" w:rsidRDefault="0020267D">
                  <w:pPr>
                    <w:pStyle w:val="Tekst"/>
                    <w:rPr>
                      <w:color w:val="auto"/>
                      <w:sz w:val="22"/>
                      <w:szCs w:val="22"/>
                      <w:lang w:val="sr-Latn-ME"/>
                    </w:rPr>
                  </w:pPr>
                  <w:r w:rsidRPr="00D01E98">
                    <w:rPr>
                      <w:color w:val="auto"/>
                      <w:sz w:val="22"/>
                      <w:szCs w:val="22"/>
                      <w:lang w:val="sr-Latn-ME"/>
                    </w:rPr>
                    <w:t>Hipertireoza</w:t>
                  </w:r>
                  <w:r w:rsidRPr="00D01E98">
                    <w:rPr>
                      <w:color w:val="auto"/>
                      <w:sz w:val="22"/>
                      <w:szCs w:val="22"/>
                      <w:vertAlign w:val="superscript"/>
                      <w:lang w:val="sr-Latn-ME"/>
                    </w:rPr>
                    <w:t>c</w:t>
                  </w:r>
                </w:p>
              </w:tc>
              <w:tc>
                <w:tcPr>
                  <w:tcW w:w="1350" w:type="dxa"/>
                </w:tcPr>
                <w:p w14:paraId="5537F88B" w14:textId="10DCD9F7" w:rsidR="0020267D" w:rsidRPr="00D01E98" w:rsidRDefault="0020267D">
                  <w:pPr>
                    <w:pStyle w:val="Tekst"/>
                    <w:rPr>
                      <w:color w:val="auto"/>
                      <w:sz w:val="22"/>
                      <w:szCs w:val="22"/>
                      <w:lang w:val="sr-Latn-ME"/>
                    </w:rPr>
                  </w:pPr>
                  <w:r w:rsidRPr="00D01E98">
                    <w:rPr>
                      <w:color w:val="auto"/>
                      <w:sz w:val="22"/>
                      <w:szCs w:val="22"/>
                      <w:lang w:val="sr-Latn-ME"/>
                    </w:rPr>
                    <w:t>1,</w:t>
                  </w:r>
                  <w:r w:rsidR="00D47E45" w:rsidRPr="00D01E98">
                    <w:rPr>
                      <w:color w:val="auto"/>
                      <w:sz w:val="22"/>
                      <w:szCs w:val="22"/>
                      <w:lang w:val="sr-Latn-ME"/>
                    </w:rPr>
                    <w:t>6</w:t>
                  </w:r>
                </w:p>
              </w:tc>
              <w:tc>
                <w:tcPr>
                  <w:tcW w:w="1205" w:type="dxa"/>
                </w:tcPr>
                <w:p w14:paraId="5F46DD30" w14:textId="77777777"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c>
                <w:tcPr>
                  <w:tcW w:w="1207" w:type="dxa"/>
                </w:tcPr>
                <w:p w14:paraId="3CA05B78" w14:textId="77777777"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r>
            <w:tr w:rsidR="0020267D" w:rsidRPr="00D01E98" w14:paraId="53A6541E" w14:textId="77777777" w:rsidTr="000C0EC1">
              <w:trPr>
                <w:tblHeader/>
              </w:trPr>
              <w:tc>
                <w:tcPr>
                  <w:tcW w:w="2043" w:type="dxa"/>
                  <w:vMerge w:val="restart"/>
                </w:tcPr>
                <w:p w14:paraId="6C4FD91F" w14:textId="77777777" w:rsidR="0020267D" w:rsidRPr="00D01E98" w:rsidRDefault="0020267D">
                  <w:pPr>
                    <w:pStyle w:val="TableText"/>
                    <w:jc w:val="both"/>
                    <w:rPr>
                      <w:rFonts w:cs="Times New Roman"/>
                      <w:sz w:val="22"/>
                      <w:szCs w:val="22"/>
                      <w:lang w:val="sr-Latn-ME"/>
                    </w:rPr>
                  </w:pPr>
                  <w:r w:rsidRPr="00D01E98">
                    <w:rPr>
                      <w:rFonts w:cs="Times New Roman"/>
                      <w:sz w:val="22"/>
                      <w:szCs w:val="22"/>
                      <w:lang w:val="sr-Latn-ME"/>
                    </w:rPr>
                    <w:t xml:space="preserve">Poremećaji metabolizma i ishrane </w:t>
                  </w:r>
                </w:p>
                <w:p w14:paraId="4E496C87" w14:textId="77777777" w:rsidR="0020267D" w:rsidRPr="00D01E98" w:rsidRDefault="0020267D">
                  <w:pPr>
                    <w:pStyle w:val="Tekst"/>
                    <w:rPr>
                      <w:color w:val="auto"/>
                      <w:sz w:val="22"/>
                      <w:szCs w:val="22"/>
                      <w:lang w:val="sr-Latn-ME"/>
                    </w:rPr>
                  </w:pPr>
                </w:p>
              </w:tc>
              <w:tc>
                <w:tcPr>
                  <w:tcW w:w="1462" w:type="dxa"/>
                </w:tcPr>
                <w:p w14:paraId="71D55107" w14:textId="77777777" w:rsidR="0020267D" w:rsidRPr="00D01E98" w:rsidRDefault="0020267D">
                  <w:pPr>
                    <w:pStyle w:val="Tekst"/>
                    <w:rPr>
                      <w:color w:val="auto"/>
                      <w:sz w:val="22"/>
                      <w:szCs w:val="22"/>
                      <w:lang w:val="sr-Latn-ME"/>
                    </w:rPr>
                  </w:pPr>
                  <w:r w:rsidRPr="00D01E98">
                    <w:rPr>
                      <w:color w:val="auto"/>
                      <w:sz w:val="22"/>
                      <w:szCs w:val="22"/>
                      <w:lang w:val="sr-Latn-ME"/>
                    </w:rPr>
                    <w:t>Veoma česta</w:t>
                  </w:r>
                </w:p>
              </w:tc>
              <w:tc>
                <w:tcPr>
                  <w:tcW w:w="2340" w:type="dxa"/>
                </w:tcPr>
                <w:p w14:paraId="1F927F84" w14:textId="77777777" w:rsidR="0020267D" w:rsidRPr="00D01E98" w:rsidRDefault="0020267D">
                  <w:pPr>
                    <w:pStyle w:val="Tekst"/>
                    <w:rPr>
                      <w:color w:val="auto"/>
                      <w:sz w:val="22"/>
                      <w:szCs w:val="22"/>
                      <w:lang w:val="sr-Latn-ME"/>
                    </w:rPr>
                  </w:pPr>
                  <w:r w:rsidRPr="00D01E98">
                    <w:rPr>
                      <w:color w:val="auto"/>
                      <w:sz w:val="22"/>
                      <w:szCs w:val="22"/>
                      <w:lang w:val="sr-Latn-ME"/>
                    </w:rPr>
                    <w:t>Smanjeni apetit</w:t>
                  </w:r>
                </w:p>
              </w:tc>
              <w:tc>
                <w:tcPr>
                  <w:tcW w:w="1350" w:type="dxa"/>
                </w:tcPr>
                <w:p w14:paraId="5232BC1A" w14:textId="119B5461" w:rsidR="0020267D" w:rsidRPr="00D01E98" w:rsidRDefault="0020267D">
                  <w:pPr>
                    <w:pStyle w:val="Tekst"/>
                    <w:rPr>
                      <w:color w:val="auto"/>
                      <w:sz w:val="22"/>
                      <w:szCs w:val="22"/>
                      <w:lang w:val="sr-Latn-ME"/>
                    </w:rPr>
                  </w:pPr>
                  <w:r w:rsidRPr="00D01E98">
                    <w:rPr>
                      <w:color w:val="auto"/>
                      <w:sz w:val="22"/>
                      <w:szCs w:val="22"/>
                      <w:lang w:val="sr-Latn-ME"/>
                    </w:rPr>
                    <w:t>3</w:t>
                  </w:r>
                  <w:r w:rsidR="00D47E45" w:rsidRPr="00D01E98">
                    <w:rPr>
                      <w:color w:val="auto"/>
                      <w:sz w:val="22"/>
                      <w:szCs w:val="22"/>
                      <w:lang w:val="sr-Latn-ME"/>
                    </w:rPr>
                    <w:t>9</w:t>
                  </w:r>
                  <w:r w:rsidRPr="00D01E98">
                    <w:rPr>
                      <w:color w:val="auto"/>
                      <w:sz w:val="22"/>
                      <w:szCs w:val="22"/>
                      <w:lang w:val="sr-Latn-ME"/>
                    </w:rPr>
                    <w:t>,</w:t>
                  </w:r>
                  <w:r w:rsidR="00D47E45" w:rsidRPr="00D01E98">
                    <w:rPr>
                      <w:color w:val="auto"/>
                      <w:sz w:val="22"/>
                      <w:szCs w:val="22"/>
                      <w:lang w:val="sr-Latn-ME"/>
                    </w:rPr>
                    <w:t>0</w:t>
                  </w:r>
                </w:p>
              </w:tc>
              <w:tc>
                <w:tcPr>
                  <w:tcW w:w="1205" w:type="dxa"/>
                </w:tcPr>
                <w:p w14:paraId="7F67006B" w14:textId="0F00D985" w:rsidR="0020267D" w:rsidRPr="00D01E98" w:rsidRDefault="003A6A22">
                  <w:pPr>
                    <w:pStyle w:val="Tekst"/>
                    <w:rPr>
                      <w:color w:val="auto"/>
                      <w:sz w:val="22"/>
                      <w:szCs w:val="22"/>
                      <w:lang w:val="sr-Latn-ME"/>
                    </w:rPr>
                  </w:pPr>
                  <w:r w:rsidRPr="00D01E98">
                    <w:rPr>
                      <w:color w:val="auto"/>
                      <w:sz w:val="22"/>
                      <w:szCs w:val="22"/>
                      <w:lang w:val="sr-Latn-ME"/>
                    </w:rPr>
                    <w:t>3,6</w:t>
                  </w:r>
                </w:p>
              </w:tc>
              <w:tc>
                <w:tcPr>
                  <w:tcW w:w="1207" w:type="dxa"/>
                </w:tcPr>
                <w:p w14:paraId="2D87F3F2" w14:textId="2EA57359"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3</w:t>
                  </w:r>
                </w:p>
              </w:tc>
            </w:tr>
            <w:tr w:rsidR="0020267D" w:rsidRPr="00D01E98" w14:paraId="41960B4F" w14:textId="77777777" w:rsidTr="000C0EC1">
              <w:trPr>
                <w:tblHeader/>
              </w:trPr>
              <w:tc>
                <w:tcPr>
                  <w:tcW w:w="2043" w:type="dxa"/>
                  <w:vMerge/>
                </w:tcPr>
                <w:p w14:paraId="2EF5EE7F" w14:textId="77777777" w:rsidR="0020267D" w:rsidRPr="00D01E98" w:rsidRDefault="0020267D">
                  <w:pPr>
                    <w:pStyle w:val="Tekst"/>
                    <w:rPr>
                      <w:color w:val="auto"/>
                      <w:sz w:val="22"/>
                      <w:szCs w:val="22"/>
                      <w:lang w:val="sr-Latn-ME"/>
                    </w:rPr>
                  </w:pPr>
                </w:p>
              </w:tc>
              <w:tc>
                <w:tcPr>
                  <w:tcW w:w="1462" w:type="dxa"/>
                  <w:vMerge w:val="restart"/>
                </w:tcPr>
                <w:p w14:paraId="2BCB51AF" w14:textId="77777777" w:rsidR="0020267D" w:rsidRPr="00D01E98" w:rsidRDefault="0020267D">
                  <w:pPr>
                    <w:pStyle w:val="Tekst"/>
                    <w:rPr>
                      <w:color w:val="auto"/>
                      <w:sz w:val="22"/>
                      <w:szCs w:val="22"/>
                      <w:lang w:val="sr-Latn-ME"/>
                    </w:rPr>
                  </w:pPr>
                  <w:r w:rsidRPr="00D01E98">
                    <w:rPr>
                      <w:color w:val="auto"/>
                      <w:sz w:val="22"/>
                      <w:szCs w:val="22"/>
                      <w:lang w:val="sr-Latn-ME"/>
                    </w:rPr>
                    <w:t>Česta</w:t>
                  </w:r>
                </w:p>
              </w:tc>
              <w:tc>
                <w:tcPr>
                  <w:tcW w:w="2340" w:type="dxa"/>
                </w:tcPr>
                <w:p w14:paraId="32096E5B" w14:textId="77777777" w:rsidR="0020267D" w:rsidRPr="00D01E98" w:rsidRDefault="0020267D">
                  <w:pPr>
                    <w:pStyle w:val="Tekst"/>
                    <w:rPr>
                      <w:color w:val="auto"/>
                      <w:sz w:val="22"/>
                      <w:szCs w:val="22"/>
                      <w:lang w:val="sr-Latn-ME"/>
                    </w:rPr>
                  </w:pPr>
                  <w:r w:rsidRPr="00D01E98">
                    <w:rPr>
                      <w:color w:val="auto"/>
                      <w:sz w:val="22"/>
                      <w:szCs w:val="22"/>
                      <w:lang w:val="sr-Latn-ME"/>
                    </w:rPr>
                    <w:t>Dehidratacija</w:t>
                  </w:r>
                </w:p>
              </w:tc>
              <w:tc>
                <w:tcPr>
                  <w:tcW w:w="1350" w:type="dxa"/>
                </w:tcPr>
                <w:p w14:paraId="2EDB7359" w14:textId="1C46E15F" w:rsidR="0020267D" w:rsidRPr="00D01E98" w:rsidRDefault="00D47E45">
                  <w:pPr>
                    <w:pStyle w:val="Tekst"/>
                    <w:rPr>
                      <w:color w:val="auto"/>
                      <w:sz w:val="22"/>
                      <w:szCs w:val="22"/>
                      <w:lang w:val="sr-Latn-ME"/>
                    </w:rPr>
                  </w:pPr>
                  <w:r w:rsidRPr="00D01E98">
                    <w:rPr>
                      <w:color w:val="auto"/>
                      <w:sz w:val="22"/>
                      <w:szCs w:val="22"/>
                      <w:lang w:val="sr-Latn-ME"/>
                    </w:rPr>
                    <w:t>6,7</w:t>
                  </w:r>
                </w:p>
              </w:tc>
              <w:tc>
                <w:tcPr>
                  <w:tcW w:w="1205" w:type="dxa"/>
                </w:tcPr>
                <w:p w14:paraId="33E4F274" w14:textId="6640AA4A" w:rsidR="0020267D" w:rsidRPr="00D01E98" w:rsidRDefault="0020267D">
                  <w:pPr>
                    <w:pStyle w:val="Tekst"/>
                    <w:rPr>
                      <w:color w:val="auto"/>
                      <w:sz w:val="22"/>
                      <w:szCs w:val="22"/>
                      <w:lang w:val="sr-Latn-ME"/>
                    </w:rPr>
                  </w:pPr>
                  <w:r w:rsidRPr="00D01E98">
                    <w:rPr>
                      <w:color w:val="auto"/>
                      <w:sz w:val="22"/>
                      <w:szCs w:val="22"/>
                      <w:lang w:val="sr-Latn-ME"/>
                    </w:rPr>
                    <w:t>3,</w:t>
                  </w:r>
                  <w:r w:rsidR="003A6A22" w:rsidRPr="00D01E98">
                    <w:rPr>
                      <w:color w:val="auto"/>
                      <w:sz w:val="22"/>
                      <w:szCs w:val="22"/>
                      <w:lang w:val="sr-Latn-ME"/>
                    </w:rPr>
                    <w:t>1</w:t>
                  </w:r>
                </w:p>
              </w:tc>
              <w:tc>
                <w:tcPr>
                  <w:tcW w:w="1207" w:type="dxa"/>
                </w:tcPr>
                <w:p w14:paraId="71360CCD" w14:textId="77777777" w:rsidR="0020267D" w:rsidRPr="00D01E98" w:rsidRDefault="0020267D">
                  <w:pPr>
                    <w:pStyle w:val="Tekst"/>
                    <w:rPr>
                      <w:color w:val="auto"/>
                      <w:sz w:val="22"/>
                      <w:szCs w:val="22"/>
                      <w:lang w:val="sr-Latn-ME"/>
                    </w:rPr>
                  </w:pPr>
                  <w:r w:rsidRPr="00D01E98">
                    <w:rPr>
                      <w:color w:val="auto"/>
                      <w:sz w:val="22"/>
                      <w:szCs w:val="22"/>
                      <w:lang w:val="sr-Latn-ME"/>
                    </w:rPr>
                    <w:t>0,3</w:t>
                  </w:r>
                </w:p>
              </w:tc>
            </w:tr>
            <w:tr w:rsidR="0020267D" w:rsidRPr="00D01E98" w14:paraId="66A63376" w14:textId="77777777" w:rsidTr="000C0EC1">
              <w:trPr>
                <w:tblHeader/>
              </w:trPr>
              <w:tc>
                <w:tcPr>
                  <w:tcW w:w="2043" w:type="dxa"/>
                  <w:vMerge/>
                </w:tcPr>
                <w:p w14:paraId="343CB2D6" w14:textId="77777777" w:rsidR="0020267D" w:rsidRPr="00D01E98" w:rsidRDefault="0020267D">
                  <w:pPr>
                    <w:pStyle w:val="Tekst"/>
                    <w:rPr>
                      <w:color w:val="auto"/>
                      <w:sz w:val="22"/>
                      <w:szCs w:val="22"/>
                      <w:lang w:val="sr-Latn-ME"/>
                    </w:rPr>
                  </w:pPr>
                </w:p>
              </w:tc>
              <w:tc>
                <w:tcPr>
                  <w:tcW w:w="1462" w:type="dxa"/>
                  <w:vMerge/>
                </w:tcPr>
                <w:p w14:paraId="17A58D1E" w14:textId="77777777" w:rsidR="0020267D" w:rsidRPr="00D01E98" w:rsidRDefault="0020267D">
                  <w:pPr>
                    <w:pStyle w:val="Tekst"/>
                    <w:rPr>
                      <w:color w:val="auto"/>
                      <w:sz w:val="22"/>
                      <w:szCs w:val="22"/>
                      <w:lang w:val="sr-Latn-ME"/>
                    </w:rPr>
                  </w:pPr>
                </w:p>
              </w:tc>
              <w:tc>
                <w:tcPr>
                  <w:tcW w:w="2340" w:type="dxa"/>
                </w:tcPr>
                <w:p w14:paraId="4523756A" w14:textId="77777777" w:rsidR="0020267D" w:rsidRPr="00D01E98" w:rsidRDefault="0020267D">
                  <w:pPr>
                    <w:pStyle w:val="Tekst"/>
                    <w:rPr>
                      <w:color w:val="auto"/>
                      <w:sz w:val="22"/>
                      <w:szCs w:val="22"/>
                      <w:lang w:val="sr-Latn-ME"/>
                    </w:rPr>
                  </w:pPr>
                  <w:r w:rsidRPr="00D01E98">
                    <w:rPr>
                      <w:color w:val="auto"/>
                      <w:sz w:val="22"/>
                      <w:szCs w:val="22"/>
                      <w:lang w:val="sr-Latn-ME"/>
                    </w:rPr>
                    <w:t>Hiperkalemija</w:t>
                  </w:r>
                </w:p>
              </w:tc>
              <w:tc>
                <w:tcPr>
                  <w:tcW w:w="1350" w:type="dxa"/>
                </w:tcPr>
                <w:p w14:paraId="7C5C4237" w14:textId="59D1BC3D" w:rsidR="0020267D" w:rsidRPr="00D01E98" w:rsidRDefault="00D47E45">
                  <w:pPr>
                    <w:pStyle w:val="Tekst"/>
                    <w:rPr>
                      <w:color w:val="auto"/>
                      <w:sz w:val="22"/>
                      <w:szCs w:val="22"/>
                      <w:lang w:val="sr-Latn-ME"/>
                    </w:rPr>
                  </w:pPr>
                  <w:r w:rsidRPr="00D01E98">
                    <w:rPr>
                      <w:color w:val="auto"/>
                      <w:sz w:val="22"/>
                      <w:szCs w:val="22"/>
                      <w:lang w:val="sr-Latn-ME"/>
                    </w:rPr>
                    <w:t>2,7</w:t>
                  </w:r>
                </w:p>
              </w:tc>
              <w:tc>
                <w:tcPr>
                  <w:tcW w:w="1205" w:type="dxa"/>
                </w:tcPr>
                <w:p w14:paraId="7A652898" w14:textId="5E2F4474" w:rsidR="0020267D" w:rsidRPr="00D01E98" w:rsidRDefault="0020267D">
                  <w:pPr>
                    <w:pStyle w:val="Tekst"/>
                    <w:rPr>
                      <w:color w:val="auto"/>
                      <w:sz w:val="22"/>
                      <w:szCs w:val="22"/>
                      <w:lang w:val="sr-Latn-ME"/>
                    </w:rPr>
                  </w:pPr>
                  <w:r w:rsidRPr="00D01E98">
                    <w:rPr>
                      <w:color w:val="auto"/>
                      <w:sz w:val="22"/>
                      <w:szCs w:val="22"/>
                      <w:lang w:val="sr-Latn-ME"/>
                    </w:rPr>
                    <w:t>1,</w:t>
                  </w:r>
                  <w:r w:rsidR="003A6A22" w:rsidRPr="00D01E98">
                    <w:rPr>
                      <w:color w:val="auto"/>
                      <w:sz w:val="22"/>
                      <w:szCs w:val="22"/>
                      <w:lang w:val="sr-Latn-ME"/>
                    </w:rPr>
                    <w:t>2</w:t>
                  </w:r>
                </w:p>
              </w:tc>
              <w:tc>
                <w:tcPr>
                  <w:tcW w:w="1207" w:type="dxa"/>
                </w:tcPr>
                <w:p w14:paraId="15D34FB9" w14:textId="5661FD3E"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r>
            <w:tr w:rsidR="0020267D" w:rsidRPr="00D01E98" w14:paraId="50021B76" w14:textId="77777777" w:rsidTr="000C0EC1">
              <w:trPr>
                <w:tblHeader/>
              </w:trPr>
              <w:tc>
                <w:tcPr>
                  <w:tcW w:w="2043" w:type="dxa"/>
                  <w:vMerge/>
                </w:tcPr>
                <w:p w14:paraId="11112C1B" w14:textId="77777777" w:rsidR="0020267D" w:rsidRPr="00D01E98" w:rsidRDefault="0020267D">
                  <w:pPr>
                    <w:pStyle w:val="Tekst"/>
                    <w:rPr>
                      <w:color w:val="auto"/>
                      <w:sz w:val="22"/>
                      <w:szCs w:val="22"/>
                      <w:lang w:val="sr-Latn-ME"/>
                    </w:rPr>
                  </w:pPr>
                </w:p>
              </w:tc>
              <w:tc>
                <w:tcPr>
                  <w:tcW w:w="1462" w:type="dxa"/>
                  <w:vMerge/>
                </w:tcPr>
                <w:p w14:paraId="5AD5D369" w14:textId="77777777" w:rsidR="0020267D" w:rsidRPr="00D01E98" w:rsidRDefault="0020267D">
                  <w:pPr>
                    <w:pStyle w:val="Tekst"/>
                    <w:rPr>
                      <w:color w:val="auto"/>
                      <w:sz w:val="22"/>
                      <w:szCs w:val="22"/>
                      <w:lang w:val="sr-Latn-ME"/>
                    </w:rPr>
                  </w:pPr>
                </w:p>
              </w:tc>
              <w:tc>
                <w:tcPr>
                  <w:tcW w:w="2340" w:type="dxa"/>
                </w:tcPr>
                <w:p w14:paraId="581C478C" w14:textId="77777777" w:rsidR="0020267D" w:rsidRPr="00D01E98" w:rsidRDefault="0020267D">
                  <w:pPr>
                    <w:pStyle w:val="Tekst"/>
                    <w:rPr>
                      <w:color w:val="auto"/>
                      <w:sz w:val="22"/>
                      <w:szCs w:val="22"/>
                      <w:lang w:val="sr-Latn-ME"/>
                    </w:rPr>
                  </w:pPr>
                  <w:r w:rsidRPr="00D01E98">
                    <w:rPr>
                      <w:color w:val="auto"/>
                      <w:sz w:val="22"/>
                      <w:szCs w:val="22"/>
                      <w:lang w:val="sr-Latn-ME"/>
                    </w:rPr>
                    <w:t>Hiperkalcemija</w:t>
                  </w:r>
                </w:p>
              </w:tc>
              <w:tc>
                <w:tcPr>
                  <w:tcW w:w="1350" w:type="dxa"/>
                </w:tcPr>
                <w:p w14:paraId="4FF1AEFC" w14:textId="083D0AF8" w:rsidR="0020267D" w:rsidRPr="00D01E98" w:rsidRDefault="0020267D">
                  <w:pPr>
                    <w:pStyle w:val="Tekst"/>
                    <w:rPr>
                      <w:color w:val="auto"/>
                      <w:sz w:val="22"/>
                      <w:szCs w:val="22"/>
                      <w:lang w:val="sr-Latn-ME"/>
                    </w:rPr>
                  </w:pPr>
                  <w:r w:rsidRPr="00D01E98">
                    <w:rPr>
                      <w:color w:val="auto"/>
                      <w:sz w:val="22"/>
                      <w:szCs w:val="22"/>
                      <w:lang w:val="sr-Latn-ME"/>
                    </w:rPr>
                    <w:t>2,</w:t>
                  </w:r>
                  <w:r w:rsidR="00D47E45" w:rsidRPr="00D01E98">
                    <w:rPr>
                      <w:color w:val="auto"/>
                      <w:sz w:val="22"/>
                      <w:szCs w:val="22"/>
                      <w:lang w:val="sr-Latn-ME"/>
                    </w:rPr>
                    <w:t>2</w:t>
                  </w:r>
                </w:p>
              </w:tc>
              <w:tc>
                <w:tcPr>
                  <w:tcW w:w="1205" w:type="dxa"/>
                </w:tcPr>
                <w:p w14:paraId="05D2CD52" w14:textId="77777777"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c>
                <w:tcPr>
                  <w:tcW w:w="1207" w:type="dxa"/>
                </w:tcPr>
                <w:p w14:paraId="031B791E" w14:textId="77777777" w:rsidR="0020267D" w:rsidRPr="00D01E98" w:rsidRDefault="0020267D">
                  <w:pPr>
                    <w:pStyle w:val="Tekst"/>
                    <w:rPr>
                      <w:color w:val="auto"/>
                      <w:sz w:val="22"/>
                      <w:szCs w:val="22"/>
                      <w:lang w:val="sr-Latn-ME"/>
                    </w:rPr>
                  </w:pPr>
                  <w:r w:rsidRPr="00D01E98">
                    <w:rPr>
                      <w:color w:val="auto"/>
                      <w:sz w:val="22"/>
                      <w:szCs w:val="22"/>
                      <w:lang w:val="sr-Latn-ME"/>
                    </w:rPr>
                    <w:t>0,3</w:t>
                  </w:r>
                </w:p>
              </w:tc>
            </w:tr>
            <w:tr w:rsidR="0020267D" w:rsidRPr="00D01E98" w14:paraId="1CF0B348" w14:textId="77777777" w:rsidTr="000C0EC1">
              <w:trPr>
                <w:tblHeader/>
              </w:trPr>
              <w:tc>
                <w:tcPr>
                  <w:tcW w:w="2043" w:type="dxa"/>
                  <w:vMerge w:val="restart"/>
                </w:tcPr>
                <w:p w14:paraId="7BE4541C" w14:textId="77777777" w:rsidR="0020267D" w:rsidRPr="00D01E98" w:rsidRDefault="0020267D">
                  <w:pPr>
                    <w:pStyle w:val="TableText"/>
                    <w:jc w:val="both"/>
                    <w:rPr>
                      <w:rFonts w:cs="Times New Roman"/>
                      <w:sz w:val="22"/>
                      <w:szCs w:val="22"/>
                      <w:lang w:val="sr-Latn-ME"/>
                    </w:rPr>
                  </w:pPr>
                  <w:r w:rsidRPr="00D01E98">
                    <w:rPr>
                      <w:rFonts w:cs="Times New Roman"/>
                      <w:sz w:val="22"/>
                      <w:szCs w:val="22"/>
                      <w:lang w:val="sr-Latn-ME"/>
                    </w:rPr>
                    <w:t>Poremećaji nervnog sistema</w:t>
                  </w:r>
                </w:p>
              </w:tc>
              <w:tc>
                <w:tcPr>
                  <w:tcW w:w="1462" w:type="dxa"/>
                  <w:vMerge w:val="restart"/>
                </w:tcPr>
                <w:p w14:paraId="017BA9A4" w14:textId="77777777" w:rsidR="0020267D" w:rsidRPr="00D01E98" w:rsidRDefault="0020267D">
                  <w:pPr>
                    <w:pStyle w:val="Tekst"/>
                    <w:rPr>
                      <w:color w:val="auto"/>
                      <w:sz w:val="22"/>
                      <w:szCs w:val="22"/>
                      <w:lang w:val="sr-Latn-ME"/>
                    </w:rPr>
                  </w:pPr>
                  <w:r w:rsidRPr="00D01E98">
                    <w:rPr>
                      <w:color w:val="auto"/>
                      <w:sz w:val="22"/>
                      <w:szCs w:val="22"/>
                      <w:lang w:val="sr-Latn-ME"/>
                    </w:rPr>
                    <w:t>Veoma česta</w:t>
                  </w:r>
                </w:p>
                <w:p w14:paraId="0027A89D" w14:textId="77777777" w:rsidR="0020267D" w:rsidRPr="00D01E98" w:rsidRDefault="0020267D">
                  <w:pPr>
                    <w:pStyle w:val="Tekst"/>
                    <w:rPr>
                      <w:color w:val="auto"/>
                      <w:sz w:val="22"/>
                      <w:szCs w:val="22"/>
                      <w:lang w:val="sr-Latn-ME"/>
                    </w:rPr>
                  </w:pPr>
                </w:p>
                <w:p w14:paraId="0C7C2CB6" w14:textId="77777777" w:rsidR="0020267D" w:rsidRPr="00D01E98" w:rsidRDefault="0020267D">
                  <w:pPr>
                    <w:pStyle w:val="Tekst"/>
                    <w:rPr>
                      <w:color w:val="auto"/>
                      <w:sz w:val="22"/>
                      <w:szCs w:val="22"/>
                      <w:lang w:val="sr-Latn-ME"/>
                    </w:rPr>
                  </w:pPr>
                </w:p>
              </w:tc>
              <w:tc>
                <w:tcPr>
                  <w:tcW w:w="2340" w:type="dxa"/>
                </w:tcPr>
                <w:p w14:paraId="12CBFE66" w14:textId="77777777" w:rsidR="0020267D" w:rsidRPr="00D01E98" w:rsidRDefault="0020267D">
                  <w:pPr>
                    <w:pStyle w:val="Tekst"/>
                    <w:rPr>
                      <w:color w:val="auto"/>
                      <w:sz w:val="22"/>
                      <w:szCs w:val="22"/>
                      <w:lang w:val="sr-Latn-ME"/>
                    </w:rPr>
                  </w:pPr>
                  <w:r w:rsidRPr="00D01E98">
                    <w:rPr>
                      <w:color w:val="auto"/>
                      <w:sz w:val="22"/>
                      <w:szCs w:val="22"/>
                      <w:lang w:val="sr-Latn-ME"/>
                    </w:rPr>
                    <w:t>Glavobolja</w:t>
                  </w:r>
                </w:p>
              </w:tc>
              <w:tc>
                <w:tcPr>
                  <w:tcW w:w="1350" w:type="dxa"/>
                </w:tcPr>
                <w:p w14:paraId="36EB4694" w14:textId="28DA7E99" w:rsidR="0020267D" w:rsidRPr="00D01E98" w:rsidRDefault="00D47E45">
                  <w:pPr>
                    <w:pStyle w:val="Tekst"/>
                    <w:rPr>
                      <w:color w:val="auto"/>
                      <w:sz w:val="22"/>
                      <w:szCs w:val="22"/>
                      <w:lang w:val="sr-Latn-ME"/>
                    </w:rPr>
                  </w:pPr>
                  <w:r w:rsidRPr="00D01E98">
                    <w:rPr>
                      <w:color w:val="auto"/>
                      <w:sz w:val="22"/>
                      <w:szCs w:val="22"/>
                      <w:lang w:val="sr-Latn-ME"/>
                    </w:rPr>
                    <w:t>16,2</w:t>
                  </w:r>
                </w:p>
              </w:tc>
              <w:tc>
                <w:tcPr>
                  <w:tcW w:w="1205" w:type="dxa"/>
                </w:tcPr>
                <w:p w14:paraId="7AFF6617" w14:textId="61377764"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7</w:t>
                  </w:r>
                </w:p>
              </w:tc>
              <w:tc>
                <w:tcPr>
                  <w:tcW w:w="1207" w:type="dxa"/>
                </w:tcPr>
                <w:p w14:paraId="32FC87C1"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7BED1FF2" w14:textId="77777777" w:rsidTr="000C0EC1">
              <w:trPr>
                <w:tblHeader/>
              </w:trPr>
              <w:tc>
                <w:tcPr>
                  <w:tcW w:w="2043" w:type="dxa"/>
                  <w:vMerge/>
                </w:tcPr>
                <w:p w14:paraId="591AA586" w14:textId="77777777" w:rsidR="0020267D" w:rsidRPr="00D01E98" w:rsidRDefault="0020267D">
                  <w:pPr>
                    <w:pStyle w:val="Tekst"/>
                    <w:rPr>
                      <w:color w:val="auto"/>
                      <w:sz w:val="22"/>
                      <w:szCs w:val="22"/>
                      <w:lang w:val="sr-Latn-ME"/>
                    </w:rPr>
                  </w:pPr>
                </w:p>
              </w:tc>
              <w:tc>
                <w:tcPr>
                  <w:tcW w:w="1462" w:type="dxa"/>
                  <w:vMerge/>
                </w:tcPr>
                <w:p w14:paraId="6E4CF3BF" w14:textId="77777777" w:rsidR="0020267D" w:rsidRPr="00D01E98" w:rsidRDefault="0020267D">
                  <w:pPr>
                    <w:pStyle w:val="Tekst"/>
                    <w:rPr>
                      <w:color w:val="auto"/>
                      <w:sz w:val="22"/>
                      <w:szCs w:val="22"/>
                      <w:lang w:val="sr-Latn-ME"/>
                    </w:rPr>
                  </w:pPr>
                </w:p>
              </w:tc>
              <w:tc>
                <w:tcPr>
                  <w:tcW w:w="2340" w:type="dxa"/>
                </w:tcPr>
                <w:p w14:paraId="192FE013" w14:textId="27EC1FEE" w:rsidR="0020267D" w:rsidRPr="00D01E98" w:rsidRDefault="0020267D">
                  <w:pPr>
                    <w:pStyle w:val="Tekst"/>
                    <w:rPr>
                      <w:color w:val="auto"/>
                      <w:sz w:val="22"/>
                      <w:szCs w:val="22"/>
                      <w:lang w:val="sr-Latn-ME"/>
                    </w:rPr>
                  </w:pPr>
                </w:p>
              </w:tc>
              <w:tc>
                <w:tcPr>
                  <w:tcW w:w="1350" w:type="dxa"/>
                </w:tcPr>
                <w:p w14:paraId="5CB3EBC7" w14:textId="2891B6D1" w:rsidR="0020267D" w:rsidRPr="00D01E98" w:rsidRDefault="0020267D">
                  <w:pPr>
                    <w:pStyle w:val="Tekst"/>
                    <w:rPr>
                      <w:color w:val="auto"/>
                      <w:sz w:val="22"/>
                      <w:szCs w:val="22"/>
                      <w:lang w:val="sr-Latn-ME"/>
                    </w:rPr>
                  </w:pPr>
                </w:p>
              </w:tc>
              <w:tc>
                <w:tcPr>
                  <w:tcW w:w="1205" w:type="dxa"/>
                </w:tcPr>
                <w:p w14:paraId="7D6917F1" w14:textId="791F4318" w:rsidR="0020267D" w:rsidRPr="00D01E98" w:rsidRDefault="0020267D">
                  <w:pPr>
                    <w:pStyle w:val="Tekst"/>
                    <w:rPr>
                      <w:color w:val="auto"/>
                      <w:sz w:val="22"/>
                      <w:szCs w:val="22"/>
                      <w:lang w:val="sr-Latn-ME"/>
                    </w:rPr>
                  </w:pPr>
                </w:p>
              </w:tc>
              <w:tc>
                <w:tcPr>
                  <w:tcW w:w="1207" w:type="dxa"/>
                </w:tcPr>
                <w:p w14:paraId="43C872E9" w14:textId="3F5DE163" w:rsidR="0020267D" w:rsidRPr="00D01E98" w:rsidRDefault="0020267D">
                  <w:pPr>
                    <w:pStyle w:val="Tekst"/>
                    <w:rPr>
                      <w:color w:val="auto"/>
                      <w:sz w:val="22"/>
                      <w:szCs w:val="22"/>
                      <w:lang w:val="sr-Latn-ME"/>
                    </w:rPr>
                  </w:pPr>
                </w:p>
              </w:tc>
            </w:tr>
            <w:tr w:rsidR="0020267D" w:rsidRPr="00D01E98" w14:paraId="6DDC3691" w14:textId="77777777" w:rsidTr="000C0EC1">
              <w:trPr>
                <w:trHeight w:val="215"/>
                <w:tblHeader/>
              </w:trPr>
              <w:tc>
                <w:tcPr>
                  <w:tcW w:w="2043" w:type="dxa"/>
                  <w:vMerge/>
                </w:tcPr>
                <w:p w14:paraId="52EF75CF" w14:textId="77777777" w:rsidR="0020267D" w:rsidRPr="00D01E98" w:rsidRDefault="0020267D">
                  <w:pPr>
                    <w:pStyle w:val="Tekst"/>
                    <w:rPr>
                      <w:color w:val="auto"/>
                      <w:sz w:val="22"/>
                      <w:szCs w:val="22"/>
                      <w:lang w:val="sr-Latn-ME"/>
                    </w:rPr>
                  </w:pPr>
                </w:p>
              </w:tc>
              <w:tc>
                <w:tcPr>
                  <w:tcW w:w="1462" w:type="dxa"/>
                  <w:vMerge/>
                </w:tcPr>
                <w:p w14:paraId="47875972" w14:textId="77777777" w:rsidR="0020267D" w:rsidRPr="00D01E98" w:rsidRDefault="0020267D">
                  <w:pPr>
                    <w:pStyle w:val="Tekst"/>
                    <w:rPr>
                      <w:color w:val="auto"/>
                      <w:sz w:val="22"/>
                      <w:szCs w:val="22"/>
                      <w:lang w:val="sr-Latn-ME"/>
                    </w:rPr>
                  </w:pPr>
                </w:p>
              </w:tc>
              <w:tc>
                <w:tcPr>
                  <w:tcW w:w="2340" w:type="dxa"/>
                </w:tcPr>
                <w:p w14:paraId="2E7F3CB0" w14:textId="77777777" w:rsidR="0020267D" w:rsidRPr="00D01E98" w:rsidRDefault="0020267D">
                  <w:pPr>
                    <w:pStyle w:val="Tekst"/>
                    <w:rPr>
                      <w:color w:val="auto"/>
                      <w:sz w:val="22"/>
                      <w:szCs w:val="22"/>
                      <w:lang w:val="sr-Latn-ME"/>
                    </w:rPr>
                  </w:pPr>
                  <w:r w:rsidRPr="00D01E98">
                    <w:rPr>
                      <w:color w:val="auto"/>
                      <w:sz w:val="22"/>
                      <w:szCs w:val="22"/>
                      <w:lang w:val="sr-Latn-ME"/>
                    </w:rPr>
                    <w:t>Disgeuzija</w:t>
                  </w:r>
                </w:p>
              </w:tc>
              <w:tc>
                <w:tcPr>
                  <w:tcW w:w="1350" w:type="dxa"/>
                </w:tcPr>
                <w:p w14:paraId="6247F058" w14:textId="0F9C5B93" w:rsidR="0020267D" w:rsidRPr="00D01E98" w:rsidRDefault="0020267D">
                  <w:pPr>
                    <w:pStyle w:val="Tekst"/>
                    <w:rPr>
                      <w:color w:val="auto"/>
                      <w:sz w:val="22"/>
                      <w:szCs w:val="22"/>
                      <w:lang w:val="sr-Latn-ME"/>
                    </w:rPr>
                  </w:pPr>
                  <w:r w:rsidRPr="00D01E98">
                    <w:rPr>
                      <w:color w:val="auto"/>
                      <w:sz w:val="22"/>
                      <w:szCs w:val="22"/>
                      <w:lang w:val="sr-Latn-ME"/>
                    </w:rPr>
                    <w:t>11,</w:t>
                  </w:r>
                  <w:r w:rsidR="00D47E45" w:rsidRPr="00D01E98">
                    <w:rPr>
                      <w:color w:val="auto"/>
                      <w:sz w:val="22"/>
                      <w:szCs w:val="22"/>
                      <w:lang w:val="sr-Latn-ME"/>
                    </w:rPr>
                    <w:t>5</w:t>
                  </w:r>
                </w:p>
              </w:tc>
              <w:tc>
                <w:tcPr>
                  <w:tcW w:w="1205" w:type="dxa"/>
                </w:tcPr>
                <w:p w14:paraId="7CDC59F3" w14:textId="77777777" w:rsidR="0020267D" w:rsidRPr="00D01E98" w:rsidRDefault="0020267D">
                  <w:pPr>
                    <w:pStyle w:val="Tekst"/>
                    <w:rPr>
                      <w:color w:val="auto"/>
                      <w:sz w:val="22"/>
                      <w:szCs w:val="22"/>
                      <w:lang w:val="sr-Latn-ME"/>
                    </w:rPr>
                  </w:pPr>
                  <w:r w:rsidRPr="00D01E98">
                    <w:rPr>
                      <w:color w:val="auto"/>
                      <w:sz w:val="22"/>
                      <w:szCs w:val="22"/>
                      <w:lang w:val="sr-Latn-ME"/>
                    </w:rPr>
                    <w:t>0</w:t>
                  </w:r>
                </w:p>
              </w:tc>
              <w:tc>
                <w:tcPr>
                  <w:tcW w:w="1207" w:type="dxa"/>
                </w:tcPr>
                <w:p w14:paraId="2C73B464"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D47E45" w:rsidRPr="00D01E98" w14:paraId="49505170" w14:textId="77777777" w:rsidTr="000C0EC1">
              <w:trPr>
                <w:trHeight w:val="215"/>
                <w:tblHeader/>
              </w:trPr>
              <w:tc>
                <w:tcPr>
                  <w:tcW w:w="2043" w:type="dxa"/>
                  <w:vMerge/>
                </w:tcPr>
                <w:p w14:paraId="34265B80" w14:textId="77777777" w:rsidR="00D47E45" w:rsidRPr="00D01E98" w:rsidRDefault="00D47E45">
                  <w:pPr>
                    <w:pStyle w:val="Tekst"/>
                    <w:rPr>
                      <w:color w:val="auto"/>
                      <w:sz w:val="22"/>
                      <w:szCs w:val="22"/>
                      <w:lang w:val="sr-Latn-ME"/>
                    </w:rPr>
                  </w:pPr>
                </w:p>
              </w:tc>
              <w:tc>
                <w:tcPr>
                  <w:tcW w:w="1462" w:type="dxa"/>
                </w:tcPr>
                <w:p w14:paraId="3E911D09" w14:textId="77777777" w:rsidR="00D47E45" w:rsidRPr="00D01E98" w:rsidRDefault="00D47E45">
                  <w:pPr>
                    <w:pStyle w:val="Tekst"/>
                    <w:rPr>
                      <w:color w:val="auto"/>
                      <w:sz w:val="22"/>
                      <w:szCs w:val="22"/>
                      <w:lang w:val="sr-Latn-ME"/>
                    </w:rPr>
                  </w:pPr>
                  <w:r w:rsidRPr="00D01E98">
                    <w:rPr>
                      <w:color w:val="auto"/>
                      <w:sz w:val="22"/>
                      <w:szCs w:val="22"/>
                      <w:lang w:val="sr-Latn-ME"/>
                    </w:rPr>
                    <w:t>Česta</w:t>
                  </w:r>
                </w:p>
              </w:tc>
              <w:tc>
                <w:tcPr>
                  <w:tcW w:w="2340" w:type="dxa"/>
                </w:tcPr>
                <w:p w14:paraId="6013AC72" w14:textId="77777777" w:rsidR="00D47E45" w:rsidRPr="00D01E98" w:rsidRDefault="00D47E45">
                  <w:pPr>
                    <w:pStyle w:val="Tekst"/>
                    <w:rPr>
                      <w:color w:val="auto"/>
                      <w:sz w:val="22"/>
                      <w:szCs w:val="22"/>
                      <w:lang w:val="sr-Latn-ME"/>
                    </w:rPr>
                  </w:pPr>
                  <w:r w:rsidRPr="00D01E98">
                    <w:rPr>
                      <w:color w:val="auto"/>
                      <w:sz w:val="22"/>
                      <w:szCs w:val="22"/>
                      <w:lang w:val="sr-Latn-ME"/>
                    </w:rPr>
                    <w:t>Vrtoglavica</w:t>
                  </w:r>
                </w:p>
              </w:tc>
              <w:tc>
                <w:tcPr>
                  <w:tcW w:w="1350" w:type="dxa"/>
                </w:tcPr>
                <w:p w14:paraId="6DCB8ADF" w14:textId="77777777" w:rsidR="00D47E45" w:rsidRPr="00D01E98" w:rsidRDefault="00D47E45">
                  <w:pPr>
                    <w:pStyle w:val="Tekst"/>
                    <w:rPr>
                      <w:color w:val="auto"/>
                      <w:sz w:val="22"/>
                      <w:szCs w:val="22"/>
                      <w:lang w:val="sr-Latn-ME"/>
                    </w:rPr>
                  </w:pPr>
                  <w:r w:rsidRPr="00D01E98">
                    <w:rPr>
                      <w:color w:val="auto"/>
                      <w:sz w:val="22"/>
                      <w:szCs w:val="22"/>
                      <w:lang w:val="sr-Latn-ME"/>
                    </w:rPr>
                    <w:t>9,1</w:t>
                  </w:r>
                </w:p>
              </w:tc>
              <w:tc>
                <w:tcPr>
                  <w:tcW w:w="1205" w:type="dxa"/>
                </w:tcPr>
                <w:p w14:paraId="349B77B6" w14:textId="77777777" w:rsidR="00D47E45" w:rsidRPr="00D01E98" w:rsidRDefault="00D47E45">
                  <w:pPr>
                    <w:pStyle w:val="Tekst"/>
                    <w:rPr>
                      <w:color w:val="auto"/>
                      <w:sz w:val="22"/>
                      <w:szCs w:val="22"/>
                      <w:lang w:val="sr-Latn-ME"/>
                    </w:rPr>
                  </w:pPr>
                  <w:r w:rsidRPr="00D01E98">
                    <w:rPr>
                      <w:color w:val="auto"/>
                      <w:sz w:val="22"/>
                      <w:szCs w:val="22"/>
                      <w:lang w:val="sr-Latn-ME"/>
                    </w:rPr>
                    <w:t>0,6</w:t>
                  </w:r>
                </w:p>
              </w:tc>
              <w:tc>
                <w:tcPr>
                  <w:tcW w:w="1207" w:type="dxa"/>
                </w:tcPr>
                <w:p w14:paraId="4B4C4DC5" w14:textId="77777777" w:rsidR="00D47E45" w:rsidRPr="00D01E98" w:rsidRDefault="00D47E45">
                  <w:pPr>
                    <w:pStyle w:val="Tekst"/>
                    <w:rPr>
                      <w:color w:val="auto"/>
                      <w:sz w:val="22"/>
                      <w:szCs w:val="22"/>
                      <w:lang w:val="sr-Latn-ME"/>
                    </w:rPr>
                  </w:pPr>
                  <w:r w:rsidRPr="00D01E98">
                    <w:rPr>
                      <w:color w:val="auto"/>
                      <w:sz w:val="22"/>
                      <w:szCs w:val="22"/>
                      <w:lang w:val="sr-Latn-ME"/>
                    </w:rPr>
                    <w:t>0</w:t>
                  </w:r>
                </w:p>
              </w:tc>
            </w:tr>
            <w:tr w:rsidR="0020267D" w:rsidRPr="00D01E98" w14:paraId="401DB417" w14:textId="77777777" w:rsidTr="000C0EC1">
              <w:trPr>
                <w:tblHeader/>
              </w:trPr>
              <w:tc>
                <w:tcPr>
                  <w:tcW w:w="2043" w:type="dxa"/>
                  <w:vMerge/>
                </w:tcPr>
                <w:p w14:paraId="29510B7B" w14:textId="77777777" w:rsidR="0020267D" w:rsidRPr="00D01E98" w:rsidRDefault="0020267D">
                  <w:pPr>
                    <w:pStyle w:val="Tekst"/>
                    <w:rPr>
                      <w:color w:val="auto"/>
                      <w:sz w:val="22"/>
                      <w:szCs w:val="22"/>
                      <w:lang w:val="sr-Latn-ME"/>
                    </w:rPr>
                  </w:pPr>
                </w:p>
              </w:tc>
              <w:tc>
                <w:tcPr>
                  <w:tcW w:w="1462" w:type="dxa"/>
                </w:tcPr>
                <w:p w14:paraId="253246B3" w14:textId="77777777" w:rsidR="0020267D" w:rsidRPr="00D01E98" w:rsidRDefault="0020267D">
                  <w:pPr>
                    <w:pStyle w:val="Tekst"/>
                    <w:rPr>
                      <w:color w:val="auto"/>
                      <w:sz w:val="22"/>
                      <w:szCs w:val="22"/>
                      <w:lang w:val="sr-Latn-ME"/>
                    </w:rPr>
                  </w:pPr>
                  <w:r w:rsidRPr="00D01E98">
                    <w:rPr>
                      <w:color w:val="auto"/>
                      <w:sz w:val="22"/>
                      <w:szCs w:val="22"/>
                      <w:lang w:val="sr-Latn-ME"/>
                    </w:rPr>
                    <w:t>Povremena</w:t>
                  </w:r>
                </w:p>
              </w:tc>
              <w:tc>
                <w:tcPr>
                  <w:tcW w:w="2340" w:type="dxa"/>
                </w:tcPr>
                <w:p w14:paraId="14CF12C7" w14:textId="77777777" w:rsidR="0020267D" w:rsidRPr="00D01E98" w:rsidRDefault="0020267D">
                  <w:pPr>
                    <w:pStyle w:val="Tekst"/>
                    <w:rPr>
                      <w:color w:val="auto"/>
                      <w:sz w:val="22"/>
                      <w:szCs w:val="22"/>
                      <w:lang w:val="sr-Latn-ME"/>
                    </w:rPr>
                  </w:pPr>
                  <w:r w:rsidRPr="00D01E98">
                    <w:rPr>
                      <w:color w:val="auto"/>
                      <w:sz w:val="22"/>
                      <w:szCs w:val="22"/>
                      <w:lang w:val="sr-Latn-ME"/>
                    </w:rPr>
                    <w:t>Sindrom posteriorne reverzibilne encefalopatije</w:t>
                  </w:r>
                  <w:r w:rsidR="00D47E45" w:rsidRPr="00D01E98">
                    <w:rPr>
                      <w:szCs w:val="22"/>
                      <w:vertAlign w:val="superscript"/>
                      <w:lang w:val="sr-Latn-ME"/>
                    </w:rPr>
                    <w:t>e</w:t>
                  </w:r>
                </w:p>
              </w:tc>
              <w:tc>
                <w:tcPr>
                  <w:tcW w:w="1350" w:type="dxa"/>
                </w:tcPr>
                <w:p w14:paraId="67101649" w14:textId="77777777" w:rsidR="0020267D" w:rsidRPr="00D01E98" w:rsidRDefault="0020267D">
                  <w:pPr>
                    <w:pStyle w:val="Tekst"/>
                    <w:rPr>
                      <w:color w:val="auto"/>
                      <w:sz w:val="22"/>
                      <w:szCs w:val="22"/>
                      <w:lang w:val="sr-Latn-ME"/>
                    </w:rPr>
                  </w:pPr>
                  <w:r w:rsidRPr="00D01E98">
                    <w:rPr>
                      <w:color w:val="auto"/>
                      <w:sz w:val="22"/>
                      <w:szCs w:val="22"/>
                      <w:lang w:val="sr-Latn-ME"/>
                    </w:rPr>
                    <w:t>0,3</w:t>
                  </w:r>
                </w:p>
              </w:tc>
              <w:tc>
                <w:tcPr>
                  <w:tcW w:w="1205" w:type="dxa"/>
                </w:tcPr>
                <w:p w14:paraId="6F33DEFC" w14:textId="7C71CA40"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c>
                <w:tcPr>
                  <w:tcW w:w="1207" w:type="dxa"/>
                </w:tcPr>
                <w:p w14:paraId="33FE5C0A"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639D012B" w14:textId="77777777" w:rsidTr="000C0EC1">
              <w:trPr>
                <w:tblHeader/>
              </w:trPr>
              <w:tc>
                <w:tcPr>
                  <w:tcW w:w="2043" w:type="dxa"/>
                </w:tcPr>
                <w:p w14:paraId="4E92A2A2" w14:textId="77777777" w:rsidR="0020267D" w:rsidRPr="00D01E98" w:rsidRDefault="0020267D" w:rsidP="00923DFD">
                  <w:pPr>
                    <w:pStyle w:val="Footer"/>
                    <w:jc w:val="both"/>
                    <w:rPr>
                      <w:sz w:val="22"/>
                      <w:szCs w:val="22"/>
                    </w:rPr>
                  </w:pPr>
                  <w:r w:rsidRPr="00D01E98">
                    <w:rPr>
                      <w:sz w:val="22"/>
                      <w:szCs w:val="22"/>
                    </w:rPr>
                    <w:t>Poremećaji na nivou uha i centra za ravnotežu</w:t>
                  </w:r>
                </w:p>
              </w:tc>
              <w:tc>
                <w:tcPr>
                  <w:tcW w:w="1462" w:type="dxa"/>
                </w:tcPr>
                <w:p w14:paraId="6A75F73E" w14:textId="77777777" w:rsidR="0020267D" w:rsidRPr="00D01E98" w:rsidRDefault="0020267D">
                  <w:pPr>
                    <w:pStyle w:val="Tekst"/>
                    <w:rPr>
                      <w:color w:val="auto"/>
                      <w:sz w:val="22"/>
                      <w:szCs w:val="22"/>
                      <w:lang w:val="sr-Latn-ME"/>
                    </w:rPr>
                  </w:pPr>
                  <w:r w:rsidRPr="00D01E98">
                    <w:rPr>
                      <w:color w:val="auto"/>
                      <w:sz w:val="22"/>
                      <w:szCs w:val="22"/>
                      <w:lang w:val="sr-Latn-ME"/>
                    </w:rPr>
                    <w:t>Česta</w:t>
                  </w:r>
                </w:p>
              </w:tc>
              <w:tc>
                <w:tcPr>
                  <w:tcW w:w="2340" w:type="dxa"/>
                </w:tcPr>
                <w:p w14:paraId="4A9AEFEC" w14:textId="77777777" w:rsidR="0020267D" w:rsidRPr="00D01E98" w:rsidRDefault="0020267D">
                  <w:pPr>
                    <w:pStyle w:val="Tekst"/>
                    <w:rPr>
                      <w:color w:val="auto"/>
                      <w:sz w:val="22"/>
                      <w:szCs w:val="22"/>
                      <w:lang w:val="sr-Latn-ME"/>
                    </w:rPr>
                  </w:pPr>
                  <w:r w:rsidRPr="00D01E98">
                    <w:rPr>
                      <w:color w:val="auto"/>
                      <w:sz w:val="22"/>
                      <w:szCs w:val="22"/>
                      <w:lang w:val="sr-Latn-ME"/>
                    </w:rPr>
                    <w:t>Tinitus</w:t>
                  </w:r>
                </w:p>
              </w:tc>
              <w:tc>
                <w:tcPr>
                  <w:tcW w:w="1350" w:type="dxa"/>
                </w:tcPr>
                <w:p w14:paraId="34F307E1" w14:textId="3468EDC4" w:rsidR="0020267D" w:rsidRPr="00D01E98" w:rsidRDefault="0020267D">
                  <w:pPr>
                    <w:pStyle w:val="Tekst"/>
                    <w:rPr>
                      <w:color w:val="auto"/>
                      <w:sz w:val="22"/>
                      <w:szCs w:val="22"/>
                      <w:lang w:val="sr-Latn-ME"/>
                    </w:rPr>
                  </w:pPr>
                  <w:r w:rsidRPr="00D01E98">
                    <w:rPr>
                      <w:color w:val="auto"/>
                      <w:sz w:val="22"/>
                      <w:szCs w:val="22"/>
                      <w:lang w:val="sr-Latn-ME"/>
                    </w:rPr>
                    <w:t>3,</w:t>
                  </w:r>
                  <w:r w:rsidR="00D47E45" w:rsidRPr="00D01E98">
                    <w:rPr>
                      <w:color w:val="auto"/>
                      <w:sz w:val="22"/>
                      <w:szCs w:val="22"/>
                      <w:lang w:val="sr-Latn-ME"/>
                    </w:rPr>
                    <w:t>1</w:t>
                  </w:r>
                </w:p>
              </w:tc>
              <w:tc>
                <w:tcPr>
                  <w:tcW w:w="1205" w:type="dxa"/>
                </w:tcPr>
                <w:p w14:paraId="6A81FFBA" w14:textId="77777777" w:rsidR="0020267D" w:rsidRPr="00D01E98" w:rsidRDefault="0020267D">
                  <w:pPr>
                    <w:pStyle w:val="Tekst"/>
                    <w:rPr>
                      <w:color w:val="auto"/>
                      <w:sz w:val="22"/>
                      <w:szCs w:val="22"/>
                      <w:lang w:val="sr-Latn-ME"/>
                    </w:rPr>
                  </w:pPr>
                  <w:r w:rsidRPr="00D01E98">
                    <w:rPr>
                      <w:color w:val="auto"/>
                      <w:sz w:val="22"/>
                      <w:szCs w:val="22"/>
                      <w:lang w:val="sr-Latn-ME"/>
                    </w:rPr>
                    <w:t>0</w:t>
                  </w:r>
                </w:p>
              </w:tc>
              <w:tc>
                <w:tcPr>
                  <w:tcW w:w="1207" w:type="dxa"/>
                </w:tcPr>
                <w:p w14:paraId="183C7D3B"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206E85C8" w14:textId="77777777" w:rsidTr="000C0EC1">
              <w:trPr>
                <w:tblHeader/>
              </w:trPr>
              <w:tc>
                <w:tcPr>
                  <w:tcW w:w="2043" w:type="dxa"/>
                </w:tcPr>
                <w:p w14:paraId="1942CC6E" w14:textId="77777777" w:rsidR="0020267D" w:rsidRPr="00D01E98" w:rsidRDefault="0020267D" w:rsidP="00923DFD">
                  <w:pPr>
                    <w:pStyle w:val="Footer"/>
                    <w:jc w:val="both"/>
                    <w:rPr>
                      <w:sz w:val="22"/>
                      <w:szCs w:val="22"/>
                    </w:rPr>
                  </w:pPr>
                  <w:r w:rsidRPr="00D01E98">
                    <w:rPr>
                      <w:sz w:val="22"/>
                      <w:szCs w:val="22"/>
                    </w:rPr>
                    <w:t>Kardiološki poremećaji</w:t>
                  </w:r>
                </w:p>
              </w:tc>
              <w:tc>
                <w:tcPr>
                  <w:tcW w:w="1462" w:type="dxa"/>
                </w:tcPr>
                <w:p w14:paraId="32A94A77" w14:textId="77777777" w:rsidR="0020267D" w:rsidRPr="00D01E98" w:rsidRDefault="0020267D">
                  <w:pPr>
                    <w:pStyle w:val="Tekst"/>
                    <w:rPr>
                      <w:color w:val="auto"/>
                      <w:sz w:val="22"/>
                      <w:szCs w:val="22"/>
                      <w:lang w:val="sr-Latn-ME"/>
                    </w:rPr>
                  </w:pPr>
                  <w:r w:rsidRPr="00D01E98">
                    <w:rPr>
                      <w:color w:val="auto"/>
                      <w:sz w:val="22"/>
                      <w:szCs w:val="22"/>
                      <w:lang w:val="sr-Latn-ME"/>
                    </w:rPr>
                    <w:t>Česta</w:t>
                  </w:r>
                </w:p>
              </w:tc>
              <w:tc>
                <w:tcPr>
                  <w:tcW w:w="2340" w:type="dxa"/>
                </w:tcPr>
                <w:p w14:paraId="239A7B0B" w14:textId="77777777" w:rsidR="0020267D" w:rsidRPr="00D01E98" w:rsidRDefault="0020267D">
                  <w:pPr>
                    <w:pStyle w:val="Tekst"/>
                    <w:rPr>
                      <w:color w:val="auto"/>
                      <w:sz w:val="22"/>
                      <w:szCs w:val="22"/>
                      <w:lang w:val="sr-Latn-ME"/>
                    </w:rPr>
                  </w:pPr>
                  <w:r w:rsidRPr="00D01E98">
                    <w:rPr>
                      <w:bCs w:val="0"/>
                      <w:sz w:val="22"/>
                      <w:szCs w:val="22"/>
                      <w:lang w:val="sr-Latn-ME"/>
                    </w:rPr>
                    <w:t>Događaji povezani sa srčanom insuficijencijom</w:t>
                  </w:r>
                  <w:r w:rsidRPr="00D01E98">
                    <w:rPr>
                      <w:bCs w:val="0"/>
                      <w:sz w:val="22"/>
                      <w:szCs w:val="22"/>
                      <w:vertAlign w:val="superscript"/>
                      <w:lang w:val="sr-Latn-ME"/>
                    </w:rPr>
                    <w:t>c,d</w:t>
                  </w:r>
                  <w:r w:rsidR="00D47E45" w:rsidRPr="00D01E98">
                    <w:rPr>
                      <w:szCs w:val="22"/>
                      <w:vertAlign w:val="superscript"/>
                      <w:lang w:val="sr-Latn-ME"/>
                    </w:rPr>
                    <w:t>,f</w:t>
                  </w:r>
                </w:p>
              </w:tc>
              <w:tc>
                <w:tcPr>
                  <w:tcW w:w="1350" w:type="dxa"/>
                </w:tcPr>
                <w:p w14:paraId="786F173B" w14:textId="38763D10" w:rsidR="0020267D" w:rsidRPr="00D01E98" w:rsidRDefault="0020267D">
                  <w:pPr>
                    <w:pStyle w:val="Tekst"/>
                    <w:rPr>
                      <w:color w:val="auto"/>
                      <w:sz w:val="22"/>
                      <w:szCs w:val="22"/>
                      <w:lang w:val="sr-Latn-ME"/>
                    </w:rPr>
                  </w:pPr>
                  <w:r w:rsidRPr="00D01E98">
                    <w:rPr>
                      <w:sz w:val="22"/>
                      <w:szCs w:val="22"/>
                      <w:lang w:val="sr-Latn-ME"/>
                    </w:rPr>
                    <w:t>1,</w:t>
                  </w:r>
                  <w:r w:rsidR="00D47E45" w:rsidRPr="00D01E98">
                    <w:rPr>
                      <w:sz w:val="22"/>
                      <w:szCs w:val="22"/>
                      <w:lang w:val="sr-Latn-ME"/>
                    </w:rPr>
                    <w:t>8</w:t>
                  </w:r>
                </w:p>
              </w:tc>
              <w:tc>
                <w:tcPr>
                  <w:tcW w:w="1205" w:type="dxa"/>
                </w:tcPr>
                <w:p w14:paraId="58DB2227" w14:textId="77777777" w:rsidR="0020267D" w:rsidRPr="00D01E98" w:rsidRDefault="0020267D">
                  <w:pPr>
                    <w:pStyle w:val="Tekst"/>
                    <w:rPr>
                      <w:color w:val="auto"/>
                      <w:sz w:val="22"/>
                      <w:szCs w:val="22"/>
                      <w:lang w:val="sr-Latn-ME"/>
                    </w:rPr>
                  </w:pPr>
                  <w:r w:rsidRPr="00D01E98">
                    <w:rPr>
                      <w:sz w:val="22"/>
                      <w:szCs w:val="22"/>
                      <w:lang w:val="sr-Latn-ME"/>
                    </w:rPr>
                    <w:t>0</w:t>
                  </w:r>
                  <w:r w:rsidR="003A6A22" w:rsidRPr="00D01E98">
                    <w:rPr>
                      <w:sz w:val="22"/>
                      <w:szCs w:val="22"/>
                      <w:lang w:val="sr-Latn-ME"/>
                    </w:rPr>
                    <w:t>,3</w:t>
                  </w:r>
                </w:p>
              </w:tc>
              <w:tc>
                <w:tcPr>
                  <w:tcW w:w="1207" w:type="dxa"/>
                </w:tcPr>
                <w:p w14:paraId="69BA0569" w14:textId="2B1165E1" w:rsidR="0020267D" w:rsidRPr="00D01E98" w:rsidRDefault="0020267D">
                  <w:pPr>
                    <w:pStyle w:val="Tekst"/>
                    <w:rPr>
                      <w:color w:val="auto"/>
                      <w:sz w:val="22"/>
                      <w:szCs w:val="22"/>
                      <w:lang w:val="sr-Latn-ME"/>
                    </w:rPr>
                  </w:pPr>
                  <w:r w:rsidRPr="00D01E98">
                    <w:rPr>
                      <w:sz w:val="22"/>
                      <w:szCs w:val="22"/>
                      <w:lang w:val="sr-Latn-ME"/>
                    </w:rPr>
                    <w:t>0,</w:t>
                  </w:r>
                  <w:r w:rsidR="003A6A22" w:rsidRPr="00D01E98">
                    <w:rPr>
                      <w:sz w:val="22"/>
                      <w:szCs w:val="22"/>
                      <w:lang w:val="sr-Latn-ME"/>
                    </w:rPr>
                    <w:t>7</w:t>
                  </w:r>
                </w:p>
              </w:tc>
            </w:tr>
            <w:tr w:rsidR="0020267D" w:rsidRPr="00D01E98" w14:paraId="70F10378" w14:textId="77777777" w:rsidTr="000C0EC1">
              <w:trPr>
                <w:tblHeader/>
              </w:trPr>
              <w:tc>
                <w:tcPr>
                  <w:tcW w:w="2043" w:type="dxa"/>
                  <w:vMerge w:val="restart"/>
                </w:tcPr>
                <w:p w14:paraId="4B0F0E11" w14:textId="77777777" w:rsidR="0020267D" w:rsidRPr="00D01E98" w:rsidRDefault="0020267D">
                  <w:pPr>
                    <w:pStyle w:val="Tekst"/>
                    <w:rPr>
                      <w:color w:val="auto"/>
                      <w:sz w:val="22"/>
                      <w:szCs w:val="22"/>
                      <w:lang w:val="sr-Latn-ME"/>
                    </w:rPr>
                  </w:pPr>
                  <w:r w:rsidRPr="00D01E98">
                    <w:rPr>
                      <w:color w:val="auto"/>
                      <w:sz w:val="22"/>
                      <w:szCs w:val="22"/>
                      <w:lang w:val="sr-Latn-ME"/>
                    </w:rPr>
                    <w:t>Vaskularni poremećaji</w:t>
                  </w:r>
                </w:p>
              </w:tc>
              <w:tc>
                <w:tcPr>
                  <w:tcW w:w="1462" w:type="dxa"/>
                  <w:vMerge w:val="restart"/>
                </w:tcPr>
                <w:p w14:paraId="1B9B75CC" w14:textId="77777777" w:rsidR="0020267D" w:rsidRPr="00D01E98" w:rsidRDefault="0020267D">
                  <w:pPr>
                    <w:pStyle w:val="Tekst"/>
                    <w:rPr>
                      <w:color w:val="auto"/>
                      <w:sz w:val="22"/>
                      <w:szCs w:val="22"/>
                      <w:lang w:val="sr-Latn-ME"/>
                    </w:rPr>
                  </w:pPr>
                  <w:r w:rsidRPr="00D01E98">
                    <w:rPr>
                      <w:color w:val="auto"/>
                      <w:sz w:val="22"/>
                      <w:szCs w:val="22"/>
                      <w:lang w:val="sr-Latn-ME"/>
                    </w:rPr>
                    <w:t>Veoma česta</w:t>
                  </w:r>
                </w:p>
              </w:tc>
              <w:tc>
                <w:tcPr>
                  <w:tcW w:w="2340" w:type="dxa"/>
                </w:tcPr>
                <w:p w14:paraId="3602E1DC" w14:textId="77777777" w:rsidR="0020267D" w:rsidRPr="00D01E98" w:rsidRDefault="0020267D">
                  <w:pPr>
                    <w:pStyle w:val="Tekst"/>
                    <w:rPr>
                      <w:color w:val="auto"/>
                      <w:sz w:val="22"/>
                      <w:szCs w:val="22"/>
                      <w:lang w:val="sr-Latn-ME"/>
                    </w:rPr>
                  </w:pPr>
                  <w:r w:rsidRPr="00D01E98">
                    <w:rPr>
                      <w:color w:val="auto"/>
                      <w:sz w:val="22"/>
                      <w:szCs w:val="22"/>
                      <w:lang w:val="sr-Latn-ME"/>
                    </w:rPr>
                    <w:t>Hipertenzija</w:t>
                  </w:r>
                  <w:r w:rsidR="00D47E45" w:rsidRPr="00D01E98">
                    <w:rPr>
                      <w:szCs w:val="22"/>
                      <w:vertAlign w:val="superscript"/>
                      <w:lang w:val="sr-Latn-ME"/>
                    </w:rPr>
                    <w:t>g</w:t>
                  </w:r>
                </w:p>
              </w:tc>
              <w:tc>
                <w:tcPr>
                  <w:tcW w:w="1350" w:type="dxa"/>
                </w:tcPr>
                <w:p w14:paraId="279F8B17" w14:textId="557E4520" w:rsidR="0020267D" w:rsidRPr="00D01E98" w:rsidRDefault="00D47E45">
                  <w:pPr>
                    <w:pStyle w:val="Tekst"/>
                    <w:rPr>
                      <w:color w:val="auto"/>
                      <w:sz w:val="22"/>
                      <w:szCs w:val="22"/>
                      <w:lang w:val="sr-Latn-ME"/>
                    </w:rPr>
                  </w:pPr>
                  <w:r w:rsidRPr="00D01E98">
                    <w:rPr>
                      <w:color w:val="auto"/>
                      <w:sz w:val="22"/>
                      <w:szCs w:val="22"/>
                      <w:lang w:val="sr-Latn-ME"/>
                    </w:rPr>
                    <w:t>51,2</w:t>
                  </w:r>
                </w:p>
              </w:tc>
              <w:tc>
                <w:tcPr>
                  <w:tcW w:w="1205" w:type="dxa"/>
                </w:tcPr>
                <w:p w14:paraId="2EA7C6DA" w14:textId="682EB50A" w:rsidR="0020267D" w:rsidRPr="00D01E98" w:rsidRDefault="003A6A22">
                  <w:pPr>
                    <w:pStyle w:val="Tekst"/>
                    <w:rPr>
                      <w:color w:val="auto"/>
                      <w:sz w:val="22"/>
                      <w:szCs w:val="22"/>
                      <w:lang w:val="sr-Latn-ME"/>
                    </w:rPr>
                  </w:pPr>
                  <w:r w:rsidRPr="00D01E98">
                    <w:rPr>
                      <w:color w:val="auto"/>
                      <w:sz w:val="22"/>
                      <w:szCs w:val="22"/>
                      <w:lang w:val="sr-Latn-ME"/>
                    </w:rPr>
                    <w:t>22,0</w:t>
                  </w:r>
                </w:p>
              </w:tc>
              <w:tc>
                <w:tcPr>
                  <w:tcW w:w="1207" w:type="dxa"/>
                </w:tcPr>
                <w:p w14:paraId="75845655" w14:textId="62E4275C" w:rsidR="0020267D" w:rsidRPr="00D01E98" w:rsidRDefault="003A6A22">
                  <w:pPr>
                    <w:pStyle w:val="Tekst"/>
                    <w:rPr>
                      <w:color w:val="auto"/>
                      <w:sz w:val="22"/>
                      <w:szCs w:val="22"/>
                      <w:lang w:val="sr-Latn-ME"/>
                    </w:rPr>
                  </w:pPr>
                  <w:r w:rsidRPr="00D01E98">
                    <w:rPr>
                      <w:color w:val="auto"/>
                      <w:sz w:val="22"/>
                      <w:szCs w:val="22"/>
                      <w:lang w:val="sr-Latn-ME"/>
                    </w:rPr>
                    <w:t>1,0</w:t>
                  </w:r>
                </w:p>
              </w:tc>
            </w:tr>
            <w:tr w:rsidR="0020267D" w:rsidRPr="00D01E98" w14:paraId="7D06EB93" w14:textId="77777777" w:rsidTr="000C0EC1">
              <w:trPr>
                <w:tblHeader/>
              </w:trPr>
              <w:tc>
                <w:tcPr>
                  <w:tcW w:w="2043" w:type="dxa"/>
                  <w:vMerge/>
                </w:tcPr>
                <w:p w14:paraId="691F17E4" w14:textId="77777777" w:rsidR="0020267D" w:rsidRPr="00D01E98" w:rsidRDefault="0020267D">
                  <w:pPr>
                    <w:pStyle w:val="Tekst"/>
                    <w:rPr>
                      <w:color w:val="auto"/>
                      <w:sz w:val="22"/>
                      <w:szCs w:val="22"/>
                      <w:lang w:val="sr-Latn-ME"/>
                    </w:rPr>
                  </w:pPr>
                </w:p>
              </w:tc>
              <w:tc>
                <w:tcPr>
                  <w:tcW w:w="1462" w:type="dxa"/>
                  <w:vMerge/>
                </w:tcPr>
                <w:p w14:paraId="68E4650F" w14:textId="77777777" w:rsidR="0020267D" w:rsidRPr="00D01E98" w:rsidRDefault="0020267D">
                  <w:pPr>
                    <w:pStyle w:val="Tekst"/>
                    <w:rPr>
                      <w:color w:val="auto"/>
                      <w:sz w:val="22"/>
                      <w:szCs w:val="22"/>
                      <w:lang w:val="sr-Latn-ME"/>
                    </w:rPr>
                  </w:pPr>
                </w:p>
              </w:tc>
              <w:tc>
                <w:tcPr>
                  <w:tcW w:w="2340" w:type="dxa"/>
                </w:tcPr>
                <w:p w14:paraId="1D05EB7C" w14:textId="77777777" w:rsidR="0020267D" w:rsidRPr="00D01E98" w:rsidRDefault="0020267D">
                  <w:pPr>
                    <w:pStyle w:val="Tekst"/>
                    <w:rPr>
                      <w:color w:val="auto"/>
                      <w:sz w:val="22"/>
                      <w:szCs w:val="22"/>
                      <w:lang w:val="sr-Latn-ME"/>
                    </w:rPr>
                  </w:pPr>
                  <w:r w:rsidRPr="00D01E98">
                    <w:rPr>
                      <w:color w:val="auto"/>
                      <w:sz w:val="22"/>
                      <w:szCs w:val="22"/>
                      <w:lang w:val="sr-Latn-ME"/>
                    </w:rPr>
                    <w:t>Krvarenje</w:t>
                  </w:r>
                  <w:r w:rsidRPr="00D01E98">
                    <w:rPr>
                      <w:color w:val="auto"/>
                      <w:sz w:val="22"/>
                      <w:szCs w:val="22"/>
                      <w:vertAlign w:val="superscript"/>
                      <w:lang w:val="sr-Latn-ME"/>
                    </w:rPr>
                    <w:t>c,d</w:t>
                  </w:r>
                  <w:r w:rsidR="00D47E45" w:rsidRPr="00D01E98">
                    <w:rPr>
                      <w:szCs w:val="24"/>
                      <w:vertAlign w:val="superscript"/>
                      <w:lang w:val="sr-Latn-ME"/>
                    </w:rPr>
                    <w:t>,h</w:t>
                  </w:r>
                </w:p>
              </w:tc>
              <w:tc>
                <w:tcPr>
                  <w:tcW w:w="1350" w:type="dxa"/>
                </w:tcPr>
                <w:p w14:paraId="0727B144" w14:textId="65C6CF62" w:rsidR="0020267D" w:rsidRPr="00D01E98" w:rsidRDefault="00D47E45">
                  <w:pPr>
                    <w:pStyle w:val="Tekst"/>
                    <w:rPr>
                      <w:color w:val="auto"/>
                      <w:sz w:val="22"/>
                      <w:szCs w:val="22"/>
                      <w:lang w:val="sr-Latn-ME"/>
                    </w:rPr>
                  </w:pPr>
                  <w:r w:rsidRPr="00D01E98">
                    <w:rPr>
                      <w:color w:val="auto"/>
                      <w:sz w:val="22"/>
                      <w:szCs w:val="22"/>
                      <w:lang w:val="sr-Latn-ME"/>
                    </w:rPr>
                    <w:t>25,7</w:t>
                  </w:r>
                </w:p>
              </w:tc>
              <w:tc>
                <w:tcPr>
                  <w:tcW w:w="1205" w:type="dxa"/>
                </w:tcPr>
                <w:p w14:paraId="18C8408B" w14:textId="170ED013" w:rsidR="0020267D" w:rsidRPr="00D01E98" w:rsidRDefault="003A6A22">
                  <w:pPr>
                    <w:pStyle w:val="Tekst"/>
                    <w:rPr>
                      <w:color w:val="auto"/>
                      <w:sz w:val="22"/>
                      <w:szCs w:val="22"/>
                      <w:lang w:val="sr-Latn-ME"/>
                    </w:rPr>
                  </w:pPr>
                  <w:r w:rsidRPr="00D01E98">
                    <w:rPr>
                      <w:color w:val="auto"/>
                      <w:sz w:val="22"/>
                      <w:szCs w:val="22"/>
                      <w:lang w:val="sr-Latn-ME"/>
                    </w:rPr>
                    <w:t>3,0</w:t>
                  </w:r>
                </w:p>
              </w:tc>
              <w:tc>
                <w:tcPr>
                  <w:tcW w:w="1207" w:type="dxa"/>
                </w:tcPr>
                <w:p w14:paraId="5560C8DF" w14:textId="2E512AD7" w:rsidR="0020267D" w:rsidRPr="00D01E98" w:rsidRDefault="003A6A22">
                  <w:pPr>
                    <w:pStyle w:val="Tekst"/>
                    <w:rPr>
                      <w:color w:val="auto"/>
                      <w:sz w:val="22"/>
                      <w:szCs w:val="22"/>
                      <w:lang w:val="sr-Latn-ME"/>
                    </w:rPr>
                  </w:pPr>
                  <w:r w:rsidRPr="00D01E98">
                    <w:rPr>
                      <w:color w:val="auto"/>
                      <w:sz w:val="22"/>
                      <w:szCs w:val="22"/>
                      <w:lang w:val="sr-Latn-ME"/>
                    </w:rPr>
                    <w:t>1,0</w:t>
                  </w:r>
                </w:p>
              </w:tc>
            </w:tr>
            <w:tr w:rsidR="0020267D" w:rsidRPr="00D01E98" w14:paraId="61FA683E" w14:textId="77777777" w:rsidTr="000C0EC1">
              <w:trPr>
                <w:tblHeader/>
              </w:trPr>
              <w:tc>
                <w:tcPr>
                  <w:tcW w:w="2043" w:type="dxa"/>
                  <w:vMerge/>
                </w:tcPr>
                <w:p w14:paraId="0D885B12" w14:textId="77777777" w:rsidR="0020267D" w:rsidRPr="00D01E98" w:rsidRDefault="0020267D">
                  <w:pPr>
                    <w:pStyle w:val="Tekst"/>
                    <w:rPr>
                      <w:color w:val="auto"/>
                      <w:sz w:val="22"/>
                      <w:szCs w:val="22"/>
                      <w:lang w:val="sr-Latn-ME"/>
                    </w:rPr>
                  </w:pPr>
                </w:p>
              </w:tc>
              <w:tc>
                <w:tcPr>
                  <w:tcW w:w="1462" w:type="dxa"/>
                  <w:vMerge w:val="restart"/>
                </w:tcPr>
                <w:p w14:paraId="431A6DF9" w14:textId="77777777" w:rsidR="0020267D" w:rsidRPr="00D01E98" w:rsidRDefault="0020267D">
                  <w:pPr>
                    <w:pStyle w:val="Tekst"/>
                    <w:rPr>
                      <w:color w:val="auto"/>
                      <w:sz w:val="22"/>
                      <w:szCs w:val="22"/>
                      <w:lang w:val="sr-Latn-ME"/>
                    </w:rPr>
                  </w:pPr>
                  <w:r w:rsidRPr="00D01E98">
                    <w:rPr>
                      <w:color w:val="auto"/>
                      <w:sz w:val="22"/>
                      <w:szCs w:val="22"/>
                      <w:lang w:val="sr-Latn-ME"/>
                    </w:rPr>
                    <w:t>Česta</w:t>
                  </w:r>
                </w:p>
              </w:tc>
              <w:tc>
                <w:tcPr>
                  <w:tcW w:w="2340" w:type="dxa"/>
                </w:tcPr>
                <w:p w14:paraId="67F9B848" w14:textId="77777777" w:rsidR="0020267D" w:rsidRPr="00D01E98" w:rsidRDefault="0020267D" w:rsidP="00923DFD">
                  <w:pPr>
                    <w:pStyle w:val="Tekst"/>
                    <w:rPr>
                      <w:color w:val="auto"/>
                      <w:sz w:val="22"/>
                      <w:szCs w:val="22"/>
                      <w:lang w:val="sr-Latn-ME"/>
                    </w:rPr>
                  </w:pPr>
                  <w:r w:rsidRPr="00D01E98">
                    <w:rPr>
                      <w:color w:val="auto"/>
                      <w:sz w:val="22"/>
                      <w:szCs w:val="22"/>
                      <w:lang w:val="sr-Latn-ME"/>
                    </w:rPr>
                    <w:t>Venski embolijski i trombotični događaji</w:t>
                  </w:r>
                  <w:r w:rsidRPr="00D01E98">
                    <w:rPr>
                      <w:color w:val="auto"/>
                      <w:sz w:val="22"/>
                      <w:szCs w:val="22"/>
                      <w:vertAlign w:val="superscript"/>
                      <w:lang w:val="sr-Latn-ME"/>
                    </w:rPr>
                    <w:t>c,d</w:t>
                  </w:r>
                  <w:r w:rsidR="00D47E45" w:rsidRPr="00D01E98">
                    <w:rPr>
                      <w:szCs w:val="24"/>
                      <w:vertAlign w:val="superscript"/>
                      <w:lang w:val="sr-Latn-ME"/>
                    </w:rPr>
                    <w:t>,i</w:t>
                  </w:r>
                </w:p>
              </w:tc>
              <w:tc>
                <w:tcPr>
                  <w:tcW w:w="1350" w:type="dxa"/>
                </w:tcPr>
                <w:p w14:paraId="721F7F4A" w14:textId="7AE54DF2" w:rsidR="0020267D" w:rsidRPr="00D01E98" w:rsidRDefault="00D47E45">
                  <w:pPr>
                    <w:pStyle w:val="Tekst"/>
                    <w:rPr>
                      <w:color w:val="auto"/>
                      <w:sz w:val="22"/>
                      <w:szCs w:val="22"/>
                      <w:lang w:val="sr-Latn-ME"/>
                    </w:rPr>
                  </w:pPr>
                  <w:r w:rsidRPr="00D01E98">
                    <w:rPr>
                      <w:color w:val="auto"/>
                      <w:sz w:val="22"/>
                      <w:szCs w:val="22"/>
                      <w:lang w:val="sr-Latn-ME"/>
                    </w:rPr>
                    <w:t>2,8</w:t>
                  </w:r>
                </w:p>
              </w:tc>
              <w:tc>
                <w:tcPr>
                  <w:tcW w:w="1205" w:type="dxa"/>
                </w:tcPr>
                <w:p w14:paraId="3D63319E" w14:textId="49EC46EF" w:rsidR="0020267D" w:rsidRPr="00D01E98" w:rsidRDefault="003A6A22">
                  <w:pPr>
                    <w:pStyle w:val="Tekst"/>
                    <w:rPr>
                      <w:color w:val="auto"/>
                      <w:sz w:val="22"/>
                      <w:szCs w:val="22"/>
                      <w:lang w:val="sr-Latn-ME"/>
                    </w:rPr>
                  </w:pPr>
                  <w:r w:rsidRPr="00D01E98">
                    <w:rPr>
                      <w:color w:val="auto"/>
                      <w:sz w:val="22"/>
                      <w:szCs w:val="22"/>
                      <w:lang w:val="sr-Latn-ME"/>
                    </w:rPr>
                    <w:t>0,9</w:t>
                  </w:r>
                </w:p>
              </w:tc>
              <w:tc>
                <w:tcPr>
                  <w:tcW w:w="1207" w:type="dxa"/>
                </w:tcPr>
                <w:p w14:paraId="21735E6E" w14:textId="086A08C8" w:rsidR="0020267D" w:rsidRPr="00D01E98" w:rsidRDefault="003A6A22">
                  <w:pPr>
                    <w:pStyle w:val="Tekst"/>
                    <w:rPr>
                      <w:color w:val="auto"/>
                      <w:sz w:val="22"/>
                      <w:szCs w:val="22"/>
                      <w:lang w:val="sr-Latn-ME"/>
                    </w:rPr>
                  </w:pPr>
                  <w:r w:rsidRPr="00D01E98">
                    <w:rPr>
                      <w:color w:val="auto"/>
                      <w:sz w:val="22"/>
                      <w:szCs w:val="22"/>
                      <w:lang w:val="sr-Latn-ME"/>
                    </w:rPr>
                    <w:t>1,2</w:t>
                  </w:r>
                </w:p>
              </w:tc>
            </w:tr>
            <w:tr w:rsidR="0020267D" w:rsidRPr="00D01E98" w14:paraId="64354B4A" w14:textId="77777777" w:rsidTr="000C0EC1">
              <w:trPr>
                <w:tblHeader/>
              </w:trPr>
              <w:tc>
                <w:tcPr>
                  <w:tcW w:w="2043" w:type="dxa"/>
                  <w:vMerge/>
                </w:tcPr>
                <w:p w14:paraId="5E7DFAE6" w14:textId="77777777" w:rsidR="0020267D" w:rsidRPr="00D01E98" w:rsidRDefault="0020267D">
                  <w:pPr>
                    <w:pStyle w:val="Tekst"/>
                    <w:rPr>
                      <w:color w:val="auto"/>
                      <w:sz w:val="22"/>
                      <w:szCs w:val="22"/>
                      <w:lang w:val="sr-Latn-ME"/>
                    </w:rPr>
                  </w:pPr>
                </w:p>
              </w:tc>
              <w:tc>
                <w:tcPr>
                  <w:tcW w:w="1462" w:type="dxa"/>
                  <w:vMerge/>
                </w:tcPr>
                <w:p w14:paraId="220F245F" w14:textId="77777777" w:rsidR="0020267D" w:rsidRPr="00D01E98" w:rsidRDefault="0020267D">
                  <w:pPr>
                    <w:pStyle w:val="Tekst"/>
                    <w:rPr>
                      <w:color w:val="auto"/>
                      <w:sz w:val="22"/>
                      <w:szCs w:val="22"/>
                      <w:lang w:val="sr-Latn-ME"/>
                    </w:rPr>
                  </w:pPr>
                </w:p>
              </w:tc>
              <w:tc>
                <w:tcPr>
                  <w:tcW w:w="2340" w:type="dxa"/>
                </w:tcPr>
                <w:p w14:paraId="39F309AF" w14:textId="77777777" w:rsidR="0020267D" w:rsidRPr="00D01E98" w:rsidRDefault="0020267D">
                  <w:pPr>
                    <w:pStyle w:val="Tekst"/>
                    <w:rPr>
                      <w:color w:val="auto"/>
                      <w:sz w:val="22"/>
                      <w:szCs w:val="22"/>
                      <w:lang w:val="sr-Latn-ME"/>
                    </w:rPr>
                  </w:pPr>
                  <w:r w:rsidRPr="00D01E98">
                    <w:rPr>
                      <w:color w:val="auto"/>
                      <w:sz w:val="22"/>
                      <w:szCs w:val="22"/>
                      <w:lang w:val="sr-Latn-ME"/>
                    </w:rPr>
                    <w:t>Arterijski embolijski i trombotični događaji</w:t>
                  </w:r>
                  <w:r w:rsidRPr="00D01E98">
                    <w:rPr>
                      <w:color w:val="auto"/>
                      <w:sz w:val="22"/>
                      <w:szCs w:val="22"/>
                      <w:vertAlign w:val="superscript"/>
                      <w:lang w:val="sr-Latn-ME"/>
                    </w:rPr>
                    <w:t>c,d</w:t>
                  </w:r>
                  <w:r w:rsidR="00D47E45" w:rsidRPr="00D01E98">
                    <w:rPr>
                      <w:szCs w:val="24"/>
                      <w:vertAlign w:val="superscript"/>
                      <w:lang w:val="sr-Latn-ME"/>
                    </w:rPr>
                    <w:t>,j</w:t>
                  </w:r>
                </w:p>
              </w:tc>
              <w:tc>
                <w:tcPr>
                  <w:tcW w:w="1350" w:type="dxa"/>
                </w:tcPr>
                <w:p w14:paraId="3BC748C1" w14:textId="66DF9ED8" w:rsidR="0020267D" w:rsidRPr="00D01E98" w:rsidRDefault="00D47E45">
                  <w:pPr>
                    <w:pStyle w:val="Tekst"/>
                    <w:rPr>
                      <w:color w:val="auto"/>
                      <w:sz w:val="22"/>
                      <w:szCs w:val="22"/>
                      <w:lang w:val="sr-Latn-ME"/>
                    </w:rPr>
                  </w:pPr>
                  <w:r w:rsidRPr="00D01E98">
                    <w:rPr>
                      <w:color w:val="auto"/>
                      <w:sz w:val="22"/>
                      <w:szCs w:val="22"/>
                      <w:lang w:val="sr-Latn-ME"/>
                    </w:rPr>
                    <w:t>2,8</w:t>
                  </w:r>
                </w:p>
              </w:tc>
              <w:tc>
                <w:tcPr>
                  <w:tcW w:w="1205" w:type="dxa"/>
                </w:tcPr>
                <w:p w14:paraId="673EE735" w14:textId="2BDDBB88" w:rsidR="0020267D" w:rsidRPr="00D01E98" w:rsidRDefault="003A6A22">
                  <w:pPr>
                    <w:pStyle w:val="Tekst"/>
                    <w:rPr>
                      <w:color w:val="auto"/>
                      <w:sz w:val="22"/>
                      <w:szCs w:val="22"/>
                      <w:lang w:val="sr-Latn-ME"/>
                    </w:rPr>
                  </w:pPr>
                  <w:r w:rsidRPr="00D01E98">
                    <w:rPr>
                      <w:color w:val="auto"/>
                      <w:sz w:val="22"/>
                      <w:szCs w:val="22"/>
                      <w:lang w:val="sr-Latn-ME"/>
                    </w:rPr>
                    <w:t>1,2</w:t>
                  </w:r>
                </w:p>
              </w:tc>
              <w:tc>
                <w:tcPr>
                  <w:tcW w:w="1207" w:type="dxa"/>
                </w:tcPr>
                <w:p w14:paraId="7338C6F3" w14:textId="74701BEE" w:rsidR="0020267D" w:rsidRPr="00D01E98" w:rsidRDefault="0020267D">
                  <w:pPr>
                    <w:pStyle w:val="Tekst"/>
                    <w:rPr>
                      <w:color w:val="auto"/>
                      <w:sz w:val="22"/>
                      <w:szCs w:val="22"/>
                      <w:lang w:val="sr-Latn-ME"/>
                    </w:rPr>
                  </w:pPr>
                  <w:r w:rsidRPr="00D01E98">
                    <w:rPr>
                      <w:color w:val="auto"/>
                      <w:sz w:val="22"/>
                      <w:szCs w:val="22"/>
                      <w:lang w:val="sr-Latn-ME"/>
                    </w:rPr>
                    <w:t>1,</w:t>
                  </w:r>
                  <w:r w:rsidR="003A6A22" w:rsidRPr="00D01E98">
                    <w:rPr>
                      <w:color w:val="auto"/>
                      <w:sz w:val="22"/>
                      <w:szCs w:val="22"/>
                      <w:lang w:val="sr-Latn-ME"/>
                    </w:rPr>
                    <w:t>3</w:t>
                  </w:r>
                </w:p>
              </w:tc>
            </w:tr>
            <w:tr w:rsidR="0020267D" w:rsidRPr="00D01E98" w14:paraId="1B7D5BEF" w14:textId="77777777" w:rsidTr="000C0EC1">
              <w:trPr>
                <w:tblHeader/>
              </w:trPr>
              <w:tc>
                <w:tcPr>
                  <w:tcW w:w="2043" w:type="dxa"/>
                  <w:vMerge/>
                </w:tcPr>
                <w:p w14:paraId="6B964F30" w14:textId="77777777" w:rsidR="0020267D" w:rsidRPr="00D01E98" w:rsidRDefault="0020267D">
                  <w:pPr>
                    <w:pStyle w:val="Tekst"/>
                    <w:rPr>
                      <w:color w:val="auto"/>
                      <w:sz w:val="22"/>
                      <w:szCs w:val="22"/>
                      <w:lang w:val="sr-Latn-ME"/>
                    </w:rPr>
                  </w:pPr>
                </w:p>
              </w:tc>
              <w:tc>
                <w:tcPr>
                  <w:tcW w:w="1462" w:type="dxa"/>
                </w:tcPr>
                <w:p w14:paraId="0068E791" w14:textId="195A4C07" w:rsidR="0020267D" w:rsidRPr="00D01E98" w:rsidRDefault="00ED073E">
                  <w:pPr>
                    <w:pStyle w:val="Tekst"/>
                    <w:rPr>
                      <w:color w:val="auto"/>
                      <w:sz w:val="22"/>
                      <w:szCs w:val="22"/>
                      <w:lang w:val="sr-Latn-ME"/>
                    </w:rPr>
                  </w:pPr>
                  <w:r w:rsidRPr="00D01E98">
                    <w:rPr>
                      <w:color w:val="auto"/>
                      <w:sz w:val="22"/>
                      <w:szCs w:val="22"/>
                      <w:lang w:val="sr-Latn-ME"/>
                    </w:rPr>
                    <w:t>Nepoznata</w:t>
                  </w:r>
                </w:p>
              </w:tc>
              <w:tc>
                <w:tcPr>
                  <w:tcW w:w="2340" w:type="dxa"/>
                </w:tcPr>
                <w:p w14:paraId="5388545B" w14:textId="5ACE1B45" w:rsidR="0020267D" w:rsidRPr="00D01E98" w:rsidRDefault="00ED073E">
                  <w:pPr>
                    <w:pStyle w:val="Tekst"/>
                    <w:rPr>
                      <w:color w:val="auto"/>
                      <w:sz w:val="22"/>
                      <w:szCs w:val="22"/>
                      <w:lang w:val="sr-Latn-ME"/>
                    </w:rPr>
                  </w:pPr>
                  <w:r w:rsidRPr="00D01E98">
                    <w:rPr>
                      <w:color w:val="auto"/>
                      <w:sz w:val="22"/>
                      <w:szCs w:val="22"/>
                      <w:lang w:val="sr-Latn-ME"/>
                    </w:rPr>
                    <w:t>Aneurizme i disekcije arterij</w:t>
                  </w:r>
                  <w:r w:rsidR="0063288D" w:rsidRPr="00D01E98">
                    <w:rPr>
                      <w:color w:val="auto"/>
                      <w:sz w:val="22"/>
                      <w:szCs w:val="22"/>
                      <w:lang w:val="sr-Latn-ME"/>
                    </w:rPr>
                    <w:t>a</w:t>
                  </w:r>
                </w:p>
              </w:tc>
              <w:tc>
                <w:tcPr>
                  <w:tcW w:w="1350" w:type="dxa"/>
                </w:tcPr>
                <w:p w14:paraId="3019071F" w14:textId="0D5F4FFA" w:rsidR="0020267D" w:rsidRPr="00D01E98" w:rsidRDefault="0020267D">
                  <w:pPr>
                    <w:pStyle w:val="Tekst"/>
                    <w:rPr>
                      <w:color w:val="auto"/>
                      <w:sz w:val="22"/>
                      <w:szCs w:val="22"/>
                      <w:lang w:val="sr-Latn-ME"/>
                    </w:rPr>
                  </w:pPr>
                </w:p>
              </w:tc>
              <w:tc>
                <w:tcPr>
                  <w:tcW w:w="1205" w:type="dxa"/>
                </w:tcPr>
                <w:p w14:paraId="4B32ECE1" w14:textId="1C8BDF8C" w:rsidR="0020267D" w:rsidRPr="00D01E98" w:rsidRDefault="0020267D">
                  <w:pPr>
                    <w:pStyle w:val="Tekst"/>
                    <w:rPr>
                      <w:color w:val="auto"/>
                      <w:sz w:val="22"/>
                      <w:szCs w:val="22"/>
                      <w:lang w:val="sr-Latn-ME"/>
                    </w:rPr>
                  </w:pPr>
                </w:p>
              </w:tc>
              <w:tc>
                <w:tcPr>
                  <w:tcW w:w="1207" w:type="dxa"/>
                </w:tcPr>
                <w:p w14:paraId="7BB64B8D" w14:textId="3D0BBA67" w:rsidR="0020267D" w:rsidRPr="00D01E98" w:rsidRDefault="0020267D">
                  <w:pPr>
                    <w:pStyle w:val="Tekst"/>
                    <w:rPr>
                      <w:color w:val="auto"/>
                      <w:sz w:val="22"/>
                      <w:szCs w:val="22"/>
                      <w:lang w:val="sr-Latn-ME"/>
                    </w:rPr>
                  </w:pPr>
                </w:p>
              </w:tc>
            </w:tr>
            <w:tr w:rsidR="0020267D" w:rsidRPr="00D01E98" w14:paraId="5AE5D1FC" w14:textId="77777777" w:rsidTr="000C0EC1">
              <w:trPr>
                <w:tblHeader/>
              </w:trPr>
              <w:tc>
                <w:tcPr>
                  <w:tcW w:w="2043" w:type="dxa"/>
                  <w:vMerge w:val="restart"/>
                </w:tcPr>
                <w:p w14:paraId="333C8F1B" w14:textId="77777777" w:rsidR="0020267D" w:rsidRPr="00D01E98" w:rsidRDefault="0020267D">
                  <w:pPr>
                    <w:pStyle w:val="TableText"/>
                    <w:jc w:val="both"/>
                    <w:rPr>
                      <w:rFonts w:cs="Times New Roman"/>
                      <w:sz w:val="22"/>
                      <w:szCs w:val="22"/>
                      <w:lang w:val="sr-Latn-ME"/>
                    </w:rPr>
                  </w:pPr>
                  <w:r w:rsidRPr="00D01E98">
                    <w:rPr>
                      <w:rFonts w:cs="Times New Roman"/>
                      <w:sz w:val="22"/>
                      <w:szCs w:val="22"/>
                      <w:lang w:val="sr-Latn-ME"/>
                    </w:rPr>
                    <w:t>Respiratorni, torakalni i medijastinalni poremećaji</w:t>
                  </w:r>
                </w:p>
              </w:tc>
              <w:tc>
                <w:tcPr>
                  <w:tcW w:w="1462" w:type="dxa"/>
                  <w:vMerge w:val="restart"/>
                </w:tcPr>
                <w:p w14:paraId="354AC9E3" w14:textId="77777777" w:rsidR="0020267D" w:rsidRPr="00D01E98" w:rsidRDefault="0020267D">
                  <w:pPr>
                    <w:pStyle w:val="Tekst"/>
                    <w:rPr>
                      <w:color w:val="auto"/>
                      <w:sz w:val="22"/>
                      <w:szCs w:val="22"/>
                      <w:lang w:val="sr-Latn-ME"/>
                    </w:rPr>
                  </w:pPr>
                  <w:r w:rsidRPr="00D01E98">
                    <w:rPr>
                      <w:color w:val="auto"/>
                      <w:sz w:val="22"/>
                      <w:szCs w:val="22"/>
                      <w:lang w:val="sr-Latn-ME"/>
                    </w:rPr>
                    <w:t>Veoma česta</w:t>
                  </w:r>
                </w:p>
              </w:tc>
              <w:tc>
                <w:tcPr>
                  <w:tcW w:w="2340" w:type="dxa"/>
                </w:tcPr>
                <w:p w14:paraId="112FE375" w14:textId="77777777" w:rsidR="0020267D" w:rsidRPr="00D01E98" w:rsidRDefault="0020267D">
                  <w:pPr>
                    <w:pStyle w:val="Tekst"/>
                    <w:rPr>
                      <w:color w:val="auto"/>
                      <w:sz w:val="22"/>
                      <w:szCs w:val="22"/>
                      <w:lang w:val="sr-Latn-ME"/>
                    </w:rPr>
                  </w:pPr>
                  <w:r w:rsidRPr="00D01E98">
                    <w:rPr>
                      <w:color w:val="auto"/>
                      <w:sz w:val="22"/>
                      <w:szCs w:val="22"/>
                      <w:lang w:val="sr-Latn-ME"/>
                    </w:rPr>
                    <w:t>Dispnea</w:t>
                  </w:r>
                  <w:r w:rsidRPr="00D01E98">
                    <w:rPr>
                      <w:color w:val="auto"/>
                      <w:sz w:val="22"/>
                      <w:szCs w:val="22"/>
                      <w:vertAlign w:val="superscript"/>
                      <w:lang w:val="sr-Latn-ME"/>
                    </w:rPr>
                    <w:t>d</w:t>
                  </w:r>
                  <w:r w:rsidRPr="00D01E98">
                    <w:rPr>
                      <w:color w:val="auto"/>
                      <w:sz w:val="22"/>
                      <w:szCs w:val="22"/>
                      <w:lang w:val="sr-Latn-ME"/>
                    </w:rPr>
                    <w:t xml:space="preserve"> </w:t>
                  </w:r>
                </w:p>
              </w:tc>
              <w:tc>
                <w:tcPr>
                  <w:tcW w:w="1350" w:type="dxa"/>
                </w:tcPr>
                <w:p w14:paraId="7535B8BF" w14:textId="05FAD245" w:rsidR="0020267D" w:rsidRPr="00D01E98" w:rsidRDefault="00D47E45">
                  <w:pPr>
                    <w:pStyle w:val="Tekst"/>
                    <w:rPr>
                      <w:color w:val="auto"/>
                      <w:sz w:val="22"/>
                      <w:szCs w:val="22"/>
                      <w:lang w:val="sr-Latn-ME"/>
                    </w:rPr>
                  </w:pPr>
                  <w:r w:rsidRPr="00D01E98">
                    <w:rPr>
                      <w:sz w:val="22"/>
                      <w:szCs w:val="22"/>
                      <w:lang w:val="sr-Latn-ME"/>
                    </w:rPr>
                    <w:t>17,1</w:t>
                  </w:r>
                </w:p>
              </w:tc>
              <w:tc>
                <w:tcPr>
                  <w:tcW w:w="1205" w:type="dxa"/>
                </w:tcPr>
                <w:p w14:paraId="28FD6EE6" w14:textId="0261542C" w:rsidR="0020267D" w:rsidRPr="00D01E98" w:rsidRDefault="003A6A22">
                  <w:pPr>
                    <w:pStyle w:val="Tekst"/>
                    <w:rPr>
                      <w:color w:val="auto"/>
                      <w:sz w:val="22"/>
                      <w:szCs w:val="22"/>
                      <w:lang w:val="sr-Latn-ME"/>
                    </w:rPr>
                  </w:pPr>
                  <w:r w:rsidRPr="00D01E98">
                    <w:rPr>
                      <w:sz w:val="22"/>
                      <w:szCs w:val="22"/>
                      <w:lang w:val="sr-Latn-ME"/>
                    </w:rPr>
                    <w:t>3,6</w:t>
                  </w:r>
                </w:p>
              </w:tc>
              <w:tc>
                <w:tcPr>
                  <w:tcW w:w="1207" w:type="dxa"/>
                </w:tcPr>
                <w:p w14:paraId="1D943C9B" w14:textId="77777777" w:rsidR="0020267D" w:rsidRPr="00D01E98" w:rsidRDefault="0020267D">
                  <w:pPr>
                    <w:pStyle w:val="Tekst"/>
                    <w:rPr>
                      <w:color w:val="auto"/>
                      <w:sz w:val="22"/>
                      <w:szCs w:val="22"/>
                      <w:lang w:val="sr-Latn-ME"/>
                    </w:rPr>
                  </w:pPr>
                  <w:r w:rsidRPr="00D01E98">
                    <w:rPr>
                      <w:color w:val="auto"/>
                      <w:sz w:val="22"/>
                      <w:szCs w:val="22"/>
                      <w:lang w:val="sr-Latn-ME"/>
                    </w:rPr>
                    <w:t>0</w:t>
                  </w:r>
                  <w:r w:rsidRPr="00D01E98">
                    <w:rPr>
                      <w:sz w:val="22"/>
                      <w:szCs w:val="22"/>
                      <w:lang w:val="sr-Latn-ME"/>
                    </w:rPr>
                    <w:t>,6</w:t>
                  </w:r>
                </w:p>
              </w:tc>
            </w:tr>
            <w:tr w:rsidR="0020267D" w:rsidRPr="00D01E98" w14:paraId="00B0F043" w14:textId="77777777" w:rsidTr="000C0EC1">
              <w:trPr>
                <w:tblHeader/>
              </w:trPr>
              <w:tc>
                <w:tcPr>
                  <w:tcW w:w="2043" w:type="dxa"/>
                  <w:vMerge/>
                </w:tcPr>
                <w:p w14:paraId="3DB59BEB" w14:textId="77777777" w:rsidR="0020267D" w:rsidRPr="00D01E98" w:rsidRDefault="0020267D">
                  <w:pPr>
                    <w:pStyle w:val="Tekst"/>
                    <w:rPr>
                      <w:color w:val="auto"/>
                      <w:sz w:val="22"/>
                      <w:szCs w:val="22"/>
                      <w:lang w:val="sr-Latn-ME"/>
                    </w:rPr>
                  </w:pPr>
                </w:p>
              </w:tc>
              <w:tc>
                <w:tcPr>
                  <w:tcW w:w="1462" w:type="dxa"/>
                  <w:vMerge/>
                </w:tcPr>
                <w:p w14:paraId="7B2B6B5F" w14:textId="77777777" w:rsidR="0020267D" w:rsidRPr="00D01E98" w:rsidRDefault="0020267D">
                  <w:pPr>
                    <w:pStyle w:val="Tekst"/>
                    <w:rPr>
                      <w:color w:val="auto"/>
                      <w:sz w:val="22"/>
                      <w:szCs w:val="22"/>
                      <w:lang w:val="sr-Latn-ME"/>
                    </w:rPr>
                  </w:pPr>
                </w:p>
              </w:tc>
              <w:tc>
                <w:tcPr>
                  <w:tcW w:w="2340" w:type="dxa"/>
                </w:tcPr>
                <w:p w14:paraId="4BC31605" w14:textId="77777777" w:rsidR="0020267D" w:rsidRPr="00D01E98" w:rsidRDefault="0020267D">
                  <w:pPr>
                    <w:pStyle w:val="Tekst"/>
                    <w:rPr>
                      <w:color w:val="auto"/>
                      <w:sz w:val="22"/>
                      <w:szCs w:val="22"/>
                      <w:lang w:val="sr-Latn-ME"/>
                    </w:rPr>
                  </w:pPr>
                  <w:r w:rsidRPr="00D01E98">
                    <w:rPr>
                      <w:color w:val="auto"/>
                      <w:sz w:val="22"/>
                      <w:szCs w:val="22"/>
                      <w:lang w:val="sr-Latn-ME"/>
                    </w:rPr>
                    <w:t>Kašalj</w:t>
                  </w:r>
                </w:p>
              </w:tc>
              <w:tc>
                <w:tcPr>
                  <w:tcW w:w="1350" w:type="dxa"/>
                </w:tcPr>
                <w:p w14:paraId="1630970F" w14:textId="32FF7B90" w:rsidR="0020267D" w:rsidRPr="00D01E98" w:rsidRDefault="00D47E45">
                  <w:pPr>
                    <w:pStyle w:val="Tekst"/>
                    <w:rPr>
                      <w:color w:val="auto"/>
                      <w:sz w:val="22"/>
                      <w:szCs w:val="22"/>
                      <w:lang w:val="sr-Latn-ME"/>
                    </w:rPr>
                  </w:pPr>
                  <w:r w:rsidRPr="00D01E98">
                    <w:rPr>
                      <w:sz w:val="22"/>
                      <w:szCs w:val="22"/>
                      <w:lang w:val="sr-Latn-ME"/>
                    </w:rPr>
                    <w:t>20,4</w:t>
                  </w:r>
                </w:p>
              </w:tc>
              <w:tc>
                <w:tcPr>
                  <w:tcW w:w="1205" w:type="dxa"/>
                </w:tcPr>
                <w:p w14:paraId="611FDABC" w14:textId="0E340062"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6</w:t>
                  </w:r>
                </w:p>
              </w:tc>
              <w:tc>
                <w:tcPr>
                  <w:tcW w:w="1207" w:type="dxa"/>
                </w:tcPr>
                <w:p w14:paraId="1E1758A8"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7A1C51CB" w14:textId="77777777" w:rsidTr="000C0EC1">
              <w:trPr>
                <w:tblHeader/>
              </w:trPr>
              <w:tc>
                <w:tcPr>
                  <w:tcW w:w="2043" w:type="dxa"/>
                  <w:vMerge/>
                </w:tcPr>
                <w:p w14:paraId="1EFDFBE8" w14:textId="77777777" w:rsidR="0020267D" w:rsidRPr="00D01E98" w:rsidRDefault="0020267D">
                  <w:pPr>
                    <w:pStyle w:val="Tekst"/>
                    <w:rPr>
                      <w:color w:val="auto"/>
                      <w:sz w:val="22"/>
                      <w:szCs w:val="22"/>
                      <w:lang w:val="sr-Latn-ME"/>
                    </w:rPr>
                  </w:pPr>
                </w:p>
              </w:tc>
              <w:tc>
                <w:tcPr>
                  <w:tcW w:w="1462" w:type="dxa"/>
                  <w:vMerge/>
                </w:tcPr>
                <w:p w14:paraId="10B5A44A" w14:textId="77777777" w:rsidR="0020267D" w:rsidRPr="00D01E98" w:rsidRDefault="0020267D">
                  <w:pPr>
                    <w:pStyle w:val="Tekst"/>
                    <w:rPr>
                      <w:color w:val="auto"/>
                      <w:sz w:val="22"/>
                      <w:szCs w:val="22"/>
                      <w:lang w:val="sr-Latn-ME"/>
                    </w:rPr>
                  </w:pPr>
                </w:p>
              </w:tc>
              <w:tc>
                <w:tcPr>
                  <w:tcW w:w="2340" w:type="dxa"/>
                </w:tcPr>
                <w:p w14:paraId="236C61EB" w14:textId="77777777" w:rsidR="0020267D" w:rsidRPr="00D01E98" w:rsidRDefault="0020267D">
                  <w:pPr>
                    <w:pStyle w:val="Tekst"/>
                    <w:rPr>
                      <w:color w:val="auto"/>
                      <w:sz w:val="22"/>
                      <w:szCs w:val="22"/>
                      <w:lang w:val="sr-Latn-ME"/>
                    </w:rPr>
                  </w:pPr>
                  <w:r w:rsidRPr="00D01E98">
                    <w:rPr>
                      <w:color w:val="auto"/>
                      <w:sz w:val="22"/>
                      <w:szCs w:val="22"/>
                      <w:lang w:val="sr-Latn-ME"/>
                    </w:rPr>
                    <w:t>Disfonija</w:t>
                  </w:r>
                </w:p>
              </w:tc>
              <w:tc>
                <w:tcPr>
                  <w:tcW w:w="1350" w:type="dxa"/>
                </w:tcPr>
                <w:p w14:paraId="0FF54AF4" w14:textId="7BFF647F" w:rsidR="0020267D" w:rsidRPr="00D01E98" w:rsidRDefault="00D47E45">
                  <w:pPr>
                    <w:pStyle w:val="Tekst"/>
                    <w:rPr>
                      <w:color w:val="auto"/>
                      <w:sz w:val="22"/>
                      <w:szCs w:val="22"/>
                      <w:lang w:val="sr-Latn-ME"/>
                    </w:rPr>
                  </w:pPr>
                  <w:r w:rsidRPr="00D01E98">
                    <w:rPr>
                      <w:sz w:val="22"/>
                      <w:szCs w:val="22"/>
                      <w:lang w:val="sr-Latn-ME"/>
                    </w:rPr>
                    <w:t>32,7</w:t>
                  </w:r>
                </w:p>
              </w:tc>
              <w:tc>
                <w:tcPr>
                  <w:tcW w:w="1205" w:type="dxa"/>
                </w:tcPr>
                <w:p w14:paraId="504934EA" w14:textId="77777777" w:rsidR="0020267D" w:rsidRPr="00D01E98" w:rsidRDefault="0020267D">
                  <w:pPr>
                    <w:pStyle w:val="Tekst"/>
                    <w:rPr>
                      <w:color w:val="auto"/>
                      <w:sz w:val="22"/>
                      <w:szCs w:val="22"/>
                      <w:lang w:val="sr-Latn-ME"/>
                    </w:rPr>
                  </w:pPr>
                  <w:r w:rsidRPr="00D01E98">
                    <w:rPr>
                      <w:color w:val="auto"/>
                      <w:sz w:val="22"/>
                      <w:szCs w:val="22"/>
                      <w:lang w:val="sr-Latn-ME"/>
                    </w:rPr>
                    <w:t>0</w:t>
                  </w:r>
                </w:p>
              </w:tc>
              <w:tc>
                <w:tcPr>
                  <w:tcW w:w="1207" w:type="dxa"/>
                </w:tcPr>
                <w:p w14:paraId="237FD508" w14:textId="77777777"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r>
            <w:tr w:rsidR="0020267D" w:rsidRPr="00D01E98" w14:paraId="05326DAB" w14:textId="77777777" w:rsidTr="000C0EC1">
              <w:trPr>
                <w:trHeight w:val="215"/>
                <w:tblHeader/>
              </w:trPr>
              <w:tc>
                <w:tcPr>
                  <w:tcW w:w="2043" w:type="dxa"/>
                  <w:vMerge/>
                </w:tcPr>
                <w:p w14:paraId="2B7ADA4C" w14:textId="77777777" w:rsidR="0020267D" w:rsidRPr="00D01E98" w:rsidRDefault="0020267D">
                  <w:pPr>
                    <w:pStyle w:val="Tekst"/>
                    <w:rPr>
                      <w:color w:val="auto"/>
                      <w:sz w:val="22"/>
                      <w:szCs w:val="22"/>
                      <w:lang w:val="sr-Latn-ME"/>
                    </w:rPr>
                  </w:pPr>
                </w:p>
              </w:tc>
              <w:tc>
                <w:tcPr>
                  <w:tcW w:w="1462" w:type="dxa"/>
                </w:tcPr>
                <w:p w14:paraId="231571B3" w14:textId="77777777" w:rsidR="0020267D" w:rsidRPr="00D01E98" w:rsidRDefault="0020267D">
                  <w:pPr>
                    <w:pStyle w:val="Tekst"/>
                    <w:rPr>
                      <w:color w:val="auto"/>
                      <w:sz w:val="22"/>
                      <w:szCs w:val="22"/>
                      <w:lang w:val="sr-Latn-ME"/>
                    </w:rPr>
                  </w:pPr>
                  <w:r w:rsidRPr="00D01E98">
                    <w:rPr>
                      <w:color w:val="auto"/>
                      <w:sz w:val="22"/>
                      <w:szCs w:val="22"/>
                      <w:lang w:val="sr-Latn-ME"/>
                    </w:rPr>
                    <w:t>Česta</w:t>
                  </w:r>
                </w:p>
              </w:tc>
              <w:tc>
                <w:tcPr>
                  <w:tcW w:w="2340" w:type="dxa"/>
                </w:tcPr>
                <w:p w14:paraId="08B79C93" w14:textId="77777777" w:rsidR="0020267D" w:rsidRPr="00D01E98" w:rsidRDefault="0020267D">
                  <w:pPr>
                    <w:pStyle w:val="Tekst"/>
                    <w:rPr>
                      <w:color w:val="auto"/>
                      <w:sz w:val="22"/>
                      <w:szCs w:val="22"/>
                      <w:lang w:val="sr-Latn-ME"/>
                    </w:rPr>
                  </w:pPr>
                  <w:r w:rsidRPr="00D01E98">
                    <w:rPr>
                      <w:color w:val="auto"/>
                      <w:sz w:val="22"/>
                      <w:szCs w:val="22"/>
                      <w:lang w:val="sr-Latn-ME"/>
                    </w:rPr>
                    <w:t>Orofaringealni bol</w:t>
                  </w:r>
                </w:p>
              </w:tc>
              <w:tc>
                <w:tcPr>
                  <w:tcW w:w="1350" w:type="dxa"/>
                </w:tcPr>
                <w:p w14:paraId="06FE5DE4" w14:textId="0FBF657C" w:rsidR="0020267D" w:rsidRPr="00D01E98" w:rsidRDefault="00D47E45">
                  <w:pPr>
                    <w:pStyle w:val="Tekst"/>
                    <w:rPr>
                      <w:color w:val="auto"/>
                      <w:sz w:val="22"/>
                      <w:szCs w:val="22"/>
                      <w:lang w:val="sr-Latn-ME"/>
                    </w:rPr>
                  </w:pPr>
                  <w:r w:rsidRPr="00D01E98">
                    <w:rPr>
                      <w:color w:val="auto"/>
                      <w:sz w:val="22"/>
                      <w:szCs w:val="22"/>
                      <w:lang w:val="sr-Latn-ME"/>
                    </w:rPr>
                    <w:t>7</w:t>
                  </w:r>
                  <w:r w:rsidR="0020267D" w:rsidRPr="00D01E98">
                    <w:rPr>
                      <w:color w:val="auto"/>
                      <w:sz w:val="22"/>
                      <w:szCs w:val="22"/>
                      <w:lang w:val="sr-Latn-ME"/>
                    </w:rPr>
                    <w:t>,4</w:t>
                  </w:r>
                </w:p>
              </w:tc>
              <w:tc>
                <w:tcPr>
                  <w:tcW w:w="1205" w:type="dxa"/>
                </w:tcPr>
                <w:p w14:paraId="6764A6ED" w14:textId="77777777" w:rsidR="0020267D" w:rsidRPr="00D01E98" w:rsidRDefault="0020267D">
                  <w:pPr>
                    <w:pStyle w:val="Tekst"/>
                    <w:rPr>
                      <w:color w:val="auto"/>
                      <w:sz w:val="22"/>
                      <w:szCs w:val="22"/>
                      <w:lang w:val="sr-Latn-ME"/>
                    </w:rPr>
                  </w:pPr>
                  <w:r w:rsidRPr="00D01E98">
                    <w:rPr>
                      <w:color w:val="auto"/>
                      <w:sz w:val="22"/>
                      <w:szCs w:val="22"/>
                      <w:lang w:val="sr-Latn-ME"/>
                    </w:rPr>
                    <w:t>0</w:t>
                  </w:r>
                </w:p>
              </w:tc>
              <w:tc>
                <w:tcPr>
                  <w:tcW w:w="1207" w:type="dxa"/>
                </w:tcPr>
                <w:p w14:paraId="1B64CDA8"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506B061F" w14:textId="77777777" w:rsidTr="000C0EC1">
              <w:trPr>
                <w:tblHeader/>
              </w:trPr>
              <w:tc>
                <w:tcPr>
                  <w:tcW w:w="2043" w:type="dxa"/>
                  <w:vMerge w:val="restart"/>
                </w:tcPr>
                <w:p w14:paraId="7AA5DF1B" w14:textId="77777777" w:rsidR="0020267D" w:rsidRPr="00D01E98" w:rsidRDefault="0020267D">
                  <w:pPr>
                    <w:pStyle w:val="TableText"/>
                    <w:jc w:val="both"/>
                    <w:rPr>
                      <w:rFonts w:cs="Times New Roman"/>
                      <w:sz w:val="22"/>
                      <w:szCs w:val="22"/>
                      <w:lang w:val="sr-Latn-ME"/>
                    </w:rPr>
                  </w:pPr>
                  <w:r w:rsidRPr="00D01E98">
                    <w:rPr>
                      <w:rFonts w:cs="Times New Roman"/>
                      <w:sz w:val="22"/>
                      <w:szCs w:val="22"/>
                      <w:lang w:val="sr-Latn-ME"/>
                    </w:rPr>
                    <w:t>Gastrointestinalni poremećaji</w:t>
                  </w:r>
                </w:p>
              </w:tc>
              <w:tc>
                <w:tcPr>
                  <w:tcW w:w="1462" w:type="dxa"/>
                  <w:vMerge w:val="restart"/>
                </w:tcPr>
                <w:p w14:paraId="486D1288" w14:textId="77777777" w:rsidR="0020267D" w:rsidRPr="00D01E98" w:rsidRDefault="0020267D">
                  <w:pPr>
                    <w:pStyle w:val="Tekst"/>
                    <w:rPr>
                      <w:color w:val="auto"/>
                      <w:sz w:val="22"/>
                      <w:szCs w:val="22"/>
                      <w:lang w:val="sr-Latn-ME"/>
                    </w:rPr>
                  </w:pPr>
                  <w:r w:rsidRPr="00D01E98">
                    <w:rPr>
                      <w:color w:val="auto"/>
                      <w:sz w:val="22"/>
                      <w:szCs w:val="22"/>
                      <w:lang w:val="sr-Latn-ME"/>
                    </w:rPr>
                    <w:t>Veoma česta</w:t>
                  </w:r>
                </w:p>
              </w:tc>
              <w:tc>
                <w:tcPr>
                  <w:tcW w:w="2340" w:type="dxa"/>
                </w:tcPr>
                <w:p w14:paraId="1B6CD1D6" w14:textId="77777777" w:rsidR="0020267D" w:rsidRPr="00D01E98" w:rsidRDefault="0020267D">
                  <w:pPr>
                    <w:pStyle w:val="Tekst"/>
                    <w:rPr>
                      <w:color w:val="auto"/>
                      <w:sz w:val="22"/>
                      <w:szCs w:val="22"/>
                      <w:lang w:val="sr-Latn-ME"/>
                    </w:rPr>
                  </w:pPr>
                  <w:r w:rsidRPr="00D01E98">
                    <w:rPr>
                      <w:color w:val="auto"/>
                      <w:sz w:val="22"/>
                      <w:szCs w:val="22"/>
                      <w:lang w:val="sr-Latn-ME"/>
                    </w:rPr>
                    <w:t>Dijareja</w:t>
                  </w:r>
                </w:p>
              </w:tc>
              <w:tc>
                <w:tcPr>
                  <w:tcW w:w="1350" w:type="dxa"/>
                </w:tcPr>
                <w:p w14:paraId="38BABDD5" w14:textId="3CA4F793" w:rsidR="0020267D" w:rsidRPr="00D01E98" w:rsidRDefault="00D47E45">
                  <w:pPr>
                    <w:pStyle w:val="Tekst"/>
                    <w:rPr>
                      <w:color w:val="auto"/>
                      <w:sz w:val="22"/>
                      <w:szCs w:val="22"/>
                      <w:lang w:val="sr-Latn-ME"/>
                    </w:rPr>
                  </w:pPr>
                  <w:r w:rsidRPr="00D01E98">
                    <w:rPr>
                      <w:color w:val="auto"/>
                      <w:sz w:val="22"/>
                      <w:szCs w:val="22"/>
                      <w:lang w:val="sr-Latn-ME"/>
                    </w:rPr>
                    <w:t>55,4</w:t>
                  </w:r>
                </w:p>
              </w:tc>
              <w:tc>
                <w:tcPr>
                  <w:tcW w:w="1205" w:type="dxa"/>
                </w:tcPr>
                <w:p w14:paraId="6F116BF8" w14:textId="1FBA9EB7" w:rsidR="0020267D" w:rsidRPr="00D01E98" w:rsidRDefault="003A6A22">
                  <w:pPr>
                    <w:pStyle w:val="Tekst"/>
                    <w:rPr>
                      <w:color w:val="auto"/>
                      <w:sz w:val="22"/>
                      <w:szCs w:val="22"/>
                      <w:lang w:val="sr-Latn-ME"/>
                    </w:rPr>
                  </w:pPr>
                  <w:r w:rsidRPr="00D01E98">
                    <w:rPr>
                      <w:color w:val="auto"/>
                      <w:sz w:val="22"/>
                      <w:szCs w:val="22"/>
                      <w:lang w:val="sr-Latn-ME"/>
                    </w:rPr>
                    <w:t>10,1</w:t>
                  </w:r>
                </w:p>
              </w:tc>
              <w:tc>
                <w:tcPr>
                  <w:tcW w:w="1207" w:type="dxa"/>
                </w:tcPr>
                <w:p w14:paraId="0A67EFE6" w14:textId="5567A3ED"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r>
            <w:tr w:rsidR="0020267D" w:rsidRPr="00D01E98" w14:paraId="6DB86FC1" w14:textId="77777777" w:rsidTr="000C0EC1">
              <w:trPr>
                <w:tblHeader/>
              </w:trPr>
              <w:tc>
                <w:tcPr>
                  <w:tcW w:w="2043" w:type="dxa"/>
                  <w:vMerge/>
                </w:tcPr>
                <w:p w14:paraId="34D6BC9D" w14:textId="77777777" w:rsidR="0020267D" w:rsidRPr="00D01E98" w:rsidRDefault="0020267D">
                  <w:pPr>
                    <w:pStyle w:val="Tekst"/>
                    <w:rPr>
                      <w:color w:val="auto"/>
                      <w:sz w:val="22"/>
                      <w:szCs w:val="22"/>
                      <w:lang w:val="sr-Latn-ME"/>
                    </w:rPr>
                  </w:pPr>
                </w:p>
              </w:tc>
              <w:tc>
                <w:tcPr>
                  <w:tcW w:w="1462" w:type="dxa"/>
                  <w:vMerge/>
                </w:tcPr>
                <w:p w14:paraId="2D0E9559" w14:textId="77777777" w:rsidR="0020267D" w:rsidRPr="00D01E98" w:rsidRDefault="0020267D">
                  <w:pPr>
                    <w:pStyle w:val="Tekst"/>
                    <w:rPr>
                      <w:color w:val="auto"/>
                      <w:sz w:val="22"/>
                      <w:szCs w:val="22"/>
                      <w:lang w:val="sr-Latn-ME"/>
                    </w:rPr>
                  </w:pPr>
                </w:p>
              </w:tc>
              <w:tc>
                <w:tcPr>
                  <w:tcW w:w="2340" w:type="dxa"/>
                </w:tcPr>
                <w:p w14:paraId="238447A8" w14:textId="77777777" w:rsidR="0020267D" w:rsidRPr="00D01E98" w:rsidRDefault="0020267D">
                  <w:pPr>
                    <w:pStyle w:val="Tekst"/>
                    <w:rPr>
                      <w:color w:val="auto"/>
                      <w:sz w:val="22"/>
                      <w:szCs w:val="22"/>
                      <w:lang w:val="sr-Latn-ME"/>
                    </w:rPr>
                  </w:pPr>
                  <w:r w:rsidRPr="00D01E98">
                    <w:rPr>
                      <w:color w:val="auto"/>
                      <w:sz w:val="22"/>
                      <w:szCs w:val="22"/>
                      <w:lang w:val="sr-Latn-ME"/>
                    </w:rPr>
                    <w:t>Povraćanje</w:t>
                  </w:r>
                </w:p>
              </w:tc>
              <w:tc>
                <w:tcPr>
                  <w:tcW w:w="1350" w:type="dxa"/>
                </w:tcPr>
                <w:p w14:paraId="24BDC715" w14:textId="0408A5F3" w:rsidR="0020267D" w:rsidRPr="00D01E98" w:rsidRDefault="00D47E45">
                  <w:pPr>
                    <w:pStyle w:val="Tekst"/>
                    <w:rPr>
                      <w:color w:val="auto"/>
                      <w:sz w:val="22"/>
                      <w:szCs w:val="22"/>
                      <w:lang w:val="sr-Latn-ME"/>
                    </w:rPr>
                  </w:pPr>
                  <w:r w:rsidRPr="00D01E98">
                    <w:rPr>
                      <w:color w:val="auto"/>
                      <w:sz w:val="22"/>
                      <w:szCs w:val="22"/>
                      <w:lang w:val="sr-Latn-ME"/>
                    </w:rPr>
                    <w:t>23,7</w:t>
                  </w:r>
                </w:p>
              </w:tc>
              <w:tc>
                <w:tcPr>
                  <w:tcW w:w="1205" w:type="dxa"/>
                </w:tcPr>
                <w:p w14:paraId="1F8B3C4F" w14:textId="5AD30F80" w:rsidR="0020267D" w:rsidRPr="00D01E98" w:rsidRDefault="003A6A22">
                  <w:pPr>
                    <w:pStyle w:val="Tekst"/>
                    <w:rPr>
                      <w:color w:val="auto"/>
                      <w:sz w:val="22"/>
                      <w:szCs w:val="22"/>
                      <w:lang w:val="sr-Latn-ME"/>
                    </w:rPr>
                  </w:pPr>
                  <w:r w:rsidRPr="00D01E98">
                    <w:rPr>
                      <w:color w:val="auto"/>
                      <w:sz w:val="22"/>
                      <w:szCs w:val="22"/>
                      <w:lang w:val="sr-Latn-ME"/>
                    </w:rPr>
                    <w:t>2,7</w:t>
                  </w:r>
                </w:p>
              </w:tc>
              <w:tc>
                <w:tcPr>
                  <w:tcW w:w="1207" w:type="dxa"/>
                </w:tcPr>
                <w:p w14:paraId="3B9567B5" w14:textId="6E06927D"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r>
            <w:tr w:rsidR="0020267D" w:rsidRPr="00D01E98" w14:paraId="4BE7A837" w14:textId="77777777" w:rsidTr="000C0EC1">
              <w:trPr>
                <w:trHeight w:val="188"/>
                <w:tblHeader/>
              </w:trPr>
              <w:tc>
                <w:tcPr>
                  <w:tcW w:w="2043" w:type="dxa"/>
                  <w:vMerge/>
                </w:tcPr>
                <w:p w14:paraId="57A4399F" w14:textId="77777777" w:rsidR="0020267D" w:rsidRPr="00D01E98" w:rsidRDefault="0020267D">
                  <w:pPr>
                    <w:pStyle w:val="Tekst"/>
                    <w:rPr>
                      <w:color w:val="auto"/>
                      <w:sz w:val="22"/>
                      <w:szCs w:val="22"/>
                      <w:lang w:val="sr-Latn-ME"/>
                    </w:rPr>
                  </w:pPr>
                </w:p>
              </w:tc>
              <w:tc>
                <w:tcPr>
                  <w:tcW w:w="1462" w:type="dxa"/>
                  <w:vMerge/>
                </w:tcPr>
                <w:p w14:paraId="52436200" w14:textId="77777777" w:rsidR="0020267D" w:rsidRPr="00D01E98" w:rsidRDefault="0020267D">
                  <w:pPr>
                    <w:pStyle w:val="Tekst"/>
                    <w:rPr>
                      <w:color w:val="auto"/>
                      <w:sz w:val="22"/>
                      <w:szCs w:val="22"/>
                      <w:lang w:val="sr-Latn-ME"/>
                    </w:rPr>
                  </w:pPr>
                </w:p>
              </w:tc>
              <w:tc>
                <w:tcPr>
                  <w:tcW w:w="2340" w:type="dxa"/>
                </w:tcPr>
                <w:p w14:paraId="7E1380A6" w14:textId="77777777" w:rsidR="0020267D" w:rsidRPr="00D01E98" w:rsidRDefault="0020267D">
                  <w:pPr>
                    <w:pStyle w:val="Tekst"/>
                    <w:rPr>
                      <w:color w:val="auto"/>
                      <w:sz w:val="22"/>
                      <w:szCs w:val="22"/>
                      <w:lang w:val="sr-Latn-ME"/>
                    </w:rPr>
                  </w:pPr>
                  <w:r w:rsidRPr="00D01E98">
                    <w:rPr>
                      <w:color w:val="auto"/>
                      <w:sz w:val="22"/>
                      <w:szCs w:val="22"/>
                      <w:lang w:val="sr-Latn-ME"/>
                    </w:rPr>
                    <w:t>Mučnina</w:t>
                  </w:r>
                </w:p>
              </w:tc>
              <w:tc>
                <w:tcPr>
                  <w:tcW w:w="1350" w:type="dxa"/>
                </w:tcPr>
                <w:p w14:paraId="4D3B5AAA" w14:textId="0D2EC252" w:rsidR="0020267D" w:rsidRPr="00D01E98" w:rsidRDefault="00D47E45">
                  <w:pPr>
                    <w:pStyle w:val="Tekst"/>
                    <w:rPr>
                      <w:color w:val="auto"/>
                      <w:sz w:val="22"/>
                      <w:szCs w:val="22"/>
                      <w:lang w:val="sr-Latn-ME"/>
                    </w:rPr>
                  </w:pPr>
                  <w:r w:rsidRPr="00D01E98">
                    <w:rPr>
                      <w:color w:val="auto"/>
                      <w:sz w:val="22"/>
                      <w:szCs w:val="22"/>
                      <w:lang w:val="sr-Latn-ME"/>
                    </w:rPr>
                    <w:t>33,0</w:t>
                  </w:r>
                </w:p>
              </w:tc>
              <w:tc>
                <w:tcPr>
                  <w:tcW w:w="1205" w:type="dxa"/>
                </w:tcPr>
                <w:p w14:paraId="7911F70F" w14:textId="55E16F79" w:rsidR="0020267D" w:rsidRPr="00D01E98" w:rsidRDefault="003A6A22">
                  <w:pPr>
                    <w:pStyle w:val="Tekst"/>
                    <w:rPr>
                      <w:color w:val="auto"/>
                      <w:sz w:val="22"/>
                      <w:szCs w:val="22"/>
                      <w:lang w:val="sr-Latn-ME"/>
                    </w:rPr>
                  </w:pPr>
                  <w:r w:rsidRPr="00D01E98">
                    <w:rPr>
                      <w:color w:val="auto"/>
                      <w:sz w:val="22"/>
                      <w:szCs w:val="22"/>
                      <w:lang w:val="sr-Latn-ME"/>
                    </w:rPr>
                    <w:t>2,2</w:t>
                  </w:r>
                </w:p>
              </w:tc>
              <w:tc>
                <w:tcPr>
                  <w:tcW w:w="1207" w:type="dxa"/>
                </w:tcPr>
                <w:p w14:paraId="413FE958" w14:textId="447E4AD3"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r>
            <w:tr w:rsidR="0020267D" w:rsidRPr="00D01E98" w14:paraId="42465E0B" w14:textId="77777777" w:rsidTr="000C0EC1">
              <w:trPr>
                <w:trHeight w:val="188"/>
                <w:tblHeader/>
              </w:trPr>
              <w:tc>
                <w:tcPr>
                  <w:tcW w:w="2043" w:type="dxa"/>
                  <w:vMerge/>
                </w:tcPr>
                <w:p w14:paraId="112D1841" w14:textId="77777777" w:rsidR="0020267D" w:rsidRPr="00D01E98" w:rsidRDefault="0020267D">
                  <w:pPr>
                    <w:pStyle w:val="Tekst"/>
                    <w:rPr>
                      <w:color w:val="auto"/>
                      <w:sz w:val="22"/>
                      <w:szCs w:val="22"/>
                      <w:lang w:val="sr-Latn-ME"/>
                    </w:rPr>
                  </w:pPr>
                </w:p>
              </w:tc>
              <w:tc>
                <w:tcPr>
                  <w:tcW w:w="1462" w:type="dxa"/>
                  <w:vMerge/>
                </w:tcPr>
                <w:p w14:paraId="0A083A07" w14:textId="77777777" w:rsidR="0020267D" w:rsidRPr="00D01E98" w:rsidRDefault="0020267D">
                  <w:pPr>
                    <w:pStyle w:val="Tekst"/>
                    <w:rPr>
                      <w:color w:val="auto"/>
                      <w:sz w:val="22"/>
                      <w:szCs w:val="22"/>
                      <w:lang w:val="sr-Latn-ME"/>
                    </w:rPr>
                  </w:pPr>
                </w:p>
              </w:tc>
              <w:tc>
                <w:tcPr>
                  <w:tcW w:w="2340" w:type="dxa"/>
                </w:tcPr>
                <w:p w14:paraId="78A6CBCC" w14:textId="77777777" w:rsidR="0020267D" w:rsidRPr="00D01E98" w:rsidRDefault="0020267D">
                  <w:pPr>
                    <w:pStyle w:val="Tekst"/>
                    <w:rPr>
                      <w:color w:val="auto"/>
                      <w:sz w:val="22"/>
                      <w:szCs w:val="22"/>
                      <w:lang w:val="sr-Latn-ME"/>
                    </w:rPr>
                  </w:pPr>
                  <w:r w:rsidRPr="00D01E98">
                    <w:rPr>
                      <w:color w:val="auto"/>
                      <w:sz w:val="22"/>
                      <w:szCs w:val="22"/>
                      <w:lang w:val="sr-Latn-ME"/>
                    </w:rPr>
                    <w:t>Abdominalni bol</w:t>
                  </w:r>
                </w:p>
              </w:tc>
              <w:tc>
                <w:tcPr>
                  <w:tcW w:w="1350" w:type="dxa"/>
                </w:tcPr>
                <w:p w14:paraId="31E54639" w14:textId="3C0960A3" w:rsidR="0020267D" w:rsidRPr="00D01E98" w:rsidDel="00110860" w:rsidRDefault="00D47E45">
                  <w:pPr>
                    <w:pStyle w:val="Tekst"/>
                    <w:rPr>
                      <w:color w:val="auto"/>
                      <w:sz w:val="22"/>
                      <w:szCs w:val="22"/>
                      <w:lang w:val="sr-Latn-ME"/>
                    </w:rPr>
                  </w:pPr>
                  <w:r w:rsidRPr="00D01E98">
                    <w:rPr>
                      <w:color w:val="auto"/>
                      <w:sz w:val="22"/>
                      <w:szCs w:val="22"/>
                      <w:lang w:val="sr-Latn-ME"/>
                    </w:rPr>
                    <w:t>14,7</w:t>
                  </w:r>
                </w:p>
              </w:tc>
              <w:tc>
                <w:tcPr>
                  <w:tcW w:w="1205" w:type="dxa"/>
                </w:tcPr>
                <w:p w14:paraId="43C3CEF3" w14:textId="4ECD1AD7" w:rsidR="0020267D" w:rsidRPr="00D01E98" w:rsidDel="00110860" w:rsidRDefault="003A6A22">
                  <w:pPr>
                    <w:pStyle w:val="Tekst"/>
                    <w:rPr>
                      <w:color w:val="auto"/>
                      <w:sz w:val="22"/>
                      <w:szCs w:val="22"/>
                      <w:lang w:val="sr-Latn-ME"/>
                    </w:rPr>
                  </w:pPr>
                  <w:r w:rsidRPr="00D01E98">
                    <w:rPr>
                      <w:color w:val="auto"/>
                      <w:sz w:val="22"/>
                      <w:szCs w:val="22"/>
                      <w:lang w:val="sr-Latn-ME"/>
                    </w:rPr>
                    <w:t>2,5</w:t>
                  </w:r>
                </w:p>
              </w:tc>
              <w:tc>
                <w:tcPr>
                  <w:tcW w:w="1207" w:type="dxa"/>
                </w:tcPr>
                <w:p w14:paraId="49E71CBD" w14:textId="77777777" w:rsidR="0020267D" w:rsidRPr="00D01E98" w:rsidRDefault="0020267D">
                  <w:pPr>
                    <w:pStyle w:val="Tekst"/>
                    <w:rPr>
                      <w:color w:val="auto"/>
                      <w:sz w:val="22"/>
                      <w:szCs w:val="22"/>
                      <w:lang w:val="sr-Latn-ME"/>
                    </w:rPr>
                  </w:pPr>
                  <w:r w:rsidRPr="00D01E98">
                    <w:rPr>
                      <w:color w:val="auto"/>
                      <w:sz w:val="22"/>
                      <w:szCs w:val="22"/>
                      <w:lang w:val="sr-Latn-ME"/>
                    </w:rPr>
                    <w:t>0,3</w:t>
                  </w:r>
                </w:p>
              </w:tc>
            </w:tr>
            <w:tr w:rsidR="0020267D" w:rsidRPr="00D01E98" w14:paraId="5FD3561B" w14:textId="77777777" w:rsidTr="000C0EC1">
              <w:trPr>
                <w:tblHeader/>
              </w:trPr>
              <w:tc>
                <w:tcPr>
                  <w:tcW w:w="2043" w:type="dxa"/>
                  <w:vMerge/>
                </w:tcPr>
                <w:p w14:paraId="2092AE9B" w14:textId="77777777" w:rsidR="0020267D" w:rsidRPr="00D01E98" w:rsidRDefault="0020267D">
                  <w:pPr>
                    <w:pStyle w:val="Tekst"/>
                    <w:rPr>
                      <w:color w:val="auto"/>
                      <w:sz w:val="22"/>
                      <w:szCs w:val="22"/>
                      <w:lang w:val="sr-Latn-ME"/>
                    </w:rPr>
                  </w:pPr>
                </w:p>
              </w:tc>
              <w:tc>
                <w:tcPr>
                  <w:tcW w:w="1462" w:type="dxa"/>
                  <w:vMerge/>
                </w:tcPr>
                <w:p w14:paraId="36412549" w14:textId="77777777" w:rsidR="0020267D" w:rsidRPr="00D01E98" w:rsidRDefault="0020267D">
                  <w:pPr>
                    <w:pStyle w:val="Tekst"/>
                    <w:rPr>
                      <w:color w:val="auto"/>
                      <w:sz w:val="22"/>
                      <w:szCs w:val="22"/>
                      <w:lang w:val="sr-Latn-ME"/>
                    </w:rPr>
                  </w:pPr>
                </w:p>
              </w:tc>
              <w:tc>
                <w:tcPr>
                  <w:tcW w:w="2340" w:type="dxa"/>
                </w:tcPr>
                <w:p w14:paraId="7C40251A" w14:textId="77777777" w:rsidR="0020267D" w:rsidRPr="00D01E98" w:rsidRDefault="0020267D">
                  <w:pPr>
                    <w:pStyle w:val="Tekst"/>
                    <w:rPr>
                      <w:color w:val="auto"/>
                      <w:sz w:val="22"/>
                      <w:szCs w:val="22"/>
                      <w:lang w:val="sr-Latn-ME"/>
                    </w:rPr>
                  </w:pPr>
                  <w:r w:rsidRPr="00D01E98">
                    <w:rPr>
                      <w:color w:val="auto"/>
                      <w:sz w:val="22"/>
                      <w:szCs w:val="22"/>
                      <w:lang w:val="sr-Latn-ME"/>
                    </w:rPr>
                    <w:t>Opstipacija</w:t>
                  </w:r>
                </w:p>
              </w:tc>
              <w:tc>
                <w:tcPr>
                  <w:tcW w:w="1350" w:type="dxa"/>
                </w:tcPr>
                <w:p w14:paraId="43DC5081" w14:textId="2D8B8AD7" w:rsidR="0020267D" w:rsidRPr="00D01E98" w:rsidRDefault="00D47E45">
                  <w:pPr>
                    <w:pStyle w:val="Tekst"/>
                    <w:rPr>
                      <w:color w:val="auto"/>
                      <w:sz w:val="22"/>
                      <w:szCs w:val="22"/>
                      <w:lang w:val="sr-Latn-ME"/>
                    </w:rPr>
                  </w:pPr>
                  <w:r w:rsidRPr="00D01E98">
                    <w:rPr>
                      <w:color w:val="auto"/>
                      <w:sz w:val="22"/>
                      <w:szCs w:val="22"/>
                      <w:lang w:val="sr-Latn-ME"/>
                    </w:rPr>
                    <w:t>20,2</w:t>
                  </w:r>
                </w:p>
              </w:tc>
              <w:tc>
                <w:tcPr>
                  <w:tcW w:w="1205" w:type="dxa"/>
                </w:tcPr>
                <w:p w14:paraId="76093AA7" w14:textId="5D5A20B0" w:rsidR="0020267D" w:rsidRPr="00D01E98" w:rsidRDefault="0020267D">
                  <w:pPr>
                    <w:pStyle w:val="Tekst"/>
                    <w:rPr>
                      <w:color w:val="auto"/>
                      <w:sz w:val="22"/>
                      <w:szCs w:val="22"/>
                      <w:lang w:val="sr-Latn-ME"/>
                    </w:rPr>
                  </w:pPr>
                  <w:r w:rsidRPr="00D01E98">
                    <w:rPr>
                      <w:color w:val="auto"/>
                      <w:sz w:val="22"/>
                      <w:szCs w:val="22"/>
                      <w:lang w:val="sr-Latn-ME"/>
                    </w:rPr>
                    <w:t>1,</w:t>
                  </w:r>
                  <w:r w:rsidR="003A6A22" w:rsidRPr="00D01E98">
                    <w:rPr>
                      <w:color w:val="auto"/>
                      <w:sz w:val="22"/>
                      <w:szCs w:val="22"/>
                      <w:lang w:val="sr-Latn-ME"/>
                    </w:rPr>
                    <w:t>0</w:t>
                  </w:r>
                </w:p>
              </w:tc>
              <w:tc>
                <w:tcPr>
                  <w:tcW w:w="1207" w:type="dxa"/>
                </w:tcPr>
                <w:p w14:paraId="5B1C180B"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78821AC8" w14:textId="77777777" w:rsidTr="000C0EC1">
              <w:trPr>
                <w:tblHeader/>
              </w:trPr>
              <w:tc>
                <w:tcPr>
                  <w:tcW w:w="2043" w:type="dxa"/>
                  <w:vMerge/>
                </w:tcPr>
                <w:p w14:paraId="499B2A2B" w14:textId="77777777" w:rsidR="0020267D" w:rsidRPr="00D01E98" w:rsidRDefault="0020267D">
                  <w:pPr>
                    <w:pStyle w:val="Tekst"/>
                    <w:rPr>
                      <w:color w:val="auto"/>
                      <w:sz w:val="22"/>
                      <w:szCs w:val="22"/>
                      <w:lang w:val="sr-Latn-ME"/>
                    </w:rPr>
                  </w:pPr>
                </w:p>
              </w:tc>
              <w:tc>
                <w:tcPr>
                  <w:tcW w:w="1462" w:type="dxa"/>
                  <w:vMerge/>
                </w:tcPr>
                <w:p w14:paraId="60AD7DB9" w14:textId="77777777" w:rsidR="0020267D" w:rsidRPr="00D01E98" w:rsidRDefault="0020267D">
                  <w:pPr>
                    <w:pStyle w:val="Tekst"/>
                    <w:rPr>
                      <w:color w:val="auto"/>
                      <w:sz w:val="22"/>
                      <w:szCs w:val="22"/>
                      <w:lang w:val="sr-Latn-ME"/>
                    </w:rPr>
                  </w:pPr>
                </w:p>
              </w:tc>
              <w:tc>
                <w:tcPr>
                  <w:tcW w:w="2340" w:type="dxa"/>
                </w:tcPr>
                <w:p w14:paraId="7ABD14B2" w14:textId="77777777" w:rsidR="0020267D" w:rsidRPr="00D01E98" w:rsidRDefault="0020267D">
                  <w:pPr>
                    <w:pStyle w:val="Tekst"/>
                    <w:rPr>
                      <w:color w:val="auto"/>
                      <w:sz w:val="22"/>
                      <w:szCs w:val="22"/>
                      <w:lang w:val="sr-Latn-ME"/>
                    </w:rPr>
                  </w:pPr>
                  <w:r w:rsidRPr="00D01E98">
                    <w:rPr>
                      <w:color w:val="auto"/>
                      <w:sz w:val="22"/>
                      <w:szCs w:val="22"/>
                      <w:lang w:val="sr-Latn-ME"/>
                    </w:rPr>
                    <w:t>Stomatitis</w:t>
                  </w:r>
                </w:p>
              </w:tc>
              <w:tc>
                <w:tcPr>
                  <w:tcW w:w="1350" w:type="dxa"/>
                </w:tcPr>
                <w:p w14:paraId="42CFDF7C" w14:textId="65A4DDD2" w:rsidR="0020267D" w:rsidRPr="00D01E98" w:rsidRDefault="00D47E45">
                  <w:pPr>
                    <w:pStyle w:val="Tekst"/>
                    <w:rPr>
                      <w:color w:val="auto"/>
                      <w:sz w:val="22"/>
                      <w:szCs w:val="22"/>
                      <w:lang w:val="sr-Latn-ME"/>
                    </w:rPr>
                  </w:pPr>
                  <w:r w:rsidRPr="00D01E98">
                    <w:rPr>
                      <w:color w:val="auto"/>
                      <w:sz w:val="22"/>
                      <w:szCs w:val="22"/>
                      <w:lang w:val="sr-Latn-ME"/>
                    </w:rPr>
                    <w:t>15,5</w:t>
                  </w:r>
                </w:p>
              </w:tc>
              <w:tc>
                <w:tcPr>
                  <w:tcW w:w="1205" w:type="dxa"/>
                </w:tcPr>
                <w:p w14:paraId="3BBD6466" w14:textId="00DEB1FC" w:rsidR="0020267D" w:rsidRPr="00D01E98" w:rsidRDefault="003A6A22">
                  <w:pPr>
                    <w:pStyle w:val="Tekst"/>
                    <w:rPr>
                      <w:color w:val="auto"/>
                      <w:sz w:val="22"/>
                      <w:szCs w:val="22"/>
                      <w:lang w:val="sr-Latn-ME"/>
                    </w:rPr>
                  </w:pPr>
                  <w:r w:rsidRPr="00D01E98">
                    <w:rPr>
                      <w:color w:val="auto"/>
                      <w:sz w:val="22"/>
                      <w:szCs w:val="22"/>
                      <w:lang w:val="sr-Latn-ME"/>
                    </w:rPr>
                    <w:t>1,8</w:t>
                  </w:r>
                </w:p>
              </w:tc>
              <w:tc>
                <w:tcPr>
                  <w:tcW w:w="1207" w:type="dxa"/>
                </w:tcPr>
                <w:p w14:paraId="6BC17A6A"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20267D" w:rsidRPr="00D01E98" w14:paraId="3C2DF601" w14:textId="77777777" w:rsidTr="000C0EC1">
              <w:trPr>
                <w:tblHeader/>
              </w:trPr>
              <w:tc>
                <w:tcPr>
                  <w:tcW w:w="2043" w:type="dxa"/>
                  <w:vMerge/>
                </w:tcPr>
                <w:p w14:paraId="324A689D" w14:textId="77777777" w:rsidR="0020267D" w:rsidRPr="00D01E98" w:rsidRDefault="0020267D">
                  <w:pPr>
                    <w:pStyle w:val="Tekst"/>
                    <w:rPr>
                      <w:color w:val="auto"/>
                      <w:sz w:val="22"/>
                      <w:szCs w:val="22"/>
                      <w:lang w:val="sr-Latn-ME"/>
                    </w:rPr>
                  </w:pPr>
                </w:p>
              </w:tc>
              <w:tc>
                <w:tcPr>
                  <w:tcW w:w="1462" w:type="dxa"/>
                  <w:vMerge/>
                </w:tcPr>
                <w:p w14:paraId="6B9C0F8C" w14:textId="77777777" w:rsidR="0020267D" w:rsidRPr="00D01E98" w:rsidRDefault="0020267D">
                  <w:pPr>
                    <w:pStyle w:val="Tekst"/>
                    <w:rPr>
                      <w:color w:val="auto"/>
                      <w:sz w:val="22"/>
                      <w:szCs w:val="22"/>
                      <w:lang w:val="sr-Latn-ME"/>
                    </w:rPr>
                  </w:pPr>
                </w:p>
              </w:tc>
              <w:tc>
                <w:tcPr>
                  <w:tcW w:w="2340" w:type="dxa"/>
                </w:tcPr>
                <w:p w14:paraId="5D0D56C2" w14:textId="7A5ECB36" w:rsidR="0020267D" w:rsidRPr="00D01E98" w:rsidRDefault="0020267D">
                  <w:pPr>
                    <w:pStyle w:val="Tekst"/>
                    <w:rPr>
                      <w:color w:val="auto"/>
                      <w:sz w:val="22"/>
                      <w:szCs w:val="22"/>
                      <w:lang w:val="sr-Latn-ME"/>
                    </w:rPr>
                  </w:pPr>
                </w:p>
              </w:tc>
              <w:tc>
                <w:tcPr>
                  <w:tcW w:w="1350" w:type="dxa"/>
                </w:tcPr>
                <w:p w14:paraId="63C635B4" w14:textId="21A6DF71" w:rsidR="0020267D" w:rsidRPr="00D01E98" w:rsidRDefault="0020267D">
                  <w:pPr>
                    <w:pStyle w:val="Tekst"/>
                    <w:rPr>
                      <w:color w:val="auto"/>
                      <w:sz w:val="22"/>
                      <w:szCs w:val="22"/>
                      <w:lang w:val="sr-Latn-ME"/>
                    </w:rPr>
                  </w:pPr>
                </w:p>
              </w:tc>
              <w:tc>
                <w:tcPr>
                  <w:tcW w:w="1205" w:type="dxa"/>
                </w:tcPr>
                <w:p w14:paraId="46072371" w14:textId="19D6A4A1" w:rsidR="0020267D" w:rsidRPr="00D01E98" w:rsidRDefault="0020267D">
                  <w:pPr>
                    <w:pStyle w:val="Tekst"/>
                    <w:rPr>
                      <w:color w:val="auto"/>
                      <w:sz w:val="22"/>
                      <w:szCs w:val="22"/>
                      <w:lang w:val="sr-Latn-ME"/>
                    </w:rPr>
                  </w:pPr>
                </w:p>
              </w:tc>
              <w:tc>
                <w:tcPr>
                  <w:tcW w:w="1207" w:type="dxa"/>
                </w:tcPr>
                <w:p w14:paraId="1AE772DB" w14:textId="5A767F44" w:rsidR="0020267D" w:rsidRPr="00D01E98" w:rsidRDefault="0020267D">
                  <w:pPr>
                    <w:pStyle w:val="Tekst"/>
                    <w:rPr>
                      <w:color w:val="auto"/>
                      <w:sz w:val="22"/>
                      <w:szCs w:val="22"/>
                      <w:lang w:val="sr-Latn-ME"/>
                    </w:rPr>
                  </w:pPr>
                </w:p>
              </w:tc>
            </w:tr>
            <w:tr w:rsidR="0020267D" w:rsidRPr="00D01E98" w14:paraId="30AA61FE" w14:textId="77777777" w:rsidTr="000C0EC1">
              <w:trPr>
                <w:tblHeader/>
              </w:trPr>
              <w:tc>
                <w:tcPr>
                  <w:tcW w:w="2043" w:type="dxa"/>
                  <w:vMerge/>
                </w:tcPr>
                <w:p w14:paraId="4A4351EA" w14:textId="77777777" w:rsidR="0020267D" w:rsidRPr="00D01E98" w:rsidRDefault="0020267D">
                  <w:pPr>
                    <w:pStyle w:val="Tekst"/>
                    <w:rPr>
                      <w:color w:val="auto"/>
                      <w:sz w:val="22"/>
                      <w:szCs w:val="22"/>
                      <w:lang w:val="sr-Latn-ME"/>
                    </w:rPr>
                  </w:pPr>
                </w:p>
              </w:tc>
              <w:tc>
                <w:tcPr>
                  <w:tcW w:w="1462" w:type="dxa"/>
                  <w:vMerge/>
                </w:tcPr>
                <w:p w14:paraId="13AA57C6" w14:textId="77777777" w:rsidR="0020267D" w:rsidRPr="00D01E98" w:rsidRDefault="0020267D">
                  <w:pPr>
                    <w:pStyle w:val="Tekst"/>
                    <w:rPr>
                      <w:color w:val="auto"/>
                      <w:sz w:val="22"/>
                      <w:szCs w:val="22"/>
                      <w:lang w:val="sr-Latn-ME"/>
                    </w:rPr>
                  </w:pPr>
                </w:p>
              </w:tc>
              <w:tc>
                <w:tcPr>
                  <w:tcW w:w="2340" w:type="dxa"/>
                </w:tcPr>
                <w:p w14:paraId="08F611A3" w14:textId="77777777" w:rsidR="0020267D" w:rsidRPr="00D01E98" w:rsidRDefault="0020267D">
                  <w:pPr>
                    <w:pStyle w:val="Tekst"/>
                    <w:rPr>
                      <w:color w:val="auto"/>
                      <w:sz w:val="22"/>
                      <w:szCs w:val="22"/>
                      <w:lang w:val="sr-Latn-ME"/>
                    </w:rPr>
                  </w:pPr>
                  <w:r w:rsidRPr="00D01E98">
                    <w:rPr>
                      <w:color w:val="auto"/>
                      <w:sz w:val="22"/>
                      <w:szCs w:val="22"/>
                      <w:lang w:val="sr-Latn-ME"/>
                    </w:rPr>
                    <w:t>Dispepsija</w:t>
                  </w:r>
                </w:p>
              </w:tc>
              <w:tc>
                <w:tcPr>
                  <w:tcW w:w="1350" w:type="dxa"/>
                </w:tcPr>
                <w:p w14:paraId="630F515C" w14:textId="0EFD382F" w:rsidR="0020267D" w:rsidRPr="00D01E98" w:rsidRDefault="00D47E45">
                  <w:pPr>
                    <w:pStyle w:val="Tekst"/>
                    <w:rPr>
                      <w:color w:val="auto"/>
                      <w:sz w:val="22"/>
                      <w:szCs w:val="22"/>
                      <w:lang w:val="sr-Latn-ME"/>
                    </w:rPr>
                  </w:pPr>
                  <w:r w:rsidRPr="00D01E98">
                    <w:rPr>
                      <w:color w:val="auto"/>
                      <w:sz w:val="22"/>
                      <w:szCs w:val="22"/>
                      <w:lang w:val="sr-Latn-ME"/>
                    </w:rPr>
                    <w:t>11,2</w:t>
                  </w:r>
                </w:p>
              </w:tc>
              <w:tc>
                <w:tcPr>
                  <w:tcW w:w="1205" w:type="dxa"/>
                </w:tcPr>
                <w:p w14:paraId="5DB12AA2" w14:textId="77777777" w:rsidR="0020267D" w:rsidRPr="00D01E98" w:rsidRDefault="0020267D">
                  <w:pPr>
                    <w:pStyle w:val="Tekst"/>
                    <w:rPr>
                      <w:color w:val="auto"/>
                      <w:sz w:val="22"/>
                      <w:szCs w:val="22"/>
                      <w:lang w:val="sr-Latn-ME"/>
                    </w:rPr>
                  </w:pPr>
                  <w:r w:rsidRPr="00D01E98">
                    <w:rPr>
                      <w:color w:val="auto"/>
                      <w:sz w:val="22"/>
                      <w:szCs w:val="22"/>
                      <w:lang w:val="sr-Latn-ME"/>
                    </w:rPr>
                    <w:t>0</w:t>
                  </w:r>
                  <w:r w:rsidR="003A6A22" w:rsidRPr="00D01E98">
                    <w:rPr>
                      <w:color w:val="auto"/>
                      <w:sz w:val="22"/>
                      <w:szCs w:val="22"/>
                      <w:lang w:val="sr-Latn-ME"/>
                    </w:rPr>
                    <w:t>,1</w:t>
                  </w:r>
                </w:p>
              </w:tc>
              <w:tc>
                <w:tcPr>
                  <w:tcW w:w="1207" w:type="dxa"/>
                </w:tcPr>
                <w:p w14:paraId="70BD7E7D" w14:textId="77777777" w:rsidR="0020267D" w:rsidRPr="00D01E98" w:rsidRDefault="0020267D">
                  <w:pPr>
                    <w:pStyle w:val="Tekst"/>
                    <w:rPr>
                      <w:color w:val="auto"/>
                      <w:sz w:val="22"/>
                      <w:szCs w:val="22"/>
                      <w:lang w:val="sr-Latn-ME"/>
                    </w:rPr>
                  </w:pPr>
                  <w:r w:rsidRPr="00D01E98">
                    <w:rPr>
                      <w:color w:val="auto"/>
                      <w:sz w:val="22"/>
                      <w:szCs w:val="22"/>
                      <w:lang w:val="sr-Latn-ME"/>
                    </w:rPr>
                    <w:t>0</w:t>
                  </w:r>
                </w:p>
              </w:tc>
            </w:tr>
            <w:tr w:rsidR="003A6A22" w:rsidRPr="00D01E98" w14:paraId="1B249E68" w14:textId="77777777" w:rsidTr="000C0EC1">
              <w:trPr>
                <w:trHeight w:val="143"/>
                <w:tblHeader/>
              </w:trPr>
              <w:tc>
                <w:tcPr>
                  <w:tcW w:w="2043" w:type="dxa"/>
                  <w:vMerge/>
                </w:tcPr>
                <w:p w14:paraId="137E2C5C" w14:textId="77777777" w:rsidR="003A6A22" w:rsidRPr="00D01E98" w:rsidRDefault="003A6A22">
                  <w:pPr>
                    <w:pStyle w:val="Tekst"/>
                    <w:rPr>
                      <w:color w:val="auto"/>
                      <w:sz w:val="22"/>
                      <w:szCs w:val="22"/>
                      <w:lang w:val="sr-Latn-ME"/>
                    </w:rPr>
                  </w:pPr>
                </w:p>
              </w:tc>
              <w:tc>
                <w:tcPr>
                  <w:tcW w:w="1462" w:type="dxa"/>
                  <w:vMerge w:val="restart"/>
                </w:tcPr>
                <w:p w14:paraId="6A788C27" w14:textId="77777777" w:rsidR="003A6A22" w:rsidRPr="00D01E98" w:rsidRDefault="003A6A22">
                  <w:pPr>
                    <w:pStyle w:val="Tekst"/>
                    <w:rPr>
                      <w:color w:val="auto"/>
                      <w:sz w:val="22"/>
                      <w:szCs w:val="22"/>
                      <w:lang w:val="sr-Latn-ME"/>
                    </w:rPr>
                  </w:pPr>
                  <w:r w:rsidRPr="00D01E98">
                    <w:rPr>
                      <w:color w:val="auto"/>
                      <w:sz w:val="22"/>
                      <w:szCs w:val="22"/>
                      <w:lang w:val="sr-Latn-ME"/>
                    </w:rPr>
                    <w:t>Česta</w:t>
                  </w:r>
                </w:p>
                <w:p w14:paraId="2DA59FFE" w14:textId="77777777" w:rsidR="003A6A22" w:rsidRPr="00D01E98" w:rsidRDefault="003A6A22">
                  <w:pPr>
                    <w:pStyle w:val="Tekst"/>
                    <w:rPr>
                      <w:color w:val="auto"/>
                      <w:sz w:val="22"/>
                      <w:szCs w:val="22"/>
                      <w:lang w:val="sr-Latn-ME"/>
                    </w:rPr>
                  </w:pPr>
                </w:p>
              </w:tc>
              <w:tc>
                <w:tcPr>
                  <w:tcW w:w="2340" w:type="dxa"/>
                </w:tcPr>
                <w:p w14:paraId="45F7955C" w14:textId="77777777" w:rsidR="003A6A22" w:rsidRPr="00D01E98" w:rsidRDefault="003A6A22">
                  <w:pPr>
                    <w:pStyle w:val="Tekst"/>
                    <w:rPr>
                      <w:color w:val="auto"/>
                      <w:sz w:val="22"/>
                      <w:szCs w:val="22"/>
                      <w:lang w:val="sr-Latn-ME"/>
                    </w:rPr>
                  </w:pPr>
                  <w:r w:rsidRPr="00D01E98">
                    <w:rPr>
                      <w:color w:val="auto"/>
                      <w:sz w:val="22"/>
                      <w:szCs w:val="22"/>
                      <w:lang w:val="sr-Latn-ME"/>
                    </w:rPr>
                    <w:t>Bol u gornjem abdomenu</w:t>
                  </w:r>
                </w:p>
              </w:tc>
              <w:tc>
                <w:tcPr>
                  <w:tcW w:w="1350" w:type="dxa"/>
                </w:tcPr>
                <w:p w14:paraId="4629CC34" w14:textId="77777777" w:rsidR="003A6A22" w:rsidRPr="00D01E98" w:rsidRDefault="003A6A22">
                  <w:pPr>
                    <w:pStyle w:val="Tekst"/>
                    <w:rPr>
                      <w:color w:val="auto"/>
                      <w:sz w:val="22"/>
                      <w:szCs w:val="22"/>
                      <w:lang w:val="sr-Latn-ME"/>
                    </w:rPr>
                  </w:pPr>
                  <w:r w:rsidRPr="00D01E98">
                    <w:rPr>
                      <w:color w:val="auto"/>
                      <w:sz w:val="22"/>
                      <w:szCs w:val="22"/>
                      <w:lang w:val="sr-Latn-ME"/>
                    </w:rPr>
                    <w:t>9,4</w:t>
                  </w:r>
                </w:p>
              </w:tc>
              <w:tc>
                <w:tcPr>
                  <w:tcW w:w="1205" w:type="dxa"/>
                </w:tcPr>
                <w:p w14:paraId="4C8BC24D" w14:textId="77777777" w:rsidR="003A6A22" w:rsidRPr="00D01E98" w:rsidRDefault="003A6A22">
                  <w:pPr>
                    <w:pStyle w:val="Tekst"/>
                    <w:rPr>
                      <w:color w:val="auto"/>
                      <w:sz w:val="22"/>
                      <w:szCs w:val="22"/>
                      <w:lang w:val="sr-Latn-ME"/>
                    </w:rPr>
                  </w:pPr>
                  <w:r w:rsidRPr="00D01E98">
                    <w:rPr>
                      <w:color w:val="auto"/>
                      <w:sz w:val="22"/>
                      <w:szCs w:val="22"/>
                      <w:lang w:val="sr-Latn-ME"/>
                    </w:rPr>
                    <w:t>0,9</w:t>
                  </w:r>
                </w:p>
              </w:tc>
              <w:tc>
                <w:tcPr>
                  <w:tcW w:w="1207" w:type="dxa"/>
                </w:tcPr>
                <w:p w14:paraId="28A9F4E4" w14:textId="77777777" w:rsidR="003A6A22" w:rsidRPr="00D01E98" w:rsidRDefault="003A6A22">
                  <w:pPr>
                    <w:pStyle w:val="Tekst"/>
                    <w:rPr>
                      <w:color w:val="auto"/>
                      <w:sz w:val="22"/>
                      <w:szCs w:val="22"/>
                      <w:lang w:val="sr-Latn-ME"/>
                    </w:rPr>
                  </w:pPr>
                  <w:r w:rsidRPr="00D01E98">
                    <w:rPr>
                      <w:color w:val="auto"/>
                      <w:sz w:val="22"/>
                      <w:szCs w:val="22"/>
                      <w:lang w:val="sr-Latn-ME"/>
                    </w:rPr>
                    <w:t>0</w:t>
                  </w:r>
                </w:p>
              </w:tc>
            </w:tr>
            <w:tr w:rsidR="003A6A22" w:rsidRPr="00D01E98" w14:paraId="711E1DD6" w14:textId="77777777" w:rsidTr="000C0EC1">
              <w:trPr>
                <w:trHeight w:val="143"/>
                <w:tblHeader/>
              </w:trPr>
              <w:tc>
                <w:tcPr>
                  <w:tcW w:w="2043" w:type="dxa"/>
                  <w:vMerge/>
                </w:tcPr>
                <w:p w14:paraId="66DDAB82" w14:textId="77777777" w:rsidR="003A6A22" w:rsidRPr="00D01E98" w:rsidRDefault="003A6A22">
                  <w:pPr>
                    <w:pStyle w:val="Tekst"/>
                    <w:rPr>
                      <w:color w:val="auto"/>
                      <w:sz w:val="22"/>
                      <w:szCs w:val="22"/>
                      <w:lang w:val="sr-Latn-ME"/>
                    </w:rPr>
                  </w:pPr>
                </w:p>
              </w:tc>
              <w:tc>
                <w:tcPr>
                  <w:tcW w:w="1462" w:type="dxa"/>
                  <w:vMerge/>
                </w:tcPr>
                <w:p w14:paraId="61098F1D" w14:textId="77777777" w:rsidR="003A6A22" w:rsidRPr="00D01E98" w:rsidRDefault="003A6A22">
                  <w:pPr>
                    <w:pStyle w:val="Tekst"/>
                    <w:rPr>
                      <w:color w:val="auto"/>
                      <w:sz w:val="22"/>
                      <w:szCs w:val="22"/>
                      <w:lang w:val="sr-Latn-ME"/>
                    </w:rPr>
                  </w:pPr>
                </w:p>
              </w:tc>
              <w:tc>
                <w:tcPr>
                  <w:tcW w:w="2340" w:type="dxa"/>
                </w:tcPr>
                <w:p w14:paraId="46C43329" w14:textId="77777777" w:rsidR="003A6A22" w:rsidRPr="00D01E98" w:rsidRDefault="003A6A22">
                  <w:pPr>
                    <w:pStyle w:val="Tekst"/>
                    <w:rPr>
                      <w:color w:val="auto"/>
                      <w:sz w:val="22"/>
                      <w:szCs w:val="22"/>
                      <w:lang w:val="sr-Latn-ME"/>
                    </w:rPr>
                  </w:pPr>
                  <w:r w:rsidRPr="00D01E98">
                    <w:rPr>
                      <w:color w:val="auto"/>
                      <w:sz w:val="22"/>
                      <w:szCs w:val="22"/>
                      <w:lang w:val="sr-Latn-ME"/>
                    </w:rPr>
                    <w:t>Nadimanje</w:t>
                  </w:r>
                </w:p>
              </w:tc>
              <w:tc>
                <w:tcPr>
                  <w:tcW w:w="1350" w:type="dxa"/>
                </w:tcPr>
                <w:p w14:paraId="6FEB8DC0" w14:textId="23612CCE" w:rsidR="003A6A22" w:rsidRPr="00D01E98" w:rsidRDefault="003A6A22">
                  <w:pPr>
                    <w:pStyle w:val="Tekst"/>
                    <w:rPr>
                      <w:color w:val="auto"/>
                      <w:sz w:val="22"/>
                      <w:szCs w:val="22"/>
                      <w:lang w:val="sr-Latn-ME"/>
                    </w:rPr>
                  </w:pPr>
                  <w:r w:rsidRPr="00D01E98">
                    <w:rPr>
                      <w:color w:val="auto"/>
                      <w:sz w:val="22"/>
                      <w:szCs w:val="22"/>
                      <w:lang w:val="sr-Latn-ME"/>
                    </w:rPr>
                    <w:t>4,5</w:t>
                  </w:r>
                </w:p>
              </w:tc>
              <w:tc>
                <w:tcPr>
                  <w:tcW w:w="1205" w:type="dxa"/>
                </w:tcPr>
                <w:p w14:paraId="3AA9E122" w14:textId="77777777" w:rsidR="003A6A22" w:rsidRPr="00D01E98" w:rsidRDefault="003A6A22">
                  <w:pPr>
                    <w:pStyle w:val="Tekst"/>
                    <w:rPr>
                      <w:color w:val="auto"/>
                      <w:sz w:val="22"/>
                      <w:szCs w:val="22"/>
                      <w:lang w:val="sr-Latn-ME"/>
                    </w:rPr>
                  </w:pPr>
                  <w:r w:rsidRPr="00D01E98">
                    <w:rPr>
                      <w:color w:val="auto"/>
                      <w:sz w:val="22"/>
                      <w:szCs w:val="22"/>
                      <w:lang w:val="sr-Latn-ME"/>
                    </w:rPr>
                    <w:t>0</w:t>
                  </w:r>
                </w:p>
              </w:tc>
              <w:tc>
                <w:tcPr>
                  <w:tcW w:w="1207" w:type="dxa"/>
                </w:tcPr>
                <w:p w14:paraId="222E9BDC" w14:textId="77777777" w:rsidR="003A6A22" w:rsidRPr="00D01E98" w:rsidRDefault="003A6A22">
                  <w:pPr>
                    <w:pStyle w:val="Tekst"/>
                    <w:rPr>
                      <w:color w:val="auto"/>
                      <w:sz w:val="22"/>
                      <w:szCs w:val="22"/>
                      <w:lang w:val="sr-Latn-ME"/>
                    </w:rPr>
                  </w:pPr>
                  <w:r w:rsidRPr="00D01E98">
                    <w:rPr>
                      <w:color w:val="auto"/>
                      <w:sz w:val="22"/>
                      <w:szCs w:val="22"/>
                      <w:lang w:val="sr-Latn-ME"/>
                    </w:rPr>
                    <w:t>0</w:t>
                  </w:r>
                </w:p>
              </w:tc>
            </w:tr>
            <w:tr w:rsidR="003A6A22" w:rsidRPr="00D01E98" w14:paraId="6307F561" w14:textId="77777777" w:rsidTr="000C0EC1">
              <w:trPr>
                <w:tblHeader/>
              </w:trPr>
              <w:tc>
                <w:tcPr>
                  <w:tcW w:w="2043" w:type="dxa"/>
                  <w:vMerge/>
                </w:tcPr>
                <w:p w14:paraId="2B6B8F8F" w14:textId="77777777" w:rsidR="003A6A22" w:rsidRPr="00D01E98" w:rsidRDefault="003A6A22">
                  <w:pPr>
                    <w:pStyle w:val="Tekst"/>
                    <w:rPr>
                      <w:color w:val="auto"/>
                      <w:sz w:val="22"/>
                      <w:szCs w:val="22"/>
                      <w:lang w:val="sr-Latn-ME"/>
                    </w:rPr>
                  </w:pPr>
                </w:p>
              </w:tc>
              <w:tc>
                <w:tcPr>
                  <w:tcW w:w="1462" w:type="dxa"/>
                  <w:vMerge/>
                </w:tcPr>
                <w:p w14:paraId="586F1B51" w14:textId="77777777" w:rsidR="003A6A22" w:rsidRPr="00D01E98" w:rsidRDefault="003A6A22">
                  <w:pPr>
                    <w:pStyle w:val="Tekst"/>
                    <w:rPr>
                      <w:color w:val="auto"/>
                      <w:sz w:val="22"/>
                      <w:szCs w:val="22"/>
                      <w:lang w:val="sr-Latn-ME"/>
                    </w:rPr>
                  </w:pPr>
                </w:p>
              </w:tc>
              <w:tc>
                <w:tcPr>
                  <w:tcW w:w="2340" w:type="dxa"/>
                </w:tcPr>
                <w:p w14:paraId="3977DF5F" w14:textId="77777777" w:rsidR="003A6A22" w:rsidRPr="00D01E98" w:rsidRDefault="003A6A22">
                  <w:pPr>
                    <w:pStyle w:val="Tekst"/>
                    <w:rPr>
                      <w:color w:val="auto"/>
                      <w:sz w:val="22"/>
                      <w:szCs w:val="22"/>
                      <w:lang w:val="sr-Latn-ME"/>
                    </w:rPr>
                  </w:pPr>
                  <w:r w:rsidRPr="00D01E98">
                    <w:rPr>
                      <w:color w:val="auto"/>
                      <w:sz w:val="22"/>
                      <w:szCs w:val="22"/>
                      <w:lang w:val="sr-Latn-ME"/>
                    </w:rPr>
                    <w:t>Hemoroidi</w:t>
                  </w:r>
                </w:p>
              </w:tc>
              <w:tc>
                <w:tcPr>
                  <w:tcW w:w="1350" w:type="dxa"/>
                </w:tcPr>
                <w:p w14:paraId="46C11D66" w14:textId="6200AA7C" w:rsidR="003A6A22" w:rsidRPr="00D01E98" w:rsidRDefault="003A6A22">
                  <w:pPr>
                    <w:pStyle w:val="Tekst"/>
                    <w:rPr>
                      <w:color w:val="auto"/>
                      <w:sz w:val="22"/>
                      <w:szCs w:val="22"/>
                      <w:lang w:val="sr-Latn-ME"/>
                    </w:rPr>
                  </w:pPr>
                  <w:r w:rsidRPr="00D01E98">
                    <w:rPr>
                      <w:color w:val="auto"/>
                      <w:sz w:val="22"/>
                      <w:szCs w:val="22"/>
                      <w:lang w:val="sr-Latn-ME"/>
                    </w:rPr>
                    <w:t>3,3</w:t>
                  </w:r>
                </w:p>
              </w:tc>
              <w:tc>
                <w:tcPr>
                  <w:tcW w:w="1205" w:type="dxa"/>
                </w:tcPr>
                <w:p w14:paraId="79919C61" w14:textId="77777777" w:rsidR="003A6A22" w:rsidRPr="00D01E98" w:rsidRDefault="003A6A22">
                  <w:pPr>
                    <w:pStyle w:val="Tekst"/>
                    <w:rPr>
                      <w:color w:val="auto"/>
                      <w:sz w:val="22"/>
                      <w:szCs w:val="22"/>
                      <w:lang w:val="sr-Latn-ME"/>
                    </w:rPr>
                  </w:pPr>
                  <w:r w:rsidRPr="00D01E98">
                    <w:rPr>
                      <w:color w:val="auto"/>
                      <w:sz w:val="22"/>
                      <w:szCs w:val="22"/>
                      <w:lang w:val="sr-Latn-ME"/>
                    </w:rPr>
                    <w:t>0</w:t>
                  </w:r>
                </w:p>
              </w:tc>
              <w:tc>
                <w:tcPr>
                  <w:tcW w:w="1207" w:type="dxa"/>
                </w:tcPr>
                <w:p w14:paraId="62293CA2" w14:textId="77777777" w:rsidR="003A6A22" w:rsidRPr="00D01E98" w:rsidRDefault="003A6A22">
                  <w:pPr>
                    <w:pStyle w:val="Tekst"/>
                    <w:rPr>
                      <w:color w:val="auto"/>
                      <w:sz w:val="22"/>
                      <w:szCs w:val="22"/>
                      <w:lang w:val="sr-Latn-ME"/>
                    </w:rPr>
                  </w:pPr>
                  <w:r w:rsidRPr="00D01E98">
                    <w:rPr>
                      <w:color w:val="auto"/>
                      <w:sz w:val="22"/>
                      <w:szCs w:val="22"/>
                      <w:lang w:val="sr-Latn-ME"/>
                    </w:rPr>
                    <w:t>0</w:t>
                  </w:r>
                </w:p>
              </w:tc>
            </w:tr>
            <w:tr w:rsidR="003A6A22" w:rsidRPr="00D01E98" w14:paraId="203B9215" w14:textId="77777777" w:rsidTr="000C0EC1">
              <w:trPr>
                <w:tblHeader/>
              </w:trPr>
              <w:tc>
                <w:tcPr>
                  <w:tcW w:w="2043" w:type="dxa"/>
                  <w:vMerge/>
                </w:tcPr>
                <w:p w14:paraId="435D84F9" w14:textId="77777777" w:rsidR="003A6A22" w:rsidRPr="00D01E98" w:rsidRDefault="003A6A22">
                  <w:pPr>
                    <w:pStyle w:val="Tekst"/>
                    <w:rPr>
                      <w:color w:val="auto"/>
                      <w:sz w:val="22"/>
                      <w:szCs w:val="22"/>
                      <w:lang w:val="sr-Latn-ME"/>
                    </w:rPr>
                  </w:pPr>
                </w:p>
              </w:tc>
              <w:tc>
                <w:tcPr>
                  <w:tcW w:w="1462" w:type="dxa"/>
                  <w:vMerge/>
                </w:tcPr>
                <w:p w14:paraId="75C30C29" w14:textId="77777777" w:rsidR="003A6A22" w:rsidRPr="00D01E98" w:rsidRDefault="003A6A22">
                  <w:pPr>
                    <w:pStyle w:val="Tekst"/>
                    <w:rPr>
                      <w:color w:val="auto"/>
                      <w:sz w:val="22"/>
                      <w:szCs w:val="22"/>
                      <w:lang w:val="sr-Latn-ME"/>
                    </w:rPr>
                  </w:pPr>
                </w:p>
              </w:tc>
              <w:tc>
                <w:tcPr>
                  <w:tcW w:w="2340" w:type="dxa"/>
                </w:tcPr>
                <w:p w14:paraId="56B67A94" w14:textId="77777777" w:rsidR="003A6A22" w:rsidRPr="00D01E98" w:rsidRDefault="003A6A22">
                  <w:pPr>
                    <w:pStyle w:val="Tekst"/>
                    <w:rPr>
                      <w:color w:val="auto"/>
                      <w:sz w:val="22"/>
                      <w:szCs w:val="22"/>
                      <w:lang w:val="sr-Latn-ME"/>
                    </w:rPr>
                  </w:pPr>
                  <w:r w:rsidRPr="00D01E98">
                    <w:rPr>
                      <w:color w:val="auto"/>
                      <w:sz w:val="22"/>
                      <w:szCs w:val="22"/>
                      <w:lang w:val="sr-Latn-ME"/>
                    </w:rPr>
                    <w:t>Glosodinija</w:t>
                  </w:r>
                </w:p>
              </w:tc>
              <w:tc>
                <w:tcPr>
                  <w:tcW w:w="1350" w:type="dxa"/>
                </w:tcPr>
                <w:p w14:paraId="31895902" w14:textId="6670E093" w:rsidR="003A6A22" w:rsidRPr="00D01E98" w:rsidDel="00B768FB" w:rsidRDefault="003A6A22">
                  <w:pPr>
                    <w:pStyle w:val="Tekst"/>
                    <w:rPr>
                      <w:color w:val="auto"/>
                      <w:sz w:val="22"/>
                      <w:szCs w:val="22"/>
                      <w:lang w:val="sr-Latn-ME"/>
                    </w:rPr>
                  </w:pPr>
                  <w:r w:rsidRPr="00D01E98">
                    <w:rPr>
                      <w:color w:val="auto"/>
                      <w:sz w:val="22"/>
                      <w:szCs w:val="22"/>
                      <w:lang w:val="sr-Latn-ME"/>
                    </w:rPr>
                    <w:t>2,8</w:t>
                  </w:r>
                </w:p>
              </w:tc>
              <w:tc>
                <w:tcPr>
                  <w:tcW w:w="1205" w:type="dxa"/>
                </w:tcPr>
                <w:p w14:paraId="7D286203" w14:textId="77777777" w:rsidR="003A6A22" w:rsidRPr="00D01E98" w:rsidRDefault="003A6A22">
                  <w:pPr>
                    <w:pStyle w:val="Tekst"/>
                    <w:rPr>
                      <w:color w:val="auto"/>
                      <w:sz w:val="22"/>
                      <w:szCs w:val="22"/>
                      <w:lang w:val="sr-Latn-ME"/>
                    </w:rPr>
                  </w:pPr>
                  <w:r w:rsidRPr="00D01E98">
                    <w:rPr>
                      <w:color w:val="auto"/>
                      <w:sz w:val="22"/>
                      <w:szCs w:val="22"/>
                      <w:lang w:val="sr-Latn-ME"/>
                    </w:rPr>
                    <w:t>0</w:t>
                  </w:r>
                </w:p>
              </w:tc>
              <w:tc>
                <w:tcPr>
                  <w:tcW w:w="1207" w:type="dxa"/>
                </w:tcPr>
                <w:p w14:paraId="11450773" w14:textId="77777777" w:rsidR="003A6A22" w:rsidRPr="00D01E98" w:rsidRDefault="003A6A22">
                  <w:pPr>
                    <w:pStyle w:val="Tekst"/>
                    <w:rPr>
                      <w:color w:val="auto"/>
                      <w:sz w:val="22"/>
                      <w:szCs w:val="22"/>
                      <w:lang w:val="sr-Latn-ME"/>
                    </w:rPr>
                  </w:pPr>
                  <w:r w:rsidRPr="00D01E98">
                    <w:rPr>
                      <w:color w:val="auto"/>
                      <w:sz w:val="22"/>
                      <w:szCs w:val="22"/>
                      <w:lang w:val="sr-Latn-ME"/>
                    </w:rPr>
                    <w:t>0</w:t>
                  </w:r>
                </w:p>
              </w:tc>
            </w:tr>
            <w:tr w:rsidR="003A6A22" w:rsidRPr="00D01E98" w14:paraId="20841149" w14:textId="77777777" w:rsidTr="000C0EC1">
              <w:trPr>
                <w:trHeight w:val="233"/>
                <w:tblHeader/>
              </w:trPr>
              <w:tc>
                <w:tcPr>
                  <w:tcW w:w="2043" w:type="dxa"/>
                  <w:vMerge/>
                </w:tcPr>
                <w:p w14:paraId="285FF829" w14:textId="77777777" w:rsidR="003A6A22" w:rsidRPr="00D01E98" w:rsidRDefault="003A6A22">
                  <w:pPr>
                    <w:pStyle w:val="Tekst"/>
                    <w:rPr>
                      <w:color w:val="auto"/>
                      <w:sz w:val="22"/>
                      <w:szCs w:val="22"/>
                      <w:lang w:val="sr-Latn-ME"/>
                    </w:rPr>
                  </w:pPr>
                </w:p>
              </w:tc>
              <w:tc>
                <w:tcPr>
                  <w:tcW w:w="1462" w:type="dxa"/>
                  <w:vMerge/>
                </w:tcPr>
                <w:p w14:paraId="04C01025" w14:textId="77777777" w:rsidR="003A6A22" w:rsidRPr="00D01E98" w:rsidRDefault="003A6A22">
                  <w:pPr>
                    <w:pStyle w:val="Tekst"/>
                    <w:rPr>
                      <w:color w:val="auto"/>
                      <w:sz w:val="22"/>
                      <w:szCs w:val="22"/>
                      <w:lang w:val="sr-Latn-ME"/>
                    </w:rPr>
                  </w:pPr>
                </w:p>
              </w:tc>
              <w:tc>
                <w:tcPr>
                  <w:tcW w:w="2340" w:type="dxa"/>
                </w:tcPr>
                <w:p w14:paraId="57380759" w14:textId="77777777" w:rsidR="003A6A22" w:rsidRPr="00D01E98" w:rsidRDefault="003A6A22">
                  <w:pPr>
                    <w:pStyle w:val="Tekst"/>
                    <w:rPr>
                      <w:color w:val="auto"/>
                      <w:sz w:val="22"/>
                      <w:szCs w:val="22"/>
                      <w:lang w:val="sr-Latn-ME"/>
                    </w:rPr>
                  </w:pPr>
                  <w:r w:rsidRPr="00D01E98">
                    <w:rPr>
                      <w:color w:val="auto"/>
                      <w:sz w:val="22"/>
                      <w:szCs w:val="22"/>
                      <w:lang w:val="sr-Latn-ME"/>
                    </w:rPr>
                    <w:t>Gastrointestinalna perforacija i fistula</w:t>
                  </w:r>
                  <w:r w:rsidRPr="00D01E98">
                    <w:rPr>
                      <w:color w:val="auto"/>
                      <w:sz w:val="22"/>
                      <w:szCs w:val="22"/>
                      <w:vertAlign w:val="superscript"/>
                      <w:lang w:val="sr-Latn-ME"/>
                    </w:rPr>
                    <w:t>c</w:t>
                  </w:r>
                  <w:r w:rsidRPr="00D01E98">
                    <w:rPr>
                      <w:szCs w:val="24"/>
                      <w:vertAlign w:val="superscript"/>
                      <w:lang w:val="sr-Latn-ME"/>
                    </w:rPr>
                    <w:t>,k</w:t>
                  </w:r>
                </w:p>
              </w:tc>
              <w:tc>
                <w:tcPr>
                  <w:tcW w:w="1350" w:type="dxa"/>
                </w:tcPr>
                <w:p w14:paraId="1B7ECC1B" w14:textId="13644F68" w:rsidR="003A6A22" w:rsidRPr="00D01E98" w:rsidRDefault="003A6A22">
                  <w:pPr>
                    <w:pStyle w:val="Tekst"/>
                    <w:rPr>
                      <w:color w:val="auto"/>
                      <w:sz w:val="22"/>
                      <w:szCs w:val="22"/>
                      <w:lang w:val="sr-Latn-ME"/>
                    </w:rPr>
                  </w:pPr>
                  <w:r w:rsidRPr="00D01E98">
                    <w:rPr>
                      <w:color w:val="auto"/>
                      <w:sz w:val="22"/>
                      <w:szCs w:val="22"/>
                      <w:lang w:val="sr-Latn-ME"/>
                    </w:rPr>
                    <w:t>1,9</w:t>
                  </w:r>
                </w:p>
              </w:tc>
              <w:tc>
                <w:tcPr>
                  <w:tcW w:w="1205" w:type="dxa"/>
                </w:tcPr>
                <w:p w14:paraId="6A68FB6D" w14:textId="0A4700C2" w:rsidR="003A6A22" w:rsidRPr="00D01E98" w:rsidRDefault="003A6A22">
                  <w:pPr>
                    <w:pStyle w:val="Tekst"/>
                    <w:rPr>
                      <w:color w:val="auto"/>
                      <w:sz w:val="22"/>
                      <w:szCs w:val="22"/>
                      <w:lang w:val="sr-Latn-ME"/>
                    </w:rPr>
                  </w:pPr>
                  <w:r w:rsidRPr="00D01E98">
                    <w:rPr>
                      <w:color w:val="auto"/>
                      <w:sz w:val="22"/>
                      <w:szCs w:val="22"/>
                      <w:lang w:val="sr-Latn-ME"/>
                    </w:rPr>
                    <w:t>0,9</w:t>
                  </w:r>
                </w:p>
              </w:tc>
              <w:tc>
                <w:tcPr>
                  <w:tcW w:w="1207" w:type="dxa"/>
                </w:tcPr>
                <w:p w14:paraId="588279B6" w14:textId="77777777" w:rsidR="003A6A22" w:rsidRPr="00D01E98" w:rsidRDefault="003A6A22">
                  <w:pPr>
                    <w:pStyle w:val="Tekst"/>
                    <w:rPr>
                      <w:color w:val="auto"/>
                      <w:sz w:val="22"/>
                      <w:szCs w:val="22"/>
                      <w:lang w:val="sr-Latn-ME"/>
                    </w:rPr>
                  </w:pPr>
                  <w:r w:rsidRPr="00D01E98">
                    <w:rPr>
                      <w:color w:val="auto"/>
                      <w:sz w:val="22"/>
                      <w:szCs w:val="22"/>
                      <w:lang w:val="sr-Latn-ME"/>
                    </w:rPr>
                    <w:t>0,3</w:t>
                  </w:r>
                </w:p>
              </w:tc>
            </w:tr>
            <w:tr w:rsidR="0073389E" w:rsidRPr="00D01E98" w14:paraId="20BD6746" w14:textId="77777777" w:rsidTr="0073389E">
              <w:trPr>
                <w:trHeight w:val="315"/>
                <w:tblHeader/>
              </w:trPr>
              <w:tc>
                <w:tcPr>
                  <w:tcW w:w="2043" w:type="dxa"/>
                  <w:vMerge w:val="restart"/>
                </w:tcPr>
                <w:p w14:paraId="0597F304" w14:textId="77777777" w:rsidR="0073389E" w:rsidRPr="00D01E98" w:rsidRDefault="0073389E">
                  <w:pPr>
                    <w:pStyle w:val="Tekst"/>
                    <w:rPr>
                      <w:color w:val="auto"/>
                      <w:sz w:val="22"/>
                      <w:szCs w:val="22"/>
                      <w:lang w:val="sr-Latn-ME"/>
                    </w:rPr>
                  </w:pPr>
                  <w:r w:rsidRPr="00D01E98">
                    <w:rPr>
                      <w:sz w:val="22"/>
                      <w:szCs w:val="22"/>
                      <w:lang w:val="sr-Latn-ME"/>
                    </w:rPr>
                    <w:lastRenderedPageBreak/>
                    <w:t>Hepatobiljarni poremećaji</w:t>
                  </w:r>
                </w:p>
              </w:tc>
              <w:tc>
                <w:tcPr>
                  <w:tcW w:w="1462" w:type="dxa"/>
                  <w:vMerge w:val="restart"/>
                </w:tcPr>
                <w:p w14:paraId="31529D99" w14:textId="77777777" w:rsidR="0073389E" w:rsidRPr="00D01E98" w:rsidRDefault="0073389E">
                  <w:pPr>
                    <w:pStyle w:val="Tekst"/>
                    <w:rPr>
                      <w:color w:val="auto"/>
                      <w:sz w:val="22"/>
                      <w:szCs w:val="22"/>
                      <w:lang w:val="sr-Latn-ME"/>
                    </w:rPr>
                  </w:pPr>
                  <w:r w:rsidRPr="00D01E98">
                    <w:rPr>
                      <w:color w:val="auto"/>
                      <w:sz w:val="22"/>
                      <w:szCs w:val="22"/>
                      <w:lang w:val="sr-Latn-ME"/>
                    </w:rPr>
                    <w:t>Česta</w:t>
                  </w:r>
                </w:p>
              </w:tc>
              <w:tc>
                <w:tcPr>
                  <w:tcW w:w="2340" w:type="dxa"/>
                </w:tcPr>
                <w:p w14:paraId="4974B273" w14:textId="77777777" w:rsidR="0073389E" w:rsidRPr="00D01E98" w:rsidRDefault="0073389E">
                  <w:pPr>
                    <w:pStyle w:val="Tekst"/>
                    <w:rPr>
                      <w:color w:val="auto"/>
                      <w:sz w:val="22"/>
                      <w:szCs w:val="22"/>
                      <w:lang w:val="sr-Latn-ME"/>
                    </w:rPr>
                  </w:pPr>
                  <w:r w:rsidRPr="00D01E98">
                    <w:rPr>
                      <w:sz w:val="22"/>
                      <w:szCs w:val="22"/>
                      <w:lang w:val="sr-Latn-ME"/>
                    </w:rPr>
                    <w:t>Hiperbilirubinemija</w:t>
                  </w:r>
                </w:p>
              </w:tc>
              <w:tc>
                <w:tcPr>
                  <w:tcW w:w="1350" w:type="dxa"/>
                </w:tcPr>
                <w:p w14:paraId="1CEEC4A4" w14:textId="60F4B9E3" w:rsidR="0073389E" w:rsidRPr="00D01E98" w:rsidRDefault="0073389E">
                  <w:pPr>
                    <w:pStyle w:val="Tekst"/>
                    <w:rPr>
                      <w:color w:val="auto"/>
                      <w:sz w:val="22"/>
                      <w:szCs w:val="22"/>
                      <w:lang w:val="sr-Latn-ME"/>
                    </w:rPr>
                  </w:pPr>
                  <w:r w:rsidRPr="00D01E98">
                    <w:rPr>
                      <w:sz w:val="22"/>
                      <w:szCs w:val="22"/>
                      <w:lang w:val="sr-Latn-ME"/>
                    </w:rPr>
                    <w:t>1,3</w:t>
                  </w:r>
                </w:p>
              </w:tc>
              <w:tc>
                <w:tcPr>
                  <w:tcW w:w="1205" w:type="dxa"/>
                </w:tcPr>
                <w:p w14:paraId="0EFA7969" w14:textId="278C2823" w:rsidR="0073389E" w:rsidRPr="00D01E98" w:rsidRDefault="0073389E">
                  <w:pPr>
                    <w:pStyle w:val="Tekst"/>
                    <w:rPr>
                      <w:color w:val="auto"/>
                      <w:sz w:val="22"/>
                      <w:szCs w:val="22"/>
                      <w:lang w:val="sr-Latn-ME"/>
                    </w:rPr>
                  </w:pPr>
                  <w:r w:rsidRPr="00D01E98">
                    <w:rPr>
                      <w:color w:val="auto"/>
                      <w:sz w:val="22"/>
                      <w:szCs w:val="22"/>
                      <w:lang w:val="sr-Latn-ME"/>
                    </w:rPr>
                    <w:t>0</w:t>
                  </w:r>
                  <w:r w:rsidRPr="00D01E98">
                    <w:rPr>
                      <w:sz w:val="22"/>
                      <w:szCs w:val="22"/>
                      <w:lang w:val="sr-Latn-ME"/>
                    </w:rPr>
                    <w:t>,1</w:t>
                  </w:r>
                </w:p>
              </w:tc>
              <w:tc>
                <w:tcPr>
                  <w:tcW w:w="1207" w:type="dxa"/>
                </w:tcPr>
                <w:p w14:paraId="3A105C9B" w14:textId="77777777" w:rsidR="0073389E" w:rsidRPr="00D01E98" w:rsidRDefault="0073389E">
                  <w:pPr>
                    <w:pStyle w:val="Tekst"/>
                    <w:rPr>
                      <w:color w:val="auto"/>
                      <w:sz w:val="22"/>
                      <w:szCs w:val="22"/>
                      <w:lang w:val="sr-Latn-ME"/>
                    </w:rPr>
                  </w:pPr>
                  <w:r w:rsidRPr="00D01E98">
                    <w:rPr>
                      <w:color w:val="auto"/>
                      <w:sz w:val="22"/>
                      <w:szCs w:val="22"/>
                      <w:lang w:val="sr-Latn-ME"/>
                    </w:rPr>
                    <w:t>0,1</w:t>
                  </w:r>
                </w:p>
              </w:tc>
            </w:tr>
            <w:tr w:rsidR="0073389E" w:rsidRPr="00D01E98" w14:paraId="42485755" w14:textId="77777777" w:rsidTr="000C0EC1">
              <w:trPr>
                <w:trHeight w:val="315"/>
                <w:tblHeader/>
              </w:trPr>
              <w:tc>
                <w:tcPr>
                  <w:tcW w:w="2043" w:type="dxa"/>
                  <w:vMerge/>
                </w:tcPr>
                <w:p w14:paraId="006F24DA" w14:textId="77777777" w:rsidR="0073389E" w:rsidRPr="00D01E98" w:rsidRDefault="0073389E">
                  <w:pPr>
                    <w:pStyle w:val="Tekst"/>
                    <w:rPr>
                      <w:sz w:val="22"/>
                      <w:szCs w:val="22"/>
                      <w:lang w:val="sr-Latn-ME"/>
                    </w:rPr>
                  </w:pPr>
                </w:p>
              </w:tc>
              <w:tc>
                <w:tcPr>
                  <w:tcW w:w="1462" w:type="dxa"/>
                  <w:vMerge/>
                </w:tcPr>
                <w:p w14:paraId="42E575D1" w14:textId="77777777" w:rsidR="0073389E" w:rsidRPr="00D01E98" w:rsidRDefault="0073389E">
                  <w:pPr>
                    <w:pStyle w:val="Tekst"/>
                    <w:rPr>
                      <w:color w:val="auto"/>
                      <w:sz w:val="22"/>
                      <w:szCs w:val="22"/>
                      <w:lang w:val="sr-Latn-ME"/>
                    </w:rPr>
                  </w:pPr>
                </w:p>
              </w:tc>
              <w:tc>
                <w:tcPr>
                  <w:tcW w:w="2340" w:type="dxa"/>
                </w:tcPr>
                <w:p w14:paraId="77E5BCB9" w14:textId="14E8B32C" w:rsidR="0073389E" w:rsidRPr="00D01E98" w:rsidRDefault="00830080">
                  <w:pPr>
                    <w:pStyle w:val="Tekst"/>
                    <w:rPr>
                      <w:sz w:val="22"/>
                      <w:szCs w:val="22"/>
                      <w:lang w:val="sr-Latn-ME"/>
                    </w:rPr>
                  </w:pPr>
                  <w:r w:rsidRPr="00D01E98">
                    <w:rPr>
                      <w:sz w:val="22"/>
                      <w:szCs w:val="22"/>
                      <w:lang w:val="sr-Latn-ME"/>
                    </w:rPr>
                    <w:t>H</w:t>
                  </w:r>
                  <w:r w:rsidR="0073389E" w:rsidRPr="00D01E98">
                    <w:rPr>
                      <w:sz w:val="22"/>
                      <w:szCs w:val="22"/>
                      <w:lang w:val="sr-Latn-ME"/>
                    </w:rPr>
                    <w:t>olecistitis</w:t>
                  </w:r>
                  <w:r w:rsidR="0073389E" w:rsidRPr="00D01E98">
                    <w:rPr>
                      <w:szCs w:val="22"/>
                      <w:vertAlign w:val="superscript"/>
                      <w:lang w:val="sr-Latn-ME"/>
                    </w:rPr>
                    <w:t>n</w:t>
                  </w:r>
                </w:p>
              </w:tc>
              <w:tc>
                <w:tcPr>
                  <w:tcW w:w="1350" w:type="dxa"/>
                </w:tcPr>
                <w:p w14:paraId="4385FCCB" w14:textId="1BD7DC4F" w:rsidR="0073389E" w:rsidRPr="00D01E98" w:rsidRDefault="0073389E">
                  <w:pPr>
                    <w:pStyle w:val="Tekst"/>
                    <w:rPr>
                      <w:sz w:val="22"/>
                      <w:szCs w:val="22"/>
                      <w:lang w:val="sr-Latn-ME"/>
                    </w:rPr>
                  </w:pPr>
                  <w:r w:rsidRPr="00D01E98">
                    <w:rPr>
                      <w:sz w:val="22"/>
                      <w:szCs w:val="22"/>
                      <w:lang w:val="sr-Latn-ME"/>
                    </w:rPr>
                    <w:t>1,0</w:t>
                  </w:r>
                </w:p>
              </w:tc>
              <w:tc>
                <w:tcPr>
                  <w:tcW w:w="1205" w:type="dxa"/>
                </w:tcPr>
                <w:p w14:paraId="063FCDB1" w14:textId="432B7BA5" w:rsidR="0073389E" w:rsidRPr="00D01E98" w:rsidRDefault="0073389E">
                  <w:pPr>
                    <w:pStyle w:val="Tekst"/>
                    <w:rPr>
                      <w:color w:val="auto"/>
                      <w:sz w:val="22"/>
                      <w:szCs w:val="22"/>
                      <w:lang w:val="sr-Latn-ME"/>
                    </w:rPr>
                  </w:pPr>
                  <w:r w:rsidRPr="00D01E98">
                    <w:rPr>
                      <w:color w:val="auto"/>
                      <w:sz w:val="22"/>
                      <w:szCs w:val="22"/>
                      <w:lang w:val="sr-Latn-ME"/>
                    </w:rPr>
                    <w:t>0,6</w:t>
                  </w:r>
                </w:p>
              </w:tc>
              <w:tc>
                <w:tcPr>
                  <w:tcW w:w="1207" w:type="dxa"/>
                </w:tcPr>
                <w:p w14:paraId="58C2BFE3" w14:textId="76334493" w:rsidR="0073389E" w:rsidRPr="00D01E98" w:rsidRDefault="0073389E">
                  <w:pPr>
                    <w:pStyle w:val="Tekst"/>
                    <w:rPr>
                      <w:color w:val="auto"/>
                      <w:sz w:val="22"/>
                      <w:szCs w:val="22"/>
                      <w:lang w:val="sr-Latn-ME"/>
                    </w:rPr>
                  </w:pPr>
                  <w:r w:rsidRPr="00D01E98">
                    <w:rPr>
                      <w:color w:val="auto"/>
                      <w:sz w:val="22"/>
                      <w:szCs w:val="22"/>
                      <w:lang w:val="sr-Latn-ME"/>
                    </w:rPr>
                    <w:t>0,1</w:t>
                  </w:r>
                </w:p>
              </w:tc>
            </w:tr>
            <w:tr w:rsidR="0073389E" w:rsidRPr="00D01E98" w14:paraId="54B3280D" w14:textId="77777777" w:rsidTr="000C0EC1">
              <w:trPr>
                <w:tblHeader/>
              </w:trPr>
              <w:tc>
                <w:tcPr>
                  <w:tcW w:w="2043" w:type="dxa"/>
                  <w:vMerge w:val="restart"/>
                </w:tcPr>
                <w:p w14:paraId="1D2FAE6A" w14:textId="77777777" w:rsidR="0073389E" w:rsidRPr="00D01E98" w:rsidRDefault="0073389E">
                  <w:pPr>
                    <w:pStyle w:val="Tekst"/>
                    <w:rPr>
                      <w:color w:val="auto"/>
                      <w:sz w:val="22"/>
                      <w:szCs w:val="22"/>
                      <w:lang w:val="sr-Latn-ME"/>
                    </w:rPr>
                  </w:pPr>
                  <w:r w:rsidRPr="00D01E98">
                    <w:rPr>
                      <w:color w:val="auto"/>
                      <w:sz w:val="22"/>
                      <w:szCs w:val="22"/>
                      <w:lang w:val="sr-Latn-ME"/>
                    </w:rPr>
                    <w:t>Poremećaji na nivou kože i potkožnog tkiva</w:t>
                  </w:r>
                </w:p>
              </w:tc>
              <w:tc>
                <w:tcPr>
                  <w:tcW w:w="1462" w:type="dxa"/>
                  <w:vMerge w:val="restart"/>
                </w:tcPr>
                <w:p w14:paraId="4942E502" w14:textId="77777777" w:rsidR="0073389E" w:rsidRPr="00D01E98" w:rsidRDefault="0073389E">
                  <w:pPr>
                    <w:pStyle w:val="Tekst"/>
                    <w:rPr>
                      <w:color w:val="auto"/>
                      <w:sz w:val="22"/>
                      <w:szCs w:val="22"/>
                      <w:lang w:val="sr-Latn-ME"/>
                    </w:rPr>
                  </w:pPr>
                  <w:r w:rsidRPr="00D01E98">
                    <w:rPr>
                      <w:color w:val="auto"/>
                      <w:sz w:val="22"/>
                      <w:szCs w:val="22"/>
                      <w:lang w:val="sr-Latn-ME"/>
                    </w:rPr>
                    <w:t>Veoma česta</w:t>
                  </w:r>
                </w:p>
              </w:tc>
              <w:tc>
                <w:tcPr>
                  <w:tcW w:w="2340" w:type="dxa"/>
                </w:tcPr>
                <w:p w14:paraId="26586907" w14:textId="77777777" w:rsidR="0073389E" w:rsidRPr="00D01E98" w:rsidRDefault="0073389E">
                  <w:pPr>
                    <w:pStyle w:val="Tekst"/>
                    <w:rPr>
                      <w:color w:val="auto"/>
                      <w:sz w:val="22"/>
                      <w:szCs w:val="22"/>
                      <w:lang w:val="sr-Latn-ME"/>
                    </w:rPr>
                  </w:pPr>
                  <w:r w:rsidRPr="00D01E98">
                    <w:rPr>
                      <w:color w:val="auto"/>
                      <w:sz w:val="22"/>
                      <w:szCs w:val="22"/>
                      <w:lang w:val="sr-Latn-ME"/>
                    </w:rPr>
                    <w:t>Sindrom palmarno-plantarne eritrodizestezije (šaka-stopalo)</w:t>
                  </w:r>
                </w:p>
              </w:tc>
              <w:tc>
                <w:tcPr>
                  <w:tcW w:w="1350" w:type="dxa"/>
                </w:tcPr>
                <w:p w14:paraId="28C1E937" w14:textId="46EC850E" w:rsidR="0073389E" w:rsidRPr="00D01E98" w:rsidRDefault="0073389E">
                  <w:pPr>
                    <w:pStyle w:val="Tekst"/>
                    <w:rPr>
                      <w:color w:val="auto"/>
                      <w:sz w:val="22"/>
                      <w:szCs w:val="22"/>
                      <w:lang w:val="sr-Latn-ME"/>
                    </w:rPr>
                  </w:pPr>
                  <w:r w:rsidRPr="00D01E98">
                    <w:rPr>
                      <w:color w:val="auto"/>
                      <w:sz w:val="22"/>
                      <w:szCs w:val="22"/>
                      <w:lang w:val="sr-Latn-ME"/>
                    </w:rPr>
                    <w:t>32,1</w:t>
                  </w:r>
                </w:p>
              </w:tc>
              <w:tc>
                <w:tcPr>
                  <w:tcW w:w="1205" w:type="dxa"/>
                </w:tcPr>
                <w:p w14:paraId="321CBB3F" w14:textId="7AB948B8" w:rsidR="0073389E" w:rsidRPr="00D01E98" w:rsidRDefault="0073389E">
                  <w:pPr>
                    <w:pStyle w:val="Tekst"/>
                    <w:rPr>
                      <w:color w:val="auto"/>
                      <w:sz w:val="22"/>
                      <w:szCs w:val="22"/>
                      <w:lang w:val="sr-Latn-ME"/>
                    </w:rPr>
                  </w:pPr>
                  <w:r w:rsidRPr="00D01E98">
                    <w:rPr>
                      <w:color w:val="auto"/>
                      <w:sz w:val="22"/>
                      <w:szCs w:val="22"/>
                      <w:lang w:val="sr-Latn-ME"/>
                    </w:rPr>
                    <w:t>7,6</w:t>
                  </w:r>
                </w:p>
              </w:tc>
              <w:tc>
                <w:tcPr>
                  <w:tcW w:w="1207" w:type="dxa"/>
                </w:tcPr>
                <w:p w14:paraId="134838AE"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4F031FF8" w14:textId="77777777" w:rsidTr="000C0EC1">
              <w:trPr>
                <w:tblHeader/>
              </w:trPr>
              <w:tc>
                <w:tcPr>
                  <w:tcW w:w="2043" w:type="dxa"/>
                  <w:vMerge/>
                </w:tcPr>
                <w:p w14:paraId="78146771" w14:textId="77777777" w:rsidR="0073389E" w:rsidRPr="00D01E98" w:rsidRDefault="0073389E">
                  <w:pPr>
                    <w:pStyle w:val="Tekst"/>
                    <w:rPr>
                      <w:color w:val="auto"/>
                      <w:sz w:val="22"/>
                      <w:szCs w:val="22"/>
                      <w:lang w:val="sr-Latn-ME"/>
                    </w:rPr>
                  </w:pPr>
                </w:p>
              </w:tc>
              <w:tc>
                <w:tcPr>
                  <w:tcW w:w="1462" w:type="dxa"/>
                  <w:vMerge/>
                </w:tcPr>
                <w:p w14:paraId="41D14965" w14:textId="77777777" w:rsidR="0073389E" w:rsidRPr="00D01E98" w:rsidRDefault="0073389E">
                  <w:pPr>
                    <w:pStyle w:val="Tekst"/>
                    <w:rPr>
                      <w:color w:val="auto"/>
                      <w:sz w:val="22"/>
                      <w:szCs w:val="22"/>
                      <w:lang w:val="sr-Latn-ME"/>
                    </w:rPr>
                  </w:pPr>
                </w:p>
              </w:tc>
              <w:tc>
                <w:tcPr>
                  <w:tcW w:w="2340" w:type="dxa"/>
                </w:tcPr>
                <w:p w14:paraId="14F97E89" w14:textId="77777777" w:rsidR="0073389E" w:rsidRPr="00D01E98" w:rsidRDefault="0073389E">
                  <w:pPr>
                    <w:pStyle w:val="Tekst"/>
                    <w:rPr>
                      <w:color w:val="auto"/>
                      <w:sz w:val="22"/>
                      <w:szCs w:val="22"/>
                      <w:lang w:val="sr-Latn-ME"/>
                    </w:rPr>
                  </w:pPr>
                  <w:r w:rsidRPr="00D01E98">
                    <w:rPr>
                      <w:color w:val="auto"/>
                      <w:sz w:val="22"/>
                      <w:szCs w:val="22"/>
                      <w:lang w:val="sr-Latn-ME"/>
                    </w:rPr>
                    <w:t>Osip</w:t>
                  </w:r>
                </w:p>
              </w:tc>
              <w:tc>
                <w:tcPr>
                  <w:tcW w:w="1350" w:type="dxa"/>
                </w:tcPr>
                <w:p w14:paraId="42781540" w14:textId="3127A47E" w:rsidR="0073389E" w:rsidRPr="00D01E98" w:rsidRDefault="0073389E">
                  <w:pPr>
                    <w:pStyle w:val="Tekst"/>
                    <w:rPr>
                      <w:color w:val="auto"/>
                      <w:sz w:val="22"/>
                      <w:szCs w:val="22"/>
                      <w:lang w:val="sr-Latn-ME"/>
                    </w:rPr>
                  </w:pPr>
                  <w:r w:rsidRPr="00D01E98">
                    <w:rPr>
                      <w:color w:val="auto"/>
                      <w:sz w:val="22"/>
                      <w:szCs w:val="22"/>
                      <w:lang w:val="sr-Latn-ME"/>
                    </w:rPr>
                    <w:t>14,3</w:t>
                  </w:r>
                </w:p>
              </w:tc>
              <w:tc>
                <w:tcPr>
                  <w:tcW w:w="1205" w:type="dxa"/>
                </w:tcPr>
                <w:p w14:paraId="13D41D08" w14:textId="58DE541B" w:rsidR="0073389E" w:rsidRPr="00D01E98" w:rsidRDefault="0073389E">
                  <w:pPr>
                    <w:pStyle w:val="Tekst"/>
                    <w:rPr>
                      <w:color w:val="auto"/>
                      <w:sz w:val="22"/>
                      <w:szCs w:val="22"/>
                      <w:lang w:val="sr-Latn-ME"/>
                    </w:rPr>
                  </w:pPr>
                  <w:r w:rsidRPr="00D01E98">
                    <w:rPr>
                      <w:color w:val="auto"/>
                      <w:sz w:val="22"/>
                      <w:szCs w:val="22"/>
                      <w:lang w:val="sr-Latn-ME"/>
                    </w:rPr>
                    <w:t>0,1</w:t>
                  </w:r>
                </w:p>
              </w:tc>
              <w:tc>
                <w:tcPr>
                  <w:tcW w:w="1207" w:type="dxa"/>
                </w:tcPr>
                <w:p w14:paraId="4B6A7B25"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32006F64" w14:textId="77777777" w:rsidTr="000C0EC1">
              <w:trPr>
                <w:tblHeader/>
              </w:trPr>
              <w:tc>
                <w:tcPr>
                  <w:tcW w:w="2043" w:type="dxa"/>
                  <w:vMerge/>
                </w:tcPr>
                <w:p w14:paraId="45EE4BA7" w14:textId="77777777" w:rsidR="0073389E" w:rsidRPr="00D01E98" w:rsidRDefault="0073389E">
                  <w:pPr>
                    <w:pStyle w:val="Tekst"/>
                    <w:rPr>
                      <w:color w:val="auto"/>
                      <w:sz w:val="22"/>
                      <w:szCs w:val="22"/>
                      <w:lang w:val="sr-Latn-ME"/>
                    </w:rPr>
                  </w:pPr>
                </w:p>
              </w:tc>
              <w:tc>
                <w:tcPr>
                  <w:tcW w:w="1462" w:type="dxa"/>
                  <w:vMerge/>
                </w:tcPr>
                <w:p w14:paraId="61D92859" w14:textId="77777777" w:rsidR="0073389E" w:rsidRPr="00D01E98" w:rsidRDefault="0073389E">
                  <w:pPr>
                    <w:pStyle w:val="Tekst"/>
                    <w:rPr>
                      <w:color w:val="auto"/>
                      <w:sz w:val="22"/>
                      <w:szCs w:val="22"/>
                      <w:lang w:val="sr-Latn-ME"/>
                    </w:rPr>
                  </w:pPr>
                </w:p>
              </w:tc>
              <w:tc>
                <w:tcPr>
                  <w:tcW w:w="2340" w:type="dxa"/>
                </w:tcPr>
                <w:p w14:paraId="62EDC0A3" w14:textId="77777777" w:rsidR="0073389E" w:rsidRPr="00D01E98" w:rsidRDefault="0073389E">
                  <w:pPr>
                    <w:pStyle w:val="Tekst"/>
                    <w:rPr>
                      <w:color w:val="auto"/>
                      <w:sz w:val="22"/>
                      <w:szCs w:val="22"/>
                      <w:lang w:val="sr-Latn-ME"/>
                    </w:rPr>
                  </w:pPr>
                  <w:r w:rsidRPr="00D01E98">
                    <w:rPr>
                      <w:color w:val="auto"/>
                      <w:sz w:val="22"/>
                      <w:szCs w:val="22"/>
                      <w:lang w:val="sr-Latn-ME"/>
                    </w:rPr>
                    <w:t>Suva koža</w:t>
                  </w:r>
                </w:p>
              </w:tc>
              <w:tc>
                <w:tcPr>
                  <w:tcW w:w="1350" w:type="dxa"/>
                </w:tcPr>
                <w:p w14:paraId="5604130B" w14:textId="644D83F2" w:rsidR="0073389E" w:rsidRPr="00D01E98" w:rsidRDefault="0073389E">
                  <w:pPr>
                    <w:pStyle w:val="Tekst"/>
                    <w:rPr>
                      <w:color w:val="auto"/>
                      <w:sz w:val="22"/>
                      <w:szCs w:val="22"/>
                      <w:lang w:val="sr-Latn-ME"/>
                    </w:rPr>
                  </w:pPr>
                  <w:r w:rsidRPr="00D01E98">
                    <w:rPr>
                      <w:color w:val="auto"/>
                      <w:sz w:val="22"/>
                      <w:szCs w:val="22"/>
                      <w:lang w:val="sr-Latn-ME"/>
                    </w:rPr>
                    <w:t>10,1</w:t>
                  </w:r>
                </w:p>
              </w:tc>
              <w:tc>
                <w:tcPr>
                  <w:tcW w:w="1205" w:type="dxa"/>
                </w:tcPr>
                <w:p w14:paraId="755B6110" w14:textId="77777777" w:rsidR="0073389E" w:rsidRPr="00D01E98" w:rsidRDefault="0073389E">
                  <w:pPr>
                    <w:pStyle w:val="Tekst"/>
                    <w:rPr>
                      <w:color w:val="auto"/>
                      <w:sz w:val="22"/>
                      <w:szCs w:val="22"/>
                      <w:lang w:val="sr-Latn-ME"/>
                    </w:rPr>
                  </w:pPr>
                  <w:r w:rsidRPr="00D01E98">
                    <w:rPr>
                      <w:color w:val="auto"/>
                      <w:sz w:val="22"/>
                      <w:szCs w:val="22"/>
                      <w:lang w:val="sr-Latn-ME"/>
                    </w:rPr>
                    <w:t>0,1</w:t>
                  </w:r>
                </w:p>
              </w:tc>
              <w:tc>
                <w:tcPr>
                  <w:tcW w:w="1207" w:type="dxa"/>
                </w:tcPr>
                <w:p w14:paraId="4DA79B5F"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7B0C67E3" w14:textId="77777777" w:rsidTr="000C0EC1">
              <w:trPr>
                <w:tblHeader/>
              </w:trPr>
              <w:tc>
                <w:tcPr>
                  <w:tcW w:w="2043" w:type="dxa"/>
                  <w:vMerge/>
                </w:tcPr>
                <w:p w14:paraId="55BE2E09" w14:textId="77777777" w:rsidR="0073389E" w:rsidRPr="00D01E98" w:rsidRDefault="0073389E">
                  <w:pPr>
                    <w:pStyle w:val="Tekst"/>
                    <w:rPr>
                      <w:color w:val="auto"/>
                      <w:sz w:val="22"/>
                      <w:szCs w:val="22"/>
                      <w:lang w:val="sr-Latn-ME"/>
                    </w:rPr>
                  </w:pPr>
                </w:p>
              </w:tc>
              <w:tc>
                <w:tcPr>
                  <w:tcW w:w="1462" w:type="dxa"/>
                  <w:vMerge w:val="restart"/>
                </w:tcPr>
                <w:p w14:paraId="7BF8FFE2" w14:textId="77777777" w:rsidR="0073389E" w:rsidRPr="00D01E98" w:rsidRDefault="0073389E">
                  <w:pPr>
                    <w:pStyle w:val="Tekst"/>
                    <w:rPr>
                      <w:color w:val="auto"/>
                      <w:sz w:val="22"/>
                      <w:szCs w:val="22"/>
                      <w:lang w:val="sr-Latn-ME"/>
                    </w:rPr>
                  </w:pPr>
                  <w:r w:rsidRPr="00D01E98">
                    <w:rPr>
                      <w:color w:val="auto"/>
                      <w:sz w:val="22"/>
                      <w:szCs w:val="22"/>
                      <w:lang w:val="sr-Latn-ME"/>
                    </w:rPr>
                    <w:t>Česta</w:t>
                  </w:r>
                </w:p>
              </w:tc>
              <w:tc>
                <w:tcPr>
                  <w:tcW w:w="2340" w:type="dxa"/>
                </w:tcPr>
                <w:p w14:paraId="1A7D8188" w14:textId="77777777" w:rsidR="0073389E" w:rsidRPr="00D01E98" w:rsidRDefault="0073389E">
                  <w:pPr>
                    <w:pStyle w:val="Tekst"/>
                    <w:rPr>
                      <w:color w:val="auto"/>
                      <w:sz w:val="22"/>
                      <w:szCs w:val="22"/>
                      <w:lang w:val="sr-Latn-ME"/>
                    </w:rPr>
                  </w:pPr>
                  <w:r w:rsidRPr="00D01E98">
                    <w:rPr>
                      <w:color w:val="auto"/>
                      <w:sz w:val="22"/>
                      <w:szCs w:val="22"/>
                      <w:lang w:val="sr-Latn-ME"/>
                    </w:rPr>
                    <w:t>Pruritus</w:t>
                  </w:r>
                </w:p>
              </w:tc>
              <w:tc>
                <w:tcPr>
                  <w:tcW w:w="1350" w:type="dxa"/>
                </w:tcPr>
                <w:p w14:paraId="5BDEFEC5" w14:textId="0CCBC996" w:rsidR="0073389E" w:rsidRPr="00D01E98" w:rsidRDefault="0073389E">
                  <w:pPr>
                    <w:pStyle w:val="Tekst"/>
                    <w:rPr>
                      <w:color w:val="auto"/>
                      <w:sz w:val="22"/>
                      <w:szCs w:val="22"/>
                      <w:lang w:val="sr-Latn-ME"/>
                    </w:rPr>
                  </w:pPr>
                  <w:r w:rsidRPr="00D01E98">
                    <w:rPr>
                      <w:color w:val="auto"/>
                      <w:sz w:val="22"/>
                      <w:szCs w:val="22"/>
                      <w:lang w:val="sr-Latn-ME"/>
                    </w:rPr>
                    <w:t>6,0</w:t>
                  </w:r>
                </w:p>
              </w:tc>
              <w:tc>
                <w:tcPr>
                  <w:tcW w:w="1205" w:type="dxa"/>
                </w:tcPr>
                <w:p w14:paraId="14E0A688" w14:textId="77777777" w:rsidR="0073389E" w:rsidRPr="00D01E98" w:rsidRDefault="0073389E">
                  <w:pPr>
                    <w:pStyle w:val="Tekst"/>
                    <w:rPr>
                      <w:color w:val="auto"/>
                      <w:sz w:val="22"/>
                      <w:szCs w:val="22"/>
                      <w:lang w:val="sr-Latn-ME"/>
                    </w:rPr>
                  </w:pPr>
                  <w:r w:rsidRPr="00D01E98">
                    <w:rPr>
                      <w:color w:val="auto"/>
                      <w:sz w:val="22"/>
                      <w:szCs w:val="22"/>
                      <w:lang w:val="sr-Latn-ME"/>
                    </w:rPr>
                    <w:t>0</w:t>
                  </w:r>
                </w:p>
              </w:tc>
              <w:tc>
                <w:tcPr>
                  <w:tcW w:w="1207" w:type="dxa"/>
                </w:tcPr>
                <w:p w14:paraId="09617684"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75C4167E" w14:textId="77777777" w:rsidTr="000C0EC1">
              <w:trPr>
                <w:tblHeader/>
              </w:trPr>
              <w:tc>
                <w:tcPr>
                  <w:tcW w:w="2043" w:type="dxa"/>
                  <w:vMerge/>
                </w:tcPr>
                <w:p w14:paraId="25FA69AD" w14:textId="77777777" w:rsidR="0073389E" w:rsidRPr="00D01E98" w:rsidRDefault="0073389E">
                  <w:pPr>
                    <w:pStyle w:val="Tekst"/>
                    <w:rPr>
                      <w:color w:val="auto"/>
                      <w:sz w:val="22"/>
                      <w:szCs w:val="22"/>
                      <w:lang w:val="sr-Latn-ME"/>
                    </w:rPr>
                  </w:pPr>
                </w:p>
              </w:tc>
              <w:tc>
                <w:tcPr>
                  <w:tcW w:w="1462" w:type="dxa"/>
                  <w:vMerge/>
                </w:tcPr>
                <w:p w14:paraId="12B4CF38" w14:textId="77777777" w:rsidR="0073389E" w:rsidRPr="00D01E98" w:rsidRDefault="0073389E">
                  <w:pPr>
                    <w:pStyle w:val="Tekst"/>
                    <w:rPr>
                      <w:color w:val="auto"/>
                      <w:sz w:val="22"/>
                      <w:szCs w:val="22"/>
                      <w:lang w:val="sr-Latn-ME"/>
                    </w:rPr>
                  </w:pPr>
                </w:p>
              </w:tc>
              <w:tc>
                <w:tcPr>
                  <w:tcW w:w="2340" w:type="dxa"/>
                </w:tcPr>
                <w:p w14:paraId="3D7E41C1" w14:textId="77777777" w:rsidR="0073389E" w:rsidRPr="00D01E98" w:rsidRDefault="0073389E">
                  <w:pPr>
                    <w:pStyle w:val="Tekst"/>
                    <w:rPr>
                      <w:color w:val="auto"/>
                      <w:sz w:val="22"/>
                      <w:szCs w:val="22"/>
                      <w:lang w:val="sr-Latn-ME"/>
                    </w:rPr>
                  </w:pPr>
                  <w:r w:rsidRPr="00D01E98">
                    <w:rPr>
                      <w:color w:val="auto"/>
                      <w:sz w:val="22"/>
                      <w:szCs w:val="22"/>
                      <w:lang w:val="sr-Latn-ME"/>
                    </w:rPr>
                    <w:t>Eritem</w:t>
                  </w:r>
                </w:p>
              </w:tc>
              <w:tc>
                <w:tcPr>
                  <w:tcW w:w="1350" w:type="dxa"/>
                </w:tcPr>
                <w:p w14:paraId="2FAD5B9C" w14:textId="01013DD6" w:rsidR="0073389E" w:rsidRPr="00D01E98" w:rsidRDefault="0073389E">
                  <w:pPr>
                    <w:pStyle w:val="Tekst"/>
                    <w:rPr>
                      <w:color w:val="auto"/>
                      <w:sz w:val="22"/>
                      <w:szCs w:val="22"/>
                      <w:lang w:val="sr-Latn-ME"/>
                    </w:rPr>
                  </w:pPr>
                  <w:r w:rsidRPr="00D01E98">
                    <w:rPr>
                      <w:color w:val="auto"/>
                      <w:sz w:val="22"/>
                      <w:szCs w:val="22"/>
                      <w:lang w:val="sr-Latn-ME"/>
                    </w:rPr>
                    <w:t>3,7</w:t>
                  </w:r>
                </w:p>
              </w:tc>
              <w:tc>
                <w:tcPr>
                  <w:tcW w:w="1205" w:type="dxa"/>
                </w:tcPr>
                <w:p w14:paraId="28A048FD" w14:textId="77777777" w:rsidR="0073389E" w:rsidRPr="00D01E98" w:rsidRDefault="0073389E">
                  <w:pPr>
                    <w:pStyle w:val="Tekst"/>
                    <w:rPr>
                      <w:color w:val="auto"/>
                      <w:sz w:val="22"/>
                      <w:szCs w:val="22"/>
                      <w:lang w:val="sr-Latn-ME"/>
                    </w:rPr>
                  </w:pPr>
                  <w:r w:rsidRPr="00D01E98">
                    <w:rPr>
                      <w:color w:val="auto"/>
                      <w:sz w:val="22"/>
                      <w:szCs w:val="22"/>
                      <w:lang w:val="sr-Latn-ME"/>
                    </w:rPr>
                    <w:t>0</w:t>
                  </w:r>
                </w:p>
              </w:tc>
              <w:tc>
                <w:tcPr>
                  <w:tcW w:w="1207" w:type="dxa"/>
                </w:tcPr>
                <w:p w14:paraId="281CD92B"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79ED8496" w14:textId="77777777" w:rsidTr="000C0EC1">
              <w:trPr>
                <w:tblHeader/>
              </w:trPr>
              <w:tc>
                <w:tcPr>
                  <w:tcW w:w="2043" w:type="dxa"/>
                  <w:vMerge/>
                </w:tcPr>
                <w:p w14:paraId="7E9FD1BC" w14:textId="77777777" w:rsidR="0073389E" w:rsidRPr="00D01E98" w:rsidRDefault="0073389E">
                  <w:pPr>
                    <w:pStyle w:val="Tekst"/>
                    <w:rPr>
                      <w:color w:val="auto"/>
                      <w:sz w:val="22"/>
                      <w:szCs w:val="22"/>
                      <w:lang w:val="sr-Latn-ME"/>
                    </w:rPr>
                  </w:pPr>
                </w:p>
              </w:tc>
              <w:tc>
                <w:tcPr>
                  <w:tcW w:w="1462" w:type="dxa"/>
                  <w:vMerge/>
                </w:tcPr>
                <w:p w14:paraId="543E2423" w14:textId="77777777" w:rsidR="0073389E" w:rsidRPr="00D01E98" w:rsidRDefault="0073389E">
                  <w:pPr>
                    <w:pStyle w:val="Tekst"/>
                    <w:rPr>
                      <w:color w:val="auto"/>
                      <w:sz w:val="22"/>
                      <w:szCs w:val="22"/>
                      <w:lang w:val="sr-Latn-ME"/>
                    </w:rPr>
                  </w:pPr>
                </w:p>
              </w:tc>
              <w:tc>
                <w:tcPr>
                  <w:tcW w:w="2340" w:type="dxa"/>
                </w:tcPr>
                <w:p w14:paraId="6EFD42E1" w14:textId="77777777" w:rsidR="0073389E" w:rsidRPr="00D01E98" w:rsidRDefault="0073389E">
                  <w:pPr>
                    <w:pStyle w:val="Tekst"/>
                    <w:rPr>
                      <w:color w:val="auto"/>
                      <w:sz w:val="22"/>
                      <w:szCs w:val="22"/>
                      <w:lang w:val="sr-Latn-ME"/>
                    </w:rPr>
                  </w:pPr>
                  <w:r w:rsidRPr="00D01E98">
                    <w:rPr>
                      <w:color w:val="auto"/>
                      <w:sz w:val="22"/>
                      <w:szCs w:val="22"/>
                      <w:lang w:val="sr-Latn-ME"/>
                    </w:rPr>
                    <w:t>Alopecija</w:t>
                  </w:r>
                </w:p>
              </w:tc>
              <w:tc>
                <w:tcPr>
                  <w:tcW w:w="1350" w:type="dxa"/>
                </w:tcPr>
                <w:p w14:paraId="04FBAEB9" w14:textId="27ADF304" w:rsidR="0073389E" w:rsidRPr="00D01E98" w:rsidRDefault="0073389E">
                  <w:pPr>
                    <w:pStyle w:val="Tekst"/>
                    <w:rPr>
                      <w:color w:val="auto"/>
                      <w:sz w:val="22"/>
                      <w:szCs w:val="22"/>
                      <w:lang w:val="sr-Latn-ME"/>
                    </w:rPr>
                  </w:pPr>
                  <w:r w:rsidRPr="00D01E98">
                    <w:rPr>
                      <w:color w:val="auto"/>
                      <w:sz w:val="22"/>
                      <w:szCs w:val="22"/>
                      <w:lang w:val="sr-Latn-ME"/>
                    </w:rPr>
                    <w:t>5,7</w:t>
                  </w:r>
                </w:p>
              </w:tc>
              <w:tc>
                <w:tcPr>
                  <w:tcW w:w="1205" w:type="dxa"/>
                </w:tcPr>
                <w:p w14:paraId="466AA1C9" w14:textId="77777777" w:rsidR="0073389E" w:rsidRPr="00D01E98" w:rsidRDefault="0073389E">
                  <w:pPr>
                    <w:pStyle w:val="Tekst"/>
                    <w:rPr>
                      <w:color w:val="auto"/>
                      <w:sz w:val="22"/>
                      <w:szCs w:val="22"/>
                      <w:lang w:val="sr-Latn-ME"/>
                    </w:rPr>
                  </w:pPr>
                  <w:r w:rsidRPr="00D01E98">
                    <w:rPr>
                      <w:color w:val="auto"/>
                      <w:sz w:val="22"/>
                      <w:szCs w:val="22"/>
                      <w:lang w:val="sr-Latn-ME"/>
                    </w:rPr>
                    <w:t>0</w:t>
                  </w:r>
                </w:p>
              </w:tc>
              <w:tc>
                <w:tcPr>
                  <w:tcW w:w="1207" w:type="dxa"/>
                </w:tcPr>
                <w:p w14:paraId="03CD66CD"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18858050" w14:textId="77777777" w:rsidTr="000C0EC1">
              <w:trPr>
                <w:tblHeader/>
              </w:trPr>
              <w:tc>
                <w:tcPr>
                  <w:tcW w:w="2043" w:type="dxa"/>
                  <w:vMerge w:val="restart"/>
                </w:tcPr>
                <w:p w14:paraId="28045E96" w14:textId="77777777" w:rsidR="0073389E" w:rsidRPr="00D01E98" w:rsidRDefault="0073389E">
                  <w:pPr>
                    <w:pStyle w:val="TableText"/>
                    <w:jc w:val="both"/>
                    <w:rPr>
                      <w:rFonts w:cs="Times New Roman"/>
                      <w:sz w:val="22"/>
                      <w:szCs w:val="22"/>
                      <w:lang w:val="sr-Latn-ME"/>
                    </w:rPr>
                  </w:pPr>
                  <w:r w:rsidRPr="00D01E98">
                    <w:rPr>
                      <w:rFonts w:cs="Times New Roman"/>
                      <w:sz w:val="22"/>
                      <w:szCs w:val="22"/>
                      <w:lang w:val="sr-Latn-ME"/>
                    </w:rPr>
                    <w:t>Poremećaji mišićno-skeletnog, vezivnog i koštanog tkiva</w:t>
                  </w:r>
                </w:p>
              </w:tc>
              <w:tc>
                <w:tcPr>
                  <w:tcW w:w="1462" w:type="dxa"/>
                  <w:vMerge w:val="restart"/>
                </w:tcPr>
                <w:p w14:paraId="4AAD7024" w14:textId="77777777" w:rsidR="0073389E" w:rsidRPr="00D01E98" w:rsidRDefault="0073389E">
                  <w:pPr>
                    <w:pStyle w:val="Tekst"/>
                    <w:rPr>
                      <w:color w:val="auto"/>
                      <w:sz w:val="22"/>
                      <w:szCs w:val="22"/>
                      <w:lang w:val="sr-Latn-ME"/>
                    </w:rPr>
                  </w:pPr>
                  <w:r w:rsidRPr="00D01E98">
                    <w:rPr>
                      <w:color w:val="auto"/>
                      <w:sz w:val="22"/>
                      <w:szCs w:val="22"/>
                      <w:lang w:val="sr-Latn-ME"/>
                    </w:rPr>
                    <w:t>Veoma česta</w:t>
                  </w:r>
                </w:p>
              </w:tc>
              <w:tc>
                <w:tcPr>
                  <w:tcW w:w="2340" w:type="dxa"/>
                </w:tcPr>
                <w:p w14:paraId="7AB3F223" w14:textId="77777777" w:rsidR="0073389E" w:rsidRPr="00D01E98" w:rsidRDefault="0073389E">
                  <w:pPr>
                    <w:pStyle w:val="Tekst"/>
                    <w:rPr>
                      <w:color w:val="auto"/>
                      <w:sz w:val="22"/>
                      <w:szCs w:val="22"/>
                      <w:lang w:val="sr-Latn-ME"/>
                    </w:rPr>
                  </w:pPr>
                  <w:r w:rsidRPr="00D01E98">
                    <w:rPr>
                      <w:color w:val="auto"/>
                      <w:sz w:val="22"/>
                      <w:szCs w:val="22"/>
                      <w:lang w:val="sr-Latn-ME"/>
                    </w:rPr>
                    <w:t>Artralgija</w:t>
                  </w:r>
                </w:p>
              </w:tc>
              <w:tc>
                <w:tcPr>
                  <w:tcW w:w="1350" w:type="dxa"/>
                </w:tcPr>
                <w:p w14:paraId="645D197B" w14:textId="5750A3BD" w:rsidR="0073389E" w:rsidRPr="00D01E98" w:rsidRDefault="0073389E">
                  <w:pPr>
                    <w:pStyle w:val="Tekst"/>
                    <w:rPr>
                      <w:color w:val="auto"/>
                      <w:sz w:val="22"/>
                      <w:szCs w:val="22"/>
                      <w:lang w:val="sr-Latn-ME"/>
                    </w:rPr>
                  </w:pPr>
                  <w:r w:rsidRPr="00D01E98">
                    <w:rPr>
                      <w:sz w:val="22"/>
                      <w:szCs w:val="22"/>
                      <w:lang w:val="sr-Latn-ME"/>
                    </w:rPr>
                    <w:t>17,7</w:t>
                  </w:r>
                </w:p>
              </w:tc>
              <w:tc>
                <w:tcPr>
                  <w:tcW w:w="1205" w:type="dxa"/>
                </w:tcPr>
                <w:p w14:paraId="62A76BC2" w14:textId="77777777" w:rsidR="0073389E" w:rsidRPr="00D01E98" w:rsidRDefault="0073389E">
                  <w:pPr>
                    <w:pStyle w:val="Tekst"/>
                    <w:rPr>
                      <w:color w:val="auto"/>
                      <w:sz w:val="22"/>
                      <w:szCs w:val="22"/>
                      <w:lang w:val="sr-Latn-ME"/>
                    </w:rPr>
                  </w:pPr>
                  <w:r w:rsidRPr="00D01E98">
                    <w:rPr>
                      <w:sz w:val="22"/>
                      <w:szCs w:val="22"/>
                      <w:lang w:val="sr-Latn-ME"/>
                    </w:rPr>
                    <w:t>1,9</w:t>
                  </w:r>
                </w:p>
              </w:tc>
              <w:tc>
                <w:tcPr>
                  <w:tcW w:w="1207" w:type="dxa"/>
                </w:tcPr>
                <w:p w14:paraId="4BDDD6C7" w14:textId="4BA67359" w:rsidR="0073389E" w:rsidRPr="00D01E98" w:rsidRDefault="0073389E">
                  <w:pPr>
                    <w:pStyle w:val="Tekst"/>
                    <w:rPr>
                      <w:color w:val="auto"/>
                      <w:sz w:val="22"/>
                      <w:szCs w:val="22"/>
                      <w:lang w:val="sr-Latn-ME"/>
                    </w:rPr>
                  </w:pPr>
                  <w:r w:rsidRPr="00D01E98">
                    <w:rPr>
                      <w:color w:val="auto"/>
                      <w:sz w:val="22"/>
                      <w:szCs w:val="22"/>
                      <w:lang w:val="sr-Latn-ME"/>
                    </w:rPr>
                    <w:t>0</w:t>
                  </w:r>
                  <w:r w:rsidRPr="00D01E98">
                    <w:rPr>
                      <w:sz w:val="22"/>
                      <w:szCs w:val="22"/>
                      <w:lang w:val="sr-Latn-ME"/>
                    </w:rPr>
                    <w:t>,3</w:t>
                  </w:r>
                </w:p>
              </w:tc>
            </w:tr>
            <w:tr w:rsidR="0073389E" w:rsidRPr="00D01E98" w14:paraId="4408D251" w14:textId="77777777" w:rsidTr="000C0EC1">
              <w:trPr>
                <w:tblHeader/>
              </w:trPr>
              <w:tc>
                <w:tcPr>
                  <w:tcW w:w="2043" w:type="dxa"/>
                  <w:vMerge/>
                </w:tcPr>
                <w:p w14:paraId="549845BE" w14:textId="77777777" w:rsidR="0073389E" w:rsidRPr="00D01E98" w:rsidRDefault="0073389E">
                  <w:pPr>
                    <w:pStyle w:val="TableText"/>
                    <w:jc w:val="both"/>
                    <w:rPr>
                      <w:rFonts w:cs="Times New Roman"/>
                      <w:sz w:val="22"/>
                      <w:szCs w:val="22"/>
                      <w:lang w:val="sr-Latn-ME"/>
                    </w:rPr>
                  </w:pPr>
                </w:p>
              </w:tc>
              <w:tc>
                <w:tcPr>
                  <w:tcW w:w="1462" w:type="dxa"/>
                  <w:vMerge/>
                </w:tcPr>
                <w:p w14:paraId="70B86B34" w14:textId="77777777" w:rsidR="0073389E" w:rsidRPr="00D01E98" w:rsidRDefault="0073389E">
                  <w:pPr>
                    <w:pStyle w:val="Tekst"/>
                    <w:rPr>
                      <w:color w:val="auto"/>
                      <w:sz w:val="22"/>
                      <w:szCs w:val="22"/>
                      <w:lang w:val="sr-Latn-ME"/>
                    </w:rPr>
                  </w:pPr>
                </w:p>
              </w:tc>
              <w:tc>
                <w:tcPr>
                  <w:tcW w:w="2340" w:type="dxa"/>
                </w:tcPr>
                <w:p w14:paraId="6DF59A48" w14:textId="77777777" w:rsidR="0073389E" w:rsidRPr="00D01E98" w:rsidRDefault="0073389E">
                  <w:pPr>
                    <w:pStyle w:val="Tekst"/>
                    <w:rPr>
                      <w:color w:val="auto"/>
                      <w:sz w:val="22"/>
                      <w:szCs w:val="22"/>
                      <w:lang w:val="sr-Latn-ME"/>
                    </w:rPr>
                  </w:pPr>
                  <w:r w:rsidRPr="00D01E98">
                    <w:rPr>
                      <w:color w:val="auto"/>
                      <w:sz w:val="22"/>
                      <w:szCs w:val="22"/>
                      <w:lang w:val="sr-Latn-ME"/>
                    </w:rPr>
                    <w:t>Bol u ekstremitetima</w:t>
                  </w:r>
                </w:p>
              </w:tc>
              <w:tc>
                <w:tcPr>
                  <w:tcW w:w="1350" w:type="dxa"/>
                </w:tcPr>
                <w:p w14:paraId="022CA7AF" w14:textId="6A9C182F" w:rsidR="0073389E" w:rsidRPr="00D01E98" w:rsidRDefault="0073389E">
                  <w:pPr>
                    <w:pStyle w:val="Tekst"/>
                    <w:rPr>
                      <w:sz w:val="22"/>
                      <w:szCs w:val="22"/>
                      <w:lang w:val="sr-Latn-ME"/>
                    </w:rPr>
                  </w:pPr>
                  <w:r w:rsidRPr="00D01E98">
                    <w:rPr>
                      <w:sz w:val="22"/>
                      <w:szCs w:val="22"/>
                      <w:lang w:val="sr-Latn-ME"/>
                    </w:rPr>
                    <w:t>14,1</w:t>
                  </w:r>
                </w:p>
              </w:tc>
              <w:tc>
                <w:tcPr>
                  <w:tcW w:w="1205" w:type="dxa"/>
                </w:tcPr>
                <w:p w14:paraId="06298ADE" w14:textId="0158A4EF" w:rsidR="0073389E" w:rsidRPr="00D01E98" w:rsidRDefault="0073389E">
                  <w:pPr>
                    <w:pStyle w:val="Tekst"/>
                    <w:rPr>
                      <w:sz w:val="22"/>
                      <w:szCs w:val="22"/>
                      <w:lang w:val="sr-Latn-ME"/>
                    </w:rPr>
                  </w:pPr>
                  <w:r w:rsidRPr="00D01E98">
                    <w:rPr>
                      <w:color w:val="auto"/>
                      <w:sz w:val="22"/>
                      <w:szCs w:val="22"/>
                      <w:lang w:val="sr-Latn-ME"/>
                    </w:rPr>
                    <w:t>1,00</w:t>
                  </w:r>
                </w:p>
              </w:tc>
              <w:tc>
                <w:tcPr>
                  <w:tcW w:w="1207" w:type="dxa"/>
                </w:tcPr>
                <w:p w14:paraId="02C1132A" w14:textId="40BC20D8" w:rsidR="0073389E" w:rsidRPr="00D01E98" w:rsidRDefault="0073389E">
                  <w:pPr>
                    <w:pStyle w:val="Tekst"/>
                    <w:rPr>
                      <w:color w:val="auto"/>
                      <w:sz w:val="22"/>
                      <w:szCs w:val="22"/>
                      <w:lang w:val="sr-Latn-ME"/>
                    </w:rPr>
                  </w:pPr>
                  <w:r w:rsidRPr="00D01E98">
                    <w:rPr>
                      <w:color w:val="auto"/>
                      <w:sz w:val="22"/>
                      <w:szCs w:val="22"/>
                      <w:lang w:val="sr-Latn-ME"/>
                    </w:rPr>
                    <w:t>0</w:t>
                  </w:r>
                  <w:r w:rsidRPr="00D01E98">
                    <w:rPr>
                      <w:sz w:val="22"/>
                      <w:szCs w:val="22"/>
                      <w:lang w:val="sr-Latn-ME"/>
                    </w:rPr>
                    <w:t>,3</w:t>
                  </w:r>
                </w:p>
              </w:tc>
            </w:tr>
            <w:tr w:rsidR="0073389E" w:rsidRPr="00D01E98" w14:paraId="390125C5" w14:textId="77777777" w:rsidTr="000C0EC1">
              <w:trPr>
                <w:trHeight w:val="287"/>
                <w:tblHeader/>
              </w:trPr>
              <w:tc>
                <w:tcPr>
                  <w:tcW w:w="2043" w:type="dxa"/>
                  <w:vMerge/>
                </w:tcPr>
                <w:p w14:paraId="2179547C" w14:textId="77777777" w:rsidR="0073389E" w:rsidRPr="00D01E98" w:rsidRDefault="0073389E">
                  <w:pPr>
                    <w:pStyle w:val="TableText"/>
                    <w:jc w:val="both"/>
                    <w:rPr>
                      <w:rFonts w:cs="Times New Roman"/>
                      <w:sz w:val="22"/>
                      <w:szCs w:val="22"/>
                      <w:lang w:val="sr-Latn-ME"/>
                    </w:rPr>
                  </w:pPr>
                </w:p>
              </w:tc>
              <w:tc>
                <w:tcPr>
                  <w:tcW w:w="1462" w:type="dxa"/>
                </w:tcPr>
                <w:p w14:paraId="46AAE194" w14:textId="77777777" w:rsidR="0073389E" w:rsidRPr="00D01E98" w:rsidRDefault="0073389E">
                  <w:pPr>
                    <w:pStyle w:val="Tekst"/>
                    <w:rPr>
                      <w:color w:val="auto"/>
                      <w:sz w:val="22"/>
                      <w:szCs w:val="22"/>
                      <w:lang w:val="sr-Latn-ME"/>
                    </w:rPr>
                  </w:pPr>
                  <w:r w:rsidRPr="00D01E98">
                    <w:rPr>
                      <w:color w:val="auto"/>
                      <w:sz w:val="22"/>
                      <w:szCs w:val="22"/>
                      <w:lang w:val="sr-Latn-ME"/>
                    </w:rPr>
                    <w:t>Česta</w:t>
                  </w:r>
                </w:p>
              </w:tc>
              <w:tc>
                <w:tcPr>
                  <w:tcW w:w="2340" w:type="dxa"/>
                </w:tcPr>
                <w:p w14:paraId="249CBE03" w14:textId="77777777" w:rsidR="0073389E" w:rsidRPr="00D01E98" w:rsidRDefault="0073389E">
                  <w:pPr>
                    <w:pStyle w:val="Tekst"/>
                    <w:rPr>
                      <w:color w:val="auto"/>
                      <w:sz w:val="22"/>
                      <w:szCs w:val="22"/>
                      <w:lang w:val="sr-Latn-ME"/>
                    </w:rPr>
                  </w:pPr>
                  <w:r w:rsidRPr="00D01E98">
                    <w:rPr>
                      <w:color w:val="auto"/>
                      <w:sz w:val="22"/>
                      <w:szCs w:val="22"/>
                      <w:lang w:val="sr-Latn-ME"/>
                    </w:rPr>
                    <w:t>Mialgija</w:t>
                  </w:r>
                </w:p>
              </w:tc>
              <w:tc>
                <w:tcPr>
                  <w:tcW w:w="1350" w:type="dxa"/>
                </w:tcPr>
                <w:p w14:paraId="2C324B5D" w14:textId="0C44C4E8" w:rsidR="0073389E" w:rsidRPr="00D01E98" w:rsidRDefault="0073389E">
                  <w:pPr>
                    <w:pStyle w:val="Tekst"/>
                    <w:rPr>
                      <w:color w:val="auto"/>
                      <w:sz w:val="22"/>
                      <w:szCs w:val="22"/>
                      <w:lang w:val="sr-Latn-ME"/>
                    </w:rPr>
                  </w:pPr>
                  <w:r w:rsidRPr="00D01E98">
                    <w:rPr>
                      <w:sz w:val="22"/>
                      <w:szCs w:val="22"/>
                      <w:lang w:val="sr-Latn-ME"/>
                    </w:rPr>
                    <w:t>8,2</w:t>
                  </w:r>
                </w:p>
              </w:tc>
              <w:tc>
                <w:tcPr>
                  <w:tcW w:w="1205" w:type="dxa"/>
                </w:tcPr>
                <w:p w14:paraId="2081F332" w14:textId="77777777" w:rsidR="0073389E" w:rsidRPr="00D01E98" w:rsidRDefault="0073389E">
                  <w:pPr>
                    <w:pStyle w:val="Tekst"/>
                    <w:rPr>
                      <w:color w:val="auto"/>
                      <w:sz w:val="22"/>
                      <w:szCs w:val="22"/>
                      <w:lang w:val="sr-Latn-ME"/>
                    </w:rPr>
                  </w:pPr>
                  <w:r w:rsidRPr="00D01E98">
                    <w:rPr>
                      <w:sz w:val="22"/>
                      <w:szCs w:val="22"/>
                      <w:lang w:val="sr-Latn-ME"/>
                    </w:rPr>
                    <w:t>0,6</w:t>
                  </w:r>
                </w:p>
              </w:tc>
              <w:tc>
                <w:tcPr>
                  <w:tcW w:w="1207" w:type="dxa"/>
                </w:tcPr>
                <w:p w14:paraId="345B98C9" w14:textId="4542AD55" w:rsidR="0073389E" w:rsidRPr="00D01E98" w:rsidRDefault="0073389E">
                  <w:pPr>
                    <w:pStyle w:val="Tekst"/>
                    <w:rPr>
                      <w:color w:val="auto"/>
                      <w:sz w:val="22"/>
                      <w:szCs w:val="22"/>
                      <w:lang w:val="sr-Latn-ME"/>
                    </w:rPr>
                  </w:pPr>
                  <w:r w:rsidRPr="00D01E98">
                    <w:rPr>
                      <w:color w:val="auto"/>
                      <w:sz w:val="22"/>
                      <w:szCs w:val="22"/>
                      <w:lang w:val="sr-Latn-ME"/>
                    </w:rPr>
                    <w:t>0</w:t>
                  </w:r>
                  <w:r w:rsidRPr="00D01E98">
                    <w:rPr>
                      <w:sz w:val="22"/>
                      <w:szCs w:val="22"/>
                      <w:lang w:val="sr-Latn-ME"/>
                    </w:rPr>
                    <w:t>,1</w:t>
                  </w:r>
                </w:p>
              </w:tc>
            </w:tr>
            <w:tr w:rsidR="0073389E" w:rsidRPr="00D01E98" w14:paraId="33FA4268" w14:textId="77777777" w:rsidTr="000C0EC1">
              <w:trPr>
                <w:tblHeader/>
              </w:trPr>
              <w:tc>
                <w:tcPr>
                  <w:tcW w:w="2043" w:type="dxa"/>
                  <w:vMerge w:val="restart"/>
                </w:tcPr>
                <w:p w14:paraId="7C12CCBB" w14:textId="5A7D7143" w:rsidR="0073389E" w:rsidRPr="00D01E98" w:rsidRDefault="0073389E">
                  <w:pPr>
                    <w:pStyle w:val="TableText"/>
                    <w:jc w:val="both"/>
                    <w:rPr>
                      <w:rFonts w:cs="Times New Roman"/>
                      <w:sz w:val="22"/>
                      <w:szCs w:val="22"/>
                      <w:lang w:val="sr-Latn-ME"/>
                    </w:rPr>
                  </w:pPr>
                  <w:r w:rsidRPr="00D01E98">
                    <w:rPr>
                      <w:rFonts w:cs="Times New Roman"/>
                      <w:sz w:val="22"/>
                      <w:szCs w:val="22"/>
                      <w:lang w:val="sr-Latn-ME"/>
                    </w:rPr>
                    <w:t>Poremećaji na nivou bubrega i urinarnog sistema</w:t>
                  </w:r>
                </w:p>
              </w:tc>
              <w:tc>
                <w:tcPr>
                  <w:tcW w:w="1462" w:type="dxa"/>
                </w:tcPr>
                <w:p w14:paraId="78451DC9" w14:textId="77777777" w:rsidR="0073389E" w:rsidRPr="00D01E98" w:rsidRDefault="0073389E">
                  <w:pPr>
                    <w:pStyle w:val="Tekst"/>
                    <w:rPr>
                      <w:color w:val="auto"/>
                      <w:sz w:val="22"/>
                      <w:szCs w:val="22"/>
                      <w:lang w:val="sr-Latn-ME"/>
                    </w:rPr>
                  </w:pPr>
                  <w:r w:rsidRPr="00D01E98">
                    <w:rPr>
                      <w:color w:val="auto"/>
                      <w:sz w:val="22"/>
                      <w:szCs w:val="22"/>
                      <w:lang w:val="sr-Latn-ME"/>
                    </w:rPr>
                    <w:t>Veoma česta</w:t>
                  </w:r>
                </w:p>
              </w:tc>
              <w:tc>
                <w:tcPr>
                  <w:tcW w:w="2340" w:type="dxa"/>
                </w:tcPr>
                <w:p w14:paraId="0E94B1F7" w14:textId="77777777" w:rsidR="0073389E" w:rsidRPr="00D01E98" w:rsidRDefault="0073389E">
                  <w:pPr>
                    <w:pStyle w:val="Tekst"/>
                    <w:rPr>
                      <w:color w:val="auto"/>
                      <w:sz w:val="22"/>
                      <w:szCs w:val="22"/>
                      <w:lang w:val="sr-Latn-ME"/>
                    </w:rPr>
                  </w:pPr>
                  <w:r w:rsidRPr="00D01E98">
                    <w:rPr>
                      <w:color w:val="auto"/>
                      <w:sz w:val="22"/>
                      <w:szCs w:val="22"/>
                      <w:lang w:val="sr-Latn-ME"/>
                    </w:rPr>
                    <w:t>Proteinurija</w:t>
                  </w:r>
                  <w:r w:rsidRPr="00D01E98">
                    <w:rPr>
                      <w:szCs w:val="22"/>
                      <w:vertAlign w:val="superscript"/>
                      <w:lang w:val="sr-Latn-ME"/>
                    </w:rPr>
                    <w:t>l</w:t>
                  </w:r>
                </w:p>
              </w:tc>
              <w:tc>
                <w:tcPr>
                  <w:tcW w:w="1350" w:type="dxa"/>
                </w:tcPr>
                <w:p w14:paraId="797C13A3" w14:textId="2A00606F" w:rsidR="0073389E" w:rsidRPr="00D01E98" w:rsidRDefault="0073389E">
                  <w:pPr>
                    <w:pStyle w:val="Tekst"/>
                    <w:rPr>
                      <w:color w:val="auto"/>
                      <w:sz w:val="22"/>
                      <w:szCs w:val="22"/>
                      <w:lang w:val="sr-Latn-ME"/>
                    </w:rPr>
                  </w:pPr>
                  <w:r w:rsidRPr="00D01E98">
                    <w:rPr>
                      <w:color w:val="auto"/>
                      <w:sz w:val="22"/>
                      <w:szCs w:val="22"/>
                      <w:lang w:val="sr-Latn-ME"/>
                    </w:rPr>
                    <w:t>21,1</w:t>
                  </w:r>
                </w:p>
              </w:tc>
              <w:tc>
                <w:tcPr>
                  <w:tcW w:w="1205" w:type="dxa"/>
                </w:tcPr>
                <w:p w14:paraId="280A5C49" w14:textId="6B8051E5" w:rsidR="0073389E" w:rsidRPr="00D01E98" w:rsidRDefault="0073389E">
                  <w:pPr>
                    <w:pStyle w:val="Tekst"/>
                    <w:rPr>
                      <w:color w:val="auto"/>
                      <w:sz w:val="22"/>
                      <w:szCs w:val="22"/>
                      <w:lang w:val="sr-Latn-ME"/>
                    </w:rPr>
                  </w:pPr>
                  <w:r w:rsidRPr="00D01E98">
                    <w:rPr>
                      <w:color w:val="auto"/>
                      <w:sz w:val="22"/>
                      <w:szCs w:val="22"/>
                      <w:lang w:val="sr-Latn-ME"/>
                    </w:rPr>
                    <w:t>4,8</w:t>
                  </w:r>
                </w:p>
              </w:tc>
              <w:tc>
                <w:tcPr>
                  <w:tcW w:w="1207" w:type="dxa"/>
                </w:tcPr>
                <w:p w14:paraId="308330F7" w14:textId="77777777" w:rsidR="0073389E" w:rsidRPr="00D01E98" w:rsidRDefault="0073389E">
                  <w:pPr>
                    <w:pStyle w:val="Tekst"/>
                    <w:rPr>
                      <w:color w:val="auto"/>
                      <w:sz w:val="22"/>
                      <w:szCs w:val="22"/>
                      <w:lang w:val="sr-Latn-ME"/>
                    </w:rPr>
                  </w:pPr>
                  <w:r w:rsidRPr="00D01E98">
                    <w:rPr>
                      <w:color w:val="auto"/>
                      <w:sz w:val="22"/>
                      <w:szCs w:val="22"/>
                      <w:lang w:val="sr-Latn-ME"/>
                    </w:rPr>
                    <w:t>0,1</w:t>
                  </w:r>
                </w:p>
              </w:tc>
            </w:tr>
            <w:tr w:rsidR="0073389E" w:rsidRPr="00D01E98" w14:paraId="5995431E" w14:textId="77777777" w:rsidTr="000C0EC1">
              <w:trPr>
                <w:tblHeader/>
              </w:trPr>
              <w:tc>
                <w:tcPr>
                  <w:tcW w:w="2043" w:type="dxa"/>
                  <w:vMerge/>
                </w:tcPr>
                <w:p w14:paraId="22D25EFC" w14:textId="77777777" w:rsidR="0073389E" w:rsidRPr="00D01E98" w:rsidRDefault="0073389E">
                  <w:pPr>
                    <w:pStyle w:val="Tekst"/>
                    <w:rPr>
                      <w:color w:val="auto"/>
                      <w:sz w:val="22"/>
                      <w:szCs w:val="22"/>
                      <w:lang w:val="sr-Latn-ME"/>
                    </w:rPr>
                  </w:pPr>
                </w:p>
              </w:tc>
              <w:tc>
                <w:tcPr>
                  <w:tcW w:w="1462" w:type="dxa"/>
                </w:tcPr>
                <w:p w14:paraId="7B929CCB" w14:textId="77777777" w:rsidR="0073389E" w:rsidRPr="00D01E98" w:rsidRDefault="0073389E">
                  <w:pPr>
                    <w:pStyle w:val="Tekst"/>
                    <w:rPr>
                      <w:color w:val="auto"/>
                      <w:sz w:val="22"/>
                      <w:szCs w:val="22"/>
                      <w:lang w:val="sr-Latn-ME"/>
                    </w:rPr>
                  </w:pPr>
                  <w:r w:rsidRPr="00D01E98">
                    <w:rPr>
                      <w:color w:val="auto"/>
                      <w:sz w:val="22"/>
                      <w:szCs w:val="22"/>
                      <w:lang w:val="sr-Latn-ME"/>
                    </w:rPr>
                    <w:t>Česta</w:t>
                  </w:r>
                </w:p>
              </w:tc>
              <w:tc>
                <w:tcPr>
                  <w:tcW w:w="2340" w:type="dxa"/>
                </w:tcPr>
                <w:p w14:paraId="4296213D" w14:textId="34D2BAA6" w:rsidR="0073389E" w:rsidRPr="00D01E98" w:rsidRDefault="0073389E">
                  <w:pPr>
                    <w:pStyle w:val="Tekst"/>
                    <w:rPr>
                      <w:color w:val="auto"/>
                      <w:sz w:val="22"/>
                      <w:szCs w:val="22"/>
                      <w:lang w:val="sr-Latn-ME"/>
                    </w:rPr>
                  </w:pPr>
                  <w:r w:rsidRPr="00D01E98">
                    <w:rPr>
                      <w:color w:val="auto"/>
                      <w:sz w:val="22"/>
                      <w:szCs w:val="22"/>
                      <w:lang w:val="sr-Latn-ME"/>
                    </w:rPr>
                    <w:t>Bubrežna insuficijencija</w:t>
                  </w:r>
                  <w:r w:rsidRPr="00D01E98">
                    <w:rPr>
                      <w:color w:val="auto"/>
                      <w:sz w:val="22"/>
                      <w:szCs w:val="22"/>
                      <w:vertAlign w:val="superscript"/>
                      <w:lang w:val="sr-Latn-ME"/>
                    </w:rPr>
                    <w:t>m</w:t>
                  </w:r>
                </w:p>
              </w:tc>
              <w:tc>
                <w:tcPr>
                  <w:tcW w:w="1350" w:type="dxa"/>
                </w:tcPr>
                <w:p w14:paraId="148606FE" w14:textId="134F40E8" w:rsidR="0073389E" w:rsidRPr="00D01E98" w:rsidRDefault="0073389E">
                  <w:pPr>
                    <w:pStyle w:val="Tekst"/>
                    <w:rPr>
                      <w:color w:val="auto"/>
                      <w:sz w:val="22"/>
                      <w:szCs w:val="22"/>
                      <w:lang w:val="sr-Latn-ME"/>
                    </w:rPr>
                  </w:pPr>
                  <w:r w:rsidRPr="00D01E98">
                    <w:rPr>
                      <w:sz w:val="22"/>
                      <w:szCs w:val="22"/>
                      <w:lang w:val="sr-Latn-ME"/>
                    </w:rPr>
                    <w:t>1,6</w:t>
                  </w:r>
                </w:p>
              </w:tc>
              <w:tc>
                <w:tcPr>
                  <w:tcW w:w="1205" w:type="dxa"/>
                </w:tcPr>
                <w:p w14:paraId="74C6EBFA" w14:textId="6279CC83" w:rsidR="0073389E" w:rsidRPr="00D01E98" w:rsidRDefault="0073389E">
                  <w:pPr>
                    <w:pStyle w:val="Tekst"/>
                    <w:rPr>
                      <w:color w:val="auto"/>
                      <w:sz w:val="22"/>
                      <w:szCs w:val="22"/>
                      <w:lang w:val="sr-Latn-ME"/>
                    </w:rPr>
                  </w:pPr>
                  <w:r w:rsidRPr="00D01E98">
                    <w:rPr>
                      <w:sz w:val="22"/>
                      <w:szCs w:val="22"/>
                      <w:lang w:val="sr-Latn-ME"/>
                    </w:rPr>
                    <w:t>0,9</w:t>
                  </w:r>
                </w:p>
              </w:tc>
              <w:tc>
                <w:tcPr>
                  <w:tcW w:w="1207" w:type="dxa"/>
                </w:tcPr>
                <w:p w14:paraId="0E57CE62" w14:textId="75A79B52" w:rsidR="0073389E" w:rsidRPr="00D01E98" w:rsidRDefault="0073389E">
                  <w:pPr>
                    <w:pStyle w:val="Tekst"/>
                    <w:rPr>
                      <w:color w:val="auto"/>
                      <w:sz w:val="22"/>
                      <w:szCs w:val="22"/>
                      <w:lang w:val="sr-Latn-ME"/>
                    </w:rPr>
                  </w:pPr>
                  <w:r w:rsidRPr="00D01E98">
                    <w:rPr>
                      <w:color w:val="auto"/>
                      <w:sz w:val="22"/>
                      <w:szCs w:val="22"/>
                      <w:lang w:val="sr-Latn-ME"/>
                    </w:rPr>
                    <w:t>0.1</w:t>
                  </w:r>
                </w:p>
              </w:tc>
            </w:tr>
            <w:tr w:rsidR="0073389E" w:rsidRPr="00D01E98" w14:paraId="47FF8BBE" w14:textId="77777777" w:rsidTr="000C0EC1">
              <w:trPr>
                <w:tblHeader/>
              </w:trPr>
              <w:tc>
                <w:tcPr>
                  <w:tcW w:w="2043" w:type="dxa"/>
                  <w:vMerge w:val="restart"/>
                </w:tcPr>
                <w:p w14:paraId="4E3CB49B" w14:textId="77777777" w:rsidR="0073389E" w:rsidRPr="00D01E98" w:rsidRDefault="0073389E">
                  <w:pPr>
                    <w:pStyle w:val="Tekst"/>
                    <w:rPr>
                      <w:color w:val="auto"/>
                      <w:sz w:val="22"/>
                      <w:szCs w:val="22"/>
                      <w:lang w:val="sr-Latn-ME"/>
                    </w:rPr>
                  </w:pPr>
                  <w:r w:rsidRPr="00D01E98">
                    <w:rPr>
                      <w:color w:val="auto"/>
                      <w:sz w:val="22"/>
                      <w:szCs w:val="22"/>
                      <w:lang w:val="sr-Latn-ME"/>
                    </w:rPr>
                    <w:t>Opšti poremećaji i reakcije na mjestu primjene</w:t>
                  </w:r>
                </w:p>
              </w:tc>
              <w:tc>
                <w:tcPr>
                  <w:tcW w:w="1462" w:type="dxa"/>
                  <w:vMerge w:val="restart"/>
                </w:tcPr>
                <w:p w14:paraId="09E98EEE" w14:textId="77777777" w:rsidR="0073389E" w:rsidRPr="00D01E98" w:rsidRDefault="0073389E">
                  <w:pPr>
                    <w:pStyle w:val="Tekst"/>
                    <w:rPr>
                      <w:color w:val="auto"/>
                      <w:sz w:val="22"/>
                      <w:szCs w:val="22"/>
                      <w:lang w:val="sr-Latn-ME"/>
                    </w:rPr>
                  </w:pPr>
                  <w:r w:rsidRPr="00D01E98">
                    <w:rPr>
                      <w:color w:val="auto"/>
                      <w:sz w:val="22"/>
                      <w:szCs w:val="22"/>
                      <w:lang w:val="sr-Latn-ME"/>
                    </w:rPr>
                    <w:t>Veoma česta</w:t>
                  </w:r>
                </w:p>
              </w:tc>
              <w:tc>
                <w:tcPr>
                  <w:tcW w:w="2340" w:type="dxa"/>
                </w:tcPr>
                <w:p w14:paraId="601CF429" w14:textId="77777777" w:rsidR="0073389E" w:rsidRPr="00D01E98" w:rsidRDefault="0073389E">
                  <w:pPr>
                    <w:pStyle w:val="Tekst"/>
                    <w:rPr>
                      <w:color w:val="auto"/>
                      <w:sz w:val="22"/>
                      <w:szCs w:val="22"/>
                      <w:lang w:val="sr-Latn-ME"/>
                    </w:rPr>
                  </w:pPr>
                  <w:r w:rsidRPr="00D01E98">
                    <w:rPr>
                      <w:color w:val="auto"/>
                      <w:sz w:val="22"/>
                      <w:szCs w:val="22"/>
                      <w:lang w:val="sr-Latn-ME"/>
                    </w:rPr>
                    <w:t>Zamor</w:t>
                  </w:r>
                </w:p>
              </w:tc>
              <w:tc>
                <w:tcPr>
                  <w:tcW w:w="1350" w:type="dxa"/>
                </w:tcPr>
                <w:p w14:paraId="51CFAF78" w14:textId="39FEA1E9" w:rsidR="0073389E" w:rsidRPr="00D01E98" w:rsidRDefault="0073389E">
                  <w:pPr>
                    <w:pStyle w:val="Tekst"/>
                    <w:rPr>
                      <w:color w:val="auto"/>
                      <w:sz w:val="22"/>
                      <w:szCs w:val="22"/>
                      <w:lang w:val="sr-Latn-ME"/>
                    </w:rPr>
                  </w:pPr>
                  <w:r w:rsidRPr="00D01E98">
                    <w:rPr>
                      <w:sz w:val="22"/>
                      <w:szCs w:val="22"/>
                      <w:lang w:val="sr-Latn-ME"/>
                    </w:rPr>
                    <w:t>45,1</w:t>
                  </w:r>
                </w:p>
              </w:tc>
              <w:tc>
                <w:tcPr>
                  <w:tcW w:w="1205" w:type="dxa"/>
                </w:tcPr>
                <w:p w14:paraId="278B81FC" w14:textId="78962AB4" w:rsidR="0073389E" w:rsidRPr="00D01E98" w:rsidRDefault="0073389E">
                  <w:pPr>
                    <w:pStyle w:val="Tekst"/>
                    <w:rPr>
                      <w:color w:val="auto"/>
                      <w:sz w:val="22"/>
                      <w:szCs w:val="22"/>
                      <w:lang w:val="sr-Latn-ME"/>
                    </w:rPr>
                  </w:pPr>
                  <w:r w:rsidRPr="00D01E98">
                    <w:rPr>
                      <w:sz w:val="22"/>
                      <w:szCs w:val="22"/>
                      <w:lang w:val="sr-Latn-ME"/>
                    </w:rPr>
                    <w:t>10,6</w:t>
                  </w:r>
                </w:p>
              </w:tc>
              <w:tc>
                <w:tcPr>
                  <w:tcW w:w="1207" w:type="dxa"/>
                </w:tcPr>
                <w:p w14:paraId="2E066FE6" w14:textId="33F12B09" w:rsidR="0073389E" w:rsidRPr="00D01E98" w:rsidRDefault="0073389E">
                  <w:pPr>
                    <w:pStyle w:val="Tekst"/>
                    <w:rPr>
                      <w:color w:val="auto"/>
                      <w:sz w:val="22"/>
                      <w:szCs w:val="22"/>
                      <w:lang w:val="sr-Latn-ME"/>
                    </w:rPr>
                  </w:pPr>
                  <w:r w:rsidRPr="00D01E98">
                    <w:rPr>
                      <w:color w:val="auto"/>
                      <w:sz w:val="22"/>
                      <w:szCs w:val="22"/>
                      <w:lang w:val="sr-Latn-ME"/>
                    </w:rPr>
                    <w:t>0,3</w:t>
                  </w:r>
                </w:p>
              </w:tc>
            </w:tr>
            <w:tr w:rsidR="0073389E" w:rsidRPr="00D01E98" w14:paraId="3AB8DF30" w14:textId="77777777" w:rsidTr="000C0EC1">
              <w:trPr>
                <w:tblHeader/>
              </w:trPr>
              <w:tc>
                <w:tcPr>
                  <w:tcW w:w="2043" w:type="dxa"/>
                  <w:vMerge/>
                </w:tcPr>
                <w:p w14:paraId="31A0D2EA" w14:textId="77777777" w:rsidR="0073389E" w:rsidRPr="00D01E98" w:rsidRDefault="0073389E">
                  <w:pPr>
                    <w:pStyle w:val="Tekst"/>
                    <w:rPr>
                      <w:color w:val="auto"/>
                      <w:sz w:val="22"/>
                      <w:szCs w:val="22"/>
                      <w:lang w:val="sr-Latn-ME"/>
                    </w:rPr>
                  </w:pPr>
                </w:p>
              </w:tc>
              <w:tc>
                <w:tcPr>
                  <w:tcW w:w="1462" w:type="dxa"/>
                  <w:vMerge/>
                </w:tcPr>
                <w:p w14:paraId="01C81B27" w14:textId="77777777" w:rsidR="0073389E" w:rsidRPr="00D01E98" w:rsidRDefault="0073389E">
                  <w:pPr>
                    <w:pStyle w:val="Tekst"/>
                    <w:rPr>
                      <w:color w:val="auto"/>
                      <w:sz w:val="22"/>
                      <w:szCs w:val="22"/>
                      <w:lang w:val="sr-Latn-ME"/>
                    </w:rPr>
                  </w:pPr>
                </w:p>
              </w:tc>
              <w:tc>
                <w:tcPr>
                  <w:tcW w:w="2340" w:type="dxa"/>
                </w:tcPr>
                <w:p w14:paraId="74C646DC" w14:textId="77777777" w:rsidR="0073389E" w:rsidRPr="00D01E98" w:rsidRDefault="0073389E">
                  <w:pPr>
                    <w:pStyle w:val="Tekst"/>
                    <w:rPr>
                      <w:color w:val="auto"/>
                      <w:sz w:val="22"/>
                      <w:szCs w:val="22"/>
                      <w:lang w:val="sr-Latn-ME"/>
                    </w:rPr>
                  </w:pPr>
                  <w:r w:rsidRPr="00D01E98">
                    <w:rPr>
                      <w:color w:val="auto"/>
                      <w:sz w:val="22"/>
                      <w:szCs w:val="22"/>
                      <w:lang w:val="sr-Latn-ME"/>
                    </w:rPr>
                    <w:t>Astenija</w:t>
                  </w:r>
                  <w:r w:rsidRPr="00D01E98">
                    <w:rPr>
                      <w:color w:val="auto"/>
                      <w:sz w:val="22"/>
                      <w:szCs w:val="22"/>
                      <w:vertAlign w:val="superscript"/>
                      <w:lang w:val="sr-Latn-ME"/>
                    </w:rPr>
                    <w:t>d</w:t>
                  </w:r>
                </w:p>
              </w:tc>
              <w:tc>
                <w:tcPr>
                  <w:tcW w:w="1350" w:type="dxa"/>
                </w:tcPr>
                <w:p w14:paraId="75995FC1" w14:textId="72DFE51F" w:rsidR="0073389E" w:rsidRPr="00D01E98" w:rsidRDefault="0073389E">
                  <w:pPr>
                    <w:pStyle w:val="Tekst"/>
                    <w:rPr>
                      <w:color w:val="auto"/>
                      <w:sz w:val="22"/>
                      <w:szCs w:val="22"/>
                      <w:lang w:val="sr-Latn-ME"/>
                    </w:rPr>
                  </w:pPr>
                  <w:r w:rsidRPr="00D01E98">
                    <w:rPr>
                      <w:sz w:val="22"/>
                      <w:szCs w:val="22"/>
                      <w:lang w:val="sr-Latn-ME"/>
                    </w:rPr>
                    <w:t>13,8</w:t>
                  </w:r>
                </w:p>
              </w:tc>
              <w:tc>
                <w:tcPr>
                  <w:tcW w:w="1205" w:type="dxa"/>
                </w:tcPr>
                <w:p w14:paraId="17FB6D5F" w14:textId="63FED1B9" w:rsidR="0073389E" w:rsidRPr="00D01E98" w:rsidRDefault="0073389E">
                  <w:pPr>
                    <w:pStyle w:val="Tekst"/>
                    <w:rPr>
                      <w:color w:val="auto"/>
                      <w:sz w:val="22"/>
                      <w:szCs w:val="22"/>
                      <w:lang w:val="sr-Latn-ME"/>
                    </w:rPr>
                  </w:pPr>
                  <w:r w:rsidRPr="00D01E98">
                    <w:rPr>
                      <w:color w:val="auto"/>
                      <w:sz w:val="22"/>
                      <w:szCs w:val="22"/>
                      <w:lang w:val="sr-Latn-ME"/>
                    </w:rPr>
                    <w:t>2,8</w:t>
                  </w:r>
                </w:p>
              </w:tc>
              <w:tc>
                <w:tcPr>
                  <w:tcW w:w="1207" w:type="dxa"/>
                </w:tcPr>
                <w:p w14:paraId="239F8B89" w14:textId="41C08D02" w:rsidR="0073389E" w:rsidRPr="00D01E98" w:rsidRDefault="0073389E">
                  <w:pPr>
                    <w:pStyle w:val="Tekst"/>
                    <w:rPr>
                      <w:color w:val="auto"/>
                      <w:sz w:val="22"/>
                      <w:szCs w:val="22"/>
                      <w:lang w:val="sr-Latn-ME"/>
                    </w:rPr>
                  </w:pPr>
                  <w:r w:rsidRPr="00D01E98">
                    <w:rPr>
                      <w:color w:val="auto"/>
                      <w:sz w:val="22"/>
                      <w:szCs w:val="22"/>
                      <w:lang w:val="sr-Latn-ME"/>
                    </w:rPr>
                    <w:t>0</w:t>
                  </w:r>
                  <w:r w:rsidRPr="00D01E98">
                    <w:rPr>
                      <w:sz w:val="22"/>
                      <w:szCs w:val="22"/>
                      <w:lang w:val="sr-Latn-ME"/>
                    </w:rPr>
                    <w:t>,3</w:t>
                  </w:r>
                </w:p>
              </w:tc>
            </w:tr>
            <w:tr w:rsidR="0073389E" w:rsidRPr="00D01E98" w14:paraId="7043C888" w14:textId="77777777" w:rsidTr="000C0EC1">
              <w:trPr>
                <w:tblHeader/>
              </w:trPr>
              <w:tc>
                <w:tcPr>
                  <w:tcW w:w="2043" w:type="dxa"/>
                  <w:vMerge/>
                </w:tcPr>
                <w:p w14:paraId="6156F4CD" w14:textId="77777777" w:rsidR="0073389E" w:rsidRPr="00D01E98" w:rsidRDefault="0073389E">
                  <w:pPr>
                    <w:pStyle w:val="Tekst"/>
                    <w:rPr>
                      <w:color w:val="auto"/>
                      <w:sz w:val="22"/>
                      <w:szCs w:val="22"/>
                      <w:lang w:val="sr-Latn-ME"/>
                    </w:rPr>
                  </w:pPr>
                </w:p>
              </w:tc>
              <w:tc>
                <w:tcPr>
                  <w:tcW w:w="1462" w:type="dxa"/>
                  <w:vMerge/>
                </w:tcPr>
                <w:p w14:paraId="5FFA376F" w14:textId="77777777" w:rsidR="0073389E" w:rsidRPr="00D01E98" w:rsidRDefault="0073389E">
                  <w:pPr>
                    <w:pStyle w:val="Tekst"/>
                    <w:rPr>
                      <w:color w:val="auto"/>
                      <w:sz w:val="22"/>
                      <w:szCs w:val="22"/>
                      <w:lang w:val="sr-Latn-ME"/>
                    </w:rPr>
                  </w:pPr>
                </w:p>
              </w:tc>
              <w:tc>
                <w:tcPr>
                  <w:tcW w:w="2340" w:type="dxa"/>
                </w:tcPr>
                <w:p w14:paraId="1D2D8ACC" w14:textId="77777777" w:rsidR="0073389E" w:rsidRPr="00D01E98" w:rsidRDefault="0073389E">
                  <w:pPr>
                    <w:pStyle w:val="Tekst"/>
                    <w:rPr>
                      <w:color w:val="auto"/>
                      <w:sz w:val="22"/>
                      <w:szCs w:val="22"/>
                      <w:lang w:val="sr-Latn-ME"/>
                    </w:rPr>
                  </w:pPr>
                  <w:r w:rsidRPr="00D01E98">
                    <w:rPr>
                      <w:color w:val="auto"/>
                      <w:sz w:val="22"/>
                      <w:szCs w:val="22"/>
                      <w:lang w:val="sr-Latn-ME"/>
                    </w:rPr>
                    <w:t>Zapaljenje sluznice</w:t>
                  </w:r>
                </w:p>
              </w:tc>
              <w:tc>
                <w:tcPr>
                  <w:tcW w:w="1350" w:type="dxa"/>
                </w:tcPr>
                <w:p w14:paraId="7732760B" w14:textId="12EE67A9" w:rsidR="0073389E" w:rsidRPr="00D01E98" w:rsidRDefault="0073389E">
                  <w:pPr>
                    <w:pStyle w:val="Tekst"/>
                    <w:rPr>
                      <w:color w:val="auto"/>
                      <w:sz w:val="22"/>
                      <w:szCs w:val="22"/>
                      <w:lang w:val="sr-Latn-ME"/>
                    </w:rPr>
                  </w:pPr>
                  <w:r w:rsidRPr="00D01E98">
                    <w:rPr>
                      <w:color w:val="auto"/>
                      <w:sz w:val="22"/>
                      <w:szCs w:val="22"/>
                      <w:lang w:val="sr-Latn-ME"/>
                    </w:rPr>
                    <w:t>13,7</w:t>
                  </w:r>
                </w:p>
              </w:tc>
              <w:tc>
                <w:tcPr>
                  <w:tcW w:w="1205" w:type="dxa"/>
                </w:tcPr>
                <w:p w14:paraId="65E77E34" w14:textId="5F0B8161" w:rsidR="0073389E" w:rsidRPr="00D01E98" w:rsidRDefault="0073389E">
                  <w:pPr>
                    <w:pStyle w:val="Tekst"/>
                    <w:rPr>
                      <w:color w:val="auto"/>
                      <w:sz w:val="22"/>
                      <w:szCs w:val="22"/>
                      <w:lang w:val="sr-Latn-ME"/>
                    </w:rPr>
                  </w:pPr>
                  <w:r w:rsidRPr="00D01E98">
                    <w:rPr>
                      <w:color w:val="auto"/>
                      <w:sz w:val="22"/>
                      <w:szCs w:val="22"/>
                      <w:lang w:val="sr-Latn-ME"/>
                    </w:rPr>
                    <w:t>1,0</w:t>
                  </w:r>
                </w:p>
              </w:tc>
              <w:tc>
                <w:tcPr>
                  <w:tcW w:w="1207" w:type="dxa"/>
                </w:tcPr>
                <w:p w14:paraId="7CE1749E"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1BC745A6" w14:textId="77777777" w:rsidTr="000C0EC1">
              <w:trPr>
                <w:tblHeader/>
              </w:trPr>
              <w:tc>
                <w:tcPr>
                  <w:tcW w:w="2043" w:type="dxa"/>
                  <w:vMerge w:val="restart"/>
                </w:tcPr>
                <w:p w14:paraId="7371026A" w14:textId="77777777" w:rsidR="0073389E" w:rsidRPr="00D01E98" w:rsidRDefault="0073389E">
                  <w:pPr>
                    <w:pStyle w:val="TableText"/>
                    <w:jc w:val="both"/>
                    <w:rPr>
                      <w:rFonts w:cs="Times New Roman"/>
                      <w:sz w:val="22"/>
                      <w:szCs w:val="22"/>
                      <w:lang w:val="sr-Latn-ME"/>
                    </w:rPr>
                  </w:pPr>
                  <w:r w:rsidRPr="00D01E98">
                    <w:rPr>
                      <w:rFonts w:cs="Times New Roman"/>
                      <w:sz w:val="22"/>
                      <w:szCs w:val="22"/>
                      <w:lang w:val="sr-Latn-ME"/>
                    </w:rPr>
                    <w:t>Ispitivanja</w:t>
                  </w:r>
                </w:p>
                <w:p w14:paraId="517683D5" w14:textId="77777777" w:rsidR="0073389E" w:rsidRPr="00D01E98" w:rsidRDefault="0073389E">
                  <w:pPr>
                    <w:pStyle w:val="Tekst"/>
                    <w:rPr>
                      <w:color w:val="auto"/>
                      <w:sz w:val="22"/>
                      <w:szCs w:val="22"/>
                      <w:lang w:val="sr-Latn-ME"/>
                    </w:rPr>
                  </w:pPr>
                </w:p>
              </w:tc>
              <w:tc>
                <w:tcPr>
                  <w:tcW w:w="1462" w:type="dxa"/>
                </w:tcPr>
                <w:p w14:paraId="4AAC6ECD" w14:textId="77777777" w:rsidR="0073389E" w:rsidRPr="00D01E98" w:rsidRDefault="0073389E">
                  <w:pPr>
                    <w:pStyle w:val="Tekst"/>
                    <w:rPr>
                      <w:color w:val="auto"/>
                      <w:sz w:val="22"/>
                      <w:szCs w:val="22"/>
                      <w:lang w:val="sr-Latn-ME"/>
                    </w:rPr>
                  </w:pPr>
                  <w:r w:rsidRPr="00D01E98">
                    <w:rPr>
                      <w:color w:val="auto"/>
                      <w:sz w:val="22"/>
                      <w:szCs w:val="22"/>
                      <w:lang w:val="sr-Latn-ME"/>
                    </w:rPr>
                    <w:t>Veoma česta</w:t>
                  </w:r>
                </w:p>
              </w:tc>
              <w:tc>
                <w:tcPr>
                  <w:tcW w:w="2340" w:type="dxa"/>
                </w:tcPr>
                <w:p w14:paraId="542381F1" w14:textId="77777777" w:rsidR="0073389E" w:rsidRPr="00D01E98" w:rsidRDefault="0073389E">
                  <w:pPr>
                    <w:pStyle w:val="Tekst"/>
                    <w:rPr>
                      <w:color w:val="auto"/>
                      <w:sz w:val="22"/>
                      <w:szCs w:val="22"/>
                      <w:lang w:val="sr-Latn-ME"/>
                    </w:rPr>
                  </w:pPr>
                  <w:r w:rsidRPr="00D01E98">
                    <w:rPr>
                      <w:color w:val="auto"/>
                      <w:sz w:val="22"/>
                      <w:szCs w:val="22"/>
                      <w:lang w:val="sr-Latn-ME"/>
                    </w:rPr>
                    <w:t>Smanjenje tjelesne mase</w:t>
                  </w:r>
                </w:p>
              </w:tc>
              <w:tc>
                <w:tcPr>
                  <w:tcW w:w="1350" w:type="dxa"/>
                </w:tcPr>
                <w:p w14:paraId="713CE1B9" w14:textId="576F4EE9" w:rsidR="0073389E" w:rsidRPr="00D01E98" w:rsidRDefault="0073389E">
                  <w:pPr>
                    <w:pStyle w:val="Tekst"/>
                    <w:rPr>
                      <w:color w:val="auto"/>
                      <w:sz w:val="22"/>
                      <w:szCs w:val="22"/>
                      <w:lang w:val="sr-Latn-ME"/>
                    </w:rPr>
                  </w:pPr>
                  <w:r w:rsidRPr="00D01E98">
                    <w:rPr>
                      <w:sz w:val="22"/>
                      <w:szCs w:val="22"/>
                      <w:lang w:val="sr-Latn-ME"/>
                    </w:rPr>
                    <w:t>32,7</w:t>
                  </w:r>
                </w:p>
              </w:tc>
              <w:tc>
                <w:tcPr>
                  <w:tcW w:w="1205" w:type="dxa"/>
                </w:tcPr>
                <w:p w14:paraId="47AC7AFB" w14:textId="64333754" w:rsidR="0073389E" w:rsidRPr="00D01E98" w:rsidRDefault="0073389E">
                  <w:pPr>
                    <w:pStyle w:val="Tekst"/>
                    <w:rPr>
                      <w:color w:val="auto"/>
                      <w:sz w:val="22"/>
                      <w:szCs w:val="22"/>
                      <w:lang w:val="sr-Latn-ME"/>
                    </w:rPr>
                  </w:pPr>
                  <w:r w:rsidRPr="00D01E98">
                    <w:rPr>
                      <w:sz w:val="22"/>
                      <w:szCs w:val="22"/>
                      <w:lang w:val="sr-Latn-ME"/>
                    </w:rPr>
                    <w:t>4,9</w:t>
                  </w:r>
                </w:p>
              </w:tc>
              <w:tc>
                <w:tcPr>
                  <w:tcW w:w="1207" w:type="dxa"/>
                </w:tcPr>
                <w:p w14:paraId="3EF6C3EE"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31FA93A6" w14:textId="77777777" w:rsidTr="000C0EC1">
              <w:trPr>
                <w:trHeight w:val="242"/>
                <w:tblHeader/>
              </w:trPr>
              <w:tc>
                <w:tcPr>
                  <w:tcW w:w="2043" w:type="dxa"/>
                  <w:vMerge/>
                </w:tcPr>
                <w:p w14:paraId="46C7B005" w14:textId="77777777" w:rsidR="0073389E" w:rsidRPr="00D01E98" w:rsidRDefault="0073389E">
                  <w:pPr>
                    <w:pStyle w:val="Tekst"/>
                    <w:rPr>
                      <w:color w:val="auto"/>
                      <w:sz w:val="22"/>
                      <w:szCs w:val="22"/>
                      <w:lang w:val="sr-Latn-ME"/>
                    </w:rPr>
                  </w:pPr>
                </w:p>
              </w:tc>
              <w:tc>
                <w:tcPr>
                  <w:tcW w:w="1462" w:type="dxa"/>
                  <w:vMerge w:val="restart"/>
                </w:tcPr>
                <w:p w14:paraId="75B88AED" w14:textId="77777777" w:rsidR="0073389E" w:rsidRPr="00D01E98" w:rsidRDefault="0073389E">
                  <w:pPr>
                    <w:pStyle w:val="Tekst"/>
                    <w:rPr>
                      <w:color w:val="auto"/>
                      <w:sz w:val="22"/>
                      <w:szCs w:val="22"/>
                      <w:lang w:val="sr-Latn-ME"/>
                    </w:rPr>
                  </w:pPr>
                  <w:r w:rsidRPr="00D01E98">
                    <w:rPr>
                      <w:color w:val="auto"/>
                      <w:sz w:val="22"/>
                      <w:szCs w:val="22"/>
                      <w:lang w:val="sr-Latn-ME"/>
                    </w:rPr>
                    <w:t>Česta</w:t>
                  </w:r>
                </w:p>
                <w:p w14:paraId="43B6A181" w14:textId="77777777" w:rsidR="0073389E" w:rsidRPr="00D01E98" w:rsidRDefault="0073389E">
                  <w:pPr>
                    <w:pStyle w:val="Tekst"/>
                    <w:rPr>
                      <w:color w:val="auto"/>
                      <w:sz w:val="22"/>
                      <w:szCs w:val="22"/>
                      <w:lang w:val="sr-Latn-ME"/>
                    </w:rPr>
                  </w:pPr>
                </w:p>
              </w:tc>
              <w:tc>
                <w:tcPr>
                  <w:tcW w:w="2340" w:type="dxa"/>
                </w:tcPr>
                <w:p w14:paraId="505EB1FF" w14:textId="77777777" w:rsidR="0073389E" w:rsidRPr="00D01E98" w:rsidRDefault="0073389E">
                  <w:pPr>
                    <w:pStyle w:val="Tekst"/>
                    <w:rPr>
                      <w:color w:val="auto"/>
                      <w:sz w:val="22"/>
                      <w:szCs w:val="22"/>
                      <w:lang w:val="sr-Latn-ME"/>
                    </w:rPr>
                  </w:pPr>
                  <w:r w:rsidRPr="00D01E98">
                    <w:rPr>
                      <w:color w:val="auto"/>
                      <w:sz w:val="22"/>
                      <w:szCs w:val="22"/>
                      <w:lang w:val="sr-Latn-ME"/>
                    </w:rPr>
                    <w:t>Povećanje lipaze</w:t>
                  </w:r>
                </w:p>
              </w:tc>
              <w:tc>
                <w:tcPr>
                  <w:tcW w:w="1350" w:type="dxa"/>
                </w:tcPr>
                <w:p w14:paraId="5BDF5F33" w14:textId="1BDE86EE" w:rsidR="0073389E" w:rsidRPr="00D01E98" w:rsidRDefault="0073389E">
                  <w:pPr>
                    <w:pStyle w:val="Tekst"/>
                    <w:rPr>
                      <w:color w:val="auto"/>
                      <w:sz w:val="22"/>
                      <w:szCs w:val="22"/>
                      <w:lang w:val="sr-Latn-ME"/>
                    </w:rPr>
                  </w:pPr>
                  <w:r w:rsidRPr="00D01E98">
                    <w:rPr>
                      <w:color w:val="auto"/>
                      <w:sz w:val="22"/>
                      <w:szCs w:val="22"/>
                      <w:lang w:val="sr-Latn-ME"/>
                    </w:rPr>
                    <w:t>3,7</w:t>
                  </w:r>
                </w:p>
              </w:tc>
              <w:tc>
                <w:tcPr>
                  <w:tcW w:w="1205" w:type="dxa"/>
                </w:tcPr>
                <w:p w14:paraId="23540005" w14:textId="42EB2423" w:rsidR="0073389E" w:rsidRPr="00D01E98" w:rsidRDefault="0073389E">
                  <w:pPr>
                    <w:pStyle w:val="Tekst"/>
                    <w:rPr>
                      <w:color w:val="auto"/>
                      <w:sz w:val="22"/>
                      <w:szCs w:val="22"/>
                      <w:lang w:val="sr-Latn-ME"/>
                    </w:rPr>
                  </w:pPr>
                  <w:r w:rsidRPr="00D01E98">
                    <w:rPr>
                      <w:color w:val="auto"/>
                      <w:sz w:val="22"/>
                      <w:szCs w:val="22"/>
                      <w:lang w:val="sr-Latn-ME"/>
                    </w:rPr>
                    <w:t>0,7</w:t>
                  </w:r>
                </w:p>
              </w:tc>
              <w:tc>
                <w:tcPr>
                  <w:tcW w:w="1207" w:type="dxa"/>
                </w:tcPr>
                <w:p w14:paraId="68918725" w14:textId="51D63E16" w:rsidR="0073389E" w:rsidRPr="00D01E98" w:rsidRDefault="0073389E">
                  <w:pPr>
                    <w:pStyle w:val="Tekst"/>
                    <w:rPr>
                      <w:color w:val="auto"/>
                      <w:sz w:val="22"/>
                      <w:szCs w:val="22"/>
                      <w:lang w:val="sr-Latn-ME"/>
                    </w:rPr>
                  </w:pPr>
                  <w:r w:rsidRPr="00D01E98">
                    <w:rPr>
                      <w:color w:val="auto"/>
                      <w:sz w:val="22"/>
                      <w:szCs w:val="22"/>
                      <w:lang w:val="sr-Latn-ME"/>
                    </w:rPr>
                    <w:t>0,7</w:t>
                  </w:r>
                </w:p>
              </w:tc>
            </w:tr>
            <w:tr w:rsidR="0073389E" w:rsidRPr="00D01E98" w14:paraId="453C007B" w14:textId="77777777" w:rsidTr="000C0EC1">
              <w:trPr>
                <w:tblHeader/>
              </w:trPr>
              <w:tc>
                <w:tcPr>
                  <w:tcW w:w="2043" w:type="dxa"/>
                  <w:vMerge/>
                </w:tcPr>
                <w:p w14:paraId="74FF0EC9" w14:textId="77777777" w:rsidR="0073389E" w:rsidRPr="00D01E98" w:rsidRDefault="0073389E">
                  <w:pPr>
                    <w:pStyle w:val="Tekst"/>
                    <w:rPr>
                      <w:color w:val="auto"/>
                      <w:sz w:val="22"/>
                      <w:szCs w:val="22"/>
                      <w:lang w:val="sr-Latn-ME"/>
                    </w:rPr>
                  </w:pPr>
                </w:p>
              </w:tc>
              <w:tc>
                <w:tcPr>
                  <w:tcW w:w="1462" w:type="dxa"/>
                  <w:vMerge/>
                </w:tcPr>
                <w:p w14:paraId="77E719CC" w14:textId="77777777" w:rsidR="0073389E" w:rsidRPr="00D01E98" w:rsidRDefault="0073389E">
                  <w:pPr>
                    <w:pStyle w:val="Tekst"/>
                    <w:rPr>
                      <w:color w:val="auto"/>
                      <w:sz w:val="22"/>
                      <w:szCs w:val="22"/>
                      <w:lang w:val="sr-Latn-ME"/>
                    </w:rPr>
                  </w:pPr>
                </w:p>
              </w:tc>
              <w:tc>
                <w:tcPr>
                  <w:tcW w:w="2340" w:type="dxa"/>
                </w:tcPr>
                <w:p w14:paraId="77D58CC9" w14:textId="77777777" w:rsidR="0073389E" w:rsidRPr="00D01E98" w:rsidRDefault="0073389E">
                  <w:pPr>
                    <w:pStyle w:val="Tekst"/>
                    <w:rPr>
                      <w:color w:val="auto"/>
                      <w:sz w:val="22"/>
                      <w:szCs w:val="22"/>
                      <w:lang w:val="sr-Latn-ME"/>
                    </w:rPr>
                  </w:pPr>
                  <w:r w:rsidRPr="00D01E98">
                    <w:rPr>
                      <w:color w:val="auto"/>
                      <w:sz w:val="22"/>
                      <w:szCs w:val="22"/>
                      <w:lang w:val="sr-Latn-ME"/>
                    </w:rPr>
                    <w:t>Povećanje alanin aminotransferaze</w:t>
                  </w:r>
                </w:p>
              </w:tc>
              <w:tc>
                <w:tcPr>
                  <w:tcW w:w="1350" w:type="dxa"/>
                </w:tcPr>
                <w:p w14:paraId="5686E797" w14:textId="2318B6FF" w:rsidR="0073389E" w:rsidRPr="00D01E98" w:rsidRDefault="0073389E">
                  <w:pPr>
                    <w:pStyle w:val="Tekst"/>
                    <w:rPr>
                      <w:color w:val="auto"/>
                      <w:sz w:val="22"/>
                      <w:szCs w:val="22"/>
                      <w:lang w:val="sr-Latn-ME"/>
                    </w:rPr>
                  </w:pPr>
                  <w:r w:rsidRPr="00D01E98">
                    <w:rPr>
                      <w:color w:val="auto"/>
                      <w:sz w:val="22"/>
                      <w:szCs w:val="22"/>
                      <w:lang w:val="sr-Latn-ME"/>
                    </w:rPr>
                    <w:t>6,5</w:t>
                  </w:r>
                </w:p>
              </w:tc>
              <w:tc>
                <w:tcPr>
                  <w:tcW w:w="1205" w:type="dxa"/>
                </w:tcPr>
                <w:p w14:paraId="106F6D57" w14:textId="063128C9" w:rsidR="0073389E" w:rsidRPr="00D01E98" w:rsidRDefault="0073389E">
                  <w:pPr>
                    <w:pStyle w:val="Tekst"/>
                    <w:rPr>
                      <w:color w:val="auto"/>
                      <w:sz w:val="22"/>
                      <w:szCs w:val="22"/>
                      <w:lang w:val="sr-Latn-ME"/>
                    </w:rPr>
                  </w:pPr>
                  <w:r w:rsidRPr="00D01E98">
                    <w:rPr>
                      <w:color w:val="auto"/>
                      <w:sz w:val="22"/>
                      <w:szCs w:val="22"/>
                      <w:lang w:val="sr-Latn-ME"/>
                    </w:rPr>
                    <w:t>1,2</w:t>
                  </w:r>
                </w:p>
              </w:tc>
              <w:tc>
                <w:tcPr>
                  <w:tcW w:w="1207" w:type="dxa"/>
                </w:tcPr>
                <w:p w14:paraId="1DC26226"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689E308B" w14:textId="77777777" w:rsidTr="000C0EC1">
              <w:trPr>
                <w:tblHeader/>
              </w:trPr>
              <w:tc>
                <w:tcPr>
                  <w:tcW w:w="2043" w:type="dxa"/>
                  <w:vMerge/>
                </w:tcPr>
                <w:p w14:paraId="29EB3CC3" w14:textId="77777777" w:rsidR="0073389E" w:rsidRPr="00D01E98" w:rsidRDefault="0073389E">
                  <w:pPr>
                    <w:pStyle w:val="Tekst"/>
                    <w:rPr>
                      <w:color w:val="auto"/>
                      <w:sz w:val="22"/>
                      <w:szCs w:val="22"/>
                      <w:lang w:val="sr-Latn-ME"/>
                    </w:rPr>
                  </w:pPr>
                </w:p>
              </w:tc>
              <w:tc>
                <w:tcPr>
                  <w:tcW w:w="1462" w:type="dxa"/>
                  <w:vMerge/>
                </w:tcPr>
                <w:p w14:paraId="4086C2A8" w14:textId="77777777" w:rsidR="0073389E" w:rsidRPr="00D01E98" w:rsidRDefault="0073389E">
                  <w:pPr>
                    <w:pStyle w:val="Tekst"/>
                    <w:rPr>
                      <w:color w:val="auto"/>
                      <w:sz w:val="22"/>
                      <w:szCs w:val="22"/>
                      <w:lang w:val="sr-Latn-ME"/>
                    </w:rPr>
                  </w:pPr>
                </w:p>
              </w:tc>
              <w:tc>
                <w:tcPr>
                  <w:tcW w:w="2340" w:type="dxa"/>
                </w:tcPr>
                <w:p w14:paraId="0CE67B41" w14:textId="77777777" w:rsidR="0073389E" w:rsidRPr="00D01E98" w:rsidRDefault="0073389E">
                  <w:pPr>
                    <w:pStyle w:val="Tekst"/>
                    <w:rPr>
                      <w:color w:val="auto"/>
                      <w:sz w:val="22"/>
                      <w:szCs w:val="22"/>
                      <w:lang w:val="sr-Latn-ME"/>
                    </w:rPr>
                  </w:pPr>
                  <w:r w:rsidRPr="00D01E98">
                    <w:rPr>
                      <w:color w:val="auto"/>
                      <w:sz w:val="22"/>
                      <w:szCs w:val="22"/>
                      <w:lang w:val="sr-Latn-ME"/>
                    </w:rPr>
                    <w:t>Povećanje amilaze</w:t>
                  </w:r>
                </w:p>
              </w:tc>
              <w:tc>
                <w:tcPr>
                  <w:tcW w:w="1350" w:type="dxa"/>
                </w:tcPr>
                <w:p w14:paraId="01132663" w14:textId="26F659D3" w:rsidR="0073389E" w:rsidRPr="00D01E98" w:rsidRDefault="0073389E">
                  <w:pPr>
                    <w:pStyle w:val="Tekst"/>
                    <w:rPr>
                      <w:color w:val="auto"/>
                      <w:sz w:val="22"/>
                      <w:szCs w:val="22"/>
                      <w:lang w:val="sr-Latn-ME"/>
                    </w:rPr>
                  </w:pPr>
                  <w:r w:rsidRPr="00D01E98">
                    <w:rPr>
                      <w:color w:val="auto"/>
                      <w:sz w:val="22"/>
                      <w:szCs w:val="22"/>
                      <w:lang w:val="sr-Latn-ME"/>
                    </w:rPr>
                    <w:t>3,4</w:t>
                  </w:r>
                </w:p>
              </w:tc>
              <w:tc>
                <w:tcPr>
                  <w:tcW w:w="1205" w:type="dxa"/>
                </w:tcPr>
                <w:p w14:paraId="56B4592A" w14:textId="77777777" w:rsidR="0073389E" w:rsidRPr="00D01E98" w:rsidRDefault="0073389E">
                  <w:pPr>
                    <w:pStyle w:val="Tekst"/>
                    <w:rPr>
                      <w:color w:val="auto"/>
                      <w:sz w:val="22"/>
                      <w:szCs w:val="22"/>
                      <w:lang w:val="sr-Latn-ME"/>
                    </w:rPr>
                  </w:pPr>
                  <w:r w:rsidRPr="00D01E98">
                    <w:rPr>
                      <w:color w:val="auto"/>
                      <w:sz w:val="22"/>
                      <w:szCs w:val="22"/>
                      <w:lang w:val="sr-Latn-ME"/>
                    </w:rPr>
                    <w:t>0,6</w:t>
                  </w:r>
                </w:p>
              </w:tc>
              <w:tc>
                <w:tcPr>
                  <w:tcW w:w="1207" w:type="dxa"/>
                </w:tcPr>
                <w:p w14:paraId="5FCD78BF" w14:textId="53E0ACF9" w:rsidR="0073389E" w:rsidRPr="00D01E98" w:rsidRDefault="0073389E">
                  <w:pPr>
                    <w:pStyle w:val="Tekst"/>
                    <w:rPr>
                      <w:color w:val="auto"/>
                      <w:sz w:val="22"/>
                      <w:szCs w:val="22"/>
                      <w:lang w:val="sr-Latn-ME"/>
                    </w:rPr>
                  </w:pPr>
                  <w:r w:rsidRPr="00D01E98">
                    <w:rPr>
                      <w:color w:val="auto"/>
                      <w:sz w:val="22"/>
                      <w:szCs w:val="22"/>
                      <w:lang w:val="sr-Latn-ME"/>
                    </w:rPr>
                    <w:t>0,4</w:t>
                  </w:r>
                </w:p>
              </w:tc>
            </w:tr>
            <w:tr w:rsidR="0073389E" w:rsidRPr="00D01E98" w14:paraId="2CD0D719" w14:textId="77777777" w:rsidTr="000C0EC1">
              <w:trPr>
                <w:tblHeader/>
              </w:trPr>
              <w:tc>
                <w:tcPr>
                  <w:tcW w:w="2043" w:type="dxa"/>
                  <w:vMerge/>
                </w:tcPr>
                <w:p w14:paraId="17B939B0" w14:textId="77777777" w:rsidR="0073389E" w:rsidRPr="00D01E98" w:rsidRDefault="0073389E">
                  <w:pPr>
                    <w:pStyle w:val="Tekst"/>
                    <w:rPr>
                      <w:color w:val="auto"/>
                      <w:sz w:val="22"/>
                      <w:szCs w:val="22"/>
                      <w:lang w:val="sr-Latn-ME"/>
                    </w:rPr>
                  </w:pPr>
                </w:p>
              </w:tc>
              <w:tc>
                <w:tcPr>
                  <w:tcW w:w="1462" w:type="dxa"/>
                  <w:vMerge/>
                </w:tcPr>
                <w:p w14:paraId="37E6CBB6" w14:textId="77777777" w:rsidR="0073389E" w:rsidRPr="00D01E98" w:rsidRDefault="0073389E">
                  <w:pPr>
                    <w:pStyle w:val="Tekst"/>
                    <w:rPr>
                      <w:color w:val="auto"/>
                      <w:sz w:val="22"/>
                      <w:szCs w:val="22"/>
                      <w:lang w:val="sr-Latn-ME"/>
                    </w:rPr>
                  </w:pPr>
                </w:p>
              </w:tc>
              <w:tc>
                <w:tcPr>
                  <w:tcW w:w="2340" w:type="dxa"/>
                </w:tcPr>
                <w:p w14:paraId="2C21D67E" w14:textId="77777777" w:rsidR="0073389E" w:rsidRPr="00D01E98" w:rsidRDefault="0073389E">
                  <w:pPr>
                    <w:pStyle w:val="Tekst"/>
                    <w:rPr>
                      <w:color w:val="auto"/>
                      <w:sz w:val="22"/>
                      <w:szCs w:val="22"/>
                      <w:lang w:val="sr-Latn-ME"/>
                    </w:rPr>
                  </w:pPr>
                  <w:r w:rsidRPr="00D01E98">
                    <w:rPr>
                      <w:color w:val="auto"/>
                      <w:sz w:val="22"/>
                      <w:szCs w:val="22"/>
                      <w:lang w:val="sr-Latn-ME"/>
                    </w:rPr>
                    <w:t>Povećanje aspartat aminotransferaze</w:t>
                  </w:r>
                </w:p>
              </w:tc>
              <w:tc>
                <w:tcPr>
                  <w:tcW w:w="1350" w:type="dxa"/>
                </w:tcPr>
                <w:p w14:paraId="292E5D4B" w14:textId="6D58A492" w:rsidR="0073389E" w:rsidRPr="00D01E98" w:rsidRDefault="0073389E">
                  <w:pPr>
                    <w:pStyle w:val="Tekst"/>
                    <w:rPr>
                      <w:color w:val="auto"/>
                      <w:sz w:val="22"/>
                      <w:szCs w:val="22"/>
                      <w:lang w:val="sr-Latn-ME"/>
                    </w:rPr>
                  </w:pPr>
                  <w:r w:rsidRPr="00D01E98">
                    <w:rPr>
                      <w:color w:val="auto"/>
                      <w:sz w:val="22"/>
                      <w:szCs w:val="22"/>
                      <w:lang w:val="sr-Latn-ME"/>
                    </w:rPr>
                    <w:t>6,1</w:t>
                  </w:r>
                </w:p>
              </w:tc>
              <w:tc>
                <w:tcPr>
                  <w:tcW w:w="1205" w:type="dxa"/>
                </w:tcPr>
                <w:p w14:paraId="72BDBE97" w14:textId="196EFB5F" w:rsidR="0073389E" w:rsidRPr="00D01E98" w:rsidRDefault="0073389E">
                  <w:pPr>
                    <w:pStyle w:val="Tekst"/>
                    <w:rPr>
                      <w:color w:val="auto"/>
                      <w:sz w:val="22"/>
                      <w:szCs w:val="22"/>
                      <w:lang w:val="sr-Latn-ME"/>
                    </w:rPr>
                  </w:pPr>
                  <w:r w:rsidRPr="00D01E98">
                    <w:rPr>
                      <w:color w:val="auto"/>
                      <w:sz w:val="22"/>
                      <w:szCs w:val="22"/>
                      <w:lang w:val="sr-Latn-ME"/>
                    </w:rPr>
                    <w:t>1,0</w:t>
                  </w:r>
                </w:p>
              </w:tc>
              <w:tc>
                <w:tcPr>
                  <w:tcW w:w="1207" w:type="dxa"/>
                </w:tcPr>
                <w:p w14:paraId="74459778"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32AE33FD" w14:textId="77777777" w:rsidTr="000C0EC1">
              <w:trPr>
                <w:tblHeader/>
              </w:trPr>
              <w:tc>
                <w:tcPr>
                  <w:tcW w:w="2043" w:type="dxa"/>
                  <w:vMerge/>
                </w:tcPr>
                <w:p w14:paraId="62D8A156" w14:textId="77777777" w:rsidR="0073389E" w:rsidRPr="00D01E98" w:rsidRDefault="0073389E">
                  <w:pPr>
                    <w:pStyle w:val="Tekst"/>
                    <w:rPr>
                      <w:color w:val="auto"/>
                      <w:sz w:val="22"/>
                      <w:szCs w:val="22"/>
                      <w:lang w:val="sr-Latn-ME"/>
                    </w:rPr>
                  </w:pPr>
                </w:p>
              </w:tc>
              <w:tc>
                <w:tcPr>
                  <w:tcW w:w="1462" w:type="dxa"/>
                  <w:vMerge/>
                </w:tcPr>
                <w:p w14:paraId="2BB2567B" w14:textId="77777777" w:rsidR="0073389E" w:rsidRPr="00D01E98" w:rsidRDefault="0073389E">
                  <w:pPr>
                    <w:pStyle w:val="Tekst"/>
                    <w:rPr>
                      <w:color w:val="auto"/>
                      <w:sz w:val="22"/>
                      <w:szCs w:val="22"/>
                      <w:lang w:val="sr-Latn-ME"/>
                    </w:rPr>
                  </w:pPr>
                </w:p>
              </w:tc>
              <w:tc>
                <w:tcPr>
                  <w:tcW w:w="2340" w:type="dxa"/>
                </w:tcPr>
                <w:p w14:paraId="73AC7849" w14:textId="77777777" w:rsidR="0073389E" w:rsidRPr="00D01E98" w:rsidRDefault="0073389E">
                  <w:pPr>
                    <w:pStyle w:val="Tekst"/>
                    <w:rPr>
                      <w:color w:val="auto"/>
                      <w:sz w:val="22"/>
                      <w:szCs w:val="22"/>
                      <w:lang w:val="sr-Latn-ME"/>
                    </w:rPr>
                  </w:pPr>
                  <w:r w:rsidRPr="00D01E98">
                    <w:rPr>
                      <w:color w:val="auto"/>
                      <w:sz w:val="22"/>
                      <w:szCs w:val="22"/>
                      <w:lang w:val="sr-Latn-ME"/>
                    </w:rPr>
                    <w:t>Povećanje alkalne fosfataze</w:t>
                  </w:r>
                </w:p>
              </w:tc>
              <w:tc>
                <w:tcPr>
                  <w:tcW w:w="1350" w:type="dxa"/>
                </w:tcPr>
                <w:p w14:paraId="3A8F6CED" w14:textId="4995B723" w:rsidR="0073389E" w:rsidRPr="00D01E98" w:rsidRDefault="0073389E">
                  <w:pPr>
                    <w:pStyle w:val="Tekst"/>
                    <w:rPr>
                      <w:color w:val="auto"/>
                      <w:sz w:val="22"/>
                      <w:szCs w:val="22"/>
                      <w:lang w:val="sr-Latn-ME"/>
                    </w:rPr>
                  </w:pPr>
                  <w:r w:rsidRPr="00D01E98">
                    <w:rPr>
                      <w:color w:val="auto"/>
                      <w:sz w:val="22"/>
                      <w:szCs w:val="22"/>
                      <w:lang w:val="sr-Latn-ME"/>
                    </w:rPr>
                    <w:t>4,8</w:t>
                  </w:r>
                </w:p>
              </w:tc>
              <w:tc>
                <w:tcPr>
                  <w:tcW w:w="1205" w:type="dxa"/>
                </w:tcPr>
                <w:p w14:paraId="2B5282DC" w14:textId="77777777" w:rsidR="0073389E" w:rsidRPr="00D01E98" w:rsidRDefault="0073389E">
                  <w:pPr>
                    <w:pStyle w:val="Tekst"/>
                    <w:rPr>
                      <w:color w:val="auto"/>
                      <w:sz w:val="22"/>
                      <w:szCs w:val="22"/>
                      <w:lang w:val="sr-Latn-ME"/>
                    </w:rPr>
                  </w:pPr>
                  <w:r w:rsidRPr="00D01E98">
                    <w:rPr>
                      <w:color w:val="auto"/>
                      <w:sz w:val="22"/>
                      <w:szCs w:val="22"/>
                      <w:lang w:val="sr-Latn-ME"/>
                    </w:rPr>
                    <w:t>0,3</w:t>
                  </w:r>
                </w:p>
              </w:tc>
              <w:tc>
                <w:tcPr>
                  <w:tcW w:w="1207" w:type="dxa"/>
                </w:tcPr>
                <w:p w14:paraId="177305B2"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44509CEB" w14:textId="77777777" w:rsidTr="000C0EC1">
              <w:trPr>
                <w:tblHeader/>
              </w:trPr>
              <w:tc>
                <w:tcPr>
                  <w:tcW w:w="2043" w:type="dxa"/>
                  <w:vMerge/>
                </w:tcPr>
                <w:p w14:paraId="600D3ED5" w14:textId="77777777" w:rsidR="0073389E" w:rsidRPr="00D01E98" w:rsidRDefault="0073389E">
                  <w:pPr>
                    <w:pStyle w:val="Tekst"/>
                    <w:rPr>
                      <w:color w:val="auto"/>
                      <w:sz w:val="22"/>
                      <w:szCs w:val="22"/>
                      <w:lang w:val="sr-Latn-ME"/>
                    </w:rPr>
                  </w:pPr>
                </w:p>
              </w:tc>
              <w:tc>
                <w:tcPr>
                  <w:tcW w:w="1462" w:type="dxa"/>
                  <w:vMerge/>
                </w:tcPr>
                <w:p w14:paraId="77306DFB" w14:textId="77777777" w:rsidR="0073389E" w:rsidRPr="00D01E98" w:rsidRDefault="0073389E">
                  <w:pPr>
                    <w:pStyle w:val="Tekst"/>
                    <w:rPr>
                      <w:color w:val="auto"/>
                      <w:sz w:val="22"/>
                      <w:szCs w:val="22"/>
                      <w:lang w:val="sr-Latn-ME"/>
                    </w:rPr>
                  </w:pPr>
                </w:p>
              </w:tc>
              <w:tc>
                <w:tcPr>
                  <w:tcW w:w="2340" w:type="dxa"/>
                </w:tcPr>
                <w:p w14:paraId="17F83903" w14:textId="77777777" w:rsidR="0073389E" w:rsidRPr="00D01E98" w:rsidRDefault="0073389E">
                  <w:pPr>
                    <w:pStyle w:val="Tekst"/>
                    <w:rPr>
                      <w:color w:val="auto"/>
                      <w:sz w:val="22"/>
                      <w:szCs w:val="22"/>
                      <w:lang w:val="sr-Latn-ME"/>
                    </w:rPr>
                  </w:pPr>
                  <w:r w:rsidRPr="00D01E98">
                    <w:rPr>
                      <w:color w:val="auto"/>
                      <w:sz w:val="22"/>
                      <w:szCs w:val="22"/>
                      <w:lang w:val="sr-Latn-ME"/>
                    </w:rPr>
                    <w:t>Povećanje kreatinina</w:t>
                  </w:r>
                  <w:r w:rsidRPr="00D01E98" w:rsidDel="00DF4C35">
                    <w:rPr>
                      <w:color w:val="auto"/>
                      <w:sz w:val="22"/>
                      <w:szCs w:val="22"/>
                      <w:lang w:val="sr-Latn-ME"/>
                    </w:rPr>
                    <w:t xml:space="preserve"> </w:t>
                  </w:r>
                </w:p>
              </w:tc>
              <w:tc>
                <w:tcPr>
                  <w:tcW w:w="1350" w:type="dxa"/>
                </w:tcPr>
                <w:p w14:paraId="28AFE143" w14:textId="0F9F865F" w:rsidR="0073389E" w:rsidRPr="00D01E98" w:rsidRDefault="0073389E">
                  <w:pPr>
                    <w:pStyle w:val="Tekst"/>
                    <w:rPr>
                      <w:color w:val="auto"/>
                      <w:sz w:val="22"/>
                      <w:szCs w:val="22"/>
                      <w:lang w:val="sr-Latn-ME"/>
                    </w:rPr>
                  </w:pPr>
                  <w:r w:rsidRPr="00D01E98">
                    <w:rPr>
                      <w:color w:val="auto"/>
                      <w:sz w:val="22"/>
                      <w:szCs w:val="22"/>
                      <w:lang w:val="sr-Latn-ME"/>
                    </w:rPr>
                    <w:t>5,7</w:t>
                  </w:r>
                </w:p>
              </w:tc>
              <w:tc>
                <w:tcPr>
                  <w:tcW w:w="1205" w:type="dxa"/>
                </w:tcPr>
                <w:p w14:paraId="7E619184" w14:textId="75F29704" w:rsidR="0073389E" w:rsidRPr="00D01E98" w:rsidRDefault="0073389E">
                  <w:pPr>
                    <w:pStyle w:val="Tekst"/>
                    <w:rPr>
                      <w:color w:val="auto"/>
                      <w:sz w:val="22"/>
                      <w:szCs w:val="22"/>
                      <w:lang w:val="sr-Latn-ME"/>
                    </w:rPr>
                  </w:pPr>
                  <w:r w:rsidRPr="00D01E98">
                    <w:rPr>
                      <w:color w:val="auto"/>
                      <w:sz w:val="22"/>
                      <w:szCs w:val="22"/>
                      <w:lang w:val="sr-Latn-ME"/>
                    </w:rPr>
                    <w:t>0,4</w:t>
                  </w:r>
                </w:p>
              </w:tc>
              <w:tc>
                <w:tcPr>
                  <w:tcW w:w="1207" w:type="dxa"/>
                </w:tcPr>
                <w:p w14:paraId="00186E6B" w14:textId="77777777" w:rsidR="0073389E" w:rsidRPr="00D01E98" w:rsidRDefault="0073389E">
                  <w:pPr>
                    <w:pStyle w:val="Tekst"/>
                    <w:rPr>
                      <w:color w:val="auto"/>
                      <w:sz w:val="22"/>
                      <w:szCs w:val="22"/>
                      <w:lang w:val="sr-Latn-ME"/>
                    </w:rPr>
                  </w:pPr>
                  <w:r w:rsidRPr="00D01E98">
                    <w:rPr>
                      <w:color w:val="auto"/>
                      <w:sz w:val="22"/>
                      <w:szCs w:val="22"/>
                      <w:lang w:val="sr-Latn-ME"/>
                    </w:rPr>
                    <w:t>0</w:t>
                  </w:r>
                </w:p>
              </w:tc>
            </w:tr>
            <w:tr w:rsidR="0073389E" w:rsidRPr="00D01E98" w14:paraId="058CDBCB" w14:textId="77777777" w:rsidTr="000C0EC1">
              <w:trPr>
                <w:trHeight w:val="710"/>
                <w:tblHeader/>
              </w:trPr>
              <w:tc>
                <w:tcPr>
                  <w:tcW w:w="2043" w:type="dxa"/>
                  <w:vMerge/>
                </w:tcPr>
                <w:p w14:paraId="63A0B6FE" w14:textId="77777777" w:rsidR="0073389E" w:rsidRPr="00D01E98" w:rsidRDefault="0073389E">
                  <w:pPr>
                    <w:pStyle w:val="Tekst"/>
                    <w:rPr>
                      <w:color w:val="auto"/>
                      <w:sz w:val="22"/>
                      <w:szCs w:val="22"/>
                      <w:lang w:val="sr-Latn-ME"/>
                    </w:rPr>
                  </w:pPr>
                </w:p>
              </w:tc>
              <w:tc>
                <w:tcPr>
                  <w:tcW w:w="1462" w:type="dxa"/>
                  <w:vMerge/>
                </w:tcPr>
                <w:p w14:paraId="27990AA9" w14:textId="77777777" w:rsidR="0073389E" w:rsidRPr="00D01E98" w:rsidRDefault="0073389E">
                  <w:pPr>
                    <w:pStyle w:val="Tekst"/>
                    <w:rPr>
                      <w:color w:val="auto"/>
                      <w:sz w:val="22"/>
                      <w:szCs w:val="22"/>
                      <w:lang w:val="sr-Latn-ME"/>
                    </w:rPr>
                  </w:pPr>
                </w:p>
              </w:tc>
              <w:tc>
                <w:tcPr>
                  <w:tcW w:w="2340" w:type="dxa"/>
                </w:tcPr>
                <w:p w14:paraId="353ACDD0" w14:textId="77777777" w:rsidR="0073389E" w:rsidRPr="00D01E98" w:rsidRDefault="0073389E">
                  <w:pPr>
                    <w:pStyle w:val="Tekst"/>
                    <w:rPr>
                      <w:color w:val="auto"/>
                      <w:sz w:val="22"/>
                      <w:szCs w:val="22"/>
                      <w:lang w:val="sr-Latn-ME"/>
                    </w:rPr>
                  </w:pPr>
                  <w:r w:rsidRPr="00D01E98">
                    <w:rPr>
                      <w:color w:val="auto"/>
                      <w:sz w:val="22"/>
                      <w:szCs w:val="22"/>
                      <w:lang w:val="sr-Latn-ME"/>
                    </w:rPr>
                    <w:t>Povećanje tireostimulirajućeg hormona</w:t>
                  </w:r>
                </w:p>
              </w:tc>
              <w:tc>
                <w:tcPr>
                  <w:tcW w:w="1350" w:type="dxa"/>
                </w:tcPr>
                <w:p w14:paraId="2BF664ED" w14:textId="7698709B" w:rsidR="0073389E" w:rsidRPr="00D01E98" w:rsidRDefault="0073389E">
                  <w:pPr>
                    <w:pStyle w:val="Tekst"/>
                    <w:rPr>
                      <w:color w:val="auto"/>
                      <w:sz w:val="22"/>
                      <w:szCs w:val="22"/>
                      <w:lang w:val="sr-Latn-ME"/>
                    </w:rPr>
                  </w:pPr>
                  <w:r w:rsidRPr="00D01E98">
                    <w:rPr>
                      <w:color w:val="auto"/>
                      <w:sz w:val="22"/>
                      <w:szCs w:val="22"/>
                      <w:lang w:val="sr-Latn-ME"/>
                    </w:rPr>
                    <w:t>7,9</w:t>
                  </w:r>
                </w:p>
                <w:p w14:paraId="268AB310" w14:textId="77777777" w:rsidR="0073389E" w:rsidRPr="00D01E98" w:rsidRDefault="0073389E">
                  <w:pPr>
                    <w:pStyle w:val="Tekst"/>
                    <w:rPr>
                      <w:color w:val="auto"/>
                      <w:sz w:val="22"/>
                      <w:szCs w:val="22"/>
                      <w:lang w:val="sr-Latn-ME"/>
                    </w:rPr>
                  </w:pPr>
                </w:p>
              </w:tc>
              <w:tc>
                <w:tcPr>
                  <w:tcW w:w="1205" w:type="dxa"/>
                </w:tcPr>
                <w:p w14:paraId="320433EC" w14:textId="77777777" w:rsidR="0073389E" w:rsidRPr="00D01E98" w:rsidRDefault="0073389E">
                  <w:pPr>
                    <w:pStyle w:val="Tekst"/>
                    <w:rPr>
                      <w:color w:val="auto"/>
                      <w:sz w:val="22"/>
                      <w:szCs w:val="22"/>
                      <w:lang w:val="sr-Latn-ME"/>
                    </w:rPr>
                  </w:pPr>
                  <w:r w:rsidRPr="00D01E98">
                    <w:rPr>
                      <w:color w:val="auto"/>
                      <w:sz w:val="22"/>
                      <w:szCs w:val="22"/>
                      <w:lang w:val="sr-Latn-ME"/>
                    </w:rPr>
                    <w:t>0</w:t>
                  </w:r>
                </w:p>
                <w:p w14:paraId="6648A6AB" w14:textId="77777777" w:rsidR="0073389E" w:rsidRPr="00D01E98" w:rsidRDefault="0073389E">
                  <w:pPr>
                    <w:pStyle w:val="Tekst"/>
                    <w:rPr>
                      <w:color w:val="auto"/>
                      <w:sz w:val="22"/>
                      <w:szCs w:val="22"/>
                      <w:lang w:val="sr-Latn-ME"/>
                    </w:rPr>
                  </w:pPr>
                </w:p>
              </w:tc>
              <w:tc>
                <w:tcPr>
                  <w:tcW w:w="1207" w:type="dxa"/>
                </w:tcPr>
                <w:p w14:paraId="0C2EE855" w14:textId="77777777" w:rsidR="0073389E" w:rsidRPr="00D01E98" w:rsidRDefault="0073389E">
                  <w:pPr>
                    <w:pStyle w:val="Tekst"/>
                    <w:rPr>
                      <w:color w:val="auto"/>
                      <w:sz w:val="22"/>
                      <w:szCs w:val="22"/>
                      <w:lang w:val="sr-Latn-ME"/>
                    </w:rPr>
                  </w:pPr>
                  <w:r w:rsidRPr="00D01E98">
                    <w:rPr>
                      <w:color w:val="auto"/>
                      <w:sz w:val="22"/>
                      <w:szCs w:val="22"/>
                      <w:lang w:val="sr-Latn-ME"/>
                    </w:rPr>
                    <w:t>0</w:t>
                  </w:r>
                </w:p>
                <w:p w14:paraId="7E93C22B" w14:textId="77777777" w:rsidR="0073389E" w:rsidRPr="00D01E98" w:rsidRDefault="0073389E">
                  <w:pPr>
                    <w:pStyle w:val="Tekst"/>
                    <w:rPr>
                      <w:color w:val="auto"/>
                      <w:sz w:val="22"/>
                      <w:szCs w:val="22"/>
                      <w:lang w:val="sr-Latn-ME"/>
                    </w:rPr>
                  </w:pPr>
                </w:p>
              </w:tc>
            </w:tr>
          </w:tbl>
          <w:p w14:paraId="07D8AB14" w14:textId="77777777" w:rsidR="0020267D" w:rsidRPr="00D01E98" w:rsidRDefault="0020267D">
            <w:pPr>
              <w:pStyle w:val="Tekst"/>
              <w:rPr>
                <w:color w:val="auto"/>
                <w:sz w:val="22"/>
                <w:szCs w:val="22"/>
                <w:lang w:val="sr-Latn-ME"/>
              </w:rPr>
            </w:pPr>
          </w:p>
          <w:p w14:paraId="1E27D7D0" w14:textId="77777777" w:rsidR="0020267D" w:rsidRPr="00D01E98" w:rsidRDefault="0020267D" w:rsidP="00923DFD">
            <w:pPr>
              <w:pStyle w:val="Tekst"/>
              <w:numPr>
                <w:ilvl w:val="0"/>
                <w:numId w:val="4"/>
              </w:numPr>
              <w:ind w:firstLine="0"/>
              <w:rPr>
                <w:color w:val="auto"/>
                <w:sz w:val="22"/>
                <w:szCs w:val="22"/>
                <w:lang w:val="sr-Latn-ME"/>
              </w:rPr>
            </w:pPr>
            <w:r w:rsidRPr="00D01E98">
              <w:rPr>
                <w:color w:val="auto"/>
                <w:sz w:val="22"/>
                <w:szCs w:val="22"/>
                <w:lang w:val="sr-Latn-ME"/>
              </w:rPr>
              <w:t>Učestalost terapijom izazvanih neželjenih reakcija prema svim uzrocima</w:t>
            </w:r>
          </w:p>
          <w:p w14:paraId="798F0D37" w14:textId="75746949" w:rsidR="0020267D" w:rsidRPr="00D01E98" w:rsidRDefault="0020267D" w:rsidP="00923DFD">
            <w:pPr>
              <w:pStyle w:val="Tekst"/>
              <w:numPr>
                <w:ilvl w:val="0"/>
                <w:numId w:val="4"/>
              </w:numPr>
              <w:ind w:firstLine="0"/>
              <w:rPr>
                <w:color w:val="auto"/>
                <w:sz w:val="22"/>
                <w:szCs w:val="22"/>
                <w:lang w:val="sr-Latn-ME"/>
              </w:rPr>
            </w:pPr>
            <w:r w:rsidRPr="00D01E98">
              <w:rPr>
                <w:color w:val="auto"/>
                <w:sz w:val="22"/>
                <w:szCs w:val="22"/>
                <w:lang w:val="sr-Latn-ME"/>
              </w:rPr>
              <w:t>Kriterijumi standardne terminologije za neželjene reakcije Nacionalnog instituta za karcinom, verzija</w:t>
            </w:r>
            <w:r w:rsidR="008B5E8B" w:rsidRPr="00D01E98">
              <w:rPr>
                <w:color w:val="auto"/>
                <w:sz w:val="22"/>
                <w:szCs w:val="22"/>
                <w:lang w:val="sr-Latn-ME"/>
              </w:rPr>
              <w:t xml:space="preserve">       </w:t>
            </w:r>
            <w:r w:rsidRPr="00D01E98">
              <w:rPr>
                <w:color w:val="auto"/>
                <w:sz w:val="22"/>
                <w:szCs w:val="22"/>
                <w:lang w:val="sr-Latn-ME"/>
              </w:rPr>
              <w:t>3.0</w:t>
            </w:r>
          </w:p>
          <w:p w14:paraId="7FFB0232" w14:textId="0DF80504" w:rsidR="0020267D" w:rsidRPr="00D01E98" w:rsidRDefault="0020267D" w:rsidP="00923DFD">
            <w:pPr>
              <w:pStyle w:val="Tekst"/>
              <w:numPr>
                <w:ilvl w:val="0"/>
                <w:numId w:val="4"/>
              </w:numPr>
              <w:ind w:firstLine="0"/>
              <w:rPr>
                <w:color w:val="auto"/>
                <w:sz w:val="22"/>
                <w:szCs w:val="22"/>
                <w:lang w:val="sr-Latn-ME"/>
              </w:rPr>
            </w:pPr>
            <w:r w:rsidRPr="00D01E98">
              <w:rPr>
                <w:color w:val="auto"/>
                <w:sz w:val="22"/>
                <w:szCs w:val="22"/>
                <w:lang w:val="sr-Latn-ME"/>
              </w:rPr>
              <w:t xml:space="preserve">Vidjeti </w:t>
            </w:r>
            <w:r w:rsidR="00264191" w:rsidRPr="00D01E98">
              <w:rPr>
                <w:color w:val="auto"/>
                <w:sz w:val="22"/>
                <w:szCs w:val="22"/>
                <w:lang w:val="sr-Latn-ME"/>
              </w:rPr>
              <w:t>dio</w:t>
            </w:r>
            <w:r w:rsidRPr="00D01E98">
              <w:rPr>
                <w:color w:val="auto"/>
                <w:sz w:val="22"/>
                <w:szCs w:val="22"/>
                <w:lang w:val="sr-Latn-ME"/>
              </w:rPr>
              <w:t xml:space="preserve"> Opis odabranih neželjenih reakcija</w:t>
            </w:r>
          </w:p>
          <w:p w14:paraId="5B9024E2" w14:textId="51AE31CB" w:rsidR="0020267D" w:rsidRPr="00D01E98" w:rsidRDefault="0020267D" w:rsidP="00923DFD">
            <w:pPr>
              <w:pStyle w:val="Tekst"/>
              <w:numPr>
                <w:ilvl w:val="0"/>
                <w:numId w:val="4"/>
              </w:numPr>
              <w:ind w:firstLine="0"/>
              <w:rPr>
                <w:color w:val="auto"/>
                <w:sz w:val="22"/>
                <w:szCs w:val="22"/>
                <w:lang w:val="sr-Latn-ME"/>
              </w:rPr>
            </w:pPr>
            <w:r w:rsidRPr="00D01E98">
              <w:rPr>
                <w:color w:val="auto"/>
                <w:sz w:val="22"/>
                <w:szCs w:val="22"/>
                <w:lang w:val="sr-Latn-ME"/>
              </w:rPr>
              <w:t>Prijavljeni su fatalni (</w:t>
            </w:r>
            <w:r w:rsidR="00735F18" w:rsidRPr="00D01E98">
              <w:rPr>
                <w:color w:val="auto"/>
                <w:sz w:val="22"/>
                <w:szCs w:val="22"/>
                <w:lang w:val="sr-Latn-ME"/>
              </w:rPr>
              <w:t>g</w:t>
            </w:r>
            <w:r w:rsidRPr="00D01E98">
              <w:rPr>
                <w:color w:val="auto"/>
                <w:sz w:val="22"/>
                <w:szCs w:val="22"/>
                <w:lang w:val="sr-Latn-ME"/>
              </w:rPr>
              <w:t>radus 5) slučajevi</w:t>
            </w:r>
          </w:p>
          <w:p w14:paraId="43E3E185" w14:textId="28FE9DCB" w:rsidR="0020267D" w:rsidRPr="00D01E98" w:rsidRDefault="0020267D" w:rsidP="00923DFD">
            <w:pPr>
              <w:pStyle w:val="Tekst"/>
              <w:numPr>
                <w:ilvl w:val="0"/>
                <w:numId w:val="4"/>
              </w:numPr>
              <w:ind w:firstLine="0"/>
              <w:rPr>
                <w:color w:val="auto"/>
                <w:sz w:val="22"/>
                <w:szCs w:val="22"/>
                <w:lang w:val="sr-Latn-ME"/>
              </w:rPr>
            </w:pPr>
            <w:r w:rsidRPr="00D01E98">
              <w:rPr>
                <w:color w:val="auto"/>
                <w:sz w:val="22"/>
                <w:szCs w:val="22"/>
                <w:lang w:val="sr-Latn-ME"/>
              </w:rPr>
              <w:t xml:space="preserve">Uključujući </w:t>
            </w:r>
            <w:r w:rsidR="00A667D5" w:rsidRPr="00D01E98">
              <w:rPr>
                <w:color w:val="auto"/>
                <w:sz w:val="22"/>
                <w:szCs w:val="22"/>
                <w:lang w:val="sr-Latn-ME"/>
              </w:rPr>
              <w:t>leukoencefalopatiju</w:t>
            </w:r>
            <w:r w:rsidR="00B77A4C" w:rsidRPr="00D01E98">
              <w:rPr>
                <w:color w:val="auto"/>
                <w:sz w:val="22"/>
                <w:szCs w:val="22"/>
                <w:lang w:val="sr-Latn-ME"/>
              </w:rPr>
              <w:t>.</w:t>
            </w:r>
          </w:p>
          <w:p w14:paraId="184F88FB" w14:textId="22B92120" w:rsidR="00A667D5" w:rsidRPr="00D01E98" w:rsidRDefault="00A667D5">
            <w:pPr>
              <w:pStyle w:val="Tekst"/>
              <w:numPr>
                <w:ilvl w:val="0"/>
                <w:numId w:val="4"/>
              </w:numPr>
              <w:ind w:left="742" w:hanging="728"/>
              <w:rPr>
                <w:color w:val="auto"/>
                <w:sz w:val="22"/>
                <w:szCs w:val="22"/>
                <w:lang w:val="sr-Latn-ME"/>
              </w:rPr>
            </w:pPr>
            <w:r w:rsidRPr="00D01E98">
              <w:rPr>
                <w:color w:val="auto"/>
                <w:sz w:val="22"/>
                <w:szCs w:val="22"/>
                <w:lang w:val="sr-Latn-ME"/>
              </w:rPr>
              <w:t>Uključujući srčanu insuficijenciju,</w:t>
            </w:r>
            <w:r w:rsidRPr="00D01E98">
              <w:rPr>
                <w:sz w:val="22"/>
                <w:szCs w:val="22"/>
                <w:lang w:val="sr-Latn-ME"/>
              </w:rPr>
              <w:t xml:space="preserve"> kongestivnu srčanu insuficijenciju, kardiopulmona</w:t>
            </w:r>
            <w:r w:rsidR="00D14BF4" w:rsidRPr="00D01E98">
              <w:rPr>
                <w:sz w:val="22"/>
                <w:szCs w:val="22"/>
                <w:lang w:val="sr-Latn-ME"/>
              </w:rPr>
              <w:t>r</w:t>
            </w:r>
            <w:r w:rsidRPr="00D01E98">
              <w:rPr>
                <w:sz w:val="22"/>
                <w:szCs w:val="22"/>
                <w:lang w:val="sr-Latn-ME"/>
              </w:rPr>
              <w:t>nu insuficijenciju, smanjenje ejekcione frakcije, disfunkciju l</w:t>
            </w:r>
            <w:r w:rsidR="00C121D7" w:rsidRPr="00D01E98">
              <w:rPr>
                <w:sz w:val="22"/>
                <w:szCs w:val="22"/>
                <w:lang w:val="sr-Latn-ME"/>
              </w:rPr>
              <w:t>j</w:t>
            </w:r>
            <w:r w:rsidRPr="00D01E98">
              <w:rPr>
                <w:sz w:val="22"/>
                <w:szCs w:val="22"/>
                <w:lang w:val="sr-Latn-ME"/>
              </w:rPr>
              <w:t>eve komore i insuficijenciju desne komore.</w:t>
            </w:r>
          </w:p>
          <w:p w14:paraId="3E46BA9C" w14:textId="77777777" w:rsidR="00A667D5" w:rsidRPr="00D01E98" w:rsidRDefault="00A667D5">
            <w:pPr>
              <w:pStyle w:val="Tekst"/>
              <w:numPr>
                <w:ilvl w:val="0"/>
                <w:numId w:val="4"/>
              </w:numPr>
              <w:ind w:left="742" w:hanging="728"/>
              <w:rPr>
                <w:color w:val="auto"/>
                <w:sz w:val="22"/>
                <w:szCs w:val="22"/>
                <w:lang w:val="sr-Latn-ME"/>
              </w:rPr>
            </w:pPr>
            <w:r w:rsidRPr="00D01E98">
              <w:rPr>
                <w:color w:val="auto"/>
                <w:sz w:val="22"/>
                <w:szCs w:val="22"/>
                <w:lang w:val="sr-Latn-ME"/>
              </w:rPr>
              <w:t>Uključujući ubrzanu hipertenziju, povećanje krvnog pritiska, hipertenziju i hipertenzivnu krizu.</w:t>
            </w:r>
          </w:p>
          <w:p w14:paraId="3A71B9B4" w14:textId="3E2E5C93" w:rsidR="00A667D5" w:rsidRPr="00D01E98" w:rsidRDefault="00A667D5">
            <w:pPr>
              <w:pStyle w:val="Tekst"/>
              <w:numPr>
                <w:ilvl w:val="0"/>
                <w:numId w:val="4"/>
              </w:numPr>
              <w:ind w:left="742" w:hanging="728"/>
              <w:rPr>
                <w:color w:val="auto"/>
                <w:sz w:val="22"/>
                <w:szCs w:val="22"/>
                <w:lang w:val="sr-Latn-ME"/>
              </w:rPr>
            </w:pPr>
            <w:r w:rsidRPr="00D01E98">
              <w:rPr>
                <w:color w:val="auto"/>
                <w:sz w:val="22"/>
                <w:szCs w:val="22"/>
                <w:lang w:val="sr-Latn-ME"/>
              </w:rPr>
              <w:t xml:space="preserve">Uključujući produženje aktivnog parcijalnog tromboplastinskog vremena, analno krvarenje, arterijsko krvarenje, prisustvo krvi u urinu, krvarenje u centralnom nervnom sistemu, cerebralno krvarenje, produženje vremena koagulacije, krvarenje konjunktive, kontuziju, krvavu dijareju, disfunkcionalno uterino krvarenje, epistaksu, gastričko krvarenje, gastrointestinalno krvarenje, krvarenje gingive, hematemezu, </w:t>
            </w:r>
            <w:r w:rsidR="00546018" w:rsidRPr="00D01E98">
              <w:rPr>
                <w:color w:val="auto"/>
                <w:sz w:val="22"/>
                <w:szCs w:val="22"/>
                <w:lang w:val="sr-Latn-ME"/>
              </w:rPr>
              <w:t>hematoheziju, smanjenje nivoa hematokrita, hematom, hematuriju, smanjenje nivoa hemoglobina, hemoptiziju, krvarenje, krvarenje k</w:t>
            </w:r>
            <w:r w:rsidR="006A55EB" w:rsidRPr="00D01E98">
              <w:rPr>
                <w:color w:val="auto"/>
                <w:sz w:val="22"/>
                <w:szCs w:val="22"/>
                <w:lang w:val="sr-Latn-ME"/>
              </w:rPr>
              <w:t>oronarne arterije, kr</w:t>
            </w:r>
            <w:r w:rsidR="00546018" w:rsidRPr="00D01E98">
              <w:rPr>
                <w:color w:val="auto"/>
                <w:sz w:val="22"/>
                <w:szCs w:val="22"/>
                <w:lang w:val="sr-Latn-ME"/>
              </w:rPr>
              <w:t>v</w:t>
            </w:r>
            <w:r w:rsidR="006A55EB" w:rsidRPr="00D01E98">
              <w:rPr>
                <w:color w:val="auto"/>
                <w:sz w:val="22"/>
                <w:szCs w:val="22"/>
                <w:lang w:val="sr-Latn-ME"/>
              </w:rPr>
              <w:t>a</w:t>
            </w:r>
            <w:r w:rsidR="00546018" w:rsidRPr="00D01E98">
              <w:rPr>
                <w:color w:val="auto"/>
                <w:sz w:val="22"/>
                <w:szCs w:val="22"/>
                <w:lang w:val="sr-Latn-ME"/>
              </w:rPr>
              <w:t xml:space="preserve">renje </w:t>
            </w:r>
            <w:r w:rsidR="006A55EB" w:rsidRPr="00D01E98">
              <w:rPr>
                <w:color w:val="auto"/>
                <w:sz w:val="22"/>
                <w:szCs w:val="22"/>
                <w:lang w:val="sr-Latn-ME"/>
              </w:rPr>
              <w:t xml:space="preserve">u </w:t>
            </w:r>
            <w:r w:rsidR="00546018" w:rsidRPr="00D01E98">
              <w:rPr>
                <w:color w:val="auto"/>
                <w:sz w:val="22"/>
                <w:szCs w:val="22"/>
                <w:lang w:val="sr-Latn-ME"/>
              </w:rPr>
              <w:t>urinarno</w:t>
            </w:r>
            <w:r w:rsidR="006A55EB" w:rsidRPr="00D01E98">
              <w:rPr>
                <w:color w:val="auto"/>
                <w:sz w:val="22"/>
                <w:szCs w:val="22"/>
                <w:lang w:val="sr-Latn-ME"/>
              </w:rPr>
              <w:t>m</w:t>
            </w:r>
            <w:r w:rsidR="00546018" w:rsidRPr="00D01E98">
              <w:rPr>
                <w:color w:val="auto"/>
                <w:sz w:val="22"/>
                <w:szCs w:val="22"/>
                <w:lang w:val="sr-Latn-ME"/>
              </w:rPr>
              <w:t xml:space="preserve"> trakt</w:t>
            </w:r>
            <w:r w:rsidR="006A55EB" w:rsidRPr="00D01E98">
              <w:rPr>
                <w:color w:val="auto"/>
                <w:sz w:val="22"/>
                <w:szCs w:val="22"/>
                <w:lang w:val="sr-Latn-ME"/>
              </w:rPr>
              <w:t>u</w:t>
            </w:r>
            <w:r w:rsidR="00546018" w:rsidRPr="00D01E98">
              <w:rPr>
                <w:color w:val="auto"/>
                <w:sz w:val="22"/>
                <w:szCs w:val="22"/>
                <w:lang w:val="sr-Latn-ME"/>
              </w:rPr>
              <w:t>, krvarenje hemoroida, hemostazu, povećanu sklonost stvaranju modrica, povećanje međunarodnog normalizovanog odnosa, krvarenje u donjem gastrointestinalnom traktu, melenu, petehije, faringealno krvarenje, produženo protrombinsko vr</w:t>
            </w:r>
            <w:r w:rsidR="00246CA5" w:rsidRPr="00D01E98">
              <w:rPr>
                <w:color w:val="auto"/>
                <w:sz w:val="22"/>
                <w:szCs w:val="22"/>
                <w:lang w:val="sr-Latn-ME"/>
              </w:rPr>
              <w:t>ij</w:t>
            </w:r>
            <w:r w:rsidR="00546018" w:rsidRPr="00D01E98">
              <w:rPr>
                <w:color w:val="auto"/>
                <w:sz w:val="22"/>
                <w:szCs w:val="22"/>
                <w:lang w:val="sr-Latn-ME"/>
              </w:rPr>
              <w:t xml:space="preserve">eme, pulmonalno krvarenje, purpuru, rektalno krvarenje, smanjenje broja crvenih krvnih zrnaca, renalno krvarenje, skleralno krvarenje, krvarenje skrotuma, </w:t>
            </w:r>
            <w:r w:rsidR="00246CA5" w:rsidRPr="00D01E98">
              <w:rPr>
                <w:color w:val="auto"/>
                <w:sz w:val="22"/>
                <w:szCs w:val="22"/>
                <w:lang w:val="sr-Latn-ME"/>
              </w:rPr>
              <w:lastRenderedPageBreak/>
              <w:t>hematom slezine</w:t>
            </w:r>
            <w:r w:rsidR="00546018" w:rsidRPr="00D01E98">
              <w:rPr>
                <w:color w:val="auto"/>
                <w:sz w:val="22"/>
                <w:szCs w:val="22"/>
                <w:lang w:val="sr-Latn-ME"/>
              </w:rPr>
              <w:t>, krvarenje nokta („splinter“), subarahnoidno krvarenje, krvarenje jezika, krvarenje u gornjem gastrointestinalom traktu i vaginalno krvarenje.</w:t>
            </w:r>
          </w:p>
          <w:p w14:paraId="37EE0FB9" w14:textId="77777777" w:rsidR="00546018" w:rsidRPr="00D01E98" w:rsidRDefault="00546018">
            <w:pPr>
              <w:pStyle w:val="Tekst"/>
              <w:numPr>
                <w:ilvl w:val="0"/>
                <w:numId w:val="4"/>
              </w:numPr>
              <w:ind w:left="742" w:hanging="728"/>
              <w:rPr>
                <w:color w:val="auto"/>
                <w:sz w:val="22"/>
                <w:szCs w:val="22"/>
                <w:lang w:val="sr-Latn-ME"/>
              </w:rPr>
            </w:pPr>
            <w:r w:rsidRPr="00D01E98">
              <w:rPr>
                <w:color w:val="auto"/>
                <w:sz w:val="22"/>
                <w:szCs w:val="22"/>
                <w:lang w:val="sr-Latn-ME"/>
              </w:rPr>
              <w:t xml:space="preserve">Uključujući Bad-Kjarijev sindrom, duboku vensku trombozu, trombozu jugularne vene, </w:t>
            </w:r>
            <w:r w:rsidR="006A55EB" w:rsidRPr="00D01E98">
              <w:rPr>
                <w:color w:val="auto"/>
                <w:sz w:val="22"/>
                <w:szCs w:val="22"/>
                <w:lang w:val="sr-Latn-ME"/>
              </w:rPr>
              <w:t>trombozu vena karlice, emboliju pluća, okluziju retinalne vene, trombozu retinalne vene, trombozu subklavijalne vene, vensku trombozu i vensku tromboza ekstremiteta.</w:t>
            </w:r>
          </w:p>
          <w:p w14:paraId="42DE042C" w14:textId="77777777" w:rsidR="006A55EB" w:rsidRPr="00D01E98" w:rsidRDefault="006A55EB">
            <w:pPr>
              <w:pStyle w:val="Tekst"/>
              <w:numPr>
                <w:ilvl w:val="0"/>
                <w:numId w:val="4"/>
              </w:numPr>
              <w:ind w:left="742" w:hanging="728"/>
              <w:rPr>
                <w:color w:val="auto"/>
                <w:sz w:val="22"/>
                <w:szCs w:val="22"/>
                <w:lang w:val="sr-Latn-ME"/>
              </w:rPr>
            </w:pPr>
            <w:r w:rsidRPr="00D01E98">
              <w:rPr>
                <w:color w:val="auto"/>
                <w:sz w:val="22"/>
                <w:szCs w:val="22"/>
                <w:lang w:val="sr-Latn-ME"/>
              </w:rPr>
              <w:t>Uključujući akutni infarkt miokarda, emboliju, infarkt miokarda, okluziju retinalne arterije i prolazni ishemijski napad.</w:t>
            </w:r>
          </w:p>
          <w:p w14:paraId="5A52EF43" w14:textId="663DA53B" w:rsidR="006A55EB" w:rsidRPr="00D01E98" w:rsidRDefault="006A55EB">
            <w:pPr>
              <w:pStyle w:val="Tekst"/>
              <w:numPr>
                <w:ilvl w:val="0"/>
                <w:numId w:val="4"/>
              </w:numPr>
              <w:ind w:left="742" w:hanging="728"/>
              <w:rPr>
                <w:color w:val="auto"/>
                <w:sz w:val="22"/>
                <w:szCs w:val="22"/>
                <w:lang w:val="sr-Latn-ME"/>
              </w:rPr>
            </w:pPr>
            <w:r w:rsidRPr="00D01E98">
              <w:rPr>
                <w:color w:val="auto"/>
                <w:sz w:val="22"/>
                <w:szCs w:val="22"/>
                <w:lang w:val="sr-Latn-ME"/>
              </w:rPr>
              <w:t>Gastrointestinala perforacija i fistula obuhvataju sl</w:t>
            </w:r>
            <w:r w:rsidR="00C121D7" w:rsidRPr="00D01E98">
              <w:rPr>
                <w:color w:val="auto"/>
                <w:sz w:val="22"/>
                <w:szCs w:val="22"/>
                <w:lang w:val="sr-Latn-ME"/>
              </w:rPr>
              <w:t>j</w:t>
            </w:r>
            <w:r w:rsidRPr="00D01E98">
              <w:rPr>
                <w:color w:val="auto"/>
                <w:sz w:val="22"/>
                <w:szCs w:val="22"/>
                <w:lang w:val="sr-Latn-ME"/>
              </w:rPr>
              <w:t>edeće poželjne termine: abdominalni apsces, analni apsces, analna fistula, fistula, gastrointestinalno curenje anastomoze, gastrointestinalna perforacija, perforacija debelog cr</w:t>
            </w:r>
            <w:r w:rsidR="00246CA5" w:rsidRPr="00D01E98">
              <w:rPr>
                <w:color w:val="auto"/>
                <w:sz w:val="22"/>
                <w:szCs w:val="22"/>
                <w:lang w:val="sr-Latn-ME"/>
              </w:rPr>
              <w:t>ij</w:t>
            </w:r>
            <w:r w:rsidRPr="00D01E98">
              <w:rPr>
                <w:color w:val="auto"/>
                <w:sz w:val="22"/>
                <w:szCs w:val="22"/>
                <w:lang w:val="sr-Latn-ME"/>
              </w:rPr>
              <w:t>eva, ezofagobronhijalna fistula i peritonitis.</w:t>
            </w:r>
          </w:p>
          <w:p w14:paraId="3AB1D108" w14:textId="63736240" w:rsidR="006A55EB" w:rsidRPr="00D01E98" w:rsidRDefault="006A55EB">
            <w:pPr>
              <w:pStyle w:val="Tekst"/>
              <w:numPr>
                <w:ilvl w:val="0"/>
                <w:numId w:val="4"/>
              </w:numPr>
              <w:ind w:left="748" w:hanging="734"/>
              <w:rPr>
                <w:color w:val="auto"/>
                <w:sz w:val="22"/>
                <w:szCs w:val="22"/>
                <w:lang w:val="sr-Latn-ME"/>
              </w:rPr>
            </w:pPr>
            <w:r w:rsidRPr="00D01E98">
              <w:rPr>
                <w:color w:val="auto"/>
                <w:sz w:val="22"/>
                <w:szCs w:val="22"/>
                <w:lang w:val="sr-Latn-ME"/>
              </w:rPr>
              <w:t>Proteinurija obuhvata sl</w:t>
            </w:r>
            <w:r w:rsidR="00C121D7" w:rsidRPr="00D01E98">
              <w:rPr>
                <w:color w:val="auto"/>
                <w:sz w:val="22"/>
                <w:szCs w:val="22"/>
                <w:lang w:val="sr-Latn-ME"/>
              </w:rPr>
              <w:t>j</w:t>
            </w:r>
            <w:r w:rsidRPr="00D01E98">
              <w:rPr>
                <w:color w:val="auto"/>
                <w:sz w:val="22"/>
                <w:szCs w:val="22"/>
                <w:lang w:val="sr-Latn-ME"/>
              </w:rPr>
              <w:t>edeće poželjne termine: proteini u urinu, prisustvo proteina u urinu i proteinurija.</w:t>
            </w:r>
          </w:p>
          <w:p w14:paraId="52ACE4C4" w14:textId="77777777" w:rsidR="006A55EB" w:rsidRPr="00D01E98" w:rsidRDefault="006A55EB">
            <w:pPr>
              <w:pStyle w:val="Tekst"/>
              <w:numPr>
                <w:ilvl w:val="0"/>
                <w:numId w:val="4"/>
              </w:numPr>
              <w:ind w:left="742" w:hanging="728"/>
              <w:rPr>
                <w:color w:val="auto"/>
                <w:sz w:val="22"/>
                <w:szCs w:val="22"/>
                <w:lang w:val="sr-Latn-ME"/>
              </w:rPr>
            </w:pPr>
            <w:r w:rsidRPr="00D01E98">
              <w:rPr>
                <w:color w:val="auto"/>
                <w:sz w:val="22"/>
                <w:szCs w:val="22"/>
                <w:lang w:val="sr-Latn-ME"/>
              </w:rPr>
              <w:t>Uključujući akutnu renalnu insuficijenciju</w:t>
            </w:r>
          </w:p>
          <w:p w14:paraId="103F1E53" w14:textId="1FE4ADDA" w:rsidR="0073389E" w:rsidRPr="00D01E98" w:rsidRDefault="00670CF5">
            <w:pPr>
              <w:pStyle w:val="Tekst"/>
              <w:numPr>
                <w:ilvl w:val="0"/>
                <w:numId w:val="4"/>
              </w:numPr>
              <w:ind w:left="742" w:hanging="728"/>
              <w:rPr>
                <w:color w:val="auto"/>
                <w:sz w:val="22"/>
                <w:szCs w:val="22"/>
                <w:lang w:val="sr-Latn-ME"/>
              </w:rPr>
            </w:pPr>
            <w:r w:rsidRPr="00D01E98">
              <w:rPr>
                <w:color w:val="auto"/>
                <w:sz w:val="22"/>
                <w:szCs w:val="22"/>
                <w:lang w:val="sr-Latn-ME"/>
              </w:rPr>
              <w:t>H</w:t>
            </w:r>
            <w:r w:rsidR="0073389E" w:rsidRPr="00D01E98">
              <w:rPr>
                <w:color w:val="auto"/>
                <w:sz w:val="22"/>
                <w:szCs w:val="22"/>
                <w:lang w:val="sr-Latn-ME"/>
              </w:rPr>
              <w:t xml:space="preserve">olecistitis uključuje akutni </w:t>
            </w:r>
            <w:r w:rsidRPr="00D01E98">
              <w:rPr>
                <w:color w:val="auto"/>
                <w:sz w:val="22"/>
                <w:szCs w:val="22"/>
                <w:lang w:val="sr-Latn-ME"/>
              </w:rPr>
              <w:t>h</w:t>
            </w:r>
            <w:r w:rsidR="0073389E" w:rsidRPr="00D01E98">
              <w:rPr>
                <w:color w:val="auto"/>
                <w:sz w:val="22"/>
                <w:szCs w:val="22"/>
                <w:lang w:val="sr-Latn-ME"/>
              </w:rPr>
              <w:t xml:space="preserve">olecistitis, </w:t>
            </w:r>
            <w:r w:rsidRPr="00D01E98">
              <w:rPr>
                <w:color w:val="auto"/>
                <w:sz w:val="22"/>
                <w:szCs w:val="22"/>
                <w:lang w:val="sr-Latn-ME"/>
              </w:rPr>
              <w:t>h</w:t>
            </w:r>
            <w:r w:rsidR="0073389E" w:rsidRPr="00D01E98">
              <w:rPr>
                <w:color w:val="auto"/>
                <w:sz w:val="22"/>
                <w:szCs w:val="22"/>
                <w:lang w:val="sr-Latn-ME"/>
              </w:rPr>
              <w:t xml:space="preserve">olecistitis, infektivni </w:t>
            </w:r>
            <w:r w:rsidRPr="00D01E98">
              <w:rPr>
                <w:color w:val="auto"/>
                <w:sz w:val="22"/>
                <w:szCs w:val="22"/>
                <w:lang w:val="sr-Latn-ME"/>
              </w:rPr>
              <w:t>h</w:t>
            </w:r>
            <w:r w:rsidR="0073389E" w:rsidRPr="00D01E98">
              <w:rPr>
                <w:color w:val="auto"/>
                <w:sz w:val="22"/>
                <w:szCs w:val="22"/>
                <w:lang w:val="sr-Latn-ME"/>
              </w:rPr>
              <w:t>olecistitis.</w:t>
            </w:r>
          </w:p>
          <w:p w14:paraId="4DD10A45" w14:textId="77777777" w:rsidR="0020267D" w:rsidRPr="00D01E98" w:rsidRDefault="0020267D">
            <w:pPr>
              <w:pStyle w:val="Tekst"/>
              <w:rPr>
                <w:color w:val="auto"/>
                <w:sz w:val="22"/>
                <w:szCs w:val="22"/>
                <w:lang w:val="sr-Latn-ME"/>
              </w:rPr>
            </w:pPr>
          </w:p>
          <w:p w14:paraId="6783D573" w14:textId="77777777" w:rsidR="0020267D" w:rsidRPr="00D01E98" w:rsidRDefault="0020267D">
            <w:pPr>
              <w:pStyle w:val="Tekst"/>
              <w:rPr>
                <w:color w:val="auto"/>
                <w:sz w:val="22"/>
                <w:szCs w:val="22"/>
                <w:u w:val="single"/>
                <w:lang w:val="sr-Latn-ME"/>
              </w:rPr>
            </w:pPr>
            <w:r w:rsidRPr="00D01E98">
              <w:rPr>
                <w:color w:val="auto"/>
                <w:sz w:val="22"/>
                <w:szCs w:val="22"/>
                <w:u w:val="single"/>
                <w:lang w:val="sr-Latn-ME"/>
              </w:rPr>
              <w:t xml:space="preserve">Opis odabranih neželjenih reakcija </w:t>
            </w:r>
          </w:p>
          <w:p w14:paraId="70A61787" w14:textId="77777777" w:rsidR="00302D94" w:rsidRPr="00D01E98" w:rsidRDefault="00302D94">
            <w:pPr>
              <w:pStyle w:val="Tekst"/>
              <w:rPr>
                <w:i/>
                <w:color w:val="auto"/>
                <w:sz w:val="22"/>
                <w:szCs w:val="22"/>
                <w:u w:val="single"/>
                <w:lang w:val="sr-Latn-ME"/>
              </w:rPr>
            </w:pPr>
          </w:p>
          <w:p w14:paraId="47A09B8E" w14:textId="7EE528B7" w:rsidR="0020267D" w:rsidRPr="00D01E98" w:rsidRDefault="0020267D" w:rsidP="00923DFD">
            <w:pPr>
              <w:jc w:val="both"/>
              <w:rPr>
                <w:i/>
                <w:sz w:val="22"/>
                <w:szCs w:val="22"/>
                <w:u w:val="single"/>
              </w:rPr>
            </w:pPr>
            <w:r w:rsidRPr="00D01E98">
              <w:rPr>
                <w:bCs/>
                <w:i/>
                <w:sz w:val="22"/>
                <w:szCs w:val="22"/>
                <w:u w:val="single"/>
              </w:rPr>
              <w:t xml:space="preserve">Događaji povezani sa srčanom insuficijencijom </w:t>
            </w:r>
            <w:r w:rsidRPr="00D01E98">
              <w:rPr>
                <w:i/>
                <w:sz w:val="22"/>
                <w:szCs w:val="22"/>
                <w:u w:val="single"/>
              </w:rPr>
              <w:t xml:space="preserve">(vidjeti </w:t>
            </w:r>
            <w:r w:rsidR="00264191" w:rsidRPr="00D01E98">
              <w:rPr>
                <w:i/>
                <w:sz w:val="22"/>
                <w:szCs w:val="22"/>
                <w:u w:val="single"/>
              </w:rPr>
              <w:t>dio</w:t>
            </w:r>
            <w:r w:rsidRPr="00D01E98">
              <w:rPr>
                <w:i/>
                <w:sz w:val="22"/>
                <w:szCs w:val="22"/>
                <w:u w:val="single"/>
              </w:rPr>
              <w:t xml:space="preserve"> 4.4)</w:t>
            </w:r>
          </w:p>
          <w:p w14:paraId="777C7D4F" w14:textId="33387D13" w:rsidR="0020267D" w:rsidRPr="00D01E98" w:rsidRDefault="0020267D" w:rsidP="00923DFD">
            <w:pPr>
              <w:widowControl w:val="0"/>
              <w:jc w:val="both"/>
              <w:rPr>
                <w:sz w:val="22"/>
                <w:szCs w:val="22"/>
              </w:rPr>
            </w:pPr>
            <w:r w:rsidRPr="00D01E98">
              <w:rPr>
                <w:sz w:val="22"/>
                <w:szCs w:val="22"/>
              </w:rPr>
              <w:t xml:space="preserve">U kontrolisanom kliničkom ispitivanju sa aksitinibom (N = 359) za liječenje pacijenata sa RCC, događaji </w:t>
            </w:r>
            <w:r w:rsidRPr="00D01E98">
              <w:rPr>
                <w:bCs/>
                <w:sz w:val="22"/>
                <w:szCs w:val="22"/>
              </w:rPr>
              <w:t xml:space="preserve">povezani sa srčanom insuficijencijom </w:t>
            </w:r>
            <w:r w:rsidRPr="00D01E98">
              <w:rPr>
                <w:sz w:val="22"/>
                <w:szCs w:val="22"/>
              </w:rPr>
              <w:t xml:space="preserve">prijavljeni su kod 1,7% pacijenata koji su primali aksitinib, uključujući srčanu insuficijenciju (0,6%), kardiopulmonarnu insuficijenciju, (0,6%), disfunkciju lijeve komore (0,3%) i insuficijenciju desne komore (0,3%). Neželjene reakcije </w:t>
            </w:r>
            <w:r w:rsidR="00735F18" w:rsidRPr="00D01E98">
              <w:rPr>
                <w:sz w:val="22"/>
                <w:szCs w:val="22"/>
              </w:rPr>
              <w:t>g</w:t>
            </w:r>
            <w:r w:rsidRPr="00D01E98">
              <w:rPr>
                <w:sz w:val="22"/>
                <w:szCs w:val="22"/>
              </w:rPr>
              <w:t>radusa 4 povezane s</w:t>
            </w:r>
            <w:r w:rsidRPr="00D01E98">
              <w:rPr>
                <w:bCs/>
                <w:sz w:val="22"/>
                <w:szCs w:val="22"/>
              </w:rPr>
              <w:t xml:space="preserve">a srčanom insuficijencijom </w:t>
            </w:r>
            <w:r w:rsidRPr="00D01E98">
              <w:rPr>
                <w:sz w:val="22"/>
                <w:szCs w:val="22"/>
              </w:rPr>
              <w:t>prijavljene su kod 0,6% pacijenata koji su primali aksitinib, dok je fatalna srčana insuficijencija prijavljena kod 0,6% pacijenata koji su primali aksitinib.</w:t>
            </w:r>
          </w:p>
          <w:p w14:paraId="7DE04106" w14:textId="77777777" w:rsidR="0020267D" w:rsidRPr="00D01E98" w:rsidRDefault="0020267D" w:rsidP="00923DFD">
            <w:pPr>
              <w:widowControl w:val="0"/>
              <w:jc w:val="both"/>
              <w:rPr>
                <w:sz w:val="22"/>
                <w:szCs w:val="22"/>
              </w:rPr>
            </w:pPr>
          </w:p>
          <w:p w14:paraId="1F2B70CD" w14:textId="19232170" w:rsidR="0020267D" w:rsidRPr="00D01E98" w:rsidRDefault="0020267D">
            <w:pPr>
              <w:pStyle w:val="Tekst"/>
              <w:rPr>
                <w:sz w:val="22"/>
                <w:szCs w:val="22"/>
                <w:lang w:val="sr-Latn-ME"/>
              </w:rPr>
            </w:pPr>
            <w:r w:rsidRPr="00D01E98">
              <w:rPr>
                <w:sz w:val="22"/>
                <w:szCs w:val="22"/>
                <w:lang w:val="sr-Latn-ME"/>
              </w:rPr>
              <w:t>U ispitivanjima monoterapije aksitinibom (N=672) za liječenje pacijenata sa RCC, događaji</w:t>
            </w:r>
            <w:r w:rsidRPr="00D01E98">
              <w:rPr>
                <w:bCs w:val="0"/>
                <w:sz w:val="22"/>
                <w:szCs w:val="22"/>
                <w:lang w:val="sr-Latn-ME"/>
              </w:rPr>
              <w:t xml:space="preserve"> povezani sa srčanom insuficijencijom </w:t>
            </w:r>
            <w:r w:rsidRPr="00D01E98">
              <w:rPr>
                <w:sz w:val="22"/>
                <w:szCs w:val="22"/>
                <w:lang w:val="sr-Latn-ME"/>
              </w:rPr>
              <w:t xml:space="preserve">(uključujući srčanu insuficijenciju, kongestivnu srčanu insuficijenciju, kardiopulmonarnu insuficijenciju, disfunkciju lijeve komore, smanjenu ejekcionu frakciju i insuficijenciju desne komore) prijavljeni su kod 1,8% pacijenata. Događaji </w:t>
            </w:r>
            <w:r w:rsidR="00735F18" w:rsidRPr="00D01E98">
              <w:rPr>
                <w:sz w:val="22"/>
                <w:szCs w:val="22"/>
                <w:lang w:val="sr-Latn-ME"/>
              </w:rPr>
              <w:t>g</w:t>
            </w:r>
            <w:r w:rsidRPr="00D01E98">
              <w:rPr>
                <w:sz w:val="22"/>
                <w:szCs w:val="22"/>
                <w:lang w:val="sr-Latn-ME"/>
              </w:rPr>
              <w:t>radusa 3/4 povezani s</w:t>
            </w:r>
            <w:r w:rsidRPr="00D01E98">
              <w:rPr>
                <w:bCs w:val="0"/>
                <w:sz w:val="22"/>
                <w:szCs w:val="22"/>
                <w:lang w:val="sr-Latn-ME"/>
              </w:rPr>
              <w:t xml:space="preserve">a srčanom insuficijencijom </w:t>
            </w:r>
            <w:r w:rsidRPr="00D01E98">
              <w:rPr>
                <w:sz w:val="22"/>
                <w:szCs w:val="22"/>
                <w:lang w:val="sr-Latn-ME"/>
              </w:rPr>
              <w:t>prijavljeni su kod 1,0%, a događaji povezani sa fatalnom srčanom insuficijencijom kod 0,3% pacijenata koji su primali aksitinib.</w:t>
            </w:r>
          </w:p>
          <w:p w14:paraId="6093386B" w14:textId="77777777" w:rsidR="0020267D" w:rsidRPr="00D01E98" w:rsidRDefault="0020267D">
            <w:pPr>
              <w:pStyle w:val="Tekst"/>
              <w:rPr>
                <w:i/>
                <w:color w:val="auto"/>
                <w:sz w:val="22"/>
                <w:szCs w:val="22"/>
                <w:u w:val="single"/>
                <w:lang w:val="sr-Latn-ME"/>
              </w:rPr>
            </w:pPr>
          </w:p>
          <w:p w14:paraId="0AE859CF" w14:textId="3857F283" w:rsidR="0020267D" w:rsidRPr="00D01E98" w:rsidRDefault="0020267D">
            <w:pPr>
              <w:pStyle w:val="Tekst"/>
              <w:rPr>
                <w:i/>
                <w:color w:val="auto"/>
                <w:sz w:val="22"/>
                <w:szCs w:val="22"/>
                <w:u w:val="single"/>
                <w:lang w:val="sr-Latn-ME"/>
              </w:rPr>
            </w:pPr>
            <w:r w:rsidRPr="00D01E98">
              <w:rPr>
                <w:i/>
                <w:color w:val="auto"/>
                <w:sz w:val="22"/>
                <w:szCs w:val="22"/>
                <w:u w:val="single"/>
                <w:lang w:val="sr-Latn-ME"/>
              </w:rPr>
              <w:t xml:space="preserve">Tireoidna disfunkcija (vidjeti </w:t>
            </w:r>
            <w:r w:rsidR="00264191" w:rsidRPr="00D01E98">
              <w:rPr>
                <w:i/>
                <w:color w:val="auto"/>
                <w:sz w:val="22"/>
                <w:szCs w:val="22"/>
                <w:u w:val="single"/>
                <w:lang w:val="sr-Latn-ME"/>
              </w:rPr>
              <w:t>dio</w:t>
            </w:r>
            <w:r w:rsidRPr="00D01E98">
              <w:rPr>
                <w:i/>
                <w:color w:val="auto"/>
                <w:sz w:val="22"/>
                <w:szCs w:val="22"/>
                <w:u w:val="single"/>
                <w:lang w:val="sr-Latn-ME"/>
              </w:rPr>
              <w:t xml:space="preserve"> 4.4)</w:t>
            </w:r>
          </w:p>
          <w:p w14:paraId="0ECA141F" w14:textId="77777777" w:rsidR="0020267D" w:rsidRPr="00D01E98" w:rsidRDefault="0020267D">
            <w:pPr>
              <w:pStyle w:val="Tekst"/>
              <w:rPr>
                <w:color w:val="auto"/>
                <w:sz w:val="22"/>
                <w:szCs w:val="22"/>
                <w:lang w:val="sr-Latn-ME"/>
              </w:rPr>
            </w:pPr>
            <w:r w:rsidRPr="00D01E98">
              <w:rPr>
                <w:color w:val="auto"/>
                <w:sz w:val="22"/>
                <w:szCs w:val="22"/>
                <w:lang w:val="sr-Latn-ME"/>
              </w:rPr>
              <w:t xml:space="preserve">U kontrolisanom kliničkom ispitivanju sa aksitinibom za liječenje pacijenata sa RCC, prijavljena je pojava hipotireoze kod 20,9% pacijenata i hipertireoze kod 1,1% pacijenata. Prijavljen je porast tireostimulirajućeg hormona (TSH) kao neželjena reakcija kod 5,3% pacijenata koji su primali aksitinib. Tokom rutinske laboratorijske procjene, povišenja TSH do </w:t>
            </w:r>
            <w:r w:rsidRPr="00D01E98">
              <w:rPr>
                <w:color w:val="auto"/>
                <w:sz w:val="22"/>
                <w:szCs w:val="22"/>
                <w:lang w:val="sr-Latn-ME"/>
              </w:rPr>
              <w:sym w:font="Symbol" w:char="F0B3"/>
            </w:r>
            <w:r w:rsidRPr="00D01E98">
              <w:rPr>
                <w:color w:val="auto"/>
                <w:sz w:val="22"/>
                <w:szCs w:val="22"/>
                <w:lang w:val="sr-Latn-ME"/>
              </w:rPr>
              <w:t xml:space="preserve"> 10 μU/mL javila su se kod 32,2% pacijenata koji su primali aksitinib, a koji su prije početka terapije imali TSH &lt; 5 μU/mL. </w:t>
            </w:r>
          </w:p>
          <w:p w14:paraId="7972AC65" w14:textId="77777777" w:rsidR="00512600" w:rsidRPr="00D01E98" w:rsidRDefault="00512600">
            <w:pPr>
              <w:pStyle w:val="Tekst"/>
              <w:rPr>
                <w:color w:val="auto"/>
                <w:sz w:val="22"/>
                <w:szCs w:val="22"/>
                <w:lang w:val="sr-Latn-ME"/>
              </w:rPr>
            </w:pPr>
          </w:p>
          <w:p w14:paraId="3F4C954E" w14:textId="31537488" w:rsidR="00512600" w:rsidRPr="00D01E98" w:rsidRDefault="00512600">
            <w:pPr>
              <w:pStyle w:val="Tekst"/>
              <w:rPr>
                <w:color w:val="auto"/>
                <w:sz w:val="22"/>
                <w:szCs w:val="22"/>
                <w:lang w:val="sr-Latn-ME"/>
              </w:rPr>
            </w:pPr>
            <w:r w:rsidRPr="00D01E98">
              <w:rPr>
                <w:color w:val="auto"/>
                <w:sz w:val="22"/>
                <w:szCs w:val="22"/>
                <w:lang w:val="sr-Latn-ME"/>
              </w:rPr>
              <w:t>U objedinjenim kliničkim ispitivanjima sa aksitinibom (N=672) za l</w:t>
            </w:r>
            <w:r w:rsidR="00C121D7" w:rsidRPr="00D01E98">
              <w:rPr>
                <w:color w:val="auto"/>
                <w:sz w:val="22"/>
                <w:szCs w:val="22"/>
                <w:lang w:val="sr-Latn-ME"/>
              </w:rPr>
              <w:t>ij</w:t>
            </w:r>
            <w:r w:rsidRPr="00D01E98">
              <w:rPr>
                <w:color w:val="auto"/>
                <w:sz w:val="22"/>
                <w:szCs w:val="22"/>
                <w:lang w:val="sr-Latn-ME"/>
              </w:rPr>
              <w:t>ečenje pacijenata sa RCC, hipotireoza je prijavljena kod 24,6% pacijenata koji su primali aksitinib. Hipertireoza je prijavljena kod 1,6% pacijenata koji su primali aksitinib.</w:t>
            </w:r>
          </w:p>
          <w:p w14:paraId="7808997D" w14:textId="77777777" w:rsidR="0020267D" w:rsidRPr="00D01E98" w:rsidRDefault="0020267D">
            <w:pPr>
              <w:pStyle w:val="Tekst"/>
              <w:rPr>
                <w:i/>
                <w:color w:val="auto"/>
                <w:sz w:val="22"/>
                <w:szCs w:val="22"/>
                <w:lang w:val="sr-Latn-ME"/>
              </w:rPr>
            </w:pPr>
          </w:p>
          <w:p w14:paraId="7CF54D89" w14:textId="20FF5326" w:rsidR="0020267D" w:rsidRPr="00D01E98" w:rsidRDefault="0020267D">
            <w:pPr>
              <w:pStyle w:val="Tekst"/>
              <w:rPr>
                <w:i/>
                <w:color w:val="auto"/>
                <w:sz w:val="22"/>
                <w:szCs w:val="22"/>
                <w:u w:val="single"/>
                <w:lang w:val="sr-Latn-ME"/>
              </w:rPr>
            </w:pPr>
            <w:r w:rsidRPr="00D01E98">
              <w:rPr>
                <w:i/>
                <w:color w:val="auto"/>
                <w:sz w:val="22"/>
                <w:szCs w:val="22"/>
                <w:u w:val="single"/>
                <w:lang w:val="sr-Latn-ME"/>
              </w:rPr>
              <w:t xml:space="preserve">Venski embolijski i trombotični događaji (vidjeti </w:t>
            </w:r>
            <w:r w:rsidR="00264191" w:rsidRPr="00D01E98">
              <w:rPr>
                <w:i/>
                <w:color w:val="auto"/>
                <w:sz w:val="22"/>
                <w:szCs w:val="22"/>
                <w:u w:val="single"/>
                <w:lang w:val="sr-Latn-ME"/>
              </w:rPr>
              <w:t>dio</w:t>
            </w:r>
            <w:r w:rsidRPr="00D01E98">
              <w:rPr>
                <w:i/>
                <w:color w:val="auto"/>
                <w:sz w:val="22"/>
                <w:szCs w:val="22"/>
                <w:u w:val="single"/>
                <w:lang w:val="sr-Latn-ME"/>
              </w:rPr>
              <w:t xml:space="preserve"> 4.4)</w:t>
            </w:r>
          </w:p>
          <w:p w14:paraId="69AC8E28" w14:textId="73C68FDD" w:rsidR="0020267D" w:rsidRPr="00D01E98" w:rsidRDefault="0020267D">
            <w:pPr>
              <w:pStyle w:val="Tekst"/>
              <w:rPr>
                <w:color w:val="auto"/>
                <w:sz w:val="22"/>
                <w:szCs w:val="22"/>
                <w:lang w:val="sr-Latn-ME"/>
              </w:rPr>
            </w:pPr>
            <w:r w:rsidRPr="00D01E98">
              <w:rPr>
                <w:color w:val="auto"/>
                <w:sz w:val="22"/>
                <w:szCs w:val="22"/>
                <w:lang w:val="sr-Latn-ME"/>
              </w:rPr>
              <w:t xml:space="preserve">U kontrolisanom kliničkom ispitivanju sa aksitinibom za liječenje pacijenata sa RCC, prijavljene su venske embolijske i trombotične neželjene reakcije kod 3,9% pacijenata koji su primali aksitinib, </w:t>
            </w:r>
            <w:r w:rsidRPr="00D01E98">
              <w:rPr>
                <w:sz w:val="22"/>
                <w:szCs w:val="22"/>
                <w:lang w:val="sr-Latn-ME"/>
              </w:rPr>
              <w:t>uključujući plućnu emboliju (2,2%), okluziju/trombozu retinalne vene (0,6%) i trombozu dubokih vena (0,6%)</w:t>
            </w:r>
            <w:r w:rsidRPr="00D01E98">
              <w:rPr>
                <w:color w:val="auto"/>
                <w:sz w:val="22"/>
                <w:szCs w:val="22"/>
                <w:lang w:val="sr-Latn-ME"/>
              </w:rPr>
              <w:t xml:space="preserve">. Venske embolijske i trombotične neželjene reakcije </w:t>
            </w:r>
            <w:r w:rsidR="00735F18" w:rsidRPr="00D01E98">
              <w:rPr>
                <w:color w:val="auto"/>
                <w:sz w:val="22"/>
                <w:szCs w:val="22"/>
                <w:lang w:val="sr-Latn-ME"/>
              </w:rPr>
              <w:t>g</w:t>
            </w:r>
            <w:r w:rsidRPr="00D01E98">
              <w:rPr>
                <w:color w:val="auto"/>
                <w:sz w:val="22"/>
                <w:szCs w:val="22"/>
                <w:lang w:val="sr-Latn-ME"/>
              </w:rPr>
              <w:t xml:space="preserve">radusa 3/4 prijavljene su kod 3,1 % pacijenata koji su primali aksitinib. Fatalna plućna embolija prijavljena je kod jednog pacijenta (0,3%) koji je primao aksitinib. </w:t>
            </w:r>
          </w:p>
          <w:p w14:paraId="1BD68B72" w14:textId="77777777" w:rsidR="0020267D" w:rsidRPr="00D01E98" w:rsidRDefault="0020267D">
            <w:pPr>
              <w:pStyle w:val="Tekst"/>
              <w:rPr>
                <w:color w:val="auto"/>
                <w:sz w:val="22"/>
                <w:szCs w:val="22"/>
                <w:lang w:val="sr-Latn-ME"/>
              </w:rPr>
            </w:pPr>
          </w:p>
          <w:p w14:paraId="10B05202" w14:textId="23ACF33C" w:rsidR="00512600" w:rsidRPr="00D01E98" w:rsidRDefault="00512600">
            <w:pPr>
              <w:pStyle w:val="Tekst"/>
              <w:rPr>
                <w:color w:val="auto"/>
                <w:sz w:val="22"/>
                <w:szCs w:val="22"/>
                <w:lang w:val="sr-Latn-ME"/>
              </w:rPr>
            </w:pPr>
            <w:r w:rsidRPr="00D01E98">
              <w:rPr>
                <w:color w:val="auto"/>
                <w:sz w:val="22"/>
                <w:szCs w:val="22"/>
                <w:lang w:val="sr-Latn-ME"/>
              </w:rPr>
              <w:t>U objedinjenim kliničkim ispitivanjima sa aksitinibom (N=672) za l</w:t>
            </w:r>
            <w:r w:rsidR="00C121D7" w:rsidRPr="00D01E98">
              <w:rPr>
                <w:color w:val="auto"/>
                <w:sz w:val="22"/>
                <w:szCs w:val="22"/>
                <w:lang w:val="sr-Latn-ME"/>
              </w:rPr>
              <w:t>ij</w:t>
            </w:r>
            <w:r w:rsidRPr="00D01E98">
              <w:rPr>
                <w:color w:val="auto"/>
                <w:sz w:val="22"/>
                <w:szCs w:val="22"/>
                <w:lang w:val="sr-Latn-ME"/>
              </w:rPr>
              <w:t>ečenje pacijenata sa RCC, venski embolijski i tromboembolijski događaji prijavljeni su kod 2,8% pacijenata koji su primali aksitinib. Venski embolijski i tromboembolijski događaji gradusa 3 prijavljeni su kod 0,9% pacijenata. Venski embolijski i tromboembolijski događaji gradusa 4 prijavljeni su kod 1,2% pacijenata. Venski embolijski i tromboembolijski događaji sa smrtnim ishodom prijavljeni su kod 0,1% pacijenata koji su primali aksitinib.</w:t>
            </w:r>
          </w:p>
          <w:p w14:paraId="5746D60A" w14:textId="77777777" w:rsidR="00512600" w:rsidRPr="00D01E98" w:rsidRDefault="00512600">
            <w:pPr>
              <w:pStyle w:val="Tekst"/>
              <w:rPr>
                <w:color w:val="auto"/>
                <w:sz w:val="22"/>
                <w:szCs w:val="22"/>
                <w:lang w:val="sr-Latn-ME"/>
              </w:rPr>
            </w:pPr>
          </w:p>
          <w:p w14:paraId="538E2A21" w14:textId="7E259E2F" w:rsidR="0020267D" w:rsidRPr="00D01E98" w:rsidRDefault="0020267D">
            <w:pPr>
              <w:pStyle w:val="Tekst"/>
              <w:rPr>
                <w:i/>
                <w:color w:val="auto"/>
                <w:sz w:val="22"/>
                <w:szCs w:val="22"/>
                <w:u w:val="single"/>
                <w:lang w:val="sr-Latn-ME"/>
              </w:rPr>
            </w:pPr>
            <w:r w:rsidRPr="00D01E98">
              <w:rPr>
                <w:i/>
                <w:color w:val="auto"/>
                <w:sz w:val="22"/>
                <w:szCs w:val="22"/>
                <w:u w:val="single"/>
                <w:lang w:val="sr-Latn-ME"/>
              </w:rPr>
              <w:lastRenderedPageBreak/>
              <w:t xml:space="preserve">Arterijski embolijski i trombotični događaji (vidjeti </w:t>
            </w:r>
            <w:r w:rsidR="00264191" w:rsidRPr="00D01E98">
              <w:rPr>
                <w:i/>
                <w:color w:val="auto"/>
                <w:sz w:val="22"/>
                <w:szCs w:val="22"/>
                <w:u w:val="single"/>
                <w:lang w:val="sr-Latn-ME"/>
              </w:rPr>
              <w:t>dio</w:t>
            </w:r>
            <w:r w:rsidRPr="00D01E98">
              <w:rPr>
                <w:i/>
                <w:color w:val="auto"/>
                <w:sz w:val="22"/>
                <w:szCs w:val="22"/>
                <w:u w:val="single"/>
                <w:lang w:val="sr-Latn-ME"/>
              </w:rPr>
              <w:t xml:space="preserve"> 4.4)</w:t>
            </w:r>
          </w:p>
          <w:p w14:paraId="0FF30E6E" w14:textId="238A0ABF" w:rsidR="0020267D" w:rsidRPr="00D01E98" w:rsidRDefault="0020267D">
            <w:pPr>
              <w:pStyle w:val="Tekst"/>
              <w:rPr>
                <w:color w:val="auto"/>
                <w:sz w:val="22"/>
                <w:szCs w:val="22"/>
                <w:lang w:val="sr-Latn-ME"/>
              </w:rPr>
            </w:pPr>
            <w:r w:rsidRPr="00D01E98">
              <w:rPr>
                <w:color w:val="auto"/>
                <w:sz w:val="22"/>
                <w:szCs w:val="22"/>
                <w:lang w:val="sr-Latn-ME"/>
              </w:rPr>
              <w:t xml:space="preserve">U kontrolisanom kliničkom ispitivanju sa aksitinibom za liječenje pacijenata sa RCC, prijavljene su arterijske embolijske i trombotične neželjene reakcije kod 4,7% pacijenata koji su primali aksitinib, uključujući infarkt miokarda (1,4%), tranzitorni ishemijski napad (0,8%) i cerebrovaskularni insult (0,6%). Arterijske embolijske i trombotične neželjene reakcije </w:t>
            </w:r>
            <w:r w:rsidR="00735F18" w:rsidRPr="00D01E98">
              <w:rPr>
                <w:color w:val="auto"/>
                <w:sz w:val="22"/>
                <w:szCs w:val="22"/>
                <w:lang w:val="sr-Latn-ME"/>
              </w:rPr>
              <w:t>g</w:t>
            </w:r>
            <w:r w:rsidRPr="00D01E98">
              <w:rPr>
                <w:color w:val="auto"/>
                <w:sz w:val="22"/>
                <w:szCs w:val="22"/>
                <w:lang w:val="sr-Latn-ME"/>
              </w:rPr>
              <w:t>radusa 3/4 prijavljene su kod 3,3% pacijenata koji su primali aksitinib. Fatalni akutni infarkt miokarda i cerebrovaskularni insult prijavljeni su kod po jednog pacijenta (0,3%). U ispitivanjima monoterapije aksitinibom (N=850), arterijske embolijske i trombotične neželjene reakcije (uključujući tranzitorni ishemijski napad, infarkt miokarda i cerebrovaskularni insult) prijavljene su kod 5,3% pacijenata koji su primali aksitinib.</w:t>
            </w:r>
          </w:p>
          <w:p w14:paraId="7A7D4EA6" w14:textId="77777777" w:rsidR="00512600" w:rsidRPr="00D01E98" w:rsidRDefault="00512600">
            <w:pPr>
              <w:pStyle w:val="Tekst"/>
              <w:rPr>
                <w:color w:val="auto"/>
                <w:sz w:val="22"/>
                <w:szCs w:val="22"/>
                <w:lang w:val="sr-Latn-ME"/>
              </w:rPr>
            </w:pPr>
          </w:p>
          <w:p w14:paraId="343F3B74" w14:textId="2EEB27FE" w:rsidR="00512600" w:rsidRPr="00D01E98" w:rsidRDefault="00CB45C5">
            <w:pPr>
              <w:pStyle w:val="Tekst"/>
              <w:rPr>
                <w:color w:val="auto"/>
                <w:sz w:val="22"/>
                <w:szCs w:val="22"/>
                <w:lang w:val="sr-Latn-ME"/>
              </w:rPr>
            </w:pPr>
            <w:r w:rsidRPr="00D01E98">
              <w:rPr>
                <w:color w:val="auto"/>
                <w:sz w:val="22"/>
                <w:szCs w:val="22"/>
                <w:lang w:val="sr-Latn-ME"/>
              </w:rPr>
              <w:t>U objedinjenim kliničkim ispitivanjima sa aksitinibom (N=672) za l</w:t>
            </w:r>
            <w:r w:rsidR="00C121D7" w:rsidRPr="00D01E98">
              <w:rPr>
                <w:color w:val="auto"/>
                <w:sz w:val="22"/>
                <w:szCs w:val="22"/>
                <w:lang w:val="sr-Latn-ME"/>
              </w:rPr>
              <w:t>ij</w:t>
            </w:r>
            <w:r w:rsidRPr="00D01E98">
              <w:rPr>
                <w:color w:val="auto"/>
                <w:sz w:val="22"/>
                <w:szCs w:val="22"/>
                <w:lang w:val="sr-Latn-ME"/>
              </w:rPr>
              <w:t>ečenje pacijenata sa RCC, arterijski embolijski i tromboembolijski događaji prijavljeni su kod 2,8% pacijenata koji su primali aksitinib. Venski embolijski i tromboembolijski događaji gradusa 3 prijavljeni su kod 1,2% pacijenata. Venski embolijski i tromboembolijski događaji gradusa 4 prijavljeni su kod 1,3% pacijenata. Venski embolijski i tromboembolijski događaji sa smrtnim ishodom prijavljeni su kod 0,3% pacijenata koji su primali aksitinib.</w:t>
            </w:r>
          </w:p>
          <w:p w14:paraId="78D8A26F" w14:textId="77777777" w:rsidR="0020267D" w:rsidRPr="00D01E98" w:rsidRDefault="0020267D">
            <w:pPr>
              <w:pStyle w:val="Tekst"/>
              <w:rPr>
                <w:color w:val="auto"/>
                <w:sz w:val="22"/>
                <w:szCs w:val="22"/>
                <w:lang w:val="sr-Latn-ME"/>
              </w:rPr>
            </w:pPr>
          </w:p>
          <w:p w14:paraId="29DC7F9A" w14:textId="77777777" w:rsidR="0020267D" w:rsidRPr="00D01E98" w:rsidRDefault="0020267D">
            <w:pPr>
              <w:pStyle w:val="Tekst"/>
              <w:rPr>
                <w:i/>
                <w:color w:val="auto"/>
                <w:sz w:val="22"/>
                <w:szCs w:val="22"/>
                <w:u w:val="single"/>
                <w:lang w:val="sr-Latn-ME"/>
              </w:rPr>
            </w:pPr>
            <w:r w:rsidRPr="00D01E98">
              <w:rPr>
                <w:i/>
                <w:color w:val="auto"/>
                <w:sz w:val="22"/>
                <w:szCs w:val="22"/>
                <w:u w:val="single"/>
                <w:lang w:val="sr-Latn-ME"/>
              </w:rPr>
              <w:t>Policitemija (vidjeti Povišenje hemoglobina ili hematokrita u odjeljku 4.4)</w:t>
            </w:r>
          </w:p>
          <w:p w14:paraId="0B17F36A" w14:textId="01CB05CD" w:rsidR="0020267D" w:rsidRPr="00D01E98" w:rsidRDefault="0020267D">
            <w:pPr>
              <w:pStyle w:val="Tekst"/>
              <w:rPr>
                <w:color w:val="auto"/>
                <w:sz w:val="22"/>
                <w:szCs w:val="22"/>
                <w:lang w:val="sr-Latn-ME"/>
              </w:rPr>
            </w:pPr>
            <w:r w:rsidRPr="00D01E98">
              <w:rPr>
                <w:color w:val="auto"/>
                <w:sz w:val="22"/>
                <w:szCs w:val="22"/>
                <w:lang w:val="sr-Latn-ME"/>
              </w:rPr>
              <w:t>U kontrolisanom kliničkom ispitivanju sa aksitinibom za liječenje pacijenata sa RCC, policitemija je prijavljena kod 1,4% pacijenata koji su primali aksitinib. Rutinskim laboratorijskim procjenama detektovan je povišen nivo hemoglobina iznad gornje granice normalnih vrijednosti kod 9,7% pacijenata koji su primali aksitinib. U četiri klinička ispitivanja sa aksitinibom za liječenje pacijenata sa RCC (N=537), povišene vrijednosti hemoglobina iznad gornje granice normalnih vrijednosti su primjećene kod 13,6% pacijenata koji su primali aksitinib.</w:t>
            </w:r>
          </w:p>
          <w:p w14:paraId="30E1F363" w14:textId="77777777" w:rsidR="00CB45C5" w:rsidRPr="00D01E98" w:rsidRDefault="00CB45C5">
            <w:pPr>
              <w:pStyle w:val="Tekst"/>
              <w:rPr>
                <w:color w:val="auto"/>
                <w:sz w:val="22"/>
                <w:szCs w:val="22"/>
                <w:lang w:val="sr-Latn-ME"/>
              </w:rPr>
            </w:pPr>
          </w:p>
          <w:p w14:paraId="6742FA8C" w14:textId="143AA7EC" w:rsidR="00CB45C5" w:rsidRPr="00D01E98" w:rsidRDefault="00CB45C5">
            <w:pPr>
              <w:pStyle w:val="Tekst"/>
              <w:rPr>
                <w:color w:val="auto"/>
                <w:sz w:val="22"/>
                <w:szCs w:val="22"/>
                <w:lang w:val="sr-Latn-ME"/>
              </w:rPr>
            </w:pPr>
            <w:r w:rsidRPr="00D01E98">
              <w:rPr>
                <w:color w:val="auto"/>
                <w:sz w:val="22"/>
                <w:szCs w:val="22"/>
                <w:lang w:val="sr-Latn-ME"/>
              </w:rPr>
              <w:t>U objedinjenim kliničkim ispitivanjima sa aksitinibom (N=672) za l</w:t>
            </w:r>
            <w:r w:rsidR="00C121D7" w:rsidRPr="00D01E98">
              <w:rPr>
                <w:color w:val="auto"/>
                <w:sz w:val="22"/>
                <w:szCs w:val="22"/>
                <w:lang w:val="sr-Latn-ME"/>
              </w:rPr>
              <w:t>ij</w:t>
            </w:r>
            <w:r w:rsidRPr="00D01E98">
              <w:rPr>
                <w:color w:val="auto"/>
                <w:sz w:val="22"/>
                <w:szCs w:val="22"/>
                <w:lang w:val="sr-Latn-ME"/>
              </w:rPr>
              <w:t>ečenje pacijenata sa RCC, policitemija je prijavljena kod 1,5% pacijenata koji su primali aksitnib,</w:t>
            </w:r>
          </w:p>
          <w:p w14:paraId="0F92C80B" w14:textId="77777777" w:rsidR="0020267D" w:rsidRPr="00D01E98" w:rsidRDefault="0020267D">
            <w:pPr>
              <w:pStyle w:val="Tekst"/>
              <w:rPr>
                <w:color w:val="auto"/>
                <w:sz w:val="22"/>
                <w:szCs w:val="22"/>
                <w:lang w:val="sr-Latn-ME"/>
              </w:rPr>
            </w:pPr>
          </w:p>
          <w:p w14:paraId="0D111927" w14:textId="043278EC" w:rsidR="0020267D" w:rsidRPr="00D01E98" w:rsidRDefault="0020267D">
            <w:pPr>
              <w:pStyle w:val="Tekst"/>
              <w:rPr>
                <w:i/>
                <w:color w:val="auto"/>
                <w:sz w:val="22"/>
                <w:szCs w:val="22"/>
                <w:u w:val="single"/>
                <w:lang w:val="sr-Latn-ME"/>
              </w:rPr>
            </w:pPr>
            <w:r w:rsidRPr="00D01E98">
              <w:rPr>
                <w:i/>
                <w:color w:val="auto"/>
                <w:sz w:val="22"/>
                <w:szCs w:val="22"/>
                <w:u w:val="single"/>
                <w:lang w:val="sr-Latn-ME"/>
              </w:rPr>
              <w:t xml:space="preserve">Krvarenje (vidjeti </w:t>
            </w:r>
            <w:r w:rsidR="00264191" w:rsidRPr="00D01E98">
              <w:rPr>
                <w:i/>
                <w:color w:val="auto"/>
                <w:sz w:val="22"/>
                <w:szCs w:val="22"/>
                <w:u w:val="single"/>
                <w:lang w:val="sr-Latn-ME"/>
              </w:rPr>
              <w:t>dio</w:t>
            </w:r>
            <w:r w:rsidRPr="00D01E98">
              <w:rPr>
                <w:i/>
                <w:color w:val="auto"/>
                <w:sz w:val="22"/>
                <w:szCs w:val="22"/>
                <w:u w:val="single"/>
                <w:lang w:val="sr-Latn-ME"/>
              </w:rPr>
              <w:t xml:space="preserve"> 4.4)</w:t>
            </w:r>
          </w:p>
          <w:p w14:paraId="63FEA7C3" w14:textId="710272AF" w:rsidR="0020267D" w:rsidRPr="00D01E98" w:rsidRDefault="0020267D">
            <w:pPr>
              <w:pStyle w:val="Tekst"/>
              <w:rPr>
                <w:color w:val="auto"/>
                <w:sz w:val="22"/>
                <w:szCs w:val="22"/>
                <w:lang w:val="sr-Latn-ME"/>
              </w:rPr>
            </w:pPr>
            <w:r w:rsidRPr="00D01E98">
              <w:rPr>
                <w:color w:val="auto"/>
                <w:sz w:val="22"/>
                <w:szCs w:val="22"/>
                <w:lang w:val="sr-Latn-ME"/>
              </w:rPr>
              <w:t>U kontrolisanom kliničkom ispitivanju sa aksitinibom za liječenje pacijenata sa RCC koje je isključilo pacijente sa neliječenom metastazom na mozgu, hemoragične neželjene reakcije prijavljene su kod 21,4% pacijenata koji su primali aksitinib. Hemoragične neželjene reakcije kod pacijenata liječenih aksitinibom uključuju epistaksu (7,8%), hematuriju (3,6%), hemoptizu (2,5%), rektalno krvarenje (2,2%), krvarenje desni (1,1%),</w:t>
            </w:r>
            <w:r w:rsidRPr="00D01E98">
              <w:rPr>
                <w:sz w:val="22"/>
                <w:szCs w:val="22"/>
                <w:lang w:val="sr-Latn-ME"/>
              </w:rPr>
              <w:t xml:space="preserve"> gastrično krvarenje</w:t>
            </w:r>
            <w:r w:rsidRPr="00D01E98">
              <w:rPr>
                <w:color w:val="auto"/>
                <w:sz w:val="22"/>
                <w:szCs w:val="22"/>
                <w:lang w:val="sr-Latn-ME"/>
              </w:rPr>
              <w:t xml:space="preserve"> (0,6%), cerebralno krvarenje (0,3%) i krvarenje u donjem dijelu gastrointestinalnog trakta (0,3%). Hemoragične neželjene reakcije </w:t>
            </w:r>
            <w:r w:rsidR="00C317F8" w:rsidRPr="00D01E98">
              <w:rPr>
                <w:color w:val="auto"/>
                <w:sz w:val="22"/>
                <w:szCs w:val="22"/>
                <w:lang w:val="sr-Latn-ME"/>
              </w:rPr>
              <w:t>g</w:t>
            </w:r>
            <w:r w:rsidRPr="00D01E98">
              <w:rPr>
                <w:color w:val="auto"/>
                <w:sz w:val="22"/>
                <w:szCs w:val="22"/>
                <w:lang w:val="sr-Latn-ME"/>
              </w:rPr>
              <w:t xml:space="preserve">radusa </w:t>
            </w:r>
            <w:r w:rsidRPr="00D01E98">
              <w:rPr>
                <w:color w:val="auto"/>
                <w:sz w:val="22"/>
                <w:szCs w:val="22"/>
                <w:lang w:val="sr-Latn-ME"/>
              </w:rPr>
              <w:sym w:font="Symbol" w:char="F0B3"/>
            </w:r>
            <w:r w:rsidRPr="00D01E98">
              <w:rPr>
                <w:color w:val="auto"/>
                <w:sz w:val="22"/>
                <w:szCs w:val="22"/>
                <w:lang w:val="sr-Latn-ME"/>
              </w:rPr>
              <w:t xml:space="preserve"> 3 prijavljene se kod 3,1% pacijenata koji su primali aksitinib (uključujući cerebralno krvarenje, gastrično krvarenje, krvarenje u donjem dijelu gastrointestinalnog trakta i hemoptizu). Fatalno krvarenje prijavljeno je kod jednog pacijenta (0,3%) koji je primao aksitinib (gastrično krvarenje). U ispitivanjima monoterapije aksitinibom (N=850), hemoptiza je prijavljena kod 3,9% pacijenata; hemoptiza </w:t>
            </w:r>
            <w:r w:rsidR="00C317F8" w:rsidRPr="00D01E98">
              <w:rPr>
                <w:color w:val="auto"/>
                <w:sz w:val="22"/>
                <w:szCs w:val="22"/>
                <w:lang w:val="sr-Latn-ME"/>
              </w:rPr>
              <w:t>g</w:t>
            </w:r>
            <w:r w:rsidRPr="00D01E98">
              <w:rPr>
                <w:color w:val="auto"/>
                <w:sz w:val="22"/>
                <w:szCs w:val="22"/>
                <w:lang w:val="sr-Latn-ME"/>
              </w:rPr>
              <w:t xml:space="preserve">radusa </w:t>
            </w:r>
            <w:r w:rsidRPr="00D01E98">
              <w:rPr>
                <w:color w:val="auto"/>
                <w:sz w:val="22"/>
                <w:szCs w:val="22"/>
                <w:lang w:val="sr-Latn-ME"/>
              </w:rPr>
              <w:sym w:font="Symbol" w:char="F0B3"/>
            </w:r>
            <w:r w:rsidRPr="00D01E98">
              <w:rPr>
                <w:color w:val="auto"/>
                <w:sz w:val="22"/>
                <w:szCs w:val="22"/>
                <w:lang w:val="sr-Latn-ME"/>
              </w:rPr>
              <w:t xml:space="preserve"> 3 prijavljena kod 0,5% pacijenata.</w:t>
            </w:r>
          </w:p>
          <w:p w14:paraId="3B76BF54" w14:textId="77777777" w:rsidR="00CB45C5" w:rsidRPr="00D01E98" w:rsidRDefault="00CB45C5">
            <w:pPr>
              <w:pStyle w:val="Tekst"/>
              <w:rPr>
                <w:color w:val="auto"/>
                <w:sz w:val="22"/>
                <w:szCs w:val="22"/>
                <w:lang w:val="sr-Latn-ME"/>
              </w:rPr>
            </w:pPr>
          </w:p>
          <w:p w14:paraId="5596CB09" w14:textId="6577C027" w:rsidR="00CB45C5" w:rsidRPr="00D01E98" w:rsidRDefault="00CB45C5">
            <w:pPr>
              <w:pStyle w:val="Tekst"/>
              <w:rPr>
                <w:color w:val="auto"/>
                <w:sz w:val="22"/>
                <w:szCs w:val="22"/>
                <w:lang w:val="sr-Latn-ME"/>
              </w:rPr>
            </w:pPr>
            <w:r w:rsidRPr="00D01E98">
              <w:rPr>
                <w:color w:val="auto"/>
                <w:sz w:val="22"/>
                <w:szCs w:val="22"/>
                <w:lang w:val="sr-Latn-ME"/>
              </w:rPr>
              <w:t>U objedinjenim kliničkim ispitivanjima sa aksitinibom (N=672) za l</w:t>
            </w:r>
            <w:r w:rsidR="00C121D7" w:rsidRPr="00D01E98">
              <w:rPr>
                <w:color w:val="auto"/>
                <w:sz w:val="22"/>
                <w:szCs w:val="22"/>
                <w:lang w:val="sr-Latn-ME"/>
              </w:rPr>
              <w:t>ij</w:t>
            </w:r>
            <w:r w:rsidRPr="00D01E98">
              <w:rPr>
                <w:color w:val="auto"/>
                <w:sz w:val="22"/>
                <w:szCs w:val="22"/>
                <w:lang w:val="sr-Latn-ME"/>
              </w:rPr>
              <w:t>ečenje pacijenata sa RCC, događaji krvarenja prijavljeni su kod 25,7% pacijenata koji su primali aksitinib. Neželjene reakcije krvarenja gradusa 3 prijavljene su kod 3% pacijenata. Neželjene reakcije krvarenja gradusa 4 prijavljene su kod 1% pacijenata, a događaji krvarenja sa smrtnim ishodom prijavljeni su kod 0,4% pacijenata koji su primali aksitinib.</w:t>
            </w:r>
          </w:p>
          <w:p w14:paraId="14F80A17" w14:textId="77777777" w:rsidR="0020267D" w:rsidRPr="00D01E98" w:rsidRDefault="0020267D">
            <w:pPr>
              <w:pStyle w:val="Tekst"/>
              <w:rPr>
                <w:color w:val="auto"/>
                <w:sz w:val="22"/>
                <w:szCs w:val="22"/>
                <w:lang w:val="sr-Latn-ME"/>
              </w:rPr>
            </w:pPr>
          </w:p>
          <w:p w14:paraId="0AA7C477" w14:textId="1F55B55A" w:rsidR="0020267D" w:rsidRPr="00D01E98" w:rsidRDefault="0020267D">
            <w:pPr>
              <w:pStyle w:val="Tekst"/>
              <w:rPr>
                <w:i/>
                <w:color w:val="auto"/>
                <w:sz w:val="22"/>
                <w:szCs w:val="22"/>
                <w:u w:val="single"/>
                <w:lang w:val="sr-Latn-ME"/>
              </w:rPr>
            </w:pPr>
            <w:r w:rsidRPr="00D01E98">
              <w:rPr>
                <w:i/>
                <w:color w:val="auto"/>
                <w:sz w:val="22"/>
                <w:szCs w:val="22"/>
                <w:u w:val="single"/>
                <w:lang w:val="sr-Latn-ME"/>
              </w:rPr>
              <w:t xml:space="preserve">Gastrointestinalna perforacija i stvaranje fistula (vidjeti </w:t>
            </w:r>
            <w:r w:rsidR="00264191" w:rsidRPr="00D01E98">
              <w:rPr>
                <w:i/>
                <w:color w:val="auto"/>
                <w:sz w:val="22"/>
                <w:szCs w:val="22"/>
                <w:u w:val="single"/>
                <w:lang w:val="sr-Latn-ME"/>
              </w:rPr>
              <w:t>dio</w:t>
            </w:r>
            <w:r w:rsidRPr="00D01E98">
              <w:rPr>
                <w:i/>
                <w:color w:val="auto"/>
                <w:sz w:val="22"/>
                <w:szCs w:val="22"/>
                <w:u w:val="single"/>
                <w:lang w:val="sr-Latn-ME"/>
              </w:rPr>
              <w:t xml:space="preserve"> 4.4)</w:t>
            </w:r>
          </w:p>
          <w:p w14:paraId="6128ADDE" w14:textId="77777777" w:rsidR="0020267D" w:rsidRPr="00D01E98" w:rsidRDefault="0020267D">
            <w:pPr>
              <w:pStyle w:val="Tekst"/>
              <w:rPr>
                <w:color w:val="auto"/>
                <w:sz w:val="22"/>
                <w:szCs w:val="22"/>
                <w:lang w:val="sr-Latn-ME"/>
              </w:rPr>
            </w:pPr>
            <w:r w:rsidRPr="00D01E98">
              <w:rPr>
                <w:color w:val="auto"/>
                <w:sz w:val="22"/>
                <w:szCs w:val="22"/>
                <w:lang w:val="sr-Latn-ME"/>
              </w:rPr>
              <w:t xml:space="preserve">U kontrolisanom kliničkom ispitivanju sa aksitinibom za liječenje pacijenata sa RCC, događaji tipa gastrointestinalne perforacije prijavljeni su kod 1,7% pacijenata koji su primali aksitinib, uključujući analnu fistulu (0,6%), fistulu (0,3%) i gastrointestinalnu perforaciju (0,3). U ispitivanjima monoterapije aksitinibom (N=850), događaji tipa gastrointestinalne perforacije su prijavljeni kod 1,9% pacijenata, a fatalna gastrointestinalna perforacija je prijavljena kod jednog pacijenta (0,1%). </w:t>
            </w:r>
          </w:p>
          <w:p w14:paraId="70A31708" w14:textId="77777777" w:rsidR="00CB45C5" w:rsidRPr="00D01E98" w:rsidRDefault="00CB45C5">
            <w:pPr>
              <w:pStyle w:val="Tekst"/>
              <w:rPr>
                <w:color w:val="auto"/>
                <w:sz w:val="22"/>
                <w:szCs w:val="22"/>
                <w:lang w:val="sr-Latn-ME"/>
              </w:rPr>
            </w:pPr>
          </w:p>
          <w:p w14:paraId="3BB771A3" w14:textId="0B1AC7A0" w:rsidR="00CB45C5" w:rsidRPr="00D01E98" w:rsidRDefault="00CB45C5">
            <w:pPr>
              <w:pStyle w:val="Tekst"/>
              <w:rPr>
                <w:color w:val="auto"/>
                <w:sz w:val="22"/>
                <w:szCs w:val="22"/>
                <w:lang w:val="sr-Latn-ME"/>
              </w:rPr>
            </w:pPr>
            <w:r w:rsidRPr="00D01E98">
              <w:rPr>
                <w:color w:val="auto"/>
                <w:sz w:val="22"/>
                <w:szCs w:val="22"/>
                <w:lang w:val="sr-Latn-ME"/>
              </w:rPr>
              <w:t>U objedinjenim kliničkim ispitivanjima sa aksitinibom (N=672) za l</w:t>
            </w:r>
            <w:r w:rsidR="00C121D7" w:rsidRPr="00D01E98">
              <w:rPr>
                <w:color w:val="auto"/>
                <w:sz w:val="22"/>
                <w:szCs w:val="22"/>
                <w:lang w:val="sr-Latn-ME"/>
              </w:rPr>
              <w:t>ij</w:t>
            </w:r>
            <w:r w:rsidRPr="00D01E98">
              <w:rPr>
                <w:color w:val="auto"/>
                <w:sz w:val="22"/>
                <w:szCs w:val="22"/>
                <w:lang w:val="sr-Latn-ME"/>
              </w:rPr>
              <w:t>ečenje pacijenata sa RCC, gastrointestinalna perforacija i fistula prijavljeni su kod 1,9% pacijenata koji su primali aksitinib.</w:t>
            </w:r>
          </w:p>
          <w:p w14:paraId="078F4B11" w14:textId="77777777" w:rsidR="0020267D" w:rsidRPr="00D01E98" w:rsidRDefault="0020267D">
            <w:pPr>
              <w:pStyle w:val="Tekst"/>
              <w:rPr>
                <w:color w:val="auto"/>
                <w:sz w:val="22"/>
                <w:szCs w:val="22"/>
                <w:lang w:val="sr-Latn-ME"/>
              </w:rPr>
            </w:pPr>
          </w:p>
          <w:p w14:paraId="3E7C3296" w14:textId="77777777" w:rsidR="00015DCE" w:rsidRPr="00D01E98" w:rsidRDefault="00015DCE" w:rsidP="00923DFD">
            <w:pPr>
              <w:jc w:val="both"/>
              <w:rPr>
                <w:rFonts w:eastAsia="Calibri"/>
                <w:sz w:val="22"/>
                <w:szCs w:val="22"/>
                <w:u w:val="single"/>
              </w:rPr>
            </w:pPr>
          </w:p>
          <w:p w14:paraId="37B9B8DC" w14:textId="77777777" w:rsidR="00015DCE" w:rsidRPr="00D01E98" w:rsidRDefault="00015DCE" w:rsidP="00923DFD">
            <w:pPr>
              <w:jc w:val="both"/>
              <w:rPr>
                <w:rFonts w:eastAsia="Calibri"/>
                <w:sz w:val="22"/>
                <w:szCs w:val="22"/>
                <w:u w:val="single"/>
              </w:rPr>
            </w:pPr>
          </w:p>
          <w:p w14:paraId="1F3F7E47" w14:textId="55C9BF38" w:rsidR="0020267D" w:rsidRPr="00D01E98" w:rsidRDefault="0020267D" w:rsidP="00923DFD">
            <w:pPr>
              <w:jc w:val="both"/>
              <w:rPr>
                <w:rFonts w:eastAsia="Calibri"/>
                <w:sz w:val="22"/>
                <w:szCs w:val="22"/>
                <w:u w:val="single"/>
              </w:rPr>
            </w:pPr>
            <w:r w:rsidRPr="00D01E98">
              <w:rPr>
                <w:rFonts w:eastAsia="Calibri"/>
                <w:sz w:val="22"/>
                <w:szCs w:val="22"/>
                <w:u w:val="single"/>
              </w:rPr>
              <w:lastRenderedPageBreak/>
              <w:t>Prijavljivanje sumnji na neželjena dejstva</w:t>
            </w:r>
          </w:p>
          <w:p w14:paraId="61DC3EFC" w14:textId="6D387C7A" w:rsidR="0020267D" w:rsidRPr="00D01E98" w:rsidRDefault="0020267D" w:rsidP="00923DFD">
            <w:pPr>
              <w:jc w:val="both"/>
              <w:rPr>
                <w:rFonts w:eastAsia="Calibri"/>
                <w:sz w:val="22"/>
                <w:szCs w:val="22"/>
              </w:rPr>
            </w:pPr>
            <w:r w:rsidRPr="00D01E98">
              <w:rPr>
                <w:rFonts w:eastAsia="Calibri"/>
                <w:sz w:val="22"/>
                <w:szCs w:val="22"/>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BF0D93" w:rsidRPr="00D01E98">
              <w:rPr>
                <w:rFonts w:eastAsia="Calibri"/>
                <w:sz w:val="22"/>
                <w:szCs w:val="22"/>
              </w:rPr>
              <w:t>Institutu za ljekove i medicinska sredstva (CInMED):</w:t>
            </w:r>
          </w:p>
          <w:p w14:paraId="2B0C4756" w14:textId="77777777" w:rsidR="00914363" w:rsidRPr="00D01E98" w:rsidRDefault="00914363" w:rsidP="00923DFD">
            <w:pPr>
              <w:jc w:val="both"/>
              <w:rPr>
                <w:rFonts w:eastAsia="Calibri"/>
                <w:sz w:val="22"/>
                <w:szCs w:val="22"/>
              </w:rPr>
            </w:pPr>
          </w:p>
          <w:p w14:paraId="5969378A" w14:textId="7B7D0956" w:rsidR="0020267D" w:rsidRPr="00D01E98" w:rsidRDefault="00BF0D93" w:rsidP="00923DFD">
            <w:pPr>
              <w:jc w:val="both"/>
              <w:rPr>
                <w:rFonts w:eastAsia="Calibri"/>
                <w:sz w:val="22"/>
                <w:szCs w:val="22"/>
              </w:rPr>
            </w:pPr>
            <w:r w:rsidRPr="00D01E98">
              <w:rPr>
                <w:rFonts w:eastAsia="Calibri"/>
                <w:sz w:val="22"/>
                <w:szCs w:val="22"/>
              </w:rPr>
              <w:t>Institut za ljekove i medicinska sredstva</w:t>
            </w:r>
          </w:p>
          <w:p w14:paraId="34849BD9" w14:textId="77777777" w:rsidR="0020267D" w:rsidRPr="00D01E98" w:rsidRDefault="0020267D" w:rsidP="00923DFD">
            <w:pPr>
              <w:jc w:val="both"/>
              <w:rPr>
                <w:rFonts w:eastAsia="Calibri"/>
                <w:sz w:val="22"/>
                <w:szCs w:val="22"/>
              </w:rPr>
            </w:pPr>
            <w:r w:rsidRPr="00D01E98">
              <w:rPr>
                <w:rFonts w:eastAsia="Calibri"/>
                <w:sz w:val="22"/>
                <w:szCs w:val="22"/>
              </w:rPr>
              <w:t>Odjeljenje za farmakovigilancu</w:t>
            </w:r>
          </w:p>
          <w:p w14:paraId="5E5BB131" w14:textId="77777777" w:rsidR="0020267D" w:rsidRPr="00D01E98" w:rsidRDefault="0020267D" w:rsidP="00923DFD">
            <w:pPr>
              <w:jc w:val="both"/>
              <w:rPr>
                <w:rFonts w:eastAsia="Calibri"/>
                <w:sz w:val="22"/>
                <w:szCs w:val="22"/>
              </w:rPr>
            </w:pPr>
            <w:r w:rsidRPr="00D01E98">
              <w:rPr>
                <w:rFonts w:eastAsia="Calibri"/>
                <w:sz w:val="22"/>
                <w:szCs w:val="22"/>
              </w:rPr>
              <w:t>Bulevar Ivana Crnojevića 64a, 81000 Podgorica</w:t>
            </w:r>
          </w:p>
          <w:p w14:paraId="7EA98B13" w14:textId="77777777" w:rsidR="0020267D" w:rsidRPr="00D01E98" w:rsidRDefault="0020267D" w:rsidP="00923DFD">
            <w:pPr>
              <w:jc w:val="both"/>
              <w:rPr>
                <w:rFonts w:eastAsia="Calibri"/>
                <w:sz w:val="22"/>
                <w:szCs w:val="22"/>
              </w:rPr>
            </w:pPr>
          </w:p>
          <w:p w14:paraId="494955C8" w14:textId="77777777" w:rsidR="0020267D" w:rsidRPr="00D01E98" w:rsidRDefault="0020267D" w:rsidP="00923DFD">
            <w:pPr>
              <w:jc w:val="both"/>
              <w:rPr>
                <w:rFonts w:eastAsia="Calibri"/>
                <w:sz w:val="22"/>
                <w:szCs w:val="22"/>
              </w:rPr>
            </w:pPr>
            <w:r w:rsidRPr="00D01E98">
              <w:rPr>
                <w:rFonts w:eastAsia="Calibri"/>
                <w:sz w:val="22"/>
                <w:szCs w:val="22"/>
              </w:rPr>
              <w:t>tel: +382 (0) 20 310 280</w:t>
            </w:r>
          </w:p>
          <w:p w14:paraId="1D6CB97E" w14:textId="77777777" w:rsidR="0020267D" w:rsidRPr="00D01E98" w:rsidRDefault="0020267D" w:rsidP="00923DFD">
            <w:pPr>
              <w:jc w:val="both"/>
              <w:rPr>
                <w:rFonts w:eastAsia="Calibri"/>
                <w:sz w:val="22"/>
                <w:szCs w:val="22"/>
              </w:rPr>
            </w:pPr>
            <w:r w:rsidRPr="00D01E98">
              <w:rPr>
                <w:rFonts w:eastAsia="Calibri"/>
                <w:sz w:val="22"/>
                <w:szCs w:val="22"/>
              </w:rPr>
              <w:t>fax: +382 (0) 20 310 581</w:t>
            </w:r>
          </w:p>
          <w:p w14:paraId="03D9ACC3" w14:textId="77777777" w:rsidR="00BF0D93" w:rsidRPr="00D01E98" w:rsidRDefault="00AA366D">
            <w:pPr>
              <w:pStyle w:val="NoSpacing"/>
              <w:jc w:val="both"/>
              <w:rPr>
                <w:rFonts w:ascii="Times New Roman" w:eastAsia="Calibri" w:hAnsi="Times New Roman"/>
                <w:lang w:val="sr-Latn-ME"/>
              </w:rPr>
            </w:pPr>
            <w:hyperlink r:id="rId11" w:history="1">
              <w:r w:rsidR="00BF0D93" w:rsidRPr="00D01E98">
                <w:rPr>
                  <w:rStyle w:val="Hyperlink"/>
                  <w:rFonts w:ascii="Times New Roman" w:eastAsia="Calibri" w:hAnsi="Times New Roman"/>
                  <w:lang w:val="sr-Latn-ME"/>
                </w:rPr>
                <w:t>www.cinmed.me</w:t>
              </w:r>
            </w:hyperlink>
          </w:p>
          <w:p w14:paraId="50C57128" w14:textId="77777777" w:rsidR="00BF0D93" w:rsidRPr="00D01E98" w:rsidRDefault="00AA366D">
            <w:pPr>
              <w:pStyle w:val="NoSpacing"/>
              <w:jc w:val="both"/>
              <w:rPr>
                <w:rFonts w:ascii="Times New Roman" w:eastAsia="Calibri" w:hAnsi="Times New Roman"/>
                <w:color w:val="0000FF"/>
                <w:u w:val="single"/>
                <w:lang w:val="sr-Latn-ME"/>
              </w:rPr>
            </w:pPr>
            <w:hyperlink r:id="rId12" w:history="1">
              <w:r w:rsidR="00BF0D93" w:rsidRPr="00D01E98">
                <w:rPr>
                  <w:rStyle w:val="Hyperlink"/>
                  <w:rFonts w:ascii="Times New Roman" w:eastAsia="Calibri" w:hAnsi="Times New Roman"/>
                  <w:lang w:val="sr-Latn-ME"/>
                </w:rPr>
                <w:t>nezeljenadejstva@cinmed.me</w:t>
              </w:r>
            </w:hyperlink>
          </w:p>
          <w:p w14:paraId="6D35B849" w14:textId="77777777" w:rsidR="00BB7746" w:rsidRPr="00D01E98" w:rsidRDefault="00BB7746" w:rsidP="00923DFD">
            <w:pPr>
              <w:jc w:val="both"/>
              <w:rPr>
                <w:rFonts w:eastAsia="Calibri"/>
                <w:sz w:val="22"/>
                <w:szCs w:val="22"/>
              </w:rPr>
            </w:pPr>
          </w:p>
          <w:p w14:paraId="10CDA26B" w14:textId="77777777" w:rsidR="0020267D" w:rsidRPr="00D01E98" w:rsidRDefault="0020267D" w:rsidP="00923DFD">
            <w:pPr>
              <w:jc w:val="both"/>
              <w:rPr>
                <w:rFonts w:eastAsia="Calibri"/>
                <w:sz w:val="22"/>
                <w:szCs w:val="22"/>
              </w:rPr>
            </w:pPr>
            <w:r w:rsidRPr="00D01E98">
              <w:rPr>
                <w:rFonts w:eastAsia="Calibri"/>
                <w:sz w:val="22"/>
                <w:szCs w:val="22"/>
              </w:rPr>
              <w:t>putem IS zdravstvene zaštite</w:t>
            </w:r>
          </w:p>
          <w:p w14:paraId="3BDC91B4" w14:textId="10A9FFEE" w:rsidR="00202214" w:rsidRPr="00D01E98" w:rsidRDefault="00202214" w:rsidP="00923DFD">
            <w:pPr>
              <w:jc w:val="both"/>
              <w:rPr>
                <w:sz w:val="22"/>
                <w:szCs w:val="22"/>
              </w:rPr>
            </w:pPr>
            <w:r w:rsidRPr="00D01E98">
              <w:rPr>
                <w:rFonts w:eastAsia="Calibri"/>
                <w:sz w:val="22"/>
                <w:szCs w:val="22"/>
              </w:rPr>
              <w:t>QR kod za online prijavu sumnje na neželjeno dejstvo lijeka</w:t>
            </w:r>
            <w:r w:rsidRPr="00D01E98">
              <w:rPr>
                <w:sz w:val="22"/>
                <w:szCs w:val="22"/>
              </w:rPr>
              <w:t>:</w:t>
            </w:r>
          </w:p>
          <w:p w14:paraId="17CE6E06" w14:textId="77777777" w:rsidR="00202214" w:rsidRPr="00D01E98" w:rsidRDefault="00202214" w:rsidP="00923DFD">
            <w:pPr>
              <w:jc w:val="both"/>
              <w:rPr>
                <w:szCs w:val="22"/>
              </w:rPr>
            </w:pPr>
          </w:p>
          <w:p w14:paraId="655FA888" w14:textId="77777777" w:rsidR="00202214" w:rsidRPr="00D01E98" w:rsidRDefault="00202214" w:rsidP="00923DFD">
            <w:pPr>
              <w:jc w:val="both"/>
              <w:rPr>
                <w:szCs w:val="22"/>
              </w:rPr>
            </w:pPr>
            <w:r w:rsidRPr="00D01E98">
              <w:rPr>
                <w:noProof/>
                <w:lang w:val="en-US"/>
              </w:rPr>
              <w:drawing>
                <wp:inline distT="0" distB="0" distL="0" distR="0" wp14:anchorId="21D146C5" wp14:editId="7494B37A">
                  <wp:extent cx="971550" cy="971550"/>
                  <wp:effectExtent l="0" t="0" r="0" b="0"/>
                  <wp:docPr id="9" name="Picture 9"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30E0561" w14:textId="058D1790" w:rsidR="00202214" w:rsidRPr="00D01E98" w:rsidRDefault="00202214" w:rsidP="00923DFD">
            <w:pPr>
              <w:jc w:val="both"/>
              <w:rPr>
                <w:rFonts w:eastAsia="Calibri"/>
                <w:sz w:val="22"/>
                <w:szCs w:val="22"/>
              </w:rPr>
            </w:pPr>
          </w:p>
        </w:tc>
      </w:tr>
      <w:tr w:rsidR="0020267D" w:rsidRPr="00D01E98" w14:paraId="4C0B1C35" w14:textId="77777777" w:rsidTr="00757DA0">
        <w:trPr>
          <w:trHeight w:val="612"/>
        </w:trPr>
        <w:tc>
          <w:tcPr>
            <w:tcW w:w="9906" w:type="dxa"/>
            <w:gridSpan w:val="3"/>
            <w:shd w:val="clear" w:color="auto" w:fill="auto"/>
            <w:vAlign w:val="center"/>
          </w:tcPr>
          <w:p w14:paraId="3C5CB7FC" w14:textId="77777777" w:rsidR="0020267D" w:rsidRPr="00D01E98" w:rsidRDefault="0020267D" w:rsidP="00923DFD">
            <w:pPr>
              <w:pStyle w:val="Header"/>
              <w:tabs>
                <w:tab w:val="left" w:pos="284"/>
              </w:tabs>
              <w:jc w:val="both"/>
              <w:rPr>
                <w:b/>
                <w:bCs/>
                <w:sz w:val="22"/>
                <w:szCs w:val="22"/>
              </w:rPr>
            </w:pPr>
            <w:r w:rsidRPr="00D01E98">
              <w:rPr>
                <w:b/>
                <w:bCs/>
                <w:sz w:val="22"/>
                <w:szCs w:val="22"/>
              </w:rPr>
              <w:lastRenderedPageBreak/>
              <w:t>4.9. Predoziranje</w:t>
            </w:r>
          </w:p>
        </w:tc>
      </w:tr>
      <w:tr w:rsidR="0020267D" w:rsidRPr="00D01E98" w14:paraId="6C4EC142" w14:textId="77777777" w:rsidTr="00757DA0">
        <w:trPr>
          <w:trHeight w:val="864"/>
        </w:trPr>
        <w:tc>
          <w:tcPr>
            <w:tcW w:w="9906" w:type="dxa"/>
            <w:gridSpan w:val="3"/>
            <w:shd w:val="clear" w:color="auto" w:fill="auto"/>
            <w:vAlign w:val="center"/>
          </w:tcPr>
          <w:p w14:paraId="6145F90A" w14:textId="77777777" w:rsidR="0020267D" w:rsidRPr="00D01E98" w:rsidRDefault="0020267D">
            <w:pPr>
              <w:pStyle w:val="Tekst"/>
              <w:rPr>
                <w:sz w:val="22"/>
                <w:szCs w:val="22"/>
                <w:lang w:val="sr-Latn-ME"/>
              </w:rPr>
            </w:pPr>
            <w:r w:rsidRPr="00D01E98">
              <w:rPr>
                <w:sz w:val="22"/>
                <w:szCs w:val="22"/>
                <w:lang w:val="sr-Latn-ME"/>
              </w:rPr>
              <w:t>Ne postoji specifična terapija za predoziranje aksitinibom.</w:t>
            </w:r>
          </w:p>
          <w:p w14:paraId="546FE207" w14:textId="77777777" w:rsidR="0020267D" w:rsidRPr="00D01E98" w:rsidRDefault="0020267D">
            <w:pPr>
              <w:pStyle w:val="Tekst"/>
              <w:rPr>
                <w:sz w:val="22"/>
                <w:szCs w:val="22"/>
                <w:lang w:val="sr-Latn-ME"/>
              </w:rPr>
            </w:pPr>
          </w:p>
          <w:p w14:paraId="633F07DF" w14:textId="05F690C0" w:rsidR="0020267D" w:rsidRPr="00D01E98" w:rsidRDefault="0020267D">
            <w:pPr>
              <w:pStyle w:val="Tekst"/>
              <w:rPr>
                <w:sz w:val="22"/>
                <w:szCs w:val="22"/>
                <w:lang w:val="sr-Latn-ME"/>
              </w:rPr>
            </w:pPr>
            <w:r w:rsidRPr="00D01E98">
              <w:rPr>
                <w:sz w:val="22"/>
                <w:szCs w:val="22"/>
                <w:lang w:val="sr-Latn-ME"/>
              </w:rPr>
              <w:t>U kontrolisanoj kliničkoj studiji sa aksitinibom za liječenje pacijenata sa RCC, kod jednog pacijenta koji je slučajno primio dozu od 20 mg dva puta dnevno tokom 4 dana javila se vrtoglavica (</w:t>
            </w:r>
            <w:r w:rsidR="00C317F8" w:rsidRPr="00D01E98">
              <w:rPr>
                <w:sz w:val="22"/>
                <w:szCs w:val="22"/>
                <w:lang w:val="sr-Latn-ME"/>
              </w:rPr>
              <w:t>g</w:t>
            </w:r>
            <w:r w:rsidRPr="00D01E98">
              <w:rPr>
                <w:sz w:val="22"/>
                <w:szCs w:val="22"/>
                <w:lang w:val="sr-Latn-ME"/>
              </w:rPr>
              <w:t>radusa 1).</w:t>
            </w:r>
          </w:p>
          <w:p w14:paraId="041DF458" w14:textId="77777777" w:rsidR="0020267D" w:rsidRPr="00D01E98" w:rsidRDefault="0020267D">
            <w:pPr>
              <w:pStyle w:val="Tekst"/>
              <w:rPr>
                <w:sz w:val="22"/>
                <w:szCs w:val="22"/>
                <w:lang w:val="sr-Latn-ME"/>
              </w:rPr>
            </w:pPr>
          </w:p>
          <w:p w14:paraId="0C3390E4" w14:textId="77777777" w:rsidR="0020267D" w:rsidRPr="00D01E98" w:rsidRDefault="0020267D">
            <w:pPr>
              <w:pStyle w:val="Tekst"/>
              <w:rPr>
                <w:sz w:val="22"/>
                <w:szCs w:val="22"/>
                <w:lang w:val="sr-Latn-ME"/>
              </w:rPr>
            </w:pPr>
            <w:r w:rsidRPr="00D01E98">
              <w:rPr>
                <w:sz w:val="22"/>
                <w:szCs w:val="22"/>
                <w:lang w:val="sr-Latn-ME"/>
              </w:rPr>
              <w:t>U kliničkom ispitivanju za određivanje doze aksitiniba, kod ispitanika koji su primali početne doze od 10 mg dva puta dnevno ili 20 mg dva puta dnevno javile su se neželjene reakcije koje uključuju hipertenziju, napade povezane sa hipertenzijom i fatalnu hemoptizu.</w:t>
            </w:r>
          </w:p>
          <w:p w14:paraId="314A21CB" w14:textId="77777777" w:rsidR="0020267D" w:rsidRPr="00D01E98" w:rsidRDefault="0020267D">
            <w:pPr>
              <w:pStyle w:val="Tekst"/>
              <w:rPr>
                <w:sz w:val="22"/>
                <w:szCs w:val="22"/>
                <w:lang w:val="sr-Latn-ME"/>
              </w:rPr>
            </w:pPr>
          </w:p>
          <w:p w14:paraId="03FF2D9C" w14:textId="77777777" w:rsidR="0020267D" w:rsidRPr="00D01E98" w:rsidRDefault="0020267D">
            <w:pPr>
              <w:pStyle w:val="Tekst"/>
              <w:rPr>
                <w:sz w:val="22"/>
                <w:szCs w:val="22"/>
                <w:lang w:val="sr-Latn-ME"/>
              </w:rPr>
            </w:pPr>
            <w:r w:rsidRPr="00D01E98">
              <w:rPr>
                <w:sz w:val="22"/>
                <w:szCs w:val="22"/>
                <w:lang w:val="sr-Latn-ME"/>
              </w:rPr>
              <w:t>U slučajevima sumnje na predoziranje, primjenu aksitiniba treba prekinuti i preduzeti potporne mjere.</w:t>
            </w:r>
          </w:p>
          <w:p w14:paraId="6F856A5F" w14:textId="77777777" w:rsidR="0020267D" w:rsidRPr="00D01E98" w:rsidRDefault="0020267D">
            <w:pPr>
              <w:pStyle w:val="Tekst"/>
              <w:rPr>
                <w:sz w:val="22"/>
                <w:szCs w:val="22"/>
                <w:lang w:val="sr-Latn-ME"/>
              </w:rPr>
            </w:pPr>
          </w:p>
        </w:tc>
      </w:tr>
      <w:tr w:rsidR="0020267D" w:rsidRPr="00D01E98" w14:paraId="055B55CA" w14:textId="77777777" w:rsidTr="00757DA0">
        <w:trPr>
          <w:trHeight w:val="288"/>
        </w:trPr>
        <w:tc>
          <w:tcPr>
            <w:tcW w:w="9906" w:type="dxa"/>
            <w:gridSpan w:val="3"/>
            <w:shd w:val="clear" w:color="auto" w:fill="auto"/>
            <w:vAlign w:val="center"/>
          </w:tcPr>
          <w:p w14:paraId="2AF1DACD" w14:textId="77777777" w:rsidR="008B5E8B" w:rsidRPr="00D01E98" w:rsidRDefault="008B5E8B" w:rsidP="00923DFD">
            <w:pPr>
              <w:pStyle w:val="Header"/>
              <w:tabs>
                <w:tab w:val="left" w:pos="284"/>
              </w:tabs>
              <w:jc w:val="both"/>
              <w:rPr>
                <w:b/>
                <w:bCs/>
                <w:sz w:val="22"/>
                <w:szCs w:val="22"/>
              </w:rPr>
            </w:pPr>
          </w:p>
          <w:p w14:paraId="2458FFD5" w14:textId="18FC87C9" w:rsidR="0020267D" w:rsidRPr="00D01E98" w:rsidRDefault="0020267D" w:rsidP="00923DFD">
            <w:pPr>
              <w:pStyle w:val="Header"/>
              <w:tabs>
                <w:tab w:val="left" w:pos="284"/>
              </w:tabs>
              <w:jc w:val="both"/>
              <w:rPr>
                <w:b/>
                <w:bCs/>
                <w:sz w:val="22"/>
                <w:szCs w:val="22"/>
              </w:rPr>
            </w:pPr>
            <w:r w:rsidRPr="00D01E98">
              <w:rPr>
                <w:b/>
                <w:bCs/>
                <w:sz w:val="22"/>
                <w:szCs w:val="22"/>
              </w:rPr>
              <w:t>5. FARMAKOLOŠKI PODACI</w:t>
            </w:r>
          </w:p>
        </w:tc>
      </w:tr>
      <w:tr w:rsidR="0020267D" w:rsidRPr="00D01E98" w14:paraId="68A8F7BD" w14:textId="77777777" w:rsidTr="00757DA0">
        <w:tc>
          <w:tcPr>
            <w:tcW w:w="9906" w:type="dxa"/>
            <w:gridSpan w:val="3"/>
            <w:shd w:val="clear" w:color="auto" w:fill="auto"/>
            <w:vAlign w:val="center"/>
          </w:tcPr>
          <w:p w14:paraId="71B71A97" w14:textId="77777777" w:rsidR="008B5E8B" w:rsidRPr="00D01E98" w:rsidRDefault="008B5E8B" w:rsidP="00923DFD">
            <w:pPr>
              <w:pStyle w:val="Header"/>
              <w:tabs>
                <w:tab w:val="left" w:pos="284"/>
              </w:tabs>
              <w:jc w:val="both"/>
              <w:rPr>
                <w:b/>
                <w:bCs/>
                <w:sz w:val="22"/>
                <w:szCs w:val="22"/>
              </w:rPr>
            </w:pPr>
          </w:p>
          <w:p w14:paraId="1BF6DDD5" w14:textId="2F0F1C22" w:rsidR="0020267D" w:rsidRPr="00D01E98" w:rsidRDefault="0020267D" w:rsidP="00923DFD">
            <w:pPr>
              <w:pStyle w:val="Header"/>
              <w:tabs>
                <w:tab w:val="left" w:pos="284"/>
              </w:tabs>
              <w:jc w:val="both"/>
              <w:rPr>
                <w:b/>
                <w:bCs/>
                <w:sz w:val="22"/>
                <w:szCs w:val="22"/>
              </w:rPr>
            </w:pPr>
            <w:r w:rsidRPr="00D01E98">
              <w:rPr>
                <w:b/>
                <w:bCs/>
                <w:sz w:val="22"/>
                <w:szCs w:val="22"/>
              </w:rPr>
              <w:t>5.1. Farmakodinamski podaci</w:t>
            </w:r>
          </w:p>
        </w:tc>
      </w:tr>
      <w:tr w:rsidR="0020267D" w:rsidRPr="00D01E98" w14:paraId="6F5045DD" w14:textId="77777777" w:rsidTr="00757DA0">
        <w:trPr>
          <w:trHeight w:val="576"/>
        </w:trPr>
        <w:tc>
          <w:tcPr>
            <w:tcW w:w="2808" w:type="dxa"/>
            <w:gridSpan w:val="2"/>
            <w:shd w:val="clear" w:color="auto" w:fill="auto"/>
            <w:vAlign w:val="center"/>
          </w:tcPr>
          <w:p w14:paraId="3534F2D0" w14:textId="77777777" w:rsidR="0020267D" w:rsidRPr="00D01E98" w:rsidRDefault="0020267D" w:rsidP="00923DFD">
            <w:pPr>
              <w:pStyle w:val="Header"/>
              <w:tabs>
                <w:tab w:val="left" w:pos="284"/>
              </w:tabs>
              <w:jc w:val="both"/>
              <w:rPr>
                <w:bCs/>
                <w:sz w:val="22"/>
                <w:szCs w:val="22"/>
              </w:rPr>
            </w:pPr>
            <w:r w:rsidRPr="00D01E98">
              <w:rPr>
                <w:bCs/>
                <w:sz w:val="22"/>
                <w:szCs w:val="22"/>
              </w:rPr>
              <w:t>Farmakoterapijska grupa:</w:t>
            </w:r>
          </w:p>
        </w:tc>
        <w:tc>
          <w:tcPr>
            <w:tcW w:w="7098" w:type="dxa"/>
            <w:shd w:val="clear" w:color="auto" w:fill="auto"/>
            <w:vAlign w:val="center"/>
          </w:tcPr>
          <w:p w14:paraId="4B53F7A5" w14:textId="77777777" w:rsidR="0020267D" w:rsidRPr="00D01E98" w:rsidRDefault="0020267D" w:rsidP="00923DFD">
            <w:pPr>
              <w:pStyle w:val="Header"/>
              <w:tabs>
                <w:tab w:val="left" w:pos="284"/>
              </w:tabs>
              <w:jc w:val="both"/>
              <w:rPr>
                <w:sz w:val="22"/>
                <w:szCs w:val="22"/>
              </w:rPr>
            </w:pPr>
            <w:r w:rsidRPr="00D01E98">
              <w:rPr>
                <w:sz w:val="22"/>
                <w:szCs w:val="22"/>
              </w:rPr>
              <w:t>Antineoplastici, inhibitori protein-kinaze</w:t>
            </w:r>
          </w:p>
        </w:tc>
      </w:tr>
      <w:tr w:rsidR="0020267D" w:rsidRPr="00D01E98" w14:paraId="06AC9D54" w14:textId="77777777" w:rsidTr="00757DA0">
        <w:trPr>
          <w:trHeight w:val="542"/>
        </w:trPr>
        <w:tc>
          <w:tcPr>
            <w:tcW w:w="1188" w:type="dxa"/>
            <w:shd w:val="clear" w:color="auto" w:fill="auto"/>
            <w:vAlign w:val="center"/>
          </w:tcPr>
          <w:p w14:paraId="75950FB7" w14:textId="77777777" w:rsidR="0020267D" w:rsidRPr="00D01E98" w:rsidRDefault="0020267D" w:rsidP="00923DFD">
            <w:pPr>
              <w:pStyle w:val="Header"/>
              <w:tabs>
                <w:tab w:val="left" w:pos="284"/>
              </w:tabs>
              <w:jc w:val="both"/>
              <w:rPr>
                <w:bCs/>
                <w:sz w:val="22"/>
                <w:szCs w:val="22"/>
              </w:rPr>
            </w:pPr>
            <w:r w:rsidRPr="00D01E98">
              <w:rPr>
                <w:bCs/>
                <w:sz w:val="22"/>
                <w:szCs w:val="22"/>
              </w:rPr>
              <w:t>ATC kod:</w:t>
            </w:r>
          </w:p>
        </w:tc>
        <w:tc>
          <w:tcPr>
            <w:tcW w:w="8718" w:type="dxa"/>
            <w:gridSpan w:val="2"/>
            <w:shd w:val="clear" w:color="auto" w:fill="auto"/>
            <w:vAlign w:val="center"/>
          </w:tcPr>
          <w:p w14:paraId="7288D6FD" w14:textId="491D484D" w:rsidR="0020267D" w:rsidRPr="00D01E98" w:rsidRDefault="00202214" w:rsidP="00923DFD">
            <w:pPr>
              <w:pStyle w:val="Header"/>
              <w:tabs>
                <w:tab w:val="left" w:pos="284"/>
              </w:tabs>
              <w:jc w:val="both"/>
              <w:rPr>
                <w:sz w:val="22"/>
                <w:szCs w:val="22"/>
              </w:rPr>
            </w:pPr>
            <w:r w:rsidRPr="00D01E98">
              <w:rPr>
                <w:sz w:val="22"/>
                <w:szCs w:val="22"/>
              </w:rPr>
              <w:t>L01EK01</w:t>
            </w:r>
          </w:p>
        </w:tc>
      </w:tr>
      <w:tr w:rsidR="0020267D" w:rsidRPr="00D01E98" w14:paraId="5598A7DA" w14:textId="77777777" w:rsidTr="00757DA0">
        <w:trPr>
          <w:trHeight w:val="117"/>
        </w:trPr>
        <w:tc>
          <w:tcPr>
            <w:tcW w:w="9906" w:type="dxa"/>
            <w:gridSpan w:val="3"/>
            <w:shd w:val="clear" w:color="auto" w:fill="auto"/>
            <w:vAlign w:val="center"/>
          </w:tcPr>
          <w:p w14:paraId="271C44E8" w14:textId="77777777" w:rsidR="0020267D" w:rsidRPr="00D01E98" w:rsidRDefault="0020267D">
            <w:pPr>
              <w:pStyle w:val="Tekst"/>
              <w:rPr>
                <w:sz w:val="22"/>
                <w:szCs w:val="22"/>
                <w:u w:val="single"/>
                <w:lang w:val="sr-Latn-ME"/>
              </w:rPr>
            </w:pPr>
            <w:r w:rsidRPr="00D01E98">
              <w:rPr>
                <w:sz w:val="22"/>
                <w:szCs w:val="22"/>
                <w:u w:val="single"/>
                <w:lang w:val="sr-Latn-ME"/>
              </w:rPr>
              <w:t>Mehanizam dejstva</w:t>
            </w:r>
          </w:p>
          <w:p w14:paraId="028C4443" w14:textId="77777777" w:rsidR="0020267D" w:rsidRPr="00D01E98" w:rsidRDefault="0020267D">
            <w:pPr>
              <w:pStyle w:val="Tekst"/>
              <w:rPr>
                <w:sz w:val="22"/>
                <w:szCs w:val="22"/>
                <w:lang w:val="sr-Latn-ME"/>
              </w:rPr>
            </w:pPr>
            <w:r w:rsidRPr="00D01E98">
              <w:rPr>
                <w:sz w:val="22"/>
                <w:szCs w:val="22"/>
                <w:lang w:val="sr-Latn-ME"/>
              </w:rPr>
              <w:t xml:space="preserve">Aksitinib je snažan i selektivan inhibitor tirozin kinaze receptora faktora rasta vaskularnih endotelnih ćelija (VEGFR)-1, VEGFR-2 i VEGFR-3. Ovi receptori učestvuju u patološkoj angiogenezi, rastu tumora i metastatskoj progresiji karcinoma. Aksitinib je pokazao da snažno inhibira proliferaciju i preživljavanje endotelnih ćelija koji su posredovani VEGF receptorima. Aksitinib inhibira fosforilaciju VEGFR-2 u ksenograftu vaskulature tumora što je pokazano </w:t>
            </w:r>
            <w:r w:rsidRPr="00D01E98">
              <w:rPr>
                <w:i/>
                <w:sz w:val="22"/>
                <w:szCs w:val="22"/>
                <w:lang w:val="sr-Latn-ME"/>
              </w:rPr>
              <w:t>in vivo</w:t>
            </w:r>
            <w:r w:rsidRPr="00D01E98">
              <w:rPr>
                <w:sz w:val="22"/>
                <w:szCs w:val="22"/>
                <w:lang w:val="sr-Latn-ME"/>
              </w:rPr>
              <w:t xml:space="preserve"> i dovodi do odlaganja rasta tumora, regresije i inhibicije metastaza u mnogim eksperimentalnim modelima karcinoma.</w:t>
            </w:r>
          </w:p>
          <w:p w14:paraId="5A2378DC" w14:textId="77777777" w:rsidR="0020267D" w:rsidRPr="00D01E98" w:rsidRDefault="0020267D">
            <w:pPr>
              <w:pStyle w:val="Tekst"/>
              <w:rPr>
                <w:sz w:val="22"/>
                <w:szCs w:val="22"/>
                <w:lang w:val="sr-Latn-ME"/>
              </w:rPr>
            </w:pPr>
          </w:p>
          <w:p w14:paraId="46970471" w14:textId="77777777" w:rsidR="00015DCE" w:rsidRPr="00D01E98" w:rsidRDefault="00015DCE">
            <w:pPr>
              <w:pStyle w:val="Tekst"/>
              <w:rPr>
                <w:sz w:val="22"/>
                <w:szCs w:val="22"/>
                <w:u w:val="single"/>
                <w:lang w:val="sr-Latn-ME"/>
              </w:rPr>
            </w:pPr>
          </w:p>
          <w:p w14:paraId="740962F7" w14:textId="77777777" w:rsidR="00015DCE" w:rsidRPr="00D01E98" w:rsidRDefault="00015DCE">
            <w:pPr>
              <w:pStyle w:val="Tekst"/>
              <w:rPr>
                <w:sz w:val="22"/>
                <w:szCs w:val="22"/>
                <w:u w:val="single"/>
                <w:lang w:val="sr-Latn-ME"/>
              </w:rPr>
            </w:pPr>
          </w:p>
          <w:p w14:paraId="1DE06472" w14:textId="4D1D31B9" w:rsidR="0020267D" w:rsidRPr="00D01E98" w:rsidRDefault="0020267D">
            <w:pPr>
              <w:pStyle w:val="Tekst"/>
              <w:rPr>
                <w:sz w:val="22"/>
                <w:szCs w:val="22"/>
                <w:u w:val="single"/>
                <w:lang w:val="sr-Latn-ME"/>
              </w:rPr>
            </w:pPr>
            <w:r w:rsidRPr="00D01E98">
              <w:rPr>
                <w:sz w:val="22"/>
                <w:szCs w:val="22"/>
                <w:u w:val="single"/>
                <w:lang w:val="sr-Latn-ME"/>
              </w:rPr>
              <w:lastRenderedPageBreak/>
              <w:t>Dejstvo na QTc interval</w:t>
            </w:r>
          </w:p>
          <w:p w14:paraId="447A2FB2" w14:textId="77777777" w:rsidR="0020267D" w:rsidRPr="00D01E98" w:rsidRDefault="0020267D">
            <w:pPr>
              <w:pStyle w:val="Tekst"/>
              <w:rPr>
                <w:sz w:val="22"/>
                <w:szCs w:val="22"/>
                <w:lang w:val="sr-Latn-ME"/>
              </w:rPr>
            </w:pPr>
            <w:r w:rsidRPr="00D01E98">
              <w:rPr>
                <w:sz w:val="22"/>
                <w:szCs w:val="22"/>
                <w:lang w:val="sr-Latn-ME"/>
              </w:rPr>
              <w:t>U randomiziranom, dvostrano unakrsnom ispitivanju, 35 zdravih ispitanika je primilo jednu oralnu dozu aksitiniba (5 mg) u odsustvu i prisustvu 400 mg ketokonazola tokom 7 dana. Rezultati ovog ispitivanja pokazali su da gotovo dvostruko veća izloženost aksitinibu u plazmi od terapijske, koja se očekuje nakon primjene doze od 5 mg, nije proizvela klinički značajano produženje QT intervala.</w:t>
            </w:r>
          </w:p>
          <w:p w14:paraId="1E84A80B" w14:textId="77777777" w:rsidR="0020267D" w:rsidRPr="00D01E98" w:rsidRDefault="0020267D">
            <w:pPr>
              <w:pStyle w:val="Tekst"/>
              <w:rPr>
                <w:sz w:val="22"/>
                <w:szCs w:val="22"/>
                <w:lang w:val="sr-Latn-ME"/>
              </w:rPr>
            </w:pPr>
          </w:p>
          <w:p w14:paraId="622F6272" w14:textId="1D6905CA" w:rsidR="0020267D" w:rsidRPr="00D01E98" w:rsidRDefault="0020267D">
            <w:pPr>
              <w:pStyle w:val="Tekst"/>
              <w:rPr>
                <w:sz w:val="22"/>
                <w:szCs w:val="22"/>
                <w:u w:val="single"/>
                <w:lang w:val="sr-Latn-ME"/>
              </w:rPr>
            </w:pPr>
            <w:r w:rsidRPr="00D01E98">
              <w:rPr>
                <w:sz w:val="22"/>
                <w:szCs w:val="22"/>
                <w:u w:val="single"/>
                <w:lang w:val="sr-Latn-ME"/>
              </w:rPr>
              <w:t>Klinička efikasnost</w:t>
            </w:r>
            <w:r w:rsidR="00CB45C5" w:rsidRPr="00D01E98">
              <w:rPr>
                <w:sz w:val="22"/>
                <w:szCs w:val="22"/>
                <w:u w:val="single"/>
                <w:lang w:val="sr-Latn-ME"/>
              </w:rPr>
              <w:t xml:space="preserve"> i bezb</w:t>
            </w:r>
            <w:r w:rsidR="00C121D7" w:rsidRPr="00D01E98">
              <w:rPr>
                <w:sz w:val="22"/>
                <w:szCs w:val="22"/>
                <w:u w:val="single"/>
                <w:lang w:val="sr-Latn-ME"/>
              </w:rPr>
              <w:t>j</w:t>
            </w:r>
            <w:r w:rsidR="00CB45C5" w:rsidRPr="00D01E98">
              <w:rPr>
                <w:sz w:val="22"/>
                <w:szCs w:val="22"/>
                <w:u w:val="single"/>
                <w:lang w:val="sr-Latn-ME"/>
              </w:rPr>
              <w:t>ednost</w:t>
            </w:r>
          </w:p>
          <w:p w14:paraId="4EE08EF2" w14:textId="4603DEC3" w:rsidR="0020267D" w:rsidRPr="00D01E98" w:rsidRDefault="0020267D" w:rsidP="00923DFD">
            <w:pPr>
              <w:autoSpaceDE w:val="0"/>
              <w:autoSpaceDN w:val="0"/>
              <w:adjustRightInd w:val="0"/>
              <w:jc w:val="both"/>
              <w:rPr>
                <w:sz w:val="22"/>
                <w:szCs w:val="22"/>
              </w:rPr>
            </w:pPr>
            <w:r w:rsidRPr="00D01E98">
              <w:rPr>
                <w:sz w:val="22"/>
                <w:szCs w:val="22"/>
              </w:rPr>
              <w:t>Bezbjednost i efikasnost aksitiniba su ispitane u randomiziranoj, otvorenoj, multicentričnoj studiji faze 3. Pacijenti (N=723) sa uznapredovalim RCC, čija je bolest napredovala tokom ili poslije liječenja sa jednom prethodnom sistemskom terapijom uključujući režime koji sadrže sunitinib, bevacizumab, temsirolimus ili citokin, su randomizirani (1:1) da primaju aksitinib (</w:t>
            </w:r>
            <w:r w:rsidR="00FA0400" w:rsidRPr="00D01E98">
              <w:rPr>
                <w:sz w:val="22"/>
                <w:szCs w:val="22"/>
              </w:rPr>
              <w:t>N</w:t>
            </w:r>
            <w:r w:rsidRPr="00D01E98">
              <w:rPr>
                <w:sz w:val="22"/>
                <w:szCs w:val="22"/>
              </w:rPr>
              <w:t>=361) ili sorafenib (</w:t>
            </w:r>
            <w:r w:rsidR="00FA0400" w:rsidRPr="00D01E98">
              <w:rPr>
                <w:sz w:val="22"/>
                <w:szCs w:val="22"/>
              </w:rPr>
              <w:t>N</w:t>
            </w:r>
            <w:r w:rsidRPr="00D01E98">
              <w:rPr>
                <w:sz w:val="22"/>
                <w:szCs w:val="22"/>
              </w:rPr>
              <w:t>=362). Primarni ishod, preživljavanje bez progresije bolesti (PFS -</w:t>
            </w:r>
            <w:r w:rsidRPr="00D01E98">
              <w:rPr>
                <w:i/>
                <w:iCs/>
                <w:sz w:val="22"/>
                <w:szCs w:val="22"/>
              </w:rPr>
              <w:t xml:space="preserve"> Progression free survival</w:t>
            </w:r>
            <w:r w:rsidRPr="00D01E98">
              <w:rPr>
                <w:sz w:val="22"/>
                <w:szCs w:val="22"/>
              </w:rPr>
              <w:t xml:space="preserve">), ocijenjen je pomoću slijepog nezavisnog centralnog pregleda. Sekundarni ishodi obuhvatali su stopu objektivnog odgovora (ORR - </w:t>
            </w:r>
            <w:r w:rsidRPr="00D01E98">
              <w:rPr>
                <w:i/>
                <w:iCs/>
                <w:sz w:val="22"/>
                <w:szCs w:val="22"/>
              </w:rPr>
              <w:t>Objective response rate</w:t>
            </w:r>
            <w:r w:rsidRPr="00D01E98">
              <w:rPr>
                <w:sz w:val="22"/>
                <w:szCs w:val="22"/>
              </w:rPr>
              <w:t xml:space="preserve">) i ukupno preživljavanje (OS - </w:t>
            </w:r>
            <w:r w:rsidRPr="00D01E98">
              <w:rPr>
                <w:i/>
                <w:iCs/>
                <w:sz w:val="22"/>
                <w:szCs w:val="22"/>
              </w:rPr>
              <w:t>Overall survival</w:t>
            </w:r>
            <w:r w:rsidRPr="00D01E98">
              <w:rPr>
                <w:sz w:val="22"/>
                <w:szCs w:val="22"/>
              </w:rPr>
              <w:t>).</w:t>
            </w:r>
          </w:p>
          <w:p w14:paraId="17D8CA76" w14:textId="77777777" w:rsidR="0020267D" w:rsidRPr="00D01E98" w:rsidRDefault="0020267D">
            <w:pPr>
              <w:pStyle w:val="Tekst"/>
              <w:rPr>
                <w:sz w:val="22"/>
                <w:szCs w:val="22"/>
                <w:lang w:val="sr-Latn-ME"/>
              </w:rPr>
            </w:pPr>
          </w:p>
          <w:p w14:paraId="72DBBD99" w14:textId="77777777" w:rsidR="0020267D" w:rsidRPr="00D01E98" w:rsidRDefault="0020267D">
            <w:pPr>
              <w:pStyle w:val="Tekst"/>
              <w:rPr>
                <w:sz w:val="22"/>
                <w:szCs w:val="22"/>
                <w:lang w:val="sr-Latn-ME"/>
              </w:rPr>
            </w:pPr>
            <w:r w:rsidRPr="00D01E98">
              <w:rPr>
                <w:sz w:val="22"/>
                <w:szCs w:val="22"/>
                <w:lang w:val="sr-Latn-ME"/>
              </w:rPr>
              <w:t xml:space="preserve">Od pacijenta uključenih u ovo ispitivanje, 389 pacijenata (53,8%) je primilo jednu prethodnu terapiju sunitinibom, 251 pacijenata (34,7%) je primilo jednu prethodnu terapiju citokinom (interleukin-2 ili interferon-alfa), 59 pacijenata (8,2%) je primilo jednu prethodnu terapiju bevacizumabom, a 24 pacijenata (3,3%) je primilo jednu prethodnu terapiju temsirolimusom. Osnovne demografske karakteristike i karakteristike bolesti su bile slične između aksitinib i sorafenib grupe u pogledu starosti, pola, rase, ECOG performans statusa (ECOG - </w:t>
            </w:r>
            <w:r w:rsidRPr="00D01E98">
              <w:rPr>
                <w:i/>
                <w:sz w:val="22"/>
                <w:szCs w:val="22"/>
                <w:lang w:val="sr-Latn-ME"/>
              </w:rPr>
              <w:t>Eastern Cooperative Oncology Group</w:t>
            </w:r>
            <w:r w:rsidRPr="00D01E98">
              <w:rPr>
                <w:sz w:val="22"/>
                <w:szCs w:val="22"/>
                <w:lang w:val="sr-Latn-ME"/>
              </w:rPr>
              <w:t xml:space="preserve"> - Istočna kooperativna onkološka grupa), geografskog regiona i prethodne terapije.</w:t>
            </w:r>
          </w:p>
          <w:p w14:paraId="73058147" w14:textId="77777777" w:rsidR="0020267D" w:rsidRPr="00D01E98" w:rsidRDefault="0020267D">
            <w:pPr>
              <w:pStyle w:val="Tekst"/>
              <w:rPr>
                <w:sz w:val="22"/>
                <w:szCs w:val="22"/>
                <w:lang w:val="sr-Latn-ME"/>
              </w:rPr>
            </w:pPr>
          </w:p>
          <w:p w14:paraId="353D73CF" w14:textId="77777777" w:rsidR="0020267D" w:rsidRPr="00D01E98" w:rsidRDefault="0020267D">
            <w:pPr>
              <w:pStyle w:val="Tekst"/>
              <w:rPr>
                <w:sz w:val="22"/>
                <w:szCs w:val="22"/>
                <w:lang w:val="sr-Latn-ME"/>
              </w:rPr>
            </w:pPr>
            <w:r w:rsidRPr="00D01E98">
              <w:rPr>
                <w:sz w:val="22"/>
                <w:szCs w:val="22"/>
                <w:lang w:val="sr-Latn-ME"/>
              </w:rPr>
              <w:t>U ukupnoj populaciji pacijenata i dvije glavne podgrupe (prethodna terapija sunitinibom i prethodna terapija citokinom), postojala je statistički značajna prednost aksitiniba nad sorafenibom u primarnom ishodu, preživljavanju bez progresije bolesti (PFS) (vidjeti Tabelu 2 i Slike 1, 2 i 3). Srednja vrijednost PFS efekta razlikovala se među podgrupama prema prethodnoj terapiji. Dvije podgrupe bile su suviše male da daju pouzdane rezultate (prethodna terapija temsirolimusom ili prethodna terapija bevacizumabom). Nije bilo statistički značajnih razlika između grupa u OS u ukupnoj populaciji ili u podgrupama prema prethodnoj terapiji.</w:t>
            </w:r>
          </w:p>
          <w:p w14:paraId="11909F26" w14:textId="77777777" w:rsidR="0020267D" w:rsidRPr="00D01E98" w:rsidRDefault="0020267D">
            <w:pPr>
              <w:pStyle w:val="Tekst"/>
              <w:rPr>
                <w:sz w:val="22"/>
                <w:szCs w:val="22"/>
                <w:lang w:val="sr-Latn-ME"/>
              </w:rPr>
            </w:pPr>
          </w:p>
          <w:p w14:paraId="74362B33" w14:textId="77777777" w:rsidR="0020267D" w:rsidRPr="00D01E98" w:rsidRDefault="0020267D">
            <w:pPr>
              <w:pStyle w:val="Tekst"/>
              <w:rPr>
                <w:b/>
                <w:sz w:val="22"/>
                <w:szCs w:val="22"/>
                <w:lang w:val="sr-Latn-ME"/>
              </w:rPr>
            </w:pPr>
            <w:r w:rsidRPr="00D01E98">
              <w:rPr>
                <w:b/>
                <w:sz w:val="22"/>
                <w:szCs w:val="22"/>
                <w:lang w:val="sr-Latn-ME"/>
              </w:rPr>
              <w:t>Tabela 2. Rezultati efikasnosti</w:t>
            </w:r>
          </w:p>
          <w:p w14:paraId="5D243EC8" w14:textId="77777777" w:rsidR="0020267D" w:rsidRPr="00D01E98" w:rsidRDefault="0020267D">
            <w:pPr>
              <w:pStyle w:val="Tekst"/>
              <w:rPr>
                <w:b/>
                <w:sz w:val="22"/>
                <w:szCs w:val="22"/>
                <w:lang w:val="sr-Latn-M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6"/>
              <w:gridCol w:w="1840"/>
              <w:gridCol w:w="1842"/>
              <w:gridCol w:w="2003"/>
              <w:gridCol w:w="1668"/>
            </w:tblGrid>
            <w:tr w:rsidR="0020267D" w:rsidRPr="00D01E98" w14:paraId="6ADFB842" w14:textId="77777777" w:rsidTr="000C0EC1">
              <w:tc>
                <w:tcPr>
                  <w:tcW w:w="1936" w:type="dxa"/>
                </w:tcPr>
                <w:p w14:paraId="52897737" w14:textId="77777777" w:rsidR="0020267D" w:rsidRPr="00D01E98" w:rsidRDefault="0020267D" w:rsidP="00923DFD">
                  <w:pPr>
                    <w:pStyle w:val="Tekst"/>
                    <w:rPr>
                      <w:b/>
                      <w:sz w:val="22"/>
                      <w:szCs w:val="22"/>
                      <w:lang w:val="sr-Latn-ME"/>
                    </w:rPr>
                  </w:pPr>
                  <w:r w:rsidRPr="00D01E98">
                    <w:rPr>
                      <w:b/>
                      <w:sz w:val="22"/>
                      <w:szCs w:val="22"/>
                      <w:lang w:val="sr-Latn-ME"/>
                    </w:rPr>
                    <w:t>Ishod/Populacija ispitivanja</w:t>
                  </w:r>
                </w:p>
              </w:tc>
              <w:tc>
                <w:tcPr>
                  <w:tcW w:w="1840" w:type="dxa"/>
                </w:tcPr>
                <w:p w14:paraId="7EAF5CC8" w14:textId="1028B6A2" w:rsidR="0020267D" w:rsidRPr="00D01E98" w:rsidRDefault="00CB45C5" w:rsidP="00923DFD">
                  <w:pPr>
                    <w:pStyle w:val="Tekst"/>
                    <w:rPr>
                      <w:b/>
                      <w:sz w:val="22"/>
                      <w:szCs w:val="22"/>
                      <w:lang w:val="sr-Latn-ME"/>
                    </w:rPr>
                  </w:pPr>
                  <w:r w:rsidRPr="00D01E98">
                    <w:rPr>
                      <w:b/>
                      <w:sz w:val="22"/>
                      <w:szCs w:val="22"/>
                      <w:lang w:val="sr-Latn-ME"/>
                    </w:rPr>
                    <w:t>aksitinib</w:t>
                  </w:r>
                </w:p>
              </w:tc>
              <w:tc>
                <w:tcPr>
                  <w:tcW w:w="1842" w:type="dxa"/>
                </w:tcPr>
                <w:p w14:paraId="288762C3" w14:textId="04F321B3" w:rsidR="0020267D" w:rsidRPr="00D01E98" w:rsidRDefault="00CB45C5" w:rsidP="00923DFD">
                  <w:pPr>
                    <w:pStyle w:val="Tekst"/>
                    <w:rPr>
                      <w:b/>
                      <w:sz w:val="22"/>
                      <w:szCs w:val="22"/>
                      <w:lang w:val="sr-Latn-ME"/>
                    </w:rPr>
                  </w:pPr>
                  <w:r w:rsidRPr="00D01E98">
                    <w:rPr>
                      <w:b/>
                      <w:sz w:val="22"/>
                      <w:szCs w:val="22"/>
                      <w:lang w:val="sr-Latn-ME"/>
                    </w:rPr>
                    <w:t>sorafenib</w:t>
                  </w:r>
                </w:p>
              </w:tc>
              <w:tc>
                <w:tcPr>
                  <w:tcW w:w="2003" w:type="dxa"/>
                </w:tcPr>
                <w:p w14:paraId="6CE4A14A" w14:textId="77777777" w:rsidR="0020267D" w:rsidRPr="00D01E98" w:rsidRDefault="0020267D" w:rsidP="00923DFD">
                  <w:pPr>
                    <w:pStyle w:val="Tekst"/>
                    <w:rPr>
                      <w:b/>
                      <w:sz w:val="22"/>
                      <w:szCs w:val="22"/>
                      <w:lang w:val="sr-Latn-ME"/>
                    </w:rPr>
                  </w:pPr>
                  <w:r w:rsidRPr="00D01E98">
                    <w:rPr>
                      <w:b/>
                      <w:sz w:val="22"/>
                      <w:szCs w:val="22"/>
                      <w:lang w:val="sr-Latn-ME"/>
                    </w:rPr>
                    <w:t>HR (95% CI)</w:t>
                  </w:r>
                </w:p>
              </w:tc>
              <w:tc>
                <w:tcPr>
                  <w:tcW w:w="1668" w:type="dxa"/>
                </w:tcPr>
                <w:p w14:paraId="1A0C748B" w14:textId="77777777" w:rsidR="0020267D" w:rsidRPr="00D01E98" w:rsidRDefault="0020267D" w:rsidP="00923DFD">
                  <w:pPr>
                    <w:pStyle w:val="Tekst"/>
                    <w:rPr>
                      <w:b/>
                      <w:sz w:val="22"/>
                      <w:szCs w:val="22"/>
                      <w:lang w:val="sr-Latn-ME"/>
                    </w:rPr>
                  </w:pPr>
                  <w:r w:rsidRPr="00D01E98">
                    <w:rPr>
                      <w:b/>
                      <w:sz w:val="22"/>
                      <w:szCs w:val="22"/>
                      <w:lang w:val="sr-Latn-ME"/>
                    </w:rPr>
                    <w:t>p-vrijednost</w:t>
                  </w:r>
                </w:p>
              </w:tc>
            </w:tr>
            <w:tr w:rsidR="0020267D" w:rsidRPr="00D01E98" w14:paraId="024EEBA3" w14:textId="77777777" w:rsidTr="000C0EC1">
              <w:tc>
                <w:tcPr>
                  <w:tcW w:w="1936" w:type="dxa"/>
                </w:tcPr>
                <w:p w14:paraId="23ACABEC" w14:textId="77777777" w:rsidR="0020267D" w:rsidRPr="00D01E98" w:rsidRDefault="0020267D" w:rsidP="00923DFD">
                  <w:pPr>
                    <w:pStyle w:val="Tekst"/>
                    <w:rPr>
                      <w:b/>
                      <w:sz w:val="22"/>
                      <w:szCs w:val="22"/>
                      <w:lang w:val="sr-Latn-ME"/>
                    </w:rPr>
                  </w:pPr>
                  <w:r w:rsidRPr="00D01E98">
                    <w:rPr>
                      <w:b/>
                      <w:sz w:val="22"/>
                      <w:szCs w:val="22"/>
                      <w:lang w:val="sr-Latn-ME"/>
                    </w:rPr>
                    <w:t>Sveukupni ITT</w:t>
                  </w:r>
                </w:p>
              </w:tc>
              <w:tc>
                <w:tcPr>
                  <w:tcW w:w="1840" w:type="dxa"/>
                </w:tcPr>
                <w:p w14:paraId="324C3E99" w14:textId="77777777" w:rsidR="0020267D" w:rsidRPr="00D01E98" w:rsidRDefault="0020267D" w:rsidP="00923DFD">
                  <w:pPr>
                    <w:pStyle w:val="Tekst"/>
                    <w:rPr>
                      <w:b/>
                      <w:sz w:val="22"/>
                      <w:szCs w:val="22"/>
                      <w:lang w:val="sr-Latn-ME"/>
                    </w:rPr>
                  </w:pPr>
                  <w:r w:rsidRPr="00D01E98">
                    <w:rPr>
                      <w:b/>
                      <w:sz w:val="22"/>
                      <w:szCs w:val="22"/>
                      <w:lang w:val="sr-Latn-ME"/>
                    </w:rPr>
                    <w:t>N=361</w:t>
                  </w:r>
                </w:p>
              </w:tc>
              <w:tc>
                <w:tcPr>
                  <w:tcW w:w="1842" w:type="dxa"/>
                </w:tcPr>
                <w:p w14:paraId="320A4076" w14:textId="77777777" w:rsidR="0020267D" w:rsidRPr="00D01E98" w:rsidRDefault="0020267D" w:rsidP="00923DFD">
                  <w:pPr>
                    <w:pStyle w:val="Tekst"/>
                    <w:rPr>
                      <w:b/>
                      <w:sz w:val="22"/>
                      <w:szCs w:val="22"/>
                      <w:lang w:val="sr-Latn-ME"/>
                    </w:rPr>
                  </w:pPr>
                  <w:r w:rsidRPr="00D01E98">
                    <w:rPr>
                      <w:b/>
                      <w:sz w:val="22"/>
                      <w:szCs w:val="22"/>
                      <w:lang w:val="sr-Latn-ME"/>
                    </w:rPr>
                    <w:t>N=362</w:t>
                  </w:r>
                </w:p>
              </w:tc>
              <w:tc>
                <w:tcPr>
                  <w:tcW w:w="2003" w:type="dxa"/>
                </w:tcPr>
                <w:p w14:paraId="4E57B047" w14:textId="77777777" w:rsidR="0020267D" w:rsidRPr="00D01E98" w:rsidRDefault="0020267D" w:rsidP="00923DFD">
                  <w:pPr>
                    <w:pStyle w:val="Tekst"/>
                    <w:rPr>
                      <w:b/>
                      <w:sz w:val="22"/>
                      <w:szCs w:val="22"/>
                      <w:lang w:val="sr-Latn-ME"/>
                    </w:rPr>
                  </w:pPr>
                </w:p>
              </w:tc>
              <w:tc>
                <w:tcPr>
                  <w:tcW w:w="1668" w:type="dxa"/>
                </w:tcPr>
                <w:p w14:paraId="15128397" w14:textId="77777777" w:rsidR="0020267D" w:rsidRPr="00D01E98" w:rsidRDefault="0020267D" w:rsidP="00923DFD">
                  <w:pPr>
                    <w:pStyle w:val="Tekst"/>
                    <w:rPr>
                      <w:b/>
                      <w:sz w:val="22"/>
                      <w:szCs w:val="22"/>
                      <w:lang w:val="sr-Latn-ME"/>
                    </w:rPr>
                  </w:pPr>
                </w:p>
              </w:tc>
            </w:tr>
            <w:tr w:rsidR="0020267D" w:rsidRPr="00D01E98" w14:paraId="4BAC9039" w14:textId="77777777" w:rsidTr="000C0EC1">
              <w:tc>
                <w:tcPr>
                  <w:tcW w:w="1936" w:type="dxa"/>
                </w:tcPr>
                <w:p w14:paraId="28B26D09" w14:textId="77777777" w:rsidR="0020267D" w:rsidRPr="00D01E98" w:rsidRDefault="0020267D" w:rsidP="00923DFD">
                  <w:pPr>
                    <w:pStyle w:val="Tekst"/>
                    <w:rPr>
                      <w:sz w:val="22"/>
                      <w:szCs w:val="22"/>
                      <w:lang w:val="sr-Latn-ME"/>
                    </w:rPr>
                  </w:pPr>
                  <w:r w:rsidRPr="00D01E98">
                    <w:rPr>
                      <w:sz w:val="22"/>
                      <w:szCs w:val="22"/>
                      <w:lang w:val="sr-Latn-ME"/>
                    </w:rPr>
                    <w:t>Medijana PFS</w:t>
                  </w:r>
                  <w:r w:rsidRPr="00D01E98">
                    <w:rPr>
                      <w:sz w:val="22"/>
                      <w:szCs w:val="22"/>
                      <w:vertAlign w:val="superscript"/>
                      <w:lang w:val="sr-Latn-ME"/>
                    </w:rPr>
                    <w:t xml:space="preserve">a, b </w:t>
                  </w:r>
                  <w:r w:rsidRPr="00D01E98">
                    <w:rPr>
                      <w:sz w:val="22"/>
                      <w:szCs w:val="22"/>
                      <w:lang w:val="sr-Latn-ME"/>
                    </w:rPr>
                    <w:t>u mjesecima</w:t>
                  </w:r>
                </w:p>
                <w:p w14:paraId="600DBB2D"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09D29414" w14:textId="77777777" w:rsidR="0020267D" w:rsidRPr="00D01E98" w:rsidRDefault="0020267D" w:rsidP="00923DFD">
                  <w:pPr>
                    <w:pStyle w:val="Tekst"/>
                    <w:rPr>
                      <w:sz w:val="22"/>
                      <w:szCs w:val="22"/>
                      <w:lang w:val="sr-Latn-ME"/>
                    </w:rPr>
                  </w:pPr>
                  <w:r w:rsidRPr="00D01E98">
                    <w:rPr>
                      <w:sz w:val="22"/>
                      <w:szCs w:val="22"/>
                      <w:lang w:val="sr-Latn-ME"/>
                    </w:rPr>
                    <w:t>6,8 (6,4; 8,3)</w:t>
                  </w:r>
                </w:p>
              </w:tc>
              <w:tc>
                <w:tcPr>
                  <w:tcW w:w="1842" w:type="dxa"/>
                </w:tcPr>
                <w:p w14:paraId="6E8777DD" w14:textId="77777777" w:rsidR="0020267D" w:rsidRPr="00D01E98" w:rsidRDefault="0020267D" w:rsidP="00923DFD">
                  <w:pPr>
                    <w:pStyle w:val="Tekst"/>
                    <w:rPr>
                      <w:sz w:val="22"/>
                      <w:szCs w:val="22"/>
                      <w:lang w:val="sr-Latn-ME"/>
                    </w:rPr>
                  </w:pPr>
                  <w:r w:rsidRPr="00D01E98">
                    <w:rPr>
                      <w:sz w:val="22"/>
                      <w:szCs w:val="22"/>
                      <w:lang w:val="sr-Latn-ME"/>
                    </w:rPr>
                    <w:t>4,7 (4,6; 6,3)</w:t>
                  </w:r>
                </w:p>
              </w:tc>
              <w:tc>
                <w:tcPr>
                  <w:tcW w:w="2003" w:type="dxa"/>
                </w:tcPr>
                <w:p w14:paraId="5E0E46C1" w14:textId="77777777" w:rsidR="0020267D" w:rsidRPr="00D01E98" w:rsidRDefault="0020267D" w:rsidP="00923DFD">
                  <w:pPr>
                    <w:pStyle w:val="Tekst"/>
                    <w:rPr>
                      <w:sz w:val="22"/>
                      <w:szCs w:val="22"/>
                      <w:lang w:val="sr-Latn-ME"/>
                    </w:rPr>
                  </w:pPr>
                  <w:r w:rsidRPr="00D01E98">
                    <w:rPr>
                      <w:sz w:val="22"/>
                      <w:szCs w:val="22"/>
                      <w:lang w:val="sr-Latn-ME"/>
                    </w:rPr>
                    <w:t>0,67 (0,56; 0,81)</w:t>
                  </w:r>
                </w:p>
              </w:tc>
              <w:tc>
                <w:tcPr>
                  <w:tcW w:w="1668" w:type="dxa"/>
                </w:tcPr>
                <w:p w14:paraId="64BD427D" w14:textId="77777777" w:rsidR="0020267D" w:rsidRPr="00D01E98" w:rsidRDefault="0020267D" w:rsidP="00923DFD">
                  <w:pPr>
                    <w:pStyle w:val="Tekst"/>
                    <w:rPr>
                      <w:sz w:val="22"/>
                      <w:szCs w:val="22"/>
                      <w:lang w:val="sr-Latn-ME"/>
                    </w:rPr>
                  </w:pPr>
                  <w:r w:rsidRPr="00D01E98">
                    <w:rPr>
                      <w:sz w:val="22"/>
                      <w:szCs w:val="22"/>
                      <w:lang w:val="sr-Latn-ME"/>
                    </w:rPr>
                    <w:t>&lt; 0,0001</w:t>
                  </w:r>
                  <w:r w:rsidRPr="00D01E98">
                    <w:rPr>
                      <w:sz w:val="22"/>
                      <w:szCs w:val="22"/>
                      <w:vertAlign w:val="superscript"/>
                      <w:lang w:val="sr-Latn-ME"/>
                    </w:rPr>
                    <w:t>c</w:t>
                  </w:r>
                </w:p>
              </w:tc>
            </w:tr>
            <w:tr w:rsidR="0020267D" w:rsidRPr="00D01E98" w14:paraId="7F1875CD" w14:textId="77777777" w:rsidTr="000C0EC1">
              <w:tc>
                <w:tcPr>
                  <w:tcW w:w="1936" w:type="dxa"/>
                </w:tcPr>
                <w:p w14:paraId="3625BA3E" w14:textId="77777777" w:rsidR="0020267D" w:rsidRPr="00D01E98" w:rsidRDefault="0020267D" w:rsidP="00923DFD">
                  <w:pPr>
                    <w:pStyle w:val="Tekst"/>
                    <w:rPr>
                      <w:sz w:val="22"/>
                      <w:szCs w:val="22"/>
                      <w:lang w:val="sr-Latn-ME"/>
                    </w:rPr>
                  </w:pPr>
                  <w:r w:rsidRPr="00D01E98">
                    <w:rPr>
                      <w:sz w:val="22"/>
                      <w:szCs w:val="22"/>
                      <w:lang w:val="sr-Latn-ME"/>
                    </w:rPr>
                    <w:t>Medijana OS</w:t>
                  </w:r>
                  <w:r w:rsidRPr="00D01E98">
                    <w:rPr>
                      <w:sz w:val="22"/>
                      <w:szCs w:val="22"/>
                      <w:vertAlign w:val="superscript"/>
                      <w:lang w:val="sr-Latn-ME"/>
                    </w:rPr>
                    <w:t>d</w:t>
                  </w:r>
                  <w:r w:rsidRPr="00D01E98">
                    <w:rPr>
                      <w:sz w:val="22"/>
                      <w:szCs w:val="22"/>
                      <w:lang w:val="sr-Latn-ME"/>
                    </w:rPr>
                    <w:t xml:space="preserve"> u mjesecima</w:t>
                  </w:r>
                </w:p>
                <w:p w14:paraId="6066A6B3"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5D161A7C" w14:textId="77777777" w:rsidR="0020267D" w:rsidRPr="00D01E98" w:rsidRDefault="0020267D" w:rsidP="00923DFD">
                  <w:pPr>
                    <w:pStyle w:val="Tekst"/>
                    <w:rPr>
                      <w:sz w:val="22"/>
                      <w:szCs w:val="22"/>
                      <w:lang w:val="sr-Latn-ME"/>
                    </w:rPr>
                  </w:pPr>
                  <w:r w:rsidRPr="00D01E98">
                    <w:rPr>
                      <w:sz w:val="22"/>
                      <w:szCs w:val="22"/>
                      <w:lang w:val="sr-Latn-ME"/>
                    </w:rPr>
                    <w:t>20,1 (16,7; 23,4)</w:t>
                  </w:r>
                </w:p>
              </w:tc>
              <w:tc>
                <w:tcPr>
                  <w:tcW w:w="1842" w:type="dxa"/>
                </w:tcPr>
                <w:p w14:paraId="3402F1BF" w14:textId="77777777" w:rsidR="0020267D" w:rsidRPr="00D01E98" w:rsidRDefault="0020267D" w:rsidP="00923DFD">
                  <w:pPr>
                    <w:pStyle w:val="Tekst"/>
                    <w:rPr>
                      <w:sz w:val="22"/>
                      <w:szCs w:val="22"/>
                      <w:lang w:val="sr-Latn-ME"/>
                    </w:rPr>
                  </w:pPr>
                  <w:r w:rsidRPr="00D01E98">
                    <w:rPr>
                      <w:sz w:val="22"/>
                      <w:szCs w:val="22"/>
                      <w:lang w:val="sr-Latn-ME"/>
                    </w:rPr>
                    <w:t>19,2 (17,5; 22,3)</w:t>
                  </w:r>
                </w:p>
              </w:tc>
              <w:tc>
                <w:tcPr>
                  <w:tcW w:w="2003" w:type="dxa"/>
                </w:tcPr>
                <w:p w14:paraId="7000F909" w14:textId="77777777" w:rsidR="0020267D" w:rsidRPr="00D01E98" w:rsidRDefault="0020267D" w:rsidP="00923DFD">
                  <w:pPr>
                    <w:pStyle w:val="Tekst"/>
                    <w:rPr>
                      <w:sz w:val="22"/>
                      <w:szCs w:val="22"/>
                      <w:lang w:val="sr-Latn-ME"/>
                    </w:rPr>
                  </w:pPr>
                  <w:r w:rsidRPr="00D01E98">
                    <w:rPr>
                      <w:sz w:val="22"/>
                      <w:szCs w:val="22"/>
                      <w:lang w:val="sr-Latn-ME"/>
                    </w:rPr>
                    <w:t>0,97 (0,80; 1,17)</w:t>
                  </w:r>
                </w:p>
              </w:tc>
              <w:tc>
                <w:tcPr>
                  <w:tcW w:w="1668" w:type="dxa"/>
                </w:tcPr>
                <w:p w14:paraId="705EC780" w14:textId="77777777" w:rsidR="0020267D" w:rsidRPr="00D01E98" w:rsidRDefault="0020267D" w:rsidP="00923DFD">
                  <w:pPr>
                    <w:pStyle w:val="Tekst"/>
                    <w:rPr>
                      <w:sz w:val="22"/>
                      <w:szCs w:val="22"/>
                      <w:lang w:val="sr-Latn-ME"/>
                    </w:rPr>
                  </w:pPr>
                  <w:r w:rsidRPr="00D01E98">
                    <w:rPr>
                      <w:sz w:val="22"/>
                      <w:szCs w:val="22"/>
                      <w:lang w:val="sr-Latn-ME"/>
                    </w:rPr>
                    <w:t>NS</w:t>
                  </w:r>
                </w:p>
              </w:tc>
            </w:tr>
            <w:tr w:rsidR="0020267D" w:rsidRPr="00D01E98" w14:paraId="7513021E" w14:textId="77777777" w:rsidTr="000C0EC1">
              <w:tc>
                <w:tcPr>
                  <w:tcW w:w="1936" w:type="dxa"/>
                </w:tcPr>
                <w:p w14:paraId="686C46DC" w14:textId="77777777" w:rsidR="0020267D" w:rsidRPr="00D01E98" w:rsidRDefault="0020267D" w:rsidP="00923DFD">
                  <w:pPr>
                    <w:pStyle w:val="Tekst"/>
                    <w:rPr>
                      <w:sz w:val="22"/>
                      <w:szCs w:val="22"/>
                      <w:vertAlign w:val="superscript"/>
                      <w:lang w:val="sr-Latn-ME"/>
                    </w:rPr>
                  </w:pPr>
                  <w:r w:rsidRPr="00D01E98">
                    <w:rPr>
                      <w:sz w:val="22"/>
                      <w:szCs w:val="22"/>
                      <w:lang w:val="sr-Latn-ME"/>
                    </w:rPr>
                    <w:t>ORR</w:t>
                  </w:r>
                  <w:r w:rsidRPr="00D01E98">
                    <w:rPr>
                      <w:sz w:val="22"/>
                      <w:szCs w:val="22"/>
                      <w:vertAlign w:val="superscript"/>
                      <w:lang w:val="sr-Latn-ME"/>
                    </w:rPr>
                    <w:t xml:space="preserve">b, e % </w:t>
                  </w:r>
                </w:p>
                <w:p w14:paraId="1CE75CD6"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72E13B55" w14:textId="77777777" w:rsidR="0020267D" w:rsidRPr="00D01E98" w:rsidRDefault="0020267D" w:rsidP="00923DFD">
                  <w:pPr>
                    <w:pStyle w:val="Tekst"/>
                    <w:rPr>
                      <w:sz w:val="22"/>
                      <w:szCs w:val="22"/>
                      <w:lang w:val="sr-Latn-ME"/>
                    </w:rPr>
                  </w:pPr>
                  <w:r w:rsidRPr="00D01E98">
                    <w:rPr>
                      <w:sz w:val="22"/>
                      <w:szCs w:val="22"/>
                      <w:lang w:val="sr-Latn-ME"/>
                    </w:rPr>
                    <w:t>19,4 (15,4; 23,9)</w:t>
                  </w:r>
                </w:p>
              </w:tc>
              <w:tc>
                <w:tcPr>
                  <w:tcW w:w="1842" w:type="dxa"/>
                </w:tcPr>
                <w:p w14:paraId="45AE118E" w14:textId="77777777" w:rsidR="0020267D" w:rsidRPr="00D01E98" w:rsidRDefault="0020267D" w:rsidP="00923DFD">
                  <w:pPr>
                    <w:pStyle w:val="Tekst"/>
                    <w:rPr>
                      <w:sz w:val="22"/>
                      <w:szCs w:val="22"/>
                      <w:lang w:val="sr-Latn-ME"/>
                    </w:rPr>
                  </w:pPr>
                  <w:r w:rsidRPr="00D01E98">
                    <w:rPr>
                      <w:sz w:val="22"/>
                      <w:szCs w:val="22"/>
                      <w:lang w:val="sr-Latn-ME"/>
                    </w:rPr>
                    <w:t>9,4 (6,6; 12,9)</w:t>
                  </w:r>
                </w:p>
              </w:tc>
              <w:tc>
                <w:tcPr>
                  <w:tcW w:w="2003" w:type="dxa"/>
                </w:tcPr>
                <w:p w14:paraId="41E46128" w14:textId="77777777" w:rsidR="0020267D" w:rsidRPr="00D01E98" w:rsidRDefault="0020267D" w:rsidP="00923DFD">
                  <w:pPr>
                    <w:pStyle w:val="Tekst"/>
                    <w:rPr>
                      <w:sz w:val="22"/>
                      <w:szCs w:val="22"/>
                      <w:lang w:val="sr-Latn-ME"/>
                    </w:rPr>
                  </w:pPr>
                  <w:r w:rsidRPr="00D01E98">
                    <w:rPr>
                      <w:sz w:val="22"/>
                      <w:szCs w:val="22"/>
                      <w:lang w:val="sr-Latn-ME"/>
                    </w:rPr>
                    <w:t>2,06</w:t>
                  </w:r>
                  <w:r w:rsidRPr="00D01E98">
                    <w:rPr>
                      <w:sz w:val="22"/>
                      <w:szCs w:val="22"/>
                      <w:vertAlign w:val="superscript"/>
                      <w:lang w:val="sr-Latn-ME"/>
                    </w:rPr>
                    <w:t>f</w:t>
                  </w:r>
                  <w:r w:rsidRPr="00D01E98">
                    <w:rPr>
                      <w:sz w:val="22"/>
                      <w:szCs w:val="22"/>
                      <w:lang w:val="sr-Latn-ME"/>
                    </w:rPr>
                    <w:t xml:space="preserve"> (1,41; 3,00)</w:t>
                  </w:r>
                </w:p>
              </w:tc>
              <w:tc>
                <w:tcPr>
                  <w:tcW w:w="1668" w:type="dxa"/>
                </w:tcPr>
                <w:p w14:paraId="71701CEF" w14:textId="77777777" w:rsidR="0020267D" w:rsidRPr="00D01E98" w:rsidRDefault="0020267D" w:rsidP="00923DFD">
                  <w:pPr>
                    <w:pStyle w:val="Tekst"/>
                    <w:rPr>
                      <w:sz w:val="22"/>
                      <w:szCs w:val="22"/>
                      <w:lang w:val="sr-Latn-ME"/>
                    </w:rPr>
                  </w:pPr>
                  <w:r w:rsidRPr="00D01E98">
                    <w:rPr>
                      <w:sz w:val="22"/>
                      <w:szCs w:val="22"/>
                      <w:lang w:val="sr-Latn-ME"/>
                    </w:rPr>
                    <w:t>0,0001</w:t>
                  </w:r>
                  <w:r w:rsidRPr="00D01E98">
                    <w:rPr>
                      <w:sz w:val="22"/>
                      <w:szCs w:val="22"/>
                      <w:vertAlign w:val="superscript"/>
                      <w:lang w:val="sr-Latn-ME"/>
                    </w:rPr>
                    <w:t>g</w:t>
                  </w:r>
                </w:p>
              </w:tc>
            </w:tr>
            <w:tr w:rsidR="0020267D" w:rsidRPr="00D01E98" w14:paraId="72C15F6E" w14:textId="77777777" w:rsidTr="000C0EC1">
              <w:tc>
                <w:tcPr>
                  <w:tcW w:w="1936" w:type="dxa"/>
                </w:tcPr>
                <w:p w14:paraId="75453E7E" w14:textId="77777777" w:rsidR="0020267D" w:rsidRPr="00D01E98" w:rsidRDefault="0020267D" w:rsidP="00923DFD">
                  <w:pPr>
                    <w:pStyle w:val="Tekst"/>
                    <w:rPr>
                      <w:b/>
                      <w:sz w:val="22"/>
                      <w:szCs w:val="22"/>
                      <w:lang w:val="sr-Latn-ME"/>
                    </w:rPr>
                  </w:pPr>
                  <w:r w:rsidRPr="00D01E98">
                    <w:rPr>
                      <w:b/>
                      <w:sz w:val="22"/>
                      <w:szCs w:val="22"/>
                      <w:lang w:val="sr-Latn-ME"/>
                    </w:rPr>
                    <w:t>Prethodna terapija sunitinibom</w:t>
                  </w:r>
                </w:p>
              </w:tc>
              <w:tc>
                <w:tcPr>
                  <w:tcW w:w="1840" w:type="dxa"/>
                </w:tcPr>
                <w:p w14:paraId="7C7B62E1" w14:textId="77777777" w:rsidR="0020267D" w:rsidRPr="00D01E98" w:rsidRDefault="0020267D" w:rsidP="00923DFD">
                  <w:pPr>
                    <w:pStyle w:val="Tekst"/>
                    <w:rPr>
                      <w:b/>
                      <w:sz w:val="22"/>
                      <w:szCs w:val="22"/>
                      <w:lang w:val="sr-Latn-ME"/>
                    </w:rPr>
                  </w:pPr>
                </w:p>
                <w:p w14:paraId="248D3C5D" w14:textId="77777777" w:rsidR="0020267D" w:rsidRPr="00D01E98" w:rsidRDefault="0020267D" w:rsidP="00923DFD">
                  <w:pPr>
                    <w:pStyle w:val="Tekst"/>
                    <w:rPr>
                      <w:b/>
                      <w:sz w:val="22"/>
                      <w:szCs w:val="22"/>
                      <w:lang w:val="sr-Latn-ME"/>
                    </w:rPr>
                  </w:pPr>
                  <w:r w:rsidRPr="00D01E98">
                    <w:rPr>
                      <w:b/>
                      <w:sz w:val="22"/>
                      <w:szCs w:val="22"/>
                      <w:lang w:val="sr-Latn-ME"/>
                    </w:rPr>
                    <w:t>N=194</w:t>
                  </w:r>
                </w:p>
              </w:tc>
              <w:tc>
                <w:tcPr>
                  <w:tcW w:w="1842" w:type="dxa"/>
                </w:tcPr>
                <w:p w14:paraId="5951818B" w14:textId="77777777" w:rsidR="0020267D" w:rsidRPr="00D01E98" w:rsidRDefault="0020267D" w:rsidP="00923DFD">
                  <w:pPr>
                    <w:pStyle w:val="Tekst"/>
                    <w:rPr>
                      <w:b/>
                      <w:sz w:val="22"/>
                      <w:szCs w:val="22"/>
                      <w:lang w:val="sr-Latn-ME"/>
                    </w:rPr>
                  </w:pPr>
                </w:p>
                <w:p w14:paraId="26E38F75" w14:textId="77777777" w:rsidR="0020267D" w:rsidRPr="00D01E98" w:rsidRDefault="0020267D" w:rsidP="00923DFD">
                  <w:pPr>
                    <w:pStyle w:val="Tekst"/>
                    <w:rPr>
                      <w:b/>
                      <w:sz w:val="22"/>
                      <w:szCs w:val="22"/>
                      <w:lang w:val="sr-Latn-ME"/>
                    </w:rPr>
                  </w:pPr>
                  <w:r w:rsidRPr="00D01E98">
                    <w:rPr>
                      <w:b/>
                      <w:sz w:val="22"/>
                      <w:szCs w:val="22"/>
                      <w:lang w:val="sr-Latn-ME"/>
                    </w:rPr>
                    <w:t>N=195</w:t>
                  </w:r>
                </w:p>
              </w:tc>
              <w:tc>
                <w:tcPr>
                  <w:tcW w:w="2003" w:type="dxa"/>
                </w:tcPr>
                <w:p w14:paraId="03034CCE" w14:textId="77777777" w:rsidR="0020267D" w:rsidRPr="00D01E98" w:rsidRDefault="0020267D" w:rsidP="00923DFD">
                  <w:pPr>
                    <w:pStyle w:val="Tekst"/>
                    <w:rPr>
                      <w:b/>
                      <w:sz w:val="22"/>
                      <w:szCs w:val="22"/>
                      <w:lang w:val="sr-Latn-ME"/>
                    </w:rPr>
                  </w:pPr>
                </w:p>
              </w:tc>
              <w:tc>
                <w:tcPr>
                  <w:tcW w:w="1668" w:type="dxa"/>
                </w:tcPr>
                <w:p w14:paraId="30A63163" w14:textId="77777777" w:rsidR="0020267D" w:rsidRPr="00D01E98" w:rsidRDefault="0020267D" w:rsidP="00923DFD">
                  <w:pPr>
                    <w:pStyle w:val="Tekst"/>
                    <w:rPr>
                      <w:b/>
                      <w:sz w:val="22"/>
                      <w:szCs w:val="22"/>
                      <w:lang w:val="sr-Latn-ME"/>
                    </w:rPr>
                  </w:pPr>
                </w:p>
              </w:tc>
            </w:tr>
            <w:tr w:rsidR="0020267D" w:rsidRPr="00D01E98" w14:paraId="43F6821E" w14:textId="77777777" w:rsidTr="000C0EC1">
              <w:tc>
                <w:tcPr>
                  <w:tcW w:w="1936" w:type="dxa"/>
                </w:tcPr>
                <w:p w14:paraId="7F770634" w14:textId="77777777" w:rsidR="0020267D" w:rsidRPr="00D01E98" w:rsidRDefault="0020267D" w:rsidP="00923DFD">
                  <w:pPr>
                    <w:pStyle w:val="Tekst"/>
                    <w:rPr>
                      <w:sz w:val="22"/>
                      <w:szCs w:val="22"/>
                      <w:lang w:val="sr-Latn-ME"/>
                    </w:rPr>
                  </w:pPr>
                  <w:r w:rsidRPr="00D01E98">
                    <w:rPr>
                      <w:sz w:val="22"/>
                      <w:szCs w:val="22"/>
                      <w:lang w:val="sr-Latn-ME"/>
                    </w:rPr>
                    <w:t>Medijana PFS</w:t>
                  </w:r>
                  <w:r w:rsidRPr="00D01E98">
                    <w:rPr>
                      <w:sz w:val="22"/>
                      <w:szCs w:val="22"/>
                      <w:vertAlign w:val="superscript"/>
                      <w:lang w:val="sr-Latn-ME"/>
                    </w:rPr>
                    <w:t xml:space="preserve">a, b </w:t>
                  </w:r>
                  <w:r w:rsidRPr="00D01E98">
                    <w:rPr>
                      <w:sz w:val="22"/>
                      <w:szCs w:val="22"/>
                      <w:lang w:val="sr-Latn-ME"/>
                    </w:rPr>
                    <w:t>u mjesecima</w:t>
                  </w:r>
                </w:p>
                <w:p w14:paraId="1435F3DA"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74D8A884" w14:textId="77777777" w:rsidR="0020267D" w:rsidRPr="00D01E98" w:rsidRDefault="0020267D" w:rsidP="00923DFD">
                  <w:pPr>
                    <w:pStyle w:val="Tekst"/>
                    <w:rPr>
                      <w:sz w:val="22"/>
                      <w:szCs w:val="22"/>
                      <w:lang w:val="sr-Latn-ME"/>
                    </w:rPr>
                  </w:pPr>
                </w:p>
                <w:p w14:paraId="36C5C43E" w14:textId="77777777" w:rsidR="0020267D" w:rsidRPr="00D01E98" w:rsidRDefault="0020267D" w:rsidP="00923DFD">
                  <w:pPr>
                    <w:pStyle w:val="Tekst"/>
                    <w:rPr>
                      <w:sz w:val="22"/>
                      <w:szCs w:val="22"/>
                      <w:lang w:val="sr-Latn-ME"/>
                    </w:rPr>
                  </w:pPr>
                  <w:r w:rsidRPr="00D01E98">
                    <w:rPr>
                      <w:sz w:val="22"/>
                      <w:szCs w:val="22"/>
                      <w:lang w:val="sr-Latn-ME"/>
                    </w:rPr>
                    <w:t>4,8 (4,5; 6,5)</w:t>
                  </w:r>
                </w:p>
              </w:tc>
              <w:tc>
                <w:tcPr>
                  <w:tcW w:w="1842" w:type="dxa"/>
                </w:tcPr>
                <w:p w14:paraId="5C0654C4" w14:textId="77777777" w:rsidR="0020267D" w:rsidRPr="00D01E98" w:rsidRDefault="0020267D" w:rsidP="00923DFD">
                  <w:pPr>
                    <w:pStyle w:val="Tekst"/>
                    <w:rPr>
                      <w:sz w:val="22"/>
                      <w:szCs w:val="22"/>
                      <w:lang w:val="sr-Latn-ME"/>
                    </w:rPr>
                  </w:pPr>
                </w:p>
                <w:p w14:paraId="79EEBFA9" w14:textId="77777777" w:rsidR="0020267D" w:rsidRPr="00D01E98" w:rsidRDefault="0020267D" w:rsidP="00923DFD">
                  <w:pPr>
                    <w:pStyle w:val="Tekst"/>
                    <w:rPr>
                      <w:sz w:val="22"/>
                      <w:szCs w:val="22"/>
                      <w:lang w:val="sr-Latn-ME"/>
                    </w:rPr>
                  </w:pPr>
                  <w:r w:rsidRPr="00D01E98">
                    <w:rPr>
                      <w:sz w:val="22"/>
                      <w:szCs w:val="22"/>
                      <w:lang w:val="sr-Latn-ME"/>
                    </w:rPr>
                    <w:t>3,4 (2,8; 4,7)</w:t>
                  </w:r>
                </w:p>
              </w:tc>
              <w:tc>
                <w:tcPr>
                  <w:tcW w:w="2003" w:type="dxa"/>
                </w:tcPr>
                <w:p w14:paraId="573BBC24" w14:textId="77777777" w:rsidR="0020267D" w:rsidRPr="00D01E98" w:rsidRDefault="0020267D" w:rsidP="00923DFD">
                  <w:pPr>
                    <w:pStyle w:val="Tekst"/>
                    <w:rPr>
                      <w:sz w:val="22"/>
                      <w:szCs w:val="22"/>
                      <w:lang w:val="sr-Latn-ME"/>
                    </w:rPr>
                  </w:pPr>
                </w:p>
                <w:p w14:paraId="29AD93C3" w14:textId="77777777" w:rsidR="0020267D" w:rsidRPr="00D01E98" w:rsidRDefault="0020267D" w:rsidP="00923DFD">
                  <w:pPr>
                    <w:pStyle w:val="Tekst"/>
                    <w:rPr>
                      <w:sz w:val="22"/>
                      <w:szCs w:val="22"/>
                      <w:lang w:val="sr-Latn-ME"/>
                    </w:rPr>
                  </w:pPr>
                  <w:r w:rsidRPr="00D01E98">
                    <w:rPr>
                      <w:sz w:val="22"/>
                      <w:szCs w:val="22"/>
                      <w:lang w:val="sr-Latn-ME"/>
                    </w:rPr>
                    <w:t>0,74 (0,58; 0,94)</w:t>
                  </w:r>
                </w:p>
              </w:tc>
              <w:tc>
                <w:tcPr>
                  <w:tcW w:w="1668" w:type="dxa"/>
                </w:tcPr>
                <w:p w14:paraId="030A5BC9" w14:textId="77777777" w:rsidR="0020267D" w:rsidRPr="00D01E98" w:rsidRDefault="0020267D" w:rsidP="00923DFD">
                  <w:pPr>
                    <w:pStyle w:val="Tekst"/>
                    <w:rPr>
                      <w:sz w:val="22"/>
                      <w:szCs w:val="22"/>
                      <w:lang w:val="sr-Latn-ME"/>
                    </w:rPr>
                  </w:pPr>
                </w:p>
                <w:p w14:paraId="3F6FED7C" w14:textId="77777777" w:rsidR="0020267D" w:rsidRPr="00D01E98" w:rsidRDefault="0020267D" w:rsidP="00923DFD">
                  <w:pPr>
                    <w:pStyle w:val="Tekst"/>
                    <w:rPr>
                      <w:sz w:val="22"/>
                      <w:szCs w:val="22"/>
                      <w:lang w:val="sr-Latn-ME"/>
                    </w:rPr>
                  </w:pPr>
                  <w:r w:rsidRPr="00D01E98">
                    <w:rPr>
                      <w:sz w:val="22"/>
                      <w:szCs w:val="22"/>
                      <w:lang w:val="sr-Latn-ME"/>
                    </w:rPr>
                    <w:t>0,0063</w:t>
                  </w:r>
                  <w:r w:rsidRPr="00D01E98">
                    <w:rPr>
                      <w:sz w:val="22"/>
                      <w:szCs w:val="22"/>
                      <w:vertAlign w:val="superscript"/>
                      <w:lang w:val="sr-Latn-ME"/>
                    </w:rPr>
                    <w:t>h</w:t>
                  </w:r>
                </w:p>
              </w:tc>
            </w:tr>
            <w:tr w:rsidR="0020267D" w:rsidRPr="00D01E98" w14:paraId="3E19FEFC" w14:textId="77777777" w:rsidTr="000C0EC1">
              <w:tc>
                <w:tcPr>
                  <w:tcW w:w="1936" w:type="dxa"/>
                </w:tcPr>
                <w:p w14:paraId="62EAA219" w14:textId="77777777" w:rsidR="0020267D" w:rsidRPr="00D01E98" w:rsidRDefault="0020267D" w:rsidP="00923DFD">
                  <w:pPr>
                    <w:pStyle w:val="Tekst"/>
                    <w:rPr>
                      <w:sz w:val="22"/>
                      <w:szCs w:val="22"/>
                      <w:lang w:val="sr-Latn-ME"/>
                    </w:rPr>
                  </w:pPr>
                  <w:r w:rsidRPr="00D01E98">
                    <w:rPr>
                      <w:sz w:val="22"/>
                      <w:szCs w:val="22"/>
                      <w:lang w:val="sr-Latn-ME"/>
                    </w:rPr>
                    <w:t>Medijana OS</w:t>
                  </w:r>
                  <w:r w:rsidRPr="00D01E98">
                    <w:rPr>
                      <w:sz w:val="22"/>
                      <w:szCs w:val="22"/>
                      <w:vertAlign w:val="superscript"/>
                      <w:lang w:val="sr-Latn-ME"/>
                    </w:rPr>
                    <w:t>d</w:t>
                  </w:r>
                  <w:r w:rsidRPr="00D01E98">
                    <w:rPr>
                      <w:sz w:val="22"/>
                      <w:szCs w:val="22"/>
                      <w:lang w:val="sr-Latn-ME"/>
                    </w:rPr>
                    <w:t xml:space="preserve"> u mjesecima</w:t>
                  </w:r>
                </w:p>
                <w:p w14:paraId="5E5973D2"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28BD17DB" w14:textId="77777777" w:rsidR="0020267D" w:rsidRPr="00D01E98" w:rsidRDefault="0020267D" w:rsidP="00923DFD">
                  <w:pPr>
                    <w:pStyle w:val="Tekst"/>
                    <w:rPr>
                      <w:sz w:val="22"/>
                      <w:szCs w:val="22"/>
                      <w:lang w:val="sr-Latn-ME"/>
                    </w:rPr>
                  </w:pPr>
                </w:p>
                <w:p w14:paraId="7948FADB" w14:textId="77777777" w:rsidR="0020267D" w:rsidRPr="00D01E98" w:rsidRDefault="0020267D" w:rsidP="00923DFD">
                  <w:pPr>
                    <w:pStyle w:val="Tekst"/>
                    <w:rPr>
                      <w:sz w:val="22"/>
                      <w:szCs w:val="22"/>
                      <w:lang w:val="sr-Latn-ME"/>
                    </w:rPr>
                  </w:pPr>
                  <w:r w:rsidRPr="00D01E98">
                    <w:rPr>
                      <w:sz w:val="22"/>
                      <w:szCs w:val="22"/>
                      <w:lang w:val="sr-Latn-ME"/>
                    </w:rPr>
                    <w:t>15,2 (12,8; 18,3)</w:t>
                  </w:r>
                </w:p>
              </w:tc>
              <w:tc>
                <w:tcPr>
                  <w:tcW w:w="1842" w:type="dxa"/>
                </w:tcPr>
                <w:p w14:paraId="7FCC9CA4" w14:textId="77777777" w:rsidR="0020267D" w:rsidRPr="00D01E98" w:rsidRDefault="0020267D" w:rsidP="00923DFD">
                  <w:pPr>
                    <w:pStyle w:val="Tekst"/>
                    <w:rPr>
                      <w:sz w:val="22"/>
                      <w:szCs w:val="22"/>
                      <w:lang w:val="sr-Latn-ME"/>
                    </w:rPr>
                  </w:pPr>
                </w:p>
                <w:p w14:paraId="67A22DCC" w14:textId="77777777" w:rsidR="0020267D" w:rsidRPr="00D01E98" w:rsidRDefault="0020267D" w:rsidP="00923DFD">
                  <w:pPr>
                    <w:pStyle w:val="Tekst"/>
                    <w:rPr>
                      <w:sz w:val="22"/>
                      <w:szCs w:val="22"/>
                      <w:lang w:val="sr-Latn-ME"/>
                    </w:rPr>
                  </w:pPr>
                  <w:r w:rsidRPr="00D01E98">
                    <w:rPr>
                      <w:sz w:val="22"/>
                      <w:szCs w:val="22"/>
                      <w:lang w:val="sr-Latn-ME"/>
                    </w:rPr>
                    <w:t>16,5 (13,7; 19,2)</w:t>
                  </w:r>
                </w:p>
              </w:tc>
              <w:tc>
                <w:tcPr>
                  <w:tcW w:w="2003" w:type="dxa"/>
                </w:tcPr>
                <w:p w14:paraId="53C3CC71" w14:textId="77777777" w:rsidR="0020267D" w:rsidRPr="00D01E98" w:rsidRDefault="0020267D" w:rsidP="00923DFD">
                  <w:pPr>
                    <w:pStyle w:val="Tekst"/>
                    <w:rPr>
                      <w:sz w:val="22"/>
                      <w:szCs w:val="22"/>
                      <w:lang w:val="sr-Latn-ME"/>
                    </w:rPr>
                  </w:pPr>
                </w:p>
                <w:p w14:paraId="1986E305" w14:textId="77777777" w:rsidR="0020267D" w:rsidRPr="00D01E98" w:rsidRDefault="0020267D" w:rsidP="00923DFD">
                  <w:pPr>
                    <w:pStyle w:val="Tekst"/>
                    <w:rPr>
                      <w:sz w:val="22"/>
                      <w:szCs w:val="22"/>
                      <w:lang w:val="sr-Latn-ME"/>
                    </w:rPr>
                  </w:pPr>
                  <w:r w:rsidRPr="00D01E98">
                    <w:rPr>
                      <w:sz w:val="22"/>
                      <w:szCs w:val="22"/>
                      <w:lang w:val="sr-Latn-ME"/>
                    </w:rPr>
                    <w:t>1,00 (0,78; 1,27)</w:t>
                  </w:r>
                </w:p>
              </w:tc>
              <w:tc>
                <w:tcPr>
                  <w:tcW w:w="1668" w:type="dxa"/>
                </w:tcPr>
                <w:p w14:paraId="66BFF3BB" w14:textId="77777777" w:rsidR="0020267D" w:rsidRPr="00D01E98" w:rsidRDefault="0020267D" w:rsidP="00923DFD">
                  <w:pPr>
                    <w:pStyle w:val="Tekst"/>
                    <w:rPr>
                      <w:sz w:val="22"/>
                      <w:szCs w:val="22"/>
                      <w:lang w:val="sr-Latn-ME"/>
                    </w:rPr>
                  </w:pPr>
                </w:p>
                <w:p w14:paraId="6CF6409F" w14:textId="77777777" w:rsidR="0020267D" w:rsidRPr="00D01E98" w:rsidRDefault="0020267D" w:rsidP="00923DFD">
                  <w:pPr>
                    <w:pStyle w:val="Tekst"/>
                    <w:rPr>
                      <w:sz w:val="22"/>
                      <w:szCs w:val="22"/>
                      <w:lang w:val="sr-Latn-ME"/>
                    </w:rPr>
                  </w:pPr>
                  <w:r w:rsidRPr="00D01E98">
                    <w:rPr>
                      <w:sz w:val="22"/>
                      <w:szCs w:val="22"/>
                      <w:lang w:val="sr-Latn-ME"/>
                    </w:rPr>
                    <w:t>NS</w:t>
                  </w:r>
                </w:p>
              </w:tc>
            </w:tr>
            <w:tr w:rsidR="0020267D" w:rsidRPr="00D01E98" w14:paraId="6DF8F78E" w14:textId="77777777" w:rsidTr="000C0EC1">
              <w:tc>
                <w:tcPr>
                  <w:tcW w:w="1936" w:type="dxa"/>
                </w:tcPr>
                <w:p w14:paraId="0657E0B1" w14:textId="77777777" w:rsidR="0020267D" w:rsidRPr="00D01E98" w:rsidRDefault="0020267D" w:rsidP="00923DFD">
                  <w:pPr>
                    <w:pStyle w:val="Tekst"/>
                    <w:rPr>
                      <w:sz w:val="22"/>
                      <w:szCs w:val="22"/>
                      <w:vertAlign w:val="superscript"/>
                      <w:lang w:val="sr-Latn-ME"/>
                    </w:rPr>
                  </w:pPr>
                  <w:r w:rsidRPr="00D01E98">
                    <w:rPr>
                      <w:sz w:val="22"/>
                      <w:szCs w:val="22"/>
                      <w:lang w:val="sr-Latn-ME"/>
                    </w:rPr>
                    <w:t>ORR</w:t>
                  </w:r>
                  <w:r w:rsidRPr="00D01E98">
                    <w:rPr>
                      <w:sz w:val="22"/>
                      <w:szCs w:val="22"/>
                      <w:vertAlign w:val="superscript"/>
                      <w:lang w:val="sr-Latn-ME"/>
                    </w:rPr>
                    <w:t xml:space="preserve">b, e % </w:t>
                  </w:r>
                </w:p>
                <w:p w14:paraId="7453A34A"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47AC488A" w14:textId="77777777" w:rsidR="0020267D" w:rsidRPr="00D01E98" w:rsidRDefault="0020267D" w:rsidP="00923DFD">
                  <w:pPr>
                    <w:pStyle w:val="Tekst"/>
                    <w:rPr>
                      <w:sz w:val="22"/>
                      <w:szCs w:val="22"/>
                      <w:lang w:val="sr-Latn-ME"/>
                    </w:rPr>
                  </w:pPr>
                  <w:r w:rsidRPr="00D01E98">
                    <w:rPr>
                      <w:sz w:val="22"/>
                      <w:szCs w:val="22"/>
                      <w:lang w:val="sr-Latn-ME"/>
                    </w:rPr>
                    <w:t>11,3 (7,2; 16,7)</w:t>
                  </w:r>
                </w:p>
              </w:tc>
              <w:tc>
                <w:tcPr>
                  <w:tcW w:w="1842" w:type="dxa"/>
                </w:tcPr>
                <w:p w14:paraId="3767BD4F" w14:textId="77777777" w:rsidR="0020267D" w:rsidRPr="00D01E98" w:rsidRDefault="0020267D" w:rsidP="00923DFD">
                  <w:pPr>
                    <w:pStyle w:val="Tekst"/>
                    <w:rPr>
                      <w:sz w:val="22"/>
                      <w:szCs w:val="22"/>
                      <w:lang w:val="sr-Latn-ME"/>
                    </w:rPr>
                  </w:pPr>
                  <w:r w:rsidRPr="00D01E98">
                    <w:rPr>
                      <w:sz w:val="22"/>
                      <w:szCs w:val="22"/>
                      <w:lang w:val="sr-Latn-ME"/>
                    </w:rPr>
                    <w:t>7,7 (4,4; 12,4)</w:t>
                  </w:r>
                </w:p>
              </w:tc>
              <w:tc>
                <w:tcPr>
                  <w:tcW w:w="2003" w:type="dxa"/>
                </w:tcPr>
                <w:p w14:paraId="21D65E1C" w14:textId="77777777" w:rsidR="0020267D" w:rsidRPr="00D01E98" w:rsidRDefault="0020267D" w:rsidP="00923DFD">
                  <w:pPr>
                    <w:pStyle w:val="Tekst"/>
                    <w:rPr>
                      <w:sz w:val="22"/>
                      <w:szCs w:val="22"/>
                      <w:lang w:val="sr-Latn-ME"/>
                    </w:rPr>
                  </w:pPr>
                  <w:r w:rsidRPr="00D01E98">
                    <w:rPr>
                      <w:sz w:val="22"/>
                      <w:szCs w:val="22"/>
                      <w:lang w:val="sr-Latn-ME"/>
                    </w:rPr>
                    <w:t>1,48</w:t>
                  </w:r>
                  <w:r w:rsidRPr="00D01E98">
                    <w:rPr>
                      <w:sz w:val="22"/>
                      <w:szCs w:val="22"/>
                      <w:vertAlign w:val="superscript"/>
                      <w:lang w:val="sr-Latn-ME"/>
                    </w:rPr>
                    <w:t>f</w:t>
                  </w:r>
                  <w:r w:rsidRPr="00D01E98">
                    <w:rPr>
                      <w:sz w:val="22"/>
                      <w:szCs w:val="22"/>
                      <w:lang w:val="sr-Latn-ME"/>
                    </w:rPr>
                    <w:t xml:space="preserve"> (0,79; 2,75)</w:t>
                  </w:r>
                </w:p>
              </w:tc>
              <w:tc>
                <w:tcPr>
                  <w:tcW w:w="1668" w:type="dxa"/>
                </w:tcPr>
                <w:p w14:paraId="37E52CEB" w14:textId="77777777" w:rsidR="0020267D" w:rsidRPr="00D01E98" w:rsidRDefault="0020267D" w:rsidP="00923DFD">
                  <w:pPr>
                    <w:pStyle w:val="Tekst"/>
                    <w:rPr>
                      <w:sz w:val="22"/>
                      <w:szCs w:val="22"/>
                      <w:lang w:val="sr-Latn-ME"/>
                    </w:rPr>
                  </w:pPr>
                  <w:r w:rsidRPr="00D01E98">
                    <w:rPr>
                      <w:sz w:val="22"/>
                      <w:szCs w:val="22"/>
                      <w:lang w:val="sr-Latn-ME"/>
                    </w:rPr>
                    <w:t>NS</w:t>
                  </w:r>
                </w:p>
              </w:tc>
            </w:tr>
            <w:tr w:rsidR="0020267D" w:rsidRPr="00D01E98" w14:paraId="5050159E" w14:textId="77777777" w:rsidTr="000C0EC1">
              <w:tc>
                <w:tcPr>
                  <w:tcW w:w="1936" w:type="dxa"/>
                </w:tcPr>
                <w:p w14:paraId="033DE7AB" w14:textId="77777777" w:rsidR="0020267D" w:rsidRPr="00D01E98" w:rsidRDefault="0020267D" w:rsidP="00923DFD">
                  <w:pPr>
                    <w:pStyle w:val="Tekst"/>
                    <w:rPr>
                      <w:b/>
                      <w:sz w:val="22"/>
                      <w:szCs w:val="22"/>
                      <w:lang w:val="sr-Latn-ME"/>
                    </w:rPr>
                  </w:pPr>
                  <w:r w:rsidRPr="00D01E98">
                    <w:rPr>
                      <w:b/>
                      <w:sz w:val="22"/>
                      <w:szCs w:val="22"/>
                      <w:lang w:val="sr-Latn-ME"/>
                    </w:rPr>
                    <w:lastRenderedPageBreak/>
                    <w:t>Prethodna terapija citokinom</w:t>
                  </w:r>
                </w:p>
              </w:tc>
              <w:tc>
                <w:tcPr>
                  <w:tcW w:w="1840" w:type="dxa"/>
                </w:tcPr>
                <w:p w14:paraId="78ED3FF1" w14:textId="77777777" w:rsidR="0020267D" w:rsidRPr="00D01E98" w:rsidRDefault="0020267D" w:rsidP="00923DFD">
                  <w:pPr>
                    <w:pStyle w:val="Tekst"/>
                    <w:rPr>
                      <w:b/>
                      <w:sz w:val="22"/>
                      <w:szCs w:val="22"/>
                      <w:lang w:val="sr-Latn-ME"/>
                    </w:rPr>
                  </w:pPr>
                </w:p>
                <w:p w14:paraId="40BB02EE" w14:textId="77777777" w:rsidR="0020267D" w:rsidRPr="00D01E98" w:rsidRDefault="0020267D" w:rsidP="00923DFD">
                  <w:pPr>
                    <w:pStyle w:val="Tekst"/>
                    <w:rPr>
                      <w:b/>
                      <w:sz w:val="22"/>
                      <w:szCs w:val="22"/>
                      <w:lang w:val="sr-Latn-ME"/>
                    </w:rPr>
                  </w:pPr>
                  <w:r w:rsidRPr="00D01E98">
                    <w:rPr>
                      <w:b/>
                      <w:sz w:val="22"/>
                      <w:szCs w:val="22"/>
                      <w:lang w:val="sr-Latn-ME"/>
                    </w:rPr>
                    <w:t>N=126</w:t>
                  </w:r>
                </w:p>
              </w:tc>
              <w:tc>
                <w:tcPr>
                  <w:tcW w:w="1842" w:type="dxa"/>
                </w:tcPr>
                <w:p w14:paraId="616C311C" w14:textId="77777777" w:rsidR="0020267D" w:rsidRPr="00D01E98" w:rsidRDefault="0020267D" w:rsidP="00923DFD">
                  <w:pPr>
                    <w:pStyle w:val="Tekst"/>
                    <w:rPr>
                      <w:b/>
                      <w:sz w:val="22"/>
                      <w:szCs w:val="22"/>
                      <w:lang w:val="sr-Latn-ME"/>
                    </w:rPr>
                  </w:pPr>
                </w:p>
                <w:p w14:paraId="0EA4F869" w14:textId="77777777" w:rsidR="0020267D" w:rsidRPr="00D01E98" w:rsidRDefault="0020267D" w:rsidP="00923DFD">
                  <w:pPr>
                    <w:pStyle w:val="Tekst"/>
                    <w:rPr>
                      <w:b/>
                      <w:sz w:val="22"/>
                      <w:szCs w:val="22"/>
                      <w:lang w:val="sr-Latn-ME"/>
                    </w:rPr>
                  </w:pPr>
                  <w:r w:rsidRPr="00D01E98">
                    <w:rPr>
                      <w:b/>
                      <w:sz w:val="22"/>
                      <w:szCs w:val="22"/>
                      <w:lang w:val="sr-Latn-ME"/>
                    </w:rPr>
                    <w:t>N=125</w:t>
                  </w:r>
                </w:p>
              </w:tc>
              <w:tc>
                <w:tcPr>
                  <w:tcW w:w="2003" w:type="dxa"/>
                </w:tcPr>
                <w:p w14:paraId="69DA8392" w14:textId="77777777" w:rsidR="0020267D" w:rsidRPr="00D01E98" w:rsidRDefault="0020267D" w:rsidP="00923DFD">
                  <w:pPr>
                    <w:pStyle w:val="Tekst"/>
                    <w:rPr>
                      <w:sz w:val="22"/>
                      <w:szCs w:val="22"/>
                      <w:lang w:val="sr-Latn-ME"/>
                    </w:rPr>
                  </w:pPr>
                </w:p>
              </w:tc>
              <w:tc>
                <w:tcPr>
                  <w:tcW w:w="1668" w:type="dxa"/>
                </w:tcPr>
                <w:p w14:paraId="7EF6776A" w14:textId="77777777" w:rsidR="0020267D" w:rsidRPr="00D01E98" w:rsidRDefault="0020267D" w:rsidP="00923DFD">
                  <w:pPr>
                    <w:pStyle w:val="Tekst"/>
                    <w:rPr>
                      <w:sz w:val="22"/>
                      <w:szCs w:val="22"/>
                      <w:lang w:val="sr-Latn-ME"/>
                    </w:rPr>
                  </w:pPr>
                </w:p>
              </w:tc>
            </w:tr>
            <w:tr w:rsidR="0020267D" w:rsidRPr="00D01E98" w14:paraId="3085941A" w14:textId="77777777" w:rsidTr="000C0EC1">
              <w:tc>
                <w:tcPr>
                  <w:tcW w:w="1936" w:type="dxa"/>
                </w:tcPr>
                <w:p w14:paraId="2B5A2ED5" w14:textId="77777777" w:rsidR="0020267D" w:rsidRPr="00D01E98" w:rsidRDefault="0020267D" w:rsidP="00923DFD">
                  <w:pPr>
                    <w:pStyle w:val="Tekst"/>
                    <w:rPr>
                      <w:sz w:val="22"/>
                      <w:szCs w:val="22"/>
                      <w:lang w:val="sr-Latn-ME"/>
                    </w:rPr>
                  </w:pPr>
                  <w:r w:rsidRPr="00D01E98">
                    <w:rPr>
                      <w:sz w:val="22"/>
                      <w:szCs w:val="22"/>
                      <w:lang w:val="sr-Latn-ME"/>
                    </w:rPr>
                    <w:t>Medijana PFS</w:t>
                  </w:r>
                  <w:r w:rsidRPr="00D01E98">
                    <w:rPr>
                      <w:sz w:val="22"/>
                      <w:szCs w:val="22"/>
                      <w:vertAlign w:val="superscript"/>
                      <w:lang w:val="sr-Latn-ME"/>
                    </w:rPr>
                    <w:t xml:space="preserve">a, b </w:t>
                  </w:r>
                  <w:r w:rsidRPr="00D01E98">
                    <w:rPr>
                      <w:sz w:val="22"/>
                      <w:szCs w:val="22"/>
                      <w:lang w:val="sr-Latn-ME"/>
                    </w:rPr>
                    <w:t>u mjesecima</w:t>
                  </w:r>
                </w:p>
                <w:p w14:paraId="3DC37274"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0E0A9426" w14:textId="77777777" w:rsidR="0020267D" w:rsidRPr="00D01E98" w:rsidRDefault="0020267D" w:rsidP="00923DFD">
                  <w:pPr>
                    <w:pStyle w:val="Tekst"/>
                    <w:rPr>
                      <w:sz w:val="22"/>
                      <w:szCs w:val="22"/>
                      <w:lang w:val="sr-Latn-ME"/>
                    </w:rPr>
                  </w:pPr>
                </w:p>
                <w:p w14:paraId="46E23EA3" w14:textId="77777777" w:rsidR="0020267D" w:rsidRPr="00D01E98" w:rsidRDefault="0020267D" w:rsidP="00923DFD">
                  <w:pPr>
                    <w:pStyle w:val="Tekst"/>
                    <w:rPr>
                      <w:sz w:val="22"/>
                      <w:szCs w:val="22"/>
                      <w:lang w:val="sr-Latn-ME"/>
                    </w:rPr>
                  </w:pPr>
                  <w:r w:rsidRPr="00D01E98">
                    <w:rPr>
                      <w:sz w:val="22"/>
                      <w:szCs w:val="22"/>
                      <w:lang w:val="sr-Latn-ME"/>
                    </w:rPr>
                    <w:t>12,0 (10,1; 13,9)</w:t>
                  </w:r>
                </w:p>
              </w:tc>
              <w:tc>
                <w:tcPr>
                  <w:tcW w:w="1842" w:type="dxa"/>
                </w:tcPr>
                <w:p w14:paraId="7089BBF8" w14:textId="77777777" w:rsidR="0020267D" w:rsidRPr="00D01E98" w:rsidRDefault="0020267D" w:rsidP="00923DFD">
                  <w:pPr>
                    <w:pStyle w:val="Tekst"/>
                    <w:rPr>
                      <w:sz w:val="22"/>
                      <w:szCs w:val="22"/>
                      <w:lang w:val="sr-Latn-ME"/>
                    </w:rPr>
                  </w:pPr>
                </w:p>
                <w:p w14:paraId="6EFD013E" w14:textId="77777777" w:rsidR="0020267D" w:rsidRPr="00D01E98" w:rsidRDefault="0020267D" w:rsidP="00923DFD">
                  <w:pPr>
                    <w:pStyle w:val="Tekst"/>
                    <w:rPr>
                      <w:sz w:val="22"/>
                      <w:szCs w:val="22"/>
                      <w:lang w:val="sr-Latn-ME"/>
                    </w:rPr>
                  </w:pPr>
                  <w:r w:rsidRPr="00D01E98">
                    <w:rPr>
                      <w:sz w:val="22"/>
                      <w:szCs w:val="22"/>
                      <w:lang w:val="sr-Latn-ME"/>
                    </w:rPr>
                    <w:t>6,6 (6,4; 8,3)</w:t>
                  </w:r>
                </w:p>
              </w:tc>
              <w:tc>
                <w:tcPr>
                  <w:tcW w:w="2003" w:type="dxa"/>
                </w:tcPr>
                <w:p w14:paraId="7B2593F1" w14:textId="77777777" w:rsidR="0020267D" w:rsidRPr="00D01E98" w:rsidRDefault="0020267D" w:rsidP="00923DFD">
                  <w:pPr>
                    <w:pStyle w:val="Tekst"/>
                    <w:rPr>
                      <w:sz w:val="22"/>
                      <w:szCs w:val="22"/>
                      <w:lang w:val="sr-Latn-ME"/>
                    </w:rPr>
                  </w:pPr>
                </w:p>
                <w:p w14:paraId="6BA97E75" w14:textId="77777777" w:rsidR="0020267D" w:rsidRPr="00D01E98" w:rsidRDefault="0020267D" w:rsidP="00923DFD">
                  <w:pPr>
                    <w:pStyle w:val="Tekst"/>
                    <w:rPr>
                      <w:sz w:val="22"/>
                      <w:szCs w:val="22"/>
                      <w:lang w:val="sr-Latn-ME"/>
                    </w:rPr>
                  </w:pPr>
                  <w:r w:rsidRPr="00D01E98">
                    <w:rPr>
                      <w:sz w:val="22"/>
                      <w:szCs w:val="22"/>
                      <w:lang w:val="sr-Latn-ME"/>
                    </w:rPr>
                    <w:t>0,52 (0,38; 0,72)</w:t>
                  </w:r>
                </w:p>
              </w:tc>
              <w:tc>
                <w:tcPr>
                  <w:tcW w:w="1668" w:type="dxa"/>
                </w:tcPr>
                <w:p w14:paraId="60653CB9" w14:textId="77777777" w:rsidR="0020267D" w:rsidRPr="00D01E98" w:rsidRDefault="0020267D" w:rsidP="00923DFD">
                  <w:pPr>
                    <w:pStyle w:val="Tekst"/>
                    <w:rPr>
                      <w:sz w:val="22"/>
                      <w:szCs w:val="22"/>
                      <w:lang w:val="sr-Latn-ME"/>
                    </w:rPr>
                  </w:pPr>
                </w:p>
                <w:p w14:paraId="26D7668A" w14:textId="77777777" w:rsidR="0020267D" w:rsidRPr="00D01E98" w:rsidRDefault="0020267D" w:rsidP="00923DFD">
                  <w:pPr>
                    <w:pStyle w:val="Tekst"/>
                    <w:rPr>
                      <w:sz w:val="22"/>
                      <w:szCs w:val="22"/>
                      <w:lang w:val="sr-Latn-ME"/>
                    </w:rPr>
                  </w:pPr>
                  <w:r w:rsidRPr="00D01E98">
                    <w:rPr>
                      <w:sz w:val="22"/>
                      <w:szCs w:val="22"/>
                      <w:lang w:val="sr-Latn-ME"/>
                    </w:rPr>
                    <w:t>&lt; 0,0001</w:t>
                  </w:r>
                  <w:r w:rsidRPr="00D01E98">
                    <w:rPr>
                      <w:sz w:val="22"/>
                      <w:szCs w:val="22"/>
                      <w:vertAlign w:val="superscript"/>
                      <w:lang w:val="sr-Latn-ME"/>
                    </w:rPr>
                    <w:t>h</w:t>
                  </w:r>
                </w:p>
              </w:tc>
            </w:tr>
            <w:tr w:rsidR="0020267D" w:rsidRPr="00D01E98" w14:paraId="7F0A3A67" w14:textId="77777777" w:rsidTr="000C0EC1">
              <w:tc>
                <w:tcPr>
                  <w:tcW w:w="1936" w:type="dxa"/>
                </w:tcPr>
                <w:p w14:paraId="0F8F665E" w14:textId="77777777" w:rsidR="0020267D" w:rsidRPr="00D01E98" w:rsidRDefault="0020267D" w:rsidP="00923DFD">
                  <w:pPr>
                    <w:pStyle w:val="Tekst"/>
                    <w:rPr>
                      <w:sz w:val="22"/>
                      <w:szCs w:val="22"/>
                      <w:lang w:val="sr-Latn-ME"/>
                    </w:rPr>
                  </w:pPr>
                  <w:r w:rsidRPr="00D01E98">
                    <w:rPr>
                      <w:sz w:val="22"/>
                      <w:szCs w:val="22"/>
                      <w:lang w:val="sr-Latn-ME"/>
                    </w:rPr>
                    <w:t>Medijana OS</w:t>
                  </w:r>
                  <w:r w:rsidRPr="00D01E98">
                    <w:rPr>
                      <w:sz w:val="22"/>
                      <w:szCs w:val="22"/>
                      <w:vertAlign w:val="superscript"/>
                      <w:lang w:val="sr-Latn-ME"/>
                    </w:rPr>
                    <w:t>d</w:t>
                  </w:r>
                  <w:r w:rsidRPr="00D01E98">
                    <w:rPr>
                      <w:sz w:val="22"/>
                      <w:szCs w:val="22"/>
                      <w:lang w:val="sr-Latn-ME"/>
                    </w:rPr>
                    <w:t xml:space="preserve"> u mjesecima</w:t>
                  </w:r>
                </w:p>
                <w:p w14:paraId="0B56CB1D"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1BBADC66" w14:textId="77777777" w:rsidR="0020267D" w:rsidRPr="00D01E98" w:rsidRDefault="0020267D" w:rsidP="00923DFD">
                  <w:pPr>
                    <w:pStyle w:val="Tekst"/>
                    <w:rPr>
                      <w:sz w:val="22"/>
                      <w:szCs w:val="22"/>
                      <w:lang w:val="sr-Latn-ME"/>
                    </w:rPr>
                  </w:pPr>
                </w:p>
                <w:p w14:paraId="6AA5E5C1" w14:textId="77777777" w:rsidR="0020267D" w:rsidRPr="00D01E98" w:rsidRDefault="0020267D" w:rsidP="00923DFD">
                  <w:pPr>
                    <w:pStyle w:val="Tekst"/>
                    <w:rPr>
                      <w:sz w:val="22"/>
                      <w:szCs w:val="22"/>
                      <w:lang w:val="sr-Latn-ME"/>
                    </w:rPr>
                  </w:pPr>
                  <w:r w:rsidRPr="00D01E98">
                    <w:rPr>
                      <w:sz w:val="22"/>
                      <w:szCs w:val="22"/>
                      <w:lang w:val="sr-Latn-ME"/>
                    </w:rPr>
                    <w:t>29,4 (24,5; NE)</w:t>
                  </w:r>
                </w:p>
              </w:tc>
              <w:tc>
                <w:tcPr>
                  <w:tcW w:w="1842" w:type="dxa"/>
                </w:tcPr>
                <w:p w14:paraId="796C1FDC" w14:textId="77777777" w:rsidR="0020267D" w:rsidRPr="00D01E98" w:rsidRDefault="0020267D" w:rsidP="00923DFD">
                  <w:pPr>
                    <w:pStyle w:val="Tekst"/>
                    <w:rPr>
                      <w:sz w:val="22"/>
                      <w:szCs w:val="22"/>
                      <w:lang w:val="sr-Latn-ME"/>
                    </w:rPr>
                  </w:pPr>
                </w:p>
                <w:p w14:paraId="440F39B3" w14:textId="77777777" w:rsidR="0020267D" w:rsidRPr="00D01E98" w:rsidRDefault="0020267D" w:rsidP="00923DFD">
                  <w:pPr>
                    <w:pStyle w:val="Tekst"/>
                    <w:rPr>
                      <w:sz w:val="22"/>
                      <w:szCs w:val="22"/>
                      <w:lang w:val="sr-Latn-ME"/>
                    </w:rPr>
                  </w:pPr>
                  <w:r w:rsidRPr="00D01E98">
                    <w:rPr>
                      <w:sz w:val="22"/>
                      <w:szCs w:val="22"/>
                      <w:lang w:val="sr-Latn-ME"/>
                    </w:rPr>
                    <w:t>27,8 (23,1; 34,5)</w:t>
                  </w:r>
                </w:p>
              </w:tc>
              <w:tc>
                <w:tcPr>
                  <w:tcW w:w="2003" w:type="dxa"/>
                </w:tcPr>
                <w:p w14:paraId="17256EC2" w14:textId="77777777" w:rsidR="0020267D" w:rsidRPr="00D01E98" w:rsidRDefault="0020267D" w:rsidP="00923DFD">
                  <w:pPr>
                    <w:pStyle w:val="Tekst"/>
                    <w:rPr>
                      <w:sz w:val="22"/>
                      <w:szCs w:val="22"/>
                      <w:lang w:val="sr-Latn-ME"/>
                    </w:rPr>
                  </w:pPr>
                </w:p>
                <w:p w14:paraId="1216BD14" w14:textId="77777777" w:rsidR="0020267D" w:rsidRPr="00D01E98" w:rsidRDefault="0020267D" w:rsidP="00923DFD">
                  <w:pPr>
                    <w:pStyle w:val="Tekst"/>
                    <w:rPr>
                      <w:sz w:val="22"/>
                      <w:szCs w:val="22"/>
                      <w:lang w:val="sr-Latn-ME"/>
                    </w:rPr>
                  </w:pPr>
                  <w:r w:rsidRPr="00D01E98">
                    <w:rPr>
                      <w:sz w:val="22"/>
                      <w:szCs w:val="22"/>
                      <w:lang w:val="sr-Latn-ME"/>
                    </w:rPr>
                    <w:t>0,81 (0,56; 1,19)</w:t>
                  </w:r>
                </w:p>
              </w:tc>
              <w:tc>
                <w:tcPr>
                  <w:tcW w:w="1668" w:type="dxa"/>
                </w:tcPr>
                <w:p w14:paraId="0D606F60" w14:textId="77777777" w:rsidR="0020267D" w:rsidRPr="00D01E98" w:rsidRDefault="0020267D" w:rsidP="00923DFD">
                  <w:pPr>
                    <w:pStyle w:val="Tekst"/>
                    <w:rPr>
                      <w:sz w:val="22"/>
                      <w:szCs w:val="22"/>
                      <w:lang w:val="sr-Latn-ME"/>
                    </w:rPr>
                  </w:pPr>
                </w:p>
                <w:p w14:paraId="479D77D0" w14:textId="77777777" w:rsidR="0020267D" w:rsidRPr="00D01E98" w:rsidRDefault="0020267D" w:rsidP="00923DFD">
                  <w:pPr>
                    <w:pStyle w:val="Tekst"/>
                    <w:rPr>
                      <w:sz w:val="22"/>
                      <w:szCs w:val="22"/>
                      <w:lang w:val="sr-Latn-ME"/>
                    </w:rPr>
                  </w:pPr>
                  <w:r w:rsidRPr="00D01E98">
                    <w:rPr>
                      <w:sz w:val="22"/>
                      <w:szCs w:val="22"/>
                      <w:lang w:val="sr-Latn-ME"/>
                    </w:rPr>
                    <w:t>NS</w:t>
                  </w:r>
                </w:p>
              </w:tc>
            </w:tr>
            <w:tr w:rsidR="0020267D" w:rsidRPr="00D01E98" w14:paraId="3E0DBAD2" w14:textId="77777777" w:rsidTr="000C0EC1">
              <w:tc>
                <w:tcPr>
                  <w:tcW w:w="1936" w:type="dxa"/>
                </w:tcPr>
                <w:p w14:paraId="466F8B70" w14:textId="77777777" w:rsidR="0020267D" w:rsidRPr="00D01E98" w:rsidRDefault="0020267D" w:rsidP="00923DFD">
                  <w:pPr>
                    <w:pStyle w:val="Tekst"/>
                    <w:rPr>
                      <w:sz w:val="22"/>
                      <w:szCs w:val="22"/>
                      <w:vertAlign w:val="superscript"/>
                      <w:lang w:val="sr-Latn-ME"/>
                    </w:rPr>
                  </w:pPr>
                  <w:r w:rsidRPr="00D01E98">
                    <w:rPr>
                      <w:sz w:val="22"/>
                      <w:szCs w:val="22"/>
                      <w:lang w:val="sr-Latn-ME"/>
                    </w:rPr>
                    <w:t>ORR</w:t>
                  </w:r>
                  <w:r w:rsidRPr="00D01E98">
                    <w:rPr>
                      <w:sz w:val="22"/>
                      <w:szCs w:val="22"/>
                      <w:vertAlign w:val="superscript"/>
                      <w:lang w:val="sr-Latn-ME"/>
                    </w:rPr>
                    <w:t xml:space="preserve">b, e % </w:t>
                  </w:r>
                </w:p>
                <w:p w14:paraId="404511A4" w14:textId="77777777" w:rsidR="0020267D" w:rsidRPr="00D01E98" w:rsidRDefault="0020267D" w:rsidP="00923DFD">
                  <w:pPr>
                    <w:pStyle w:val="Tekst"/>
                    <w:rPr>
                      <w:sz w:val="22"/>
                      <w:szCs w:val="22"/>
                      <w:lang w:val="sr-Latn-ME"/>
                    </w:rPr>
                  </w:pPr>
                  <w:r w:rsidRPr="00D01E98">
                    <w:rPr>
                      <w:sz w:val="22"/>
                      <w:szCs w:val="22"/>
                      <w:lang w:val="sr-Latn-ME"/>
                    </w:rPr>
                    <w:t>(95% CI)</w:t>
                  </w:r>
                </w:p>
              </w:tc>
              <w:tc>
                <w:tcPr>
                  <w:tcW w:w="1840" w:type="dxa"/>
                </w:tcPr>
                <w:p w14:paraId="34C2A522" w14:textId="77777777" w:rsidR="0020267D" w:rsidRPr="00D01E98" w:rsidRDefault="0020267D" w:rsidP="00923DFD">
                  <w:pPr>
                    <w:pStyle w:val="Tekst"/>
                    <w:rPr>
                      <w:sz w:val="22"/>
                      <w:szCs w:val="22"/>
                      <w:lang w:val="sr-Latn-ME"/>
                    </w:rPr>
                  </w:pPr>
                  <w:r w:rsidRPr="00D01E98">
                    <w:rPr>
                      <w:sz w:val="22"/>
                      <w:szCs w:val="22"/>
                      <w:lang w:val="sr-Latn-ME"/>
                    </w:rPr>
                    <w:t>32,5 (24,5; 41,5)</w:t>
                  </w:r>
                </w:p>
              </w:tc>
              <w:tc>
                <w:tcPr>
                  <w:tcW w:w="1842" w:type="dxa"/>
                </w:tcPr>
                <w:p w14:paraId="2A45DA0D" w14:textId="77777777" w:rsidR="0020267D" w:rsidRPr="00D01E98" w:rsidRDefault="0020267D" w:rsidP="00923DFD">
                  <w:pPr>
                    <w:pStyle w:val="Tekst"/>
                    <w:rPr>
                      <w:sz w:val="22"/>
                      <w:szCs w:val="22"/>
                      <w:lang w:val="sr-Latn-ME"/>
                    </w:rPr>
                  </w:pPr>
                  <w:r w:rsidRPr="00D01E98">
                    <w:rPr>
                      <w:sz w:val="22"/>
                      <w:szCs w:val="22"/>
                      <w:lang w:val="sr-Latn-ME"/>
                    </w:rPr>
                    <w:t>13,6 (8,1; 20,9)</w:t>
                  </w:r>
                </w:p>
              </w:tc>
              <w:tc>
                <w:tcPr>
                  <w:tcW w:w="2003" w:type="dxa"/>
                </w:tcPr>
                <w:p w14:paraId="54CAF040" w14:textId="77777777" w:rsidR="0020267D" w:rsidRPr="00D01E98" w:rsidRDefault="0020267D" w:rsidP="00923DFD">
                  <w:pPr>
                    <w:pStyle w:val="Tekst"/>
                    <w:rPr>
                      <w:sz w:val="22"/>
                      <w:szCs w:val="22"/>
                      <w:lang w:val="sr-Latn-ME"/>
                    </w:rPr>
                  </w:pPr>
                  <w:r w:rsidRPr="00D01E98">
                    <w:rPr>
                      <w:sz w:val="22"/>
                      <w:szCs w:val="22"/>
                      <w:lang w:val="sr-Latn-ME"/>
                    </w:rPr>
                    <w:t>2,39</w:t>
                  </w:r>
                  <w:r w:rsidRPr="00D01E98">
                    <w:rPr>
                      <w:sz w:val="22"/>
                      <w:szCs w:val="22"/>
                      <w:vertAlign w:val="superscript"/>
                      <w:lang w:val="sr-Latn-ME"/>
                    </w:rPr>
                    <w:t>f</w:t>
                  </w:r>
                  <w:r w:rsidRPr="00D01E98">
                    <w:rPr>
                      <w:sz w:val="22"/>
                      <w:szCs w:val="22"/>
                      <w:lang w:val="sr-Latn-ME"/>
                    </w:rPr>
                    <w:t xml:space="preserve"> (1,43-3,99)</w:t>
                  </w:r>
                </w:p>
              </w:tc>
              <w:tc>
                <w:tcPr>
                  <w:tcW w:w="1668" w:type="dxa"/>
                </w:tcPr>
                <w:p w14:paraId="086FA4B0" w14:textId="77777777" w:rsidR="0020267D" w:rsidRPr="00D01E98" w:rsidRDefault="0020267D" w:rsidP="00923DFD">
                  <w:pPr>
                    <w:pStyle w:val="Tekst"/>
                    <w:rPr>
                      <w:sz w:val="22"/>
                      <w:szCs w:val="22"/>
                      <w:lang w:val="sr-Latn-ME"/>
                    </w:rPr>
                  </w:pPr>
                  <w:r w:rsidRPr="00D01E98">
                    <w:rPr>
                      <w:sz w:val="22"/>
                      <w:szCs w:val="22"/>
                      <w:lang w:val="sr-Latn-ME"/>
                    </w:rPr>
                    <w:t>0,0002</w:t>
                  </w:r>
                  <w:r w:rsidRPr="00D01E98">
                    <w:rPr>
                      <w:sz w:val="22"/>
                      <w:szCs w:val="22"/>
                      <w:vertAlign w:val="superscript"/>
                      <w:lang w:val="sr-Latn-ME"/>
                    </w:rPr>
                    <w:t>i</w:t>
                  </w:r>
                </w:p>
              </w:tc>
            </w:tr>
          </w:tbl>
          <w:p w14:paraId="2E7962C9" w14:textId="77777777" w:rsidR="0020267D" w:rsidRPr="00D01E98" w:rsidRDefault="0020267D">
            <w:pPr>
              <w:pStyle w:val="Tekst"/>
              <w:rPr>
                <w:sz w:val="22"/>
                <w:szCs w:val="22"/>
                <w:lang w:val="sr-Latn-ME"/>
              </w:rPr>
            </w:pPr>
            <w:r w:rsidRPr="00D01E98">
              <w:rPr>
                <w:sz w:val="22"/>
                <w:szCs w:val="22"/>
                <w:lang w:val="sr-Latn-ME"/>
              </w:rPr>
              <w:t xml:space="preserve">CI = interval pouzdanosti; HR = stopa rizika, </w:t>
            </w:r>
            <w:r w:rsidRPr="00D01E98">
              <w:rPr>
                <w:i/>
                <w:sz w:val="22"/>
                <w:szCs w:val="22"/>
                <w:lang w:val="sr-Latn-ME"/>
              </w:rPr>
              <w:t>hazard ratio</w:t>
            </w:r>
            <w:r w:rsidRPr="00D01E98">
              <w:rPr>
                <w:sz w:val="22"/>
                <w:szCs w:val="22"/>
                <w:lang w:val="sr-Latn-ME"/>
              </w:rPr>
              <w:t xml:space="preserve"> (aksitinib/sorafenib); ITT: populacija koja je predviđena da se liječi, </w:t>
            </w:r>
            <w:r w:rsidRPr="00D01E98">
              <w:rPr>
                <w:i/>
                <w:sz w:val="22"/>
                <w:szCs w:val="22"/>
                <w:lang w:val="sr-Latn-ME"/>
              </w:rPr>
              <w:t>intention to treat;</w:t>
            </w:r>
            <w:r w:rsidRPr="00D01E98">
              <w:rPr>
                <w:sz w:val="22"/>
                <w:szCs w:val="22"/>
                <w:lang w:val="sr-Latn-ME"/>
              </w:rPr>
              <w:t xml:space="preserve"> NE: nije procjenjivo; NS: nije statistički značajno; ORR: stopa objektivnog odgovora, OS: ukupno preživljavanje; PFS: preživljavanje bez progresije bolesti.</w:t>
            </w:r>
          </w:p>
          <w:p w14:paraId="0ECF86CF" w14:textId="77777777" w:rsidR="0020267D" w:rsidRPr="00D01E98" w:rsidRDefault="0020267D">
            <w:pPr>
              <w:pStyle w:val="Tekst"/>
              <w:numPr>
                <w:ilvl w:val="0"/>
                <w:numId w:val="5"/>
              </w:numPr>
              <w:rPr>
                <w:sz w:val="22"/>
                <w:szCs w:val="22"/>
                <w:lang w:val="sr-Latn-ME"/>
              </w:rPr>
            </w:pPr>
            <w:r w:rsidRPr="00D01E98">
              <w:rPr>
                <w:sz w:val="22"/>
                <w:szCs w:val="22"/>
                <w:lang w:val="sr-Latn-ME"/>
              </w:rPr>
              <w:t>Vrijeme od randomizacije do progresije ili smrti usljed bilo kog uzroka, šta god se prvo dogodi. Datum prekida: 03. jun 2011. godine</w:t>
            </w:r>
          </w:p>
          <w:p w14:paraId="4A737AE8" w14:textId="77777777" w:rsidR="0020267D" w:rsidRPr="00D01E98" w:rsidRDefault="0020267D">
            <w:pPr>
              <w:pStyle w:val="Tekst"/>
              <w:numPr>
                <w:ilvl w:val="0"/>
                <w:numId w:val="5"/>
              </w:numPr>
              <w:rPr>
                <w:sz w:val="22"/>
                <w:szCs w:val="22"/>
                <w:lang w:val="sr-Latn-ME"/>
              </w:rPr>
            </w:pPr>
            <w:r w:rsidRPr="00D01E98">
              <w:rPr>
                <w:sz w:val="22"/>
                <w:szCs w:val="22"/>
                <w:lang w:val="sr-Latn-ME"/>
              </w:rPr>
              <w:t>Procijenjeno nezavisnim radiološkim pregledom prema kriterijumima za procjenu odgovora kod solidnih tumora (</w:t>
            </w:r>
            <w:r w:rsidRPr="00D01E98">
              <w:rPr>
                <w:i/>
                <w:sz w:val="22"/>
                <w:szCs w:val="22"/>
                <w:lang w:val="sr-Latn-ME"/>
              </w:rPr>
              <w:t>Response Evaluation Criteria in Solid Tumours</w:t>
            </w:r>
            <w:r w:rsidRPr="00D01E98">
              <w:rPr>
                <w:sz w:val="22"/>
                <w:szCs w:val="22"/>
                <w:lang w:val="sr-Latn-ME"/>
              </w:rPr>
              <w:t xml:space="preserve"> – RECIST).</w:t>
            </w:r>
          </w:p>
          <w:p w14:paraId="4B3F009B" w14:textId="77777777" w:rsidR="0020267D" w:rsidRPr="00D01E98" w:rsidRDefault="0020267D">
            <w:pPr>
              <w:pStyle w:val="Tekst"/>
              <w:numPr>
                <w:ilvl w:val="0"/>
                <w:numId w:val="5"/>
              </w:numPr>
              <w:rPr>
                <w:sz w:val="22"/>
                <w:szCs w:val="22"/>
                <w:lang w:val="sr-Latn-ME"/>
              </w:rPr>
            </w:pPr>
            <w:r w:rsidRPr="00D01E98">
              <w:rPr>
                <w:sz w:val="22"/>
                <w:szCs w:val="22"/>
                <w:lang w:val="sr-Latn-ME"/>
              </w:rPr>
              <w:t xml:space="preserve">Jednostrana p-vrijednost iz </w:t>
            </w:r>
            <w:r w:rsidRPr="00D01E98">
              <w:rPr>
                <w:i/>
                <w:sz w:val="22"/>
                <w:szCs w:val="22"/>
                <w:lang w:val="sr-Latn-ME"/>
              </w:rPr>
              <w:t>log-rank</w:t>
            </w:r>
            <w:r w:rsidRPr="00D01E98">
              <w:rPr>
                <w:sz w:val="22"/>
                <w:szCs w:val="22"/>
                <w:lang w:val="sr-Latn-ME"/>
              </w:rPr>
              <w:t xml:space="preserve"> testa stratifikovana po ECOG performans statusu i prethodnoj terapiji.</w:t>
            </w:r>
          </w:p>
          <w:p w14:paraId="4B070A7B" w14:textId="77777777" w:rsidR="0020267D" w:rsidRPr="00D01E98" w:rsidRDefault="0020267D">
            <w:pPr>
              <w:pStyle w:val="Tekst"/>
              <w:numPr>
                <w:ilvl w:val="0"/>
                <w:numId w:val="5"/>
              </w:numPr>
              <w:rPr>
                <w:sz w:val="22"/>
                <w:szCs w:val="22"/>
                <w:lang w:val="sr-Latn-ME"/>
              </w:rPr>
            </w:pPr>
            <w:r w:rsidRPr="00D01E98">
              <w:rPr>
                <w:sz w:val="22"/>
                <w:szCs w:val="22"/>
                <w:lang w:val="sr-Latn-ME"/>
              </w:rPr>
              <w:t>Datum prekida: 01. novembar 2011. godine</w:t>
            </w:r>
          </w:p>
          <w:p w14:paraId="6829F828" w14:textId="77777777" w:rsidR="0020267D" w:rsidRPr="00D01E98" w:rsidRDefault="0020267D">
            <w:pPr>
              <w:pStyle w:val="Tekst"/>
              <w:numPr>
                <w:ilvl w:val="0"/>
                <w:numId w:val="5"/>
              </w:numPr>
              <w:rPr>
                <w:sz w:val="22"/>
                <w:szCs w:val="22"/>
                <w:lang w:val="sr-Latn-ME"/>
              </w:rPr>
            </w:pPr>
            <w:r w:rsidRPr="00D01E98">
              <w:rPr>
                <w:sz w:val="22"/>
                <w:szCs w:val="22"/>
                <w:lang w:val="sr-Latn-ME"/>
              </w:rPr>
              <w:t>Datum prekida: 31. avgust 2010. godine</w:t>
            </w:r>
          </w:p>
          <w:p w14:paraId="2D2210D1" w14:textId="77777777" w:rsidR="0020267D" w:rsidRPr="00D01E98" w:rsidRDefault="0020267D">
            <w:pPr>
              <w:pStyle w:val="Tekst"/>
              <w:numPr>
                <w:ilvl w:val="0"/>
                <w:numId w:val="5"/>
              </w:numPr>
              <w:rPr>
                <w:sz w:val="22"/>
                <w:szCs w:val="22"/>
                <w:lang w:val="sr-Latn-ME"/>
              </w:rPr>
            </w:pPr>
            <w:r w:rsidRPr="00D01E98">
              <w:rPr>
                <w:sz w:val="22"/>
                <w:szCs w:val="22"/>
                <w:lang w:val="sr-Latn-ME"/>
              </w:rPr>
              <w:t>Stopa rizika se koristi za ORR. Stopa rizika &gt; 1 ukazuje na veću vjerovatnoću odgovora u aksitinib grupi; stopa rizika &lt; 1 ukazuje na veću vjerovatnoću odgovora u sorafenib grupi.</w:t>
            </w:r>
          </w:p>
          <w:p w14:paraId="0EEBE630" w14:textId="77777777" w:rsidR="0020267D" w:rsidRPr="00D01E98" w:rsidRDefault="0020267D">
            <w:pPr>
              <w:pStyle w:val="Tekst"/>
              <w:numPr>
                <w:ilvl w:val="0"/>
                <w:numId w:val="5"/>
              </w:numPr>
              <w:rPr>
                <w:sz w:val="22"/>
                <w:szCs w:val="22"/>
                <w:lang w:val="sr-Latn-ME"/>
              </w:rPr>
            </w:pPr>
            <w:r w:rsidRPr="00D01E98">
              <w:rPr>
                <w:sz w:val="22"/>
                <w:szCs w:val="22"/>
                <w:lang w:val="sr-Latn-ME"/>
              </w:rPr>
              <w:t xml:space="preserve">Jednostrana p-vrijednost iz </w:t>
            </w:r>
            <w:r w:rsidRPr="00D01E98">
              <w:rPr>
                <w:i/>
                <w:sz w:val="22"/>
                <w:szCs w:val="22"/>
                <w:lang w:val="sr-Latn-ME"/>
              </w:rPr>
              <w:t>Cochran-Mantel-Haenszel</w:t>
            </w:r>
            <w:r w:rsidRPr="00D01E98">
              <w:rPr>
                <w:sz w:val="22"/>
                <w:szCs w:val="22"/>
                <w:lang w:val="sr-Latn-ME"/>
              </w:rPr>
              <w:t xml:space="preserve"> testa stratifikovana po ECOG performans statusu i prethodnoj terapiji.</w:t>
            </w:r>
          </w:p>
          <w:p w14:paraId="0AEA8520" w14:textId="77777777" w:rsidR="0020267D" w:rsidRPr="00D01E98" w:rsidRDefault="0020267D">
            <w:pPr>
              <w:pStyle w:val="Tekst"/>
              <w:numPr>
                <w:ilvl w:val="0"/>
                <w:numId w:val="5"/>
              </w:numPr>
              <w:rPr>
                <w:sz w:val="22"/>
                <w:szCs w:val="22"/>
                <w:lang w:val="sr-Latn-ME"/>
              </w:rPr>
            </w:pPr>
            <w:r w:rsidRPr="00D01E98">
              <w:rPr>
                <w:sz w:val="22"/>
                <w:szCs w:val="22"/>
                <w:lang w:val="sr-Latn-ME"/>
              </w:rPr>
              <w:t xml:space="preserve">Jednostrana p-vrijednost iz </w:t>
            </w:r>
            <w:r w:rsidRPr="00D01E98">
              <w:rPr>
                <w:i/>
                <w:sz w:val="22"/>
                <w:szCs w:val="22"/>
                <w:lang w:val="sr-Latn-ME"/>
              </w:rPr>
              <w:t>log-rank</w:t>
            </w:r>
            <w:r w:rsidRPr="00D01E98">
              <w:rPr>
                <w:sz w:val="22"/>
                <w:szCs w:val="22"/>
                <w:lang w:val="sr-Latn-ME"/>
              </w:rPr>
              <w:t xml:space="preserve"> testa stratifikovana po ECOG performans statusu.</w:t>
            </w:r>
          </w:p>
          <w:p w14:paraId="6201CD40" w14:textId="77777777" w:rsidR="0020267D" w:rsidRPr="00D01E98" w:rsidRDefault="0020267D">
            <w:pPr>
              <w:pStyle w:val="Tekst"/>
              <w:numPr>
                <w:ilvl w:val="0"/>
                <w:numId w:val="5"/>
              </w:numPr>
              <w:rPr>
                <w:sz w:val="22"/>
                <w:szCs w:val="22"/>
                <w:lang w:val="sr-Latn-ME"/>
              </w:rPr>
            </w:pPr>
            <w:r w:rsidRPr="00D01E98">
              <w:rPr>
                <w:sz w:val="22"/>
                <w:szCs w:val="22"/>
                <w:lang w:val="sr-Latn-ME"/>
              </w:rPr>
              <w:t xml:space="preserve">Jednostrana p-vrijednost iz </w:t>
            </w:r>
            <w:r w:rsidRPr="00D01E98">
              <w:rPr>
                <w:i/>
                <w:sz w:val="22"/>
                <w:szCs w:val="22"/>
                <w:lang w:val="sr-Latn-ME"/>
              </w:rPr>
              <w:t>Cochran-Mantel-Haenszel</w:t>
            </w:r>
            <w:r w:rsidRPr="00D01E98">
              <w:rPr>
                <w:sz w:val="22"/>
                <w:szCs w:val="22"/>
                <w:lang w:val="sr-Latn-ME"/>
              </w:rPr>
              <w:t xml:space="preserve"> testa stratifikovana po ECOG performans statusu.</w:t>
            </w:r>
          </w:p>
          <w:p w14:paraId="06D66B72" w14:textId="5F46B533" w:rsidR="0020267D" w:rsidRPr="00D01E98" w:rsidRDefault="0020267D">
            <w:pPr>
              <w:pStyle w:val="Tekst"/>
              <w:rPr>
                <w:b/>
                <w:sz w:val="22"/>
                <w:szCs w:val="22"/>
                <w:lang w:val="sr-Latn-ME"/>
              </w:rPr>
            </w:pPr>
          </w:p>
          <w:p w14:paraId="6AE4B47A" w14:textId="6D64419D" w:rsidR="0020267D" w:rsidRPr="00D01E98" w:rsidRDefault="0020267D">
            <w:pPr>
              <w:pStyle w:val="Tekst"/>
              <w:rPr>
                <w:b/>
                <w:sz w:val="22"/>
                <w:szCs w:val="22"/>
                <w:lang w:val="sr-Latn-ME"/>
              </w:rPr>
            </w:pPr>
            <w:r w:rsidRPr="00D01E98">
              <w:rPr>
                <w:b/>
                <w:sz w:val="22"/>
                <w:szCs w:val="22"/>
                <w:lang w:val="sr-Latn-ME"/>
              </w:rPr>
              <w:t>Slika 1. Kaplan-Meier kriva preživljavanja bez progresije bolesti prema nezavisnoj procjeni za sveukupnu populaciju</w:t>
            </w:r>
            <w:r w:rsidR="00CF45E8" w:rsidRPr="00D01E98">
              <w:rPr>
                <w:b/>
                <w:noProof/>
                <w:sz w:val="22"/>
                <w:szCs w:val="22"/>
                <w:lang w:val="en-US"/>
              </w:rPr>
              <w:drawing>
                <wp:inline distT="0" distB="0" distL="0" distR="0" wp14:anchorId="3A361A7F" wp14:editId="48A35AB8">
                  <wp:extent cx="5762625" cy="3248025"/>
                  <wp:effectExtent l="0" t="0" r="9525" b="9525"/>
                  <wp:docPr id="30" name="Picture 30" descr="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248025"/>
                          </a:xfrm>
                          <a:prstGeom prst="rect">
                            <a:avLst/>
                          </a:prstGeom>
                          <a:noFill/>
                          <a:ln>
                            <a:noFill/>
                          </a:ln>
                        </pic:spPr>
                      </pic:pic>
                    </a:graphicData>
                  </a:graphic>
                </wp:inline>
              </w:drawing>
            </w:r>
          </w:p>
          <w:p w14:paraId="62EC91C5" w14:textId="361AF957" w:rsidR="0020267D" w:rsidRPr="00D01E98" w:rsidRDefault="0020267D">
            <w:pPr>
              <w:pStyle w:val="Tekst"/>
              <w:rPr>
                <w:b/>
                <w:sz w:val="22"/>
                <w:szCs w:val="22"/>
                <w:lang w:val="sr-Latn-ME"/>
              </w:rPr>
            </w:pPr>
            <w:r w:rsidRPr="00D01E98">
              <w:rPr>
                <w:b/>
                <w:noProof/>
                <w:sz w:val="22"/>
                <w:szCs w:val="22"/>
                <w:lang w:val="en-US"/>
              </w:rPr>
              <mc:AlternateContent>
                <mc:Choice Requires="wps">
                  <w:drawing>
                    <wp:anchor distT="0" distB="0" distL="114300" distR="114300" simplePos="0" relativeHeight="251643392" behindDoc="0" locked="0" layoutInCell="1" allowOverlap="1" wp14:anchorId="00925EB2" wp14:editId="0A4787A4">
                      <wp:simplePos x="0" y="0"/>
                      <wp:positionH relativeFrom="column">
                        <wp:posOffset>4232910</wp:posOffset>
                      </wp:positionH>
                      <wp:positionV relativeFrom="paragraph">
                        <wp:posOffset>875665</wp:posOffset>
                      </wp:positionV>
                      <wp:extent cx="1278255" cy="190500"/>
                      <wp:effectExtent l="0" t="63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0618B" w14:textId="77777777" w:rsidR="00264191" w:rsidRPr="00162C58" w:rsidRDefault="00264191" w:rsidP="0020267D">
                                  <w:pPr>
                                    <w:rPr>
                                      <w:sz w:val="22"/>
                                    </w:rPr>
                                  </w:pPr>
                                  <w:r w:rsidRPr="00162C58">
                                    <w:rPr>
                                      <w:sz w:val="22"/>
                                    </w:rPr>
                                    <w:t>Prosječno 4,7 mjeseci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5EB2" id="_x0000_t202" coordsize="21600,21600" o:spt="202" path="m,l,21600r21600,l21600,xe">
                      <v:stroke joinstyle="miter"/>
                      <v:path gradientshapeok="t" o:connecttype="rect"/>
                    </v:shapetype>
                    <v:shape id="Text Box 17" o:spid="_x0000_s1026" type="#_x0000_t202" style="position:absolute;left:0;text-align:left;margin-left:333.3pt;margin-top:68.95pt;width:100.6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" stroked="f">
                      <v:textbox inset="0,0,0,0">
                        <w:txbxContent>
                          <w:p w14:paraId="4D00618B" w14:textId="77777777" w:rsidR="00264191" w:rsidRPr="00162C58" w:rsidRDefault="00264191" w:rsidP="0020267D">
                            <w:pPr>
                              <w:rPr>
                                <w:sz w:val="22"/>
                              </w:rPr>
                            </w:pPr>
                            <w:r w:rsidRPr="00162C58">
                              <w:rPr>
                                <w:sz w:val="22"/>
                              </w:rPr>
                              <w:t>Prosječno 4,7 mjeseci</w:t>
                            </w:r>
                          </w:p>
                        </w:txbxContent>
                      </v:textbox>
                    </v:shape>
                  </w:pict>
                </mc:Fallback>
              </mc:AlternateContent>
            </w:r>
            <w:r w:rsidRPr="00D01E98">
              <w:rPr>
                <w:b/>
                <w:noProof/>
                <w:sz w:val="22"/>
                <w:szCs w:val="22"/>
                <w:lang w:val="en-US"/>
              </w:rPr>
              <mc:AlternateContent>
                <mc:Choice Requires="wps">
                  <w:drawing>
                    <wp:anchor distT="0" distB="0" distL="114300" distR="114300" simplePos="0" relativeHeight="251645440" behindDoc="0" locked="0" layoutInCell="1" allowOverlap="1" wp14:anchorId="752B6229" wp14:editId="1C61C475">
                      <wp:simplePos x="0" y="0"/>
                      <wp:positionH relativeFrom="column">
                        <wp:posOffset>4421505</wp:posOffset>
                      </wp:positionH>
                      <wp:positionV relativeFrom="paragraph">
                        <wp:posOffset>1506220</wp:posOffset>
                      </wp:positionV>
                      <wp:extent cx="533400" cy="127635"/>
                      <wp:effectExtent l="0" t="2540" r="190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93F7C" w14:textId="77777777" w:rsidR="00264191" w:rsidRPr="00162C58" w:rsidRDefault="00264191" w:rsidP="0020267D">
                                  <w:pPr>
                                    <w:rPr>
                                      <w:lang w:val="sr-Latn-RS"/>
                                    </w:rPr>
                                  </w:pPr>
                                  <w:r w:rsidRPr="00162C58">
                                    <w:rPr>
                                      <w:lang w:val="sr-Latn-RS"/>
                                    </w:rPr>
                                    <w:t>vrijednost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B6229" id="Text Box 16" o:spid="_x0000_s1027" type="#_x0000_t202" style="position:absolute;left:0;text-align:left;margin-left:348.15pt;margin-top:118.6pt;width:42pt;height:10.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30fQIAAAc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" stroked="f">
                      <v:textbox inset="0,0,0,0">
                        <w:txbxContent>
                          <w:p w14:paraId="13D93F7C" w14:textId="77777777" w:rsidR="00264191" w:rsidRPr="00162C58" w:rsidRDefault="00264191" w:rsidP="0020267D">
                            <w:pPr>
                              <w:rPr>
                                <w:lang w:val="sr-Latn-RS"/>
                              </w:rPr>
                            </w:pPr>
                            <w:r w:rsidRPr="00162C58">
                              <w:rPr>
                                <w:lang w:val="sr-Latn-RS"/>
                              </w:rPr>
                              <w:t>vrijednost</w:t>
                            </w:r>
                          </w:p>
                        </w:txbxContent>
                      </v:textbox>
                    </v:shape>
                  </w:pict>
                </mc:Fallback>
              </mc:AlternateContent>
            </w:r>
            <w:r w:rsidRPr="00D01E98">
              <w:rPr>
                <w:b/>
                <w:noProof/>
                <w:sz w:val="22"/>
                <w:szCs w:val="22"/>
                <w:lang w:val="en-US"/>
              </w:rPr>
              <mc:AlternateContent>
                <mc:Choice Requires="wps">
                  <w:drawing>
                    <wp:anchor distT="0" distB="0" distL="114300" distR="114300" simplePos="0" relativeHeight="251641344" behindDoc="0" locked="0" layoutInCell="1" allowOverlap="1" wp14:anchorId="6DBA7A9E" wp14:editId="25FEEF7E">
                      <wp:simplePos x="0" y="0"/>
                      <wp:positionH relativeFrom="column">
                        <wp:posOffset>4236720</wp:posOffset>
                      </wp:positionH>
                      <wp:positionV relativeFrom="paragraph">
                        <wp:posOffset>440055</wp:posOffset>
                      </wp:positionV>
                      <wp:extent cx="1348740" cy="221615"/>
                      <wp:effectExtent l="3810" t="3175"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A8452" w14:textId="77777777" w:rsidR="00264191" w:rsidRPr="00E2114F" w:rsidRDefault="00264191" w:rsidP="0020267D">
                                  <w:pPr>
                                    <w:rPr>
                                      <w:sz w:val="22"/>
                                      <w:lang w:val="sr-Latn-RS"/>
                                    </w:rPr>
                                  </w:pPr>
                                  <w:r w:rsidRPr="00E2114F">
                                    <w:rPr>
                                      <w:sz w:val="22"/>
                                      <w:lang w:val="sr-Latn-RS"/>
                                    </w:rPr>
                                    <w:t>Prosječno 6,8 mjeseci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A7A9E" id="Text Box 15" o:spid="_x0000_s1028" type="#_x0000_t202" style="position:absolute;left:0;text-align:left;margin-left:333.6pt;margin-top:34.65pt;width:106.2pt;height:17.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" stroked="f">
                      <v:textbox inset="0,0,0,0">
                        <w:txbxContent>
                          <w:p w14:paraId="145A8452" w14:textId="77777777" w:rsidR="00264191" w:rsidRPr="00E2114F" w:rsidRDefault="00264191" w:rsidP="0020267D">
                            <w:pPr>
                              <w:rPr>
                                <w:sz w:val="22"/>
                                <w:lang w:val="sr-Latn-RS"/>
                              </w:rPr>
                            </w:pPr>
                            <w:r w:rsidRPr="00E2114F">
                              <w:rPr>
                                <w:sz w:val="22"/>
                                <w:lang w:val="sr-Latn-RS"/>
                              </w:rPr>
                              <w:t>Prosječno 6,8 mjeseci</w:t>
                            </w:r>
                          </w:p>
                        </w:txbxContent>
                      </v:textbox>
                    </v:shape>
                  </w:pict>
                </mc:Fallback>
              </mc:AlternateContent>
            </w:r>
            <w:r w:rsidRPr="00D01E98">
              <w:rPr>
                <w:b/>
                <w:noProof/>
                <w:sz w:val="22"/>
                <w:szCs w:val="22"/>
                <w:lang w:val="en-US"/>
              </w:rPr>
              <mc:AlternateContent>
                <mc:Choice Requires="wps">
                  <w:drawing>
                    <wp:anchor distT="0" distB="0" distL="114300" distR="114300" simplePos="0" relativeHeight="251639296" behindDoc="0" locked="0" layoutInCell="1" allowOverlap="1" wp14:anchorId="4036846C" wp14:editId="0683004D">
                      <wp:simplePos x="0" y="0"/>
                      <wp:positionH relativeFrom="column">
                        <wp:posOffset>2438400</wp:posOffset>
                      </wp:positionH>
                      <wp:positionV relativeFrom="paragraph">
                        <wp:posOffset>2863850</wp:posOffset>
                      </wp:positionV>
                      <wp:extent cx="1739265" cy="390525"/>
                      <wp:effectExtent l="0"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C46D6" w14:textId="3DB8DA40" w:rsidR="00264191" w:rsidRPr="00AE4205" w:rsidRDefault="00264191" w:rsidP="0020267D">
                                  <w:pPr>
                                    <w:rPr>
                                      <w:sz w:val="18"/>
                                      <w:lang w:val="sr-Latn-RS"/>
                                    </w:rPr>
                                  </w:pPr>
                                  <w:r w:rsidRPr="00AE4205">
                                    <w:rPr>
                                      <w:sz w:val="18"/>
                                      <w:lang w:val="sr-Latn-RS"/>
                                    </w:rPr>
                                    <w:t xml:space="preserve">Vrijeme </w:t>
                                  </w:r>
                                  <w:r>
                                    <w:rPr>
                                      <w:sz w:val="18"/>
                                      <w:lang w:val="sr-Latn-RS"/>
                                    </w:rPr>
                                    <w:t>(</w:t>
                                  </w:r>
                                  <w:r w:rsidRPr="00AE4205">
                                    <w:rPr>
                                      <w:sz w:val="18"/>
                                      <w:lang w:val="sr-Latn-RS"/>
                                    </w:rPr>
                                    <w:t>mjeseci)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6846C" id="Text Box 14" o:spid="_x0000_s1029" type="#_x0000_t202" style="position:absolute;left:0;text-align:left;margin-left:192pt;margin-top:225.5pt;width:136.95pt;height:3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CZhQ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" stroked="f">
                      <v:textbox>
                        <w:txbxContent>
                          <w:p w14:paraId="73FC46D6" w14:textId="3DB8DA40" w:rsidR="00264191" w:rsidRPr="00AE4205" w:rsidRDefault="00264191" w:rsidP="0020267D">
                            <w:pPr>
                              <w:rPr>
                                <w:sz w:val="18"/>
                                <w:lang w:val="sr-Latn-RS"/>
                              </w:rPr>
                            </w:pPr>
                            <w:r w:rsidRPr="00AE4205">
                              <w:rPr>
                                <w:sz w:val="18"/>
                                <w:lang w:val="sr-Latn-RS"/>
                              </w:rPr>
                              <w:t xml:space="preserve">Vrijeme </w:t>
                            </w:r>
                            <w:r>
                              <w:rPr>
                                <w:sz w:val="18"/>
                                <w:lang w:val="sr-Latn-RS"/>
                              </w:rPr>
                              <w:t>(</w:t>
                            </w:r>
                            <w:r w:rsidRPr="00AE4205">
                              <w:rPr>
                                <w:sz w:val="18"/>
                                <w:lang w:val="sr-Latn-RS"/>
                              </w:rPr>
                              <w:t>mjeseci)</w:t>
                            </w:r>
                          </w:p>
                        </w:txbxContent>
                      </v:textbox>
                    </v:shape>
                  </w:pict>
                </mc:Fallback>
              </mc:AlternateContent>
            </w:r>
          </w:p>
          <w:p w14:paraId="28A130AC" w14:textId="77777777" w:rsidR="0020267D" w:rsidRPr="00D01E98" w:rsidRDefault="0020267D">
            <w:pPr>
              <w:pStyle w:val="Tekst"/>
              <w:rPr>
                <w:b/>
                <w:sz w:val="22"/>
                <w:szCs w:val="22"/>
                <w:lang w:val="sr-Latn-ME"/>
              </w:rPr>
            </w:pPr>
            <w:r w:rsidRPr="00D01E98">
              <w:rPr>
                <w:b/>
                <w:sz w:val="22"/>
                <w:szCs w:val="22"/>
                <w:lang w:val="sr-Latn-ME"/>
              </w:rPr>
              <w:t>Slika 2. Kaplan-Meier kriva preživljavanja bez progresije bolesti prema nezavisnoj procjeni za podgrupu koja je prethodno primala sunitinib</w:t>
            </w:r>
          </w:p>
          <w:p w14:paraId="4AD504DC" w14:textId="6AFCD015" w:rsidR="0020267D" w:rsidRPr="00D01E98" w:rsidRDefault="00AA11B4">
            <w:pPr>
              <w:pStyle w:val="Tekst"/>
              <w:rPr>
                <w:b/>
                <w:sz w:val="22"/>
                <w:szCs w:val="22"/>
                <w:lang w:val="sr-Latn-ME"/>
              </w:rPr>
            </w:pPr>
            <w:r w:rsidRPr="00D01E98">
              <w:rPr>
                <w:b/>
                <w:noProof/>
                <w:sz w:val="22"/>
                <w:szCs w:val="22"/>
                <w:lang w:val="en-US"/>
              </w:rPr>
              <w:lastRenderedPageBreak/>
              <mc:AlternateContent>
                <mc:Choice Requires="wps">
                  <w:drawing>
                    <wp:anchor distT="0" distB="0" distL="114300" distR="114300" simplePos="0" relativeHeight="251651584" behindDoc="0" locked="0" layoutInCell="1" allowOverlap="1" wp14:anchorId="7EE9D8A8" wp14:editId="07D38331">
                      <wp:simplePos x="0" y="0"/>
                      <wp:positionH relativeFrom="column">
                        <wp:posOffset>4196715</wp:posOffset>
                      </wp:positionH>
                      <wp:positionV relativeFrom="paragraph">
                        <wp:posOffset>553720</wp:posOffset>
                      </wp:positionV>
                      <wp:extent cx="1276350" cy="228600"/>
                      <wp:effectExtent l="0" t="1905"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D6047" w14:textId="77777777" w:rsidR="00264191" w:rsidRPr="002F13DD" w:rsidRDefault="00264191" w:rsidP="0020267D">
                                  <w:pPr>
                                    <w:rPr>
                                      <w:sz w:val="22"/>
                                    </w:rPr>
                                  </w:pPr>
                                  <w:r w:rsidRPr="002F13DD">
                                    <w:rPr>
                                      <w:sz w:val="22"/>
                                    </w:rPr>
                                    <w:t>Prosječno 4,8 mjeseci</w:t>
                                  </w:r>
                                </w:p>
                                <w:p w14:paraId="420361C1" w14:textId="77777777" w:rsidR="00264191" w:rsidRDefault="00264191" w:rsidP="002026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D8A8" id="Text Box 11" o:spid="_x0000_s1030" type="#_x0000_t202" style="position:absolute;left:0;text-align:left;margin-left:330.45pt;margin-top:43.6pt;width:100.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" stroked="f">
                      <v:textbox inset="0,0,0,0">
                        <w:txbxContent>
                          <w:p w14:paraId="401D6047" w14:textId="77777777" w:rsidR="00264191" w:rsidRPr="002F13DD" w:rsidRDefault="00264191" w:rsidP="0020267D">
                            <w:pPr>
                              <w:rPr>
                                <w:sz w:val="22"/>
                              </w:rPr>
                            </w:pPr>
                            <w:r w:rsidRPr="002F13DD">
                              <w:rPr>
                                <w:sz w:val="22"/>
                              </w:rPr>
                              <w:t>Prosječno 4,8 mjeseci</w:t>
                            </w:r>
                          </w:p>
                          <w:p w14:paraId="420361C1" w14:textId="77777777" w:rsidR="00264191" w:rsidRDefault="00264191" w:rsidP="0020267D"/>
                        </w:txbxContent>
                      </v:textbox>
                    </v:shape>
                  </w:pict>
                </mc:Fallback>
              </mc:AlternateContent>
            </w:r>
            <w:r w:rsidR="0020267D" w:rsidRPr="00D01E98">
              <w:rPr>
                <w:b/>
                <w:noProof/>
                <w:sz w:val="22"/>
                <w:szCs w:val="22"/>
                <w:lang w:val="en-US"/>
              </w:rPr>
              <mc:AlternateContent>
                <mc:Choice Requires="wps">
                  <w:drawing>
                    <wp:anchor distT="0" distB="0" distL="114300" distR="114300" simplePos="0" relativeHeight="251655680" behindDoc="0" locked="0" layoutInCell="1" allowOverlap="1" wp14:anchorId="54ED7DB0" wp14:editId="35FBBD14">
                      <wp:simplePos x="0" y="0"/>
                      <wp:positionH relativeFrom="column">
                        <wp:posOffset>4126230</wp:posOffset>
                      </wp:positionH>
                      <wp:positionV relativeFrom="paragraph">
                        <wp:posOffset>970915</wp:posOffset>
                      </wp:positionV>
                      <wp:extent cx="1293495" cy="266700"/>
                      <wp:effectExtent l="0" t="635"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1BF63" w14:textId="77777777" w:rsidR="00264191" w:rsidRPr="00556297" w:rsidRDefault="00264191" w:rsidP="0020267D">
                                  <w:pPr>
                                    <w:rPr>
                                      <w:sz w:val="22"/>
                                    </w:rPr>
                                  </w:pPr>
                                  <w:r w:rsidRPr="00556297">
                                    <w:rPr>
                                      <w:sz w:val="22"/>
                                    </w:rPr>
                                    <w:t>Prosječno 3,4 mjeseca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7DB0" id="Text Box 13" o:spid="_x0000_s1031" type="#_x0000_t202" style="position:absolute;left:0;text-align:left;margin-left:324.9pt;margin-top:76.45pt;width:101.8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fFfgIAAAg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" stroked="f">
                      <v:textbox inset="0,0,0,0">
                        <w:txbxContent>
                          <w:p w14:paraId="3541BF63" w14:textId="77777777" w:rsidR="00264191" w:rsidRPr="00556297" w:rsidRDefault="00264191" w:rsidP="0020267D">
                            <w:pPr>
                              <w:rPr>
                                <w:sz w:val="22"/>
                              </w:rPr>
                            </w:pPr>
                            <w:r w:rsidRPr="00556297">
                              <w:rPr>
                                <w:sz w:val="22"/>
                              </w:rPr>
                              <w:t>Prosječno 3,4 mjeseca</w:t>
                            </w:r>
                          </w:p>
                        </w:txbxContent>
                      </v:textbox>
                    </v:shape>
                  </w:pict>
                </mc:Fallback>
              </mc:AlternateContent>
            </w:r>
            <w:r w:rsidR="0020267D" w:rsidRPr="00D01E98">
              <w:rPr>
                <w:b/>
                <w:noProof/>
                <w:sz w:val="22"/>
                <w:szCs w:val="22"/>
                <w:lang w:val="en-US"/>
              </w:rPr>
              <mc:AlternateContent>
                <mc:Choice Requires="wps">
                  <w:drawing>
                    <wp:anchor distT="0" distB="0" distL="114300" distR="114300" simplePos="0" relativeHeight="251659776" behindDoc="0" locked="0" layoutInCell="1" allowOverlap="1" wp14:anchorId="15917093" wp14:editId="47DD5B69">
                      <wp:simplePos x="0" y="0"/>
                      <wp:positionH relativeFrom="column">
                        <wp:posOffset>4183380</wp:posOffset>
                      </wp:positionH>
                      <wp:positionV relativeFrom="paragraph">
                        <wp:posOffset>1621790</wp:posOffset>
                      </wp:positionV>
                      <wp:extent cx="683895" cy="180975"/>
                      <wp:effectExtent l="0" t="3810" r="381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EEAAC" w14:textId="77777777" w:rsidR="00264191" w:rsidRPr="00914418" w:rsidRDefault="00264191" w:rsidP="0020267D">
                                  <w:pPr>
                                    <w:rPr>
                                      <w:lang w:val="sr-Latn-RS"/>
                                    </w:rPr>
                                  </w:pPr>
                                  <w:r>
                                    <w:rPr>
                                      <w:lang w:val="sr-Latn-RS"/>
                                    </w:rPr>
                                    <w:t xml:space="preserve">p- </w:t>
                                  </w:r>
                                  <w:r w:rsidRPr="00914418">
                                    <w:rPr>
                                      <w:lang w:val="sr-Latn-RS"/>
                                    </w:rPr>
                                    <w:t>vrijednost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17093" id="Text Box 12" o:spid="_x0000_s1032" type="#_x0000_t202" style="position:absolute;left:0;text-align:left;margin-left:329.4pt;margin-top:127.7pt;width:53.8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" stroked="f">
                      <v:textbox inset="0,0,0,0">
                        <w:txbxContent>
                          <w:p w14:paraId="6A6EEAAC" w14:textId="77777777" w:rsidR="00264191" w:rsidRPr="00914418" w:rsidRDefault="00264191" w:rsidP="0020267D">
                            <w:pPr>
                              <w:rPr>
                                <w:lang w:val="sr-Latn-RS"/>
                              </w:rPr>
                            </w:pPr>
                            <w:r>
                              <w:rPr>
                                <w:lang w:val="sr-Latn-RS"/>
                              </w:rPr>
                              <w:t xml:space="preserve">p- </w:t>
                            </w:r>
                            <w:r w:rsidRPr="00914418">
                              <w:rPr>
                                <w:lang w:val="sr-Latn-RS"/>
                              </w:rPr>
                              <w:t>vrijednost</w:t>
                            </w:r>
                          </w:p>
                        </w:txbxContent>
                      </v:textbox>
                    </v:shape>
                  </w:pict>
                </mc:Fallback>
              </mc:AlternateContent>
            </w:r>
            <w:r w:rsidR="0020267D" w:rsidRPr="00D01E98">
              <w:rPr>
                <w:b/>
                <w:noProof/>
                <w:sz w:val="22"/>
                <w:szCs w:val="22"/>
                <w:lang w:val="en-US"/>
              </w:rPr>
              <mc:AlternateContent>
                <mc:Choice Requires="wps">
                  <w:drawing>
                    <wp:anchor distT="0" distB="0" distL="114300" distR="114300" simplePos="0" relativeHeight="251647488" behindDoc="0" locked="0" layoutInCell="1" allowOverlap="1" wp14:anchorId="1153878D" wp14:editId="4C83D3B6">
                      <wp:simplePos x="0" y="0"/>
                      <wp:positionH relativeFrom="column">
                        <wp:posOffset>2524125</wp:posOffset>
                      </wp:positionH>
                      <wp:positionV relativeFrom="paragraph">
                        <wp:posOffset>3048635</wp:posOffset>
                      </wp:positionV>
                      <wp:extent cx="1478280" cy="238125"/>
                      <wp:effectExtent l="0" t="1905"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86B0E" w14:textId="58C98001" w:rsidR="00264191" w:rsidRPr="002F13DD" w:rsidRDefault="00264191" w:rsidP="0020267D">
                                  <w:pPr>
                                    <w:rPr>
                                      <w:lang w:val="sr-Latn-RS"/>
                                    </w:rPr>
                                  </w:pPr>
                                  <w:r w:rsidRPr="002F13DD">
                                    <w:rPr>
                                      <w:lang w:val="sr-Latn-RS"/>
                                    </w:rPr>
                                    <w:t>Vrijeme (mjeseci)</w:t>
                                  </w:r>
                                </w:p>
                                <w:p w14:paraId="3B4FDAEB" w14:textId="77777777" w:rsidR="00264191" w:rsidRPr="002F13DD" w:rsidRDefault="00264191" w:rsidP="002026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878D" id="Text Box 10" o:spid="_x0000_s1033" type="#_x0000_t202" style="position:absolute;left:0;text-align:left;margin-left:198.75pt;margin-top:240.05pt;width:116.4pt;height:1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" stroked="f">
                      <v:textbox inset="0,0,0,0">
                        <w:txbxContent>
                          <w:p w14:paraId="5D986B0E" w14:textId="58C98001" w:rsidR="00264191" w:rsidRPr="002F13DD" w:rsidRDefault="00264191" w:rsidP="0020267D">
                            <w:pPr>
                              <w:rPr>
                                <w:lang w:val="sr-Latn-RS"/>
                              </w:rPr>
                            </w:pPr>
                            <w:r w:rsidRPr="002F13DD">
                              <w:rPr>
                                <w:lang w:val="sr-Latn-RS"/>
                              </w:rPr>
                              <w:t>Vrijeme (mjeseci)</w:t>
                            </w:r>
                          </w:p>
                          <w:p w14:paraId="3B4FDAEB" w14:textId="77777777" w:rsidR="00264191" w:rsidRPr="002F13DD" w:rsidRDefault="00264191" w:rsidP="0020267D"/>
                        </w:txbxContent>
                      </v:textbox>
                    </v:shape>
                  </w:pict>
                </mc:Fallback>
              </mc:AlternateContent>
            </w:r>
            <w:r w:rsidR="0020267D" w:rsidRPr="00D01E98">
              <w:rPr>
                <w:b/>
                <w:noProof/>
                <w:sz w:val="22"/>
                <w:szCs w:val="22"/>
                <w:lang w:val="en-US"/>
              </w:rPr>
              <w:drawing>
                <wp:inline distT="0" distB="0" distL="0" distR="0" wp14:anchorId="785DBC63" wp14:editId="3F1128E9">
                  <wp:extent cx="5762625" cy="3381375"/>
                  <wp:effectExtent l="0" t="0" r="9525" b="9525"/>
                  <wp:docPr id="4" name="Picture 4" descr="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381375"/>
                          </a:xfrm>
                          <a:prstGeom prst="rect">
                            <a:avLst/>
                          </a:prstGeom>
                          <a:noFill/>
                          <a:ln>
                            <a:noFill/>
                          </a:ln>
                        </pic:spPr>
                      </pic:pic>
                    </a:graphicData>
                  </a:graphic>
                </wp:inline>
              </w:drawing>
            </w:r>
          </w:p>
          <w:p w14:paraId="6928459C" w14:textId="77777777" w:rsidR="0020267D" w:rsidRPr="00D01E98" w:rsidRDefault="0020267D">
            <w:pPr>
              <w:pStyle w:val="Tekst"/>
              <w:rPr>
                <w:b/>
                <w:sz w:val="22"/>
                <w:szCs w:val="22"/>
                <w:lang w:val="sr-Latn-ME"/>
              </w:rPr>
            </w:pPr>
          </w:p>
          <w:p w14:paraId="49035BC5" w14:textId="77777777" w:rsidR="0020267D" w:rsidRPr="00D01E98" w:rsidRDefault="0020267D">
            <w:pPr>
              <w:pStyle w:val="Tekst"/>
              <w:rPr>
                <w:b/>
                <w:sz w:val="22"/>
                <w:szCs w:val="22"/>
                <w:lang w:val="sr-Latn-ME"/>
              </w:rPr>
            </w:pPr>
            <w:r w:rsidRPr="00D01E98">
              <w:rPr>
                <w:b/>
                <w:sz w:val="22"/>
                <w:szCs w:val="22"/>
                <w:lang w:val="sr-Latn-ME"/>
              </w:rPr>
              <w:t>Slika 3. Kaplan-Meier kriva preživljavanja bez progresije bolesti prema nezavisnoj procjeni za podgrupu koja je prethodno primala citokin</w:t>
            </w:r>
          </w:p>
          <w:p w14:paraId="20E47633" w14:textId="3D62E800" w:rsidR="0020267D" w:rsidRPr="00D01E98" w:rsidRDefault="00AA11B4">
            <w:pPr>
              <w:pStyle w:val="Tekst"/>
              <w:rPr>
                <w:b/>
                <w:sz w:val="22"/>
                <w:szCs w:val="22"/>
                <w:lang w:val="sr-Latn-ME"/>
              </w:rPr>
            </w:pPr>
            <w:r w:rsidRPr="00D01E98">
              <w:rPr>
                <w:b/>
                <w:noProof/>
                <w:sz w:val="22"/>
                <w:szCs w:val="22"/>
                <w:lang w:val="en-US"/>
              </w:rPr>
              <mc:AlternateContent>
                <mc:Choice Requires="wps">
                  <w:drawing>
                    <wp:anchor distT="0" distB="0" distL="114300" distR="114300" simplePos="0" relativeHeight="251675136" behindDoc="0" locked="0" layoutInCell="1" allowOverlap="1" wp14:anchorId="39917DE5" wp14:editId="6F25E6A8">
                      <wp:simplePos x="0" y="0"/>
                      <wp:positionH relativeFrom="column">
                        <wp:posOffset>4295775</wp:posOffset>
                      </wp:positionH>
                      <wp:positionV relativeFrom="paragraph">
                        <wp:posOffset>1593215</wp:posOffset>
                      </wp:positionV>
                      <wp:extent cx="683895" cy="180975"/>
                      <wp:effectExtent l="0" t="381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1A66F" w14:textId="77777777" w:rsidR="00264191" w:rsidRPr="00914418" w:rsidRDefault="00264191" w:rsidP="00AA11B4">
                                  <w:pPr>
                                    <w:rPr>
                                      <w:lang w:val="sr-Latn-RS"/>
                                    </w:rPr>
                                  </w:pPr>
                                  <w:r>
                                    <w:rPr>
                                      <w:lang w:val="sr-Latn-RS"/>
                                    </w:rPr>
                                    <w:t xml:space="preserve">p- </w:t>
                                  </w:r>
                                  <w:r w:rsidRPr="00914418">
                                    <w:rPr>
                                      <w:lang w:val="sr-Latn-RS"/>
                                    </w:rPr>
                                    <w:t>vrijednost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7DE5" id="Text Box 1" o:spid="_x0000_s1034" type="#_x0000_t202" style="position:absolute;left:0;text-align:left;margin-left:338.25pt;margin-top:125.45pt;width:53.85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" stroked="f">
                      <v:textbox inset="0,0,0,0">
                        <w:txbxContent>
                          <w:p w14:paraId="3DF1A66F" w14:textId="77777777" w:rsidR="00264191" w:rsidRPr="00914418" w:rsidRDefault="00264191" w:rsidP="00AA11B4">
                            <w:pPr>
                              <w:rPr>
                                <w:lang w:val="sr-Latn-RS"/>
                              </w:rPr>
                            </w:pPr>
                            <w:r>
                              <w:rPr>
                                <w:lang w:val="sr-Latn-RS"/>
                              </w:rPr>
                              <w:t xml:space="preserve">p- </w:t>
                            </w:r>
                            <w:r w:rsidRPr="00914418">
                              <w:rPr>
                                <w:lang w:val="sr-Latn-RS"/>
                              </w:rPr>
                              <w:t>vrijednost</w:t>
                            </w:r>
                          </w:p>
                        </w:txbxContent>
                      </v:textbox>
                    </v:shape>
                  </w:pict>
                </mc:Fallback>
              </mc:AlternateContent>
            </w:r>
            <w:r w:rsidR="0020267D" w:rsidRPr="00D01E98">
              <w:rPr>
                <w:b/>
                <w:noProof/>
                <w:sz w:val="22"/>
                <w:szCs w:val="22"/>
                <w:lang w:val="en-US"/>
              </w:rPr>
              <mc:AlternateContent>
                <mc:Choice Requires="wps">
                  <w:drawing>
                    <wp:anchor distT="0" distB="0" distL="114300" distR="114300" simplePos="0" relativeHeight="251668992" behindDoc="0" locked="0" layoutInCell="1" allowOverlap="1" wp14:anchorId="38C01A95" wp14:editId="748B124F">
                      <wp:simplePos x="0" y="0"/>
                      <wp:positionH relativeFrom="column">
                        <wp:posOffset>4272915</wp:posOffset>
                      </wp:positionH>
                      <wp:positionV relativeFrom="paragraph">
                        <wp:posOffset>925195</wp:posOffset>
                      </wp:positionV>
                      <wp:extent cx="1316355" cy="161925"/>
                      <wp:effectExtent l="1905" t="63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A0BEE" w14:textId="77777777" w:rsidR="00264191" w:rsidRPr="008D4889" w:rsidRDefault="00264191" w:rsidP="0020267D">
                                  <w:pPr>
                                    <w:rPr>
                                      <w:sz w:val="22"/>
                                    </w:rPr>
                                  </w:pPr>
                                  <w:r w:rsidRPr="008D4889">
                                    <w:rPr>
                                      <w:sz w:val="22"/>
                                    </w:rPr>
                                    <w:t xml:space="preserve">Prosječno </w:t>
                                  </w:r>
                                  <w:r>
                                    <w:rPr>
                                      <w:sz w:val="22"/>
                                    </w:rPr>
                                    <w:t>6,6</w:t>
                                  </w:r>
                                  <w:r w:rsidRPr="008D4889">
                                    <w:rPr>
                                      <w:sz w:val="22"/>
                                    </w:rPr>
                                    <w:t xml:space="preserve"> mjeseci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1A95" id="Text Box 8" o:spid="_x0000_s1035" type="#_x0000_t202" style="position:absolute;left:0;text-align:left;margin-left:336.45pt;margin-top:72.85pt;width:103.65pt;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" stroked="f">
                      <v:textbox inset="0,0,0,0">
                        <w:txbxContent>
                          <w:p w14:paraId="317A0BEE" w14:textId="77777777" w:rsidR="00264191" w:rsidRPr="008D4889" w:rsidRDefault="00264191" w:rsidP="0020267D">
                            <w:pPr>
                              <w:rPr>
                                <w:sz w:val="22"/>
                              </w:rPr>
                            </w:pPr>
                            <w:r w:rsidRPr="008D4889">
                              <w:rPr>
                                <w:sz w:val="22"/>
                              </w:rPr>
                              <w:t xml:space="preserve">Prosječno </w:t>
                            </w:r>
                            <w:r>
                              <w:rPr>
                                <w:sz w:val="22"/>
                              </w:rPr>
                              <w:t>6,6</w:t>
                            </w:r>
                            <w:r w:rsidRPr="008D4889">
                              <w:rPr>
                                <w:sz w:val="22"/>
                              </w:rPr>
                              <w:t xml:space="preserve"> mjeseci</w:t>
                            </w:r>
                          </w:p>
                        </w:txbxContent>
                      </v:textbox>
                    </v:shape>
                  </w:pict>
                </mc:Fallback>
              </mc:AlternateContent>
            </w:r>
            <w:r w:rsidR="0020267D" w:rsidRPr="00D01E98">
              <w:rPr>
                <w:b/>
                <w:noProof/>
                <w:sz w:val="22"/>
                <w:szCs w:val="22"/>
                <w:lang w:val="en-US"/>
              </w:rPr>
              <mc:AlternateContent>
                <mc:Choice Requires="wps">
                  <w:drawing>
                    <wp:anchor distT="0" distB="0" distL="114300" distR="114300" simplePos="0" relativeHeight="251665920" behindDoc="0" locked="0" layoutInCell="1" allowOverlap="1" wp14:anchorId="741E87C2" wp14:editId="524B1F40">
                      <wp:simplePos x="0" y="0"/>
                      <wp:positionH relativeFrom="column">
                        <wp:posOffset>4276725</wp:posOffset>
                      </wp:positionH>
                      <wp:positionV relativeFrom="paragraph">
                        <wp:posOffset>485775</wp:posOffset>
                      </wp:positionV>
                      <wp:extent cx="1316355" cy="194945"/>
                      <wp:effectExtent l="0"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F7432" w14:textId="77777777" w:rsidR="00264191" w:rsidRPr="0063280C" w:rsidRDefault="00264191" w:rsidP="0020267D">
                                  <w:pPr>
                                    <w:rPr>
                                      <w:sz w:val="22"/>
                                      <w:lang w:val="sr-Latn-RS"/>
                                    </w:rPr>
                                  </w:pPr>
                                  <w:r w:rsidRPr="0063280C">
                                    <w:rPr>
                                      <w:sz w:val="22"/>
                                      <w:lang w:val="sr-Latn-RS"/>
                                    </w:rPr>
                                    <w:t>Prosječno 12,0 mjeseci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E87C2" id="Text Box 7" o:spid="_x0000_s1036" type="#_x0000_t202" style="position:absolute;left:0;text-align:left;margin-left:336.75pt;margin-top:38.25pt;width:103.65pt;height:1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ktfQIAAAc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" stroked="f">
                      <v:textbox inset="0,0,0,0">
                        <w:txbxContent>
                          <w:p w14:paraId="571F7432" w14:textId="77777777" w:rsidR="00264191" w:rsidRPr="0063280C" w:rsidRDefault="00264191" w:rsidP="0020267D">
                            <w:pPr>
                              <w:rPr>
                                <w:sz w:val="22"/>
                                <w:lang w:val="sr-Latn-RS"/>
                              </w:rPr>
                            </w:pPr>
                            <w:r w:rsidRPr="0063280C">
                              <w:rPr>
                                <w:sz w:val="22"/>
                                <w:lang w:val="sr-Latn-RS"/>
                              </w:rPr>
                              <w:t>Prosječno 12,0 mjeseci</w:t>
                            </w:r>
                          </w:p>
                        </w:txbxContent>
                      </v:textbox>
                    </v:shape>
                  </w:pict>
                </mc:Fallback>
              </mc:AlternateContent>
            </w:r>
            <w:r w:rsidR="0020267D" w:rsidRPr="00D01E98">
              <w:rPr>
                <w:b/>
                <w:noProof/>
                <w:sz w:val="22"/>
                <w:szCs w:val="22"/>
                <w:lang w:val="en-US"/>
              </w:rPr>
              <mc:AlternateContent>
                <mc:Choice Requires="wps">
                  <w:drawing>
                    <wp:anchor distT="0" distB="0" distL="114300" distR="114300" simplePos="0" relativeHeight="251662848" behindDoc="0" locked="0" layoutInCell="1" allowOverlap="1" wp14:anchorId="26FACB2B" wp14:editId="7E510031">
                      <wp:simplePos x="0" y="0"/>
                      <wp:positionH relativeFrom="column">
                        <wp:posOffset>2440305</wp:posOffset>
                      </wp:positionH>
                      <wp:positionV relativeFrom="paragraph">
                        <wp:posOffset>3032760</wp:posOffset>
                      </wp:positionV>
                      <wp:extent cx="1276350" cy="285750"/>
                      <wp:effectExtent l="0" t="3175"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F31AC" w14:textId="0485F4FA" w:rsidR="00264191" w:rsidRPr="00D471AF" w:rsidRDefault="00264191" w:rsidP="0020267D">
                                  <w:pPr>
                                    <w:rPr>
                                      <w:lang w:val="sr-Latn-RS"/>
                                    </w:rPr>
                                  </w:pPr>
                                  <w:r w:rsidRPr="00D471AF">
                                    <w:rPr>
                                      <w:lang w:val="sr-Latn-RS"/>
                                    </w:rPr>
                                    <w:t>Vrijeme (mjeseci)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ACB2B" id="Text Box 6" o:spid="_x0000_s1037" type="#_x0000_t202" style="position:absolute;left:0;text-align:left;margin-left:192.15pt;margin-top:238.8pt;width:100.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Fjew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" stroked="f">
                      <v:textbox inset="0,0,0,0">
                        <w:txbxContent>
                          <w:p w14:paraId="246F31AC" w14:textId="0485F4FA" w:rsidR="00264191" w:rsidRPr="00D471AF" w:rsidRDefault="00264191" w:rsidP="0020267D">
                            <w:pPr>
                              <w:rPr>
                                <w:lang w:val="sr-Latn-RS"/>
                              </w:rPr>
                            </w:pPr>
                            <w:r w:rsidRPr="00D471AF">
                              <w:rPr>
                                <w:lang w:val="sr-Latn-RS"/>
                              </w:rPr>
                              <w:t>Vrijeme (mjeseci)</w:t>
                            </w:r>
                          </w:p>
                        </w:txbxContent>
                      </v:textbox>
                    </v:shape>
                  </w:pict>
                </mc:Fallback>
              </mc:AlternateContent>
            </w:r>
            <w:r w:rsidR="0020267D" w:rsidRPr="00D01E98">
              <w:rPr>
                <w:b/>
                <w:noProof/>
                <w:sz w:val="22"/>
                <w:szCs w:val="22"/>
                <w:lang w:val="en-US"/>
              </w:rPr>
              <w:drawing>
                <wp:inline distT="0" distB="0" distL="0" distR="0" wp14:anchorId="04815443" wp14:editId="708A3693">
                  <wp:extent cx="5762625" cy="3381375"/>
                  <wp:effectExtent l="0" t="0" r="9525" b="9525"/>
                  <wp:docPr id="3" name="Picture 3" descr="sli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a-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381375"/>
                          </a:xfrm>
                          <a:prstGeom prst="rect">
                            <a:avLst/>
                          </a:prstGeom>
                          <a:noFill/>
                          <a:ln>
                            <a:noFill/>
                          </a:ln>
                        </pic:spPr>
                      </pic:pic>
                    </a:graphicData>
                  </a:graphic>
                </wp:inline>
              </w:drawing>
            </w:r>
          </w:p>
          <w:p w14:paraId="77975000" w14:textId="03CBC77E" w:rsidR="0020267D" w:rsidRPr="00D01E98" w:rsidRDefault="0020267D">
            <w:pPr>
              <w:pStyle w:val="Tekst"/>
              <w:rPr>
                <w:b/>
                <w:sz w:val="22"/>
                <w:szCs w:val="22"/>
                <w:lang w:val="sr-Latn-ME"/>
              </w:rPr>
            </w:pPr>
            <w:r w:rsidRPr="00D01E98">
              <w:rPr>
                <w:sz w:val="22"/>
                <w:szCs w:val="22"/>
                <w:u w:val="single"/>
                <w:lang w:val="sr-Latn-ME"/>
              </w:rPr>
              <w:t>Pedijatrijska populacija</w:t>
            </w:r>
          </w:p>
          <w:p w14:paraId="279D38CC" w14:textId="74D87A80" w:rsidR="0020267D" w:rsidRPr="00D01E98" w:rsidRDefault="0020267D">
            <w:pPr>
              <w:pStyle w:val="Tekst"/>
              <w:rPr>
                <w:sz w:val="22"/>
                <w:szCs w:val="22"/>
                <w:lang w:val="sr-Latn-ME"/>
              </w:rPr>
            </w:pPr>
            <w:r w:rsidRPr="00D01E98">
              <w:rPr>
                <w:sz w:val="22"/>
                <w:szCs w:val="22"/>
                <w:lang w:val="sr-Latn-ME"/>
              </w:rPr>
              <w:t xml:space="preserve">Evropska agencija za ljekove je izuzela obavezu podnošenja rezultata ispitivanja sa aksitinibom u svim podgrupama pedijatrijske populacije za liječenje karcinoma bubrega i bubrežne karlice (osim nefroblastoma, nefroblastomatoze, „clear cell“ sarkoma, mezoblastičnog nefroma, renalniog medularnog karcinoma i rabdoidnog tumora bubrega) (vidjeti </w:t>
            </w:r>
            <w:r w:rsidR="00264191" w:rsidRPr="00D01E98">
              <w:rPr>
                <w:sz w:val="22"/>
                <w:szCs w:val="22"/>
                <w:lang w:val="sr-Latn-ME"/>
              </w:rPr>
              <w:t>dio</w:t>
            </w:r>
            <w:r w:rsidRPr="00D01E98">
              <w:rPr>
                <w:sz w:val="22"/>
                <w:szCs w:val="22"/>
                <w:lang w:val="sr-Latn-ME"/>
              </w:rPr>
              <w:t xml:space="preserve"> 4.2 za informacije o pedijatrijskoj primjeni).</w:t>
            </w:r>
          </w:p>
        </w:tc>
      </w:tr>
      <w:tr w:rsidR="0020267D" w:rsidRPr="00D01E98" w14:paraId="3F0B28F7" w14:textId="77777777" w:rsidTr="00757DA0">
        <w:tc>
          <w:tcPr>
            <w:tcW w:w="9906" w:type="dxa"/>
            <w:gridSpan w:val="3"/>
            <w:shd w:val="clear" w:color="auto" w:fill="auto"/>
            <w:vAlign w:val="center"/>
          </w:tcPr>
          <w:p w14:paraId="2CAFC5E3" w14:textId="77777777" w:rsidR="00CF45E8" w:rsidRPr="00D01E98" w:rsidRDefault="00CF45E8" w:rsidP="00923DFD">
            <w:pPr>
              <w:pStyle w:val="Header"/>
              <w:tabs>
                <w:tab w:val="left" w:pos="284"/>
              </w:tabs>
              <w:jc w:val="both"/>
              <w:rPr>
                <w:b/>
                <w:bCs/>
                <w:sz w:val="22"/>
                <w:szCs w:val="22"/>
              </w:rPr>
            </w:pPr>
          </w:p>
          <w:p w14:paraId="5C6C3A73" w14:textId="0CB8E82D" w:rsidR="0020267D" w:rsidRPr="00D01E98" w:rsidRDefault="0020267D" w:rsidP="00923DFD">
            <w:pPr>
              <w:pStyle w:val="Header"/>
              <w:tabs>
                <w:tab w:val="left" w:pos="284"/>
              </w:tabs>
              <w:jc w:val="both"/>
              <w:rPr>
                <w:b/>
                <w:bCs/>
                <w:sz w:val="22"/>
                <w:szCs w:val="22"/>
              </w:rPr>
            </w:pPr>
            <w:r w:rsidRPr="00D01E98">
              <w:rPr>
                <w:b/>
                <w:bCs/>
                <w:sz w:val="22"/>
                <w:szCs w:val="22"/>
              </w:rPr>
              <w:t>5.2. Farmakokinetički podaci</w:t>
            </w:r>
          </w:p>
        </w:tc>
      </w:tr>
      <w:tr w:rsidR="0020267D" w:rsidRPr="00D01E98" w14:paraId="3A2E3C5B" w14:textId="77777777" w:rsidTr="00757DA0">
        <w:trPr>
          <w:trHeight w:val="720"/>
        </w:trPr>
        <w:tc>
          <w:tcPr>
            <w:tcW w:w="9906" w:type="dxa"/>
            <w:gridSpan w:val="3"/>
            <w:shd w:val="clear" w:color="auto" w:fill="auto"/>
            <w:vAlign w:val="center"/>
          </w:tcPr>
          <w:p w14:paraId="2A2F67BE" w14:textId="77777777" w:rsidR="0020267D" w:rsidRPr="00D01E98" w:rsidRDefault="0020267D">
            <w:pPr>
              <w:pStyle w:val="Tekst"/>
              <w:rPr>
                <w:sz w:val="22"/>
                <w:szCs w:val="22"/>
                <w:lang w:val="sr-Latn-ME"/>
              </w:rPr>
            </w:pPr>
            <w:r w:rsidRPr="00D01E98">
              <w:rPr>
                <w:sz w:val="22"/>
                <w:szCs w:val="22"/>
                <w:lang w:val="sr-Latn-ME"/>
              </w:rPr>
              <w:t xml:space="preserve">Poslije oralne primjene aksitinib tableta, prosječna apsolutna bioraspoloživost iznosi 58% u odnosu na intravensku primjenu. Poluvrijeme eliminacije aksitiniba u plazmi kreće se od 2,5 do 6,1 sati. Primjena doze od 5 mg aksitiniba dva puta dnevno dovodi do akumulacije koja je niža od dvostruke vrijednosti koja se postiže </w:t>
            </w:r>
            <w:r w:rsidRPr="00D01E98">
              <w:rPr>
                <w:sz w:val="22"/>
                <w:szCs w:val="22"/>
                <w:lang w:val="sr-Latn-ME"/>
              </w:rPr>
              <w:lastRenderedPageBreak/>
              <w:t>primjenom jedne doze. Na osnovu kratkog poluvremena eliminacije aksitiniba, postizanje stanja ravnoteže se očekuje u roku od 2 do 3 dana nakon primjene prve doze.</w:t>
            </w:r>
          </w:p>
          <w:p w14:paraId="77ABBFF5" w14:textId="77777777" w:rsidR="0020267D" w:rsidRPr="00D01E98" w:rsidRDefault="0020267D">
            <w:pPr>
              <w:pStyle w:val="Tekst"/>
              <w:rPr>
                <w:sz w:val="22"/>
                <w:szCs w:val="22"/>
                <w:lang w:val="sr-Latn-ME"/>
              </w:rPr>
            </w:pPr>
          </w:p>
          <w:p w14:paraId="12F01557" w14:textId="77777777" w:rsidR="0020267D" w:rsidRPr="00D01E98" w:rsidRDefault="0020267D">
            <w:pPr>
              <w:pStyle w:val="Tekst"/>
              <w:rPr>
                <w:sz w:val="22"/>
                <w:szCs w:val="22"/>
                <w:u w:val="single"/>
                <w:lang w:val="sr-Latn-ME"/>
              </w:rPr>
            </w:pPr>
            <w:r w:rsidRPr="00D01E98">
              <w:rPr>
                <w:sz w:val="22"/>
                <w:szCs w:val="22"/>
                <w:u w:val="single"/>
                <w:lang w:val="sr-Latn-ME"/>
              </w:rPr>
              <w:t>Resorpcija i distribucija</w:t>
            </w:r>
          </w:p>
          <w:p w14:paraId="1F6F5D7C" w14:textId="2FE07790" w:rsidR="0020267D" w:rsidRPr="00D01E98" w:rsidRDefault="0020267D">
            <w:pPr>
              <w:pStyle w:val="Tekst"/>
              <w:rPr>
                <w:sz w:val="22"/>
                <w:szCs w:val="22"/>
                <w:lang w:val="sr-Latn-ME"/>
              </w:rPr>
            </w:pPr>
            <w:r w:rsidRPr="00D01E98">
              <w:rPr>
                <w:sz w:val="22"/>
                <w:szCs w:val="22"/>
                <w:lang w:val="sr-Latn-ME"/>
              </w:rPr>
              <w:t>Najveće koncentracije aksitiniba u plazmi se postižu u roku od 4 sata nakon peroralne primjene aksitiniba, a prosječno T</w:t>
            </w:r>
            <w:r w:rsidRPr="00D01E98">
              <w:rPr>
                <w:sz w:val="22"/>
                <w:szCs w:val="22"/>
                <w:vertAlign w:val="subscript"/>
                <w:lang w:val="sr-Latn-ME"/>
              </w:rPr>
              <w:t>max</w:t>
            </w:r>
            <w:r w:rsidRPr="00D01E98">
              <w:rPr>
                <w:sz w:val="22"/>
                <w:szCs w:val="22"/>
                <w:lang w:val="sr-Latn-ME"/>
              </w:rPr>
              <w:t xml:space="preserve"> kreće se u rasponu od 2,5 do 4,1 sati. Primjena aksitiniba uz umjereno mastan obrok rezultirala</w:t>
            </w:r>
            <w:r w:rsidR="009D53A0" w:rsidRPr="00D01E98">
              <w:rPr>
                <w:sz w:val="22"/>
                <w:szCs w:val="22"/>
                <w:lang w:val="sr-Latn-ME"/>
              </w:rPr>
              <w:t xml:space="preserve"> </w:t>
            </w:r>
            <w:r w:rsidRPr="00D01E98">
              <w:rPr>
                <w:sz w:val="22"/>
                <w:szCs w:val="22"/>
                <w:lang w:val="sr-Latn-ME"/>
              </w:rPr>
              <w:t xml:space="preserve">je 10% manjoj izloženošću u poređenju na primjenu natašte. Obrok sa dosta masnoće i kalorija je doveo je do 19% veće izloženosti u odnosu na primjenu natašte. Aksitinib se može uzimati sa hranom ili bez nje (vidjeti </w:t>
            </w:r>
            <w:r w:rsidR="00264191" w:rsidRPr="00D01E98">
              <w:rPr>
                <w:sz w:val="22"/>
                <w:szCs w:val="22"/>
                <w:lang w:val="sr-Latn-ME"/>
              </w:rPr>
              <w:t>dio</w:t>
            </w:r>
            <w:r w:rsidRPr="00D01E98">
              <w:rPr>
                <w:sz w:val="22"/>
                <w:szCs w:val="22"/>
                <w:lang w:val="sr-Latn-ME"/>
              </w:rPr>
              <w:t xml:space="preserve"> 4.2).</w:t>
            </w:r>
          </w:p>
          <w:p w14:paraId="0E621E57" w14:textId="77777777" w:rsidR="0020267D" w:rsidRPr="00D01E98" w:rsidRDefault="0020267D">
            <w:pPr>
              <w:pStyle w:val="Tekst"/>
              <w:rPr>
                <w:sz w:val="22"/>
                <w:szCs w:val="22"/>
                <w:lang w:val="sr-Latn-ME"/>
              </w:rPr>
            </w:pPr>
          </w:p>
          <w:p w14:paraId="65329D3C" w14:textId="2EABB5A4" w:rsidR="0020267D" w:rsidRPr="00D01E98" w:rsidRDefault="0020267D">
            <w:pPr>
              <w:pStyle w:val="Tekst"/>
              <w:rPr>
                <w:sz w:val="22"/>
                <w:szCs w:val="22"/>
                <w:lang w:val="sr-Latn-ME"/>
              </w:rPr>
            </w:pPr>
            <w:r w:rsidRPr="00D01E98">
              <w:rPr>
                <w:sz w:val="22"/>
                <w:szCs w:val="22"/>
                <w:lang w:val="sr-Latn-ME"/>
              </w:rPr>
              <w:t>Prosječne vrijednosti C</w:t>
            </w:r>
            <w:r w:rsidRPr="00D01E98">
              <w:rPr>
                <w:sz w:val="22"/>
                <w:szCs w:val="22"/>
                <w:vertAlign w:val="subscript"/>
                <w:lang w:val="sr-Latn-ME"/>
              </w:rPr>
              <w:t>max</w:t>
            </w:r>
            <w:r w:rsidRPr="00D01E98">
              <w:rPr>
                <w:sz w:val="22"/>
                <w:szCs w:val="22"/>
                <w:lang w:val="sr-Latn-ME"/>
              </w:rPr>
              <w:t xml:space="preserve"> i PIK proporcionalno su se povećale u doznom opsegu aksitiniba od 5 mg do 10 mg. </w:t>
            </w:r>
            <w:r w:rsidRPr="00D01E98">
              <w:rPr>
                <w:i/>
                <w:sz w:val="22"/>
                <w:szCs w:val="22"/>
                <w:lang w:val="sr-Latn-ME"/>
              </w:rPr>
              <w:t>In vitro</w:t>
            </w:r>
            <w:r w:rsidRPr="00D01E98">
              <w:rPr>
                <w:sz w:val="22"/>
                <w:szCs w:val="22"/>
                <w:lang w:val="sr-Latn-ME"/>
              </w:rPr>
              <w:t xml:space="preserve"> vezivanje aksitiniba za humane proteine plazme je &gt; 99% sa prvenstvenim vezivanjem za albumin i umjerenim vezivanjem za </w:t>
            </w:r>
            <w:r w:rsidRPr="00D01E98">
              <w:rPr>
                <w:rFonts w:eastAsia="Adobe Myungjo Std M"/>
                <w:sz w:val="22"/>
                <w:szCs w:val="22"/>
                <w:lang w:val="sr-Latn-ME"/>
              </w:rPr>
              <w:t>α</w:t>
            </w:r>
            <w:r w:rsidRPr="00D01E98">
              <w:rPr>
                <w:sz w:val="22"/>
                <w:szCs w:val="22"/>
                <w:lang w:val="sr-Latn-ME"/>
              </w:rPr>
              <w:t>1-kiseli glikoprotein. Pri dozi od 5 mg dva puta dnevno nakon uzimanja hrane, geometrijska sredina najveće koncentracije u plazmi bila je 27,8 ng/mL, a 24-časovni PIK bio je 265 ng.h/ml kod pacijenata sa uznapredovalim RCC. Geometrijska sredina klirensa nakon peroralne primjene bila je 38 l/h, a prividni volumen distribucije bio je 160 l.</w:t>
            </w:r>
          </w:p>
          <w:p w14:paraId="61C6F863" w14:textId="77777777" w:rsidR="0020267D" w:rsidRPr="00D01E98" w:rsidRDefault="0020267D">
            <w:pPr>
              <w:pStyle w:val="Tekst"/>
              <w:rPr>
                <w:i/>
                <w:sz w:val="22"/>
                <w:szCs w:val="22"/>
                <w:u w:val="single"/>
                <w:lang w:val="sr-Latn-ME"/>
              </w:rPr>
            </w:pPr>
          </w:p>
          <w:p w14:paraId="2933D5E4" w14:textId="77777777" w:rsidR="0020267D" w:rsidRPr="00D01E98" w:rsidRDefault="0020267D">
            <w:pPr>
              <w:pStyle w:val="Tekst"/>
              <w:rPr>
                <w:sz w:val="22"/>
                <w:szCs w:val="22"/>
                <w:u w:val="single"/>
                <w:lang w:val="sr-Latn-ME"/>
              </w:rPr>
            </w:pPr>
            <w:r w:rsidRPr="00D01E98">
              <w:rPr>
                <w:sz w:val="22"/>
                <w:szCs w:val="22"/>
                <w:u w:val="single"/>
                <w:lang w:val="sr-Latn-ME"/>
              </w:rPr>
              <w:t>Biotransformacija i eliminacija</w:t>
            </w:r>
          </w:p>
          <w:p w14:paraId="44A16332" w14:textId="77777777" w:rsidR="0020267D" w:rsidRPr="00D01E98" w:rsidRDefault="0020267D">
            <w:pPr>
              <w:pStyle w:val="Tekst"/>
              <w:rPr>
                <w:sz w:val="22"/>
                <w:szCs w:val="22"/>
                <w:lang w:val="sr-Latn-ME"/>
              </w:rPr>
            </w:pPr>
            <w:r w:rsidRPr="00D01E98">
              <w:rPr>
                <w:sz w:val="22"/>
                <w:szCs w:val="22"/>
                <w:lang w:val="sr-Latn-ME"/>
              </w:rPr>
              <w:t>Aksitinib se primarno metaboliše u jetri putem CYP3A4/5 i u manjoj mjeri putem CYP1A2, CYP2C19 i UGT1A1.</w:t>
            </w:r>
          </w:p>
          <w:p w14:paraId="7E67470F" w14:textId="77777777" w:rsidR="0020267D" w:rsidRPr="00D01E98" w:rsidRDefault="0020267D">
            <w:pPr>
              <w:pStyle w:val="Tekst"/>
              <w:rPr>
                <w:sz w:val="22"/>
                <w:szCs w:val="22"/>
                <w:lang w:val="sr-Latn-ME"/>
              </w:rPr>
            </w:pPr>
          </w:p>
          <w:p w14:paraId="5B1DF8BE" w14:textId="706A58EC" w:rsidR="0020267D" w:rsidRPr="00D01E98" w:rsidRDefault="0020267D">
            <w:pPr>
              <w:pStyle w:val="Tekst"/>
              <w:rPr>
                <w:sz w:val="22"/>
                <w:szCs w:val="22"/>
                <w:lang w:val="sr-Latn-ME"/>
              </w:rPr>
            </w:pPr>
            <w:r w:rsidRPr="00D01E98">
              <w:rPr>
                <w:sz w:val="22"/>
                <w:szCs w:val="22"/>
                <w:lang w:val="sr-Latn-ME"/>
              </w:rPr>
              <w:t>Nakon peroralne primjene radioaktivnog aksitiniba u dozi od 5 mg, 30-60% radioaktivnosti je pronađeno u fecesu, a 23% radioaktivnosti u urinu. Nepromijenjen aksitinib, koji čini 12% doze, bio je glavna komponenta identifikovana u fecesu. Nepromijenjen aksitinib nije pronađen u urinu; karboksilne kiseline i sulfoksidni metaboliti činili su većinu radioaktivnosti u urinu. U plazmi, metabolit N-glukuronid bio je dominantna radioaktivna komponenta (50% cirkulišuće radioaktivnosti), a neizmijenjen aksitinib i sulfoksidni metabolit činili su po oko 20% cirkulišuće radioaktivnosti.</w:t>
            </w:r>
          </w:p>
          <w:p w14:paraId="27DC7940" w14:textId="77777777" w:rsidR="0020267D" w:rsidRPr="00D01E98" w:rsidRDefault="0020267D">
            <w:pPr>
              <w:pStyle w:val="Tekst"/>
              <w:rPr>
                <w:sz w:val="22"/>
                <w:szCs w:val="22"/>
                <w:lang w:val="sr-Latn-ME"/>
              </w:rPr>
            </w:pPr>
          </w:p>
          <w:p w14:paraId="50245920" w14:textId="77777777" w:rsidR="0020267D" w:rsidRPr="00D01E98" w:rsidRDefault="0020267D">
            <w:pPr>
              <w:pStyle w:val="Tekst"/>
              <w:rPr>
                <w:sz w:val="22"/>
                <w:szCs w:val="22"/>
                <w:lang w:val="sr-Latn-ME"/>
              </w:rPr>
            </w:pPr>
            <w:r w:rsidRPr="00D01E98">
              <w:rPr>
                <w:sz w:val="22"/>
                <w:szCs w:val="22"/>
                <w:lang w:val="sr-Latn-ME"/>
              </w:rPr>
              <w:t xml:space="preserve">Sulfoksidni metaboliti i metabolit N-glukuronid pokazuju oko 400 puta, odnosno 8000 puta manju jačinu </w:t>
            </w:r>
            <w:r w:rsidRPr="00D01E98">
              <w:rPr>
                <w:i/>
                <w:sz w:val="22"/>
                <w:szCs w:val="22"/>
                <w:lang w:val="sr-Latn-ME"/>
              </w:rPr>
              <w:t>in vitro</w:t>
            </w:r>
            <w:r w:rsidRPr="00D01E98">
              <w:rPr>
                <w:sz w:val="22"/>
                <w:szCs w:val="22"/>
                <w:lang w:val="sr-Latn-ME"/>
              </w:rPr>
              <w:t xml:space="preserve"> protiv VEGFR-2 u odnosu na aksitinib.</w:t>
            </w:r>
          </w:p>
          <w:p w14:paraId="1D7C0867" w14:textId="77777777" w:rsidR="0020267D" w:rsidRPr="00D01E98" w:rsidRDefault="0020267D">
            <w:pPr>
              <w:pStyle w:val="Tekst"/>
              <w:rPr>
                <w:sz w:val="22"/>
                <w:szCs w:val="22"/>
                <w:lang w:val="sr-Latn-ME"/>
              </w:rPr>
            </w:pPr>
          </w:p>
          <w:p w14:paraId="3A5B20D9" w14:textId="77777777" w:rsidR="0020267D" w:rsidRPr="00D01E98" w:rsidRDefault="0020267D">
            <w:pPr>
              <w:pStyle w:val="Tekst"/>
              <w:rPr>
                <w:sz w:val="22"/>
                <w:szCs w:val="22"/>
                <w:u w:val="single"/>
                <w:lang w:val="sr-Latn-ME"/>
              </w:rPr>
            </w:pPr>
            <w:r w:rsidRPr="00D01E98">
              <w:rPr>
                <w:sz w:val="22"/>
                <w:szCs w:val="22"/>
                <w:u w:val="single"/>
                <w:lang w:val="sr-Latn-ME"/>
              </w:rPr>
              <w:t>Posebne populacije</w:t>
            </w:r>
          </w:p>
          <w:p w14:paraId="3519C157" w14:textId="77777777" w:rsidR="00F85F6B" w:rsidRPr="00D01E98" w:rsidRDefault="00F85F6B">
            <w:pPr>
              <w:pStyle w:val="Tekst"/>
              <w:rPr>
                <w:sz w:val="22"/>
                <w:szCs w:val="22"/>
                <w:u w:val="single"/>
                <w:lang w:val="sr-Latn-ME"/>
              </w:rPr>
            </w:pPr>
          </w:p>
          <w:p w14:paraId="5507FEF8" w14:textId="77777777" w:rsidR="0020267D" w:rsidRPr="00D01E98" w:rsidRDefault="0020267D">
            <w:pPr>
              <w:pStyle w:val="Tekst"/>
              <w:rPr>
                <w:i/>
                <w:sz w:val="22"/>
                <w:szCs w:val="22"/>
                <w:u w:val="single"/>
                <w:lang w:val="sr-Latn-ME"/>
              </w:rPr>
            </w:pPr>
            <w:r w:rsidRPr="00D01E98">
              <w:rPr>
                <w:i/>
                <w:sz w:val="22"/>
                <w:szCs w:val="22"/>
                <w:u w:val="single"/>
                <w:lang w:val="sr-Latn-ME"/>
              </w:rPr>
              <w:t>Stariji pacijenti, pol i rasa</w:t>
            </w:r>
          </w:p>
          <w:p w14:paraId="2ECD5DA4" w14:textId="77777777" w:rsidR="0020267D" w:rsidRPr="00D01E98" w:rsidRDefault="0020267D">
            <w:pPr>
              <w:pStyle w:val="Tekst"/>
              <w:rPr>
                <w:sz w:val="22"/>
                <w:szCs w:val="22"/>
                <w:lang w:val="sr-Latn-ME"/>
              </w:rPr>
            </w:pPr>
            <w:r w:rsidRPr="00D01E98">
              <w:rPr>
                <w:sz w:val="22"/>
                <w:szCs w:val="22"/>
                <w:lang w:val="sr-Latn-ME"/>
              </w:rPr>
              <w:t>Populacione farmakokinetičke analize kod pacijenata sa uznapredovalim karcinomom (uključujući uznapredovali RCC) i zdravih dobrovoljaca pokazuju da starosna dob, pol, tjelesna masa, rasa, bubrežna funkcija, UGT1A1 genotip i CYP2C19 genotip nemaju klinički značajnog uticaja..</w:t>
            </w:r>
          </w:p>
          <w:p w14:paraId="178E257C" w14:textId="77777777" w:rsidR="0020267D" w:rsidRPr="00D01E98" w:rsidRDefault="0020267D">
            <w:pPr>
              <w:pStyle w:val="Tekst"/>
              <w:rPr>
                <w:sz w:val="22"/>
                <w:szCs w:val="22"/>
                <w:lang w:val="sr-Latn-ME"/>
              </w:rPr>
            </w:pPr>
          </w:p>
          <w:p w14:paraId="4340D5C5" w14:textId="77777777" w:rsidR="0020267D" w:rsidRPr="00D01E98" w:rsidRDefault="0020267D">
            <w:pPr>
              <w:pStyle w:val="Tekst"/>
              <w:rPr>
                <w:i/>
                <w:sz w:val="22"/>
                <w:szCs w:val="22"/>
                <w:u w:val="single"/>
                <w:lang w:val="sr-Latn-ME"/>
              </w:rPr>
            </w:pPr>
            <w:r w:rsidRPr="00D01E98">
              <w:rPr>
                <w:i/>
                <w:sz w:val="22"/>
                <w:szCs w:val="22"/>
                <w:u w:val="single"/>
                <w:lang w:val="sr-Latn-ME"/>
              </w:rPr>
              <w:t>Pedijatrijska populacija</w:t>
            </w:r>
          </w:p>
          <w:p w14:paraId="2955CA99" w14:textId="77777777" w:rsidR="0020267D" w:rsidRPr="00D01E98" w:rsidRDefault="0020267D">
            <w:pPr>
              <w:pStyle w:val="Tekst"/>
              <w:rPr>
                <w:sz w:val="22"/>
                <w:szCs w:val="22"/>
                <w:lang w:val="sr-Latn-ME"/>
              </w:rPr>
            </w:pPr>
            <w:r w:rsidRPr="00D01E98">
              <w:rPr>
                <w:sz w:val="22"/>
                <w:szCs w:val="22"/>
                <w:lang w:val="sr-Latn-ME"/>
              </w:rPr>
              <w:t>Aksitinib nije ispitivan kod pacijenata mlađih od 18 godina.</w:t>
            </w:r>
          </w:p>
          <w:p w14:paraId="5B4A15DD" w14:textId="77777777" w:rsidR="0020267D" w:rsidRPr="00D01E98" w:rsidRDefault="0020267D">
            <w:pPr>
              <w:pStyle w:val="Tekst"/>
              <w:rPr>
                <w:sz w:val="22"/>
                <w:szCs w:val="22"/>
                <w:lang w:val="sr-Latn-ME"/>
              </w:rPr>
            </w:pPr>
          </w:p>
          <w:p w14:paraId="4435A7A9" w14:textId="77777777" w:rsidR="0020267D" w:rsidRPr="00D01E98" w:rsidRDefault="0020267D">
            <w:pPr>
              <w:pStyle w:val="Tekst"/>
              <w:rPr>
                <w:i/>
                <w:sz w:val="22"/>
                <w:szCs w:val="22"/>
                <w:u w:val="single"/>
                <w:lang w:val="sr-Latn-ME"/>
              </w:rPr>
            </w:pPr>
            <w:r w:rsidRPr="00D01E98">
              <w:rPr>
                <w:i/>
                <w:sz w:val="22"/>
                <w:szCs w:val="22"/>
                <w:u w:val="single"/>
                <w:lang w:val="sr-Latn-ME"/>
              </w:rPr>
              <w:t>Oštećenje funkcije jetre</w:t>
            </w:r>
          </w:p>
          <w:p w14:paraId="596DD935" w14:textId="77777777" w:rsidR="0020267D" w:rsidRPr="00D01E98" w:rsidRDefault="0020267D">
            <w:pPr>
              <w:pStyle w:val="Tekst"/>
              <w:rPr>
                <w:sz w:val="22"/>
                <w:szCs w:val="22"/>
                <w:lang w:val="sr-Latn-ME"/>
              </w:rPr>
            </w:pPr>
            <w:r w:rsidRPr="00D01E98">
              <w:rPr>
                <w:i/>
                <w:sz w:val="22"/>
                <w:szCs w:val="22"/>
                <w:lang w:val="sr-Latn-ME"/>
              </w:rPr>
              <w:t xml:space="preserve">In vitro </w:t>
            </w:r>
            <w:r w:rsidRPr="00D01E98">
              <w:rPr>
                <w:sz w:val="22"/>
                <w:szCs w:val="22"/>
                <w:lang w:val="sr-Latn-ME"/>
              </w:rPr>
              <w:t xml:space="preserve">i </w:t>
            </w:r>
            <w:r w:rsidRPr="00D01E98">
              <w:rPr>
                <w:i/>
                <w:sz w:val="22"/>
                <w:szCs w:val="22"/>
                <w:lang w:val="sr-Latn-ME"/>
              </w:rPr>
              <w:t xml:space="preserve">in vivo </w:t>
            </w:r>
            <w:r w:rsidRPr="00D01E98">
              <w:rPr>
                <w:sz w:val="22"/>
                <w:szCs w:val="22"/>
                <w:lang w:val="sr-Latn-ME"/>
              </w:rPr>
              <w:t>podaci pokazuju da se aksitinib primarno metaboliše u jetri.</w:t>
            </w:r>
          </w:p>
          <w:p w14:paraId="6632A5C9" w14:textId="77777777" w:rsidR="0020267D" w:rsidRPr="00D01E98" w:rsidRDefault="0020267D">
            <w:pPr>
              <w:pStyle w:val="Tekst"/>
              <w:rPr>
                <w:sz w:val="22"/>
                <w:szCs w:val="22"/>
                <w:lang w:val="sr-Latn-ME"/>
              </w:rPr>
            </w:pPr>
          </w:p>
          <w:p w14:paraId="1A956769" w14:textId="28DEE76A" w:rsidR="0020267D" w:rsidRPr="00D01E98" w:rsidRDefault="0020267D">
            <w:pPr>
              <w:pStyle w:val="Tekst"/>
              <w:rPr>
                <w:sz w:val="22"/>
                <w:szCs w:val="22"/>
                <w:lang w:val="sr-Latn-ME"/>
              </w:rPr>
            </w:pPr>
            <w:r w:rsidRPr="00D01E98">
              <w:rPr>
                <w:sz w:val="22"/>
                <w:szCs w:val="22"/>
                <w:lang w:val="sr-Latn-ME"/>
              </w:rPr>
              <w:t xml:space="preserve">U odnosu na ispitanike sa normalnom funkcijom jetre, sistemska izloženost nakon pojedinačne doze aksitiniba je bila slična kod ispitanika sa blagim oštećenjem funkcije jetre (Child-Pugh klasa A) i veća (otprilike 2 puta) kod ispitanika sa umjerenim oštećenjem funkcije jetre (Child-Pugh klasa B). Aksitinib nije ispitivan kod ispitanika sa teškim oštećenjem funkcije jetre (Child-Pugh klasa C) i ne smije se primjenjivati u toj populaciji (vidjeti </w:t>
            </w:r>
            <w:r w:rsidR="00264191" w:rsidRPr="00D01E98">
              <w:rPr>
                <w:sz w:val="22"/>
                <w:szCs w:val="22"/>
                <w:lang w:val="sr-Latn-ME"/>
              </w:rPr>
              <w:t>dio</w:t>
            </w:r>
            <w:r w:rsidRPr="00D01E98">
              <w:rPr>
                <w:sz w:val="22"/>
                <w:szCs w:val="22"/>
                <w:lang w:val="sr-Latn-ME"/>
              </w:rPr>
              <w:t xml:space="preserve"> 4.2 za preporučeno prilagođavanje doze).</w:t>
            </w:r>
          </w:p>
          <w:p w14:paraId="60E61223" w14:textId="77777777" w:rsidR="00CF45E8" w:rsidRPr="00D01E98" w:rsidRDefault="00CF45E8">
            <w:pPr>
              <w:pStyle w:val="Tekst"/>
              <w:rPr>
                <w:i/>
                <w:sz w:val="22"/>
                <w:szCs w:val="22"/>
                <w:u w:val="single"/>
                <w:lang w:val="sr-Latn-ME"/>
              </w:rPr>
            </w:pPr>
          </w:p>
          <w:p w14:paraId="70ACEB7A" w14:textId="54552129" w:rsidR="0020267D" w:rsidRPr="00D01E98" w:rsidRDefault="0020267D">
            <w:pPr>
              <w:pStyle w:val="Tekst"/>
              <w:rPr>
                <w:i/>
                <w:sz w:val="22"/>
                <w:szCs w:val="22"/>
                <w:u w:val="single"/>
                <w:lang w:val="sr-Latn-ME"/>
              </w:rPr>
            </w:pPr>
            <w:r w:rsidRPr="00D01E98">
              <w:rPr>
                <w:i/>
                <w:sz w:val="22"/>
                <w:szCs w:val="22"/>
                <w:u w:val="single"/>
                <w:lang w:val="sr-Latn-ME"/>
              </w:rPr>
              <w:t>Oštećenje funkcije bubrega</w:t>
            </w:r>
          </w:p>
          <w:p w14:paraId="34D29A56" w14:textId="77777777" w:rsidR="0020267D" w:rsidRPr="00D01E98" w:rsidRDefault="0020267D">
            <w:pPr>
              <w:pStyle w:val="Tekst"/>
              <w:rPr>
                <w:sz w:val="22"/>
                <w:szCs w:val="22"/>
                <w:lang w:val="sr-Latn-ME"/>
              </w:rPr>
            </w:pPr>
            <w:r w:rsidRPr="00D01E98">
              <w:rPr>
                <w:sz w:val="22"/>
                <w:szCs w:val="22"/>
                <w:lang w:val="sr-Latn-ME"/>
              </w:rPr>
              <w:t>Nepromijenjen aksitinib se ne detektuje u urinu.</w:t>
            </w:r>
          </w:p>
          <w:p w14:paraId="0E77A831" w14:textId="77777777" w:rsidR="0020267D" w:rsidRPr="00D01E98" w:rsidRDefault="0020267D">
            <w:pPr>
              <w:pStyle w:val="Tekst"/>
              <w:rPr>
                <w:sz w:val="22"/>
                <w:szCs w:val="22"/>
                <w:lang w:val="sr-Latn-ME"/>
              </w:rPr>
            </w:pPr>
          </w:p>
          <w:p w14:paraId="766C776B" w14:textId="3C479A6A" w:rsidR="0020267D" w:rsidRPr="00D01E98" w:rsidRDefault="0020267D">
            <w:pPr>
              <w:pStyle w:val="Tekst"/>
              <w:rPr>
                <w:sz w:val="22"/>
                <w:szCs w:val="22"/>
                <w:lang w:val="sr-Latn-ME"/>
              </w:rPr>
            </w:pPr>
            <w:r w:rsidRPr="00D01E98">
              <w:rPr>
                <w:sz w:val="22"/>
                <w:szCs w:val="22"/>
                <w:lang w:val="sr-Latn-ME"/>
              </w:rPr>
              <w:t>Kinetika aksitiniba nije procjenjivana kod ispitanika sa oštećenjem funkcije bubrega. U kliničkim ispitivanjima sa aksitinibom za liječenje pacijenata sa RCC, izuzeti su pacijenti sa kreatininom u serumu &gt; 1,5 puta od gornje granice normale ili izračunatim krirensom kreatinina &lt; 60 m</w:t>
            </w:r>
            <w:r w:rsidR="000E6063" w:rsidRPr="00D01E98">
              <w:rPr>
                <w:sz w:val="22"/>
                <w:szCs w:val="22"/>
                <w:lang w:val="sr-Latn-ME"/>
              </w:rPr>
              <w:t>l</w:t>
            </w:r>
            <w:r w:rsidRPr="00D01E98">
              <w:rPr>
                <w:sz w:val="22"/>
                <w:szCs w:val="22"/>
                <w:lang w:val="sr-Latn-ME"/>
              </w:rPr>
              <w:t xml:space="preserve">/min. Populaciona farmakokinetička analiza </w:t>
            </w:r>
            <w:r w:rsidRPr="00D01E98">
              <w:rPr>
                <w:sz w:val="22"/>
                <w:szCs w:val="22"/>
                <w:lang w:val="sr-Latn-ME"/>
              </w:rPr>
              <w:lastRenderedPageBreak/>
              <w:t>pokazala je da klirens aksitiniba nije promijenjen kod ispitanika sa oštećenom funkcijom bubrega pa nije potrebno prilagođavati dozu aksitiniba.</w:t>
            </w:r>
          </w:p>
        </w:tc>
      </w:tr>
      <w:tr w:rsidR="0020267D" w:rsidRPr="00D01E98" w14:paraId="77426C0D" w14:textId="77777777" w:rsidTr="00757DA0">
        <w:trPr>
          <w:trHeight w:val="486"/>
        </w:trPr>
        <w:tc>
          <w:tcPr>
            <w:tcW w:w="9906" w:type="dxa"/>
            <w:gridSpan w:val="3"/>
            <w:shd w:val="clear" w:color="auto" w:fill="auto"/>
            <w:vAlign w:val="center"/>
          </w:tcPr>
          <w:p w14:paraId="1ACE4BE6" w14:textId="54B65F29" w:rsidR="0020267D" w:rsidRPr="00D01E98" w:rsidRDefault="0020267D" w:rsidP="00923DFD">
            <w:pPr>
              <w:pStyle w:val="EMEABodyText"/>
              <w:jc w:val="both"/>
              <w:rPr>
                <w:szCs w:val="22"/>
                <w:u w:val="single"/>
                <w:lang w:val="sr-Latn-ME"/>
              </w:rPr>
            </w:pPr>
            <w:r w:rsidRPr="00D01E98">
              <w:rPr>
                <w:b/>
                <w:bCs/>
                <w:szCs w:val="22"/>
                <w:lang w:val="sr-Latn-ME"/>
              </w:rPr>
              <w:lastRenderedPageBreak/>
              <w:t xml:space="preserve">5.3. Pretklinički podaci o bezbjednosti </w:t>
            </w:r>
          </w:p>
        </w:tc>
      </w:tr>
      <w:tr w:rsidR="0020267D" w:rsidRPr="00D01E98" w14:paraId="41B849DD" w14:textId="77777777" w:rsidTr="00757DA0">
        <w:tc>
          <w:tcPr>
            <w:tcW w:w="9906" w:type="dxa"/>
            <w:gridSpan w:val="3"/>
            <w:shd w:val="clear" w:color="auto" w:fill="auto"/>
            <w:vAlign w:val="center"/>
          </w:tcPr>
          <w:p w14:paraId="4A382316" w14:textId="77777777" w:rsidR="0020267D" w:rsidRPr="00D01E98" w:rsidRDefault="0020267D">
            <w:pPr>
              <w:pStyle w:val="Tekst"/>
              <w:rPr>
                <w:sz w:val="22"/>
                <w:szCs w:val="22"/>
                <w:u w:val="single"/>
                <w:lang w:val="sr-Latn-ME"/>
              </w:rPr>
            </w:pPr>
            <w:r w:rsidRPr="00D01E98">
              <w:rPr>
                <w:sz w:val="22"/>
                <w:szCs w:val="22"/>
                <w:u w:val="single"/>
                <w:lang w:val="sr-Latn-ME"/>
              </w:rPr>
              <w:t>Toksičnost ponovljene doze</w:t>
            </w:r>
          </w:p>
          <w:p w14:paraId="66A6E047" w14:textId="77777777" w:rsidR="0020267D" w:rsidRPr="00D01E98" w:rsidRDefault="0020267D">
            <w:pPr>
              <w:pStyle w:val="Tekst"/>
              <w:rPr>
                <w:sz w:val="22"/>
                <w:szCs w:val="22"/>
                <w:lang w:val="sr-Latn-ME"/>
              </w:rPr>
            </w:pPr>
            <w:r w:rsidRPr="00D01E98">
              <w:rPr>
                <w:sz w:val="22"/>
                <w:szCs w:val="22"/>
                <w:lang w:val="sr-Latn-ME"/>
              </w:rPr>
              <w:t xml:space="preserve">Glavni nalazi o toksičnosti kod miševa </w:t>
            </w:r>
            <w:r w:rsidRPr="00D01E98">
              <w:rPr>
                <w:color w:val="auto"/>
                <w:sz w:val="22"/>
                <w:szCs w:val="22"/>
                <w:lang w:val="sr-Latn-ME"/>
              </w:rPr>
              <w:t>i pasa nakon ponovljenog doziranja do 9 mjeseci bili su u gastrointestinalnom, hematopoetskom, reproduktivnom, skeletnom sistemu i zubima, sa NOAEL (</w:t>
            </w:r>
            <w:r w:rsidRPr="00D01E98">
              <w:rPr>
                <w:i/>
                <w:color w:val="auto"/>
                <w:sz w:val="22"/>
                <w:szCs w:val="22"/>
                <w:lang w:val="sr-Latn-ME"/>
              </w:rPr>
              <w:t>No Observed Adverse Effect Levels</w:t>
            </w:r>
            <w:r w:rsidRPr="00D01E98">
              <w:rPr>
                <w:color w:val="auto"/>
                <w:sz w:val="22"/>
                <w:szCs w:val="22"/>
                <w:lang w:val="sr-Latn-ME"/>
              </w:rPr>
              <w:t>) vrijednostima približno ekvivalentnim ili ispod očekivanih u poređenju sa izloženošću kod ljudi pri preporučenoj kliničkoj početnoj dozi (na osnovu vrijednost PIK).</w:t>
            </w:r>
          </w:p>
          <w:p w14:paraId="2AF6E31A" w14:textId="77777777" w:rsidR="0020267D" w:rsidRPr="00D01E98" w:rsidRDefault="0020267D">
            <w:pPr>
              <w:pStyle w:val="Tekst"/>
              <w:rPr>
                <w:sz w:val="22"/>
                <w:szCs w:val="22"/>
                <w:lang w:val="sr-Latn-ME"/>
              </w:rPr>
            </w:pPr>
          </w:p>
          <w:p w14:paraId="5C733815" w14:textId="77777777" w:rsidR="0020267D" w:rsidRPr="00D01E98" w:rsidRDefault="0020267D">
            <w:pPr>
              <w:pStyle w:val="Tekst"/>
              <w:rPr>
                <w:sz w:val="22"/>
                <w:szCs w:val="22"/>
                <w:u w:val="single"/>
                <w:lang w:val="sr-Latn-ME"/>
              </w:rPr>
            </w:pPr>
            <w:r w:rsidRPr="00D01E98">
              <w:rPr>
                <w:sz w:val="22"/>
                <w:szCs w:val="22"/>
                <w:u w:val="single"/>
                <w:lang w:val="sr-Latn-ME"/>
              </w:rPr>
              <w:t>Kancerogenost</w:t>
            </w:r>
          </w:p>
          <w:p w14:paraId="4B3B5D16" w14:textId="77777777" w:rsidR="0020267D" w:rsidRPr="00D01E98" w:rsidRDefault="0020267D">
            <w:pPr>
              <w:pStyle w:val="Tekst"/>
              <w:rPr>
                <w:sz w:val="22"/>
                <w:szCs w:val="22"/>
                <w:lang w:val="sr-Latn-ME"/>
              </w:rPr>
            </w:pPr>
            <w:r w:rsidRPr="00D01E98">
              <w:rPr>
                <w:sz w:val="22"/>
                <w:szCs w:val="22"/>
                <w:lang w:val="sr-Latn-ME"/>
              </w:rPr>
              <w:t>Ispitivanja kancerogenosti nijesu sprovedena sa aksitinibom.</w:t>
            </w:r>
          </w:p>
          <w:p w14:paraId="3F6EFE91" w14:textId="77777777" w:rsidR="0020267D" w:rsidRPr="00D01E98" w:rsidRDefault="0020267D">
            <w:pPr>
              <w:pStyle w:val="Tekst"/>
              <w:rPr>
                <w:sz w:val="22"/>
                <w:szCs w:val="22"/>
                <w:lang w:val="sr-Latn-ME"/>
              </w:rPr>
            </w:pPr>
          </w:p>
          <w:p w14:paraId="2028D7E5" w14:textId="77777777" w:rsidR="0020267D" w:rsidRPr="00D01E98" w:rsidRDefault="0020267D">
            <w:pPr>
              <w:pStyle w:val="Tekst"/>
              <w:rPr>
                <w:sz w:val="22"/>
                <w:szCs w:val="22"/>
                <w:u w:val="single"/>
                <w:lang w:val="sr-Latn-ME"/>
              </w:rPr>
            </w:pPr>
            <w:r w:rsidRPr="00D01E98">
              <w:rPr>
                <w:sz w:val="22"/>
                <w:szCs w:val="22"/>
                <w:u w:val="single"/>
                <w:lang w:val="sr-Latn-ME"/>
              </w:rPr>
              <w:t>Genotoksičnost</w:t>
            </w:r>
          </w:p>
          <w:p w14:paraId="59EF3026" w14:textId="189A436B" w:rsidR="0020267D" w:rsidRPr="00D01E98" w:rsidRDefault="0020267D">
            <w:pPr>
              <w:pStyle w:val="Tekst"/>
              <w:rPr>
                <w:sz w:val="22"/>
                <w:szCs w:val="22"/>
                <w:lang w:val="sr-Latn-ME"/>
              </w:rPr>
            </w:pPr>
            <w:r w:rsidRPr="00D01E98">
              <w:rPr>
                <w:sz w:val="22"/>
                <w:szCs w:val="22"/>
                <w:lang w:val="sr-Latn-ME"/>
              </w:rPr>
              <w:t xml:space="preserve">Aksitinib nije pokazao mutagena ili klastogena dejstva u konvencionalnim ispitivanja genotoksičnosti </w:t>
            </w:r>
            <w:r w:rsidRPr="00D01E98">
              <w:rPr>
                <w:i/>
                <w:sz w:val="22"/>
                <w:szCs w:val="22"/>
                <w:lang w:val="sr-Latn-ME"/>
              </w:rPr>
              <w:t>in vitro</w:t>
            </w:r>
            <w:r w:rsidRPr="00D01E98">
              <w:rPr>
                <w:sz w:val="22"/>
                <w:szCs w:val="22"/>
                <w:lang w:val="sr-Latn-ME"/>
              </w:rPr>
              <w:t xml:space="preserve">. Značajan porast poliploidije je primijećen </w:t>
            </w:r>
            <w:r w:rsidRPr="00D01E98">
              <w:rPr>
                <w:i/>
                <w:sz w:val="22"/>
                <w:szCs w:val="22"/>
                <w:lang w:val="sr-Latn-ME"/>
              </w:rPr>
              <w:t>in vitro</w:t>
            </w:r>
            <w:r w:rsidRPr="00D01E98">
              <w:rPr>
                <w:sz w:val="22"/>
                <w:szCs w:val="22"/>
                <w:lang w:val="sr-Latn-ME"/>
              </w:rPr>
              <w:t xml:space="preserve"> pri koncentracijama &gt; 0,22 μg/m</w:t>
            </w:r>
            <w:r w:rsidR="000E6063" w:rsidRPr="00D01E98">
              <w:rPr>
                <w:sz w:val="22"/>
                <w:szCs w:val="22"/>
                <w:lang w:val="sr-Latn-ME"/>
              </w:rPr>
              <w:t>l</w:t>
            </w:r>
            <w:r w:rsidRPr="00D01E98">
              <w:rPr>
                <w:sz w:val="22"/>
                <w:szCs w:val="22"/>
                <w:lang w:val="sr-Latn-ME"/>
              </w:rPr>
              <w:t xml:space="preserve">, a primijećeno je povišenje broja mikronukleusa u polihromatskim eritrocitima </w:t>
            </w:r>
            <w:r w:rsidRPr="00D01E98">
              <w:rPr>
                <w:i/>
                <w:sz w:val="22"/>
                <w:szCs w:val="22"/>
                <w:lang w:val="sr-Latn-ME"/>
              </w:rPr>
              <w:t>in vivo</w:t>
            </w:r>
            <w:r w:rsidRPr="00D01E98">
              <w:rPr>
                <w:sz w:val="22"/>
                <w:szCs w:val="22"/>
                <w:lang w:val="sr-Latn-ME"/>
              </w:rPr>
              <w:t xml:space="preserve"> sa NOEL (</w:t>
            </w:r>
            <w:r w:rsidRPr="00D01E98">
              <w:rPr>
                <w:i/>
                <w:sz w:val="22"/>
                <w:szCs w:val="22"/>
                <w:lang w:val="sr-Latn-ME"/>
              </w:rPr>
              <w:t>No Observed Effect Level</w:t>
            </w:r>
            <w:r w:rsidRPr="00D01E98">
              <w:rPr>
                <w:sz w:val="22"/>
                <w:szCs w:val="22"/>
                <w:lang w:val="sr-Latn-ME"/>
              </w:rPr>
              <w:t xml:space="preserve">) vrijednostima 69 puta većim od očekivane izloženosti </w:t>
            </w:r>
            <w:r w:rsidRPr="00D01E98">
              <w:rPr>
                <w:color w:val="auto"/>
                <w:sz w:val="22"/>
                <w:szCs w:val="22"/>
                <w:lang w:val="sr-Latn-ME"/>
              </w:rPr>
              <w:t>kod ljudi</w:t>
            </w:r>
            <w:r w:rsidRPr="00D01E98">
              <w:rPr>
                <w:sz w:val="22"/>
                <w:szCs w:val="22"/>
                <w:lang w:val="sr-Latn-ME"/>
              </w:rPr>
              <w:t>. Nalazi genotoksičnosti se ne smatraju klinički relevantnim pri izloženosti koja se postiže kod ljudi.</w:t>
            </w:r>
          </w:p>
          <w:p w14:paraId="48171857" w14:textId="77777777" w:rsidR="0020267D" w:rsidRPr="00D01E98" w:rsidRDefault="0020267D">
            <w:pPr>
              <w:pStyle w:val="Tekst"/>
              <w:rPr>
                <w:sz w:val="22"/>
                <w:szCs w:val="22"/>
                <w:lang w:val="sr-Latn-ME"/>
              </w:rPr>
            </w:pPr>
          </w:p>
          <w:p w14:paraId="390DA915" w14:textId="77777777" w:rsidR="0020267D" w:rsidRPr="00D01E98" w:rsidRDefault="0020267D">
            <w:pPr>
              <w:pStyle w:val="Tekst"/>
              <w:rPr>
                <w:sz w:val="22"/>
                <w:szCs w:val="22"/>
                <w:u w:val="single"/>
                <w:lang w:val="sr-Latn-ME"/>
              </w:rPr>
            </w:pPr>
            <w:r w:rsidRPr="00D01E98">
              <w:rPr>
                <w:sz w:val="22"/>
                <w:szCs w:val="22"/>
                <w:u w:val="single"/>
                <w:lang w:val="sr-Latn-ME"/>
              </w:rPr>
              <w:t>Reproduktivna toksičnost</w:t>
            </w:r>
          </w:p>
          <w:p w14:paraId="5C1C5E8C" w14:textId="77777777" w:rsidR="0020267D" w:rsidRPr="00D01E98" w:rsidRDefault="0020267D">
            <w:pPr>
              <w:pStyle w:val="Tekst"/>
              <w:rPr>
                <w:sz w:val="22"/>
                <w:szCs w:val="22"/>
                <w:lang w:val="sr-Latn-ME"/>
              </w:rPr>
            </w:pPr>
            <w:r w:rsidRPr="00D01E98">
              <w:rPr>
                <w:sz w:val="22"/>
                <w:szCs w:val="22"/>
                <w:lang w:val="sr-Latn-ME"/>
              </w:rPr>
              <w:t>Nalazi na testisima i epididimusu, vezani za aksitinib, obuhvatali su smanjenu težinu organa, atrofiju ili degeneraciju, smanjen broj germinalnih ćelija, hipospermiju ili nepravilan oblik spermatozoida, smanjenu gustinu sperme kao i broj spermatozoida. Ovi nalazi su uočeni kod miševa pri nivoima izloženosti oko 12 puta većim od očekivane izloženosti kod ljudi i kod pasa pri nivoima izloženosti nižim od očekivane izloženosti kod ljudi. Nije bilo dejstva na parenje ili plodnost kod mužjaka miševa pri nivoima izloženosti oko 57 puta većim od očekivane izloženosti kod ljudi. Nalazi kod ženki obuhvatali su znake kasnijeg polnog sazrijevanja, smanjenje ili nedostatak žutog tijela (</w:t>
            </w:r>
            <w:r w:rsidRPr="00D01E98">
              <w:rPr>
                <w:i/>
                <w:sz w:val="22"/>
                <w:szCs w:val="22"/>
                <w:lang w:val="sr-Latn-ME"/>
              </w:rPr>
              <w:t>corpora lutea</w:t>
            </w:r>
            <w:r w:rsidRPr="00D01E98">
              <w:rPr>
                <w:sz w:val="22"/>
                <w:szCs w:val="22"/>
                <w:lang w:val="sr-Latn-ME"/>
              </w:rPr>
              <w:t>), smanjenu težinu materice i atrofiju materice pri izloženosti približno ekvivalentnoj očekivanoj izloženosti kod ljudi. Smanjena plodnost i održivost embriona su primijećeni kod ženki miševa pri svim ispitivanim dozama, sa nivoima izloženosti pri najnižoj dozi oko 10 puta većim od očekivane izloženosti kod ljudi.</w:t>
            </w:r>
          </w:p>
          <w:p w14:paraId="47640B7B" w14:textId="77777777" w:rsidR="0020267D" w:rsidRPr="00D01E98" w:rsidRDefault="0020267D">
            <w:pPr>
              <w:pStyle w:val="Tekst"/>
              <w:rPr>
                <w:sz w:val="22"/>
                <w:szCs w:val="22"/>
                <w:lang w:val="sr-Latn-ME"/>
              </w:rPr>
            </w:pPr>
          </w:p>
          <w:p w14:paraId="641959BA" w14:textId="77777777" w:rsidR="0020267D" w:rsidRPr="00D01E98" w:rsidRDefault="0020267D">
            <w:pPr>
              <w:pStyle w:val="Tekst"/>
              <w:rPr>
                <w:sz w:val="22"/>
                <w:szCs w:val="22"/>
                <w:lang w:val="sr-Latn-ME"/>
              </w:rPr>
            </w:pPr>
            <w:r w:rsidRPr="00D01E98">
              <w:rPr>
                <w:sz w:val="22"/>
                <w:szCs w:val="22"/>
                <w:lang w:val="sr-Latn-ME"/>
              </w:rPr>
              <w:t>Povećana pojava malformacija tipa rascepa nepca i skeletnih varijacija, uključujući odloženo okoštavanje, uočena je kod skotnih ženki miševa izloženih aksitinibu pri nivoima izloženosti ispod očekivane izloženosti kod ljudi. Ispitivanja toksičnosti za perinatalni i postnatalni razvoj nijesu sprovedena.</w:t>
            </w:r>
          </w:p>
          <w:p w14:paraId="3B9431ED" w14:textId="77777777" w:rsidR="0020267D" w:rsidRPr="00D01E98" w:rsidRDefault="0020267D">
            <w:pPr>
              <w:pStyle w:val="Tekst"/>
              <w:rPr>
                <w:sz w:val="22"/>
                <w:szCs w:val="22"/>
                <w:lang w:val="sr-Latn-ME"/>
              </w:rPr>
            </w:pPr>
          </w:p>
          <w:p w14:paraId="3F4C2684" w14:textId="77777777" w:rsidR="0020267D" w:rsidRPr="00D01E98" w:rsidRDefault="0020267D">
            <w:pPr>
              <w:pStyle w:val="Tekst"/>
              <w:rPr>
                <w:sz w:val="22"/>
                <w:szCs w:val="22"/>
                <w:u w:val="single"/>
                <w:lang w:val="sr-Latn-ME"/>
              </w:rPr>
            </w:pPr>
            <w:r w:rsidRPr="00D01E98">
              <w:rPr>
                <w:sz w:val="22"/>
                <w:szCs w:val="22"/>
                <w:u w:val="single"/>
                <w:lang w:val="sr-Latn-ME"/>
              </w:rPr>
              <w:t>Nalazi toksičnosti kod nezrelih životinja</w:t>
            </w:r>
          </w:p>
          <w:p w14:paraId="676E727D" w14:textId="3F876735" w:rsidR="0020267D" w:rsidRPr="00D01E98" w:rsidRDefault="0020267D">
            <w:pPr>
              <w:pStyle w:val="Tekst"/>
              <w:rPr>
                <w:sz w:val="22"/>
                <w:szCs w:val="22"/>
                <w:lang w:val="sr-Latn-ME"/>
              </w:rPr>
            </w:pPr>
            <w:r w:rsidRPr="00D01E98">
              <w:rPr>
                <w:sz w:val="22"/>
                <w:szCs w:val="22"/>
                <w:lang w:val="sr-Latn-ME"/>
              </w:rPr>
              <w:t>Reverzibilna fizealna displazija primijećena je kod miševa i pasa koji su dobijali aksitinib najmanje jedan mjesec, pri nivoima izloženosti oko šest puta većim od očekivane izloženosti kod ljudi. D</w:t>
            </w:r>
            <w:r w:rsidR="000E6063" w:rsidRPr="00D01E98">
              <w:rPr>
                <w:sz w:val="22"/>
                <w:szCs w:val="22"/>
                <w:lang w:val="sr-Latn-ME"/>
              </w:rPr>
              <w:t>j</w:t>
            </w:r>
            <w:r w:rsidRPr="00D01E98">
              <w:rPr>
                <w:sz w:val="22"/>
                <w:szCs w:val="22"/>
                <w:lang w:val="sr-Latn-ME"/>
              </w:rPr>
              <w:t>elimično reverzibilni zubni karijes primijećen je kod miševa tretiranih duže od jednog mjeseca pri nivoima izloženosti sličnim očekivanoj izloženosti kod ljudi. Ostali tipovi toksičnosti od značaja za pedijatrijske pacijente nijesu proc</w:t>
            </w:r>
            <w:r w:rsidR="000E6063" w:rsidRPr="00D01E98">
              <w:rPr>
                <w:sz w:val="22"/>
                <w:szCs w:val="22"/>
                <w:lang w:val="sr-Latn-ME"/>
              </w:rPr>
              <w:t>j</w:t>
            </w:r>
            <w:r w:rsidRPr="00D01E98">
              <w:rPr>
                <w:sz w:val="22"/>
                <w:szCs w:val="22"/>
                <w:lang w:val="sr-Latn-ME"/>
              </w:rPr>
              <w:t>enjivani kod mladih životinja.</w:t>
            </w:r>
          </w:p>
          <w:p w14:paraId="132B0BC4" w14:textId="77777777" w:rsidR="0020267D" w:rsidRPr="00D01E98" w:rsidRDefault="0020267D">
            <w:pPr>
              <w:pStyle w:val="Tekst"/>
              <w:rPr>
                <w:sz w:val="22"/>
                <w:szCs w:val="22"/>
                <w:lang w:val="sr-Latn-ME"/>
              </w:rPr>
            </w:pPr>
          </w:p>
          <w:p w14:paraId="756F1652" w14:textId="77777777" w:rsidR="004207CF" w:rsidRPr="00D01E98" w:rsidRDefault="004207CF">
            <w:pPr>
              <w:pStyle w:val="Tekst"/>
              <w:rPr>
                <w:sz w:val="22"/>
                <w:szCs w:val="22"/>
                <w:lang w:val="sr-Latn-ME"/>
              </w:rPr>
            </w:pPr>
          </w:p>
        </w:tc>
      </w:tr>
      <w:tr w:rsidR="0020267D" w:rsidRPr="00D01E98" w14:paraId="6E0DF091" w14:textId="77777777" w:rsidTr="00757DA0">
        <w:trPr>
          <w:trHeight w:val="288"/>
        </w:trPr>
        <w:tc>
          <w:tcPr>
            <w:tcW w:w="9906" w:type="dxa"/>
            <w:gridSpan w:val="3"/>
            <w:shd w:val="clear" w:color="auto" w:fill="auto"/>
            <w:vAlign w:val="center"/>
          </w:tcPr>
          <w:p w14:paraId="55F689B6" w14:textId="77777777" w:rsidR="0020267D" w:rsidRPr="00D01E98" w:rsidRDefault="0020267D" w:rsidP="00923DFD">
            <w:pPr>
              <w:pStyle w:val="Header"/>
              <w:tabs>
                <w:tab w:val="left" w:pos="284"/>
              </w:tabs>
              <w:jc w:val="both"/>
              <w:rPr>
                <w:b/>
                <w:bCs/>
                <w:sz w:val="22"/>
                <w:szCs w:val="22"/>
              </w:rPr>
            </w:pPr>
            <w:r w:rsidRPr="00D01E98">
              <w:rPr>
                <w:b/>
                <w:bCs/>
                <w:sz w:val="22"/>
                <w:szCs w:val="22"/>
              </w:rPr>
              <w:t>6. FARMACEUTSKI PODACI</w:t>
            </w:r>
          </w:p>
        </w:tc>
      </w:tr>
      <w:tr w:rsidR="0020267D" w:rsidRPr="00D01E98" w14:paraId="08788BB0" w14:textId="77777777" w:rsidTr="00757DA0">
        <w:trPr>
          <w:trHeight w:val="536"/>
        </w:trPr>
        <w:tc>
          <w:tcPr>
            <w:tcW w:w="9906" w:type="dxa"/>
            <w:gridSpan w:val="3"/>
            <w:shd w:val="clear" w:color="auto" w:fill="auto"/>
            <w:vAlign w:val="center"/>
          </w:tcPr>
          <w:p w14:paraId="27D2E8A2" w14:textId="77777777" w:rsidR="0020267D" w:rsidRPr="00D01E98" w:rsidRDefault="0020267D" w:rsidP="00923DFD">
            <w:pPr>
              <w:pStyle w:val="Header"/>
              <w:tabs>
                <w:tab w:val="left" w:pos="284"/>
              </w:tabs>
              <w:jc w:val="both"/>
              <w:rPr>
                <w:b/>
                <w:bCs/>
                <w:sz w:val="22"/>
                <w:szCs w:val="22"/>
              </w:rPr>
            </w:pPr>
          </w:p>
          <w:p w14:paraId="61334F5D" w14:textId="5011AF9A" w:rsidR="0020267D" w:rsidRPr="00D01E98" w:rsidRDefault="0020267D" w:rsidP="00923DFD">
            <w:pPr>
              <w:pStyle w:val="Header"/>
              <w:tabs>
                <w:tab w:val="left" w:pos="284"/>
              </w:tabs>
              <w:jc w:val="both"/>
              <w:rPr>
                <w:b/>
                <w:bCs/>
                <w:sz w:val="22"/>
                <w:szCs w:val="22"/>
              </w:rPr>
            </w:pPr>
            <w:r w:rsidRPr="00D01E98">
              <w:rPr>
                <w:b/>
                <w:bCs/>
                <w:sz w:val="22"/>
                <w:szCs w:val="22"/>
              </w:rPr>
              <w:t>6.1. Lista pomoćnih supstanci</w:t>
            </w:r>
            <w:r w:rsidR="000106E8" w:rsidRPr="00D01E98">
              <w:rPr>
                <w:b/>
                <w:bCs/>
                <w:sz w:val="22"/>
                <w:szCs w:val="22"/>
              </w:rPr>
              <w:t xml:space="preserve"> (ekscipijenasa)</w:t>
            </w:r>
          </w:p>
        </w:tc>
      </w:tr>
      <w:tr w:rsidR="0020267D" w:rsidRPr="00D01E98" w14:paraId="13AA8D74" w14:textId="77777777" w:rsidTr="00757DA0">
        <w:trPr>
          <w:trHeight w:val="779"/>
        </w:trPr>
        <w:tc>
          <w:tcPr>
            <w:tcW w:w="9906" w:type="dxa"/>
            <w:gridSpan w:val="3"/>
            <w:shd w:val="clear" w:color="auto" w:fill="auto"/>
            <w:vAlign w:val="center"/>
          </w:tcPr>
          <w:p w14:paraId="70AFA37B" w14:textId="77777777" w:rsidR="0020267D" w:rsidRPr="00D01E98" w:rsidRDefault="0020267D" w:rsidP="00923DFD">
            <w:pPr>
              <w:jc w:val="both"/>
              <w:rPr>
                <w:b/>
                <w:sz w:val="22"/>
                <w:szCs w:val="22"/>
              </w:rPr>
            </w:pPr>
          </w:p>
          <w:p w14:paraId="1D1F867E" w14:textId="71190E79" w:rsidR="0020267D" w:rsidRPr="00D01E98" w:rsidRDefault="0020267D">
            <w:pPr>
              <w:pStyle w:val="Tekst"/>
              <w:rPr>
                <w:sz w:val="22"/>
                <w:szCs w:val="22"/>
                <w:u w:val="single"/>
                <w:lang w:val="sr-Latn-ME"/>
              </w:rPr>
            </w:pPr>
            <w:r w:rsidRPr="00D01E98">
              <w:rPr>
                <w:sz w:val="22"/>
                <w:szCs w:val="22"/>
                <w:u w:val="single"/>
                <w:lang w:val="sr-Latn-ME"/>
              </w:rPr>
              <w:t>Jezgro tablete</w:t>
            </w:r>
          </w:p>
          <w:p w14:paraId="5D775D53" w14:textId="52538FEF" w:rsidR="0020267D" w:rsidRPr="00D01E98" w:rsidRDefault="00344E85" w:rsidP="00923DFD">
            <w:pPr>
              <w:jc w:val="both"/>
              <w:rPr>
                <w:kern w:val="32"/>
                <w:sz w:val="22"/>
                <w:szCs w:val="22"/>
              </w:rPr>
            </w:pPr>
            <w:r w:rsidRPr="00D01E98">
              <w:rPr>
                <w:kern w:val="32"/>
                <w:sz w:val="22"/>
                <w:szCs w:val="22"/>
              </w:rPr>
              <w:t>C</w:t>
            </w:r>
            <w:r w:rsidR="0020267D" w:rsidRPr="00D01E98">
              <w:rPr>
                <w:kern w:val="32"/>
                <w:sz w:val="22"/>
                <w:szCs w:val="22"/>
              </w:rPr>
              <w:t>eluloza, mikrokristalna</w:t>
            </w:r>
          </w:p>
          <w:p w14:paraId="474412EB" w14:textId="0A609046" w:rsidR="0020267D" w:rsidRPr="00D01E98" w:rsidRDefault="00344E85">
            <w:pPr>
              <w:pStyle w:val="Tekst"/>
              <w:rPr>
                <w:sz w:val="22"/>
                <w:szCs w:val="22"/>
                <w:lang w:val="sr-Latn-ME"/>
              </w:rPr>
            </w:pPr>
            <w:r w:rsidRPr="00D01E98">
              <w:rPr>
                <w:sz w:val="22"/>
                <w:szCs w:val="22"/>
                <w:lang w:val="sr-Latn-ME"/>
              </w:rPr>
              <w:t>L</w:t>
            </w:r>
            <w:r w:rsidR="0020267D" w:rsidRPr="00D01E98">
              <w:rPr>
                <w:sz w:val="22"/>
                <w:szCs w:val="22"/>
                <w:lang w:val="sr-Latn-ME"/>
              </w:rPr>
              <w:t>aktoza monohidrat</w:t>
            </w:r>
          </w:p>
          <w:p w14:paraId="19968C14" w14:textId="569A2923" w:rsidR="0020267D" w:rsidRPr="00D01E98" w:rsidRDefault="00344E85">
            <w:pPr>
              <w:pStyle w:val="Tekst"/>
              <w:rPr>
                <w:sz w:val="22"/>
                <w:szCs w:val="22"/>
                <w:lang w:val="sr-Latn-ME"/>
              </w:rPr>
            </w:pPr>
            <w:r w:rsidRPr="00D01E98">
              <w:rPr>
                <w:sz w:val="22"/>
                <w:szCs w:val="22"/>
                <w:lang w:val="sr-Latn-ME"/>
              </w:rPr>
              <w:t>K</w:t>
            </w:r>
            <w:r w:rsidR="0020267D" w:rsidRPr="00D01E98">
              <w:rPr>
                <w:sz w:val="22"/>
                <w:szCs w:val="22"/>
                <w:lang w:val="sr-Latn-ME"/>
              </w:rPr>
              <w:t>roskarmeloza natrijum</w:t>
            </w:r>
          </w:p>
          <w:p w14:paraId="3F88926A" w14:textId="7328FF80" w:rsidR="0020267D" w:rsidRPr="00D01E98" w:rsidRDefault="00344E85" w:rsidP="00923DFD">
            <w:pPr>
              <w:jc w:val="both"/>
              <w:rPr>
                <w:kern w:val="32"/>
                <w:sz w:val="22"/>
                <w:szCs w:val="22"/>
              </w:rPr>
            </w:pPr>
            <w:r w:rsidRPr="00D01E98">
              <w:rPr>
                <w:kern w:val="32"/>
                <w:sz w:val="22"/>
                <w:szCs w:val="22"/>
              </w:rPr>
              <w:t>M</w:t>
            </w:r>
            <w:r w:rsidR="0020267D" w:rsidRPr="00D01E98">
              <w:rPr>
                <w:kern w:val="32"/>
                <w:sz w:val="22"/>
                <w:szCs w:val="22"/>
              </w:rPr>
              <w:t>agnezijum stearat</w:t>
            </w:r>
          </w:p>
          <w:p w14:paraId="7565BA5B" w14:textId="77777777" w:rsidR="0020267D" w:rsidRPr="00D01E98" w:rsidRDefault="0020267D">
            <w:pPr>
              <w:pStyle w:val="Tekst"/>
              <w:rPr>
                <w:sz w:val="22"/>
                <w:szCs w:val="22"/>
                <w:lang w:val="sr-Latn-ME"/>
              </w:rPr>
            </w:pPr>
          </w:p>
          <w:p w14:paraId="2F1D9509" w14:textId="77777777" w:rsidR="00015DCE" w:rsidRPr="00D01E98" w:rsidRDefault="00015DCE">
            <w:pPr>
              <w:pStyle w:val="Tekst"/>
              <w:rPr>
                <w:sz w:val="22"/>
                <w:szCs w:val="22"/>
                <w:u w:val="single"/>
                <w:lang w:val="sr-Latn-ME"/>
              </w:rPr>
            </w:pPr>
          </w:p>
          <w:p w14:paraId="5AAB2AB2" w14:textId="3133E67A" w:rsidR="0020267D" w:rsidRPr="00D01E98" w:rsidRDefault="0020267D">
            <w:pPr>
              <w:pStyle w:val="Tekst"/>
              <w:rPr>
                <w:sz w:val="22"/>
                <w:szCs w:val="22"/>
                <w:lang w:val="sr-Latn-ME"/>
              </w:rPr>
            </w:pPr>
            <w:r w:rsidRPr="00D01E98">
              <w:rPr>
                <w:sz w:val="22"/>
                <w:szCs w:val="22"/>
                <w:u w:val="single"/>
                <w:lang w:val="sr-Latn-ME"/>
              </w:rPr>
              <w:lastRenderedPageBreak/>
              <w:t>Film omotač</w:t>
            </w:r>
          </w:p>
          <w:p w14:paraId="7391CF65" w14:textId="7D22930F" w:rsidR="0020267D" w:rsidRPr="00D01E98" w:rsidRDefault="00344E85">
            <w:pPr>
              <w:pStyle w:val="Tekst"/>
              <w:rPr>
                <w:sz w:val="22"/>
                <w:szCs w:val="22"/>
                <w:lang w:val="sr-Latn-ME"/>
              </w:rPr>
            </w:pPr>
            <w:r w:rsidRPr="00D01E98">
              <w:rPr>
                <w:sz w:val="22"/>
                <w:szCs w:val="22"/>
                <w:lang w:val="sr-Latn-ME"/>
              </w:rPr>
              <w:t>H</w:t>
            </w:r>
            <w:r w:rsidR="0020267D" w:rsidRPr="00D01E98">
              <w:rPr>
                <w:sz w:val="22"/>
                <w:szCs w:val="22"/>
                <w:lang w:val="sr-Latn-ME"/>
              </w:rPr>
              <w:t>ipromeloza</w:t>
            </w:r>
            <w:r w:rsidR="00CB45C5" w:rsidRPr="00D01E98">
              <w:rPr>
                <w:sz w:val="22"/>
                <w:szCs w:val="22"/>
                <w:lang w:val="sr-Latn-ME"/>
              </w:rPr>
              <w:t xml:space="preserve"> 2910 (15</w:t>
            </w:r>
            <w:r w:rsidR="00914363" w:rsidRPr="00D01E98">
              <w:rPr>
                <w:sz w:val="22"/>
                <w:szCs w:val="22"/>
                <w:lang w:val="sr-Latn-ME"/>
              </w:rPr>
              <w:t xml:space="preserve"> </w:t>
            </w:r>
            <w:r w:rsidR="00CB45C5" w:rsidRPr="00D01E98">
              <w:rPr>
                <w:sz w:val="22"/>
                <w:szCs w:val="22"/>
                <w:lang w:val="sr-Latn-ME"/>
              </w:rPr>
              <w:t>mPa s)</w:t>
            </w:r>
          </w:p>
          <w:p w14:paraId="3BCE42A3" w14:textId="1BB8AF22" w:rsidR="0020267D" w:rsidRPr="00D01E98" w:rsidRDefault="00344E85">
            <w:pPr>
              <w:pStyle w:val="Tekst"/>
              <w:rPr>
                <w:sz w:val="22"/>
                <w:szCs w:val="22"/>
                <w:lang w:val="sr-Latn-ME"/>
              </w:rPr>
            </w:pPr>
            <w:r w:rsidRPr="00D01E98">
              <w:rPr>
                <w:sz w:val="22"/>
                <w:szCs w:val="22"/>
                <w:lang w:val="sr-Latn-ME"/>
              </w:rPr>
              <w:t>T</w:t>
            </w:r>
            <w:r w:rsidR="0020267D" w:rsidRPr="00D01E98">
              <w:rPr>
                <w:sz w:val="22"/>
                <w:szCs w:val="22"/>
                <w:lang w:val="sr-Latn-ME"/>
              </w:rPr>
              <w:t>itan dioksid (E171)</w:t>
            </w:r>
          </w:p>
          <w:p w14:paraId="72DF453F" w14:textId="358B7AD6" w:rsidR="0020267D" w:rsidRPr="00D01E98" w:rsidRDefault="00344E85">
            <w:pPr>
              <w:pStyle w:val="Tekst"/>
              <w:rPr>
                <w:sz w:val="22"/>
                <w:szCs w:val="22"/>
                <w:lang w:val="sr-Latn-ME"/>
              </w:rPr>
            </w:pPr>
            <w:r w:rsidRPr="00D01E98">
              <w:rPr>
                <w:sz w:val="22"/>
                <w:szCs w:val="22"/>
                <w:lang w:val="sr-Latn-ME"/>
              </w:rPr>
              <w:t>L</w:t>
            </w:r>
            <w:r w:rsidR="0020267D" w:rsidRPr="00D01E98">
              <w:rPr>
                <w:sz w:val="22"/>
                <w:szCs w:val="22"/>
                <w:lang w:val="sr-Latn-ME"/>
              </w:rPr>
              <w:t>aktoza monohidrat</w:t>
            </w:r>
          </w:p>
          <w:p w14:paraId="7A708083" w14:textId="0AA81E3E" w:rsidR="0020267D" w:rsidRPr="00D01E98" w:rsidRDefault="00344E85">
            <w:pPr>
              <w:pStyle w:val="Tekst"/>
              <w:rPr>
                <w:sz w:val="22"/>
                <w:szCs w:val="22"/>
                <w:lang w:val="sr-Latn-ME"/>
              </w:rPr>
            </w:pPr>
            <w:r w:rsidRPr="00D01E98">
              <w:rPr>
                <w:sz w:val="22"/>
                <w:szCs w:val="22"/>
                <w:lang w:val="sr-Latn-ME"/>
              </w:rPr>
              <w:t>T</w:t>
            </w:r>
            <w:r w:rsidR="0020267D" w:rsidRPr="00D01E98">
              <w:rPr>
                <w:sz w:val="22"/>
                <w:szCs w:val="22"/>
                <w:lang w:val="sr-Latn-ME"/>
              </w:rPr>
              <w:t>riacetin (E1518)</w:t>
            </w:r>
          </w:p>
          <w:p w14:paraId="48FF20E5" w14:textId="140EC3BC" w:rsidR="0020267D" w:rsidRPr="00D01E98" w:rsidRDefault="00344E85" w:rsidP="00923DFD">
            <w:pPr>
              <w:jc w:val="both"/>
              <w:rPr>
                <w:kern w:val="32"/>
                <w:sz w:val="22"/>
                <w:szCs w:val="22"/>
              </w:rPr>
            </w:pPr>
            <w:r w:rsidRPr="00D01E98">
              <w:rPr>
                <w:sz w:val="22"/>
                <w:szCs w:val="22"/>
              </w:rPr>
              <w:t>G</w:t>
            </w:r>
            <w:r w:rsidR="0020267D" w:rsidRPr="00D01E98">
              <w:rPr>
                <w:sz w:val="22"/>
                <w:szCs w:val="22"/>
              </w:rPr>
              <w:t>vožđe (III) oksid</w:t>
            </w:r>
            <w:r w:rsidR="0020267D" w:rsidRPr="00D01E98">
              <w:rPr>
                <w:kern w:val="32"/>
                <w:sz w:val="22"/>
                <w:szCs w:val="22"/>
              </w:rPr>
              <w:t>, crveni (E172)</w:t>
            </w:r>
          </w:p>
          <w:p w14:paraId="58DF902A" w14:textId="77777777" w:rsidR="0020267D" w:rsidRPr="00D01E98" w:rsidRDefault="0020267D" w:rsidP="00923DFD">
            <w:pPr>
              <w:jc w:val="both"/>
              <w:rPr>
                <w:kern w:val="32"/>
                <w:sz w:val="22"/>
                <w:szCs w:val="22"/>
              </w:rPr>
            </w:pPr>
          </w:p>
        </w:tc>
      </w:tr>
      <w:tr w:rsidR="0020267D" w:rsidRPr="00D01E98" w14:paraId="792960F7" w14:textId="77777777" w:rsidTr="00757DA0">
        <w:tc>
          <w:tcPr>
            <w:tcW w:w="9906" w:type="dxa"/>
            <w:gridSpan w:val="3"/>
            <w:shd w:val="clear" w:color="auto" w:fill="auto"/>
            <w:vAlign w:val="center"/>
          </w:tcPr>
          <w:p w14:paraId="110147BA" w14:textId="65FB958F" w:rsidR="0020267D" w:rsidRPr="00D01E98" w:rsidRDefault="0020267D" w:rsidP="00923DFD">
            <w:pPr>
              <w:pStyle w:val="Header"/>
              <w:tabs>
                <w:tab w:val="left" w:pos="284"/>
              </w:tabs>
              <w:jc w:val="both"/>
              <w:rPr>
                <w:b/>
                <w:bCs/>
                <w:sz w:val="22"/>
                <w:szCs w:val="22"/>
              </w:rPr>
            </w:pPr>
            <w:r w:rsidRPr="00D01E98">
              <w:rPr>
                <w:b/>
                <w:bCs/>
                <w:sz w:val="22"/>
                <w:szCs w:val="22"/>
              </w:rPr>
              <w:lastRenderedPageBreak/>
              <w:t>6.2. Inkompatibilnost</w:t>
            </w:r>
            <w:r w:rsidR="000E6063" w:rsidRPr="00D01E98">
              <w:rPr>
                <w:b/>
                <w:bCs/>
                <w:sz w:val="22"/>
                <w:szCs w:val="22"/>
              </w:rPr>
              <w:t>i</w:t>
            </w:r>
          </w:p>
        </w:tc>
      </w:tr>
      <w:tr w:rsidR="0020267D" w:rsidRPr="00D01E98" w14:paraId="356C621C" w14:textId="77777777" w:rsidTr="00757DA0">
        <w:trPr>
          <w:trHeight w:val="648"/>
        </w:trPr>
        <w:tc>
          <w:tcPr>
            <w:tcW w:w="9906" w:type="dxa"/>
            <w:gridSpan w:val="3"/>
            <w:shd w:val="clear" w:color="auto" w:fill="auto"/>
            <w:vAlign w:val="center"/>
          </w:tcPr>
          <w:p w14:paraId="4379DEFD" w14:textId="77777777" w:rsidR="0020267D" w:rsidRPr="00D01E98" w:rsidRDefault="0020267D" w:rsidP="00923DFD">
            <w:pPr>
              <w:pStyle w:val="Header"/>
              <w:tabs>
                <w:tab w:val="left" w:pos="284"/>
              </w:tabs>
              <w:jc w:val="both"/>
              <w:rPr>
                <w:sz w:val="22"/>
                <w:szCs w:val="22"/>
              </w:rPr>
            </w:pPr>
            <w:r w:rsidRPr="00D01E98">
              <w:rPr>
                <w:sz w:val="22"/>
                <w:szCs w:val="22"/>
              </w:rPr>
              <w:t>Nije primjenljivo.</w:t>
            </w:r>
          </w:p>
        </w:tc>
      </w:tr>
      <w:tr w:rsidR="0020267D" w:rsidRPr="00D01E98" w14:paraId="083823C8" w14:textId="77777777" w:rsidTr="00757DA0">
        <w:tc>
          <w:tcPr>
            <w:tcW w:w="9906" w:type="dxa"/>
            <w:gridSpan w:val="3"/>
            <w:shd w:val="clear" w:color="auto" w:fill="auto"/>
            <w:vAlign w:val="center"/>
          </w:tcPr>
          <w:p w14:paraId="19FC899E" w14:textId="77777777" w:rsidR="0020267D" w:rsidRPr="00D01E98" w:rsidRDefault="0020267D" w:rsidP="00923DFD">
            <w:pPr>
              <w:pStyle w:val="Header"/>
              <w:tabs>
                <w:tab w:val="left" w:pos="284"/>
              </w:tabs>
              <w:jc w:val="both"/>
              <w:rPr>
                <w:b/>
                <w:bCs/>
                <w:sz w:val="22"/>
                <w:szCs w:val="22"/>
              </w:rPr>
            </w:pPr>
            <w:r w:rsidRPr="00D01E98">
              <w:rPr>
                <w:b/>
                <w:bCs/>
                <w:sz w:val="22"/>
                <w:szCs w:val="22"/>
              </w:rPr>
              <w:t>6.3. Rok upotrebe</w:t>
            </w:r>
          </w:p>
        </w:tc>
      </w:tr>
      <w:tr w:rsidR="0020267D" w:rsidRPr="00D01E98" w14:paraId="504D14CF" w14:textId="77777777" w:rsidTr="00757DA0">
        <w:trPr>
          <w:trHeight w:val="666"/>
        </w:trPr>
        <w:tc>
          <w:tcPr>
            <w:tcW w:w="9906" w:type="dxa"/>
            <w:gridSpan w:val="3"/>
            <w:shd w:val="clear" w:color="auto" w:fill="auto"/>
            <w:vAlign w:val="center"/>
          </w:tcPr>
          <w:p w14:paraId="6CC157AA" w14:textId="2ED94284" w:rsidR="0020267D" w:rsidRPr="00D01E98" w:rsidRDefault="0020267D" w:rsidP="00923DFD">
            <w:pPr>
              <w:pStyle w:val="Header"/>
              <w:tabs>
                <w:tab w:val="left" w:pos="284"/>
              </w:tabs>
              <w:jc w:val="both"/>
              <w:rPr>
                <w:sz w:val="22"/>
                <w:szCs w:val="22"/>
              </w:rPr>
            </w:pPr>
            <w:r w:rsidRPr="00D01E98">
              <w:rPr>
                <w:sz w:val="22"/>
                <w:szCs w:val="22"/>
              </w:rPr>
              <w:t>3 godine.</w:t>
            </w:r>
          </w:p>
        </w:tc>
      </w:tr>
      <w:tr w:rsidR="0020267D" w:rsidRPr="00D01E98" w14:paraId="5FD3AC1C" w14:textId="77777777" w:rsidTr="00757DA0">
        <w:tc>
          <w:tcPr>
            <w:tcW w:w="9906" w:type="dxa"/>
            <w:gridSpan w:val="3"/>
            <w:shd w:val="clear" w:color="auto" w:fill="auto"/>
            <w:vAlign w:val="center"/>
          </w:tcPr>
          <w:p w14:paraId="38243360" w14:textId="45BA4967" w:rsidR="0020267D" w:rsidRPr="00D01E98" w:rsidRDefault="0020267D" w:rsidP="00923DFD">
            <w:pPr>
              <w:pStyle w:val="Header"/>
              <w:tabs>
                <w:tab w:val="left" w:pos="284"/>
              </w:tabs>
              <w:jc w:val="both"/>
              <w:rPr>
                <w:b/>
                <w:bCs/>
                <w:sz w:val="22"/>
                <w:szCs w:val="22"/>
              </w:rPr>
            </w:pPr>
            <w:r w:rsidRPr="00D01E98">
              <w:rPr>
                <w:b/>
                <w:bCs/>
                <w:sz w:val="22"/>
                <w:szCs w:val="22"/>
              </w:rPr>
              <w:t>6.4. Posebne mjere upozorenja pri čuvanju</w:t>
            </w:r>
            <w:r w:rsidR="000106E8" w:rsidRPr="00D01E98">
              <w:rPr>
                <w:b/>
                <w:bCs/>
                <w:sz w:val="22"/>
                <w:szCs w:val="22"/>
              </w:rPr>
              <w:t xml:space="preserve"> lijeka</w:t>
            </w:r>
          </w:p>
        </w:tc>
      </w:tr>
      <w:tr w:rsidR="0020267D" w:rsidRPr="00D01E98" w14:paraId="527C06FF" w14:textId="77777777" w:rsidTr="00757DA0">
        <w:trPr>
          <w:trHeight w:val="432"/>
        </w:trPr>
        <w:tc>
          <w:tcPr>
            <w:tcW w:w="9906" w:type="dxa"/>
            <w:gridSpan w:val="3"/>
            <w:shd w:val="clear" w:color="auto" w:fill="auto"/>
            <w:vAlign w:val="center"/>
          </w:tcPr>
          <w:p w14:paraId="70DED615" w14:textId="77777777" w:rsidR="00CF45E8" w:rsidRPr="00D01E98" w:rsidRDefault="00CF45E8" w:rsidP="00923DFD">
            <w:pPr>
              <w:pStyle w:val="Header"/>
              <w:tabs>
                <w:tab w:val="left" w:pos="284"/>
              </w:tabs>
              <w:jc w:val="both"/>
              <w:rPr>
                <w:sz w:val="22"/>
                <w:szCs w:val="22"/>
              </w:rPr>
            </w:pPr>
          </w:p>
          <w:p w14:paraId="567E9DE4" w14:textId="34C12615" w:rsidR="0020267D" w:rsidRPr="00D01E98" w:rsidRDefault="0020267D" w:rsidP="00923DFD">
            <w:pPr>
              <w:pStyle w:val="Header"/>
              <w:tabs>
                <w:tab w:val="left" w:pos="284"/>
              </w:tabs>
              <w:jc w:val="both"/>
              <w:rPr>
                <w:sz w:val="22"/>
                <w:szCs w:val="22"/>
              </w:rPr>
            </w:pPr>
            <w:r w:rsidRPr="00D01E98">
              <w:rPr>
                <w:sz w:val="22"/>
                <w:szCs w:val="22"/>
              </w:rPr>
              <w:t>Lijek ne zahtijeva posebne uslove čuvanja.</w:t>
            </w:r>
          </w:p>
        </w:tc>
      </w:tr>
      <w:tr w:rsidR="0020267D" w:rsidRPr="00D01E98" w14:paraId="626CB6DD" w14:textId="77777777" w:rsidTr="00757DA0">
        <w:trPr>
          <w:trHeight w:val="358"/>
        </w:trPr>
        <w:tc>
          <w:tcPr>
            <w:tcW w:w="9906" w:type="dxa"/>
            <w:gridSpan w:val="3"/>
            <w:shd w:val="clear" w:color="auto" w:fill="auto"/>
            <w:vAlign w:val="center"/>
          </w:tcPr>
          <w:p w14:paraId="69879409" w14:textId="77777777" w:rsidR="00CF45E8" w:rsidRPr="00D01E98" w:rsidRDefault="00CF45E8" w:rsidP="00923DFD">
            <w:pPr>
              <w:pStyle w:val="Header"/>
              <w:tabs>
                <w:tab w:val="left" w:pos="284"/>
              </w:tabs>
              <w:jc w:val="both"/>
              <w:rPr>
                <w:b/>
                <w:bCs/>
                <w:sz w:val="22"/>
                <w:szCs w:val="22"/>
              </w:rPr>
            </w:pPr>
          </w:p>
          <w:p w14:paraId="00BA787E" w14:textId="315D7613" w:rsidR="00EC166F" w:rsidRPr="00D01E98" w:rsidRDefault="0020267D" w:rsidP="00923DFD">
            <w:pPr>
              <w:pStyle w:val="Header"/>
              <w:tabs>
                <w:tab w:val="left" w:pos="284"/>
              </w:tabs>
              <w:jc w:val="both"/>
              <w:rPr>
                <w:b/>
                <w:bCs/>
                <w:sz w:val="22"/>
                <w:szCs w:val="22"/>
              </w:rPr>
            </w:pPr>
            <w:r w:rsidRPr="00D01E98">
              <w:rPr>
                <w:b/>
                <w:bCs/>
                <w:sz w:val="22"/>
                <w:szCs w:val="22"/>
              </w:rPr>
              <w:t>6.5. Vrsta i sadržaj pakovanja</w:t>
            </w:r>
          </w:p>
          <w:p w14:paraId="7B25564D" w14:textId="68FB034C" w:rsidR="00CF45E8" w:rsidRPr="00D01E98" w:rsidRDefault="00CF45E8" w:rsidP="00923DFD">
            <w:pPr>
              <w:pStyle w:val="Header"/>
              <w:tabs>
                <w:tab w:val="left" w:pos="284"/>
              </w:tabs>
              <w:jc w:val="both"/>
              <w:rPr>
                <w:bCs/>
                <w:sz w:val="22"/>
                <w:szCs w:val="22"/>
              </w:rPr>
            </w:pPr>
          </w:p>
        </w:tc>
      </w:tr>
      <w:tr w:rsidR="0020267D" w:rsidRPr="00D01E98" w14:paraId="5DEAEDCA" w14:textId="77777777" w:rsidTr="00757DA0">
        <w:trPr>
          <w:trHeight w:val="671"/>
        </w:trPr>
        <w:tc>
          <w:tcPr>
            <w:tcW w:w="9906" w:type="dxa"/>
            <w:gridSpan w:val="3"/>
            <w:shd w:val="clear" w:color="auto" w:fill="auto"/>
            <w:vAlign w:val="center"/>
          </w:tcPr>
          <w:p w14:paraId="7FB035E4" w14:textId="42F4406E" w:rsidR="0020267D" w:rsidRPr="00D01E98" w:rsidRDefault="0020267D" w:rsidP="00923DFD">
            <w:pPr>
              <w:pStyle w:val="BodyTextIndent"/>
              <w:spacing w:after="0"/>
              <w:ind w:left="0"/>
              <w:jc w:val="both"/>
              <w:rPr>
                <w:sz w:val="22"/>
                <w:szCs w:val="22"/>
              </w:rPr>
            </w:pPr>
            <w:r w:rsidRPr="00D01E98">
              <w:rPr>
                <w:sz w:val="22"/>
                <w:szCs w:val="22"/>
              </w:rPr>
              <w:t xml:space="preserve">Unutrašnje pakovanje je </w:t>
            </w:r>
            <w:r w:rsidRPr="00D01E98">
              <w:rPr>
                <w:sz w:val="22"/>
                <w:szCs w:val="22"/>
                <w:lang w:eastAsia="en-GB"/>
              </w:rPr>
              <w:t>Al/Al blister</w:t>
            </w:r>
            <w:r w:rsidR="004B6E54" w:rsidRPr="00D01E98">
              <w:rPr>
                <w:sz w:val="22"/>
                <w:szCs w:val="22"/>
                <w:lang w:eastAsia="en-GB"/>
              </w:rPr>
              <w:t xml:space="preserve"> koji sadrži 14 film tableta.</w:t>
            </w:r>
            <w:r w:rsidRPr="00D01E98">
              <w:rPr>
                <w:sz w:val="22"/>
                <w:szCs w:val="22"/>
                <w:lang w:eastAsia="en-GB"/>
              </w:rPr>
              <w:t xml:space="preserve"> </w:t>
            </w:r>
          </w:p>
          <w:p w14:paraId="351C98BB" w14:textId="72AE9FB4" w:rsidR="0020267D" w:rsidRPr="00D01E98" w:rsidRDefault="0020267D" w:rsidP="00923DFD">
            <w:pPr>
              <w:pStyle w:val="BodyTextIndent"/>
              <w:spacing w:after="0"/>
              <w:ind w:left="0"/>
              <w:jc w:val="both"/>
              <w:rPr>
                <w:sz w:val="22"/>
                <w:szCs w:val="22"/>
                <w:lang w:eastAsia="en-GB"/>
              </w:rPr>
            </w:pPr>
            <w:r w:rsidRPr="00D01E98">
              <w:rPr>
                <w:sz w:val="22"/>
                <w:szCs w:val="22"/>
              </w:rPr>
              <w:t>Spoljašnje pakovanje</w:t>
            </w:r>
            <w:r w:rsidR="00CF45E8" w:rsidRPr="00D01E98">
              <w:rPr>
                <w:sz w:val="22"/>
                <w:szCs w:val="22"/>
              </w:rPr>
              <w:t xml:space="preserve"> je složiva k</w:t>
            </w:r>
            <w:r w:rsidRPr="00D01E98">
              <w:rPr>
                <w:sz w:val="22"/>
                <w:szCs w:val="22"/>
              </w:rPr>
              <w:t>artonska kutija koja sadrži 56 film tableta (4 blistera sa po 14 film tableta) i Uputstvo za lijek.</w:t>
            </w:r>
            <w:r w:rsidRPr="00D01E98">
              <w:rPr>
                <w:sz w:val="22"/>
                <w:szCs w:val="22"/>
                <w:lang w:eastAsia="en-GB"/>
              </w:rPr>
              <w:t xml:space="preserve"> </w:t>
            </w:r>
          </w:p>
          <w:p w14:paraId="26106477" w14:textId="185CA46D" w:rsidR="00CF45E8" w:rsidRPr="00D01E98" w:rsidRDefault="00CF45E8" w:rsidP="00923DFD">
            <w:pPr>
              <w:pStyle w:val="BodyTextIndent"/>
              <w:spacing w:after="0"/>
              <w:ind w:left="0"/>
              <w:jc w:val="both"/>
              <w:rPr>
                <w:sz w:val="22"/>
                <w:szCs w:val="22"/>
                <w:lang w:eastAsia="en-GB"/>
              </w:rPr>
            </w:pPr>
          </w:p>
        </w:tc>
      </w:tr>
      <w:tr w:rsidR="0020267D" w:rsidRPr="00D01E98" w14:paraId="62EEC70E" w14:textId="77777777" w:rsidTr="00757DA0">
        <w:tc>
          <w:tcPr>
            <w:tcW w:w="9906" w:type="dxa"/>
            <w:gridSpan w:val="3"/>
            <w:shd w:val="clear" w:color="auto" w:fill="auto"/>
            <w:vAlign w:val="center"/>
          </w:tcPr>
          <w:p w14:paraId="4F29C50E" w14:textId="77777777" w:rsidR="0020267D" w:rsidRPr="00D01E98" w:rsidRDefault="0020267D" w:rsidP="00923DFD">
            <w:pPr>
              <w:pStyle w:val="Header"/>
              <w:tabs>
                <w:tab w:val="left" w:pos="284"/>
              </w:tabs>
              <w:jc w:val="both"/>
              <w:rPr>
                <w:b/>
                <w:bCs/>
                <w:sz w:val="22"/>
                <w:szCs w:val="22"/>
              </w:rPr>
            </w:pPr>
            <w:r w:rsidRPr="00D01E98">
              <w:rPr>
                <w:b/>
                <w:bCs/>
                <w:sz w:val="22"/>
                <w:szCs w:val="22"/>
              </w:rPr>
              <w:t>6.6. Posebne mjere opreza pri odlaganju materijala koji treba odbaciti nakon primjene lijeka</w:t>
            </w:r>
            <w:r w:rsidR="000106E8" w:rsidRPr="00D01E98">
              <w:rPr>
                <w:b/>
                <w:bCs/>
                <w:sz w:val="22"/>
                <w:szCs w:val="22"/>
              </w:rPr>
              <w:t xml:space="preserve"> (i druga uputstva za rukovanje lijekom)</w:t>
            </w:r>
          </w:p>
          <w:p w14:paraId="18B13FF1" w14:textId="30051CAC" w:rsidR="00CF45E8" w:rsidRPr="00D01E98" w:rsidRDefault="00CF45E8" w:rsidP="00923DFD">
            <w:pPr>
              <w:pStyle w:val="Header"/>
              <w:tabs>
                <w:tab w:val="left" w:pos="284"/>
              </w:tabs>
              <w:jc w:val="both"/>
              <w:rPr>
                <w:b/>
                <w:bCs/>
                <w:sz w:val="22"/>
                <w:szCs w:val="22"/>
              </w:rPr>
            </w:pPr>
          </w:p>
        </w:tc>
      </w:tr>
      <w:tr w:rsidR="0020267D" w:rsidRPr="00D01E98" w14:paraId="280C8F9D" w14:textId="77777777" w:rsidTr="00757DA0">
        <w:trPr>
          <w:trHeight w:val="540"/>
        </w:trPr>
        <w:tc>
          <w:tcPr>
            <w:tcW w:w="9906" w:type="dxa"/>
            <w:gridSpan w:val="3"/>
            <w:shd w:val="clear" w:color="auto" w:fill="auto"/>
            <w:vAlign w:val="center"/>
          </w:tcPr>
          <w:p w14:paraId="7D57615D" w14:textId="36F5C104" w:rsidR="0020267D" w:rsidRPr="00D01E98" w:rsidRDefault="0020267D" w:rsidP="00923DFD">
            <w:pPr>
              <w:pStyle w:val="Header"/>
              <w:tabs>
                <w:tab w:val="left" w:pos="284"/>
              </w:tabs>
              <w:jc w:val="both"/>
              <w:rPr>
                <w:sz w:val="22"/>
                <w:szCs w:val="22"/>
              </w:rPr>
            </w:pPr>
            <w:r w:rsidRPr="00D01E98">
              <w:rPr>
                <w:sz w:val="22"/>
                <w:szCs w:val="22"/>
              </w:rPr>
              <w:t>Neupotr</w:t>
            </w:r>
            <w:r w:rsidR="004B6E54" w:rsidRPr="00D01E98">
              <w:rPr>
                <w:sz w:val="22"/>
                <w:szCs w:val="22"/>
              </w:rPr>
              <w:t>ij</w:t>
            </w:r>
            <w:r w:rsidRPr="00D01E98">
              <w:rPr>
                <w:sz w:val="22"/>
                <w:szCs w:val="22"/>
              </w:rPr>
              <w:t xml:space="preserve">ebljeni lijek </w:t>
            </w:r>
            <w:r w:rsidR="00AA31DF" w:rsidRPr="00D01E98">
              <w:rPr>
                <w:sz w:val="22"/>
                <w:szCs w:val="22"/>
              </w:rPr>
              <w:t xml:space="preserve">ili otpadni materijal </w:t>
            </w:r>
            <w:r w:rsidRPr="00D01E98">
              <w:rPr>
                <w:sz w:val="22"/>
                <w:szCs w:val="22"/>
              </w:rPr>
              <w:t>se uništava</w:t>
            </w:r>
            <w:r w:rsidR="00AA31DF" w:rsidRPr="00D01E98">
              <w:rPr>
                <w:sz w:val="22"/>
                <w:szCs w:val="22"/>
              </w:rPr>
              <w:t>ju</w:t>
            </w:r>
            <w:r w:rsidRPr="00D01E98">
              <w:rPr>
                <w:sz w:val="22"/>
                <w:szCs w:val="22"/>
              </w:rPr>
              <w:t xml:space="preserve"> u skladu sa važećim propisima.</w:t>
            </w:r>
          </w:p>
          <w:p w14:paraId="2F9CA902" w14:textId="77777777" w:rsidR="0020267D" w:rsidRPr="00D01E98" w:rsidRDefault="0020267D" w:rsidP="00923DFD">
            <w:pPr>
              <w:pStyle w:val="Header"/>
              <w:tabs>
                <w:tab w:val="left" w:pos="284"/>
              </w:tabs>
              <w:jc w:val="both"/>
              <w:rPr>
                <w:sz w:val="22"/>
                <w:szCs w:val="22"/>
              </w:rPr>
            </w:pPr>
          </w:p>
        </w:tc>
      </w:tr>
      <w:tr w:rsidR="0020267D" w:rsidRPr="00D01E98" w14:paraId="43C184D1" w14:textId="77777777" w:rsidTr="00757DA0">
        <w:trPr>
          <w:trHeight w:val="356"/>
        </w:trPr>
        <w:tc>
          <w:tcPr>
            <w:tcW w:w="9906" w:type="dxa"/>
            <w:gridSpan w:val="3"/>
            <w:shd w:val="clear" w:color="auto" w:fill="auto"/>
            <w:vAlign w:val="center"/>
          </w:tcPr>
          <w:p w14:paraId="5A197DFB" w14:textId="77777777" w:rsidR="00CF45E8" w:rsidRPr="00D01E98" w:rsidRDefault="00CF45E8" w:rsidP="00923DFD">
            <w:pPr>
              <w:pStyle w:val="Header"/>
              <w:tabs>
                <w:tab w:val="left" w:pos="284"/>
              </w:tabs>
              <w:jc w:val="both"/>
              <w:rPr>
                <w:b/>
                <w:bCs/>
                <w:sz w:val="22"/>
                <w:szCs w:val="22"/>
              </w:rPr>
            </w:pPr>
          </w:p>
          <w:p w14:paraId="04EE445E" w14:textId="5638BF8E" w:rsidR="0020267D" w:rsidRPr="00D01E98" w:rsidRDefault="0020267D" w:rsidP="00923DFD">
            <w:pPr>
              <w:pStyle w:val="Header"/>
              <w:tabs>
                <w:tab w:val="left" w:pos="284"/>
              </w:tabs>
              <w:jc w:val="both"/>
              <w:rPr>
                <w:b/>
                <w:bCs/>
                <w:sz w:val="22"/>
                <w:szCs w:val="22"/>
              </w:rPr>
            </w:pPr>
            <w:r w:rsidRPr="00D01E98">
              <w:rPr>
                <w:b/>
                <w:bCs/>
                <w:sz w:val="22"/>
                <w:szCs w:val="22"/>
              </w:rPr>
              <w:t xml:space="preserve">7. NOSILAC DOZVOLE </w:t>
            </w:r>
          </w:p>
        </w:tc>
      </w:tr>
      <w:tr w:rsidR="0020267D" w:rsidRPr="00D01E98" w14:paraId="4B2AE19E" w14:textId="77777777" w:rsidTr="00757DA0">
        <w:trPr>
          <w:trHeight w:val="585"/>
        </w:trPr>
        <w:tc>
          <w:tcPr>
            <w:tcW w:w="9906" w:type="dxa"/>
            <w:gridSpan w:val="3"/>
            <w:shd w:val="clear" w:color="auto" w:fill="auto"/>
            <w:vAlign w:val="center"/>
          </w:tcPr>
          <w:p w14:paraId="72112861" w14:textId="77777777" w:rsidR="0020267D" w:rsidRPr="00D01E98" w:rsidRDefault="0020267D" w:rsidP="00923DFD">
            <w:pPr>
              <w:pStyle w:val="Header"/>
              <w:tabs>
                <w:tab w:val="left" w:pos="284"/>
              </w:tabs>
              <w:jc w:val="both"/>
              <w:rPr>
                <w:sz w:val="22"/>
                <w:szCs w:val="22"/>
              </w:rPr>
            </w:pPr>
          </w:p>
          <w:p w14:paraId="17470501" w14:textId="77777777" w:rsidR="0020267D" w:rsidRPr="00D01E98" w:rsidRDefault="00E63A22" w:rsidP="00923DFD">
            <w:pPr>
              <w:pStyle w:val="Header"/>
              <w:tabs>
                <w:tab w:val="left" w:pos="284"/>
              </w:tabs>
              <w:jc w:val="both"/>
              <w:rPr>
                <w:sz w:val="22"/>
                <w:szCs w:val="22"/>
              </w:rPr>
            </w:pPr>
            <w:r w:rsidRPr="00D01E98">
              <w:rPr>
                <w:sz w:val="22"/>
                <w:szCs w:val="22"/>
              </w:rPr>
              <w:t>Evropa Lek Pharma d.o.o. Podgorica</w:t>
            </w:r>
            <w:r w:rsidR="0020267D" w:rsidRPr="00D01E98">
              <w:rPr>
                <w:sz w:val="22"/>
                <w:szCs w:val="22"/>
              </w:rPr>
              <w:t>, Kritskog odreda 4/1, 81000 Podgorica</w:t>
            </w:r>
            <w:r w:rsidR="000A4FDA" w:rsidRPr="00D01E98">
              <w:rPr>
                <w:sz w:val="22"/>
                <w:szCs w:val="22"/>
              </w:rPr>
              <w:t>, Crna Gora</w:t>
            </w:r>
          </w:p>
          <w:p w14:paraId="1A97C345" w14:textId="77777777" w:rsidR="0020267D" w:rsidRPr="00D01E98" w:rsidRDefault="0020267D" w:rsidP="00923DFD">
            <w:pPr>
              <w:pStyle w:val="Header"/>
              <w:tabs>
                <w:tab w:val="left" w:pos="284"/>
              </w:tabs>
              <w:jc w:val="both"/>
              <w:rPr>
                <w:sz w:val="22"/>
                <w:szCs w:val="22"/>
              </w:rPr>
            </w:pPr>
          </w:p>
        </w:tc>
      </w:tr>
      <w:tr w:rsidR="0020267D" w:rsidRPr="00D01E98" w14:paraId="6EFEABE6" w14:textId="77777777" w:rsidTr="00757DA0">
        <w:tc>
          <w:tcPr>
            <w:tcW w:w="9906" w:type="dxa"/>
            <w:gridSpan w:val="3"/>
            <w:shd w:val="clear" w:color="auto" w:fill="auto"/>
            <w:vAlign w:val="center"/>
          </w:tcPr>
          <w:p w14:paraId="19B40733" w14:textId="77777777" w:rsidR="00CF45E8" w:rsidRPr="00D01E98" w:rsidRDefault="00CF45E8" w:rsidP="00923DFD">
            <w:pPr>
              <w:pStyle w:val="Header"/>
              <w:tabs>
                <w:tab w:val="left" w:pos="284"/>
              </w:tabs>
              <w:jc w:val="both"/>
              <w:rPr>
                <w:b/>
                <w:bCs/>
                <w:sz w:val="22"/>
                <w:szCs w:val="22"/>
              </w:rPr>
            </w:pPr>
          </w:p>
          <w:p w14:paraId="471E430A" w14:textId="68798A1A" w:rsidR="0020267D" w:rsidRPr="00D01E98" w:rsidRDefault="0020267D" w:rsidP="00923DFD">
            <w:pPr>
              <w:pStyle w:val="Header"/>
              <w:tabs>
                <w:tab w:val="left" w:pos="284"/>
              </w:tabs>
              <w:jc w:val="both"/>
              <w:rPr>
                <w:b/>
                <w:bCs/>
                <w:sz w:val="22"/>
                <w:szCs w:val="22"/>
              </w:rPr>
            </w:pPr>
            <w:r w:rsidRPr="00D01E98">
              <w:rPr>
                <w:b/>
                <w:bCs/>
                <w:sz w:val="22"/>
                <w:szCs w:val="22"/>
              </w:rPr>
              <w:t>8. BROJ DOZVOLE</w:t>
            </w:r>
            <w:r w:rsidR="000106E8" w:rsidRPr="00D01E98">
              <w:rPr>
                <w:b/>
                <w:bCs/>
                <w:sz w:val="22"/>
                <w:szCs w:val="22"/>
              </w:rPr>
              <w:t xml:space="preserve"> ZA STAVLJANJE LIJEKA U PROMET</w:t>
            </w:r>
          </w:p>
        </w:tc>
      </w:tr>
      <w:tr w:rsidR="0020267D" w:rsidRPr="00D01E98" w14:paraId="5193F977" w14:textId="77777777" w:rsidTr="00757DA0">
        <w:trPr>
          <w:trHeight w:val="675"/>
        </w:trPr>
        <w:tc>
          <w:tcPr>
            <w:tcW w:w="9906" w:type="dxa"/>
            <w:gridSpan w:val="3"/>
            <w:shd w:val="clear" w:color="auto" w:fill="auto"/>
            <w:vAlign w:val="center"/>
          </w:tcPr>
          <w:p w14:paraId="28E4BC85" w14:textId="30328CE5" w:rsidR="0020267D" w:rsidRPr="00D01E98" w:rsidRDefault="0020267D" w:rsidP="00923DFD">
            <w:pPr>
              <w:pStyle w:val="Header"/>
              <w:tabs>
                <w:tab w:val="left" w:pos="284"/>
              </w:tabs>
              <w:jc w:val="both"/>
              <w:rPr>
                <w:sz w:val="22"/>
                <w:szCs w:val="22"/>
              </w:rPr>
            </w:pPr>
          </w:p>
          <w:p w14:paraId="3CD04F5C" w14:textId="4E409424" w:rsidR="00015DCE" w:rsidRPr="00D01E98" w:rsidRDefault="00015DCE" w:rsidP="00923DFD">
            <w:pPr>
              <w:pStyle w:val="Header"/>
              <w:tabs>
                <w:tab w:val="left" w:pos="284"/>
              </w:tabs>
              <w:jc w:val="both"/>
              <w:rPr>
                <w:sz w:val="22"/>
                <w:szCs w:val="22"/>
              </w:rPr>
            </w:pPr>
            <w:r w:rsidRPr="00D01E98">
              <w:rPr>
                <w:sz w:val="22"/>
                <w:szCs w:val="22"/>
              </w:rPr>
              <w:t xml:space="preserve">Inlyta, film tableta, 1mg, blister, 56 (4x14) film tableta: </w:t>
            </w:r>
            <w:r w:rsidR="00997A4B" w:rsidRPr="00D01E98">
              <w:rPr>
                <w:sz w:val="22"/>
                <w:szCs w:val="22"/>
                <w:lang w:val="en-US" w:eastAsia="sr-Latn-ME"/>
              </w:rPr>
              <w:t>2030/24/4408 - 2710</w:t>
            </w:r>
            <w:bookmarkStart w:id="0" w:name="_GoBack"/>
            <w:bookmarkEnd w:id="0"/>
          </w:p>
          <w:p w14:paraId="2EB7A567" w14:textId="77777777" w:rsidR="00997A4B" w:rsidRPr="00D01E98" w:rsidRDefault="00015DCE" w:rsidP="00997A4B">
            <w:pPr>
              <w:pStyle w:val="Header"/>
              <w:tabs>
                <w:tab w:val="left" w:pos="284"/>
              </w:tabs>
              <w:jc w:val="both"/>
              <w:rPr>
                <w:sz w:val="22"/>
                <w:szCs w:val="22"/>
              </w:rPr>
            </w:pPr>
            <w:r w:rsidRPr="00D01E98">
              <w:rPr>
                <w:sz w:val="22"/>
                <w:szCs w:val="22"/>
              </w:rPr>
              <w:t xml:space="preserve">Inlyta, film tableta, 5mg, blister, 56 (4x14) film tableta: </w:t>
            </w:r>
            <w:r w:rsidR="00997A4B" w:rsidRPr="00D01E98">
              <w:rPr>
                <w:sz w:val="22"/>
                <w:szCs w:val="22"/>
              </w:rPr>
              <w:t>2030/24/4407 - 2711</w:t>
            </w:r>
          </w:p>
          <w:p w14:paraId="7BC2C20D" w14:textId="77777777" w:rsidR="00015DCE" w:rsidRPr="00D01E98" w:rsidRDefault="00015DCE" w:rsidP="00923DFD">
            <w:pPr>
              <w:pStyle w:val="Header"/>
              <w:tabs>
                <w:tab w:val="left" w:pos="284"/>
              </w:tabs>
              <w:jc w:val="both"/>
              <w:rPr>
                <w:sz w:val="22"/>
                <w:szCs w:val="22"/>
              </w:rPr>
            </w:pPr>
          </w:p>
          <w:p w14:paraId="4496359F" w14:textId="25139834" w:rsidR="00015DCE" w:rsidRPr="00D01E98" w:rsidRDefault="00015DCE" w:rsidP="00923DFD">
            <w:pPr>
              <w:pStyle w:val="Header"/>
              <w:tabs>
                <w:tab w:val="left" w:pos="284"/>
              </w:tabs>
              <w:jc w:val="both"/>
              <w:rPr>
                <w:sz w:val="22"/>
                <w:szCs w:val="22"/>
              </w:rPr>
            </w:pPr>
          </w:p>
        </w:tc>
      </w:tr>
      <w:tr w:rsidR="0020267D" w:rsidRPr="00D01E98" w14:paraId="16EA8FF0" w14:textId="77777777" w:rsidTr="00757DA0">
        <w:tc>
          <w:tcPr>
            <w:tcW w:w="9906" w:type="dxa"/>
            <w:gridSpan w:val="3"/>
            <w:shd w:val="clear" w:color="auto" w:fill="auto"/>
            <w:vAlign w:val="center"/>
          </w:tcPr>
          <w:p w14:paraId="34D628DE" w14:textId="37D2D683" w:rsidR="0020267D" w:rsidRPr="00D01E98" w:rsidRDefault="0020267D" w:rsidP="00923DFD">
            <w:pPr>
              <w:pStyle w:val="Header"/>
              <w:tabs>
                <w:tab w:val="left" w:pos="284"/>
              </w:tabs>
              <w:jc w:val="both"/>
              <w:rPr>
                <w:b/>
                <w:bCs/>
                <w:sz w:val="22"/>
                <w:szCs w:val="22"/>
              </w:rPr>
            </w:pPr>
            <w:r w:rsidRPr="00D01E98">
              <w:rPr>
                <w:b/>
                <w:bCs/>
                <w:sz w:val="22"/>
                <w:szCs w:val="22"/>
              </w:rPr>
              <w:t>9. DATUM PRVE DOZVOLE/OBNOVE DOZVOLE</w:t>
            </w:r>
            <w:r w:rsidR="00B53EA6" w:rsidRPr="00D01E98">
              <w:rPr>
                <w:b/>
                <w:bCs/>
                <w:sz w:val="22"/>
                <w:szCs w:val="22"/>
              </w:rPr>
              <w:t xml:space="preserve"> ZA STAVLJANJE LIJEKA U PROMET</w:t>
            </w:r>
          </w:p>
        </w:tc>
      </w:tr>
      <w:tr w:rsidR="0020267D" w:rsidRPr="00D01E98" w14:paraId="4F20D702" w14:textId="77777777" w:rsidTr="00757DA0">
        <w:trPr>
          <w:trHeight w:val="504"/>
        </w:trPr>
        <w:tc>
          <w:tcPr>
            <w:tcW w:w="9906" w:type="dxa"/>
            <w:gridSpan w:val="3"/>
            <w:shd w:val="clear" w:color="auto" w:fill="auto"/>
            <w:vAlign w:val="center"/>
          </w:tcPr>
          <w:p w14:paraId="7D3389C2" w14:textId="77777777" w:rsidR="0020267D" w:rsidRPr="00D01E98" w:rsidRDefault="0020267D" w:rsidP="00923DFD">
            <w:pPr>
              <w:ind w:left="720" w:right="691" w:hanging="720"/>
              <w:jc w:val="both"/>
              <w:rPr>
                <w:sz w:val="22"/>
                <w:szCs w:val="22"/>
              </w:rPr>
            </w:pPr>
          </w:p>
          <w:p w14:paraId="0A9277CC" w14:textId="20EDC44A" w:rsidR="00015DCE" w:rsidRPr="00D01E98" w:rsidRDefault="00015DCE" w:rsidP="00015DCE">
            <w:pPr>
              <w:ind w:right="691"/>
              <w:jc w:val="both"/>
              <w:rPr>
                <w:sz w:val="22"/>
                <w:szCs w:val="22"/>
              </w:rPr>
            </w:pPr>
            <w:r w:rsidRPr="00D01E98">
              <w:rPr>
                <w:sz w:val="22"/>
                <w:szCs w:val="22"/>
              </w:rPr>
              <w:t>03.09.2024. godine</w:t>
            </w:r>
          </w:p>
          <w:p w14:paraId="08E775BA" w14:textId="77777777" w:rsidR="00015DCE" w:rsidRPr="00D01E98" w:rsidRDefault="00015DCE" w:rsidP="00923DFD">
            <w:pPr>
              <w:ind w:left="720" w:right="691" w:hanging="720"/>
              <w:jc w:val="both"/>
              <w:rPr>
                <w:sz w:val="22"/>
                <w:szCs w:val="22"/>
              </w:rPr>
            </w:pPr>
          </w:p>
          <w:p w14:paraId="10740CEF" w14:textId="5ABC67D0" w:rsidR="00015DCE" w:rsidRPr="00D01E98" w:rsidRDefault="00015DCE" w:rsidP="00923DFD">
            <w:pPr>
              <w:ind w:left="720" w:right="691" w:hanging="720"/>
              <w:jc w:val="both"/>
              <w:rPr>
                <w:sz w:val="22"/>
                <w:szCs w:val="22"/>
              </w:rPr>
            </w:pPr>
          </w:p>
        </w:tc>
      </w:tr>
      <w:tr w:rsidR="0020267D" w:rsidRPr="00D01E98" w14:paraId="2C9537E4" w14:textId="77777777" w:rsidTr="00757DA0">
        <w:tc>
          <w:tcPr>
            <w:tcW w:w="9906" w:type="dxa"/>
            <w:gridSpan w:val="3"/>
            <w:shd w:val="clear" w:color="auto" w:fill="auto"/>
            <w:vAlign w:val="center"/>
          </w:tcPr>
          <w:p w14:paraId="39E54BAE" w14:textId="1EECC678" w:rsidR="0020267D" w:rsidRPr="00D01E98" w:rsidRDefault="0020267D" w:rsidP="00923DFD">
            <w:pPr>
              <w:pStyle w:val="Header"/>
              <w:tabs>
                <w:tab w:val="left" w:pos="284"/>
              </w:tabs>
              <w:jc w:val="both"/>
              <w:rPr>
                <w:b/>
                <w:bCs/>
                <w:sz w:val="22"/>
                <w:szCs w:val="22"/>
              </w:rPr>
            </w:pPr>
            <w:r w:rsidRPr="00D01E98">
              <w:rPr>
                <w:b/>
                <w:bCs/>
                <w:sz w:val="22"/>
                <w:szCs w:val="22"/>
              </w:rPr>
              <w:t xml:space="preserve">10. DATUM REVIZIJE TEKSTA </w:t>
            </w:r>
          </w:p>
        </w:tc>
      </w:tr>
      <w:tr w:rsidR="0020267D" w:rsidRPr="00D01E98" w14:paraId="26A216CF" w14:textId="77777777" w:rsidTr="00757DA0">
        <w:trPr>
          <w:trHeight w:val="576"/>
        </w:trPr>
        <w:tc>
          <w:tcPr>
            <w:tcW w:w="9906" w:type="dxa"/>
            <w:gridSpan w:val="3"/>
            <w:shd w:val="clear" w:color="auto" w:fill="auto"/>
            <w:vAlign w:val="center"/>
          </w:tcPr>
          <w:p w14:paraId="288F1336" w14:textId="77777777" w:rsidR="0020267D" w:rsidRPr="00D01E98" w:rsidRDefault="0020267D" w:rsidP="00923DFD">
            <w:pPr>
              <w:pStyle w:val="Header"/>
              <w:tabs>
                <w:tab w:val="left" w:pos="284"/>
              </w:tabs>
              <w:jc w:val="both"/>
              <w:rPr>
                <w:sz w:val="22"/>
                <w:szCs w:val="22"/>
              </w:rPr>
            </w:pPr>
          </w:p>
          <w:p w14:paraId="738DEBF5" w14:textId="2F10E398" w:rsidR="00015DCE" w:rsidRPr="00D01E98" w:rsidRDefault="00015DCE" w:rsidP="00923DFD">
            <w:pPr>
              <w:pStyle w:val="Header"/>
              <w:tabs>
                <w:tab w:val="left" w:pos="284"/>
              </w:tabs>
              <w:jc w:val="both"/>
              <w:rPr>
                <w:sz w:val="22"/>
                <w:szCs w:val="22"/>
              </w:rPr>
            </w:pPr>
            <w:r w:rsidRPr="00D01E98">
              <w:rPr>
                <w:sz w:val="22"/>
                <w:szCs w:val="22"/>
              </w:rPr>
              <w:t>Septembar, 2024. godine</w:t>
            </w:r>
          </w:p>
        </w:tc>
      </w:tr>
    </w:tbl>
    <w:p w14:paraId="3351BFF8" w14:textId="77777777" w:rsidR="0020267D" w:rsidRPr="00D01E98" w:rsidRDefault="0020267D" w:rsidP="00923DFD">
      <w:pPr>
        <w:jc w:val="both"/>
        <w:rPr>
          <w:sz w:val="22"/>
          <w:szCs w:val="22"/>
        </w:rPr>
      </w:pPr>
    </w:p>
    <w:p w14:paraId="623E4C7B" w14:textId="77777777" w:rsidR="006768CB" w:rsidRPr="00D01E98" w:rsidRDefault="006768CB" w:rsidP="00923DFD">
      <w:pPr>
        <w:jc w:val="both"/>
        <w:rPr>
          <w:sz w:val="22"/>
          <w:szCs w:val="22"/>
        </w:rPr>
      </w:pPr>
    </w:p>
    <w:sectPr w:rsidR="006768CB" w:rsidRPr="00D01E98" w:rsidSect="00923DFD">
      <w:footerReference w:type="even" r:id="rId18"/>
      <w:footerReference w:type="default" r:id="rId19"/>
      <w:headerReference w:type="first" r:id="rId20"/>
      <w:footerReference w:type="first" r:id="rId21"/>
      <w:pgSz w:w="11907" w:h="16840" w:code="9"/>
      <w:pgMar w:top="1279" w:right="1138" w:bottom="1276" w:left="113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EDC1" w14:textId="77777777" w:rsidR="00AA366D" w:rsidRDefault="00AA366D">
      <w:r>
        <w:separator/>
      </w:r>
    </w:p>
  </w:endnote>
  <w:endnote w:type="continuationSeparator" w:id="0">
    <w:p w14:paraId="2028BDA7" w14:textId="77777777" w:rsidR="00AA366D" w:rsidRDefault="00AA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dobe Myungjo Std M">
    <w:altName w:val="Arial Unicode MS"/>
    <w:panose1 w:val="00000000000000000000"/>
    <w:charset w:val="80"/>
    <w:family w:val="roman"/>
    <w:notTrueType/>
    <w:pitch w:val="variable"/>
    <w:sig w:usb0="00000000" w:usb1="29D7FCFB" w:usb2="00000010" w:usb3="00000000" w:csb0="002A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D13D" w14:textId="77777777" w:rsidR="00264191" w:rsidRDefault="0026419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E9BB31" w14:textId="77777777" w:rsidR="00264191" w:rsidRDefault="00264191"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D22B1" w14:textId="55EC9444" w:rsidR="00264191" w:rsidRPr="00923DFD" w:rsidRDefault="00052B0D" w:rsidP="00052B0D">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97A4B">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97A4B">
      <w:rPr>
        <w:noProof/>
        <w:sz w:val="22"/>
        <w:szCs w:val="22"/>
      </w:rPr>
      <w:t>19</w:t>
    </w:r>
    <w:r w:rsidRPr="00B23F6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7E48" w14:textId="77777777" w:rsidR="00264191" w:rsidRDefault="0026419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600DA" w14:textId="77777777" w:rsidR="00AA366D" w:rsidRDefault="00AA366D">
      <w:r>
        <w:separator/>
      </w:r>
    </w:p>
  </w:footnote>
  <w:footnote w:type="continuationSeparator" w:id="0">
    <w:p w14:paraId="0AB3AFBB" w14:textId="77777777" w:rsidR="00AA366D" w:rsidRDefault="00AA3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4B57" w14:textId="77777777" w:rsidR="00264191" w:rsidRDefault="00264191">
    <w:pPr>
      <w:pStyle w:val="Header"/>
      <w:rPr>
        <w:sz w:val="16"/>
        <w:szCs w:val="16"/>
      </w:rPr>
    </w:pPr>
    <w:r>
      <w:rPr>
        <w:noProof/>
        <w:sz w:val="16"/>
        <w:szCs w:val="16"/>
        <w:lang w:val="en-US"/>
      </w:rPr>
      <w:drawing>
        <wp:inline distT="0" distB="0" distL="0" distR="0" wp14:anchorId="13DB1E64" wp14:editId="58298C83">
          <wp:extent cx="1447800" cy="26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38A70154" w14:textId="77777777" w:rsidR="00264191" w:rsidRDefault="00264191">
    <w:pPr>
      <w:pStyle w:val="Header"/>
      <w:rPr>
        <w:sz w:val="16"/>
        <w:szCs w:val="16"/>
      </w:rPr>
    </w:pPr>
  </w:p>
  <w:p w14:paraId="79EABA3F" w14:textId="77777777" w:rsidR="00264191" w:rsidRDefault="0026419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9C85F4B"/>
    <w:multiLevelType w:val="hybridMultilevel"/>
    <w:tmpl w:val="0A023356"/>
    <w:lvl w:ilvl="0" w:tplc="6CBAB12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9840504"/>
    <w:multiLevelType w:val="hybridMultilevel"/>
    <w:tmpl w:val="9138BC34"/>
    <w:lvl w:ilvl="0" w:tplc="E6A29254">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25DB3"/>
    <w:multiLevelType w:val="hybridMultilevel"/>
    <w:tmpl w:val="F1C6ECFA"/>
    <w:lvl w:ilvl="0" w:tplc="E6A29254">
      <w:start w:val="1"/>
      <w:numFmt w:val="lowerLetter"/>
      <w:lvlText w:val="%1"/>
      <w:lvlJc w:val="left"/>
      <w:pPr>
        <w:ind w:left="0" w:hanging="360"/>
      </w:pPr>
      <w:rPr>
        <w:rFonts w:hint="default"/>
        <w:vertAlign w:val="superscrip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E3D6D4D"/>
    <w:multiLevelType w:val="multilevel"/>
    <w:tmpl w:val="F024356E"/>
    <w:name w:val="dtMLAppendix0"/>
    <w:lvl w:ilvl="0">
      <w:start w:val="1"/>
      <w:numFmt w:val="decimal"/>
      <w:lvlRestart w:val="0"/>
      <w:pStyle w:val="Appendix1"/>
      <w:suff w:val="space"/>
      <w:lvlText w:val="Appendix %1."/>
      <w:lvlJc w:val="left"/>
      <w:pPr>
        <w:tabs>
          <w:tab w:val="num" w:pos="0"/>
        </w:tabs>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7"/>
  </w:num>
  <w:num w:numId="3">
    <w:abstractNumId w:val="11"/>
  </w:num>
  <w:num w:numId="4">
    <w:abstractNumId w:val="10"/>
  </w:num>
  <w:num w:numId="5">
    <w:abstractNumId w:val="9"/>
  </w:num>
  <w:num w:numId="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1786"/>
    <w:rsid w:val="000017B7"/>
    <w:rsid w:val="000024AE"/>
    <w:rsid w:val="00004B28"/>
    <w:rsid w:val="00005D7D"/>
    <w:rsid w:val="00006E5C"/>
    <w:rsid w:val="00007DC9"/>
    <w:rsid w:val="000106E8"/>
    <w:rsid w:val="000119D9"/>
    <w:rsid w:val="00012793"/>
    <w:rsid w:val="000144AC"/>
    <w:rsid w:val="00014731"/>
    <w:rsid w:val="00015B8A"/>
    <w:rsid w:val="00015DCE"/>
    <w:rsid w:val="00016159"/>
    <w:rsid w:val="00016262"/>
    <w:rsid w:val="0002193F"/>
    <w:rsid w:val="000241E3"/>
    <w:rsid w:val="00024245"/>
    <w:rsid w:val="000250EC"/>
    <w:rsid w:val="0002593D"/>
    <w:rsid w:val="00025F37"/>
    <w:rsid w:val="00027069"/>
    <w:rsid w:val="0002778B"/>
    <w:rsid w:val="0002783F"/>
    <w:rsid w:val="00031CFD"/>
    <w:rsid w:val="00031F95"/>
    <w:rsid w:val="000341C6"/>
    <w:rsid w:val="00035AB0"/>
    <w:rsid w:val="00035F09"/>
    <w:rsid w:val="0004033B"/>
    <w:rsid w:val="000431EF"/>
    <w:rsid w:val="00045553"/>
    <w:rsid w:val="00047229"/>
    <w:rsid w:val="00052B0D"/>
    <w:rsid w:val="000534C0"/>
    <w:rsid w:val="000537EA"/>
    <w:rsid w:val="00063BF3"/>
    <w:rsid w:val="0006414A"/>
    <w:rsid w:val="000654BD"/>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4FDA"/>
    <w:rsid w:val="000A738C"/>
    <w:rsid w:val="000B06E9"/>
    <w:rsid w:val="000B0ADC"/>
    <w:rsid w:val="000B0D38"/>
    <w:rsid w:val="000B2A18"/>
    <w:rsid w:val="000B5AFB"/>
    <w:rsid w:val="000C0EC1"/>
    <w:rsid w:val="000C30C3"/>
    <w:rsid w:val="000C3B84"/>
    <w:rsid w:val="000C63CA"/>
    <w:rsid w:val="000C7728"/>
    <w:rsid w:val="000D03EF"/>
    <w:rsid w:val="000D3C8E"/>
    <w:rsid w:val="000D580E"/>
    <w:rsid w:val="000D6526"/>
    <w:rsid w:val="000D70FD"/>
    <w:rsid w:val="000E0FEE"/>
    <w:rsid w:val="000E1847"/>
    <w:rsid w:val="000E251A"/>
    <w:rsid w:val="000E30D4"/>
    <w:rsid w:val="000E376D"/>
    <w:rsid w:val="000E4A11"/>
    <w:rsid w:val="000E6063"/>
    <w:rsid w:val="000E62B7"/>
    <w:rsid w:val="000F1C30"/>
    <w:rsid w:val="000F5734"/>
    <w:rsid w:val="000F5E16"/>
    <w:rsid w:val="000F7222"/>
    <w:rsid w:val="0010177B"/>
    <w:rsid w:val="0010271F"/>
    <w:rsid w:val="001060EC"/>
    <w:rsid w:val="0012331A"/>
    <w:rsid w:val="00123901"/>
    <w:rsid w:val="00125032"/>
    <w:rsid w:val="00126619"/>
    <w:rsid w:val="00130E5B"/>
    <w:rsid w:val="001327A9"/>
    <w:rsid w:val="001346AA"/>
    <w:rsid w:val="00134B56"/>
    <w:rsid w:val="001379A3"/>
    <w:rsid w:val="00140DDE"/>
    <w:rsid w:val="00141295"/>
    <w:rsid w:val="00141C6D"/>
    <w:rsid w:val="00142921"/>
    <w:rsid w:val="001450CA"/>
    <w:rsid w:val="00145182"/>
    <w:rsid w:val="00150890"/>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0EF2"/>
    <w:rsid w:val="001A4A5F"/>
    <w:rsid w:val="001A70F6"/>
    <w:rsid w:val="001B084B"/>
    <w:rsid w:val="001B3424"/>
    <w:rsid w:val="001B4DCE"/>
    <w:rsid w:val="001B602C"/>
    <w:rsid w:val="001B61E4"/>
    <w:rsid w:val="001B731A"/>
    <w:rsid w:val="001C0FD7"/>
    <w:rsid w:val="001C273C"/>
    <w:rsid w:val="001C691D"/>
    <w:rsid w:val="001C711D"/>
    <w:rsid w:val="001D2183"/>
    <w:rsid w:val="001D25D9"/>
    <w:rsid w:val="001D301F"/>
    <w:rsid w:val="001D31CB"/>
    <w:rsid w:val="001D7370"/>
    <w:rsid w:val="001E14B2"/>
    <w:rsid w:val="001E195D"/>
    <w:rsid w:val="001E2E3C"/>
    <w:rsid w:val="001F02DE"/>
    <w:rsid w:val="001F3C63"/>
    <w:rsid w:val="001F6994"/>
    <w:rsid w:val="001F7B65"/>
    <w:rsid w:val="00202214"/>
    <w:rsid w:val="0020267D"/>
    <w:rsid w:val="00203D65"/>
    <w:rsid w:val="0020566A"/>
    <w:rsid w:val="0020647A"/>
    <w:rsid w:val="002109DD"/>
    <w:rsid w:val="00210EFE"/>
    <w:rsid w:val="0021208F"/>
    <w:rsid w:val="002125D6"/>
    <w:rsid w:val="002139ED"/>
    <w:rsid w:val="002168F5"/>
    <w:rsid w:val="002202AF"/>
    <w:rsid w:val="00222321"/>
    <w:rsid w:val="00226477"/>
    <w:rsid w:val="00226C90"/>
    <w:rsid w:val="0023310B"/>
    <w:rsid w:val="00234BED"/>
    <w:rsid w:val="00235129"/>
    <w:rsid w:val="00240C6B"/>
    <w:rsid w:val="002426EA"/>
    <w:rsid w:val="00243CA4"/>
    <w:rsid w:val="00245A64"/>
    <w:rsid w:val="00246606"/>
    <w:rsid w:val="00246CA5"/>
    <w:rsid w:val="002470D6"/>
    <w:rsid w:val="0025222F"/>
    <w:rsid w:val="00256BAA"/>
    <w:rsid w:val="002570F6"/>
    <w:rsid w:val="00261E50"/>
    <w:rsid w:val="00264191"/>
    <w:rsid w:val="0026475C"/>
    <w:rsid w:val="00265752"/>
    <w:rsid w:val="00267307"/>
    <w:rsid w:val="00267FB1"/>
    <w:rsid w:val="00273A51"/>
    <w:rsid w:val="002769B2"/>
    <w:rsid w:val="00280AF3"/>
    <w:rsid w:val="00281972"/>
    <w:rsid w:val="00282E9B"/>
    <w:rsid w:val="002843A7"/>
    <w:rsid w:val="002860CA"/>
    <w:rsid w:val="00287B6E"/>
    <w:rsid w:val="002905A8"/>
    <w:rsid w:val="00291DB3"/>
    <w:rsid w:val="00293D8E"/>
    <w:rsid w:val="00295D35"/>
    <w:rsid w:val="002A05BA"/>
    <w:rsid w:val="002A25F6"/>
    <w:rsid w:val="002A2EDD"/>
    <w:rsid w:val="002A66BF"/>
    <w:rsid w:val="002B1B18"/>
    <w:rsid w:val="002B21F6"/>
    <w:rsid w:val="002B2EDD"/>
    <w:rsid w:val="002B3EBC"/>
    <w:rsid w:val="002B4447"/>
    <w:rsid w:val="002B4ADA"/>
    <w:rsid w:val="002B5DE3"/>
    <w:rsid w:val="002B6650"/>
    <w:rsid w:val="002B6EA3"/>
    <w:rsid w:val="002C5920"/>
    <w:rsid w:val="002C6682"/>
    <w:rsid w:val="002C6C4A"/>
    <w:rsid w:val="002D3E3C"/>
    <w:rsid w:val="002D4B25"/>
    <w:rsid w:val="002D7DF8"/>
    <w:rsid w:val="002E0261"/>
    <w:rsid w:val="002E15EE"/>
    <w:rsid w:val="002E5013"/>
    <w:rsid w:val="002F1791"/>
    <w:rsid w:val="002F3E4D"/>
    <w:rsid w:val="002F727F"/>
    <w:rsid w:val="00300DA5"/>
    <w:rsid w:val="00302D94"/>
    <w:rsid w:val="0030539C"/>
    <w:rsid w:val="0031366D"/>
    <w:rsid w:val="0031466D"/>
    <w:rsid w:val="00314D92"/>
    <w:rsid w:val="003161E2"/>
    <w:rsid w:val="0031692B"/>
    <w:rsid w:val="003208CF"/>
    <w:rsid w:val="0032648C"/>
    <w:rsid w:val="00326D07"/>
    <w:rsid w:val="00327CA0"/>
    <w:rsid w:val="00327F66"/>
    <w:rsid w:val="003348A5"/>
    <w:rsid w:val="003352D7"/>
    <w:rsid w:val="00337741"/>
    <w:rsid w:val="00341576"/>
    <w:rsid w:val="003417D5"/>
    <w:rsid w:val="0034181A"/>
    <w:rsid w:val="00341DEF"/>
    <w:rsid w:val="003437A3"/>
    <w:rsid w:val="00344E85"/>
    <w:rsid w:val="00345134"/>
    <w:rsid w:val="003475C4"/>
    <w:rsid w:val="00350517"/>
    <w:rsid w:val="00351634"/>
    <w:rsid w:val="00354298"/>
    <w:rsid w:val="0035469B"/>
    <w:rsid w:val="00366527"/>
    <w:rsid w:val="00370E09"/>
    <w:rsid w:val="00371CCC"/>
    <w:rsid w:val="003731D0"/>
    <w:rsid w:val="00377385"/>
    <w:rsid w:val="00380BBC"/>
    <w:rsid w:val="00383CAA"/>
    <w:rsid w:val="00384EA9"/>
    <w:rsid w:val="00385042"/>
    <w:rsid w:val="003851FE"/>
    <w:rsid w:val="003853A7"/>
    <w:rsid w:val="00387233"/>
    <w:rsid w:val="003920A5"/>
    <w:rsid w:val="003A1525"/>
    <w:rsid w:val="003A321E"/>
    <w:rsid w:val="003A4AAF"/>
    <w:rsid w:val="003A4C9C"/>
    <w:rsid w:val="003A5E51"/>
    <w:rsid w:val="003A611F"/>
    <w:rsid w:val="003A6A22"/>
    <w:rsid w:val="003B1D29"/>
    <w:rsid w:val="003B5243"/>
    <w:rsid w:val="003B609E"/>
    <w:rsid w:val="003B698E"/>
    <w:rsid w:val="003C0C63"/>
    <w:rsid w:val="003C255F"/>
    <w:rsid w:val="003C3390"/>
    <w:rsid w:val="003C5399"/>
    <w:rsid w:val="003C640B"/>
    <w:rsid w:val="003D195D"/>
    <w:rsid w:val="003D4D9E"/>
    <w:rsid w:val="003D5592"/>
    <w:rsid w:val="003E03A3"/>
    <w:rsid w:val="003E1E0B"/>
    <w:rsid w:val="003E26F5"/>
    <w:rsid w:val="003E4328"/>
    <w:rsid w:val="003E4634"/>
    <w:rsid w:val="003E70F7"/>
    <w:rsid w:val="003F1576"/>
    <w:rsid w:val="003F1984"/>
    <w:rsid w:val="003F2DBF"/>
    <w:rsid w:val="003F43B4"/>
    <w:rsid w:val="004000CF"/>
    <w:rsid w:val="00405585"/>
    <w:rsid w:val="004064CB"/>
    <w:rsid w:val="004068E7"/>
    <w:rsid w:val="00411053"/>
    <w:rsid w:val="00411293"/>
    <w:rsid w:val="00411C49"/>
    <w:rsid w:val="0041299B"/>
    <w:rsid w:val="00413E18"/>
    <w:rsid w:val="00416AF0"/>
    <w:rsid w:val="00417A42"/>
    <w:rsid w:val="004205CC"/>
    <w:rsid w:val="004207CF"/>
    <w:rsid w:val="00424645"/>
    <w:rsid w:val="004251A0"/>
    <w:rsid w:val="00426B3B"/>
    <w:rsid w:val="00431E9C"/>
    <w:rsid w:val="004338B8"/>
    <w:rsid w:val="00437280"/>
    <w:rsid w:val="00440169"/>
    <w:rsid w:val="00441762"/>
    <w:rsid w:val="00443B2A"/>
    <w:rsid w:val="00444560"/>
    <w:rsid w:val="00452C1E"/>
    <w:rsid w:val="00454A9F"/>
    <w:rsid w:val="00457C0D"/>
    <w:rsid w:val="00463C95"/>
    <w:rsid w:val="00465608"/>
    <w:rsid w:val="00465C8B"/>
    <w:rsid w:val="00471647"/>
    <w:rsid w:val="00471E3E"/>
    <w:rsid w:val="0047280F"/>
    <w:rsid w:val="0047297A"/>
    <w:rsid w:val="004767FD"/>
    <w:rsid w:val="00477947"/>
    <w:rsid w:val="00481F9C"/>
    <w:rsid w:val="00482641"/>
    <w:rsid w:val="00484DDA"/>
    <w:rsid w:val="00485B8C"/>
    <w:rsid w:val="00485C29"/>
    <w:rsid w:val="0048792E"/>
    <w:rsid w:val="004904D1"/>
    <w:rsid w:val="00493D45"/>
    <w:rsid w:val="004941EE"/>
    <w:rsid w:val="00494AD0"/>
    <w:rsid w:val="00495295"/>
    <w:rsid w:val="004A0078"/>
    <w:rsid w:val="004A5D30"/>
    <w:rsid w:val="004A6C86"/>
    <w:rsid w:val="004A7514"/>
    <w:rsid w:val="004B0963"/>
    <w:rsid w:val="004B21A2"/>
    <w:rsid w:val="004B2780"/>
    <w:rsid w:val="004B2AD3"/>
    <w:rsid w:val="004B5046"/>
    <w:rsid w:val="004B5EE2"/>
    <w:rsid w:val="004B6017"/>
    <w:rsid w:val="004B6BB6"/>
    <w:rsid w:val="004B6E54"/>
    <w:rsid w:val="004B714D"/>
    <w:rsid w:val="004B7805"/>
    <w:rsid w:val="004B7FEA"/>
    <w:rsid w:val="004C19EC"/>
    <w:rsid w:val="004C2D24"/>
    <w:rsid w:val="004C4CA2"/>
    <w:rsid w:val="004C4F87"/>
    <w:rsid w:val="004C4FB4"/>
    <w:rsid w:val="004D2F3A"/>
    <w:rsid w:val="004D368C"/>
    <w:rsid w:val="004D3A81"/>
    <w:rsid w:val="004D60D6"/>
    <w:rsid w:val="004D7094"/>
    <w:rsid w:val="004E3B3E"/>
    <w:rsid w:val="004E4900"/>
    <w:rsid w:val="004E7B0F"/>
    <w:rsid w:val="004F0A67"/>
    <w:rsid w:val="004F226E"/>
    <w:rsid w:val="004F2DB9"/>
    <w:rsid w:val="004F35C1"/>
    <w:rsid w:val="004F47A6"/>
    <w:rsid w:val="004F7854"/>
    <w:rsid w:val="00505645"/>
    <w:rsid w:val="00510FAA"/>
    <w:rsid w:val="00512600"/>
    <w:rsid w:val="00514F76"/>
    <w:rsid w:val="00516122"/>
    <w:rsid w:val="00516562"/>
    <w:rsid w:val="00520BF0"/>
    <w:rsid w:val="005212E8"/>
    <w:rsid w:val="005215DC"/>
    <w:rsid w:val="005304DE"/>
    <w:rsid w:val="00531BAF"/>
    <w:rsid w:val="00531C42"/>
    <w:rsid w:val="00532BED"/>
    <w:rsid w:val="00532E46"/>
    <w:rsid w:val="00546018"/>
    <w:rsid w:val="00546CB3"/>
    <w:rsid w:val="00550607"/>
    <w:rsid w:val="00551A0D"/>
    <w:rsid w:val="0055287E"/>
    <w:rsid w:val="0055626B"/>
    <w:rsid w:val="005564E3"/>
    <w:rsid w:val="00556971"/>
    <w:rsid w:val="00556ABD"/>
    <w:rsid w:val="0056093F"/>
    <w:rsid w:val="00561AEE"/>
    <w:rsid w:val="00562D34"/>
    <w:rsid w:val="005635E1"/>
    <w:rsid w:val="00564B7F"/>
    <w:rsid w:val="00565A3A"/>
    <w:rsid w:val="00565CB0"/>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011F"/>
    <w:rsid w:val="005C10C6"/>
    <w:rsid w:val="005C22BB"/>
    <w:rsid w:val="005C5709"/>
    <w:rsid w:val="005C6F39"/>
    <w:rsid w:val="005C704B"/>
    <w:rsid w:val="005D0EEE"/>
    <w:rsid w:val="005D3B58"/>
    <w:rsid w:val="005E5E28"/>
    <w:rsid w:val="005E6DD4"/>
    <w:rsid w:val="005F1526"/>
    <w:rsid w:val="005F2208"/>
    <w:rsid w:val="005F5E7A"/>
    <w:rsid w:val="005F6AA3"/>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288D"/>
    <w:rsid w:val="00633042"/>
    <w:rsid w:val="00633808"/>
    <w:rsid w:val="00633A7F"/>
    <w:rsid w:val="00635F30"/>
    <w:rsid w:val="00636E7D"/>
    <w:rsid w:val="00637C1C"/>
    <w:rsid w:val="00637F90"/>
    <w:rsid w:val="00640267"/>
    <w:rsid w:val="006454B8"/>
    <w:rsid w:val="00646C12"/>
    <w:rsid w:val="0064728E"/>
    <w:rsid w:val="00651794"/>
    <w:rsid w:val="0065194B"/>
    <w:rsid w:val="00655C11"/>
    <w:rsid w:val="0065786F"/>
    <w:rsid w:val="006619BF"/>
    <w:rsid w:val="00662494"/>
    <w:rsid w:val="006639FE"/>
    <w:rsid w:val="0066660C"/>
    <w:rsid w:val="00670CF5"/>
    <w:rsid w:val="00670D40"/>
    <w:rsid w:val="0067132D"/>
    <w:rsid w:val="00673DB6"/>
    <w:rsid w:val="006768CB"/>
    <w:rsid w:val="006827B6"/>
    <w:rsid w:val="00695EC2"/>
    <w:rsid w:val="00697801"/>
    <w:rsid w:val="006A1550"/>
    <w:rsid w:val="006A1AC8"/>
    <w:rsid w:val="006A1C21"/>
    <w:rsid w:val="006A207D"/>
    <w:rsid w:val="006A55EB"/>
    <w:rsid w:val="006A7DAC"/>
    <w:rsid w:val="006B03F6"/>
    <w:rsid w:val="006B2095"/>
    <w:rsid w:val="006B379B"/>
    <w:rsid w:val="006B39EF"/>
    <w:rsid w:val="006B4924"/>
    <w:rsid w:val="006C1781"/>
    <w:rsid w:val="006C3244"/>
    <w:rsid w:val="006C569D"/>
    <w:rsid w:val="006D1644"/>
    <w:rsid w:val="006D48E5"/>
    <w:rsid w:val="006D7139"/>
    <w:rsid w:val="006E020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381C"/>
    <w:rsid w:val="0073389E"/>
    <w:rsid w:val="00734A01"/>
    <w:rsid w:val="00735F18"/>
    <w:rsid w:val="00736561"/>
    <w:rsid w:val="007404A9"/>
    <w:rsid w:val="007445FA"/>
    <w:rsid w:val="00744BE7"/>
    <w:rsid w:val="00745B70"/>
    <w:rsid w:val="007467D4"/>
    <w:rsid w:val="007508A2"/>
    <w:rsid w:val="007524D0"/>
    <w:rsid w:val="00755FC3"/>
    <w:rsid w:val="0075621B"/>
    <w:rsid w:val="00756B6F"/>
    <w:rsid w:val="00756FDD"/>
    <w:rsid w:val="00757DA0"/>
    <w:rsid w:val="00762662"/>
    <w:rsid w:val="00763206"/>
    <w:rsid w:val="007632B9"/>
    <w:rsid w:val="007633E3"/>
    <w:rsid w:val="00765261"/>
    <w:rsid w:val="0076565F"/>
    <w:rsid w:val="00766906"/>
    <w:rsid w:val="00771121"/>
    <w:rsid w:val="007724BB"/>
    <w:rsid w:val="00775D6F"/>
    <w:rsid w:val="00780C37"/>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7F6CE9"/>
    <w:rsid w:val="00800BB3"/>
    <w:rsid w:val="008015C1"/>
    <w:rsid w:val="00801CAC"/>
    <w:rsid w:val="0080431D"/>
    <w:rsid w:val="008046BA"/>
    <w:rsid w:val="00807089"/>
    <w:rsid w:val="00807887"/>
    <w:rsid w:val="00810728"/>
    <w:rsid w:val="00812969"/>
    <w:rsid w:val="00814949"/>
    <w:rsid w:val="008171E4"/>
    <w:rsid w:val="00820877"/>
    <w:rsid w:val="00822795"/>
    <w:rsid w:val="008235B9"/>
    <w:rsid w:val="00825C08"/>
    <w:rsid w:val="00825D08"/>
    <w:rsid w:val="00830080"/>
    <w:rsid w:val="00830353"/>
    <w:rsid w:val="00833181"/>
    <w:rsid w:val="00833525"/>
    <w:rsid w:val="00835CF6"/>
    <w:rsid w:val="0084036D"/>
    <w:rsid w:val="00840A50"/>
    <w:rsid w:val="00840DBC"/>
    <w:rsid w:val="00841A08"/>
    <w:rsid w:val="00842F83"/>
    <w:rsid w:val="008437AF"/>
    <w:rsid w:val="00843DB2"/>
    <w:rsid w:val="008447ED"/>
    <w:rsid w:val="008475F6"/>
    <w:rsid w:val="00850977"/>
    <w:rsid w:val="00855687"/>
    <w:rsid w:val="00856F31"/>
    <w:rsid w:val="008613FD"/>
    <w:rsid w:val="0086367B"/>
    <w:rsid w:val="008642BD"/>
    <w:rsid w:val="00866DE2"/>
    <w:rsid w:val="0086712D"/>
    <w:rsid w:val="00870297"/>
    <w:rsid w:val="0087395E"/>
    <w:rsid w:val="0087404B"/>
    <w:rsid w:val="00882974"/>
    <w:rsid w:val="00882DD6"/>
    <w:rsid w:val="00883815"/>
    <w:rsid w:val="00883AF1"/>
    <w:rsid w:val="00884FAC"/>
    <w:rsid w:val="0088561C"/>
    <w:rsid w:val="0088619A"/>
    <w:rsid w:val="00886613"/>
    <w:rsid w:val="0089072D"/>
    <w:rsid w:val="0089204B"/>
    <w:rsid w:val="00892205"/>
    <w:rsid w:val="008938C2"/>
    <w:rsid w:val="00895960"/>
    <w:rsid w:val="008A132B"/>
    <w:rsid w:val="008A1C89"/>
    <w:rsid w:val="008A37BC"/>
    <w:rsid w:val="008A47DC"/>
    <w:rsid w:val="008A49E3"/>
    <w:rsid w:val="008A6474"/>
    <w:rsid w:val="008A7F54"/>
    <w:rsid w:val="008B1957"/>
    <w:rsid w:val="008B36A5"/>
    <w:rsid w:val="008B5E8B"/>
    <w:rsid w:val="008B6223"/>
    <w:rsid w:val="008C01CD"/>
    <w:rsid w:val="008C17A3"/>
    <w:rsid w:val="008C54B2"/>
    <w:rsid w:val="008C6130"/>
    <w:rsid w:val="008D2F97"/>
    <w:rsid w:val="008D7ED7"/>
    <w:rsid w:val="008E2B0B"/>
    <w:rsid w:val="008E3485"/>
    <w:rsid w:val="008E7128"/>
    <w:rsid w:val="008F4CFF"/>
    <w:rsid w:val="008F55C9"/>
    <w:rsid w:val="00900028"/>
    <w:rsid w:val="00900462"/>
    <w:rsid w:val="009009FC"/>
    <w:rsid w:val="00901880"/>
    <w:rsid w:val="00902A3E"/>
    <w:rsid w:val="00904018"/>
    <w:rsid w:val="0090506D"/>
    <w:rsid w:val="00907BF3"/>
    <w:rsid w:val="00911701"/>
    <w:rsid w:val="00914363"/>
    <w:rsid w:val="00914FD1"/>
    <w:rsid w:val="00915911"/>
    <w:rsid w:val="0091730D"/>
    <w:rsid w:val="00923DF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0ADB"/>
    <w:rsid w:val="00963573"/>
    <w:rsid w:val="0096506F"/>
    <w:rsid w:val="00971115"/>
    <w:rsid w:val="00974B76"/>
    <w:rsid w:val="00975B0B"/>
    <w:rsid w:val="00976D6B"/>
    <w:rsid w:val="00982DB1"/>
    <w:rsid w:val="0098590D"/>
    <w:rsid w:val="00985C83"/>
    <w:rsid w:val="009868E3"/>
    <w:rsid w:val="00986B3F"/>
    <w:rsid w:val="0098755C"/>
    <w:rsid w:val="00987AEE"/>
    <w:rsid w:val="009907A2"/>
    <w:rsid w:val="00990BA9"/>
    <w:rsid w:val="00991D9E"/>
    <w:rsid w:val="009971B0"/>
    <w:rsid w:val="00997A4B"/>
    <w:rsid w:val="009A1129"/>
    <w:rsid w:val="009A1960"/>
    <w:rsid w:val="009A548F"/>
    <w:rsid w:val="009B3EAE"/>
    <w:rsid w:val="009C0389"/>
    <w:rsid w:val="009C2939"/>
    <w:rsid w:val="009C33E7"/>
    <w:rsid w:val="009C4818"/>
    <w:rsid w:val="009D13B3"/>
    <w:rsid w:val="009D535F"/>
    <w:rsid w:val="009D53A0"/>
    <w:rsid w:val="009D78D5"/>
    <w:rsid w:val="009E257E"/>
    <w:rsid w:val="009E3199"/>
    <w:rsid w:val="009E3730"/>
    <w:rsid w:val="009E4453"/>
    <w:rsid w:val="009E4687"/>
    <w:rsid w:val="009F276F"/>
    <w:rsid w:val="009F7CBF"/>
    <w:rsid w:val="00A03AC8"/>
    <w:rsid w:val="00A03BD8"/>
    <w:rsid w:val="00A05297"/>
    <w:rsid w:val="00A05D7F"/>
    <w:rsid w:val="00A05DB0"/>
    <w:rsid w:val="00A0674D"/>
    <w:rsid w:val="00A06A2F"/>
    <w:rsid w:val="00A06F35"/>
    <w:rsid w:val="00A074DA"/>
    <w:rsid w:val="00A07F6A"/>
    <w:rsid w:val="00A11D9F"/>
    <w:rsid w:val="00A12788"/>
    <w:rsid w:val="00A15A28"/>
    <w:rsid w:val="00A15F28"/>
    <w:rsid w:val="00A206EC"/>
    <w:rsid w:val="00A207E3"/>
    <w:rsid w:val="00A21CEE"/>
    <w:rsid w:val="00A223DD"/>
    <w:rsid w:val="00A24879"/>
    <w:rsid w:val="00A24FCC"/>
    <w:rsid w:val="00A24FE3"/>
    <w:rsid w:val="00A26072"/>
    <w:rsid w:val="00A27591"/>
    <w:rsid w:val="00A27A7A"/>
    <w:rsid w:val="00A316A0"/>
    <w:rsid w:val="00A32C16"/>
    <w:rsid w:val="00A33074"/>
    <w:rsid w:val="00A341F2"/>
    <w:rsid w:val="00A34BBF"/>
    <w:rsid w:val="00A34F7E"/>
    <w:rsid w:val="00A406EA"/>
    <w:rsid w:val="00A43B24"/>
    <w:rsid w:val="00A5058F"/>
    <w:rsid w:val="00A50687"/>
    <w:rsid w:val="00A55D07"/>
    <w:rsid w:val="00A6179A"/>
    <w:rsid w:val="00A618E0"/>
    <w:rsid w:val="00A62344"/>
    <w:rsid w:val="00A63CD3"/>
    <w:rsid w:val="00A6457A"/>
    <w:rsid w:val="00A6561C"/>
    <w:rsid w:val="00A667D5"/>
    <w:rsid w:val="00A677D4"/>
    <w:rsid w:val="00A7118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1B4"/>
    <w:rsid w:val="00AA169E"/>
    <w:rsid w:val="00AA31DF"/>
    <w:rsid w:val="00AA366D"/>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5EEC"/>
    <w:rsid w:val="00AD694D"/>
    <w:rsid w:val="00AE55B7"/>
    <w:rsid w:val="00AE68FA"/>
    <w:rsid w:val="00AE6FDF"/>
    <w:rsid w:val="00AE71E2"/>
    <w:rsid w:val="00AF2C5D"/>
    <w:rsid w:val="00AF2E1A"/>
    <w:rsid w:val="00AF5AF1"/>
    <w:rsid w:val="00AF718B"/>
    <w:rsid w:val="00B01AF0"/>
    <w:rsid w:val="00B02EE1"/>
    <w:rsid w:val="00B034D4"/>
    <w:rsid w:val="00B04A09"/>
    <w:rsid w:val="00B0620F"/>
    <w:rsid w:val="00B12AAE"/>
    <w:rsid w:val="00B23A38"/>
    <w:rsid w:val="00B26FFA"/>
    <w:rsid w:val="00B30992"/>
    <w:rsid w:val="00B3283C"/>
    <w:rsid w:val="00B34A5B"/>
    <w:rsid w:val="00B46B55"/>
    <w:rsid w:val="00B46BE5"/>
    <w:rsid w:val="00B46C91"/>
    <w:rsid w:val="00B46DFA"/>
    <w:rsid w:val="00B47308"/>
    <w:rsid w:val="00B50519"/>
    <w:rsid w:val="00B53EA6"/>
    <w:rsid w:val="00B54463"/>
    <w:rsid w:val="00B54E17"/>
    <w:rsid w:val="00B55717"/>
    <w:rsid w:val="00B5690F"/>
    <w:rsid w:val="00B60222"/>
    <w:rsid w:val="00B60676"/>
    <w:rsid w:val="00B6504C"/>
    <w:rsid w:val="00B72426"/>
    <w:rsid w:val="00B727DC"/>
    <w:rsid w:val="00B72FDA"/>
    <w:rsid w:val="00B75094"/>
    <w:rsid w:val="00B7529A"/>
    <w:rsid w:val="00B756F1"/>
    <w:rsid w:val="00B772E1"/>
    <w:rsid w:val="00B77A4C"/>
    <w:rsid w:val="00B82353"/>
    <w:rsid w:val="00B832D1"/>
    <w:rsid w:val="00B8407F"/>
    <w:rsid w:val="00B86396"/>
    <w:rsid w:val="00B869EF"/>
    <w:rsid w:val="00B91092"/>
    <w:rsid w:val="00B926C2"/>
    <w:rsid w:val="00BA05C9"/>
    <w:rsid w:val="00BA0C98"/>
    <w:rsid w:val="00BA3E38"/>
    <w:rsid w:val="00BA5672"/>
    <w:rsid w:val="00BA5929"/>
    <w:rsid w:val="00BA65C4"/>
    <w:rsid w:val="00BB12D4"/>
    <w:rsid w:val="00BB1888"/>
    <w:rsid w:val="00BB261C"/>
    <w:rsid w:val="00BB41EA"/>
    <w:rsid w:val="00BB7050"/>
    <w:rsid w:val="00BB7746"/>
    <w:rsid w:val="00BC1513"/>
    <w:rsid w:val="00BC4DE2"/>
    <w:rsid w:val="00BC7C22"/>
    <w:rsid w:val="00BD58C5"/>
    <w:rsid w:val="00BD76CB"/>
    <w:rsid w:val="00BD7805"/>
    <w:rsid w:val="00BE1CFA"/>
    <w:rsid w:val="00BE3FAC"/>
    <w:rsid w:val="00BF0651"/>
    <w:rsid w:val="00BF0D93"/>
    <w:rsid w:val="00BF1A10"/>
    <w:rsid w:val="00BF353B"/>
    <w:rsid w:val="00BF55C1"/>
    <w:rsid w:val="00BF6CC8"/>
    <w:rsid w:val="00C016C0"/>
    <w:rsid w:val="00C04194"/>
    <w:rsid w:val="00C04C5F"/>
    <w:rsid w:val="00C121D7"/>
    <w:rsid w:val="00C13364"/>
    <w:rsid w:val="00C13630"/>
    <w:rsid w:val="00C16E22"/>
    <w:rsid w:val="00C17082"/>
    <w:rsid w:val="00C17F0F"/>
    <w:rsid w:val="00C23B01"/>
    <w:rsid w:val="00C248E7"/>
    <w:rsid w:val="00C24932"/>
    <w:rsid w:val="00C26EC0"/>
    <w:rsid w:val="00C317F8"/>
    <w:rsid w:val="00C325D1"/>
    <w:rsid w:val="00C3274A"/>
    <w:rsid w:val="00C33B38"/>
    <w:rsid w:val="00C347B0"/>
    <w:rsid w:val="00C34D6F"/>
    <w:rsid w:val="00C35589"/>
    <w:rsid w:val="00C37A6C"/>
    <w:rsid w:val="00C40521"/>
    <w:rsid w:val="00C42008"/>
    <w:rsid w:val="00C45B7C"/>
    <w:rsid w:val="00C466E1"/>
    <w:rsid w:val="00C527B5"/>
    <w:rsid w:val="00C5558E"/>
    <w:rsid w:val="00C55660"/>
    <w:rsid w:val="00C5764A"/>
    <w:rsid w:val="00C64BFF"/>
    <w:rsid w:val="00C70F39"/>
    <w:rsid w:val="00C74F9D"/>
    <w:rsid w:val="00C766F3"/>
    <w:rsid w:val="00C82701"/>
    <w:rsid w:val="00C859EE"/>
    <w:rsid w:val="00C85E52"/>
    <w:rsid w:val="00C86BA0"/>
    <w:rsid w:val="00C87EDE"/>
    <w:rsid w:val="00C907BA"/>
    <w:rsid w:val="00C93081"/>
    <w:rsid w:val="00CA06DD"/>
    <w:rsid w:val="00CA1646"/>
    <w:rsid w:val="00CA1E35"/>
    <w:rsid w:val="00CA4860"/>
    <w:rsid w:val="00CB0F56"/>
    <w:rsid w:val="00CB100E"/>
    <w:rsid w:val="00CB15B6"/>
    <w:rsid w:val="00CB2CB2"/>
    <w:rsid w:val="00CB45C5"/>
    <w:rsid w:val="00CB51CA"/>
    <w:rsid w:val="00CB70DD"/>
    <w:rsid w:val="00CC16C4"/>
    <w:rsid w:val="00CC5DBC"/>
    <w:rsid w:val="00CC7315"/>
    <w:rsid w:val="00CD0B60"/>
    <w:rsid w:val="00CD1037"/>
    <w:rsid w:val="00CD1757"/>
    <w:rsid w:val="00CD1934"/>
    <w:rsid w:val="00CD25CB"/>
    <w:rsid w:val="00CD3612"/>
    <w:rsid w:val="00CD4383"/>
    <w:rsid w:val="00CD5312"/>
    <w:rsid w:val="00CE402B"/>
    <w:rsid w:val="00CE6BB2"/>
    <w:rsid w:val="00CE74A5"/>
    <w:rsid w:val="00CF11B7"/>
    <w:rsid w:val="00CF45E8"/>
    <w:rsid w:val="00CF6FD4"/>
    <w:rsid w:val="00CF7D59"/>
    <w:rsid w:val="00D00E59"/>
    <w:rsid w:val="00D01E98"/>
    <w:rsid w:val="00D03C24"/>
    <w:rsid w:val="00D07381"/>
    <w:rsid w:val="00D10F18"/>
    <w:rsid w:val="00D125C2"/>
    <w:rsid w:val="00D14BF4"/>
    <w:rsid w:val="00D14EBE"/>
    <w:rsid w:val="00D159E9"/>
    <w:rsid w:val="00D178E2"/>
    <w:rsid w:val="00D17CBD"/>
    <w:rsid w:val="00D2167F"/>
    <w:rsid w:val="00D23391"/>
    <w:rsid w:val="00D2354D"/>
    <w:rsid w:val="00D23B44"/>
    <w:rsid w:val="00D24AAA"/>
    <w:rsid w:val="00D25CE6"/>
    <w:rsid w:val="00D26BDF"/>
    <w:rsid w:val="00D32257"/>
    <w:rsid w:val="00D32FA5"/>
    <w:rsid w:val="00D33E11"/>
    <w:rsid w:val="00D358A5"/>
    <w:rsid w:val="00D35E5C"/>
    <w:rsid w:val="00D44283"/>
    <w:rsid w:val="00D44586"/>
    <w:rsid w:val="00D45A18"/>
    <w:rsid w:val="00D47E45"/>
    <w:rsid w:val="00D52461"/>
    <w:rsid w:val="00D5482E"/>
    <w:rsid w:val="00D57CE1"/>
    <w:rsid w:val="00D60956"/>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4950"/>
    <w:rsid w:val="00D96FBC"/>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4E5C"/>
    <w:rsid w:val="00DC730A"/>
    <w:rsid w:val="00DD12E9"/>
    <w:rsid w:val="00DD40A8"/>
    <w:rsid w:val="00DD43F5"/>
    <w:rsid w:val="00DD61A0"/>
    <w:rsid w:val="00DD6586"/>
    <w:rsid w:val="00DE14CB"/>
    <w:rsid w:val="00DE44D4"/>
    <w:rsid w:val="00DF01F5"/>
    <w:rsid w:val="00DF7182"/>
    <w:rsid w:val="00DF71E5"/>
    <w:rsid w:val="00E05616"/>
    <w:rsid w:val="00E11BA6"/>
    <w:rsid w:val="00E139D0"/>
    <w:rsid w:val="00E16BCB"/>
    <w:rsid w:val="00E229D3"/>
    <w:rsid w:val="00E23142"/>
    <w:rsid w:val="00E23201"/>
    <w:rsid w:val="00E271CE"/>
    <w:rsid w:val="00E3016F"/>
    <w:rsid w:val="00E30B2F"/>
    <w:rsid w:val="00E33254"/>
    <w:rsid w:val="00E33CD4"/>
    <w:rsid w:val="00E358F5"/>
    <w:rsid w:val="00E35C3E"/>
    <w:rsid w:val="00E36760"/>
    <w:rsid w:val="00E42153"/>
    <w:rsid w:val="00E46202"/>
    <w:rsid w:val="00E51AE4"/>
    <w:rsid w:val="00E520B8"/>
    <w:rsid w:val="00E529D9"/>
    <w:rsid w:val="00E622AB"/>
    <w:rsid w:val="00E62DDA"/>
    <w:rsid w:val="00E63A22"/>
    <w:rsid w:val="00E67261"/>
    <w:rsid w:val="00E677D1"/>
    <w:rsid w:val="00E70869"/>
    <w:rsid w:val="00E746AC"/>
    <w:rsid w:val="00E753AE"/>
    <w:rsid w:val="00E757F2"/>
    <w:rsid w:val="00E77D2B"/>
    <w:rsid w:val="00E82627"/>
    <w:rsid w:val="00E86BD8"/>
    <w:rsid w:val="00E92007"/>
    <w:rsid w:val="00E947C1"/>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166F"/>
    <w:rsid w:val="00EC1671"/>
    <w:rsid w:val="00EC299D"/>
    <w:rsid w:val="00EC3018"/>
    <w:rsid w:val="00EC3180"/>
    <w:rsid w:val="00EC3D7E"/>
    <w:rsid w:val="00EC4575"/>
    <w:rsid w:val="00EC6798"/>
    <w:rsid w:val="00EC7E83"/>
    <w:rsid w:val="00ED073E"/>
    <w:rsid w:val="00ED3781"/>
    <w:rsid w:val="00ED7528"/>
    <w:rsid w:val="00EE12C5"/>
    <w:rsid w:val="00EE17D0"/>
    <w:rsid w:val="00EE2DC2"/>
    <w:rsid w:val="00EE7BD3"/>
    <w:rsid w:val="00EF2BAF"/>
    <w:rsid w:val="00EF4DFC"/>
    <w:rsid w:val="00F01E3B"/>
    <w:rsid w:val="00F02314"/>
    <w:rsid w:val="00F0521F"/>
    <w:rsid w:val="00F07897"/>
    <w:rsid w:val="00F14F1D"/>
    <w:rsid w:val="00F1575B"/>
    <w:rsid w:val="00F20BD2"/>
    <w:rsid w:val="00F2562D"/>
    <w:rsid w:val="00F26CE1"/>
    <w:rsid w:val="00F27BDF"/>
    <w:rsid w:val="00F32B75"/>
    <w:rsid w:val="00F32DBF"/>
    <w:rsid w:val="00F33447"/>
    <w:rsid w:val="00F35626"/>
    <w:rsid w:val="00F362D5"/>
    <w:rsid w:val="00F375B0"/>
    <w:rsid w:val="00F3792F"/>
    <w:rsid w:val="00F40E2D"/>
    <w:rsid w:val="00F41717"/>
    <w:rsid w:val="00F472DD"/>
    <w:rsid w:val="00F47951"/>
    <w:rsid w:val="00F50250"/>
    <w:rsid w:val="00F51887"/>
    <w:rsid w:val="00F51A4B"/>
    <w:rsid w:val="00F53A0F"/>
    <w:rsid w:val="00F53BB4"/>
    <w:rsid w:val="00F54A71"/>
    <w:rsid w:val="00F5580C"/>
    <w:rsid w:val="00F5643B"/>
    <w:rsid w:val="00F570AD"/>
    <w:rsid w:val="00F57CDA"/>
    <w:rsid w:val="00F6158D"/>
    <w:rsid w:val="00F65289"/>
    <w:rsid w:val="00F65572"/>
    <w:rsid w:val="00F6620F"/>
    <w:rsid w:val="00F80BA0"/>
    <w:rsid w:val="00F8166A"/>
    <w:rsid w:val="00F81E1F"/>
    <w:rsid w:val="00F850ED"/>
    <w:rsid w:val="00F8537B"/>
    <w:rsid w:val="00F85F6B"/>
    <w:rsid w:val="00F92454"/>
    <w:rsid w:val="00F92A2F"/>
    <w:rsid w:val="00F92EC2"/>
    <w:rsid w:val="00F93716"/>
    <w:rsid w:val="00F96E5A"/>
    <w:rsid w:val="00FA0400"/>
    <w:rsid w:val="00FA151C"/>
    <w:rsid w:val="00FA22AD"/>
    <w:rsid w:val="00FA2A7B"/>
    <w:rsid w:val="00FA4B59"/>
    <w:rsid w:val="00FA5394"/>
    <w:rsid w:val="00FA70C6"/>
    <w:rsid w:val="00FB0AF5"/>
    <w:rsid w:val="00FB2077"/>
    <w:rsid w:val="00FB2B8A"/>
    <w:rsid w:val="00FC205D"/>
    <w:rsid w:val="00FC2367"/>
    <w:rsid w:val="00FC2728"/>
    <w:rsid w:val="00FC440B"/>
    <w:rsid w:val="00FC4479"/>
    <w:rsid w:val="00FC4CDB"/>
    <w:rsid w:val="00FC4E98"/>
    <w:rsid w:val="00FC5FFD"/>
    <w:rsid w:val="00FC7107"/>
    <w:rsid w:val="00FD12E9"/>
    <w:rsid w:val="00FD30D9"/>
    <w:rsid w:val="00FD31F4"/>
    <w:rsid w:val="00FD36A2"/>
    <w:rsid w:val="00FD6083"/>
    <w:rsid w:val="00FD73BD"/>
    <w:rsid w:val="00FD767F"/>
    <w:rsid w:val="00FE013C"/>
    <w:rsid w:val="00FE1ADB"/>
    <w:rsid w:val="00FE22A7"/>
    <w:rsid w:val="00FE3672"/>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F60A0"/>
  <w15:docId w15:val="{B4701410-BFF6-4BC3-9210-0E4E32EC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DA0"/>
    <w:rPr>
      <w:lang w:eastAsia="en-US"/>
    </w:rPr>
  </w:style>
  <w:style w:type="paragraph" w:styleId="Heading1">
    <w:name w:val="heading 1"/>
    <w:basedOn w:val="Normal"/>
    <w:next w:val="Normal"/>
    <w:link w:val="Heading1Char"/>
    <w:uiPriority w:val="99"/>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uiPriority w:val="99"/>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uiPriority w:val="99"/>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link w:val="Heading5Char"/>
    <w:uiPriority w:val="9"/>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
    <w:basedOn w:val="Normal"/>
    <w:link w:val="HeaderChar"/>
    <w:uiPriority w:val="99"/>
    <w:rsid w:val="00E70869"/>
    <w:pPr>
      <w:tabs>
        <w:tab w:val="center" w:pos="4320"/>
        <w:tab w:val="right" w:pos="8640"/>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uiPriority w:val="99"/>
    <w:rsid w:val="00822795"/>
    <w:pPr>
      <w:spacing w:after="120"/>
      <w:ind w:left="360"/>
    </w:pPr>
  </w:style>
  <w:style w:type="character" w:customStyle="1" w:styleId="BodyTextIndentChar">
    <w:name w:val="Body Text Indent Char"/>
    <w:link w:val="BodyTextIndent"/>
    <w:uiPriority w:val="99"/>
    <w:rsid w:val="004C4CA2"/>
    <w:rPr>
      <w:lang w:val="en-US" w:eastAsia="en-US" w:bidi="ar-SA"/>
    </w:rPr>
  </w:style>
  <w:style w:type="character" w:styleId="Strong">
    <w:name w:val="Strong"/>
    <w:uiPriority w:val="22"/>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uiPriority w:val="20"/>
    <w:qFormat/>
    <w:rsid w:val="00D32257"/>
    <w:rPr>
      <w:b/>
      <w:bCs/>
      <w:i w:val="0"/>
      <w:iCs w:val="0"/>
    </w:rPr>
  </w:style>
  <w:style w:type="paragraph" w:customStyle="1" w:styleId="Default">
    <w:name w:val="Default"/>
    <w:uiPriority w:val="99"/>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34"/>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uiPriority w:val="99"/>
    <w:rsid w:val="004C4CA2"/>
    <w:pPr>
      <w:tabs>
        <w:tab w:val="left" w:pos="284"/>
      </w:tabs>
      <w:jc w:val="both"/>
    </w:pPr>
    <w:rPr>
      <w:rFonts w:ascii="Tahoma" w:hAnsi="Tahoma" w:cs="Tahoma"/>
      <w:sz w:val="16"/>
      <w:szCs w:val="16"/>
    </w:rPr>
  </w:style>
  <w:style w:type="character" w:customStyle="1" w:styleId="BalloonTextChar">
    <w:name w:val="Balloon Text Char"/>
    <w:link w:val="BalloonText"/>
    <w:uiPriority w:val="99"/>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uiPriority w:val="99"/>
    <w:rsid w:val="00825D08"/>
    <w:rPr>
      <w:sz w:val="16"/>
      <w:szCs w:val="16"/>
    </w:rPr>
  </w:style>
  <w:style w:type="paragraph" w:styleId="CommentText">
    <w:name w:val="annotation text"/>
    <w:basedOn w:val="Normal"/>
    <w:link w:val="CommentTextChar"/>
    <w:uiPriority w:val="99"/>
    <w:rsid w:val="00825D08"/>
  </w:style>
  <w:style w:type="character" w:customStyle="1" w:styleId="CommentTextChar">
    <w:name w:val="Comment Text Char"/>
    <w:link w:val="CommentText"/>
    <w:uiPriority w:val="99"/>
    <w:rsid w:val="00825D08"/>
    <w:rPr>
      <w:lang w:val="en-US" w:eastAsia="en-US"/>
    </w:rPr>
  </w:style>
  <w:style w:type="paragraph" w:styleId="CommentSubject">
    <w:name w:val="annotation subject"/>
    <w:basedOn w:val="CommentText"/>
    <w:next w:val="CommentText"/>
    <w:link w:val="CommentSubjectChar"/>
    <w:uiPriority w:val="99"/>
    <w:rsid w:val="00825D08"/>
    <w:rPr>
      <w:b/>
      <w:bCs/>
    </w:rPr>
  </w:style>
  <w:style w:type="character" w:customStyle="1" w:styleId="CommentSubjectChar">
    <w:name w:val="Comment Subject Char"/>
    <w:link w:val="CommentSubject"/>
    <w:uiPriority w:val="99"/>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character" w:customStyle="1" w:styleId="Heading1Char">
    <w:name w:val="Heading 1 Char"/>
    <w:link w:val="Heading1"/>
    <w:uiPriority w:val="99"/>
    <w:locked/>
    <w:rsid w:val="0020267D"/>
    <w:rPr>
      <w:b/>
      <w:caps/>
      <w:sz w:val="24"/>
      <w:lang w:val="en-GB" w:eastAsia="en-US"/>
    </w:rPr>
  </w:style>
  <w:style w:type="character" w:customStyle="1" w:styleId="Heading3Char">
    <w:name w:val="Heading 3 Char"/>
    <w:link w:val="Heading3"/>
    <w:uiPriority w:val="99"/>
    <w:locked/>
    <w:rsid w:val="0020267D"/>
    <w:rPr>
      <w:b/>
      <w:sz w:val="24"/>
      <w:lang w:val="en-GB" w:eastAsia="en-US"/>
    </w:rPr>
  </w:style>
  <w:style w:type="character" w:customStyle="1" w:styleId="Heading4Char">
    <w:name w:val="Heading 4 Char"/>
    <w:link w:val="Heading4"/>
    <w:uiPriority w:val="99"/>
    <w:locked/>
    <w:rsid w:val="0020267D"/>
    <w:rPr>
      <w:b/>
      <w:sz w:val="24"/>
      <w:lang w:val="ru-RU" w:eastAsia="en-US"/>
    </w:rPr>
  </w:style>
  <w:style w:type="character" w:customStyle="1" w:styleId="Heading5Char">
    <w:name w:val="Heading 5 Char"/>
    <w:link w:val="Heading5"/>
    <w:uiPriority w:val="9"/>
    <w:locked/>
    <w:rsid w:val="0020267D"/>
    <w:rPr>
      <w:b/>
      <w:sz w:val="24"/>
      <w:lang w:val="en-GB" w:eastAsia="en-US"/>
    </w:rPr>
  </w:style>
  <w:style w:type="paragraph" w:customStyle="1" w:styleId="BMSTableText">
    <w:name w:val="BMS Table Text"/>
    <w:link w:val="BMSTableTextChar"/>
    <w:uiPriority w:val="99"/>
    <w:rsid w:val="0020267D"/>
    <w:pPr>
      <w:tabs>
        <w:tab w:val="left" w:pos="360"/>
      </w:tabs>
      <w:spacing w:before="60" w:after="60"/>
      <w:jc w:val="center"/>
    </w:pPr>
    <w:rPr>
      <w:sz w:val="22"/>
      <w:szCs w:val="22"/>
      <w:lang w:val="en-US" w:eastAsia="en-US"/>
    </w:rPr>
  </w:style>
  <w:style w:type="paragraph" w:customStyle="1" w:styleId="Paragraph">
    <w:name w:val="Paragraph"/>
    <w:link w:val="ParagraphChar"/>
    <w:rsid w:val="0020267D"/>
    <w:pPr>
      <w:spacing w:after="240"/>
    </w:pPr>
    <w:rPr>
      <w:sz w:val="24"/>
      <w:szCs w:val="24"/>
      <w:lang w:val="en-US" w:eastAsia="en-US"/>
    </w:rPr>
  </w:style>
  <w:style w:type="character" w:customStyle="1" w:styleId="ParagraphChar">
    <w:name w:val="Paragraph Char"/>
    <w:link w:val="Paragraph"/>
    <w:locked/>
    <w:rsid w:val="0020267D"/>
    <w:rPr>
      <w:sz w:val="24"/>
      <w:szCs w:val="24"/>
      <w:lang w:val="en-US" w:eastAsia="en-US"/>
    </w:rPr>
  </w:style>
  <w:style w:type="paragraph" w:customStyle="1" w:styleId="Appendix1">
    <w:name w:val="Appendix 1"/>
    <w:next w:val="Paragraph"/>
    <w:uiPriority w:val="99"/>
    <w:rsid w:val="0020267D"/>
    <w:pPr>
      <w:keepNext/>
      <w:numPr>
        <w:numId w:val="3"/>
      </w:numPr>
      <w:spacing w:after="240"/>
    </w:pPr>
    <w:rPr>
      <w:rFonts w:ascii="Times New Roman Bold" w:hAnsi="Times New Roman Bold"/>
      <w:b/>
      <w:sz w:val="24"/>
      <w:szCs w:val="24"/>
      <w:lang w:val="en-US" w:eastAsia="en-US"/>
    </w:rPr>
  </w:style>
  <w:style w:type="paragraph" w:customStyle="1" w:styleId="Appendix2">
    <w:name w:val="Appendix 2"/>
    <w:next w:val="Paragraph"/>
    <w:uiPriority w:val="99"/>
    <w:rsid w:val="0020267D"/>
    <w:pPr>
      <w:keepNext/>
      <w:numPr>
        <w:ilvl w:val="1"/>
        <w:numId w:val="3"/>
      </w:numPr>
      <w:spacing w:after="240"/>
    </w:pPr>
    <w:rPr>
      <w:rFonts w:ascii="Times New Roman Bold" w:hAnsi="Times New Roman Bold" w:cs="Arial"/>
      <w:b/>
      <w:sz w:val="24"/>
      <w:szCs w:val="24"/>
      <w:lang w:val="en-US" w:eastAsia="en-US"/>
    </w:rPr>
  </w:style>
  <w:style w:type="paragraph" w:customStyle="1" w:styleId="Appendix3">
    <w:name w:val="Appendix 3"/>
    <w:next w:val="Paragraph"/>
    <w:uiPriority w:val="99"/>
    <w:rsid w:val="0020267D"/>
    <w:pPr>
      <w:keepNext/>
      <w:numPr>
        <w:ilvl w:val="2"/>
        <w:numId w:val="3"/>
      </w:numPr>
      <w:spacing w:after="240"/>
    </w:pPr>
    <w:rPr>
      <w:rFonts w:ascii="Times New Roman Bold" w:hAnsi="Times New Roman Bold" w:cs="Arial"/>
      <w:b/>
      <w:bCs/>
      <w:sz w:val="24"/>
      <w:szCs w:val="24"/>
      <w:lang w:val="en-US" w:eastAsia="en-US"/>
    </w:rPr>
  </w:style>
  <w:style w:type="character" w:customStyle="1" w:styleId="TableText9">
    <w:name w:val="TableText 9"/>
    <w:rsid w:val="0020267D"/>
    <w:rPr>
      <w:rFonts w:ascii="Times New Roman" w:hAnsi="Times New Roman"/>
      <w:sz w:val="18"/>
    </w:rPr>
  </w:style>
  <w:style w:type="paragraph" w:styleId="Revision">
    <w:name w:val="Revision"/>
    <w:hidden/>
    <w:uiPriority w:val="99"/>
    <w:semiHidden/>
    <w:rsid w:val="0020267D"/>
    <w:rPr>
      <w:rFonts w:ascii="Humanist777" w:hAnsi="Humanist777"/>
      <w:sz w:val="24"/>
      <w:szCs w:val="24"/>
      <w:lang w:val="en-US" w:eastAsia="en-US"/>
    </w:rPr>
  </w:style>
  <w:style w:type="paragraph" w:customStyle="1" w:styleId="EMEABodyText">
    <w:name w:val="EMEA Body Text"/>
    <w:basedOn w:val="Normal"/>
    <w:link w:val="EMEABodyTextChar"/>
    <w:uiPriority w:val="99"/>
    <w:rsid w:val="0020267D"/>
    <w:rPr>
      <w:sz w:val="22"/>
      <w:lang w:val="en-GB"/>
    </w:rPr>
  </w:style>
  <w:style w:type="paragraph" w:customStyle="1" w:styleId="BMSBodyText">
    <w:name w:val="BMS Body Text"/>
    <w:link w:val="BMSBodyTextChar"/>
    <w:rsid w:val="0020267D"/>
    <w:pPr>
      <w:spacing w:before="120" w:after="120" w:line="300" w:lineRule="auto"/>
      <w:jc w:val="both"/>
    </w:pPr>
    <w:rPr>
      <w:color w:val="000000"/>
      <w:sz w:val="22"/>
      <w:szCs w:val="22"/>
      <w:lang w:val="en-US" w:eastAsia="en-US"/>
    </w:rPr>
  </w:style>
  <w:style w:type="character" w:customStyle="1" w:styleId="BMSBodyTextChar">
    <w:name w:val="BMS Body Text Char"/>
    <w:link w:val="BMSBodyText"/>
    <w:locked/>
    <w:rsid w:val="0020267D"/>
    <w:rPr>
      <w:color w:val="000000"/>
      <w:sz w:val="22"/>
      <w:szCs w:val="22"/>
      <w:lang w:val="en-US" w:eastAsia="en-US"/>
    </w:rPr>
  </w:style>
  <w:style w:type="character" w:customStyle="1" w:styleId="BMSTableTextChar">
    <w:name w:val="BMS Table Text Char"/>
    <w:link w:val="BMSTableText"/>
    <w:uiPriority w:val="99"/>
    <w:locked/>
    <w:rsid w:val="0020267D"/>
    <w:rPr>
      <w:sz w:val="22"/>
      <w:szCs w:val="22"/>
      <w:lang w:val="en-US" w:eastAsia="en-US"/>
    </w:rPr>
  </w:style>
  <w:style w:type="paragraph" w:customStyle="1" w:styleId="BMSTableHeader">
    <w:name w:val="BMS Table Header"/>
    <w:basedOn w:val="BMSTableText"/>
    <w:link w:val="BMSTableHeaderChar"/>
    <w:uiPriority w:val="99"/>
    <w:rsid w:val="0020267D"/>
    <w:rPr>
      <w:b/>
      <w:sz w:val="20"/>
      <w:szCs w:val="20"/>
      <w:lang w:val="x-none" w:eastAsia="x-none"/>
    </w:rPr>
  </w:style>
  <w:style w:type="character" w:customStyle="1" w:styleId="BMSSuperscript">
    <w:name w:val="BMS Superscript"/>
    <w:rsid w:val="0020267D"/>
    <w:rPr>
      <w:sz w:val="28"/>
      <w:vertAlign w:val="superscript"/>
    </w:rPr>
  </w:style>
  <w:style w:type="character" w:customStyle="1" w:styleId="BMSTableHeaderChar">
    <w:name w:val="BMS Table Header Char"/>
    <w:link w:val="BMSTableHeader"/>
    <w:uiPriority w:val="99"/>
    <w:locked/>
    <w:rsid w:val="0020267D"/>
    <w:rPr>
      <w:b/>
      <w:lang w:val="x-none" w:eastAsia="x-none"/>
    </w:rPr>
  </w:style>
  <w:style w:type="character" w:customStyle="1" w:styleId="BMSTableNote">
    <w:name w:val="BMS Table Note"/>
    <w:rsid w:val="0020267D"/>
    <w:rPr>
      <w:rFonts w:ascii="Times New Roman" w:hAnsi="Times New Roman"/>
      <w:color w:val="auto"/>
      <w:sz w:val="28"/>
      <w:vertAlign w:val="superscript"/>
    </w:rPr>
  </w:style>
  <w:style w:type="character" w:customStyle="1" w:styleId="EMEABodyTextChar">
    <w:name w:val="EMEA Body Text Char"/>
    <w:link w:val="EMEABodyText"/>
    <w:uiPriority w:val="99"/>
    <w:locked/>
    <w:rsid w:val="0020267D"/>
    <w:rPr>
      <w:sz w:val="22"/>
      <w:lang w:val="en-GB" w:eastAsia="en-US"/>
    </w:rPr>
  </w:style>
  <w:style w:type="paragraph" w:customStyle="1" w:styleId="TableText">
    <w:name w:val="TableText"/>
    <w:rsid w:val="0020267D"/>
    <w:rPr>
      <w:rFonts w:cs="Arial"/>
      <w:lang w:val="en-US" w:eastAsia="en-US"/>
    </w:rPr>
  </w:style>
  <w:style w:type="character" w:customStyle="1" w:styleId="TableText12">
    <w:name w:val="TableText 12"/>
    <w:rsid w:val="0020267D"/>
    <w:rPr>
      <w:rFonts w:ascii="Times New Roman" w:hAnsi="Times New Roman"/>
      <w:sz w:val="24"/>
    </w:rPr>
  </w:style>
  <w:style w:type="paragraph" w:styleId="FootnoteText">
    <w:name w:val="footnote text"/>
    <w:basedOn w:val="Normal"/>
    <w:link w:val="FootnoteTextChar"/>
    <w:rsid w:val="0020267D"/>
    <w:rPr>
      <w:rFonts w:ascii="Verdana" w:eastAsia="Verdana" w:hAnsi="Verdana"/>
      <w:sz w:val="15"/>
      <w:lang w:val="x-none" w:eastAsia="en-GB"/>
    </w:rPr>
  </w:style>
  <w:style w:type="character" w:customStyle="1" w:styleId="FootnoteTextChar">
    <w:name w:val="Footnote Text Char"/>
    <w:basedOn w:val="DefaultParagraphFont"/>
    <w:link w:val="FootnoteText"/>
    <w:rsid w:val="0020267D"/>
    <w:rPr>
      <w:rFonts w:ascii="Verdana" w:eastAsia="Verdana" w:hAnsi="Verdana"/>
      <w:sz w:val="15"/>
      <w:lang w:val="x-none" w:eastAsia="en-GB"/>
    </w:rPr>
  </w:style>
  <w:style w:type="paragraph" w:customStyle="1" w:styleId="TableText0">
    <w:name w:val="Table Text"/>
    <w:link w:val="TableTextChar"/>
    <w:rsid w:val="0020267D"/>
    <w:pPr>
      <w:tabs>
        <w:tab w:val="left" w:pos="288"/>
        <w:tab w:val="left" w:pos="576"/>
      </w:tabs>
    </w:pPr>
    <w:rPr>
      <w:sz w:val="24"/>
      <w:lang w:val="en-GB" w:eastAsia="en-GB"/>
    </w:rPr>
  </w:style>
  <w:style w:type="paragraph" w:customStyle="1" w:styleId="TableTextCentered">
    <w:name w:val="TableText Centered"/>
    <w:rsid w:val="0020267D"/>
    <w:pPr>
      <w:jc w:val="center"/>
    </w:pPr>
    <w:rPr>
      <w:lang w:val="en-US" w:eastAsia="en-US"/>
    </w:rPr>
  </w:style>
  <w:style w:type="character" w:customStyle="1" w:styleId="TableTextChar">
    <w:name w:val="Table Text Char"/>
    <w:link w:val="TableText0"/>
    <w:locked/>
    <w:rsid w:val="0020267D"/>
    <w:rPr>
      <w:sz w:val="24"/>
      <w:lang w:val="en-GB" w:eastAsia="en-GB"/>
    </w:rPr>
  </w:style>
  <w:style w:type="paragraph" w:customStyle="1" w:styleId="Tekst">
    <w:name w:val="Tekst"/>
    <w:basedOn w:val="Normal"/>
    <w:qFormat/>
    <w:rsid w:val="0020267D"/>
    <w:pPr>
      <w:autoSpaceDE w:val="0"/>
      <w:autoSpaceDN w:val="0"/>
      <w:adjustRightInd w:val="0"/>
      <w:jc w:val="both"/>
    </w:pPr>
    <w:rPr>
      <w:rFonts w:eastAsia="Calibri"/>
      <w:bCs/>
      <w:color w:val="000000"/>
      <w:sz w:val="24"/>
      <w:szCs w:val="32"/>
      <w:lang w:val="en-GB"/>
    </w:rPr>
  </w:style>
  <w:style w:type="character" w:customStyle="1" w:styleId="hw">
    <w:name w:val="hw"/>
    <w:basedOn w:val="DefaultParagraphFont"/>
    <w:rsid w:val="0020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dda052f35ecd618f71c4275af93bdf90">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f9391ed5a6c2f3e9451eb7fe5939f09f"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091AC-E347-4249-9CC6-F0B92FCAF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C5490-723E-4C19-BBDF-4C02BD706F3A}">
  <ds:schemaRefs>
    <ds:schemaRef ds:uri="http://schemas.microsoft.com/sharepoint/v3/contenttype/forms"/>
  </ds:schemaRefs>
</ds:datastoreItem>
</file>

<file path=customXml/itemProps3.xml><?xml version="1.0" encoding="utf-8"?>
<ds:datastoreItem xmlns:ds="http://schemas.openxmlformats.org/officeDocument/2006/customXml" ds:itemID="{BF90B806-D2DE-4A26-8C4F-079E3793F2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B25D17-CFBA-42B0-813C-58475D9E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7660</Words>
  <Characters>43665</Characters>
  <Application>Microsoft Office Word</Application>
  <DocSecurity>0</DocSecurity>
  <Lines>363</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Hemofarm koncern</Company>
  <LinksUpToDate>false</LinksUpToDate>
  <CharactersWithSpaces>51223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Larisa</dc:creator>
  <cp:lastModifiedBy>Aleksandra Jonić-Popović</cp:lastModifiedBy>
  <cp:revision>4</cp:revision>
  <cp:lastPrinted>2012-05-18T12:57:00Z</cp:lastPrinted>
  <dcterms:created xsi:type="dcterms:W3CDTF">2024-09-02T22:12:00Z</dcterms:created>
  <dcterms:modified xsi:type="dcterms:W3CDTF">2024-09-03T06:06:00Z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4791b42f-c435-42ca-9531-75a3f42aae3d_Enabled">
    <vt:lpwstr>true</vt:lpwstr>
  </property>
  <property fmtid="{D5CDD505-2E9C-101B-9397-08002B2CF9AE}" pid="4" name="MSIP_Label_4791b42f-c435-42ca-9531-75a3f42aae3d_SetDate">
    <vt:lpwstr>2023-07-12T08:39:40Z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ffd2f3f2-c5ae-4af1-92fe-7f6e20463aba</vt:lpwstr>
  </property>
  <property fmtid="{D5CDD505-2E9C-101B-9397-08002B2CF9AE}" pid="9" name="MSIP_Label_4791b42f-c435-42ca-9531-75a3f42aae3d_ContentBits">
    <vt:lpwstr>0</vt:lpwstr>
  </property>
</Properties>
</file>