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64C44" w14:textId="76174224" w:rsidR="006C6216" w:rsidRPr="00900E50" w:rsidRDefault="006C6216" w:rsidP="006C6216">
      <w:pPr>
        <w:pStyle w:val="BodyText"/>
        <w:spacing w:before="78"/>
        <w:ind w:left="111" w:right="275" w:firstLine="314"/>
        <w:jc w:val="center"/>
        <w:rPr>
          <w:b/>
          <w:u w:val="single"/>
          <w:lang w:val="sr-Latn-RS"/>
        </w:rPr>
      </w:pPr>
      <w:r w:rsidRPr="00900E50">
        <w:rPr>
          <w:b/>
          <w:u w:val="single"/>
          <w:lang w:val="sr-Latn-RS"/>
        </w:rPr>
        <w:t>SAŽETAK KARAKTERISTIKA L</w:t>
      </w:r>
      <w:r w:rsidR="00FD557E" w:rsidRPr="00900E50">
        <w:rPr>
          <w:b/>
          <w:u w:val="single"/>
          <w:lang w:val="sr-Latn-RS"/>
        </w:rPr>
        <w:t>IJ</w:t>
      </w:r>
      <w:r w:rsidRPr="00900E50">
        <w:rPr>
          <w:b/>
          <w:u w:val="single"/>
          <w:lang w:val="sr-Latn-RS"/>
        </w:rPr>
        <w:t>EKA</w:t>
      </w:r>
    </w:p>
    <w:p w14:paraId="25CE05AF" w14:textId="77777777" w:rsidR="006C6216" w:rsidRPr="00900E50" w:rsidRDefault="006C6216">
      <w:pPr>
        <w:pStyle w:val="BodyText"/>
        <w:spacing w:before="78"/>
        <w:ind w:left="111" w:right="275" w:firstLine="314"/>
        <w:jc w:val="both"/>
        <w:rPr>
          <w:lang w:val="sr-Latn-RS"/>
        </w:rPr>
      </w:pPr>
    </w:p>
    <w:p w14:paraId="6443C35C" w14:textId="77777777" w:rsidR="006C6216" w:rsidRPr="00900E50" w:rsidRDefault="006C6216">
      <w:pPr>
        <w:pStyle w:val="BodyText"/>
        <w:spacing w:before="78"/>
        <w:ind w:left="111" w:right="275" w:firstLine="314"/>
        <w:jc w:val="both"/>
        <w:rPr>
          <w:lang w:val="sr-Latn-RS"/>
        </w:rPr>
      </w:pPr>
    </w:p>
    <w:p w14:paraId="2835F967" w14:textId="6FC03854" w:rsidR="00596AC6" w:rsidRPr="00900E50" w:rsidRDefault="006658F1">
      <w:pPr>
        <w:pStyle w:val="BodyText"/>
        <w:spacing w:before="78"/>
        <w:ind w:left="111" w:right="275" w:firstLine="314"/>
        <w:jc w:val="both"/>
        <w:rPr>
          <w:lang w:val="sr-Latn-RS"/>
        </w:rPr>
      </w:pPr>
      <w:r w:rsidRPr="0048185B">
        <w:rPr>
          <w:noProof/>
        </w:rPr>
        <w:drawing>
          <wp:anchor distT="0" distB="0" distL="0" distR="0" simplePos="0" relativeHeight="486878720" behindDoc="1" locked="0" layoutInCell="1" allowOverlap="1" wp14:anchorId="347A3550" wp14:editId="4F5C0B50">
            <wp:simplePos x="0" y="0"/>
            <wp:positionH relativeFrom="page">
              <wp:posOffset>901856</wp:posOffset>
            </wp:positionH>
            <wp:positionV relativeFrom="paragraph">
              <wp:posOffset>12999</wp:posOffset>
            </wp:positionV>
            <wp:extent cx="193772" cy="16720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3772" cy="167208"/>
                    </a:xfrm>
                    <a:prstGeom prst="rect">
                      <a:avLst/>
                    </a:prstGeom>
                  </pic:spPr>
                </pic:pic>
              </a:graphicData>
            </a:graphic>
          </wp:anchor>
        </w:drawing>
      </w:r>
      <w:r w:rsidR="00FD557E" w:rsidRPr="00900E50">
        <w:rPr>
          <w:noProof/>
          <w:lang w:val="sr-Latn-RS"/>
        </w:rPr>
        <w:t xml:space="preserve"> Ovaj lijek je pod dodatnim praćenjem.</w:t>
      </w:r>
      <w:r w:rsidR="00FD557E" w:rsidRPr="00900E50">
        <w:rPr>
          <w:lang w:val="sr-Latn-RS"/>
        </w:rPr>
        <w:t xml:space="preserve"> </w:t>
      </w:r>
      <w:r w:rsidR="00FD557E" w:rsidRPr="00900E50">
        <w:rPr>
          <w:noProof/>
          <w:lang w:val="sr-Latn-RS"/>
        </w:rPr>
        <w:t>Time se omogućava brzo otkrivanje novih bezbjednosnih informacija. Zdravstveni radnici treba da prijave svaku sumnju na neželjeno dejstvo ovog lijeka.</w:t>
      </w:r>
      <w:r w:rsidR="00FD557E" w:rsidRPr="00900E50">
        <w:rPr>
          <w:lang w:val="sr-Latn-RS"/>
        </w:rPr>
        <w:t xml:space="preserve"> Za način prijavljivanja neželjenih dejstava vidjeti dio 4.8</w:t>
      </w:r>
      <w:r w:rsidRPr="00900E50">
        <w:rPr>
          <w:lang w:val="sr-Latn-RS"/>
        </w:rPr>
        <w:t>.</w:t>
      </w:r>
    </w:p>
    <w:p w14:paraId="39ADA42F" w14:textId="77777777" w:rsidR="00596AC6" w:rsidRPr="00900E50" w:rsidRDefault="00596AC6">
      <w:pPr>
        <w:pStyle w:val="BodyText"/>
        <w:rPr>
          <w:lang w:val="sr-Latn-RS"/>
        </w:rPr>
      </w:pPr>
    </w:p>
    <w:p w14:paraId="558068A7" w14:textId="77777777" w:rsidR="00596AC6" w:rsidRPr="00900E50" w:rsidRDefault="00596AC6">
      <w:pPr>
        <w:pStyle w:val="BodyText"/>
        <w:rPr>
          <w:lang w:val="sr-Latn-RS"/>
        </w:rPr>
      </w:pPr>
    </w:p>
    <w:p w14:paraId="3A3BB6BE" w14:textId="5D65C6D9" w:rsidR="00596AC6" w:rsidRPr="00900E50" w:rsidRDefault="00FD557E">
      <w:pPr>
        <w:pStyle w:val="Heading1"/>
        <w:numPr>
          <w:ilvl w:val="0"/>
          <w:numId w:val="13"/>
        </w:numPr>
        <w:tabs>
          <w:tab w:val="left" w:pos="677"/>
          <w:tab w:val="left" w:pos="678"/>
        </w:tabs>
        <w:rPr>
          <w:lang w:val="sr-Latn-RS"/>
        </w:rPr>
      </w:pPr>
      <w:bookmarkStart w:id="0" w:name="1._NAME_OF_THE_MEDICINAL_PRODUCT"/>
      <w:bookmarkEnd w:id="0"/>
      <w:r w:rsidRPr="00900E50">
        <w:rPr>
          <w:lang w:val="sr-Latn-RS"/>
        </w:rPr>
        <w:t>NAZIV LIJEKA</w:t>
      </w:r>
    </w:p>
    <w:p w14:paraId="1FDE7C54" w14:textId="77777777" w:rsidR="00596AC6" w:rsidRPr="00900E50" w:rsidRDefault="00596AC6">
      <w:pPr>
        <w:pStyle w:val="BodyText"/>
        <w:rPr>
          <w:b/>
          <w:lang w:val="sr-Latn-RS"/>
        </w:rPr>
      </w:pPr>
    </w:p>
    <w:p w14:paraId="35546C2C" w14:textId="70A048DD" w:rsidR="00596AC6" w:rsidRPr="00900E50" w:rsidRDefault="006658F1">
      <w:pPr>
        <w:pStyle w:val="BodyText"/>
        <w:ind w:left="111" w:right="4102"/>
        <w:rPr>
          <w:lang w:val="sr-Latn-RS"/>
        </w:rPr>
      </w:pPr>
      <w:r w:rsidRPr="00900E50">
        <w:rPr>
          <w:lang w:val="sr-Latn-RS"/>
        </w:rPr>
        <w:t>Lunsumio</w:t>
      </w:r>
      <w:r w:rsidR="006844C6" w:rsidRPr="00900E50">
        <w:rPr>
          <w:lang w:val="sr-Latn-RS"/>
        </w:rPr>
        <w:t xml:space="preserve">, </w:t>
      </w:r>
      <w:r w:rsidRPr="00900E50">
        <w:rPr>
          <w:lang w:val="sr-Latn-RS"/>
        </w:rPr>
        <w:t>1 mg, koncentrat za rastvor za infuziju Lunsumio</w:t>
      </w:r>
      <w:r w:rsidR="006844C6" w:rsidRPr="00900E50">
        <w:rPr>
          <w:lang w:val="sr-Latn-RS"/>
        </w:rPr>
        <w:t xml:space="preserve">, </w:t>
      </w:r>
      <w:r w:rsidRPr="00900E50">
        <w:rPr>
          <w:lang w:val="sr-Latn-RS"/>
        </w:rPr>
        <w:t>30 mg, koncentrat za rastvor za infuziju</w:t>
      </w:r>
      <w:r w:rsidR="006844C6" w:rsidRPr="00900E50">
        <w:rPr>
          <w:lang w:val="sr-Latn-RS"/>
        </w:rPr>
        <w:t xml:space="preserve"> </w:t>
      </w:r>
    </w:p>
    <w:p w14:paraId="02C69CAB" w14:textId="77777777" w:rsidR="00596AC6" w:rsidRPr="00900E50" w:rsidRDefault="00596AC6">
      <w:pPr>
        <w:pStyle w:val="BodyText"/>
        <w:rPr>
          <w:lang w:val="sr-Latn-RS"/>
        </w:rPr>
      </w:pPr>
    </w:p>
    <w:p w14:paraId="187506F1" w14:textId="616BB4B4" w:rsidR="00596AC6" w:rsidRPr="00900E50" w:rsidRDefault="006844C6">
      <w:pPr>
        <w:pStyle w:val="BodyText"/>
        <w:rPr>
          <w:lang w:val="sr-Latn-RS"/>
        </w:rPr>
      </w:pPr>
      <w:r w:rsidRPr="00900E50">
        <w:rPr>
          <w:lang w:val="sr-Latn-RS"/>
        </w:rPr>
        <w:t xml:space="preserve">  INN: mosunetuzumab</w:t>
      </w:r>
    </w:p>
    <w:p w14:paraId="11E3CCBD" w14:textId="16983F82" w:rsidR="006844C6" w:rsidRPr="00900E50" w:rsidRDefault="006844C6">
      <w:pPr>
        <w:pStyle w:val="BodyText"/>
        <w:rPr>
          <w:lang w:val="sr-Latn-RS"/>
        </w:rPr>
      </w:pPr>
    </w:p>
    <w:p w14:paraId="69C92A6D" w14:textId="77777777" w:rsidR="006844C6" w:rsidRPr="00900E50" w:rsidRDefault="006844C6">
      <w:pPr>
        <w:pStyle w:val="BodyText"/>
        <w:rPr>
          <w:lang w:val="sr-Latn-RS"/>
        </w:rPr>
      </w:pPr>
    </w:p>
    <w:p w14:paraId="5C981595" w14:textId="77777777" w:rsidR="00596AC6" w:rsidRPr="00900E50" w:rsidRDefault="006658F1">
      <w:pPr>
        <w:pStyle w:val="Heading1"/>
        <w:numPr>
          <w:ilvl w:val="0"/>
          <w:numId w:val="13"/>
        </w:numPr>
        <w:tabs>
          <w:tab w:val="left" w:pos="677"/>
          <w:tab w:val="left" w:pos="678"/>
        </w:tabs>
        <w:rPr>
          <w:lang w:val="sr-Latn-RS"/>
        </w:rPr>
      </w:pPr>
      <w:bookmarkStart w:id="1" w:name="2._QUALITATIVE_AND_QUANTITATIVE_COMPOSIT"/>
      <w:bookmarkEnd w:id="1"/>
      <w:r w:rsidRPr="00900E50">
        <w:rPr>
          <w:lang w:val="sr-Latn-RS"/>
        </w:rPr>
        <w:t>KVALITATIVNI I KVANTITATIVNI SASTAV</w:t>
      </w:r>
    </w:p>
    <w:p w14:paraId="5180D14A" w14:textId="77777777" w:rsidR="00596AC6" w:rsidRPr="00900E50" w:rsidRDefault="00596AC6">
      <w:pPr>
        <w:pStyle w:val="BodyText"/>
        <w:rPr>
          <w:b/>
          <w:lang w:val="sr-Latn-RS"/>
        </w:rPr>
      </w:pPr>
    </w:p>
    <w:p w14:paraId="0A52F835" w14:textId="62F4DABD" w:rsidR="00596AC6" w:rsidRPr="00900E50" w:rsidRDefault="006658F1" w:rsidP="00A441B5">
      <w:pPr>
        <w:pStyle w:val="BodyText"/>
        <w:ind w:left="111"/>
        <w:rPr>
          <w:lang w:val="sr-Latn-RS"/>
        </w:rPr>
      </w:pPr>
      <w:r w:rsidRPr="00900E50">
        <w:rPr>
          <w:u w:val="single"/>
          <w:lang w:val="sr-Latn-RS"/>
        </w:rPr>
        <w:t>Lunsumio</w:t>
      </w:r>
      <w:r w:rsidR="003D517A">
        <w:rPr>
          <w:u w:val="single"/>
          <w:lang w:val="sr-Latn-RS"/>
        </w:rPr>
        <w:t>,</w:t>
      </w:r>
      <w:r w:rsidRPr="00900E50">
        <w:rPr>
          <w:u w:val="single"/>
          <w:lang w:val="sr-Latn-RS"/>
        </w:rPr>
        <w:t xml:space="preserve"> 1 mg, koncentrat za rastvor za infuziju</w:t>
      </w:r>
    </w:p>
    <w:p w14:paraId="66AE9BEE" w14:textId="04D539DB" w:rsidR="00FE7988" w:rsidRPr="00900E50" w:rsidRDefault="00FE7988" w:rsidP="00FE7988">
      <w:pPr>
        <w:pStyle w:val="BodyText"/>
        <w:ind w:left="111" w:right="386"/>
        <w:rPr>
          <w:lang w:val="sr-Latn-RS"/>
        </w:rPr>
      </w:pPr>
      <w:r w:rsidRPr="00900E50">
        <w:rPr>
          <w:lang w:val="sr-Latn-RS"/>
        </w:rPr>
        <w:t xml:space="preserve">Jedna bočica </w:t>
      </w:r>
      <w:r w:rsidR="006658F1" w:rsidRPr="00900E50">
        <w:rPr>
          <w:lang w:val="sr-Latn-RS"/>
        </w:rPr>
        <w:t xml:space="preserve">sadrži 1 mg mosunetuzumaba </w:t>
      </w:r>
      <w:r w:rsidRPr="00900E50">
        <w:rPr>
          <w:lang w:val="sr-Latn-RS"/>
        </w:rPr>
        <w:t>u 1</w:t>
      </w:r>
      <w:r w:rsidR="00377066" w:rsidRPr="00900E50">
        <w:rPr>
          <w:lang w:val="sr-Latn-RS"/>
        </w:rPr>
        <w:t xml:space="preserve"> </w:t>
      </w:r>
      <w:r w:rsidRPr="00900E50">
        <w:rPr>
          <w:lang w:val="sr-Latn-RS"/>
        </w:rPr>
        <w:t>m</w:t>
      </w:r>
      <w:r w:rsidR="009F0494" w:rsidRPr="00900E50">
        <w:rPr>
          <w:lang w:val="sr-Latn-RS"/>
        </w:rPr>
        <w:t>l</w:t>
      </w:r>
      <w:r w:rsidR="00E45B08">
        <w:rPr>
          <w:lang w:val="sr-Latn-RS"/>
        </w:rPr>
        <w:t xml:space="preserve"> koncentrata</w:t>
      </w:r>
      <w:r w:rsidRPr="00900E50">
        <w:rPr>
          <w:lang w:val="sr-Latn-RS"/>
        </w:rPr>
        <w:t xml:space="preserve">, što daje koncentraciju od 1 </w:t>
      </w:r>
      <w:r w:rsidR="007E55BB">
        <w:rPr>
          <w:lang w:val="sr-Latn-RS"/>
        </w:rPr>
        <w:t>m</w:t>
      </w:r>
      <w:r w:rsidR="006658F1" w:rsidRPr="00900E50">
        <w:rPr>
          <w:lang w:val="sr-Latn-RS"/>
        </w:rPr>
        <w:t xml:space="preserve">g/ml. </w:t>
      </w:r>
    </w:p>
    <w:p w14:paraId="3AF3103E" w14:textId="77777777" w:rsidR="00FE7988" w:rsidRPr="00900E50" w:rsidRDefault="00FE7988" w:rsidP="00FE7988">
      <w:pPr>
        <w:pStyle w:val="BodyText"/>
        <w:ind w:left="111" w:right="386"/>
        <w:rPr>
          <w:lang w:val="sr-Latn-RS"/>
        </w:rPr>
      </w:pPr>
    </w:p>
    <w:p w14:paraId="4BA6D902" w14:textId="75B9CF92" w:rsidR="00377066" w:rsidRPr="00900E50" w:rsidRDefault="006658F1" w:rsidP="0085710F">
      <w:pPr>
        <w:pStyle w:val="BodyText"/>
        <w:ind w:left="111" w:right="386"/>
        <w:rPr>
          <w:u w:val="single"/>
          <w:lang w:val="sr-Latn-RS"/>
        </w:rPr>
      </w:pPr>
      <w:r w:rsidRPr="00900E50">
        <w:rPr>
          <w:u w:val="single"/>
          <w:lang w:val="sr-Latn-RS"/>
        </w:rPr>
        <w:t>Lunsumio</w:t>
      </w:r>
      <w:r w:rsidR="003D517A">
        <w:rPr>
          <w:u w:val="single"/>
          <w:lang w:val="sr-Latn-RS"/>
        </w:rPr>
        <w:t>,</w:t>
      </w:r>
      <w:r w:rsidRPr="00900E50">
        <w:rPr>
          <w:u w:val="single"/>
          <w:lang w:val="sr-Latn-RS"/>
        </w:rPr>
        <w:t xml:space="preserve"> 30 mg, koncentrat za rastvor za infuziju</w:t>
      </w:r>
    </w:p>
    <w:p w14:paraId="663D239A" w14:textId="28BB7DDD" w:rsidR="00596AC6" w:rsidRPr="00900E50" w:rsidRDefault="00377066" w:rsidP="00FE7988">
      <w:pPr>
        <w:pStyle w:val="BodyText"/>
        <w:ind w:left="111" w:right="386"/>
        <w:rPr>
          <w:lang w:val="sr-Latn-RS"/>
        </w:rPr>
      </w:pPr>
      <w:r w:rsidRPr="00900E50">
        <w:rPr>
          <w:lang w:val="sr-Latn-RS"/>
        </w:rPr>
        <w:t xml:space="preserve">Jedna bočica </w:t>
      </w:r>
      <w:r w:rsidR="006658F1" w:rsidRPr="00900E50">
        <w:rPr>
          <w:lang w:val="sr-Latn-RS"/>
        </w:rPr>
        <w:t xml:space="preserve">sadrži 30 mg mosunetuzumaba u </w:t>
      </w:r>
      <w:r w:rsidRPr="00900E50">
        <w:rPr>
          <w:lang w:val="sr-Latn-RS"/>
        </w:rPr>
        <w:t>30 m</w:t>
      </w:r>
      <w:r w:rsidR="009F0494" w:rsidRPr="00900E50">
        <w:rPr>
          <w:lang w:val="sr-Latn-RS"/>
        </w:rPr>
        <w:t>l</w:t>
      </w:r>
      <w:r w:rsidR="00E45B08">
        <w:rPr>
          <w:lang w:val="sr-Latn-RS"/>
        </w:rPr>
        <w:t xml:space="preserve"> koncentrata</w:t>
      </w:r>
      <w:r w:rsidRPr="00900E50">
        <w:rPr>
          <w:lang w:val="sr-Latn-RS"/>
        </w:rPr>
        <w:t>, što daje koncentraciju</w:t>
      </w:r>
      <w:r w:rsidR="006658F1" w:rsidRPr="00900E50">
        <w:rPr>
          <w:lang w:val="sr-Latn-RS"/>
        </w:rPr>
        <w:t xml:space="preserve"> od 1 mg/ml.</w:t>
      </w:r>
    </w:p>
    <w:p w14:paraId="528BCAB2" w14:textId="77777777" w:rsidR="00596AC6" w:rsidRPr="00900E50" w:rsidRDefault="00596AC6">
      <w:pPr>
        <w:pStyle w:val="BodyText"/>
        <w:rPr>
          <w:lang w:val="sr-Latn-RS"/>
        </w:rPr>
      </w:pPr>
    </w:p>
    <w:p w14:paraId="57EC0340" w14:textId="77777777" w:rsidR="00596AC6" w:rsidRPr="00900E50" w:rsidRDefault="006658F1">
      <w:pPr>
        <w:pStyle w:val="BodyText"/>
        <w:ind w:left="111" w:right="386"/>
        <w:rPr>
          <w:lang w:val="sr-Latn-RS"/>
        </w:rPr>
      </w:pPr>
      <w:r w:rsidRPr="00900E50">
        <w:rPr>
          <w:lang w:val="sr-Latn-RS"/>
        </w:rPr>
        <w:t>Mosunetuzumab je humanizovani izotip anti-CD20/CD3 imunoglobulina (Ig)G1 pune dužine koji se proizvodi u ćelijama jajnika kineskog hrčka (CHO) tehnologijom rekombinantne DNK.</w:t>
      </w:r>
    </w:p>
    <w:p w14:paraId="1445A05E" w14:textId="77777777" w:rsidR="00596AC6" w:rsidRPr="00900E50" w:rsidRDefault="00596AC6">
      <w:pPr>
        <w:pStyle w:val="BodyText"/>
        <w:rPr>
          <w:lang w:val="sr-Latn-RS"/>
        </w:rPr>
      </w:pPr>
    </w:p>
    <w:p w14:paraId="4E260220" w14:textId="7506EB51" w:rsidR="00596AC6" w:rsidRPr="00900E50" w:rsidRDefault="006658F1">
      <w:pPr>
        <w:pStyle w:val="BodyText"/>
        <w:ind w:left="111"/>
        <w:rPr>
          <w:lang w:val="sr-Latn-RS"/>
        </w:rPr>
      </w:pPr>
      <w:r w:rsidRPr="00900E50">
        <w:rPr>
          <w:lang w:val="sr-Latn-RS"/>
        </w:rPr>
        <w:t xml:space="preserve">Za </w:t>
      </w:r>
      <w:r w:rsidR="00BF42A5" w:rsidRPr="00900E50">
        <w:rPr>
          <w:lang w:val="sr-Latn-RS"/>
        </w:rPr>
        <w:t>spisak svih ekscipijenasa, pogledati</w:t>
      </w:r>
      <w:r w:rsidRPr="00900E50">
        <w:rPr>
          <w:lang w:val="sr-Latn-RS"/>
        </w:rPr>
        <w:t xml:space="preserve"> </w:t>
      </w:r>
      <w:r w:rsidR="00FD557E" w:rsidRPr="00900E50">
        <w:rPr>
          <w:lang w:val="sr-Latn-RS"/>
        </w:rPr>
        <w:t>dio</w:t>
      </w:r>
      <w:r w:rsidRPr="00900E50">
        <w:rPr>
          <w:lang w:val="sr-Latn-RS"/>
        </w:rPr>
        <w:t xml:space="preserve"> 6.1.</w:t>
      </w:r>
    </w:p>
    <w:p w14:paraId="232C6682" w14:textId="77777777" w:rsidR="00596AC6" w:rsidRPr="00900E50" w:rsidRDefault="00596AC6">
      <w:pPr>
        <w:pStyle w:val="BodyText"/>
        <w:rPr>
          <w:lang w:val="sr-Latn-RS"/>
        </w:rPr>
      </w:pPr>
    </w:p>
    <w:p w14:paraId="79655DBE" w14:textId="77777777" w:rsidR="00596AC6" w:rsidRPr="00900E50" w:rsidRDefault="00596AC6">
      <w:pPr>
        <w:pStyle w:val="BodyText"/>
        <w:rPr>
          <w:lang w:val="sr-Latn-RS"/>
        </w:rPr>
      </w:pPr>
    </w:p>
    <w:p w14:paraId="40CA3E08" w14:textId="77777777" w:rsidR="00596AC6" w:rsidRPr="00900E50" w:rsidRDefault="006658F1">
      <w:pPr>
        <w:pStyle w:val="Heading1"/>
        <w:numPr>
          <w:ilvl w:val="0"/>
          <w:numId w:val="13"/>
        </w:numPr>
        <w:tabs>
          <w:tab w:val="left" w:pos="677"/>
          <w:tab w:val="left" w:pos="678"/>
        </w:tabs>
        <w:rPr>
          <w:lang w:val="sr-Latn-RS"/>
        </w:rPr>
      </w:pPr>
      <w:bookmarkStart w:id="2" w:name="3._PHARMACEUTICAL_FORM"/>
      <w:bookmarkEnd w:id="2"/>
      <w:r w:rsidRPr="00900E50">
        <w:rPr>
          <w:lang w:val="sr-Latn-RS"/>
        </w:rPr>
        <w:t>FARMACEUTSKI OBLIK</w:t>
      </w:r>
    </w:p>
    <w:p w14:paraId="29BA8410" w14:textId="77777777" w:rsidR="00596AC6" w:rsidRPr="00900E50" w:rsidRDefault="00596AC6">
      <w:pPr>
        <w:pStyle w:val="BodyText"/>
        <w:rPr>
          <w:b/>
          <w:lang w:val="sr-Latn-RS"/>
        </w:rPr>
      </w:pPr>
    </w:p>
    <w:p w14:paraId="73691467" w14:textId="77777777" w:rsidR="00596AC6" w:rsidRPr="00900E50" w:rsidRDefault="006658F1">
      <w:pPr>
        <w:pStyle w:val="BodyText"/>
        <w:ind w:left="111"/>
        <w:rPr>
          <w:lang w:val="sr-Latn-RS"/>
        </w:rPr>
      </w:pPr>
      <w:r w:rsidRPr="00900E50">
        <w:rPr>
          <w:lang w:val="sr-Latn-RS"/>
        </w:rPr>
        <w:t>Koncentrat za rastvor za infuziju.</w:t>
      </w:r>
    </w:p>
    <w:p w14:paraId="2140B545" w14:textId="77777777" w:rsidR="00596AC6" w:rsidRPr="00900E50" w:rsidRDefault="00596AC6">
      <w:pPr>
        <w:pStyle w:val="BodyText"/>
        <w:rPr>
          <w:lang w:val="sr-Latn-RS"/>
        </w:rPr>
      </w:pPr>
    </w:p>
    <w:p w14:paraId="4A76E9AA" w14:textId="77777777" w:rsidR="00596AC6" w:rsidRPr="00900E50" w:rsidRDefault="006658F1">
      <w:pPr>
        <w:pStyle w:val="BodyText"/>
        <w:ind w:left="111"/>
        <w:rPr>
          <w:lang w:val="sr-Latn-RS"/>
        </w:rPr>
      </w:pPr>
      <w:r w:rsidRPr="00900E50">
        <w:rPr>
          <w:lang w:val="sr-Latn-RS"/>
        </w:rPr>
        <w:t>Bistra, bezbojna tečnost, pH 5,8 i osmolalnosti 240-333 mOsm/kg.</w:t>
      </w:r>
    </w:p>
    <w:p w14:paraId="4EEEF12E" w14:textId="77777777" w:rsidR="00596AC6" w:rsidRPr="00900E50" w:rsidRDefault="00596AC6">
      <w:pPr>
        <w:pStyle w:val="BodyText"/>
        <w:rPr>
          <w:lang w:val="sr-Latn-RS"/>
        </w:rPr>
      </w:pPr>
    </w:p>
    <w:p w14:paraId="3FA7440F" w14:textId="77777777" w:rsidR="00596AC6" w:rsidRPr="00900E50" w:rsidRDefault="00596AC6">
      <w:pPr>
        <w:pStyle w:val="BodyText"/>
        <w:rPr>
          <w:lang w:val="sr-Latn-RS"/>
        </w:rPr>
      </w:pPr>
    </w:p>
    <w:p w14:paraId="0EEABED5" w14:textId="77777777" w:rsidR="00596AC6" w:rsidRPr="00580C63" w:rsidRDefault="006658F1" w:rsidP="00A441B5">
      <w:pPr>
        <w:pStyle w:val="Heading1"/>
        <w:numPr>
          <w:ilvl w:val="0"/>
          <w:numId w:val="13"/>
        </w:numPr>
        <w:tabs>
          <w:tab w:val="left" w:pos="677"/>
          <w:tab w:val="left" w:pos="678"/>
        </w:tabs>
        <w:ind w:hanging="677"/>
        <w:jc w:val="both"/>
        <w:rPr>
          <w:lang w:val="sr-Latn-RS"/>
        </w:rPr>
      </w:pPr>
      <w:bookmarkStart w:id="3" w:name="4._CLINICAL_PARTICULARS"/>
      <w:bookmarkEnd w:id="3"/>
      <w:r w:rsidRPr="00580C63">
        <w:rPr>
          <w:lang w:val="sr-Latn-RS"/>
        </w:rPr>
        <w:t>KLINIČKI PODACI</w:t>
      </w:r>
    </w:p>
    <w:p w14:paraId="5EA79A83" w14:textId="77777777" w:rsidR="00596AC6" w:rsidRPr="00580C63" w:rsidRDefault="00596AC6" w:rsidP="00A441B5">
      <w:pPr>
        <w:pStyle w:val="BodyText"/>
        <w:ind w:hanging="677"/>
        <w:jc w:val="both"/>
        <w:rPr>
          <w:b/>
          <w:lang w:val="sr-Latn-RS"/>
        </w:rPr>
      </w:pPr>
    </w:p>
    <w:p w14:paraId="5EDF8913" w14:textId="77777777" w:rsidR="00596AC6" w:rsidRPr="00580C63" w:rsidRDefault="006658F1" w:rsidP="00A441B5">
      <w:pPr>
        <w:pStyle w:val="ListParagraph"/>
        <w:numPr>
          <w:ilvl w:val="1"/>
          <w:numId w:val="13"/>
        </w:numPr>
        <w:tabs>
          <w:tab w:val="left" w:pos="677"/>
          <w:tab w:val="left" w:pos="678"/>
        </w:tabs>
        <w:ind w:hanging="677"/>
        <w:jc w:val="both"/>
        <w:rPr>
          <w:b/>
          <w:lang w:val="sr-Latn-RS"/>
        </w:rPr>
      </w:pPr>
      <w:bookmarkStart w:id="4" w:name="4.1_Therapeutic_indications"/>
      <w:bookmarkEnd w:id="4"/>
      <w:r w:rsidRPr="00580C63">
        <w:rPr>
          <w:b/>
          <w:bCs/>
          <w:lang w:val="sr-Latn-RS"/>
        </w:rPr>
        <w:t>Terapijske indikacije</w:t>
      </w:r>
    </w:p>
    <w:p w14:paraId="409A96E9" w14:textId="77777777" w:rsidR="00596AC6" w:rsidRPr="00580C63" w:rsidRDefault="00596AC6" w:rsidP="00A441B5">
      <w:pPr>
        <w:pStyle w:val="BodyText"/>
        <w:jc w:val="both"/>
        <w:rPr>
          <w:b/>
          <w:lang w:val="sr-Latn-RS"/>
        </w:rPr>
      </w:pPr>
    </w:p>
    <w:p w14:paraId="059C4FE6" w14:textId="6C28EA49"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je indikovan kao monoterapija za </w:t>
      </w:r>
      <w:r w:rsidRPr="00580C63">
        <w:rPr>
          <w:lang w:val="sr-Latn-RS"/>
        </w:rPr>
        <w:t>liječenje</w:t>
      </w:r>
      <w:r w:rsidR="006658F1" w:rsidRPr="00580C63">
        <w:rPr>
          <w:lang w:val="sr-Latn-RS"/>
        </w:rPr>
        <w:t xml:space="preserve"> odraslih pacijenata sa relapsnim ili refraktornim folikularnim limfomom (FL) koji su prethodno primili najmanje dv</w:t>
      </w:r>
      <w:r w:rsidRPr="00580C63">
        <w:rPr>
          <w:lang w:val="sr-Latn-RS"/>
        </w:rPr>
        <w:t>ij</w:t>
      </w:r>
      <w:r w:rsidR="006658F1" w:rsidRPr="00580C63">
        <w:rPr>
          <w:lang w:val="sr-Latn-RS"/>
        </w:rPr>
        <w:t>e sistemske terapije.</w:t>
      </w:r>
    </w:p>
    <w:p w14:paraId="58B1E991" w14:textId="77777777" w:rsidR="00596AC6" w:rsidRPr="00580C63" w:rsidRDefault="00596AC6" w:rsidP="00A441B5">
      <w:pPr>
        <w:pStyle w:val="BodyText"/>
        <w:jc w:val="both"/>
        <w:rPr>
          <w:lang w:val="sr-Latn-RS"/>
        </w:rPr>
      </w:pPr>
    </w:p>
    <w:p w14:paraId="3C5A56AA" w14:textId="7CBC2A0B" w:rsidR="00596AC6" w:rsidRPr="00580C63" w:rsidRDefault="006658F1" w:rsidP="00A441B5">
      <w:pPr>
        <w:pStyle w:val="Heading1"/>
        <w:numPr>
          <w:ilvl w:val="1"/>
          <w:numId w:val="13"/>
        </w:numPr>
        <w:tabs>
          <w:tab w:val="left" w:pos="677"/>
          <w:tab w:val="left" w:pos="678"/>
        </w:tabs>
        <w:ind w:hanging="677"/>
        <w:jc w:val="both"/>
        <w:rPr>
          <w:lang w:val="sr-Latn-RS"/>
        </w:rPr>
      </w:pPr>
      <w:bookmarkStart w:id="5" w:name="4.2_Posology_and_method_of_administratio"/>
      <w:bookmarkEnd w:id="5"/>
      <w:r w:rsidRPr="00580C63">
        <w:rPr>
          <w:lang w:val="sr-Latn-RS"/>
        </w:rPr>
        <w:t>Doziranje i način prim</w:t>
      </w:r>
      <w:r w:rsidR="00FD557E" w:rsidRPr="00580C63">
        <w:rPr>
          <w:lang w:val="sr-Latn-RS"/>
        </w:rPr>
        <w:t>j</w:t>
      </w:r>
      <w:r w:rsidRPr="00580C63">
        <w:rPr>
          <w:lang w:val="sr-Latn-RS"/>
        </w:rPr>
        <w:t>ene</w:t>
      </w:r>
    </w:p>
    <w:p w14:paraId="70BB7C51" w14:textId="77777777" w:rsidR="00596AC6" w:rsidRPr="00580C63" w:rsidRDefault="00596AC6" w:rsidP="00A441B5">
      <w:pPr>
        <w:pStyle w:val="BodyText"/>
        <w:jc w:val="both"/>
        <w:rPr>
          <w:b/>
          <w:lang w:val="sr-Latn-RS"/>
        </w:rPr>
      </w:pPr>
    </w:p>
    <w:p w14:paraId="639D10FB" w14:textId="43ECB35B"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se sm</w:t>
      </w:r>
      <w:r w:rsidRPr="00580C63">
        <w:rPr>
          <w:lang w:val="sr-Latn-RS"/>
        </w:rPr>
        <w:t>ij</w:t>
      </w:r>
      <w:r w:rsidR="006658F1" w:rsidRPr="00580C63">
        <w:rPr>
          <w:lang w:val="sr-Latn-RS"/>
        </w:rPr>
        <w:t xml:space="preserve">e davati samo pod nadzorom zdravstvenog radnika koji je kvalifikovan za </w:t>
      </w:r>
      <w:r w:rsidRPr="00580C63">
        <w:rPr>
          <w:lang w:val="sr-Latn-RS"/>
        </w:rPr>
        <w:t>primjenu</w:t>
      </w:r>
      <w:r w:rsidR="006658F1" w:rsidRPr="00580C63">
        <w:rPr>
          <w:lang w:val="sr-Latn-RS"/>
        </w:rPr>
        <w:t xml:space="preserve"> terapije protiv karcinoma, i to u okruženju sa odgovarajućom medicinskom podrškom za zbrinjavanje ozbiljnih neželjenih </w:t>
      </w:r>
      <w:r w:rsidR="00301A9B" w:rsidRPr="00580C63">
        <w:rPr>
          <w:lang w:val="sr-Latn-RS"/>
        </w:rPr>
        <w:t>dejstava</w:t>
      </w:r>
      <w:r w:rsidR="006658F1" w:rsidRPr="00580C63">
        <w:rPr>
          <w:lang w:val="sr-Latn-RS"/>
        </w:rPr>
        <w:t>, kao što je sindrom otpuštanja citokina (</w:t>
      </w:r>
      <w:r w:rsidR="008452BA" w:rsidRPr="00AE5391">
        <w:rPr>
          <w:lang w:val="sr-Latn-RS"/>
        </w:rPr>
        <w:t xml:space="preserve">engl. </w:t>
      </w:r>
      <w:r w:rsidR="008452BA" w:rsidRPr="00AE5391">
        <w:rPr>
          <w:i/>
          <w:iCs/>
          <w:lang w:val="sr-Latn-RS"/>
        </w:rPr>
        <w:t xml:space="preserve">cytokine release syndrome, </w:t>
      </w:r>
      <w:r w:rsidR="006658F1" w:rsidRPr="00580C63">
        <w:rPr>
          <w:lang w:val="sr-Latn-RS"/>
        </w:rPr>
        <w:t>CRS) (vid</w:t>
      </w:r>
      <w:r w:rsidRPr="00580C63">
        <w:rPr>
          <w:lang w:val="sr-Latn-RS"/>
        </w:rPr>
        <w:t>j</w:t>
      </w:r>
      <w:r w:rsidR="006658F1" w:rsidRPr="00580C63">
        <w:rPr>
          <w:lang w:val="sr-Latn-RS"/>
        </w:rPr>
        <w:t xml:space="preserve">eti </w:t>
      </w:r>
      <w:r w:rsidRPr="00580C63">
        <w:rPr>
          <w:lang w:val="sr-Latn-RS"/>
        </w:rPr>
        <w:t>dio</w:t>
      </w:r>
      <w:r w:rsidR="006658F1" w:rsidRPr="00580C63">
        <w:rPr>
          <w:lang w:val="sr-Latn-RS"/>
        </w:rPr>
        <w:t> 4.4).</w:t>
      </w:r>
    </w:p>
    <w:p w14:paraId="1BA15A35" w14:textId="77777777" w:rsidR="00596AC6" w:rsidRPr="00580C63" w:rsidRDefault="00596AC6" w:rsidP="00A441B5">
      <w:pPr>
        <w:pStyle w:val="BodyText"/>
        <w:jc w:val="both"/>
        <w:rPr>
          <w:lang w:val="sr-Latn-RS"/>
        </w:rPr>
      </w:pPr>
    </w:p>
    <w:p w14:paraId="180E61BF" w14:textId="77777777" w:rsidR="00596AC6" w:rsidRPr="00580C63" w:rsidRDefault="006658F1">
      <w:pPr>
        <w:pStyle w:val="BodyText"/>
        <w:ind w:left="111" w:hanging="111"/>
        <w:jc w:val="both"/>
        <w:rPr>
          <w:lang w:val="sr-Latn-RS"/>
        </w:rPr>
      </w:pPr>
      <w:r w:rsidRPr="00580C63">
        <w:rPr>
          <w:u w:val="single"/>
          <w:lang w:val="sr-Latn-RS"/>
        </w:rPr>
        <w:t>Doziranje</w:t>
      </w:r>
    </w:p>
    <w:p w14:paraId="7AC8A297" w14:textId="77777777" w:rsidR="00596AC6" w:rsidRPr="00580C63" w:rsidRDefault="00596AC6">
      <w:pPr>
        <w:pStyle w:val="BodyText"/>
        <w:spacing w:before="2"/>
        <w:ind w:hanging="111"/>
        <w:jc w:val="both"/>
        <w:rPr>
          <w:lang w:val="sr-Latn-RS"/>
        </w:rPr>
      </w:pPr>
    </w:p>
    <w:p w14:paraId="7E12829F" w14:textId="77777777" w:rsidR="00596AC6" w:rsidRPr="00580C63" w:rsidRDefault="006658F1">
      <w:pPr>
        <w:spacing w:before="90"/>
        <w:ind w:left="111" w:hanging="111"/>
        <w:jc w:val="both"/>
        <w:rPr>
          <w:i/>
          <w:lang w:val="sr-Latn-RS"/>
        </w:rPr>
      </w:pPr>
      <w:r w:rsidRPr="00580C63">
        <w:rPr>
          <w:i/>
          <w:iCs/>
          <w:lang w:val="sr-Latn-RS"/>
        </w:rPr>
        <w:t>Profilaksa i premedikacija</w:t>
      </w:r>
    </w:p>
    <w:p w14:paraId="272A1310" w14:textId="77777777" w:rsidR="00596AC6" w:rsidRPr="00580C63" w:rsidRDefault="00596AC6" w:rsidP="00A441B5">
      <w:pPr>
        <w:pStyle w:val="BodyText"/>
        <w:jc w:val="both"/>
        <w:rPr>
          <w:i/>
          <w:lang w:val="sr-Latn-RS"/>
        </w:rPr>
      </w:pPr>
    </w:p>
    <w:p w14:paraId="142A05B0" w14:textId="2CE3CAC0" w:rsidR="00596AC6" w:rsidRPr="00580C63" w:rsidRDefault="00FD557E">
      <w:pPr>
        <w:pStyle w:val="BodyText"/>
        <w:jc w:val="both"/>
        <w:rPr>
          <w:lang w:val="sr-Latn-RS"/>
        </w:rPr>
      </w:pPr>
      <w:r w:rsidRPr="00580C63">
        <w:rPr>
          <w:lang w:val="sr-Latn-RS"/>
        </w:rPr>
        <w:lastRenderedPageBreak/>
        <w:t>Lijek</w:t>
      </w:r>
      <w:r w:rsidR="006658F1" w:rsidRPr="00580C63">
        <w:rPr>
          <w:lang w:val="sr-Latn-RS"/>
        </w:rPr>
        <w:t xml:space="preserve"> Lunsumio treba davati pacijentima koji su dobro hidrirani.</w:t>
      </w:r>
    </w:p>
    <w:p w14:paraId="2B28DF3F" w14:textId="77777777" w:rsidR="00596AC6" w:rsidRPr="00580C63" w:rsidRDefault="00596AC6">
      <w:pPr>
        <w:pStyle w:val="BodyText"/>
        <w:jc w:val="both"/>
        <w:rPr>
          <w:lang w:val="sr-Latn-RS"/>
        </w:rPr>
      </w:pPr>
    </w:p>
    <w:p w14:paraId="5A09311A" w14:textId="06EA391F" w:rsidR="00596AC6" w:rsidRPr="00580C63" w:rsidRDefault="006658F1">
      <w:pPr>
        <w:pStyle w:val="BodyText"/>
        <w:jc w:val="both"/>
        <w:rPr>
          <w:lang w:val="sr-Latn-RS"/>
        </w:rPr>
      </w:pPr>
      <w:r w:rsidRPr="00580C63">
        <w:rPr>
          <w:lang w:val="sr-Latn-RS"/>
        </w:rPr>
        <w:t>U Tabeli 1 navedeni su detalji o preporučenoj premedikaciji za CRS i reakcije na infuziju.</w:t>
      </w:r>
    </w:p>
    <w:p w14:paraId="629E04E5" w14:textId="77777777" w:rsidR="007568FB" w:rsidRPr="00580C63" w:rsidRDefault="007568FB" w:rsidP="00A441B5">
      <w:pPr>
        <w:pStyle w:val="BodyText"/>
        <w:ind w:left="111"/>
        <w:jc w:val="both"/>
        <w:rPr>
          <w:lang w:val="sr-Latn-RS"/>
        </w:rPr>
      </w:pPr>
    </w:p>
    <w:p w14:paraId="7838E3AD" w14:textId="16D58E60" w:rsidR="00596AC6" w:rsidRPr="00580C63" w:rsidRDefault="006658F1" w:rsidP="00A441B5">
      <w:pPr>
        <w:pStyle w:val="Heading1"/>
        <w:spacing w:before="79"/>
        <w:ind w:left="111" w:firstLine="0"/>
        <w:jc w:val="both"/>
        <w:rPr>
          <w:lang w:val="sr-Latn-RS"/>
        </w:rPr>
      </w:pPr>
      <w:r w:rsidRPr="00580C63">
        <w:rPr>
          <w:lang w:val="sr-Latn-RS"/>
        </w:rPr>
        <w:t>Tabela 1 Premedikacija koja se daje pacijentima pr</w:t>
      </w:r>
      <w:r w:rsidR="00FD557E" w:rsidRPr="00580C63">
        <w:rPr>
          <w:lang w:val="sr-Latn-RS"/>
        </w:rPr>
        <w:t>ij</w:t>
      </w:r>
      <w:r w:rsidRPr="00580C63">
        <w:rPr>
          <w:lang w:val="sr-Latn-RS"/>
        </w:rPr>
        <w:t xml:space="preserve">e infuzije </w:t>
      </w:r>
      <w:r w:rsidR="00FD557E" w:rsidRPr="00580C63">
        <w:rPr>
          <w:lang w:val="sr-Latn-RS"/>
        </w:rPr>
        <w:t>lijek</w:t>
      </w:r>
      <w:r w:rsidRPr="00580C63">
        <w:rPr>
          <w:lang w:val="sr-Latn-RS"/>
        </w:rPr>
        <w:t>a Lunsumio</w:t>
      </w:r>
    </w:p>
    <w:p w14:paraId="398362C7" w14:textId="77777777" w:rsidR="00596AC6" w:rsidRPr="00580C63" w:rsidRDefault="00596AC6" w:rsidP="00A441B5">
      <w:pPr>
        <w:pStyle w:val="BodyText"/>
        <w:jc w:val="both"/>
        <w:rPr>
          <w:b/>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3142"/>
        <w:gridCol w:w="3083"/>
      </w:tblGrid>
      <w:tr w:rsidR="00596AC6" w:rsidRPr="00580C63" w14:paraId="47E496F2" w14:textId="77777777" w:rsidTr="008868CF">
        <w:trPr>
          <w:trHeight w:val="505"/>
        </w:trPr>
        <w:tc>
          <w:tcPr>
            <w:tcW w:w="1614" w:type="pct"/>
          </w:tcPr>
          <w:p w14:paraId="00713ABF" w14:textId="77777777" w:rsidR="00596AC6" w:rsidRPr="00580C63" w:rsidRDefault="006658F1" w:rsidP="00A441B5">
            <w:pPr>
              <w:pStyle w:val="TableParagraph"/>
              <w:spacing w:line="250" w:lineRule="atLeast"/>
              <w:ind w:left="108" w:right="1274"/>
              <w:jc w:val="both"/>
              <w:rPr>
                <w:b/>
                <w:lang w:val="sr-Latn-RS"/>
              </w:rPr>
            </w:pPr>
            <w:r w:rsidRPr="00580C63">
              <w:rPr>
                <w:b/>
                <w:bCs/>
                <w:lang w:val="sr-Latn-RS"/>
              </w:rPr>
              <w:t>Pacijenti kojima je potrebna premedikacija</w:t>
            </w:r>
          </w:p>
        </w:tc>
        <w:tc>
          <w:tcPr>
            <w:tcW w:w="1709" w:type="pct"/>
          </w:tcPr>
          <w:p w14:paraId="12E76BAF" w14:textId="77777777" w:rsidR="00596AC6" w:rsidRPr="00580C63" w:rsidRDefault="006658F1" w:rsidP="00A441B5">
            <w:pPr>
              <w:pStyle w:val="TableParagraph"/>
              <w:ind w:left="108"/>
              <w:jc w:val="both"/>
              <w:rPr>
                <w:b/>
                <w:lang w:val="sr-Latn-RS"/>
              </w:rPr>
            </w:pPr>
            <w:r w:rsidRPr="00580C63">
              <w:rPr>
                <w:b/>
                <w:bCs/>
                <w:lang w:val="sr-Latn-RS"/>
              </w:rPr>
              <w:t>Premedikacija</w:t>
            </w:r>
          </w:p>
        </w:tc>
        <w:tc>
          <w:tcPr>
            <w:tcW w:w="1677" w:type="pct"/>
          </w:tcPr>
          <w:p w14:paraId="531AD830" w14:textId="1E911FBD" w:rsidR="00596AC6" w:rsidRPr="00580C63" w:rsidRDefault="006658F1" w:rsidP="00A441B5">
            <w:pPr>
              <w:pStyle w:val="TableParagraph"/>
              <w:ind w:left="108"/>
              <w:jc w:val="both"/>
              <w:rPr>
                <w:b/>
                <w:lang w:val="sr-Latn-RS"/>
              </w:rPr>
            </w:pPr>
            <w:r w:rsidRPr="00580C63">
              <w:rPr>
                <w:b/>
                <w:bCs/>
                <w:lang w:val="sr-Latn-RS"/>
              </w:rPr>
              <w:t>Prim</w:t>
            </w:r>
            <w:r w:rsidR="0083711F" w:rsidRPr="00580C63">
              <w:rPr>
                <w:b/>
                <w:bCs/>
                <w:lang w:val="sr-Latn-RS"/>
              </w:rPr>
              <w:t>j</w:t>
            </w:r>
            <w:r w:rsidRPr="00580C63">
              <w:rPr>
                <w:b/>
                <w:bCs/>
                <w:lang w:val="sr-Latn-RS"/>
              </w:rPr>
              <w:t>ena</w:t>
            </w:r>
          </w:p>
        </w:tc>
      </w:tr>
      <w:tr w:rsidR="00596AC6" w:rsidRPr="00314AC9" w14:paraId="47A5D3C2" w14:textId="77777777" w:rsidTr="008868CF">
        <w:trPr>
          <w:trHeight w:val="758"/>
        </w:trPr>
        <w:tc>
          <w:tcPr>
            <w:tcW w:w="1614" w:type="pct"/>
            <w:vMerge w:val="restart"/>
          </w:tcPr>
          <w:p w14:paraId="277F9A7B" w14:textId="77777777" w:rsidR="00596AC6" w:rsidRPr="00580C63" w:rsidRDefault="00596AC6" w:rsidP="00A441B5">
            <w:pPr>
              <w:pStyle w:val="TableParagraph"/>
              <w:ind w:left="0"/>
              <w:jc w:val="both"/>
              <w:rPr>
                <w:b/>
                <w:lang w:val="sr-Latn-RS"/>
              </w:rPr>
            </w:pPr>
          </w:p>
          <w:p w14:paraId="65562EFB" w14:textId="77777777" w:rsidR="00596AC6" w:rsidRPr="00580C63" w:rsidRDefault="00596AC6" w:rsidP="00A441B5">
            <w:pPr>
              <w:pStyle w:val="TableParagraph"/>
              <w:ind w:left="0"/>
              <w:jc w:val="both"/>
              <w:rPr>
                <w:b/>
                <w:lang w:val="sr-Latn-RS"/>
              </w:rPr>
            </w:pPr>
          </w:p>
          <w:p w14:paraId="36554C45" w14:textId="77777777" w:rsidR="00596AC6" w:rsidRPr="00580C63" w:rsidRDefault="006658F1" w:rsidP="00A441B5">
            <w:pPr>
              <w:pStyle w:val="TableParagraph"/>
              <w:ind w:left="108"/>
              <w:jc w:val="both"/>
              <w:rPr>
                <w:lang w:val="sr-Latn-RS"/>
              </w:rPr>
            </w:pPr>
            <w:r w:rsidRPr="00580C63">
              <w:rPr>
                <w:lang w:val="sr-Latn-RS"/>
              </w:rPr>
              <w:t>1. i 2. ciklus: svi pacijenti</w:t>
            </w:r>
          </w:p>
          <w:p w14:paraId="015BBAED" w14:textId="77777777" w:rsidR="00596AC6" w:rsidRPr="00580C63" w:rsidRDefault="00596AC6" w:rsidP="00A441B5">
            <w:pPr>
              <w:pStyle w:val="TableParagraph"/>
              <w:ind w:left="0"/>
              <w:jc w:val="both"/>
              <w:rPr>
                <w:b/>
                <w:lang w:val="sr-Latn-RS"/>
              </w:rPr>
            </w:pPr>
          </w:p>
          <w:p w14:paraId="371ED0FE" w14:textId="62DBEC70" w:rsidR="00596AC6" w:rsidRPr="00580C63" w:rsidRDefault="006658F1" w:rsidP="00A441B5">
            <w:pPr>
              <w:pStyle w:val="TableParagraph"/>
              <w:ind w:left="108" w:right="95"/>
              <w:jc w:val="both"/>
              <w:rPr>
                <w:lang w:val="sr-Latn-RS"/>
              </w:rPr>
            </w:pPr>
            <w:r w:rsidRPr="00580C63">
              <w:rPr>
                <w:lang w:val="sr-Latn-RS"/>
              </w:rPr>
              <w:t>3. ciklus i ciklusi posl</w:t>
            </w:r>
            <w:r w:rsidR="0016499B" w:rsidRPr="00580C63">
              <w:rPr>
                <w:lang w:val="sr-Latn-RS"/>
              </w:rPr>
              <w:t>ij</w:t>
            </w:r>
            <w:r w:rsidRPr="00580C63">
              <w:rPr>
                <w:lang w:val="sr-Latn-RS"/>
              </w:rPr>
              <w:t xml:space="preserve">e njega: pacijenti kod kojih se pri </w:t>
            </w:r>
            <w:r w:rsidR="00FD557E" w:rsidRPr="00580C63">
              <w:rPr>
                <w:lang w:val="sr-Latn-RS"/>
              </w:rPr>
              <w:t>primjeni</w:t>
            </w:r>
            <w:r w:rsidRPr="00580C63">
              <w:rPr>
                <w:lang w:val="sr-Latn-RS"/>
              </w:rPr>
              <w:t xml:space="preserve"> prethodne doze javio CRS bilo kog stepena</w:t>
            </w:r>
          </w:p>
        </w:tc>
        <w:tc>
          <w:tcPr>
            <w:tcW w:w="1709" w:type="pct"/>
          </w:tcPr>
          <w:p w14:paraId="34447146" w14:textId="5F5A90DF" w:rsidR="00596AC6" w:rsidRPr="00580C63" w:rsidRDefault="006658F1" w:rsidP="00A441B5">
            <w:pPr>
              <w:pStyle w:val="TableParagraph"/>
              <w:spacing w:line="250" w:lineRule="atLeast"/>
              <w:ind w:left="108" w:right="712"/>
              <w:jc w:val="both"/>
              <w:rPr>
                <w:lang w:val="sr-Latn-RS"/>
              </w:rPr>
            </w:pPr>
            <w:r w:rsidRPr="00580C63">
              <w:rPr>
                <w:lang w:val="sr-Latn-RS"/>
              </w:rPr>
              <w:t xml:space="preserve">Kortikosteroidi za intravensku </w:t>
            </w:r>
            <w:r w:rsidR="00FD557E" w:rsidRPr="00580C63">
              <w:rPr>
                <w:lang w:val="sr-Latn-RS"/>
              </w:rPr>
              <w:t>primjenu</w:t>
            </w:r>
            <w:r w:rsidRPr="00580C63">
              <w:rPr>
                <w:lang w:val="sr-Latn-RS"/>
              </w:rPr>
              <w:t>: 20 mg deksametazona ili 80 mg metilprednizolona</w:t>
            </w:r>
          </w:p>
        </w:tc>
        <w:tc>
          <w:tcPr>
            <w:tcW w:w="1677" w:type="pct"/>
          </w:tcPr>
          <w:p w14:paraId="40BA56EF" w14:textId="5B5DCD62" w:rsidR="00596AC6" w:rsidRPr="00580C63" w:rsidRDefault="006658F1" w:rsidP="00A441B5">
            <w:pPr>
              <w:pStyle w:val="TableParagraph"/>
              <w:ind w:left="108" w:right="12"/>
              <w:jc w:val="both"/>
              <w:rPr>
                <w:lang w:val="sr-Latn-RS"/>
              </w:rPr>
            </w:pPr>
            <w:r w:rsidRPr="00580C63">
              <w:rPr>
                <w:lang w:val="sr-Latn-RS"/>
              </w:rPr>
              <w:t xml:space="preserve">Dati </w:t>
            </w:r>
            <w:r w:rsidR="00FD557E" w:rsidRPr="00580C63">
              <w:rPr>
                <w:lang w:val="sr-Latn-RS"/>
              </w:rPr>
              <w:t>lijek</w:t>
            </w:r>
            <w:r w:rsidRPr="00580C63">
              <w:rPr>
                <w:lang w:val="sr-Latn-RS"/>
              </w:rPr>
              <w:t xml:space="preserve"> najmanje sat vremena pr</w:t>
            </w:r>
            <w:r w:rsidR="00FD557E" w:rsidRPr="00580C63">
              <w:rPr>
                <w:lang w:val="sr-Latn-RS"/>
              </w:rPr>
              <w:t>ij</w:t>
            </w:r>
            <w:r w:rsidRPr="00580C63">
              <w:rPr>
                <w:lang w:val="sr-Latn-RS"/>
              </w:rPr>
              <w:t xml:space="preserve">e davanja infuzije </w:t>
            </w:r>
            <w:r w:rsidR="00FD557E" w:rsidRPr="00580C63">
              <w:rPr>
                <w:lang w:val="sr-Latn-RS"/>
              </w:rPr>
              <w:t>lijek</w:t>
            </w:r>
            <w:r w:rsidRPr="00580C63">
              <w:rPr>
                <w:lang w:val="sr-Latn-RS"/>
              </w:rPr>
              <w:t>a Lunsumio</w:t>
            </w:r>
          </w:p>
        </w:tc>
      </w:tr>
      <w:tr w:rsidR="00596AC6" w:rsidRPr="00314AC9" w14:paraId="6EEA477D" w14:textId="77777777" w:rsidTr="008868CF">
        <w:trPr>
          <w:trHeight w:val="1011"/>
        </w:trPr>
        <w:tc>
          <w:tcPr>
            <w:tcW w:w="1614" w:type="pct"/>
            <w:vMerge/>
            <w:tcBorders>
              <w:top w:val="nil"/>
            </w:tcBorders>
          </w:tcPr>
          <w:p w14:paraId="3FB99783" w14:textId="77777777" w:rsidR="00596AC6" w:rsidRPr="00580C63" w:rsidRDefault="00596AC6" w:rsidP="00A441B5">
            <w:pPr>
              <w:jc w:val="both"/>
              <w:rPr>
                <w:lang w:val="sr-Latn-RS"/>
              </w:rPr>
            </w:pPr>
          </w:p>
        </w:tc>
        <w:tc>
          <w:tcPr>
            <w:tcW w:w="1709" w:type="pct"/>
          </w:tcPr>
          <w:p w14:paraId="4DF654DB" w14:textId="745D1DE7" w:rsidR="00596AC6" w:rsidRPr="00580C63" w:rsidRDefault="006658F1" w:rsidP="00A441B5">
            <w:pPr>
              <w:pStyle w:val="TableParagraph"/>
              <w:ind w:left="108" w:right="95"/>
              <w:jc w:val="both"/>
              <w:rPr>
                <w:lang w:val="sr-Latn-RS"/>
              </w:rPr>
            </w:pPr>
            <w:r w:rsidRPr="00580C63">
              <w:rPr>
                <w:lang w:val="sr-Latn-RS"/>
              </w:rPr>
              <w:t>Antihistaminik: 50–100 mg difenhidramin</w:t>
            </w:r>
            <w:r w:rsidR="008452BA">
              <w:rPr>
                <w:lang w:val="sr-Latn-RS"/>
              </w:rPr>
              <w:t xml:space="preserve"> </w:t>
            </w:r>
            <w:r w:rsidRPr="00580C63">
              <w:rPr>
                <w:lang w:val="sr-Latn-RS"/>
              </w:rPr>
              <w:t>hidrohlorida ili odgovarajućeg oralnog ili intravenskog</w:t>
            </w:r>
          </w:p>
          <w:p w14:paraId="7E222E58" w14:textId="4BC90B12" w:rsidR="00596AC6" w:rsidRPr="00580C63" w:rsidRDefault="0083711F" w:rsidP="00A441B5">
            <w:pPr>
              <w:pStyle w:val="TableParagraph"/>
              <w:spacing w:line="233" w:lineRule="exact"/>
              <w:ind w:left="108"/>
              <w:jc w:val="both"/>
              <w:rPr>
                <w:lang w:val="sr-Latn-RS"/>
              </w:rPr>
            </w:pPr>
            <w:r w:rsidRPr="00580C63">
              <w:rPr>
                <w:lang w:val="sr-Latn-RS"/>
              </w:rPr>
              <w:t>a</w:t>
            </w:r>
            <w:r w:rsidR="006658F1" w:rsidRPr="00580C63">
              <w:rPr>
                <w:lang w:val="sr-Latn-RS"/>
              </w:rPr>
              <w:t>ntihistaminika</w:t>
            </w:r>
          </w:p>
        </w:tc>
        <w:tc>
          <w:tcPr>
            <w:tcW w:w="1677" w:type="pct"/>
            <w:vMerge w:val="restart"/>
          </w:tcPr>
          <w:p w14:paraId="0058EF8B" w14:textId="27B7FE4E" w:rsidR="00596AC6" w:rsidRPr="00580C63" w:rsidRDefault="006658F1" w:rsidP="00A441B5">
            <w:pPr>
              <w:pStyle w:val="TableParagraph"/>
              <w:ind w:left="108" w:right="106"/>
              <w:jc w:val="both"/>
              <w:rPr>
                <w:lang w:val="sr-Latn-RS"/>
              </w:rPr>
            </w:pPr>
            <w:r w:rsidRPr="00580C63">
              <w:rPr>
                <w:lang w:val="sr-Latn-RS"/>
              </w:rPr>
              <w:t>Najmanje 30 minuta pr</w:t>
            </w:r>
            <w:r w:rsidR="00FD557E" w:rsidRPr="00580C63">
              <w:rPr>
                <w:lang w:val="sr-Latn-RS"/>
              </w:rPr>
              <w:t>ij</w:t>
            </w:r>
            <w:r w:rsidRPr="00580C63">
              <w:rPr>
                <w:lang w:val="sr-Latn-RS"/>
              </w:rPr>
              <w:t xml:space="preserve">e davanja infuzije </w:t>
            </w:r>
            <w:r w:rsidR="00FD557E" w:rsidRPr="00580C63">
              <w:rPr>
                <w:lang w:val="sr-Latn-RS"/>
              </w:rPr>
              <w:t>lijek</w:t>
            </w:r>
            <w:r w:rsidRPr="00580C63">
              <w:rPr>
                <w:lang w:val="sr-Latn-RS"/>
              </w:rPr>
              <w:t>a Lunsumio</w:t>
            </w:r>
          </w:p>
        </w:tc>
      </w:tr>
      <w:tr w:rsidR="00596AC6" w:rsidRPr="00580C63" w14:paraId="2557720E" w14:textId="77777777" w:rsidTr="008868CF">
        <w:trPr>
          <w:trHeight w:val="510"/>
        </w:trPr>
        <w:tc>
          <w:tcPr>
            <w:tcW w:w="1614" w:type="pct"/>
            <w:vMerge/>
            <w:tcBorders>
              <w:top w:val="nil"/>
            </w:tcBorders>
          </w:tcPr>
          <w:p w14:paraId="2CC575C2" w14:textId="77777777" w:rsidR="00596AC6" w:rsidRPr="00580C63" w:rsidRDefault="00596AC6" w:rsidP="00A441B5">
            <w:pPr>
              <w:jc w:val="both"/>
              <w:rPr>
                <w:lang w:val="sr-Latn-RS"/>
              </w:rPr>
            </w:pPr>
          </w:p>
        </w:tc>
        <w:tc>
          <w:tcPr>
            <w:tcW w:w="1709" w:type="pct"/>
          </w:tcPr>
          <w:p w14:paraId="2E435231" w14:textId="77777777" w:rsidR="00596AC6" w:rsidRPr="00580C63" w:rsidRDefault="006658F1" w:rsidP="00A441B5">
            <w:pPr>
              <w:pStyle w:val="TableParagraph"/>
              <w:spacing w:line="250" w:lineRule="atLeast"/>
              <w:ind w:left="108" w:right="791"/>
              <w:jc w:val="both"/>
              <w:rPr>
                <w:lang w:val="sr-Latn-RS"/>
              </w:rPr>
            </w:pPr>
            <w:r w:rsidRPr="00580C63">
              <w:rPr>
                <w:lang w:val="sr-Latn-RS"/>
              </w:rPr>
              <w:t>Antipiretik: 500–1000 mg paracetamola</w:t>
            </w:r>
          </w:p>
        </w:tc>
        <w:tc>
          <w:tcPr>
            <w:tcW w:w="1677" w:type="pct"/>
            <w:vMerge/>
            <w:tcBorders>
              <w:top w:val="nil"/>
            </w:tcBorders>
          </w:tcPr>
          <w:p w14:paraId="67B4FCE9" w14:textId="77777777" w:rsidR="00596AC6" w:rsidRPr="00580C63" w:rsidRDefault="00596AC6" w:rsidP="00A441B5">
            <w:pPr>
              <w:jc w:val="both"/>
              <w:rPr>
                <w:lang w:val="sr-Latn-RS"/>
              </w:rPr>
            </w:pPr>
          </w:p>
        </w:tc>
      </w:tr>
    </w:tbl>
    <w:p w14:paraId="26BF3CC8" w14:textId="77777777" w:rsidR="00596AC6" w:rsidRPr="00580C63" w:rsidRDefault="00596AC6" w:rsidP="00A441B5">
      <w:pPr>
        <w:pStyle w:val="BodyText"/>
        <w:jc w:val="both"/>
        <w:rPr>
          <w:b/>
          <w:lang w:val="sr-Latn-RS"/>
        </w:rPr>
      </w:pPr>
    </w:p>
    <w:p w14:paraId="118B9941" w14:textId="06E87A1A" w:rsidR="00596AC6" w:rsidRPr="00580C63" w:rsidRDefault="006658F1" w:rsidP="00A441B5">
      <w:pPr>
        <w:pStyle w:val="BodyText"/>
        <w:ind w:left="111"/>
        <w:jc w:val="both"/>
        <w:rPr>
          <w:lang w:val="sr-Latn-RS"/>
        </w:rPr>
      </w:pPr>
      <w:r w:rsidRPr="00580C63">
        <w:rPr>
          <w:lang w:val="sr-Latn-RS"/>
        </w:rPr>
        <w:t xml:space="preserve">Preporučena doza </w:t>
      </w:r>
      <w:r w:rsidR="00FD557E" w:rsidRPr="00580C63">
        <w:rPr>
          <w:lang w:val="sr-Latn-RS"/>
        </w:rPr>
        <w:t>lijek</w:t>
      </w:r>
      <w:r w:rsidRPr="00580C63">
        <w:rPr>
          <w:lang w:val="sr-Latn-RS"/>
        </w:rPr>
        <w:t>a Lunsumio za svaki ciklus od 21 dan detaljno je prikazana u Tabeli 2.</w:t>
      </w:r>
    </w:p>
    <w:p w14:paraId="338308DD" w14:textId="77777777" w:rsidR="00596AC6" w:rsidRPr="00580C63" w:rsidRDefault="00596AC6" w:rsidP="00A441B5">
      <w:pPr>
        <w:pStyle w:val="BodyText"/>
        <w:jc w:val="both"/>
        <w:rPr>
          <w:lang w:val="sr-Latn-RS"/>
        </w:rPr>
      </w:pPr>
    </w:p>
    <w:p w14:paraId="44F7CD3E" w14:textId="33512F83" w:rsidR="00596AC6" w:rsidRPr="00580C63" w:rsidRDefault="006658F1" w:rsidP="00A441B5">
      <w:pPr>
        <w:pStyle w:val="Heading1"/>
        <w:ind w:left="111" w:firstLine="0"/>
        <w:jc w:val="both"/>
        <w:rPr>
          <w:lang w:val="sr-Latn-RS"/>
        </w:rPr>
      </w:pPr>
      <w:r w:rsidRPr="00580C63">
        <w:rPr>
          <w:lang w:val="sr-Latn-RS"/>
        </w:rPr>
        <w:t xml:space="preserve">Tabela 2 Doza </w:t>
      </w:r>
      <w:r w:rsidR="00FD557E" w:rsidRPr="00580C63">
        <w:rPr>
          <w:lang w:val="sr-Latn-RS"/>
        </w:rPr>
        <w:t>lijek</w:t>
      </w:r>
      <w:r w:rsidRPr="00580C63">
        <w:rPr>
          <w:lang w:val="sr-Latn-RS"/>
        </w:rPr>
        <w:t xml:space="preserve">a Lunsumio za pacijente sa relapsnim ili refraktornim folikularnim </w:t>
      </w:r>
      <w:r w:rsidR="008452BA">
        <w:rPr>
          <w:lang w:val="sr-Latn-RS"/>
        </w:rPr>
        <w:t xml:space="preserve"> l</w:t>
      </w:r>
      <w:r w:rsidRPr="00580C63">
        <w:rPr>
          <w:lang w:val="sr-Latn-RS"/>
        </w:rPr>
        <w:t>imfomom</w:t>
      </w:r>
    </w:p>
    <w:p w14:paraId="71899DE2" w14:textId="77777777" w:rsidR="00596AC6" w:rsidRPr="00580C63" w:rsidRDefault="00596AC6" w:rsidP="00A441B5">
      <w:pPr>
        <w:pStyle w:val="BodyText"/>
        <w:jc w:val="both"/>
        <w:rPr>
          <w:b/>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9"/>
        <w:gridCol w:w="1134"/>
        <w:gridCol w:w="2094"/>
        <w:gridCol w:w="4655"/>
      </w:tblGrid>
      <w:tr w:rsidR="00596AC6" w:rsidRPr="00580C63" w14:paraId="5ECA8018" w14:textId="77777777" w:rsidTr="008868CF">
        <w:trPr>
          <w:trHeight w:val="252"/>
        </w:trPr>
        <w:tc>
          <w:tcPr>
            <w:tcW w:w="1329" w:type="pct"/>
            <w:gridSpan w:val="2"/>
          </w:tcPr>
          <w:p w14:paraId="477AE98D" w14:textId="0CE1BE04" w:rsidR="00596AC6" w:rsidRPr="00580C63" w:rsidRDefault="006658F1" w:rsidP="00A441B5">
            <w:pPr>
              <w:pStyle w:val="TableParagraph"/>
              <w:spacing w:line="233" w:lineRule="exact"/>
              <w:ind w:left="108"/>
              <w:jc w:val="both"/>
              <w:rPr>
                <w:b/>
                <w:lang w:val="sr-Latn-RS"/>
              </w:rPr>
            </w:pPr>
            <w:r w:rsidRPr="00580C63">
              <w:rPr>
                <w:b/>
                <w:bCs/>
                <w:lang w:val="sr-Latn-RS"/>
              </w:rPr>
              <w:t>Dan </w:t>
            </w:r>
            <w:r w:rsidR="00FD557E" w:rsidRPr="00580C63">
              <w:rPr>
                <w:b/>
                <w:bCs/>
                <w:lang w:val="sr-Latn-RS"/>
              </w:rPr>
              <w:t>liječenja</w:t>
            </w:r>
          </w:p>
        </w:tc>
        <w:tc>
          <w:tcPr>
            <w:tcW w:w="1139" w:type="pct"/>
          </w:tcPr>
          <w:p w14:paraId="515EA934" w14:textId="616D8316" w:rsidR="00596AC6" w:rsidRPr="00580C63" w:rsidRDefault="006658F1" w:rsidP="00A441B5">
            <w:pPr>
              <w:pStyle w:val="TableParagraph"/>
              <w:spacing w:line="233" w:lineRule="exact"/>
              <w:ind w:left="108"/>
              <w:jc w:val="both"/>
              <w:rPr>
                <w:b/>
                <w:lang w:val="sr-Latn-RS"/>
              </w:rPr>
            </w:pPr>
            <w:r w:rsidRPr="00580C63">
              <w:rPr>
                <w:b/>
                <w:bCs/>
                <w:lang w:val="sr-Latn-RS"/>
              </w:rPr>
              <w:t xml:space="preserve">Doza </w:t>
            </w:r>
            <w:r w:rsidR="00FD557E" w:rsidRPr="00580C63">
              <w:rPr>
                <w:b/>
                <w:bCs/>
                <w:lang w:val="sr-Latn-RS"/>
              </w:rPr>
              <w:t>lijek</w:t>
            </w:r>
            <w:r w:rsidRPr="00580C63">
              <w:rPr>
                <w:b/>
                <w:bCs/>
                <w:lang w:val="sr-Latn-RS"/>
              </w:rPr>
              <w:t>a Lunsumio</w:t>
            </w:r>
          </w:p>
        </w:tc>
        <w:tc>
          <w:tcPr>
            <w:tcW w:w="2531" w:type="pct"/>
          </w:tcPr>
          <w:p w14:paraId="378E07B5" w14:textId="77777777" w:rsidR="00596AC6" w:rsidRPr="00580C63" w:rsidRDefault="006658F1" w:rsidP="00A441B5">
            <w:pPr>
              <w:pStyle w:val="TableParagraph"/>
              <w:spacing w:line="233" w:lineRule="exact"/>
              <w:ind w:left="108"/>
              <w:jc w:val="both"/>
              <w:rPr>
                <w:b/>
                <w:lang w:val="sr-Latn-RS"/>
              </w:rPr>
            </w:pPr>
            <w:r w:rsidRPr="00580C63">
              <w:rPr>
                <w:b/>
                <w:bCs/>
                <w:lang w:val="sr-Latn-RS"/>
              </w:rPr>
              <w:t>Brzina infuzije</w:t>
            </w:r>
          </w:p>
        </w:tc>
      </w:tr>
      <w:tr w:rsidR="00596AC6" w:rsidRPr="00314AC9" w14:paraId="1790A757" w14:textId="77777777" w:rsidTr="008868CF">
        <w:trPr>
          <w:trHeight w:val="252"/>
        </w:trPr>
        <w:tc>
          <w:tcPr>
            <w:tcW w:w="712" w:type="pct"/>
            <w:vMerge w:val="restart"/>
          </w:tcPr>
          <w:p w14:paraId="19A114A7" w14:textId="77777777" w:rsidR="00596AC6" w:rsidRPr="00580C63" w:rsidRDefault="006658F1" w:rsidP="00A441B5">
            <w:pPr>
              <w:pStyle w:val="TableParagraph"/>
              <w:ind w:left="0"/>
              <w:jc w:val="both"/>
              <w:rPr>
                <w:lang w:val="sr-Latn-RS"/>
              </w:rPr>
            </w:pPr>
            <w:r w:rsidRPr="00580C63">
              <w:rPr>
                <w:lang w:val="sr-Latn-RS"/>
              </w:rPr>
              <w:t>1. ciklus</w:t>
            </w:r>
          </w:p>
        </w:tc>
        <w:tc>
          <w:tcPr>
            <w:tcW w:w="617" w:type="pct"/>
          </w:tcPr>
          <w:p w14:paraId="53A20EC7" w14:textId="77777777" w:rsidR="00596AC6" w:rsidRPr="00580C63" w:rsidRDefault="006658F1" w:rsidP="00A441B5">
            <w:pPr>
              <w:pStyle w:val="TableParagraph"/>
              <w:spacing w:line="233" w:lineRule="exact"/>
              <w:ind w:left="108"/>
              <w:jc w:val="both"/>
              <w:rPr>
                <w:lang w:val="sr-Latn-RS"/>
              </w:rPr>
            </w:pPr>
            <w:r w:rsidRPr="00580C63">
              <w:rPr>
                <w:lang w:val="sr-Latn-RS"/>
              </w:rPr>
              <w:t>1. dan</w:t>
            </w:r>
          </w:p>
        </w:tc>
        <w:tc>
          <w:tcPr>
            <w:tcW w:w="1139" w:type="pct"/>
          </w:tcPr>
          <w:p w14:paraId="0B1DC668" w14:textId="77777777" w:rsidR="00596AC6" w:rsidRPr="00580C63" w:rsidRDefault="006658F1" w:rsidP="00A441B5">
            <w:pPr>
              <w:pStyle w:val="TableParagraph"/>
              <w:spacing w:line="233" w:lineRule="exact"/>
              <w:ind w:left="108"/>
              <w:jc w:val="both"/>
              <w:rPr>
                <w:lang w:val="sr-Latn-RS"/>
              </w:rPr>
            </w:pPr>
            <w:r w:rsidRPr="00580C63">
              <w:rPr>
                <w:lang w:val="sr-Latn-RS"/>
              </w:rPr>
              <w:t>1 mg</w:t>
            </w:r>
          </w:p>
        </w:tc>
        <w:tc>
          <w:tcPr>
            <w:tcW w:w="2531" w:type="pct"/>
            <w:vMerge w:val="restart"/>
          </w:tcPr>
          <w:p w14:paraId="10513CA8" w14:textId="0AEBC969" w:rsidR="00596AC6" w:rsidRPr="00580C63" w:rsidRDefault="006658F1" w:rsidP="00A441B5">
            <w:pPr>
              <w:pStyle w:val="TableParagraph"/>
              <w:ind w:left="108" w:right="301"/>
              <w:jc w:val="both"/>
              <w:rPr>
                <w:lang w:val="sr-Latn-RS"/>
              </w:rPr>
            </w:pPr>
            <w:r w:rsidRPr="00580C63">
              <w:rPr>
                <w:lang w:val="sr-Latn-RS"/>
              </w:rPr>
              <w:t xml:space="preserve">Infuzije </w:t>
            </w:r>
            <w:r w:rsidR="00FD557E" w:rsidRPr="00580C63">
              <w:rPr>
                <w:lang w:val="sr-Latn-RS"/>
              </w:rPr>
              <w:t>lijek</w:t>
            </w:r>
            <w:r w:rsidRPr="00580C63">
              <w:rPr>
                <w:lang w:val="sr-Latn-RS"/>
              </w:rPr>
              <w:t>a Lunsumio u 1. ciklusu treba davati u trajanju od najmanje 4 sata.</w:t>
            </w:r>
          </w:p>
        </w:tc>
      </w:tr>
      <w:tr w:rsidR="00596AC6" w:rsidRPr="00580C63" w14:paraId="2BC718D0" w14:textId="77777777" w:rsidTr="008868CF">
        <w:trPr>
          <w:trHeight w:val="252"/>
        </w:trPr>
        <w:tc>
          <w:tcPr>
            <w:tcW w:w="712" w:type="pct"/>
            <w:vMerge/>
            <w:tcBorders>
              <w:top w:val="nil"/>
            </w:tcBorders>
          </w:tcPr>
          <w:p w14:paraId="237071D3" w14:textId="77777777" w:rsidR="00596AC6" w:rsidRPr="00580C63" w:rsidRDefault="00596AC6" w:rsidP="00A441B5">
            <w:pPr>
              <w:jc w:val="both"/>
              <w:rPr>
                <w:lang w:val="sr-Latn-RS"/>
              </w:rPr>
            </w:pPr>
          </w:p>
        </w:tc>
        <w:tc>
          <w:tcPr>
            <w:tcW w:w="617" w:type="pct"/>
          </w:tcPr>
          <w:p w14:paraId="2BCB6E7D" w14:textId="77777777" w:rsidR="00596AC6" w:rsidRPr="00580C63" w:rsidRDefault="006658F1" w:rsidP="00A441B5">
            <w:pPr>
              <w:pStyle w:val="TableParagraph"/>
              <w:spacing w:line="233" w:lineRule="exact"/>
              <w:ind w:left="108"/>
              <w:jc w:val="both"/>
              <w:rPr>
                <w:lang w:val="sr-Latn-RS"/>
              </w:rPr>
            </w:pPr>
            <w:r w:rsidRPr="00580C63">
              <w:rPr>
                <w:lang w:val="sr-Latn-RS"/>
              </w:rPr>
              <w:t>8. dan</w:t>
            </w:r>
          </w:p>
        </w:tc>
        <w:tc>
          <w:tcPr>
            <w:tcW w:w="1139" w:type="pct"/>
          </w:tcPr>
          <w:p w14:paraId="365A8C26" w14:textId="77777777" w:rsidR="00596AC6" w:rsidRPr="00580C63" w:rsidRDefault="006658F1" w:rsidP="00A441B5">
            <w:pPr>
              <w:pStyle w:val="TableParagraph"/>
              <w:spacing w:line="233" w:lineRule="exact"/>
              <w:ind w:left="108"/>
              <w:jc w:val="both"/>
              <w:rPr>
                <w:lang w:val="sr-Latn-RS"/>
              </w:rPr>
            </w:pPr>
            <w:r w:rsidRPr="00580C63">
              <w:rPr>
                <w:lang w:val="sr-Latn-RS"/>
              </w:rPr>
              <w:t>2 mg</w:t>
            </w:r>
          </w:p>
        </w:tc>
        <w:tc>
          <w:tcPr>
            <w:tcW w:w="2531" w:type="pct"/>
            <w:vMerge/>
            <w:tcBorders>
              <w:top w:val="nil"/>
            </w:tcBorders>
          </w:tcPr>
          <w:p w14:paraId="4ABF665F" w14:textId="77777777" w:rsidR="00596AC6" w:rsidRPr="00580C63" w:rsidRDefault="00596AC6" w:rsidP="00A441B5">
            <w:pPr>
              <w:jc w:val="both"/>
              <w:rPr>
                <w:lang w:val="sr-Latn-RS"/>
              </w:rPr>
            </w:pPr>
          </w:p>
        </w:tc>
      </w:tr>
      <w:tr w:rsidR="00596AC6" w:rsidRPr="00580C63" w14:paraId="251274CF" w14:textId="77777777" w:rsidTr="008868CF">
        <w:trPr>
          <w:trHeight w:val="252"/>
        </w:trPr>
        <w:tc>
          <w:tcPr>
            <w:tcW w:w="712" w:type="pct"/>
            <w:vMerge/>
            <w:tcBorders>
              <w:top w:val="nil"/>
            </w:tcBorders>
          </w:tcPr>
          <w:p w14:paraId="100FB649" w14:textId="77777777" w:rsidR="00596AC6" w:rsidRPr="00580C63" w:rsidRDefault="00596AC6" w:rsidP="00A441B5">
            <w:pPr>
              <w:jc w:val="both"/>
              <w:rPr>
                <w:lang w:val="sr-Latn-RS"/>
              </w:rPr>
            </w:pPr>
          </w:p>
        </w:tc>
        <w:tc>
          <w:tcPr>
            <w:tcW w:w="617" w:type="pct"/>
          </w:tcPr>
          <w:p w14:paraId="45D0D660" w14:textId="77777777" w:rsidR="00596AC6" w:rsidRPr="00580C63" w:rsidRDefault="006658F1" w:rsidP="00A441B5">
            <w:pPr>
              <w:pStyle w:val="TableParagraph"/>
              <w:spacing w:line="233" w:lineRule="exact"/>
              <w:ind w:left="108"/>
              <w:jc w:val="both"/>
              <w:rPr>
                <w:lang w:val="sr-Latn-RS"/>
              </w:rPr>
            </w:pPr>
            <w:r w:rsidRPr="00580C63">
              <w:rPr>
                <w:lang w:val="sr-Latn-RS"/>
              </w:rPr>
              <w:t>15. dan</w:t>
            </w:r>
          </w:p>
        </w:tc>
        <w:tc>
          <w:tcPr>
            <w:tcW w:w="1139" w:type="pct"/>
          </w:tcPr>
          <w:p w14:paraId="77BD0221" w14:textId="77777777" w:rsidR="00596AC6" w:rsidRPr="00580C63" w:rsidRDefault="006658F1" w:rsidP="00A441B5">
            <w:pPr>
              <w:pStyle w:val="TableParagraph"/>
              <w:spacing w:line="233" w:lineRule="exact"/>
              <w:ind w:left="108"/>
              <w:jc w:val="both"/>
              <w:rPr>
                <w:lang w:val="sr-Latn-RS"/>
              </w:rPr>
            </w:pPr>
            <w:r w:rsidRPr="00580C63">
              <w:rPr>
                <w:lang w:val="sr-Latn-RS"/>
              </w:rPr>
              <w:t>60 mg</w:t>
            </w:r>
          </w:p>
        </w:tc>
        <w:tc>
          <w:tcPr>
            <w:tcW w:w="2531" w:type="pct"/>
            <w:vMerge/>
            <w:tcBorders>
              <w:top w:val="nil"/>
            </w:tcBorders>
          </w:tcPr>
          <w:p w14:paraId="2907A35A" w14:textId="77777777" w:rsidR="00596AC6" w:rsidRPr="00580C63" w:rsidRDefault="00596AC6" w:rsidP="00A441B5">
            <w:pPr>
              <w:jc w:val="both"/>
              <w:rPr>
                <w:lang w:val="sr-Latn-RS"/>
              </w:rPr>
            </w:pPr>
          </w:p>
        </w:tc>
      </w:tr>
      <w:tr w:rsidR="00596AC6" w:rsidRPr="00314AC9" w14:paraId="77C559B5" w14:textId="77777777" w:rsidTr="008868CF">
        <w:trPr>
          <w:trHeight w:val="252"/>
        </w:trPr>
        <w:tc>
          <w:tcPr>
            <w:tcW w:w="712" w:type="pct"/>
          </w:tcPr>
          <w:p w14:paraId="5017FD1E" w14:textId="77777777" w:rsidR="00596AC6" w:rsidRPr="00580C63" w:rsidRDefault="006658F1" w:rsidP="00A441B5">
            <w:pPr>
              <w:pStyle w:val="TableParagraph"/>
              <w:spacing w:line="233" w:lineRule="exact"/>
              <w:ind w:left="108"/>
              <w:jc w:val="both"/>
              <w:rPr>
                <w:lang w:val="sr-Latn-RS"/>
              </w:rPr>
            </w:pPr>
            <w:r w:rsidRPr="00580C63">
              <w:rPr>
                <w:lang w:val="sr-Latn-RS"/>
              </w:rPr>
              <w:t>2. ciklus</w:t>
            </w:r>
          </w:p>
        </w:tc>
        <w:tc>
          <w:tcPr>
            <w:tcW w:w="617" w:type="pct"/>
          </w:tcPr>
          <w:p w14:paraId="43565286" w14:textId="77777777" w:rsidR="00596AC6" w:rsidRPr="00580C63" w:rsidRDefault="006658F1" w:rsidP="00A441B5">
            <w:pPr>
              <w:pStyle w:val="TableParagraph"/>
              <w:spacing w:line="233" w:lineRule="exact"/>
              <w:ind w:left="108"/>
              <w:jc w:val="both"/>
              <w:rPr>
                <w:lang w:val="sr-Latn-RS"/>
              </w:rPr>
            </w:pPr>
            <w:r w:rsidRPr="00580C63">
              <w:rPr>
                <w:lang w:val="sr-Latn-RS"/>
              </w:rPr>
              <w:t>1. dan</w:t>
            </w:r>
          </w:p>
        </w:tc>
        <w:tc>
          <w:tcPr>
            <w:tcW w:w="1139" w:type="pct"/>
          </w:tcPr>
          <w:p w14:paraId="61A8A45C" w14:textId="77777777" w:rsidR="00596AC6" w:rsidRPr="00580C63" w:rsidRDefault="006658F1" w:rsidP="00A441B5">
            <w:pPr>
              <w:pStyle w:val="TableParagraph"/>
              <w:spacing w:line="233" w:lineRule="exact"/>
              <w:ind w:left="108"/>
              <w:jc w:val="both"/>
              <w:rPr>
                <w:lang w:val="sr-Latn-RS"/>
              </w:rPr>
            </w:pPr>
            <w:r w:rsidRPr="00580C63">
              <w:rPr>
                <w:lang w:val="sr-Latn-RS"/>
              </w:rPr>
              <w:t>60 mg</w:t>
            </w:r>
          </w:p>
        </w:tc>
        <w:tc>
          <w:tcPr>
            <w:tcW w:w="2531" w:type="pct"/>
            <w:vMerge w:val="restart"/>
          </w:tcPr>
          <w:p w14:paraId="1DB65AC8" w14:textId="133E31B3" w:rsidR="00596AC6" w:rsidRPr="00580C63" w:rsidRDefault="00FD557E" w:rsidP="00A441B5">
            <w:pPr>
              <w:pStyle w:val="TableParagraph"/>
              <w:spacing w:line="250" w:lineRule="atLeast"/>
              <w:ind w:left="108" w:right="269"/>
              <w:jc w:val="both"/>
              <w:rPr>
                <w:lang w:val="sr-Latn-RS"/>
              </w:rPr>
            </w:pPr>
            <w:r w:rsidRPr="00580C63">
              <w:rPr>
                <w:lang w:val="sr-Latn-RS"/>
              </w:rPr>
              <w:t>Ako je pacijent dobro podni</w:t>
            </w:r>
            <w:r w:rsidR="006658F1" w:rsidRPr="00580C63">
              <w:rPr>
                <w:lang w:val="sr-Latn-RS"/>
              </w:rPr>
              <w:t>o infuzije u 1. ciklusu, sl</w:t>
            </w:r>
            <w:r w:rsidRPr="00580C63">
              <w:rPr>
                <w:lang w:val="sr-Latn-RS"/>
              </w:rPr>
              <w:t>j</w:t>
            </w:r>
            <w:r w:rsidR="006658F1" w:rsidRPr="00580C63">
              <w:rPr>
                <w:lang w:val="sr-Latn-RS"/>
              </w:rPr>
              <w:t xml:space="preserve">edeće infuzije </w:t>
            </w:r>
            <w:r w:rsidRPr="00580C63">
              <w:rPr>
                <w:lang w:val="sr-Latn-RS"/>
              </w:rPr>
              <w:t>lijek</w:t>
            </w:r>
            <w:r w:rsidR="006658F1" w:rsidRPr="00580C63">
              <w:rPr>
                <w:lang w:val="sr-Latn-RS"/>
              </w:rPr>
              <w:t>a Lunsumio se mogu davati u trajanju od 2 sata.</w:t>
            </w:r>
          </w:p>
        </w:tc>
      </w:tr>
      <w:tr w:rsidR="00596AC6" w:rsidRPr="00580C63" w14:paraId="210BF735" w14:textId="77777777" w:rsidTr="008868CF">
        <w:trPr>
          <w:trHeight w:val="505"/>
        </w:trPr>
        <w:tc>
          <w:tcPr>
            <w:tcW w:w="712" w:type="pct"/>
          </w:tcPr>
          <w:p w14:paraId="690F77A7" w14:textId="77777777" w:rsidR="00596AC6" w:rsidRPr="00580C63" w:rsidRDefault="006658F1" w:rsidP="00A441B5">
            <w:pPr>
              <w:pStyle w:val="TableParagraph"/>
              <w:spacing w:line="250" w:lineRule="atLeast"/>
              <w:ind w:left="108" w:right="100"/>
              <w:jc w:val="both"/>
              <w:rPr>
                <w:lang w:val="sr-Latn-RS"/>
              </w:rPr>
            </w:pPr>
            <w:r w:rsidRPr="00580C63">
              <w:rPr>
                <w:lang w:val="sr-Latn-RS"/>
              </w:rPr>
              <w:t>3. ciklus i ciklusi nakon njega</w:t>
            </w:r>
          </w:p>
        </w:tc>
        <w:tc>
          <w:tcPr>
            <w:tcW w:w="617" w:type="pct"/>
          </w:tcPr>
          <w:p w14:paraId="116E2819" w14:textId="77777777" w:rsidR="00596AC6" w:rsidRPr="00580C63" w:rsidRDefault="006658F1" w:rsidP="00A441B5">
            <w:pPr>
              <w:pStyle w:val="TableParagraph"/>
              <w:ind w:left="108"/>
              <w:jc w:val="both"/>
              <w:rPr>
                <w:lang w:val="sr-Latn-RS"/>
              </w:rPr>
            </w:pPr>
            <w:r w:rsidRPr="00580C63">
              <w:rPr>
                <w:lang w:val="sr-Latn-RS"/>
              </w:rPr>
              <w:t>1. dan</w:t>
            </w:r>
          </w:p>
        </w:tc>
        <w:tc>
          <w:tcPr>
            <w:tcW w:w="1139" w:type="pct"/>
          </w:tcPr>
          <w:p w14:paraId="4A05062C" w14:textId="77777777" w:rsidR="00596AC6" w:rsidRPr="00580C63" w:rsidRDefault="006658F1" w:rsidP="00A441B5">
            <w:pPr>
              <w:pStyle w:val="TableParagraph"/>
              <w:ind w:left="108"/>
              <w:jc w:val="both"/>
              <w:rPr>
                <w:lang w:val="sr-Latn-RS"/>
              </w:rPr>
            </w:pPr>
            <w:r w:rsidRPr="00580C63">
              <w:rPr>
                <w:lang w:val="sr-Latn-RS"/>
              </w:rPr>
              <w:t>30 mg</w:t>
            </w:r>
          </w:p>
        </w:tc>
        <w:tc>
          <w:tcPr>
            <w:tcW w:w="2531" w:type="pct"/>
            <w:vMerge/>
            <w:tcBorders>
              <w:top w:val="nil"/>
            </w:tcBorders>
          </w:tcPr>
          <w:p w14:paraId="3DCA9D93" w14:textId="77777777" w:rsidR="00596AC6" w:rsidRPr="00580C63" w:rsidRDefault="00596AC6" w:rsidP="00A441B5">
            <w:pPr>
              <w:jc w:val="both"/>
              <w:rPr>
                <w:lang w:val="sr-Latn-RS"/>
              </w:rPr>
            </w:pPr>
          </w:p>
        </w:tc>
      </w:tr>
    </w:tbl>
    <w:p w14:paraId="631767D2" w14:textId="77777777" w:rsidR="00596AC6" w:rsidRPr="00580C63" w:rsidRDefault="00596AC6" w:rsidP="00A441B5">
      <w:pPr>
        <w:pStyle w:val="BodyText"/>
        <w:jc w:val="both"/>
        <w:rPr>
          <w:b/>
          <w:lang w:val="sr-Latn-RS"/>
        </w:rPr>
      </w:pPr>
    </w:p>
    <w:p w14:paraId="13F6CCA4" w14:textId="77777777" w:rsidR="00596AC6" w:rsidRPr="00580C63" w:rsidRDefault="006658F1" w:rsidP="00A441B5">
      <w:pPr>
        <w:jc w:val="both"/>
        <w:rPr>
          <w:i/>
          <w:lang w:val="sr-Latn-RS"/>
        </w:rPr>
      </w:pPr>
      <w:r w:rsidRPr="00580C63">
        <w:rPr>
          <w:i/>
          <w:iCs/>
          <w:u w:val="single"/>
          <w:lang w:val="sr-Latn-RS"/>
        </w:rPr>
        <w:t>Trajanje terapije</w:t>
      </w:r>
    </w:p>
    <w:p w14:paraId="7E1571E3" w14:textId="77777777" w:rsidR="00596AC6" w:rsidRPr="00580C63" w:rsidRDefault="00596AC6" w:rsidP="00A441B5">
      <w:pPr>
        <w:pStyle w:val="BodyText"/>
        <w:spacing w:before="1"/>
        <w:jc w:val="both"/>
        <w:rPr>
          <w:i/>
          <w:lang w:val="sr-Latn-RS"/>
        </w:rPr>
      </w:pPr>
    </w:p>
    <w:p w14:paraId="17BF0827" w14:textId="4C989386"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treba davati u 8 ciklusa, osim ako kod pacijenta dođe do neprihvatljive toksičnosti ili progresije bolesti.</w:t>
      </w:r>
    </w:p>
    <w:p w14:paraId="16A88F38" w14:textId="77777777" w:rsidR="00596AC6" w:rsidRPr="00580C63" w:rsidRDefault="00596AC6">
      <w:pPr>
        <w:pStyle w:val="BodyText"/>
        <w:jc w:val="both"/>
        <w:rPr>
          <w:lang w:val="sr-Latn-RS"/>
        </w:rPr>
      </w:pPr>
    </w:p>
    <w:p w14:paraId="5B8B2305" w14:textId="6BFE5261" w:rsidR="00596AC6" w:rsidRPr="00580C63" w:rsidRDefault="006658F1">
      <w:pPr>
        <w:pStyle w:val="BodyText"/>
        <w:jc w:val="both"/>
        <w:rPr>
          <w:lang w:val="sr-Latn-RS"/>
        </w:rPr>
      </w:pPr>
      <w:r w:rsidRPr="00580C63">
        <w:rPr>
          <w:lang w:val="sr-Latn-RS"/>
        </w:rPr>
        <w:t xml:space="preserve">Kod pacijenata koji postignu potpuni odgovor, nije potrebno dalje </w:t>
      </w:r>
      <w:r w:rsidR="00FD557E" w:rsidRPr="00580C63">
        <w:rPr>
          <w:lang w:val="sr-Latn-RS"/>
        </w:rPr>
        <w:t>liječenje</w:t>
      </w:r>
      <w:r w:rsidRPr="00580C63">
        <w:rPr>
          <w:lang w:val="sr-Latn-RS"/>
        </w:rPr>
        <w:t xml:space="preserve"> nakon 8 ciklusa. Kod pacijenata koji postignu d</w:t>
      </w:r>
      <w:r w:rsidR="0083711F" w:rsidRPr="00580C63">
        <w:rPr>
          <w:lang w:val="sr-Latn-RS"/>
        </w:rPr>
        <w:t>j</w:t>
      </w:r>
      <w:r w:rsidRPr="00580C63">
        <w:rPr>
          <w:lang w:val="sr-Latn-RS"/>
        </w:rPr>
        <w:t xml:space="preserve">elimičan odgovor ili kod kojih je bolest stabilna kao odgovor na terapiju </w:t>
      </w:r>
      <w:r w:rsidR="00FD557E" w:rsidRPr="00580C63">
        <w:rPr>
          <w:lang w:val="sr-Latn-RS"/>
        </w:rPr>
        <w:t>lijek</w:t>
      </w:r>
      <w:r w:rsidRPr="00580C63">
        <w:rPr>
          <w:lang w:val="sr-Latn-RS"/>
        </w:rPr>
        <w:t xml:space="preserve">om Lunsumio nakon 8 ciklusa, potrebno je </w:t>
      </w:r>
      <w:r w:rsidR="00FD557E" w:rsidRPr="00580C63">
        <w:rPr>
          <w:lang w:val="sr-Latn-RS"/>
        </w:rPr>
        <w:t>primjeni</w:t>
      </w:r>
      <w:r w:rsidRPr="00580C63">
        <w:rPr>
          <w:lang w:val="sr-Latn-RS"/>
        </w:rPr>
        <w:t>ti dodatnih 9 ciklusa terapije (ukupno 17 ciklusa), osim ako kod pacijenta ne dođe do neprihvatljive toksičnosti ili progresije bolesti.</w:t>
      </w:r>
    </w:p>
    <w:p w14:paraId="03CB6231" w14:textId="77777777" w:rsidR="00596AC6" w:rsidRPr="00580C63" w:rsidRDefault="00596AC6">
      <w:pPr>
        <w:pStyle w:val="BodyText"/>
        <w:jc w:val="both"/>
        <w:rPr>
          <w:lang w:val="sr-Latn-RS"/>
        </w:rPr>
      </w:pPr>
    </w:p>
    <w:p w14:paraId="2C82B071" w14:textId="77777777" w:rsidR="00596AC6" w:rsidRPr="00580C63" w:rsidRDefault="006658F1" w:rsidP="00A441B5">
      <w:pPr>
        <w:jc w:val="both"/>
        <w:rPr>
          <w:i/>
          <w:lang w:val="sr-Latn-RS"/>
        </w:rPr>
      </w:pPr>
      <w:r w:rsidRPr="00580C63">
        <w:rPr>
          <w:i/>
          <w:iCs/>
          <w:u w:val="single"/>
          <w:lang w:val="sr-Latn-RS"/>
        </w:rPr>
        <w:t>Odložena ili propuštena doza</w:t>
      </w:r>
    </w:p>
    <w:p w14:paraId="2CB7B332" w14:textId="77777777" w:rsidR="00596AC6" w:rsidRPr="00580C63" w:rsidRDefault="00596AC6" w:rsidP="00A441B5">
      <w:pPr>
        <w:pStyle w:val="BodyText"/>
        <w:spacing w:before="1"/>
        <w:jc w:val="both"/>
        <w:rPr>
          <w:i/>
          <w:lang w:val="sr-Latn-RS"/>
        </w:rPr>
      </w:pPr>
    </w:p>
    <w:p w14:paraId="1E625E55" w14:textId="2A705AC8" w:rsidR="00596AC6" w:rsidRPr="00580C63" w:rsidRDefault="006658F1">
      <w:pPr>
        <w:pStyle w:val="BodyText"/>
        <w:jc w:val="both"/>
        <w:rPr>
          <w:lang w:val="sr-Latn-RS"/>
        </w:rPr>
      </w:pPr>
      <w:r w:rsidRPr="00580C63">
        <w:rPr>
          <w:lang w:val="sr-Latn-RS"/>
        </w:rPr>
        <w:t xml:space="preserve">Ako se bilo koja doza iz 1. ciklusa odloži za &gt; 7 dana, treba ponovo </w:t>
      </w:r>
      <w:r w:rsidR="00FD557E" w:rsidRPr="00580C63">
        <w:rPr>
          <w:lang w:val="sr-Latn-RS"/>
        </w:rPr>
        <w:t>prim</w:t>
      </w:r>
      <w:r w:rsidR="0083711F" w:rsidRPr="00580C63">
        <w:rPr>
          <w:lang w:val="sr-Latn-RS"/>
        </w:rPr>
        <w:t>i</w:t>
      </w:r>
      <w:r w:rsidR="00FD557E" w:rsidRPr="00580C63">
        <w:rPr>
          <w:lang w:val="sr-Latn-RS"/>
        </w:rPr>
        <w:t>jeni</w:t>
      </w:r>
      <w:r w:rsidRPr="00580C63">
        <w:rPr>
          <w:lang w:val="sr-Latn-RS"/>
        </w:rPr>
        <w:t>ti prethodnu d</w:t>
      </w:r>
      <w:r w:rsidR="00FD557E" w:rsidRPr="00580C63">
        <w:rPr>
          <w:lang w:val="sr-Latn-RS"/>
        </w:rPr>
        <w:t>ozu koju je pacijent dobro podni</w:t>
      </w:r>
      <w:r w:rsidRPr="00580C63">
        <w:rPr>
          <w:lang w:val="sr-Latn-RS"/>
        </w:rPr>
        <w:t>o pr</w:t>
      </w:r>
      <w:r w:rsidR="00FD557E" w:rsidRPr="00580C63">
        <w:rPr>
          <w:lang w:val="sr-Latn-RS"/>
        </w:rPr>
        <w:t>ij</w:t>
      </w:r>
      <w:r w:rsidRPr="00580C63">
        <w:rPr>
          <w:lang w:val="sr-Latn-RS"/>
        </w:rPr>
        <w:t xml:space="preserve">e nego što se nastavi prema planiranom rasporedu </w:t>
      </w:r>
      <w:r w:rsidR="00FD557E" w:rsidRPr="00580C63">
        <w:rPr>
          <w:lang w:val="sr-Latn-RS"/>
        </w:rPr>
        <w:t>liječenja</w:t>
      </w:r>
      <w:r w:rsidRPr="00580C63">
        <w:rPr>
          <w:lang w:val="sr-Latn-RS"/>
        </w:rPr>
        <w:t>.</w:t>
      </w:r>
    </w:p>
    <w:p w14:paraId="3EC99C33" w14:textId="77777777" w:rsidR="00596AC6" w:rsidRPr="00580C63" w:rsidRDefault="00596AC6">
      <w:pPr>
        <w:pStyle w:val="BodyText"/>
        <w:jc w:val="both"/>
        <w:rPr>
          <w:lang w:val="sr-Latn-RS"/>
        </w:rPr>
      </w:pPr>
    </w:p>
    <w:p w14:paraId="04760CCC" w14:textId="1FA0F018" w:rsidR="00596AC6" w:rsidRPr="00580C63" w:rsidRDefault="006658F1">
      <w:pPr>
        <w:pStyle w:val="BodyText"/>
        <w:jc w:val="both"/>
        <w:rPr>
          <w:lang w:val="sr-Latn-RS"/>
        </w:rPr>
      </w:pPr>
      <w:r w:rsidRPr="00580C63">
        <w:rPr>
          <w:lang w:val="sr-Latn-RS"/>
        </w:rPr>
        <w:t>Ako dođe do privremenog prekida terapije između 1. i 2. ciklusa koji rezultira periodom bez terapije</w:t>
      </w:r>
      <w:r w:rsidR="006558A4" w:rsidRPr="00580C63">
        <w:rPr>
          <w:lang w:val="sr-Latn-RS"/>
        </w:rPr>
        <w:t xml:space="preserve"> </w:t>
      </w:r>
      <w:r w:rsidRPr="00580C63">
        <w:rPr>
          <w:lang w:val="sr-Latn-RS"/>
        </w:rPr>
        <w:t>u trajanju od ≥ 6 </w:t>
      </w:r>
      <w:r w:rsidR="00FD557E" w:rsidRPr="00580C63">
        <w:rPr>
          <w:lang w:val="sr-Latn-RS"/>
        </w:rPr>
        <w:t>nedjelja</w:t>
      </w:r>
      <w:r w:rsidRPr="00580C63">
        <w:rPr>
          <w:lang w:val="sr-Latn-RS"/>
        </w:rPr>
        <w:t xml:space="preserve">, </w:t>
      </w:r>
      <w:r w:rsidR="00FD557E" w:rsidRPr="00580C63">
        <w:rPr>
          <w:lang w:val="sr-Latn-RS"/>
        </w:rPr>
        <w:t>lijek</w:t>
      </w:r>
      <w:r w:rsidRPr="00580C63">
        <w:rPr>
          <w:lang w:val="sr-Latn-RS"/>
        </w:rPr>
        <w:t xml:space="preserve"> Lunsumio treba dati u dozi od 1 mg 1. dana, 2 mg 8. dana, a zatim nastaviti sa planiranom terapijom 2. ciklusa davanjem doze od 60 mg 15. dana.</w:t>
      </w:r>
    </w:p>
    <w:p w14:paraId="3FD5B332" w14:textId="77777777" w:rsidR="00596AC6" w:rsidRPr="00580C63" w:rsidRDefault="00596AC6">
      <w:pPr>
        <w:pStyle w:val="BodyText"/>
        <w:jc w:val="both"/>
        <w:rPr>
          <w:lang w:val="sr-Latn-RS"/>
        </w:rPr>
      </w:pPr>
    </w:p>
    <w:p w14:paraId="64695DF4" w14:textId="14605AD7" w:rsidR="00596AC6" w:rsidRPr="00580C63" w:rsidRDefault="006658F1" w:rsidP="00A441B5">
      <w:pPr>
        <w:pStyle w:val="BodyText"/>
        <w:jc w:val="both"/>
        <w:rPr>
          <w:lang w:val="sr-Latn-RS"/>
        </w:rPr>
      </w:pPr>
      <w:r w:rsidRPr="00580C63">
        <w:rPr>
          <w:lang w:val="sr-Latn-RS"/>
        </w:rPr>
        <w:t>Ako dođe do privremenog prekida terapije koji rezultira periodom bez terapije u trajanju od ≥ 6 </w:t>
      </w:r>
      <w:r w:rsidR="00FD557E" w:rsidRPr="00580C63">
        <w:rPr>
          <w:lang w:val="sr-Latn-RS"/>
        </w:rPr>
        <w:t>nedjelja</w:t>
      </w:r>
      <w:r w:rsidRPr="00580C63">
        <w:rPr>
          <w:lang w:val="sr-Latn-RS"/>
        </w:rPr>
        <w:t xml:space="preserve"> između bilo kojih ciklusa počev od 3. ciklusa i ciklusa nakon njega, </w:t>
      </w:r>
      <w:r w:rsidR="00FD557E" w:rsidRPr="00580C63">
        <w:rPr>
          <w:lang w:val="sr-Latn-RS"/>
        </w:rPr>
        <w:t>lijek</w:t>
      </w:r>
      <w:r w:rsidRPr="00580C63">
        <w:rPr>
          <w:lang w:val="sr-Latn-RS"/>
        </w:rPr>
        <w:t xml:space="preserve"> Lunsumio treba davati u dozi od 1 mg 1. dana, 2 mg 8. dana, a zatim nastaviti prema planiranom rasporedu </w:t>
      </w:r>
      <w:r w:rsidR="00FD557E" w:rsidRPr="00580C63">
        <w:rPr>
          <w:lang w:val="sr-Latn-RS"/>
        </w:rPr>
        <w:t>liječenja</w:t>
      </w:r>
      <w:r w:rsidRPr="00580C63">
        <w:rPr>
          <w:lang w:val="sr-Latn-RS"/>
        </w:rPr>
        <w:t xml:space="preserve"> davanjem doze od </w:t>
      </w:r>
      <w:r w:rsidRPr="00580C63">
        <w:rPr>
          <w:lang w:val="sr-Latn-RS"/>
        </w:rPr>
        <w:lastRenderedPageBreak/>
        <w:t>30 mg 15. dana.</w:t>
      </w:r>
    </w:p>
    <w:p w14:paraId="3137D8D0" w14:textId="77777777" w:rsidR="009F0494" w:rsidRPr="00580C63" w:rsidRDefault="009F0494" w:rsidP="00A441B5">
      <w:pPr>
        <w:jc w:val="both"/>
        <w:rPr>
          <w:i/>
          <w:iCs/>
          <w:u w:val="single"/>
          <w:lang w:val="sr-Latn-RS"/>
        </w:rPr>
      </w:pPr>
    </w:p>
    <w:p w14:paraId="3946332E" w14:textId="0E71723A" w:rsidR="00596AC6" w:rsidRPr="00580C63" w:rsidRDefault="006658F1" w:rsidP="00A441B5">
      <w:pPr>
        <w:jc w:val="both"/>
        <w:rPr>
          <w:i/>
          <w:iCs/>
          <w:u w:val="single"/>
          <w:lang w:val="sr-Latn-RS"/>
        </w:rPr>
      </w:pPr>
      <w:r w:rsidRPr="00580C63">
        <w:rPr>
          <w:i/>
          <w:iCs/>
          <w:u w:val="single"/>
          <w:lang w:val="sr-Latn-RS"/>
        </w:rPr>
        <w:t>Prilagođavanje doze</w:t>
      </w:r>
    </w:p>
    <w:p w14:paraId="552647DF" w14:textId="77777777" w:rsidR="00596AC6" w:rsidRPr="00580C63" w:rsidRDefault="00596AC6" w:rsidP="00A441B5">
      <w:pPr>
        <w:pStyle w:val="BodyText"/>
        <w:spacing w:before="1"/>
        <w:jc w:val="both"/>
        <w:rPr>
          <w:i/>
          <w:lang w:val="sr-Latn-RS"/>
        </w:rPr>
      </w:pPr>
    </w:p>
    <w:p w14:paraId="38A01FE3" w14:textId="13ABC6A1" w:rsidR="00596AC6" w:rsidRPr="00580C63" w:rsidRDefault="006658F1">
      <w:pPr>
        <w:pStyle w:val="BodyText"/>
        <w:jc w:val="both"/>
        <w:rPr>
          <w:lang w:val="sr-Latn-RS"/>
        </w:rPr>
      </w:pPr>
      <w:r w:rsidRPr="00580C63">
        <w:rPr>
          <w:lang w:val="sr-Latn-RS"/>
        </w:rPr>
        <w:t xml:space="preserve">Kod pacijenata kod kojih se jave </w:t>
      </w:r>
      <w:r w:rsidR="00301A9B" w:rsidRPr="00580C63">
        <w:rPr>
          <w:lang w:val="sr-Latn-RS"/>
        </w:rPr>
        <w:t xml:space="preserve">neželjena dejstva </w:t>
      </w:r>
      <w:r w:rsidRPr="00580C63">
        <w:rPr>
          <w:lang w:val="sr-Latn-RS"/>
        </w:rPr>
        <w:t>3. ili 4. stepena (npr. ozbiljna infekcija, pogoršanje tumora, sindrom lize tumora) potrebno je privremeno prekinuti terapiju dok se simptomi ne povuku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4.4).</w:t>
      </w:r>
    </w:p>
    <w:p w14:paraId="71F41430" w14:textId="77777777" w:rsidR="00596AC6" w:rsidRPr="00580C63" w:rsidRDefault="00596AC6">
      <w:pPr>
        <w:pStyle w:val="BodyText"/>
        <w:jc w:val="both"/>
        <w:rPr>
          <w:lang w:val="sr-Latn-RS"/>
        </w:rPr>
      </w:pPr>
    </w:p>
    <w:p w14:paraId="2418DE83" w14:textId="771D80A7" w:rsidR="00596AC6" w:rsidRPr="00580C63" w:rsidRDefault="006658F1">
      <w:pPr>
        <w:pStyle w:val="BodyText"/>
        <w:jc w:val="both"/>
        <w:rPr>
          <w:lang w:val="sr-Latn-RS"/>
        </w:rPr>
      </w:pPr>
      <w:r w:rsidRPr="00580C63">
        <w:rPr>
          <w:lang w:val="sr-Latn-RS"/>
        </w:rPr>
        <w:t>CRS se utvrđuje na osnovu kliničke slike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4.4). Pacijente je potrebno pregledati i l</w:t>
      </w:r>
      <w:r w:rsidR="00FD557E" w:rsidRPr="00580C63">
        <w:rPr>
          <w:lang w:val="sr-Latn-RS"/>
        </w:rPr>
        <w:t>ij</w:t>
      </w:r>
      <w:r w:rsidRPr="00580C63">
        <w:rPr>
          <w:lang w:val="sr-Latn-RS"/>
        </w:rPr>
        <w:t>ečiti od drugih uzroka povišene t</w:t>
      </w:r>
      <w:r w:rsidR="0083711F" w:rsidRPr="00580C63">
        <w:rPr>
          <w:lang w:val="sr-Latn-RS"/>
        </w:rPr>
        <w:t>j</w:t>
      </w:r>
      <w:r w:rsidRPr="00580C63">
        <w:rPr>
          <w:lang w:val="sr-Latn-RS"/>
        </w:rPr>
        <w:t>elesne temperature, hipoksije i hipotenzije, poput infekcija/sepse. Reakcije na infuziju (</w:t>
      </w:r>
      <w:r w:rsidR="008452BA">
        <w:rPr>
          <w:lang w:val="sr-Latn-RS"/>
        </w:rPr>
        <w:t xml:space="preserve">engl. </w:t>
      </w:r>
      <w:r w:rsidR="008452BA" w:rsidRPr="00A441B5">
        <w:rPr>
          <w:i/>
          <w:lang w:val="sr-Latn-RS"/>
        </w:rPr>
        <w:t>infusion related reactions</w:t>
      </w:r>
      <w:r w:rsidR="008452BA">
        <w:rPr>
          <w:lang w:val="sr-Latn-RS"/>
        </w:rPr>
        <w:t xml:space="preserve">, </w:t>
      </w:r>
      <w:r w:rsidRPr="00580C63">
        <w:rPr>
          <w:lang w:val="sr-Latn-RS"/>
        </w:rPr>
        <w:t>IRR) mogu klinički da se ne razlikuju od manifestacija CRS-a. Ako se sumnja na CRS ili IRR,</w:t>
      </w:r>
      <w:r w:rsidR="001A17B5" w:rsidRPr="00580C63">
        <w:rPr>
          <w:lang w:val="sr-Latn-RS"/>
        </w:rPr>
        <w:t xml:space="preserve"> </w:t>
      </w:r>
      <w:r w:rsidRPr="00580C63">
        <w:rPr>
          <w:lang w:val="sr-Latn-RS"/>
        </w:rPr>
        <w:t>pacijente treba l</w:t>
      </w:r>
      <w:r w:rsidR="00FD557E" w:rsidRPr="00580C63">
        <w:rPr>
          <w:lang w:val="sr-Latn-RS"/>
        </w:rPr>
        <w:t>ij</w:t>
      </w:r>
      <w:r w:rsidRPr="00580C63">
        <w:rPr>
          <w:lang w:val="sr-Latn-RS"/>
        </w:rPr>
        <w:t>ečiti u skladu sa preporukama u Tabeli 3.</w:t>
      </w:r>
    </w:p>
    <w:p w14:paraId="691D11B1" w14:textId="77777777" w:rsidR="00596AC6" w:rsidRPr="00580C63" w:rsidRDefault="00596AC6" w:rsidP="00A441B5">
      <w:pPr>
        <w:pStyle w:val="BodyText"/>
        <w:jc w:val="both"/>
        <w:rPr>
          <w:lang w:val="sr-Latn-RS"/>
        </w:rPr>
      </w:pPr>
    </w:p>
    <w:p w14:paraId="1B3CA5CB" w14:textId="77777777" w:rsidR="00596AC6" w:rsidRPr="00580C63" w:rsidRDefault="006658F1" w:rsidP="00A441B5">
      <w:pPr>
        <w:pStyle w:val="Heading1"/>
        <w:ind w:left="0" w:firstLine="0"/>
        <w:jc w:val="both"/>
        <w:rPr>
          <w:lang w:val="sr-Latn-RS"/>
        </w:rPr>
      </w:pPr>
      <w:r w:rsidRPr="00580C63">
        <w:rPr>
          <w:lang w:val="sr-Latn-RS"/>
        </w:rPr>
        <w:t>Tabela 3 Određivanje stepena težine CRS-a</w:t>
      </w:r>
      <w:r w:rsidRPr="00580C63">
        <w:rPr>
          <w:vertAlign w:val="superscript"/>
          <w:lang w:val="sr-Latn-RS"/>
        </w:rPr>
        <w:t>1</w:t>
      </w:r>
      <w:r w:rsidRPr="00580C63">
        <w:rPr>
          <w:lang w:val="sr-Latn-RS"/>
        </w:rPr>
        <w:t xml:space="preserve"> i njegovo zbrinjavanje</w:t>
      </w:r>
    </w:p>
    <w:p w14:paraId="00B12535" w14:textId="77777777" w:rsidR="00596AC6" w:rsidRPr="00580C63" w:rsidRDefault="00596AC6" w:rsidP="00A441B5">
      <w:pPr>
        <w:pStyle w:val="BodyText"/>
        <w:jc w:val="both"/>
        <w:rPr>
          <w:b/>
          <w:lang w:val="sr-Latn-R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767"/>
        <w:gridCol w:w="3492"/>
        <w:gridCol w:w="2923"/>
      </w:tblGrid>
      <w:tr w:rsidR="00596AC6" w:rsidRPr="00314AC9" w14:paraId="2BAE47BD" w14:textId="77777777" w:rsidTr="00314AC9">
        <w:tc>
          <w:tcPr>
            <w:tcW w:w="0" w:type="auto"/>
          </w:tcPr>
          <w:p w14:paraId="26ED082B" w14:textId="77777777" w:rsidR="00596AC6" w:rsidRPr="00580C63" w:rsidRDefault="006658F1" w:rsidP="00A441B5">
            <w:pPr>
              <w:pStyle w:val="TableParagraph"/>
              <w:spacing w:before="100"/>
              <w:ind w:left="40"/>
              <w:jc w:val="both"/>
              <w:rPr>
                <w:b/>
                <w:lang w:val="sr-Latn-RS"/>
              </w:rPr>
            </w:pPr>
            <w:r w:rsidRPr="00580C63">
              <w:rPr>
                <w:b/>
                <w:bCs/>
                <w:lang w:val="sr-Latn-RS"/>
              </w:rPr>
              <w:t>Stepen težine CRS-a</w:t>
            </w:r>
          </w:p>
        </w:tc>
        <w:tc>
          <w:tcPr>
            <w:tcW w:w="0" w:type="auto"/>
          </w:tcPr>
          <w:p w14:paraId="6E5F3003" w14:textId="77777777" w:rsidR="00596AC6" w:rsidRPr="00580C63" w:rsidRDefault="006658F1" w:rsidP="00A441B5">
            <w:pPr>
              <w:pStyle w:val="TableParagraph"/>
              <w:spacing w:before="100"/>
              <w:jc w:val="both"/>
              <w:rPr>
                <w:b/>
                <w:lang w:val="sr-Latn-RS"/>
              </w:rPr>
            </w:pPr>
            <w:r w:rsidRPr="00580C63">
              <w:rPr>
                <w:b/>
                <w:bCs/>
                <w:lang w:val="sr-Latn-RS"/>
              </w:rPr>
              <w:t>Zbrinjavanje CRS-a</w:t>
            </w:r>
            <w:r w:rsidRPr="00580C63">
              <w:rPr>
                <w:b/>
                <w:bCs/>
                <w:vertAlign w:val="superscript"/>
                <w:lang w:val="sr-Latn-RS"/>
              </w:rPr>
              <w:t>2</w:t>
            </w:r>
          </w:p>
        </w:tc>
        <w:tc>
          <w:tcPr>
            <w:tcW w:w="0" w:type="auto"/>
          </w:tcPr>
          <w:p w14:paraId="54C1D8FD" w14:textId="446985FC" w:rsidR="00596AC6" w:rsidRPr="00580C63" w:rsidRDefault="00FD557E" w:rsidP="00A441B5">
            <w:pPr>
              <w:pStyle w:val="TableParagraph"/>
              <w:spacing w:before="100"/>
              <w:ind w:right="194"/>
              <w:jc w:val="both"/>
              <w:rPr>
                <w:b/>
                <w:lang w:val="sr-Latn-RS"/>
              </w:rPr>
            </w:pPr>
            <w:r w:rsidRPr="00580C63">
              <w:rPr>
                <w:b/>
                <w:bCs/>
                <w:lang w:val="sr-Latn-RS"/>
              </w:rPr>
              <w:t>Sljedeća</w:t>
            </w:r>
            <w:r w:rsidR="006658F1" w:rsidRPr="00580C63">
              <w:rPr>
                <w:b/>
                <w:bCs/>
                <w:lang w:val="sr-Latn-RS"/>
              </w:rPr>
              <w:t xml:space="preserve"> zakazana infuzija </w:t>
            </w:r>
            <w:r w:rsidRPr="00580C63">
              <w:rPr>
                <w:b/>
                <w:bCs/>
                <w:lang w:val="sr-Latn-RS"/>
              </w:rPr>
              <w:t>lijek</w:t>
            </w:r>
            <w:r w:rsidR="006658F1" w:rsidRPr="00580C63">
              <w:rPr>
                <w:b/>
                <w:bCs/>
                <w:lang w:val="sr-Latn-RS"/>
              </w:rPr>
              <w:t>a Lunsumio</w:t>
            </w:r>
          </w:p>
        </w:tc>
      </w:tr>
      <w:tr w:rsidR="007568FB" w:rsidRPr="00314AC9" w14:paraId="692A71CE" w14:textId="77777777" w:rsidTr="00314AC9">
        <w:tc>
          <w:tcPr>
            <w:tcW w:w="0" w:type="auto"/>
          </w:tcPr>
          <w:p w14:paraId="5802F1BB" w14:textId="77777777" w:rsidR="007568FB" w:rsidRPr="00580C63" w:rsidRDefault="007568FB" w:rsidP="00A441B5">
            <w:pPr>
              <w:pStyle w:val="TableParagraph"/>
              <w:spacing w:before="100"/>
              <w:ind w:left="40"/>
              <w:jc w:val="both"/>
              <w:rPr>
                <w:b/>
                <w:lang w:val="sr-Latn-RS"/>
              </w:rPr>
            </w:pPr>
            <w:r w:rsidRPr="00580C63">
              <w:rPr>
                <w:b/>
                <w:bCs/>
                <w:lang w:val="sr-Latn-RS"/>
              </w:rPr>
              <w:t>1. stepen</w:t>
            </w:r>
          </w:p>
          <w:p w14:paraId="04006522" w14:textId="77777777" w:rsidR="007568FB" w:rsidRPr="00580C63" w:rsidRDefault="007568FB" w:rsidP="00A441B5">
            <w:pPr>
              <w:pStyle w:val="TableParagraph"/>
              <w:ind w:left="0"/>
              <w:jc w:val="both"/>
              <w:rPr>
                <w:b/>
                <w:lang w:val="sr-Latn-RS"/>
              </w:rPr>
            </w:pPr>
          </w:p>
          <w:p w14:paraId="1E3486CC" w14:textId="2B3F947F" w:rsidR="007568FB" w:rsidRPr="00580C63" w:rsidRDefault="007568FB" w:rsidP="00A441B5">
            <w:pPr>
              <w:pStyle w:val="TableParagraph"/>
              <w:ind w:left="40"/>
              <w:jc w:val="both"/>
              <w:rPr>
                <w:lang w:val="sr-Latn-RS"/>
              </w:rPr>
            </w:pPr>
            <w:r w:rsidRPr="00580C63">
              <w:rPr>
                <w:lang w:val="sr-Latn-RS"/>
              </w:rPr>
              <w:t>Povišena tjelesna temperatura ≥ 38 ºC</w:t>
            </w:r>
          </w:p>
        </w:tc>
        <w:tc>
          <w:tcPr>
            <w:tcW w:w="0" w:type="auto"/>
          </w:tcPr>
          <w:p w14:paraId="6023F17C" w14:textId="77777777" w:rsidR="007568FB" w:rsidRPr="00580C63" w:rsidRDefault="007568FB" w:rsidP="00A441B5">
            <w:pPr>
              <w:pStyle w:val="TableParagraph"/>
              <w:spacing w:before="100"/>
              <w:jc w:val="both"/>
              <w:rPr>
                <w:lang w:val="sr-Latn-RS"/>
              </w:rPr>
            </w:pPr>
            <w:r w:rsidRPr="00580C63">
              <w:rPr>
                <w:lang w:val="sr-Latn-RS"/>
              </w:rPr>
              <w:t>Ako se CRS javi u toku infuzije:</w:t>
            </w:r>
          </w:p>
          <w:p w14:paraId="5DF416C9" w14:textId="78381685" w:rsidR="007568FB" w:rsidRPr="00580C63" w:rsidRDefault="007568FB" w:rsidP="00A441B5">
            <w:pPr>
              <w:pStyle w:val="TableParagraph"/>
              <w:numPr>
                <w:ilvl w:val="0"/>
                <w:numId w:val="12"/>
              </w:numPr>
              <w:tabs>
                <w:tab w:val="left" w:pos="813"/>
                <w:tab w:val="left" w:pos="815"/>
              </w:tabs>
              <w:ind w:right="190" w:hanging="357"/>
              <w:jc w:val="both"/>
              <w:rPr>
                <w:lang w:val="sr-Latn-RS"/>
              </w:rPr>
            </w:pPr>
            <w:r w:rsidRPr="00580C63">
              <w:rPr>
                <w:lang w:val="sr-Latn-RS"/>
              </w:rPr>
              <w:t>Infuziju treba privremeno prekinuti i liječiti simptome</w:t>
            </w:r>
          </w:p>
          <w:p w14:paraId="781AF6B5" w14:textId="77777777" w:rsidR="007568FB" w:rsidRPr="00580C63" w:rsidRDefault="007568FB" w:rsidP="00A441B5">
            <w:pPr>
              <w:pStyle w:val="TableParagraph"/>
              <w:numPr>
                <w:ilvl w:val="0"/>
                <w:numId w:val="12"/>
              </w:numPr>
              <w:tabs>
                <w:tab w:val="left" w:pos="813"/>
                <w:tab w:val="left" w:pos="815"/>
              </w:tabs>
              <w:ind w:right="160" w:hanging="357"/>
              <w:jc w:val="both"/>
              <w:rPr>
                <w:lang w:val="sr-Latn-RS"/>
              </w:rPr>
            </w:pPr>
            <w:r w:rsidRPr="00580C63">
              <w:rPr>
                <w:lang w:val="sr-Latn-RS"/>
              </w:rPr>
              <w:t>Infuziju treba nastaviti istom brzinom kada se simptomi povuku</w:t>
            </w:r>
          </w:p>
          <w:p w14:paraId="61E42092" w14:textId="4F89B7CE" w:rsidR="007568FB" w:rsidRPr="008452BA" w:rsidRDefault="007568FB" w:rsidP="00A441B5">
            <w:pPr>
              <w:pStyle w:val="TableParagraph"/>
              <w:numPr>
                <w:ilvl w:val="0"/>
                <w:numId w:val="12"/>
              </w:numPr>
              <w:tabs>
                <w:tab w:val="left" w:pos="813"/>
                <w:tab w:val="left" w:pos="815"/>
              </w:tabs>
              <w:ind w:right="240"/>
              <w:jc w:val="both"/>
              <w:rPr>
                <w:lang w:val="sr-Latn-RS"/>
              </w:rPr>
            </w:pPr>
            <w:r w:rsidRPr="008452BA">
              <w:rPr>
                <w:lang w:val="sr-Latn-RS"/>
              </w:rPr>
              <w:t>Ako se simptomi ponove</w:t>
            </w:r>
            <w:r w:rsidR="008452BA">
              <w:rPr>
                <w:lang w:val="sr-Latn-RS"/>
              </w:rPr>
              <w:t xml:space="preserve"> </w:t>
            </w:r>
            <w:r w:rsidRPr="008452BA">
              <w:rPr>
                <w:lang w:val="sr-Latn-RS"/>
              </w:rPr>
              <w:t>nakon ponovnog davanja terapije, trenutnu infuziju treba obustaviti</w:t>
            </w:r>
          </w:p>
          <w:p w14:paraId="07C27B8D" w14:textId="77777777" w:rsidR="007568FB" w:rsidRPr="00580C63" w:rsidRDefault="007568FB" w:rsidP="00A441B5">
            <w:pPr>
              <w:pStyle w:val="TableParagraph"/>
              <w:spacing w:before="122"/>
              <w:jc w:val="both"/>
              <w:rPr>
                <w:lang w:val="sr-Latn-RS"/>
              </w:rPr>
            </w:pPr>
            <w:r w:rsidRPr="00580C63">
              <w:rPr>
                <w:lang w:val="sr-Latn-RS"/>
              </w:rPr>
              <w:t>Ako se CRS javi nakon infuzije:</w:t>
            </w:r>
          </w:p>
          <w:p w14:paraId="4B0A8306" w14:textId="77777777" w:rsidR="007568FB" w:rsidRPr="00580C63" w:rsidRDefault="007568FB" w:rsidP="00A441B5">
            <w:pPr>
              <w:pStyle w:val="TableParagraph"/>
              <w:numPr>
                <w:ilvl w:val="0"/>
                <w:numId w:val="11"/>
              </w:numPr>
              <w:tabs>
                <w:tab w:val="left" w:pos="813"/>
                <w:tab w:val="left" w:pos="815"/>
              </w:tabs>
              <w:jc w:val="both"/>
              <w:rPr>
                <w:lang w:val="sr-Latn-RS"/>
              </w:rPr>
            </w:pPr>
            <w:r w:rsidRPr="00580C63">
              <w:rPr>
                <w:lang w:val="sr-Latn-RS"/>
              </w:rPr>
              <w:t>Simptome treba liječiti</w:t>
            </w:r>
          </w:p>
          <w:p w14:paraId="6D515CDC" w14:textId="77777777" w:rsidR="007568FB" w:rsidRPr="00580C63" w:rsidRDefault="007568FB" w:rsidP="00A441B5">
            <w:pPr>
              <w:pStyle w:val="TableParagraph"/>
              <w:spacing w:before="122"/>
              <w:ind w:right="591"/>
              <w:jc w:val="both"/>
              <w:rPr>
                <w:lang w:val="sr-Latn-RS"/>
              </w:rPr>
            </w:pPr>
            <w:r w:rsidRPr="00580C63">
              <w:rPr>
                <w:lang w:val="sr-Latn-RS"/>
              </w:rPr>
              <w:t>Ako CRS traje &gt; 48 sati nakon liječenja simptoma:</w:t>
            </w:r>
          </w:p>
          <w:p w14:paraId="28D7F7D4" w14:textId="715D4189" w:rsidR="007568FB" w:rsidRPr="00580C63" w:rsidRDefault="007568FB" w:rsidP="00A441B5">
            <w:pPr>
              <w:pStyle w:val="TableParagraph"/>
              <w:numPr>
                <w:ilvl w:val="0"/>
                <w:numId w:val="10"/>
              </w:numPr>
              <w:tabs>
                <w:tab w:val="left" w:pos="813"/>
                <w:tab w:val="left" w:pos="815"/>
              </w:tabs>
              <w:ind w:right="245" w:hanging="357"/>
              <w:jc w:val="both"/>
              <w:rPr>
                <w:lang w:val="sr-Latn-RS"/>
              </w:rPr>
            </w:pPr>
            <w:r w:rsidRPr="00580C63">
              <w:rPr>
                <w:lang w:val="sr-Latn-RS"/>
              </w:rPr>
              <w:t>Treba razmotriti davanje deksametazona</w:t>
            </w:r>
            <w:r w:rsidRPr="00580C63">
              <w:rPr>
                <w:vertAlign w:val="superscript"/>
                <w:lang w:val="sr-Latn-RS"/>
              </w:rPr>
              <w:t>3</w:t>
            </w:r>
            <w:r w:rsidRPr="00580C63">
              <w:rPr>
                <w:lang w:val="sr-Latn-RS"/>
              </w:rPr>
              <w:t xml:space="preserve"> </w:t>
            </w:r>
            <w:r w:rsidR="008452BA">
              <w:rPr>
                <w:lang w:val="sr-Latn-RS"/>
              </w:rPr>
              <w:t>i/ili</w:t>
            </w:r>
            <w:r w:rsidRPr="00580C63">
              <w:rPr>
                <w:lang w:val="sr-Latn-RS"/>
              </w:rPr>
              <w:t xml:space="preserve"> tocilizumaba</w:t>
            </w:r>
            <w:r w:rsidRPr="00580C63">
              <w:rPr>
                <w:vertAlign w:val="superscript"/>
                <w:lang w:val="sr-Latn-RS"/>
              </w:rPr>
              <w:t xml:space="preserve">4,5 </w:t>
            </w:r>
          </w:p>
        </w:tc>
        <w:tc>
          <w:tcPr>
            <w:tcW w:w="0" w:type="auto"/>
          </w:tcPr>
          <w:p w14:paraId="004B4D7F" w14:textId="1BCC1737" w:rsidR="007568FB" w:rsidRPr="00580C63" w:rsidRDefault="007568FB" w:rsidP="00A441B5">
            <w:pPr>
              <w:pStyle w:val="TableParagraph"/>
              <w:spacing w:before="100"/>
              <w:ind w:right="122"/>
              <w:jc w:val="both"/>
              <w:rPr>
                <w:lang w:val="sr-Latn-RS"/>
              </w:rPr>
            </w:pPr>
            <w:r w:rsidRPr="00580C63">
              <w:rPr>
                <w:lang w:val="sr-Latn-RS"/>
              </w:rPr>
              <w:t>Pacijent ne smije imati simptome najmanje 72 sata prije sljedeće infuzije</w:t>
            </w:r>
          </w:p>
          <w:p w14:paraId="63E8AD91" w14:textId="77777777" w:rsidR="007568FB" w:rsidRPr="00580C63" w:rsidRDefault="007568FB" w:rsidP="00A441B5">
            <w:pPr>
              <w:pStyle w:val="TableParagraph"/>
              <w:ind w:left="0"/>
              <w:jc w:val="both"/>
              <w:rPr>
                <w:b/>
                <w:lang w:val="sr-Latn-RS"/>
              </w:rPr>
            </w:pPr>
          </w:p>
          <w:p w14:paraId="705788DD" w14:textId="77777777" w:rsidR="007568FB" w:rsidRPr="00580C63" w:rsidRDefault="007568FB" w:rsidP="00A441B5">
            <w:pPr>
              <w:pStyle w:val="TableParagraph"/>
              <w:ind w:right="314"/>
              <w:jc w:val="both"/>
              <w:rPr>
                <w:lang w:val="sr-Latn-RS"/>
              </w:rPr>
            </w:pPr>
            <w:r w:rsidRPr="00580C63">
              <w:rPr>
                <w:lang w:val="sr-Latn-RS"/>
              </w:rPr>
              <w:t>Pacijenta je potrebno učestalije pratiti</w:t>
            </w:r>
          </w:p>
        </w:tc>
      </w:tr>
      <w:tr w:rsidR="007568FB" w:rsidRPr="00314AC9" w14:paraId="49316216" w14:textId="77777777" w:rsidTr="00314AC9">
        <w:tc>
          <w:tcPr>
            <w:tcW w:w="0" w:type="auto"/>
          </w:tcPr>
          <w:p w14:paraId="0B7067DC" w14:textId="77777777" w:rsidR="007568FB" w:rsidRPr="00580C63" w:rsidRDefault="007568FB" w:rsidP="00A441B5">
            <w:pPr>
              <w:pStyle w:val="TableParagraph"/>
              <w:spacing w:before="100"/>
              <w:ind w:left="40"/>
              <w:jc w:val="both"/>
              <w:rPr>
                <w:b/>
                <w:lang w:val="sr-Latn-RS"/>
              </w:rPr>
            </w:pPr>
            <w:r w:rsidRPr="00580C63">
              <w:rPr>
                <w:b/>
                <w:bCs/>
                <w:lang w:val="sr-Latn-RS"/>
              </w:rPr>
              <w:t>2. stepen</w:t>
            </w:r>
          </w:p>
          <w:p w14:paraId="724D2707" w14:textId="77777777" w:rsidR="007568FB" w:rsidRPr="00580C63" w:rsidRDefault="007568FB" w:rsidP="00A441B5">
            <w:pPr>
              <w:pStyle w:val="TableParagraph"/>
              <w:ind w:left="0"/>
              <w:jc w:val="both"/>
              <w:rPr>
                <w:b/>
                <w:lang w:val="sr-Latn-RS"/>
              </w:rPr>
            </w:pPr>
          </w:p>
          <w:p w14:paraId="14DF3C05" w14:textId="4DEEF06E" w:rsidR="007568FB" w:rsidRPr="00580C63" w:rsidRDefault="007568FB" w:rsidP="00A441B5">
            <w:pPr>
              <w:pStyle w:val="TableParagraph"/>
              <w:ind w:left="40" w:right="58"/>
              <w:jc w:val="both"/>
              <w:rPr>
                <w:lang w:val="sr-Latn-RS"/>
              </w:rPr>
            </w:pPr>
            <w:r w:rsidRPr="00580C63">
              <w:rPr>
                <w:lang w:val="sr-Latn-RS"/>
              </w:rPr>
              <w:t>Povišena tjelesna temperatura ≥ 38 ºC i/ili hipotenzija koja ne zahtijeva primjenu vazopresora i/ili hipoksija koja zahtijeva</w:t>
            </w:r>
          </w:p>
          <w:p w14:paraId="530E44B0" w14:textId="6D40A61B" w:rsidR="007568FB" w:rsidRPr="00580C63" w:rsidRDefault="007568FB" w:rsidP="00A441B5">
            <w:pPr>
              <w:pStyle w:val="TableParagraph"/>
              <w:ind w:left="40" w:right="153"/>
              <w:jc w:val="both"/>
              <w:rPr>
                <w:lang w:val="sr-Latn-RS"/>
              </w:rPr>
            </w:pPr>
            <w:r w:rsidRPr="00580C63">
              <w:rPr>
                <w:lang w:val="sr-Latn-RS"/>
              </w:rPr>
              <w:t>primjenu kiseonika niskog protoka</w:t>
            </w:r>
            <w:r w:rsidRPr="00580C63">
              <w:rPr>
                <w:vertAlign w:val="superscript"/>
                <w:lang w:val="sr-Latn-RS"/>
              </w:rPr>
              <w:t>6</w:t>
            </w:r>
            <w:r w:rsidRPr="00580C63">
              <w:rPr>
                <w:lang w:val="sr-Latn-RS"/>
              </w:rPr>
              <w:t xml:space="preserve"> pomoću nosne kanile ili pomoću nebulizatora</w:t>
            </w:r>
          </w:p>
        </w:tc>
        <w:tc>
          <w:tcPr>
            <w:tcW w:w="0" w:type="auto"/>
          </w:tcPr>
          <w:p w14:paraId="656DE89B" w14:textId="77777777" w:rsidR="007568FB" w:rsidRPr="00580C63" w:rsidRDefault="007568FB" w:rsidP="00A441B5">
            <w:pPr>
              <w:pStyle w:val="TableParagraph"/>
              <w:spacing w:before="100"/>
              <w:jc w:val="both"/>
              <w:rPr>
                <w:lang w:val="sr-Latn-RS"/>
              </w:rPr>
            </w:pPr>
            <w:r w:rsidRPr="00580C63">
              <w:rPr>
                <w:lang w:val="sr-Latn-RS"/>
              </w:rPr>
              <w:t>Ako se CRS javi u toku infuzije:</w:t>
            </w:r>
          </w:p>
          <w:p w14:paraId="448165E3" w14:textId="78661E09" w:rsidR="007568FB" w:rsidRPr="00580C63" w:rsidRDefault="007568FB" w:rsidP="00A441B5">
            <w:pPr>
              <w:pStyle w:val="TableParagraph"/>
              <w:numPr>
                <w:ilvl w:val="0"/>
                <w:numId w:val="9"/>
              </w:numPr>
              <w:tabs>
                <w:tab w:val="left" w:pos="813"/>
                <w:tab w:val="left" w:pos="815"/>
              </w:tabs>
              <w:ind w:right="190" w:hanging="357"/>
              <w:jc w:val="both"/>
              <w:rPr>
                <w:lang w:val="sr-Latn-RS"/>
              </w:rPr>
            </w:pPr>
            <w:r w:rsidRPr="00580C63">
              <w:rPr>
                <w:lang w:val="sr-Latn-RS"/>
              </w:rPr>
              <w:t>Infuziju treba privremeno prekinuti i liječiti simptome</w:t>
            </w:r>
          </w:p>
          <w:p w14:paraId="332E9EAA" w14:textId="6E18D992" w:rsidR="007568FB" w:rsidRPr="00580C63" w:rsidRDefault="007568FB" w:rsidP="00A441B5">
            <w:pPr>
              <w:pStyle w:val="TableParagraph"/>
              <w:numPr>
                <w:ilvl w:val="0"/>
                <w:numId w:val="9"/>
              </w:numPr>
              <w:tabs>
                <w:tab w:val="left" w:pos="813"/>
                <w:tab w:val="left" w:pos="815"/>
              </w:tabs>
              <w:ind w:right="484" w:hanging="357"/>
              <w:jc w:val="both"/>
              <w:rPr>
                <w:lang w:val="sr-Latn-RS"/>
              </w:rPr>
            </w:pPr>
            <w:r w:rsidRPr="00580C63">
              <w:rPr>
                <w:lang w:val="sr-Latn-RS"/>
              </w:rPr>
              <w:t>Kada se simptomi povuku, infuziju treba nastaviti brzinom 50% manjom od brzine davanja prethodne infuzije</w:t>
            </w:r>
          </w:p>
          <w:p w14:paraId="1E89BA80" w14:textId="77777777" w:rsidR="007568FB" w:rsidRPr="00580C63" w:rsidRDefault="007568FB" w:rsidP="00A441B5">
            <w:pPr>
              <w:pStyle w:val="TableParagraph"/>
              <w:numPr>
                <w:ilvl w:val="0"/>
                <w:numId w:val="9"/>
              </w:numPr>
              <w:tabs>
                <w:tab w:val="left" w:pos="813"/>
                <w:tab w:val="left" w:pos="815"/>
              </w:tabs>
              <w:ind w:right="502" w:hanging="357"/>
              <w:jc w:val="both"/>
              <w:rPr>
                <w:lang w:val="sr-Latn-RS"/>
              </w:rPr>
            </w:pPr>
            <w:r w:rsidRPr="00580C63">
              <w:rPr>
                <w:lang w:val="sr-Latn-RS"/>
              </w:rPr>
              <w:t>Ako se simptomi ponove nakon ponovnog davanja terapije, trenutnu infuziju treba obustaviti</w:t>
            </w:r>
          </w:p>
          <w:p w14:paraId="24C472B4" w14:textId="77777777" w:rsidR="007568FB" w:rsidRPr="00580C63" w:rsidRDefault="007568FB" w:rsidP="00A441B5">
            <w:pPr>
              <w:pStyle w:val="TableParagraph"/>
              <w:ind w:left="0"/>
              <w:jc w:val="both"/>
              <w:rPr>
                <w:b/>
                <w:lang w:val="sr-Latn-RS"/>
              </w:rPr>
            </w:pPr>
          </w:p>
          <w:p w14:paraId="1F7131B1" w14:textId="77777777" w:rsidR="007568FB" w:rsidRPr="00580C63" w:rsidRDefault="007568FB" w:rsidP="00A441B5">
            <w:pPr>
              <w:pStyle w:val="TableParagraph"/>
              <w:jc w:val="both"/>
              <w:rPr>
                <w:lang w:val="sr-Latn-RS"/>
              </w:rPr>
            </w:pPr>
            <w:r w:rsidRPr="00580C63">
              <w:rPr>
                <w:lang w:val="sr-Latn-RS"/>
              </w:rPr>
              <w:t>Ako se CRS javi nakon infuzije:</w:t>
            </w:r>
          </w:p>
          <w:p w14:paraId="28F0D7BA" w14:textId="77777777" w:rsidR="007568FB" w:rsidRPr="00580C63" w:rsidRDefault="007568FB" w:rsidP="00A441B5">
            <w:pPr>
              <w:pStyle w:val="TableParagraph"/>
              <w:numPr>
                <w:ilvl w:val="0"/>
                <w:numId w:val="9"/>
              </w:numPr>
              <w:tabs>
                <w:tab w:val="left" w:pos="813"/>
                <w:tab w:val="left" w:pos="815"/>
              </w:tabs>
              <w:jc w:val="both"/>
              <w:rPr>
                <w:lang w:val="sr-Latn-RS"/>
              </w:rPr>
            </w:pPr>
            <w:r w:rsidRPr="00580C63">
              <w:rPr>
                <w:lang w:val="sr-Latn-RS"/>
              </w:rPr>
              <w:t>Simptome treba liječiti</w:t>
            </w:r>
          </w:p>
          <w:p w14:paraId="3A90C4C0" w14:textId="77777777" w:rsidR="007568FB" w:rsidRPr="00580C63" w:rsidRDefault="007568FB" w:rsidP="00A441B5">
            <w:pPr>
              <w:pStyle w:val="TableParagraph"/>
              <w:spacing w:before="122"/>
              <w:ind w:right="391"/>
              <w:jc w:val="both"/>
              <w:rPr>
                <w:lang w:val="sr-Latn-RS"/>
              </w:rPr>
            </w:pPr>
            <w:r w:rsidRPr="00580C63">
              <w:rPr>
                <w:lang w:val="sr-Latn-RS"/>
              </w:rPr>
              <w:t>Ako ne dođe do poboljšanja nakon liječenja simptoma:</w:t>
            </w:r>
          </w:p>
          <w:p w14:paraId="548C2605" w14:textId="21A80D99" w:rsidR="007568FB" w:rsidRPr="00580C63" w:rsidRDefault="007568FB" w:rsidP="00A441B5">
            <w:pPr>
              <w:pStyle w:val="TableParagraph"/>
              <w:numPr>
                <w:ilvl w:val="0"/>
                <w:numId w:val="8"/>
              </w:numPr>
              <w:tabs>
                <w:tab w:val="left" w:pos="813"/>
                <w:tab w:val="left" w:pos="815"/>
              </w:tabs>
              <w:ind w:right="245" w:hanging="357"/>
              <w:jc w:val="both"/>
              <w:rPr>
                <w:lang w:val="sr-Latn-RS"/>
              </w:rPr>
            </w:pPr>
            <w:r w:rsidRPr="00580C63">
              <w:rPr>
                <w:lang w:val="sr-Latn-RS"/>
              </w:rPr>
              <w:lastRenderedPageBreak/>
              <w:t>Treba razmotriti davanje deksametazona</w:t>
            </w:r>
            <w:r w:rsidRPr="00580C63">
              <w:rPr>
                <w:vertAlign w:val="superscript"/>
                <w:lang w:val="sr-Latn-RS"/>
              </w:rPr>
              <w:t>3</w:t>
            </w:r>
            <w:r w:rsidRPr="00580C63">
              <w:rPr>
                <w:lang w:val="sr-Latn-RS"/>
              </w:rPr>
              <w:t xml:space="preserve"> </w:t>
            </w:r>
            <w:r w:rsidR="008452BA">
              <w:rPr>
                <w:lang w:val="sr-Latn-RS"/>
              </w:rPr>
              <w:t>i/ili</w:t>
            </w:r>
            <w:r w:rsidRPr="00580C63">
              <w:rPr>
                <w:lang w:val="sr-Latn-RS"/>
              </w:rPr>
              <w:t xml:space="preserve"> tocilizumaba</w:t>
            </w:r>
            <w:r w:rsidRPr="00580C63">
              <w:rPr>
                <w:vertAlign w:val="superscript"/>
                <w:lang w:val="sr-Latn-RS"/>
              </w:rPr>
              <w:t>4,5</w:t>
            </w:r>
            <w:r w:rsidRPr="00580C63">
              <w:rPr>
                <w:lang w:val="sr-Latn-RS"/>
              </w:rPr>
              <w:t xml:space="preserve"> </w:t>
            </w:r>
          </w:p>
        </w:tc>
        <w:tc>
          <w:tcPr>
            <w:tcW w:w="0" w:type="auto"/>
          </w:tcPr>
          <w:p w14:paraId="1F9B7C0A" w14:textId="31E841F7" w:rsidR="007568FB" w:rsidRPr="00580C63" w:rsidRDefault="007568FB" w:rsidP="00A441B5">
            <w:pPr>
              <w:pStyle w:val="TableParagraph"/>
              <w:spacing w:before="100"/>
              <w:ind w:right="122"/>
              <w:jc w:val="both"/>
              <w:rPr>
                <w:lang w:val="sr-Latn-RS"/>
              </w:rPr>
            </w:pPr>
            <w:r w:rsidRPr="00580C63">
              <w:rPr>
                <w:lang w:val="sr-Latn-RS"/>
              </w:rPr>
              <w:lastRenderedPageBreak/>
              <w:t>Pacijent ne smije imati simptome najmanje 72 sata prije sljedeće infuzije</w:t>
            </w:r>
          </w:p>
          <w:p w14:paraId="2AF24687" w14:textId="77777777" w:rsidR="007568FB" w:rsidRPr="00580C63" w:rsidRDefault="007568FB" w:rsidP="00A441B5">
            <w:pPr>
              <w:pStyle w:val="TableParagraph"/>
              <w:ind w:left="0"/>
              <w:jc w:val="both"/>
              <w:rPr>
                <w:b/>
                <w:lang w:val="sr-Latn-RS"/>
              </w:rPr>
            </w:pPr>
          </w:p>
          <w:p w14:paraId="2B887A0B" w14:textId="77777777" w:rsidR="007568FB" w:rsidRPr="00580C63" w:rsidRDefault="007568FB" w:rsidP="00A441B5">
            <w:pPr>
              <w:pStyle w:val="TableParagraph"/>
              <w:ind w:right="342"/>
              <w:jc w:val="both"/>
              <w:rPr>
                <w:lang w:val="sr-Latn-RS"/>
              </w:rPr>
            </w:pPr>
            <w:r w:rsidRPr="00580C63">
              <w:rPr>
                <w:lang w:val="sr-Latn-RS"/>
              </w:rPr>
              <w:t>Po potrebi, premedikaciju treba dati u maksimalnoj dozi</w:t>
            </w:r>
            <w:r w:rsidRPr="00580C63">
              <w:rPr>
                <w:vertAlign w:val="superscript"/>
                <w:lang w:val="sr-Latn-RS"/>
              </w:rPr>
              <w:t>7</w:t>
            </w:r>
          </w:p>
          <w:p w14:paraId="2DBEB909" w14:textId="77777777" w:rsidR="007568FB" w:rsidRPr="00580C63" w:rsidRDefault="007568FB" w:rsidP="00A441B5">
            <w:pPr>
              <w:pStyle w:val="TableParagraph"/>
              <w:ind w:left="0"/>
              <w:jc w:val="both"/>
              <w:rPr>
                <w:b/>
                <w:lang w:val="sr-Latn-RS"/>
              </w:rPr>
            </w:pPr>
          </w:p>
          <w:p w14:paraId="08CD5B39" w14:textId="1F1001E6" w:rsidR="007568FB" w:rsidRPr="00580C63" w:rsidRDefault="007568FB" w:rsidP="00A441B5">
            <w:pPr>
              <w:pStyle w:val="TableParagraph"/>
              <w:ind w:right="67"/>
              <w:jc w:val="both"/>
              <w:rPr>
                <w:lang w:val="sr-Latn-RS"/>
              </w:rPr>
            </w:pPr>
            <w:r w:rsidRPr="00580C63">
              <w:rPr>
                <w:lang w:val="sr-Latn-RS"/>
              </w:rPr>
              <w:t>Treba razmotriti davanje sljedeće infuzije brzinom 50% manjom od brzine davanja prethodne infuzije, uz učestalije praćenje pacijenta</w:t>
            </w:r>
          </w:p>
        </w:tc>
      </w:tr>
      <w:tr w:rsidR="00AC7B20" w:rsidRPr="00314AC9" w14:paraId="5732055F" w14:textId="77777777" w:rsidTr="00314AC9">
        <w:tc>
          <w:tcPr>
            <w:tcW w:w="0" w:type="auto"/>
          </w:tcPr>
          <w:p w14:paraId="11622CEF" w14:textId="77777777" w:rsidR="00AC7B20" w:rsidRPr="00580C63" w:rsidRDefault="00AC7B20" w:rsidP="00A441B5">
            <w:pPr>
              <w:pStyle w:val="TableParagraph"/>
              <w:spacing w:before="100"/>
              <w:ind w:left="40"/>
              <w:jc w:val="both"/>
              <w:rPr>
                <w:b/>
                <w:lang w:val="sr-Latn-RS"/>
              </w:rPr>
            </w:pPr>
            <w:r w:rsidRPr="00580C63">
              <w:rPr>
                <w:b/>
                <w:bCs/>
                <w:lang w:val="sr-Latn-RS"/>
              </w:rPr>
              <w:t>3. stepen</w:t>
            </w:r>
          </w:p>
          <w:p w14:paraId="7E6278CE" w14:textId="77777777" w:rsidR="00AC7B20" w:rsidRPr="00580C63" w:rsidRDefault="00AC7B20" w:rsidP="00A441B5">
            <w:pPr>
              <w:pStyle w:val="TableParagraph"/>
              <w:ind w:left="0"/>
              <w:jc w:val="both"/>
              <w:rPr>
                <w:b/>
                <w:lang w:val="sr-Latn-RS"/>
              </w:rPr>
            </w:pPr>
          </w:p>
          <w:p w14:paraId="22C16894" w14:textId="628A84D3" w:rsidR="00AC7B20" w:rsidRPr="00580C63" w:rsidRDefault="00AC7B20" w:rsidP="00A441B5">
            <w:pPr>
              <w:pStyle w:val="TableParagraph"/>
              <w:ind w:left="40" w:right="40"/>
              <w:jc w:val="both"/>
              <w:rPr>
                <w:lang w:val="sr-Latn-RS"/>
              </w:rPr>
            </w:pPr>
            <w:r w:rsidRPr="00580C63">
              <w:rPr>
                <w:lang w:val="sr-Latn-RS"/>
              </w:rPr>
              <w:t>Povišena t</w:t>
            </w:r>
            <w:r w:rsidR="00FD557E" w:rsidRPr="00580C63">
              <w:rPr>
                <w:lang w:val="sr-Latn-RS"/>
              </w:rPr>
              <w:t>j</w:t>
            </w:r>
            <w:r w:rsidRPr="00580C63">
              <w:rPr>
                <w:lang w:val="sr-Latn-RS"/>
              </w:rPr>
              <w:t xml:space="preserve">elesna temperatura ≥ 38 ºC i/ili hipotenzija koja </w:t>
            </w:r>
            <w:r w:rsidR="0083711F" w:rsidRPr="00580C63">
              <w:rPr>
                <w:lang w:val="sr-Latn-RS"/>
              </w:rPr>
              <w:t>zahtijeva</w:t>
            </w:r>
            <w:r w:rsidRPr="00580C63">
              <w:rPr>
                <w:lang w:val="sr-Latn-RS"/>
              </w:rPr>
              <w:t xml:space="preserve"> </w:t>
            </w:r>
            <w:r w:rsidR="00FD557E" w:rsidRPr="00580C63">
              <w:rPr>
                <w:lang w:val="sr-Latn-RS"/>
              </w:rPr>
              <w:t>primjenu</w:t>
            </w:r>
            <w:r w:rsidRPr="00580C63">
              <w:rPr>
                <w:lang w:val="sr-Latn-RS"/>
              </w:rPr>
              <w:t xml:space="preserve"> vazopresora</w:t>
            </w:r>
          </w:p>
          <w:p w14:paraId="1E36BB98" w14:textId="471E5E8E" w:rsidR="00AC7B20" w:rsidRPr="00580C63" w:rsidRDefault="00AC7B20" w:rsidP="00A441B5">
            <w:pPr>
              <w:pStyle w:val="TableParagraph"/>
              <w:ind w:left="40" w:right="303"/>
              <w:jc w:val="both"/>
              <w:rPr>
                <w:lang w:val="sr-Latn-RS"/>
              </w:rPr>
            </w:pPr>
            <w:r w:rsidRPr="00580C63">
              <w:rPr>
                <w:lang w:val="sr-Latn-RS"/>
              </w:rPr>
              <w:t>(sa ili bez vazopresina) i/ili</w:t>
            </w:r>
            <w:r w:rsidR="000F4644" w:rsidRPr="00580C63">
              <w:rPr>
                <w:lang w:val="sr-Latn-RS"/>
              </w:rPr>
              <w:t xml:space="preserve"> </w:t>
            </w:r>
            <w:r w:rsidRPr="00580C63">
              <w:rPr>
                <w:lang w:val="sr-Latn-RS"/>
              </w:rPr>
              <w:t xml:space="preserve">hipoksija koja </w:t>
            </w:r>
            <w:r w:rsidR="0083711F" w:rsidRPr="00580C63">
              <w:rPr>
                <w:lang w:val="sr-Latn-RS"/>
              </w:rPr>
              <w:t>zahtijeva</w:t>
            </w:r>
            <w:r w:rsidRPr="00580C63">
              <w:rPr>
                <w:lang w:val="sr-Latn-RS"/>
              </w:rPr>
              <w:t xml:space="preserve"> </w:t>
            </w:r>
            <w:r w:rsidR="007568FB" w:rsidRPr="00580C63">
              <w:rPr>
                <w:lang w:val="sr-Latn-RS"/>
              </w:rPr>
              <w:t>p</w:t>
            </w:r>
            <w:r w:rsidR="00FD557E" w:rsidRPr="00580C63">
              <w:rPr>
                <w:lang w:val="sr-Latn-RS"/>
              </w:rPr>
              <w:t>rimjenu</w:t>
            </w:r>
            <w:r w:rsidRPr="00580C63">
              <w:rPr>
                <w:lang w:val="sr-Latn-RS"/>
              </w:rPr>
              <w:t xml:space="preserve"> </w:t>
            </w:r>
            <w:r w:rsidR="008452BA">
              <w:rPr>
                <w:lang w:val="sr-Latn-RS"/>
              </w:rPr>
              <w:t>k</w:t>
            </w:r>
            <w:r w:rsidRPr="00580C63">
              <w:rPr>
                <w:lang w:val="sr-Latn-RS"/>
              </w:rPr>
              <w:t>iseonika</w:t>
            </w:r>
            <w:r w:rsidR="007568FB" w:rsidRPr="00580C63">
              <w:rPr>
                <w:lang w:val="sr-Latn-RS"/>
              </w:rPr>
              <w:t xml:space="preserve"> </w:t>
            </w:r>
            <w:r w:rsidRPr="00580C63">
              <w:rPr>
                <w:lang w:val="sr-Latn-RS"/>
              </w:rPr>
              <w:t>visokog protoka</w:t>
            </w:r>
            <w:r w:rsidRPr="00580C63">
              <w:rPr>
                <w:vertAlign w:val="superscript"/>
                <w:lang w:val="sr-Latn-RS"/>
              </w:rPr>
              <w:t>8</w:t>
            </w:r>
            <w:r w:rsidRPr="00580C63">
              <w:rPr>
                <w:lang w:val="sr-Latn-RS"/>
              </w:rPr>
              <w:t xml:space="preserve"> pomoću nosne kanile, maske za</w:t>
            </w:r>
            <w:r w:rsidR="000F4644" w:rsidRPr="00580C63">
              <w:rPr>
                <w:lang w:val="sr-Latn-RS"/>
              </w:rPr>
              <w:t xml:space="preserve"> </w:t>
            </w:r>
            <w:r w:rsidRPr="00580C63">
              <w:rPr>
                <w:lang w:val="sr-Latn-RS"/>
              </w:rPr>
              <w:t>lice,</w:t>
            </w:r>
            <w:r w:rsidR="007568FB" w:rsidRPr="00580C63">
              <w:rPr>
                <w:lang w:val="sr-Latn-RS"/>
              </w:rPr>
              <w:t xml:space="preserve"> </w:t>
            </w:r>
            <w:r w:rsidRPr="00580C63">
              <w:rPr>
                <w:lang w:val="sr-Latn-RS"/>
              </w:rPr>
              <w:t>kiseoničke maske ili Venturi maske</w:t>
            </w:r>
          </w:p>
        </w:tc>
        <w:tc>
          <w:tcPr>
            <w:tcW w:w="0" w:type="auto"/>
          </w:tcPr>
          <w:p w14:paraId="34C785CB" w14:textId="77777777" w:rsidR="00AC7B20" w:rsidRPr="00580C63" w:rsidRDefault="00AC7B20" w:rsidP="00A441B5">
            <w:pPr>
              <w:pStyle w:val="TableParagraph"/>
              <w:spacing w:before="100"/>
              <w:jc w:val="both"/>
              <w:rPr>
                <w:lang w:val="sr-Latn-RS"/>
              </w:rPr>
            </w:pPr>
            <w:r w:rsidRPr="00580C63">
              <w:rPr>
                <w:lang w:val="sr-Latn-RS"/>
              </w:rPr>
              <w:t>Ako se CRS javi u toku infuzije:</w:t>
            </w:r>
          </w:p>
          <w:p w14:paraId="656492D6" w14:textId="77777777" w:rsidR="00AC7B20" w:rsidRPr="00580C63" w:rsidRDefault="00AC7B20" w:rsidP="00A441B5">
            <w:pPr>
              <w:pStyle w:val="TableParagraph"/>
              <w:numPr>
                <w:ilvl w:val="0"/>
                <w:numId w:val="7"/>
              </w:numPr>
              <w:tabs>
                <w:tab w:val="left" w:pos="813"/>
                <w:tab w:val="left" w:pos="815"/>
              </w:tabs>
              <w:ind w:right="905" w:hanging="357"/>
              <w:jc w:val="both"/>
              <w:rPr>
                <w:lang w:val="sr-Latn-RS"/>
              </w:rPr>
            </w:pPr>
            <w:r w:rsidRPr="00580C63">
              <w:rPr>
                <w:lang w:val="sr-Latn-RS"/>
              </w:rPr>
              <w:t>Trenutnu infuziju treba obustaviti</w:t>
            </w:r>
          </w:p>
          <w:p w14:paraId="5E6210A1" w14:textId="210CB1B8" w:rsidR="00AC7B20" w:rsidRPr="00580C63" w:rsidRDefault="00AC7B20" w:rsidP="00A441B5">
            <w:pPr>
              <w:pStyle w:val="TableParagraph"/>
              <w:numPr>
                <w:ilvl w:val="0"/>
                <w:numId w:val="7"/>
              </w:numPr>
              <w:tabs>
                <w:tab w:val="left" w:pos="813"/>
                <w:tab w:val="left" w:pos="815"/>
              </w:tabs>
              <w:jc w:val="both"/>
              <w:rPr>
                <w:lang w:val="sr-Latn-RS"/>
              </w:rPr>
            </w:pPr>
            <w:r w:rsidRPr="00580C63">
              <w:rPr>
                <w:lang w:val="sr-Latn-RS"/>
              </w:rPr>
              <w:t xml:space="preserve">Simptome treba </w:t>
            </w:r>
            <w:r w:rsidR="00FD557E" w:rsidRPr="00580C63">
              <w:rPr>
                <w:lang w:val="sr-Latn-RS"/>
              </w:rPr>
              <w:t>liječiti</w:t>
            </w:r>
          </w:p>
          <w:p w14:paraId="7324D81C" w14:textId="77777777" w:rsidR="00AC7B20" w:rsidRPr="00580C63" w:rsidRDefault="00AC7B20" w:rsidP="00A441B5">
            <w:pPr>
              <w:pStyle w:val="TableParagraph"/>
              <w:numPr>
                <w:ilvl w:val="0"/>
                <w:numId w:val="7"/>
              </w:numPr>
              <w:tabs>
                <w:tab w:val="left" w:pos="813"/>
                <w:tab w:val="left" w:pos="815"/>
              </w:tabs>
              <w:jc w:val="both"/>
              <w:rPr>
                <w:lang w:val="sr-Latn-RS"/>
              </w:rPr>
            </w:pPr>
            <w:r w:rsidRPr="00580C63">
              <w:rPr>
                <w:lang w:val="sr-Latn-RS"/>
              </w:rPr>
              <w:t>Dati deksametazon</w:t>
            </w:r>
            <w:r w:rsidRPr="00580C63">
              <w:rPr>
                <w:vertAlign w:val="superscript"/>
                <w:lang w:val="sr-Latn-RS"/>
              </w:rPr>
              <w:t>3</w:t>
            </w:r>
            <w:r w:rsidRPr="00580C63">
              <w:rPr>
                <w:lang w:val="sr-Latn-RS"/>
              </w:rPr>
              <w:t xml:space="preserve"> i tocilizumab</w:t>
            </w:r>
            <w:r w:rsidRPr="00580C63">
              <w:rPr>
                <w:vertAlign w:val="superscript"/>
                <w:lang w:val="sr-Latn-RS"/>
              </w:rPr>
              <w:t>4, 5</w:t>
            </w:r>
          </w:p>
          <w:p w14:paraId="6783B264" w14:textId="77777777" w:rsidR="00AC7B20" w:rsidRPr="00580C63" w:rsidRDefault="00AC7B20" w:rsidP="00A441B5">
            <w:pPr>
              <w:pStyle w:val="TableParagraph"/>
              <w:ind w:left="814"/>
              <w:jc w:val="both"/>
              <w:rPr>
                <w:lang w:val="sr-Latn-RS"/>
              </w:rPr>
            </w:pPr>
            <w:r w:rsidRPr="00580C63">
              <w:rPr>
                <w:lang w:val="sr-Latn-RS"/>
              </w:rPr>
              <w:t>kao terapiju</w:t>
            </w:r>
          </w:p>
          <w:p w14:paraId="425F88DC" w14:textId="77777777" w:rsidR="00AC7B20" w:rsidRPr="00580C63" w:rsidRDefault="00AC7B20" w:rsidP="00A441B5">
            <w:pPr>
              <w:pStyle w:val="TableParagraph"/>
              <w:ind w:left="0"/>
              <w:jc w:val="both"/>
              <w:rPr>
                <w:b/>
                <w:lang w:val="sr-Latn-RS"/>
              </w:rPr>
            </w:pPr>
          </w:p>
          <w:p w14:paraId="6612344A" w14:textId="77777777" w:rsidR="00AC7B20" w:rsidRPr="00580C63" w:rsidRDefault="00AC7B20" w:rsidP="00A441B5">
            <w:pPr>
              <w:pStyle w:val="TableParagraph"/>
              <w:jc w:val="both"/>
              <w:rPr>
                <w:lang w:val="sr-Latn-RS"/>
              </w:rPr>
            </w:pPr>
            <w:r w:rsidRPr="00580C63">
              <w:rPr>
                <w:lang w:val="sr-Latn-RS"/>
              </w:rPr>
              <w:t>Ako se CRS javi nakon infuzije:</w:t>
            </w:r>
          </w:p>
          <w:p w14:paraId="636CE8F3" w14:textId="541E7E52" w:rsidR="00AC7B20" w:rsidRPr="00580C63" w:rsidRDefault="00AC7B20" w:rsidP="00A441B5">
            <w:pPr>
              <w:pStyle w:val="TableParagraph"/>
              <w:numPr>
                <w:ilvl w:val="0"/>
                <w:numId w:val="7"/>
              </w:numPr>
              <w:tabs>
                <w:tab w:val="left" w:pos="813"/>
                <w:tab w:val="left" w:pos="815"/>
              </w:tabs>
              <w:jc w:val="both"/>
              <w:rPr>
                <w:lang w:val="sr-Latn-RS"/>
              </w:rPr>
            </w:pPr>
            <w:r w:rsidRPr="00580C63">
              <w:rPr>
                <w:lang w:val="sr-Latn-RS"/>
              </w:rPr>
              <w:t xml:space="preserve">Simptome treba </w:t>
            </w:r>
            <w:r w:rsidR="00FD557E" w:rsidRPr="00580C63">
              <w:rPr>
                <w:lang w:val="sr-Latn-RS"/>
              </w:rPr>
              <w:t>liječiti</w:t>
            </w:r>
          </w:p>
          <w:p w14:paraId="6431ABF6" w14:textId="7E4EECD9" w:rsidR="00AC7B20" w:rsidRPr="00580C63" w:rsidRDefault="00AC7B20" w:rsidP="00A441B5">
            <w:pPr>
              <w:pStyle w:val="TableParagraph"/>
              <w:numPr>
                <w:ilvl w:val="0"/>
                <w:numId w:val="7"/>
              </w:numPr>
              <w:tabs>
                <w:tab w:val="left" w:pos="813"/>
                <w:tab w:val="left" w:pos="815"/>
              </w:tabs>
              <w:jc w:val="both"/>
              <w:rPr>
                <w:lang w:val="sr-Latn-RS"/>
              </w:rPr>
            </w:pPr>
            <w:r w:rsidRPr="00580C63">
              <w:rPr>
                <w:lang w:val="sr-Latn-RS"/>
              </w:rPr>
              <w:t>Dati deksametazon</w:t>
            </w:r>
            <w:r w:rsidRPr="00580C63">
              <w:rPr>
                <w:vertAlign w:val="superscript"/>
                <w:lang w:val="sr-Latn-RS"/>
              </w:rPr>
              <w:t>3</w:t>
            </w:r>
            <w:r w:rsidRPr="00580C63">
              <w:rPr>
                <w:lang w:val="sr-Latn-RS"/>
              </w:rPr>
              <w:t xml:space="preserve"> i tocilizumab</w:t>
            </w:r>
            <w:r w:rsidR="007568FB" w:rsidRPr="00580C63">
              <w:rPr>
                <w:vertAlign w:val="superscript"/>
                <w:lang w:val="sr-Latn-RS"/>
              </w:rPr>
              <w:t>4,5</w:t>
            </w:r>
          </w:p>
          <w:p w14:paraId="6F1FE89D" w14:textId="0BA877F4" w:rsidR="00AC7B20" w:rsidRPr="00580C63" w:rsidRDefault="00AC7B20" w:rsidP="00A441B5">
            <w:pPr>
              <w:pStyle w:val="TableParagraph"/>
              <w:ind w:left="814"/>
              <w:jc w:val="both"/>
              <w:rPr>
                <w:lang w:val="sr-Latn-RS"/>
              </w:rPr>
            </w:pPr>
            <w:r w:rsidRPr="00580C63">
              <w:rPr>
                <w:lang w:val="sr-Latn-RS"/>
              </w:rPr>
              <w:t>kao terapiju</w:t>
            </w:r>
          </w:p>
          <w:p w14:paraId="61237316" w14:textId="0807CF75" w:rsidR="00AC7B20" w:rsidRPr="00580C63" w:rsidRDefault="00AC7B20" w:rsidP="00314AC9">
            <w:pPr>
              <w:pStyle w:val="TableParagraph"/>
              <w:ind w:left="0"/>
              <w:jc w:val="both"/>
              <w:rPr>
                <w:lang w:val="sr-Latn-RS"/>
              </w:rPr>
            </w:pPr>
          </w:p>
          <w:p w14:paraId="362BB98C" w14:textId="689E8299" w:rsidR="00AC7B20" w:rsidRPr="00580C63" w:rsidRDefault="000F4644" w:rsidP="00A441B5">
            <w:pPr>
              <w:pStyle w:val="TableParagraph"/>
              <w:spacing w:before="100"/>
              <w:ind w:left="0" w:right="568" w:firstLine="25"/>
              <w:jc w:val="both"/>
              <w:rPr>
                <w:lang w:val="sr-Latn-RS"/>
              </w:rPr>
            </w:pPr>
            <w:r w:rsidRPr="00580C63">
              <w:rPr>
                <w:lang w:val="sr-Latn-RS"/>
              </w:rPr>
              <w:t xml:space="preserve"> </w:t>
            </w:r>
            <w:r w:rsidR="00AC7B20" w:rsidRPr="00580C63">
              <w:rPr>
                <w:lang w:val="sr-Latn-RS"/>
              </w:rPr>
              <w:t>Ako je CRS refraktoran na deksametazon</w:t>
            </w:r>
            <w:r w:rsidRPr="00580C63">
              <w:rPr>
                <w:lang w:val="sr-Latn-RS"/>
              </w:rPr>
              <w:t xml:space="preserve"> </w:t>
            </w:r>
            <w:r w:rsidR="00AC7B20" w:rsidRPr="00580C63">
              <w:rPr>
                <w:lang w:val="sr-Latn-RS"/>
              </w:rPr>
              <w:t xml:space="preserve">i </w:t>
            </w:r>
            <w:r w:rsidRPr="00580C63">
              <w:rPr>
                <w:lang w:val="sr-Latn-RS"/>
              </w:rPr>
              <w:t xml:space="preserve"> </w:t>
            </w:r>
            <w:r w:rsidR="00AC7B20" w:rsidRPr="00580C63">
              <w:rPr>
                <w:lang w:val="sr-Latn-RS"/>
              </w:rPr>
              <w:t>tocilizumab:</w:t>
            </w:r>
          </w:p>
          <w:p w14:paraId="609ED59B" w14:textId="3E0DD718" w:rsidR="00AC7B20" w:rsidRPr="00580C63" w:rsidRDefault="00AC7B20" w:rsidP="00A441B5">
            <w:pPr>
              <w:pStyle w:val="TableParagraph"/>
              <w:numPr>
                <w:ilvl w:val="0"/>
                <w:numId w:val="6"/>
              </w:numPr>
              <w:tabs>
                <w:tab w:val="left" w:pos="450"/>
              </w:tabs>
              <w:ind w:right="273" w:hanging="364"/>
              <w:jc w:val="both"/>
              <w:rPr>
                <w:lang w:val="sr-Latn-RS"/>
              </w:rPr>
            </w:pPr>
            <w:r w:rsidRPr="00580C63">
              <w:rPr>
                <w:lang w:val="sr-Latn-RS"/>
              </w:rPr>
              <w:t>Treba dati alternativne imunosupresive</w:t>
            </w:r>
            <w:r w:rsidR="007568FB" w:rsidRPr="00580C63">
              <w:rPr>
                <w:vertAlign w:val="superscript"/>
                <w:lang w:val="sr-Latn-RS"/>
              </w:rPr>
              <w:t>9</w:t>
            </w:r>
            <w:r w:rsidRPr="00580C63">
              <w:rPr>
                <w:lang w:val="sr-Latn-RS"/>
              </w:rPr>
              <w:t xml:space="preserve"> i metilprednizolon u dozi od 1000 mg na dan intravenski do kliničkog poboljšanja</w:t>
            </w:r>
          </w:p>
        </w:tc>
        <w:tc>
          <w:tcPr>
            <w:tcW w:w="0" w:type="auto"/>
          </w:tcPr>
          <w:p w14:paraId="487581F6" w14:textId="28E0552A" w:rsidR="00AC7B20" w:rsidRPr="00580C63" w:rsidRDefault="00AC7B20" w:rsidP="00A441B5">
            <w:pPr>
              <w:pStyle w:val="TableParagraph"/>
              <w:spacing w:before="100"/>
              <w:ind w:right="122"/>
              <w:jc w:val="both"/>
              <w:rPr>
                <w:lang w:val="sr-Latn-RS"/>
              </w:rPr>
            </w:pPr>
            <w:r w:rsidRPr="00580C63">
              <w:rPr>
                <w:lang w:val="sr-Latn-RS"/>
              </w:rPr>
              <w:t>Pacijent ne sm</w:t>
            </w:r>
            <w:r w:rsidR="00FD557E" w:rsidRPr="00580C63">
              <w:rPr>
                <w:lang w:val="sr-Latn-RS"/>
              </w:rPr>
              <w:t>ij</w:t>
            </w:r>
            <w:r w:rsidRPr="00580C63">
              <w:rPr>
                <w:lang w:val="sr-Latn-RS"/>
              </w:rPr>
              <w:t>e imati simptome najmanje 72 sata pr</w:t>
            </w:r>
            <w:r w:rsidR="00FD557E" w:rsidRPr="00580C63">
              <w:rPr>
                <w:lang w:val="sr-Latn-RS"/>
              </w:rPr>
              <w:t>ij</w:t>
            </w:r>
            <w:r w:rsidRPr="00580C63">
              <w:rPr>
                <w:lang w:val="sr-Latn-RS"/>
              </w:rPr>
              <w:t>e sl</w:t>
            </w:r>
            <w:r w:rsidR="00FD557E" w:rsidRPr="00580C63">
              <w:rPr>
                <w:lang w:val="sr-Latn-RS"/>
              </w:rPr>
              <w:t>j</w:t>
            </w:r>
            <w:r w:rsidRPr="00580C63">
              <w:rPr>
                <w:lang w:val="sr-Latn-RS"/>
              </w:rPr>
              <w:t>edeće infuzije</w:t>
            </w:r>
          </w:p>
          <w:p w14:paraId="5F078E5C" w14:textId="77777777" w:rsidR="00AC7B20" w:rsidRPr="00580C63" w:rsidRDefault="00AC7B20" w:rsidP="00A441B5">
            <w:pPr>
              <w:pStyle w:val="TableParagraph"/>
              <w:ind w:left="0"/>
              <w:jc w:val="both"/>
              <w:rPr>
                <w:b/>
                <w:lang w:val="sr-Latn-RS"/>
              </w:rPr>
            </w:pPr>
          </w:p>
          <w:p w14:paraId="3FED5103" w14:textId="196FC91F" w:rsidR="00AC7B20" w:rsidRPr="00580C63" w:rsidRDefault="00AC7B20" w:rsidP="00A441B5">
            <w:pPr>
              <w:pStyle w:val="TableParagraph"/>
              <w:ind w:right="554"/>
              <w:jc w:val="both"/>
              <w:rPr>
                <w:lang w:val="sr-Latn-RS"/>
              </w:rPr>
            </w:pPr>
            <w:r w:rsidRPr="00580C63">
              <w:rPr>
                <w:lang w:val="sr-Latn-RS"/>
              </w:rPr>
              <w:t>Potrebno je hospitalizovati pacijente za sl</w:t>
            </w:r>
            <w:r w:rsidR="00FD557E" w:rsidRPr="00580C63">
              <w:rPr>
                <w:lang w:val="sr-Latn-RS"/>
              </w:rPr>
              <w:t>j</w:t>
            </w:r>
            <w:r w:rsidRPr="00580C63">
              <w:rPr>
                <w:lang w:val="sr-Latn-RS"/>
              </w:rPr>
              <w:t>edeću infuziju</w:t>
            </w:r>
          </w:p>
          <w:p w14:paraId="0E49C805" w14:textId="77777777" w:rsidR="00AC7B20" w:rsidRPr="00580C63" w:rsidRDefault="00AC7B20" w:rsidP="00A441B5">
            <w:pPr>
              <w:pStyle w:val="TableParagraph"/>
              <w:ind w:left="0"/>
              <w:jc w:val="both"/>
              <w:rPr>
                <w:b/>
                <w:lang w:val="sr-Latn-RS"/>
              </w:rPr>
            </w:pPr>
          </w:p>
          <w:p w14:paraId="3F8B18D2" w14:textId="77777777" w:rsidR="00AC7B20" w:rsidRPr="00580C63" w:rsidRDefault="00AC7B20" w:rsidP="00A441B5">
            <w:pPr>
              <w:pStyle w:val="TableParagraph"/>
              <w:ind w:right="194"/>
              <w:jc w:val="both"/>
              <w:rPr>
                <w:lang w:val="sr-Latn-RS"/>
              </w:rPr>
            </w:pPr>
            <w:r w:rsidRPr="00580C63">
              <w:rPr>
                <w:lang w:val="sr-Latn-RS"/>
              </w:rPr>
              <w:t>Po potrebi, premedikaciju treba dati u maksimalnoj dozi</w:t>
            </w:r>
            <w:r w:rsidRPr="00580C63">
              <w:rPr>
                <w:vertAlign w:val="superscript"/>
                <w:lang w:val="sr-Latn-RS"/>
              </w:rPr>
              <w:t>7</w:t>
            </w:r>
          </w:p>
          <w:p w14:paraId="5644022F" w14:textId="77777777" w:rsidR="00AC7B20" w:rsidRPr="00580C63" w:rsidRDefault="00AC7B20" w:rsidP="00A441B5">
            <w:pPr>
              <w:pStyle w:val="TableParagraph"/>
              <w:ind w:left="0"/>
              <w:jc w:val="both"/>
              <w:rPr>
                <w:b/>
                <w:lang w:val="sr-Latn-RS"/>
              </w:rPr>
            </w:pPr>
          </w:p>
          <w:p w14:paraId="0A14B35F" w14:textId="3B953420" w:rsidR="00AC7B20" w:rsidRPr="00580C63" w:rsidRDefault="00AC7B20" w:rsidP="00A441B5">
            <w:pPr>
              <w:pStyle w:val="TableParagraph"/>
              <w:jc w:val="both"/>
              <w:rPr>
                <w:lang w:val="sr-Latn-RS"/>
              </w:rPr>
            </w:pPr>
            <w:r w:rsidRPr="00580C63">
              <w:rPr>
                <w:lang w:val="sr-Latn-RS"/>
              </w:rPr>
              <w:t>Sl</w:t>
            </w:r>
            <w:r w:rsidR="00FD557E" w:rsidRPr="00580C63">
              <w:rPr>
                <w:lang w:val="sr-Latn-RS"/>
              </w:rPr>
              <w:t>j</w:t>
            </w:r>
            <w:r w:rsidRPr="00580C63">
              <w:rPr>
                <w:lang w:val="sr-Latn-RS"/>
              </w:rPr>
              <w:t>edeću infuziju treba dati brzinom 50% manjom od brzine davanja prethodne infuzije</w:t>
            </w:r>
          </w:p>
        </w:tc>
      </w:tr>
      <w:tr w:rsidR="00596AC6" w:rsidRPr="00580C63" w14:paraId="716C8D3F" w14:textId="77777777" w:rsidTr="00314AC9">
        <w:tc>
          <w:tcPr>
            <w:tcW w:w="0" w:type="auto"/>
          </w:tcPr>
          <w:p w14:paraId="2510A4D1" w14:textId="77777777" w:rsidR="00596AC6" w:rsidRPr="00580C63" w:rsidRDefault="006658F1" w:rsidP="00A441B5">
            <w:pPr>
              <w:pStyle w:val="TableParagraph"/>
              <w:spacing w:before="100"/>
              <w:ind w:left="40"/>
              <w:jc w:val="both"/>
              <w:rPr>
                <w:b/>
                <w:lang w:val="sr-Latn-RS"/>
              </w:rPr>
            </w:pPr>
            <w:r w:rsidRPr="00580C63">
              <w:rPr>
                <w:b/>
                <w:bCs/>
                <w:lang w:val="sr-Latn-RS"/>
              </w:rPr>
              <w:t>4. stepen</w:t>
            </w:r>
          </w:p>
          <w:p w14:paraId="0A8FA911" w14:textId="77777777" w:rsidR="00596AC6" w:rsidRPr="00580C63" w:rsidRDefault="00596AC6" w:rsidP="00A441B5">
            <w:pPr>
              <w:pStyle w:val="TableParagraph"/>
              <w:ind w:left="0"/>
              <w:jc w:val="both"/>
              <w:rPr>
                <w:b/>
                <w:lang w:val="sr-Latn-RS"/>
              </w:rPr>
            </w:pPr>
          </w:p>
          <w:p w14:paraId="44559B10" w14:textId="34BF9341" w:rsidR="00596AC6" w:rsidRPr="00580C63" w:rsidRDefault="006658F1" w:rsidP="00A441B5">
            <w:pPr>
              <w:pStyle w:val="TableParagraph"/>
              <w:ind w:left="40" w:right="58"/>
              <w:jc w:val="both"/>
              <w:rPr>
                <w:lang w:val="sr-Latn-RS"/>
              </w:rPr>
            </w:pPr>
            <w:r w:rsidRPr="00580C63">
              <w:rPr>
                <w:lang w:val="sr-Latn-RS"/>
              </w:rPr>
              <w:t>Povišena t</w:t>
            </w:r>
            <w:r w:rsidR="00FD557E" w:rsidRPr="00580C63">
              <w:rPr>
                <w:lang w:val="sr-Latn-RS"/>
              </w:rPr>
              <w:t>j</w:t>
            </w:r>
            <w:r w:rsidRPr="00580C63">
              <w:rPr>
                <w:lang w:val="sr-Latn-RS"/>
              </w:rPr>
              <w:t xml:space="preserve">elesna temperatura ≥ 38 ºC i/ili hipotenzija koja </w:t>
            </w:r>
            <w:r w:rsidR="0083711F" w:rsidRPr="00580C63">
              <w:rPr>
                <w:lang w:val="sr-Latn-RS"/>
              </w:rPr>
              <w:t>zahtijeva</w:t>
            </w:r>
            <w:r w:rsidRPr="00580C63">
              <w:rPr>
                <w:lang w:val="sr-Latn-RS"/>
              </w:rPr>
              <w:t xml:space="preserve"> </w:t>
            </w:r>
            <w:r w:rsidR="00FD557E" w:rsidRPr="00580C63">
              <w:rPr>
                <w:lang w:val="sr-Latn-RS"/>
              </w:rPr>
              <w:t>primjenu</w:t>
            </w:r>
            <w:r w:rsidRPr="00580C63">
              <w:rPr>
                <w:lang w:val="sr-Latn-RS"/>
              </w:rPr>
              <w:t xml:space="preserve"> više vazopresora (bez vazopresina) i/ili</w:t>
            </w:r>
          </w:p>
          <w:p w14:paraId="232A7CE5" w14:textId="77777777" w:rsidR="00596AC6" w:rsidRPr="00580C63" w:rsidRDefault="006658F1" w:rsidP="00A441B5">
            <w:pPr>
              <w:pStyle w:val="TableParagraph"/>
              <w:ind w:left="40" w:right="58"/>
              <w:jc w:val="both"/>
              <w:rPr>
                <w:lang w:val="sr-Latn-RS"/>
              </w:rPr>
            </w:pPr>
            <w:r w:rsidRPr="00580C63">
              <w:rPr>
                <w:lang w:val="sr-Latn-RS"/>
              </w:rPr>
              <w:t>hipoksija za koju je potreban kiseonik kroz uređaj za konstantan pozitivan pritisak</w:t>
            </w:r>
          </w:p>
          <w:p w14:paraId="2049E3FF" w14:textId="77777777" w:rsidR="00923F74" w:rsidRDefault="006658F1" w:rsidP="00580C63">
            <w:pPr>
              <w:pStyle w:val="TableParagraph"/>
              <w:ind w:left="40" w:right="626"/>
              <w:jc w:val="both"/>
              <w:rPr>
                <w:lang w:val="sr-Latn-RS"/>
              </w:rPr>
            </w:pPr>
            <w:r w:rsidRPr="00580C63">
              <w:rPr>
                <w:lang w:val="sr-Latn-RS"/>
              </w:rPr>
              <w:t>(npr. CPAP</w:t>
            </w:r>
            <w:r w:rsidR="00923F74">
              <w:rPr>
                <w:lang w:val="sr-Latn-RS"/>
              </w:rPr>
              <w:t xml:space="preserve"> (</w:t>
            </w:r>
          </w:p>
          <w:p w14:paraId="30062CFE" w14:textId="7DDE43B3" w:rsidR="00596AC6" w:rsidRPr="00E45B08" w:rsidRDefault="00923F74" w:rsidP="00A441B5">
            <w:pPr>
              <w:pStyle w:val="Default"/>
              <w:jc w:val="both"/>
              <w:rPr>
                <w:lang w:val="sr-Latn-RS"/>
              </w:rPr>
            </w:pPr>
            <w:r>
              <w:rPr>
                <w:sz w:val="22"/>
                <w:szCs w:val="22"/>
              </w:rPr>
              <w:t xml:space="preserve">engl. </w:t>
            </w:r>
            <w:r>
              <w:rPr>
                <w:i/>
                <w:iCs/>
                <w:sz w:val="22"/>
                <w:szCs w:val="22"/>
              </w:rPr>
              <w:t>continuous positive airway pressure</w:t>
            </w:r>
            <w:r>
              <w:rPr>
                <w:lang w:val="sr-Latn-RS"/>
              </w:rPr>
              <w:t>)</w:t>
            </w:r>
            <w:r w:rsidR="006658F1" w:rsidRPr="00E45B08">
              <w:rPr>
                <w:lang w:val="sr-Latn-RS"/>
              </w:rPr>
              <w:t>, BiPAP</w:t>
            </w:r>
            <w:r>
              <w:rPr>
                <w:lang w:val="sr-Latn-RS"/>
              </w:rPr>
              <w:t xml:space="preserve"> </w:t>
            </w:r>
            <w:r w:rsidRPr="00A441B5">
              <w:rPr>
                <w:sz w:val="22"/>
                <w:szCs w:val="22"/>
                <w:lang w:val="sr-Latn-RS"/>
              </w:rPr>
              <w:t>(engl.</w:t>
            </w:r>
            <w:r w:rsidRPr="00923F74">
              <w:rPr>
                <w:lang w:val="sr-Latn-RS"/>
              </w:rPr>
              <w:t xml:space="preserve"> </w:t>
            </w:r>
            <w:r w:rsidRPr="00A441B5">
              <w:rPr>
                <w:i/>
                <w:sz w:val="22"/>
                <w:lang w:val="sr-Latn-RS"/>
              </w:rPr>
              <w:t>bilevel positive airway pressure</w:t>
            </w:r>
            <w:r>
              <w:rPr>
                <w:lang w:val="sr-Latn-RS"/>
              </w:rPr>
              <w:t>)</w:t>
            </w:r>
            <w:r w:rsidR="006658F1" w:rsidRPr="00E45B08">
              <w:rPr>
                <w:lang w:val="sr-Latn-RS"/>
              </w:rPr>
              <w:t>,</w:t>
            </w:r>
          </w:p>
          <w:p w14:paraId="77F8D0E8" w14:textId="77777777" w:rsidR="00596AC6" w:rsidRPr="00580C63" w:rsidRDefault="006658F1" w:rsidP="00A441B5">
            <w:pPr>
              <w:pStyle w:val="TableParagraph"/>
              <w:ind w:left="40" w:right="468"/>
              <w:jc w:val="both"/>
              <w:rPr>
                <w:lang w:val="sr-Latn-RS"/>
              </w:rPr>
            </w:pPr>
            <w:r w:rsidRPr="00580C63">
              <w:rPr>
                <w:lang w:val="sr-Latn-RS"/>
              </w:rPr>
              <w:t>intubacija i mehanička ventilacija)</w:t>
            </w:r>
          </w:p>
        </w:tc>
        <w:tc>
          <w:tcPr>
            <w:tcW w:w="0" w:type="auto"/>
            <w:gridSpan w:val="2"/>
          </w:tcPr>
          <w:p w14:paraId="1F733CCF" w14:textId="77777777" w:rsidR="00596AC6" w:rsidRPr="00580C63" w:rsidRDefault="006658F1" w:rsidP="00A441B5">
            <w:pPr>
              <w:pStyle w:val="TableParagraph"/>
              <w:spacing w:before="100"/>
              <w:jc w:val="both"/>
              <w:rPr>
                <w:lang w:val="sr-Latn-RS"/>
              </w:rPr>
            </w:pPr>
            <w:r w:rsidRPr="00580C63">
              <w:rPr>
                <w:lang w:val="sr-Latn-RS"/>
              </w:rPr>
              <w:t>Ako se CRS javi u toku infuzije ili nakon nje:</w:t>
            </w:r>
          </w:p>
          <w:p w14:paraId="22F093AA" w14:textId="4F365DD1" w:rsidR="00596AC6" w:rsidRPr="00580C63" w:rsidRDefault="006658F1" w:rsidP="00A441B5">
            <w:pPr>
              <w:pStyle w:val="TableParagraph"/>
              <w:numPr>
                <w:ilvl w:val="0"/>
                <w:numId w:val="5"/>
              </w:numPr>
              <w:tabs>
                <w:tab w:val="left" w:pos="813"/>
                <w:tab w:val="left" w:pos="815"/>
              </w:tabs>
              <w:jc w:val="both"/>
              <w:rPr>
                <w:lang w:val="sr-Latn-RS"/>
              </w:rPr>
            </w:pPr>
            <w:r w:rsidRPr="00580C63">
              <w:rPr>
                <w:lang w:val="sr-Latn-RS"/>
              </w:rPr>
              <w:t xml:space="preserve">Terapiju </w:t>
            </w:r>
            <w:r w:rsidR="00FD557E" w:rsidRPr="00580C63">
              <w:rPr>
                <w:lang w:val="sr-Latn-RS"/>
              </w:rPr>
              <w:t>lijek</w:t>
            </w:r>
            <w:r w:rsidRPr="00580C63">
              <w:rPr>
                <w:lang w:val="sr-Latn-RS"/>
              </w:rPr>
              <w:t>om Lunsumio treba trajno prekinuti</w:t>
            </w:r>
          </w:p>
          <w:p w14:paraId="025D98A9" w14:textId="429FF26F" w:rsidR="00596AC6" w:rsidRPr="00580C63" w:rsidRDefault="006658F1" w:rsidP="00A441B5">
            <w:pPr>
              <w:pStyle w:val="TableParagraph"/>
              <w:numPr>
                <w:ilvl w:val="0"/>
                <w:numId w:val="5"/>
              </w:numPr>
              <w:tabs>
                <w:tab w:val="left" w:pos="813"/>
                <w:tab w:val="left" w:pos="815"/>
              </w:tabs>
              <w:jc w:val="both"/>
              <w:rPr>
                <w:lang w:val="sr-Latn-RS"/>
              </w:rPr>
            </w:pPr>
            <w:r w:rsidRPr="00580C63">
              <w:rPr>
                <w:lang w:val="sr-Latn-RS"/>
              </w:rPr>
              <w:t xml:space="preserve">Simptome treba </w:t>
            </w:r>
            <w:r w:rsidR="00FD557E" w:rsidRPr="00580C63">
              <w:rPr>
                <w:lang w:val="sr-Latn-RS"/>
              </w:rPr>
              <w:t>liječiti</w:t>
            </w:r>
          </w:p>
          <w:p w14:paraId="5BB62BD6" w14:textId="172E465A" w:rsidR="00596AC6" w:rsidRPr="00580C63" w:rsidRDefault="006658F1" w:rsidP="00A441B5">
            <w:pPr>
              <w:pStyle w:val="TableParagraph"/>
              <w:numPr>
                <w:ilvl w:val="0"/>
                <w:numId w:val="5"/>
              </w:numPr>
              <w:tabs>
                <w:tab w:val="left" w:pos="813"/>
                <w:tab w:val="left" w:pos="815"/>
              </w:tabs>
              <w:jc w:val="both"/>
              <w:rPr>
                <w:lang w:val="sr-Latn-RS"/>
              </w:rPr>
            </w:pPr>
            <w:r w:rsidRPr="00580C63">
              <w:rPr>
                <w:lang w:val="sr-Latn-RS"/>
              </w:rPr>
              <w:t>Dati deksametazon</w:t>
            </w:r>
            <w:r w:rsidR="007568FB" w:rsidRPr="00580C63">
              <w:rPr>
                <w:vertAlign w:val="superscript"/>
                <w:lang w:val="sr-Latn-RS"/>
              </w:rPr>
              <w:t>3</w:t>
            </w:r>
            <w:r w:rsidRPr="00580C63">
              <w:rPr>
                <w:lang w:val="sr-Latn-RS"/>
              </w:rPr>
              <w:t xml:space="preserve"> i tocilizumab</w:t>
            </w:r>
            <w:r w:rsidR="007568FB" w:rsidRPr="00580C63">
              <w:rPr>
                <w:vertAlign w:val="superscript"/>
                <w:lang w:val="sr-Latn-RS"/>
              </w:rPr>
              <w:t>4,5</w:t>
            </w:r>
            <w:r w:rsidRPr="00580C63">
              <w:rPr>
                <w:lang w:val="sr-Latn-RS"/>
              </w:rPr>
              <w:t xml:space="preserve"> </w:t>
            </w:r>
          </w:p>
          <w:p w14:paraId="76BCA388" w14:textId="77777777" w:rsidR="00596AC6" w:rsidRPr="00580C63" w:rsidRDefault="00596AC6" w:rsidP="00A441B5">
            <w:pPr>
              <w:pStyle w:val="TableParagraph"/>
              <w:ind w:left="0"/>
              <w:jc w:val="both"/>
              <w:rPr>
                <w:b/>
                <w:lang w:val="sr-Latn-RS"/>
              </w:rPr>
            </w:pPr>
          </w:p>
          <w:p w14:paraId="3DDA93BD" w14:textId="77777777" w:rsidR="00596AC6" w:rsidRPr="00580C63" w:rsidRDefault="006658F1" w:rsidP="00A441B5">
            <w:pPr>
              <w:pStyle w:val="TableParagraph"/>
              <w:jc w:val="both"/>
              <w:rPr>
                <w:lang w:val="sr-Latn-RS"/>
              </w:rPr>
            </w:pPr>
            <w:r w:rsidRPr="00580C63">
              <w:rPr>
                <w:lang w:val="sr-Latn-RS"/>
              </w:rPr>
              <w:t>Ako je CRS refraktoran na deksametazon i tocilizumab:</w:t>
            </w:r>
          </w:p>
          <w:p w14:paraId="056292E7" w14:textId="340AD70C" w:rsidR="00596AC6" w:rsidRPr="00580C63" w:rsidRDefault="006658F1" w:rsidP="00A441B5">
            <w:pPr>
              <w:pStyle w:val="TableParagraph"/>
              <w:numPr>
                <w:ilvl w:val="0"/>
                <w:numId w:val="5"/>
              </w:numPr>
              <w:tabs>
                <w:tab w:val="left" w:pos="813"/>
                <w:tab w:val="left" w:pos="815"/>
              </w:tabs>
              <w:jc w:val="both"/>
              <w:rPr>
                <w:lang w:val="sr-Latn-RS"/>
              </w:rPr>
            </w:pPr>
            <w:r w:rsidRPr="00580C63">
              <w:rPr>
                <w:lang w:val="sr-Latn-RS"/>
              </w:rPr>
              <w:t>Treba dati alternativne imunosupresive</w:t>
            </w:r>
            <w:r w:rsidR="007568FB" w:rsidRPr="00580C63">
              <w:rPr>
                <w:vertAlign w:val="superscript"/>
                <w:lang w:val="sr-Latn-RS"/>
              </w:rPr>
              <w:t>9</w:t>
            </w:r>
            <w:r w:rsidRPr="00580C63">
              <w:rPr>
                <w:lang w:val="sr-Latn-RS"/>
              </w:rPr>
              <w:t xml:space="preserve"> i metilprednizolon</w:t>
            </w:r>
          </w:p>
          <w:p w14:paraId="31AA6835" w14:textId="77777777" w:rsidR="00596AC6" w:rsidRPr="00580C63" w:rsidRDefault="006658F1" w:rsidP="00A441B5">
            <w:pPr>
              <w:pStyle w:val="TableParagraph"/>
              <w:ind w:left="814" w:right="679"/>
              <w:jc w:val="both"/>
              <w:rPr>
                <w:lang w:val="sr-Latn-RS"/>
              </w:rPr>
            </w:pPr>
            <w:r w:rsidRPr="00580C63">
              <w:rPr>
                <w:lang w:val="sr-Latn-RS"/>
              </w:rPr>
              <w:t>u dozi od 1000 mg na dan intravenski do kliničkog poboljšanja</w:t>
            </w:r>
          </w:p>
        </w:tc>
      </w:tr>
    </w:tbl>
    <w:p w14:paraId="16F0A669" w14:textId="199A4053" w:rsidR="00377066" w:rsidRPr="00314AC9" w:rsidRDefault="006658F1" w:rsidP="00A441B5">
      <w:pPr>
        <w:pStyle w:val="Default"/>
        <w:jc w:val="both"/>
        <w:rPr>
          <w:sz w:val="20"/>
          <w:szCs w:val="20"/>
        </w:rPr>
      </w:pPr>
      <w:r w:rsidRPr="00314AC9">
        <w:rPr>
          <w:sz w:val="20"/>
          <w:szCs w:val="20"/>
          <w:vertAlign w:val="superscript"/>
          <w:lang w:val="sr-Latn-RS"/>
        </w:rPr>
        <w:t>1</w:t>
      </w:r>
      <w:r w:rsidRPr="00314AC9">
        <w:rPr>
          <w:sz w:val="20"/>
          <w:szCs w:val="20"/>
          <w:lang w:val="sr-Latn-RS"/>
        </w:rPr>
        <w:t xml:space="preserve"> ASTCT</w:t>
      </w:r>
      <w:r w:rsidR="00BC05FE" w:rsidRPr="00314AC9">
        <w:rPr>
          <w:sz w:val="20"/>
          <w:szCs w:val="20"/>
          <w:lang w:val="sr-Latn-RS"/>
        </w:rPr>
        <w:t xml:space="preserve"> </w:t>
      </w:r>
      <w:r w:rsidR="00BC05FE" w:rsidRPr="00314AC9">
        <w:rPr>
          <w:sz w:val="20"/>
          <w:szCs w:val="20"/>
        </w:rPr>
        <w:t xml:space="preserve">(engl. </w:t>
      </w:r>
      <w:r w:rsidR="00BC05FE" w:rsidRPr="00314AC9">
        <w:rPr>
          <w:i/>
          <w:iCs/>
          <w:sz w:val="20"/>
          <w:szCs w:val="20"/>
        </w:rPr>
        <w:t>American Society for Transplant and Cellular Therapy</w:t>
      </w:r>
      <w:r w:rsidR="00BC05FE" w:rsidRPr="00314AC9">
        <w:rPr>
          <w:sz w:val="20"/>
          <w:szCs w:val="20"/>
        </w:rPr>
        <w:t xml:space="preserve">) </w:t>
      </w:r>
      <w:r w:rsidRPr="00314AC9">
        <w:rPr>
          <w:sz w:val="20"/>
          <w:szCs w:val="20"/>
          <w:lang w:val="sr-Latn-RS"/>
        </w:rPr>
        <w:t xml:space="preserve"> = Američko društvo za transplantaciju i ćelijsku terapiju. Premedikacija može prikriti povišenu t</w:t>
      </w:r>
      <w:r w:rsidR="00FD557E" w:rsidRPr="00314AC9">
        <w:rPr>
          <w:sz w:val="20"/>
          <w:szCs w:val="20"/>
          <w:lang w:val="sr-Latn-RS"/>
        </w:rPr>
        <w:t>j</w:t>
      </w:r>
      <w:r w:rsidRPr="00314AC9">
        <w:rPr>
          <w:sz w:val="20"/>
          <w:szCs w:val="20"/>
          <w:lang w:val="sr-Latn-RS"/>
        </w:rPr>
        <w:t>elesnu temperaturu, stoga, ako je klinička slika u skladu sa CRS, molimo Vas da pratite ove sm</w:t>
      </w:r>
      <w:r w:rsidR="00D34F0C" w:rsidRPr="00314AC9">
        <w:rPr>
          <w:sz w:val="20"/>
          <w:szCs w:val="20"/>
          <w:lang w:val="sr-Latn-RS"/>
        </w:rPr>
        <w:t>j</w:t>
      </w:r>
      <w:r w:rsidRPr="00314AC9">
        <w:rPr>
          <w:sz w:val="20"/>
          <w:szCs w:val="20"/>
          <w:lang w:val="sr-Latn-RS"/>
        </w:rPr>
        <w:t xml:space="preserve">ernice za </w:t>
      </w:r>
      <w:r w:rsidR="00FD557E" w:rsidRPr="00314AC9">
        <w:rPr>
          <w:sz w:val="20"/>
          <w:szCs w:val="20"/>
          <w:lang w:val="sr-Latn-RS"/>
        </w:rPr>
        <w:t>liječenje</w:t>
      </w:r>
      <w:r w:rsidRPr="00314AC9">
        <w:rPr>
          <w:sz w:val="20"/>
          <w:szCs w:val="20"/>
          <w:lang w:val="sr-Latn-RS"/>
        </w:rPr>
        <w:t xml:space="preserve">. </w:t>
      </w:r>
    </w:p>
    <w:p w14:paraId="6C739B7A" w14:textId="666A4BF3" w:rsidR="00596AC6" w:rsidRPr="00314AC9" w:rsidRDefault="006658F1">
      <w:pPr>
        <w:pStyle w:val="BodyText"/>
        <w:spacing w:before="39"/>
        <w:jc w:val="both"/>
        <w:rPr>
          <w:sz w:val="20"/>
          <w:szCs w:val="20"/>
          <w:lang w:val="sr-Latn-RS"/>
        </w:rPr>
      </w:pPr>
      <w:r w:rsidRPr="00314AC9">
        <w:rPr>
          <w:sz w:val="20"/>
          <w:szCs w:val="20"/>
          <w:vertAlign w:val="superscript"/>
          <w:lang w:val="sr-Latn-RS"/>
        </w:rPr>
        <w:t xml:space="preserve">2 </w:t>
      </w:r>
      <w:r w:rsidRPr="00314AC9">
        <w:rPr>
          <w:sz w:val="20"/>
          <w:szCs w:val="20"/>
          <w:lang w:val="sr-Latn-RS"/>
        </w:rPr>
        <w:t xml:space="preserve">Ako je CRS refraktoran na </w:t>
      </w:r>
      <w:r w:rsidR="00FD557E" w:rsidRPr="00314AC9">
        <w:rPr>
          <w:sz w:val="20"/>
          <w:szCs w:val="20"/>
          <w:lang w:val="sr-Latn-RS"/>
        </w:rPr>
        <w:t>liječenje</w:t>
      </w:r>
      <w:r w:rsidRPr="00314AC9">
        <w:rPr>
          <w:sz w:val="20"/>
          <w:szCs w:val="20"/>
          <w:lang w:val="sr-Latn-RS"/>
        </w:rPr>
        <w:t>, razmotrite druge uzroke uključujući hemofagocitnu limfohistiocitozu</w:t>
      </w:r>
    </w:p>
    <w:p w14:paraId="2A207F3F" w14:textId="3CD185F6" w:rsidR="00596AC6" w:rsidRPr="00314AC9" w:rsidRDefault="006658F1">
      <w:pPr>
        <w:pStyle w:val="BodyText"/>
        <w:jc w:val="both"/>
        <w:rPr>
          <w:sz w:val="20"/>
          <w:szCs w:val="20"/>
          <w:lang w:val="sr-Latn-RS"/>
        </w:rPr>
      </w:pPr>
      <w:r w:rsidRPr="00314AC9">
        <w:rPr>
          <w:sz w:val="20"/>
          <w:szCs w:val="20"/>
          <w:vertAlign w:val="superscript"/>
          <w:lang w:val="sr-Latn-RS"/>
        </w:rPr>
        <w:t>3</w:t>
      </w:r>
      <w:r w:rsidRPr="00314AC9">
        <w:rPr>
          <w:sz w:val="20"/>
          <w:szCs w:val="20"/>
          <w:lang w:val="sr-Latn-RS"/>
        </w:rPr>
        <w:t xml:space="preserve"> Dati deksametazon u dozi od 10 mg intravenski svakih 6 sati (ili drugi odgovarajući </w:t>
      </w:r>
      <w:r w:rsidR="00FD557E" w:rsidRPr="00314AC9">
        <w:rPr>
          <w:sz w:val="20"/>
          <w:szCs w:val="20"/>
          <w:lang w:val="sr-Latn-RS"/>
        </w:rPr>
        <w:t>lijek</w:t>
      </w:r>
      <w:r w:rsidRPr="00314AC9">
        <w:rPr>
          <w:sz w:val="20"/>
          <w:szCs w:val="20"/>
          <w:lang w:val="sr-Latn-RS"/>
        </w:rPr>
        <w:t>) do kliničkog poboljšanja</w:t>
      </w:r>
    </w:p>
    <w:p w14:paraId="3BBE6B54" w14:textId="5095A187" w:rsidR="00596AC6" w:rsidRPr="00314AC9" w:rsidRDefault="006658F1">
      <w:pPr>
        <w:pStyle w:val="BodyText"/>
        <w:jc w:val="both"/>
        <w:rPr>
          <w:sz w:val="20"/>
          <w:szCs w:val="20"/>
          <w:lang w:val="sr-Latn-RS"/>
        </w:rPr>
      </w:pPr>
      <w:r w:rsidRPr="00314AC9">
        <w:rPr>
          <w:sz w:val="20"/>
          <w:szCs w:val="20"/>
          <w:vertAlign w:val="superscript"/>
          <w:lang w:val="sr-Latn-RS"/>
        </w:rPr>
        <w:t>4</w:t>
      </w:r>
      <w:r w:rsidRPr="00314AC9">
        <w:rPr>
          <w:sz w:val="20"/>
          <w:szCs w:val="20"/>
          <w:lang w:val="sr-Latn-RS"/>
        </w:rPr>
        <w:t xml:space="preserve"> U studiji GO29781, tocilizumab je dat intravenski u dozi od 8 mg/kg (ne prelazi 800 mg po infuziji), koliko je potrebno za </w:t>
      </w:r>
      <w:r w:rsidR="00FD557E" w:rsidRPr="00314AC9">
        <w:rPr>
          <w:sz w:val="20"/>
          <w:szCs w:val="20"/>
          <w:lang w:val="sr-Latn-RS"/>
        </w:rPr>
        <w:t>liječenje</w:t>
      </w:r>
      <w:r w:rsidRPr="00314AC9">
        <w:rPr>
          <w:sz w:val="20"/>
          <w:szCs w:val="20"/>
          <w:lang w:val="sr-Latn-RS"/>
        </w:rPr>
        <w:t xml:space="preserve"> CRS-a</w:t>
      </w:r>
    </w:p>
    <w:p w14:paraId="13284E62" w14:textId="1CB61667" w:rsidR="00596AC6" w:rsidRPr="00314AC9" w:rsidRDefault="006658F1">
      <w:pPr>
        <w:pStyle w:val="BodyText"/>
        <w:jc w:val="both"/>
        <w:rPr>
          <w:sz w:val="20"/>
          <w:szCs w:val="20"/>
          <w:lang w:val="sr-Latn-RS"/>
        </w:rPr>
      </w:pPr>
      <w:r w:rsidRPr="00314AC9">
        <w:rPr>
          <w:sz w:val="20"/>
          <w:szCs w:val="20"/>
          <w:vertAlign w:val="superscript"/>
          <w:lang w:val="sr-Latn-RS"/>
        </w:rPr>
        <w:t>5</w:t>
      </w:r>
      <w:r w:rsidRPr="00314AC9">
        <w:rPr>
          <w:sz w:val="20"/>
          <w:szCs w:val="20"/>
          <w:lang w:val="sr-Latn-RS"/>
        </w:rPr>
        <w:t xml:space="preserve"> Ako ne dođe do kliničkog poboljšanja znakova i simptoma CRS-a nakon prve doze, druga doza intravenski prim</w:t>
      </w:r>
      <w:r w:rsidR="00D34F0C" w:rsidRPr="00314AC9">
        <w:rPr>
          <w:sz w:val="20"/>
          <w:szCs w:val="20"/>
          <w:lang w:val="sr-Latn-RS"/>
        </w:rPr>
        <w:t>i</w:t>
      </w:r>
      <w:r w:rsidR="00FD557E" w:rsidRPr="00314AC9">
        <w:rPr>
          <w:sz w:val="20"/>
          <w:szCs w:val="20"/>
          <w:lang w:val="sr-Latn-RS"/>
        </w:rPr>
        <w:t>j</w:t>
      </w:r>
      <w:r w:rsidRPr="00314AC9">
        <w:rPr>
          <w:sz w:val="20"/>
          <w:szCs w:val="20"/>
          <w:lang w:val="sr-Latn-RS"/>
        </w:rPr>
        <w:t xml:space="preserve">enjenog tocilizumaba od 8 mg/kg se može </w:t>
      </w:r>
      <w:r w:rsidR="00FD557E" w:rsidRPr="00314AC9">
        <w:rPr>
          <w:sz w:val="20"/>
          <w:szCs w:val="20"/>
          <w:lang w:val="sr-Latn-RS"/>
        </w:rPr>
        <w:t>prim</w:t>
      </w:r>
      <w:r w:rsidR="0083711F" w:rsidRPr="00314AC9">
        <w:rPr>
          <w:sz w:val="20"/>
          <w:szCs w:val="20"/>
          <w:lang w:val="sr-Latn-RS"/>
        </w:rPr>
        <w:t>i</w:t>
      </w:r>
      <w:r w:rsidR="00FD557E" w:rsidRPr="00314AC9">
        <w:rPr>
          <w:sz w:val="20"/>
          <w:szCs w:val="20"/>
          <w:lang w:val="sr-Latn-RS"/>
        </w:rPr>
        <w:t>jeni</w:t>
      </w:r>
      <w:r w:rsidRPr="00314AC9">
        <w:rPr>
          <w:sz w:val="20"/>
          <w:szCs w:val="20"/>
          <w:lang w:val="sr-Latn-RS"/>
        </w:rPr>
        <w:t>ti u razmaku od najmanje 8 sati (maksimalno 2 doze po CRS događaju). U svakom vr</w:t>
      </w:r>
      <w:r w:rsidR="00FD557E" w:rsidRPr="00314AC9">
        <w:rPr>
          <w:sz w:val="20"/>
          <w:szCs w:val="20"/>
          <w:lang w:val="sr-Latn-RS"/>
        </w:rPr>
        <w:t>ij</w:t>
      </w:r>
      <w:r w:rsidRPr="00314AC9">
        <w:rPr>
          <w:sz w:val="20"/>
          <w:szCs w:val="20"/>
          <w:lang w:val="sr-Latn-RS"/>
        </w:rPr>
        <w:t xml:space="preserve">emenskom periodu od 6 </w:t>
      </w:r>
      <w:r w:rsidR="00FD557E" w:rsidRPr="00314AC9">
        <w:rPr>
          <w:sz w:val="20"/>
          <w:szCs w:val="20"/>
          <w:lang w:val="sr-Latn-RS"/>
        </w:rPr>
        <w:t>nedjelja</w:t>
      </w:r>
      <w:r w:rsidRPr="00314AC9">
        <w:rPr>
          <w:sz w:val="20"/>
          <w:szCs w:val="20"/>
          <w:lang w:val="sr-Latn-RS"/>
        </w:rPr>
        <w:t xml:space="preserve"> </w:t>
      </w:r>
      <w:r w:rsidR="00FD557E" w:rsidRPr="00314AC9">
        <w:rPr>
          <w:sz w:val="20"/>
          <w:szCs w:val="20"/>
          <w:lang w:val="sr-Latn-RS"/>
        </w:rPr>
        <w:t>liječenja</w:t>
      </w:r>
      <w:r w:rsidRPr="00314AC9">
        <w:rPr>
          <w:sz w:val="20"/>
          <w:szCs w:val="20"/>
          <w:lang w:val="sr-Latn-RS"/>
        </w:rPr>
        <w:t xml:space="preserve"> </w:t>
      </w:r>
      <w:r w:rsidR="00FD557E" w:rsidRPr="00314AC9">
        <w:rPr>
          <w:sz w:val="20"/>
          <w:szCs w:val="20"/>
          <w:lang w:val="sr-Latn-RS"/>
        </w:rPr>
        <w:t>lijek</w:t>
      </w:r>
      <w:r w:rsidRPr="00314AC9">
        <w:rPr>
          <w:sz w:val="20"/>
          <w:szCs w:val="20"/>
          <w:lang w:val="sr-Latn-RS"/>
        </w:rPr>
        <w:t>om Lunsumio, ukupna količina doza tocilizumaba ne bi trebalo da prelazi 3 doze</w:t>
      </w:r>
    </w:p>
    <w:p w14:paraId="0C53C96A" w14:textId="77777777" w:rsidR="00596AC6" w:rsidRPr="00314AC9" w:rsidRDefault="006658F1" w:rsidP="00314AC9">
      <w:pPr>
        <w:pStyle w:val="BodyText"/>
        <w:jc w:val="both"/>
        <w:rPr>
          <w:sz w:val="20"/>
          <w:szCs w:val="20"/>
          <w:lang w:val="sr-Latn-RS"/>
        </w:rPr>
      </w:pPr>
      <w:r w:rsidRPr="00314AC9">
        <w:rPr>
          <w:sz w:val="20"/>
          <w:szCs w:val="20"/>
          <w:vertAlign w:val="superscript"/>
          <w:lang w:val="sr-Latn-RS"/>
        </w:rPr>
        <w:t>6</w:t>
      </w:r>
      <w:r w:rsidRPr="00314AC9">
        <w:rPr>
          <w:sz w:val="20"/>
          <w:szCs w:val="20"/>
          <w:lang w:val="sr-Latn-RS"/>
        </w:rPr>
        <w:t xml:space="preserve"> Kiseonik niskog protoka se definiše kao kiseonik koji se isporučuje &lt;6 l/min.</w:t>
      </w:r>
    </w:p>
    <w:p w14:paraId="0562A9C0" w14:textId="357057FA" w:rsidR="00596AC6" w:rsidRPr="00314AC9" w:rsidRDefault="006658F1" w:rsidP="00314AC9">
      <w:pPr>
        <w:pStyle w:val="BodyText"/>
        <w:jc w:val="both"/>
        <w:rPr>
          <w:sz w:val="20"/>
          <w:szCs w:val="20"/>
          <w:lang w:val="sr-Latn-RS"/>
        </w:rPr>
      </w:pPr>
      <w:r w:rsidRPr="00314AC9">
        <w:rPr>
          <w:sz w:val="20"/>
          <w:szCs w:val="20"/>
          <w:vertAlign w:val="superscript"/>
          <w:lang w:val="sr-Latn-RS"/>
        </w:rPr>
        <w:t xml:space="preserve">7 </w:t>
      </w:r>
      <w:r w:rsidRPr="00314AC9">
        <w:rPr>
          <w:sz w:val="20"/>
          <w:szCs w:val="20"/>
          <w:lang w:val="sr-Latn-RS"/>
        </w:rPr>
        <w:t>Vid</w:t>
      </w:r>
      <w:r w:rsidR="00FD557E" w:rsidRPr="00314AC9">
        <w:rPr>
          <w:sz w:val="20"/>
          <w:szCs w:val="20"/>
          <w:lang w:val="sr-Latn-RS"/>
        </w:rPr>
        <w:t>j</w:t>
      </w:r>
      <w:r w:rsidRPr="00314AC9">
        <w:rPr>
          <w:sz w:val="20"/>
          <w:szCs w:val="20"/>
          <w:lang w:val="sr-Latn-RS"/>
        </w:rPr>
        <w:t>eti Tabelu 1 za dodatne informacije</w:t>
      </w:r>
    </w:p>
    <w:p w14:paraId="3516CDBE" w14:textId="77777777" w:rsidR="00596AC6" w:rsidRPr="00314AC9" w:rsidRDefault="006658F1" w:rsidP="00314AC9">
      <w:pPr>
        <w:pStyle w:val="BodyText"/>
        <w:jc w:val="both"/>
        <w:rPr>
          <w:sz w:val="20"/>
          <w:szCs w:val="20"/>
          <w:lang w:val="sr-Latn-RS"/>
        </w:rPr>
      </w:pPr>
      <w:r w:rsidRPr="00314AC9">
        <w:rPr>
          <w:sz w:val="20"/>
          <w:szCs w:val="20"/>
          <w:vertAlign w:val="superscript"/>
          <w:lang w:val="sr-Latn-RS"/>
        </w:rPr>
        <w:t>8</w:t>
      </w:r>
      <w:r w:rsidRPr="00314AC9">
        <w:rPr>
          <w:sz w:val="20"/>
          <w:szCs w:val="20"/>
          <w:lang w:val="sr-Latn-RS"/>
        </w:rPr>
        <w:t xml:space="preserve"> Kiseonik visokog protoka se definiše kao kiseonik koji se isporučuje ≥6 l/min</w:t>
      </w:r>
    </w:p>
    <w:p w14:paraId="46DFC532" w14:textId="77777777" w:rsidR="00596AC6" w:rsidRPr="00314AC9" w:rsidRDefault="006658F1" w:rsidP="00314AC9">
      <w:pPr>
        <w:pStyle w:val="BodyText"/>
        <w:jc w:val="both"/>
        <w:rPr>
          <w:sz w:val="20"/>
          <w:szCs w:val="20"/>
          <w:lang w:val="sr-Latn-RS"/>
        </w:rPr>
      </w:pPr>
      <w:r w:rsidRPr="00314AC9">
        <w:rPr>
          <w:sz w:val="20"/>
          <w:szCs w:val="20"/>
          <w:vertAlign w:val="superscript"/>
          <w:lang w:val="sr-Latn-RS"/>
        </w:rPr>
        <w:lastRenderedPageBreak/>
        <w:t xml:space="preserve">9 </w:t>
      </w:r>
      <w:r w:rsidRPr="00314AC9">
        <w:rPr>
          <w:sz w:val="20"/>
          <w:szCs w:val="20"/>
          <w:lang w:val="sr-Latn-RS"/>
        </w:rPr>
        <w:t>Riegler, L. i dr. (2019)</w:t>
      </w:r>
    </w:p>
    <w:p w14:paraId="4975F620" w14:textId="77777777" w:rsidR="00596AC6" w:rsidRPr="00580C63" w:rsidRDefault="00596AC6" w:rsidP="00A441B5">
      <w:pPr>
        <w:pStyle w:val="BodyText"/>
        <w:spacing w:before="6"/>
        <w:jc w:val="both"/>
        <w:rPr>
          <w:lang w:val="sr-Latn-RS"/>
        </w:rPr>
      </w:pPr>
    </w:p>
    <w:p w14:paraId="4D6FFCDF" w14:textId="77777777" w:rsidR="00596AC6" w:rsidRPr="00580C63" w:rsidRDefault="006658F1">
      <w:pPr>
        <w:pStyle w:val="BodyText"/>
        <w:spacing w:before="91"/>
        <w:jc w:val="both"/>
        <w:rPr>
          <w:lang w:val="sr-Latn-RS"/>
        </w:rPr>
      </w:pPr>
      <w:r w:rsidRPr="00580C63">
        <w:rPr>
          <w:u w:val="single"/>
          <w:lang w:val="sr-Latn-RS"/>
        </w:rPr>
        <w:t>Posebne populacije</w:t>
      </w:r>
    </w:p>
    <w:p w14:paraId="5C44C948" w14:textId="77777777" w:rsidR="00596AC6" w:rsidRPr="00580C63" w:rsidRDefault="00596AC6">
      <w:pPr>
        <w:pStyle w:val="BodyText"/>
        <w:spacing w:before="1"/>
        <w:jc w:val="both"/>
        <w:rPr>
          <w:lang w:val="sr-Latn-RS"/>
        </w:rPr>
      </w:pPr>
    </w:p>
    <w:p w14:paraId="55EAB9EE" w14:textId="77777777" w:rsidR="00596AC6" w:rsidRPr="00580C63" w:rsidRDefault="006658F1">
      <w:pPr>
        <w:jc w:val="both"/>
        <w:rPr>
          <w:i/>
          <w:lang w:val="sr-Latn-RS"/>
        </w:rPr>
      </w:pPr>
      <w:r w:rsidRPr="00580C63">
        <w:rPr>
          <w:i/>
          <w:iCs/>
          <w:lang w:val="sr-Latn-RS"/>
        </w:rPr>
        <w:t>Starije osobe</w:t>
      </w:r>
    </w:p>
    <w:p w14:paraId="28EBB315" w14:textId="77777777" w:rsidR="00596AC6" w:rsidRPr="00580C63" w:rsidRDefault="00596AC6">
      <w:pPr>
        <w:pStyle w:val="BodyText"/>
        <w:jc w:val="both"/>
        <w:rPr>
          <w:i/>
          <w:lang w:val="sr-Latn-RS"/>
        </w:rPr>
      </w:pPr>
    </w:p>
    <w:p w14:paraId="7541FB60" w14:textId="3480EDF8" w:rsidR="00596AC6" w:rsidRPr="00580C63" w:rsidRDefault="006658F1">
      <w:pPr>
        <w:pStyle w:val="BodyText"/>
        <w:jc w:val="both"/>
        <w:rPr>
          <w:lang w:val="sr-Latn-RS"/>
        </w:rPr>
      </w:pPr>
      <w:r w:rsidRPr="00580C63">
        <w:rPr>
          <w:lang w:val="sr-Latn-RS"/>
        </w:rPr>
        <w:t xml:space="preserve">Nije potrebno prilagođavanje doze </w:t>
      </w:r>
      <w:r w:rsidR="00FD557E" w:rsidRPr="00580C63">
        <w:rPr>
          <w:lang w:val="sr-Latn-RS"/>
        </w:rPr>
        <w:t>lijek</w:t>
      </w:r>
      <w:r w:rsidRPr="00580C63">
        <w:rPr>
          <w:lang w:val="sr-Latn-RS"/>
        </w:rPr>
        <w:t>a Lunsumio za pacijente ≥ 65 godina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5.2).</w:t>
      </w:r>
    </w:p>
    <w:p w14:paraId="7F558E67" w14:textId="77777777" w:rsidR="00596AC6" w:rsidRPr="00580C63" w:rsidRDefault="00596AC6">
      <w:pPr>
        <w:pStyle w:val="BodyText"/>
        <w:jc w:val="both"/>
        <w:rPr>
          <w:lang w:val="sr-Latn-RS"/>
        </w:rPr>
      </w:pPr>
    </w:p>
    <w:p w14:paraId="1045016D" w14:textId="77777777" w:rsidR="00596AC6" w:rsidRPr="00580C63" w:rsidRDefault="006658F1">
      <w:pPr>
        <w:jc w:val="both"/>
        <w:rPr>
          <w:i/>
          <w:lang w:val="sr-Latn-RS"/>
        </w:rPr>
      </w:pPr>
      <w:r w:rsidRPr="00580C63">
        <w:rPr>
          <w:i/>
          <w:iCs/>
          <w:lang w:val="sr-Latn-RS"/>
        </w:rPr>
        <w:t>Oštećenje funkcije bubrega</w:t>
      </w:r>
    </w:p>
    <w:p w14:paraId="42547DC0" w14:textId="77777777" w:rsidR="00596AC6" w:rsidRPr="00580C63" w:rsidRDefault="00596AC6">
      <w:pPr>
        <w:pStyle w:val="BodyText"/>
        <w:jc w:val="both"/>
        <w:rPr>
          <w:i/>
          <w:lang w:val="sr-Latn-RS"/>
        </w:rPr>
      </w:pPr>
    </w:p>
    <w:p w14:paraId="3E690FB5" w14:textId="69D82717"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nije ispitivan kod pacijenata sa teškim oštećenjem funkcije bubrega. </w:t>
      </w:r>
      <w:r w:rsidR="00BC05FE">
        <w:rPr>
          <w:lang w:val="sr-Latn-RS"/>
        </w:rPr>
        <w:t>S obzirom na farmakokinetiku lijeka smatra se da p</w:t>
      </w:r>
      <w:r w:rsidR="006658F1" w:rsidRPr="00580C63">
        <w:rPr>
          <w:lang w:val="sr-Latn-RS"/>
        </w:rPr>
        <w:t xml:space="preserve">rilagođavanje doze nije potrebno kod pacijenata sa blagim do </w:t>
      </w:r>
      <w:r w:rsidRPr="00580C63">
        <w:rPr>
          <w:lang w:val="sr-Latn-RS"/>
        </w:rPr>
        <w:t>umjerenim</w:t>
      </w:r>
      <w:r w:rsidR="006658F1" w:rsidRPr="00580C63">
        <w:rPr>
          <w:lang w:val="sr-Latn-RS"/>
        </w:rPr>
        <w:t xml:space="preserve"> oštećenjem funkcije bubrega (</w:t>
      </w:r>
      <w:r w:rsidR="0083711F" w:rsidRPr="00580C63">
        <w:rPr>
          <w:lang w:val="sr-Latn-RS"/>
        </w:rPr>
        <w:t>vidjeti</w:t>
      </w:r>
      <w:r w:rsidR="006658F1" w:rsidRPr="00580C63">
        <w:rPr>
          <w:lang w:val="sr-Latn-RS"/>
        </w:rPr>
        <w:t xml:space="preserve"> </w:t>
      </w:r>
      <w:r w:rsidRPr="00580C63">
        <w:rPr>
          <w:lang w:val="sr-Latn-RS"/>
        </w:rPr>
        <w:t>dio</w:t>
      </w:r>
      <w:r w:rsidR="006658F1" w:rsidRPr="00580C63">
        <w:rPr>
          <w:lang w:val="sr-Latn-RS"/>
        </w:rPr>
        <w:t xml:space="preserve"> 5.2).</w:t>
      </w:r>
    </w:p>
    <w:p w14:paraId="270C1F33" w14:textId="77777777" w:rsidR="00377066" w:rsidRPr="00580C63" w:rsidRDefault="00377066">
      <w:pPr>
        <w:pStyle w:val="BodyText"/>
        <w:jc w:val="both"/>
        <w:rPr>
          <w:lang w:val="sr-Latn-RS"/>
        </w:rPr>
      </w:pPr>
    </w:p>
    <w:p w14:paraId="296E120C" w14:textId="77777777" w:rsidR="00596AC6" w:rsidRPr="00580C63" w:rsidRDefault="006658F1">
      <w:pPr>
        <w:jc w:val="both"/>
        <w:rPr>
          <w:i/>
          <w:lang w:val="sr-Latn-RS"/>
        </w:rPr>
      </w:pPr>
      <w:r w:rsidRPr="00580C63">
        <w:rPr>
          <w:i/>
          <w:iCs/>
          <w:lang w:val="sr-Latn-RS"/>
        </w:rPr>
        <w:t>Oštećenje funkcije jetre</w:t>
      </w:r>
    </w:p>
    <w:p w14:paraId="7EB721CF" w14:textId="77777777" w:rsidR="00596AC6" w:rsidRPr="00580C63" w:rsidRDefault="00596AC6">
      <w:pPr>
        <w:pStyle w:val="BodyText"/>
        <w:jc w:val="both"/>
        <w:rPr>
          <w:i/>
          <w:lang w:val="sr-Latn-RS"/>
        </w:rPr>
      </w:pPr>
    </w:p>
    <w:p w14:paraId="5298FF07" w14:textId="6A08712B"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nije ispitivan kod pacijenata sa teškim oštećenjem funkcije jetre. </w:t>
      </w:r>
      <w:r w:rsidR="00BC05FE">
        <w:rPr>
          <w:lang w:val="sr-Latn-RS"/>
        </w:rPr>
        <w:t>S obzirom na farmakokinetiku lijeka smatra se da pr</w:t>
      </w:r>
      <w:r w:rsidR="006658F1" w:rsidRPr="00580C63">
        <w:rPr>
          <w:lang w:val="sr-Latn-RS"/>
        </w:rPr>
        <w:t xml:space="preserve">ilagođavanje doze nije potrebno </w:t>
      </w:r>
      <w:r w:rsidR="00BC05FE">
        <w:rPr>
          <w:lang w:val="sr-Latn-RS"/>
        </w:rPr>
        <w:t>kod pacijenata sa oštećenjem funkcije jetre</w:t>
      </w:r>
      <w:r w:rsidR="006658F1" w:rsidRPr="00580C63">
        <w:rPr>
          <w:lang w:val="sr-Latn-RS"/>
        </w:rPr>
        <w:t xml:space="preserve"> (</w:t>
      </w:r>
      <w:r w:rsidR="0083711F" w:rsidRPr="00580C63">
        <w:rPr>
          <w:lang w:val="sr-Latn-RS"/>
        </w:rPr>
        <w:t>vidjeti</w:t>
      </w:r>
      <w:r w:rsidR="006658F1" w:rsidRPr="00580C63">
        <w:rPr>
          <w:lang w:val="sr-Latn-RS"/>
        </w:rPr>
        <w:t xml:space="preserve"> </w:t>
      </w:r>
      <w:r w:rsidRPr="00580C63">
        <w:rPr>
          <w:lang w:val="sr-Latn-RS"/>
        </w:rPr>
        <w:t>dio</w:t>
      </w:r>
      <w:r w:rsidR="006658F1" w:rsidRPr="00580C63">
        <w:rPr>
          <w:lang w:val="sr-Latn-RS"/>
        </w:rPr>
        <w:t xml:space="preserve"> 5.2).</w:t>
      </w:r>
    </w:p>
    <w:p w14:paraId="527CA10F" w14:textId="77777777" w:rsidR="00596AC6" w:rsidRPr="00580C63" w:rsidRDefault="00596AC6">
      <w:pPr>
        <w:pStyle w:val="BodyText"/>
        <w:jc w:val="both"/>
        <w:rPr>
          <w:lang w:val="sr-Latn-RS"/>
        </w:rPr>
      </w:pPr>
    </w:p>
    <w:p w14:paraId="123B9D69" w14:textId="77777777" w:rsidR="00596AC6" w:rsidRPr="00580C63" w:rsidRDefault="006658F1">
      <w:pPr>
        <w:jc w:val="both"/>
        <w:rPr>
          <w:i/>
          <w:lang w:val="sr-Latn-RS"/>
        </w:rPr>
      </w:pPr>
      <w:r w:rsidRPr="00580C63">
        <w:rPr>
          <w:i/>
          <w:iCs/>
          <w:lang w:val="sr-Latn-RS"/>
        </w:rPr>
        <w:t>Pedijatrijska populacija</w:t>
      </w:r>
    </w:p>
    <w:p w14:paraId="14127A46" w14:textId="77777777" w:rsidR="00596AC6" w:rsidRPr="00580C63" w:rsidRDefault="00596AC6">
      <w:pPr>
        <w:pStyle w:val="BodyText"/>
        <w:jc w:val="both"/>
        <w:rPr>
          <w:i/>
          <w:lang w:val="sr-Latn-RS"/>
        </w:rPr>
      </w:pPr>
    </w:p>
    <w:p w14:paraId="13381D50" w14:textId="31D4E855" w:rsidR="00AC7B20" w:rsidRPr="00580C63" w:rsidRDefault="00FD557E">
      <w:pPr>
        <w:pStyle w:val="BodyText"/>
        <w:spacing w:line="480" w:lineRule="auto"/>
        <w:jc w:val="both"/>
        <w:rPr>
          <w:lang w:val="sr-Latn-RS"/>
        </w:rPr>
      </w:pPr>
      <w:r w:rsidRPr="00580C63">
        <w:rPr>
          <w:lang w:val="sr-Latn-RS"/>
        </w:rPr>
        <w:t>Bezbjednost</w:t>
      </w:r>
      <w:r w:rsidR="006658F1" w:rsidRPr="00580C63">
        <w:rPr>
          <w:lang w:val="sr-Latn-RS"/>
        </w:rPr>
        <w:t xml:space="preserve"> i efikasnost </w:t>
      </w:r>
      <w:r w:rsidRPr="00580C63">
        <w:rPr>
          <w:lang w:val="sr-Latn-RS"/>
        </w:rPr>
        <w:t>lijek</w:t>
      </w:r>
      <w:r w:rsidR="006658F1" w:rsidRPr="00580C63">
        <w:rPr>
          <w:lang w:val="sr-Latn-RS"/>
        </w:rPr>
        <w:t>a Lunsumio kod d</w:t>
      </w:r>
      <w:r w:rsidRPr="00580C63">
        <w:rPr>
          <w:lang w:val="sr-Latn-RS"/>
        </w:rPr>
        <w:t>j</w:t>
      </w:r>
      <w:r w:rsidR="006658F1" w:rsidRPr="00580C63">
        <w:rPr>
          <w:lang w:val="sr-Latn-RS"/>
        </w:rPr>
        <w:t xml:space="preserve">ece mlađe od 18 godina nije ustanovljena. </w:t>
      </w:r>
    </w:p>
    <w:p w14:paraId="23E97A97" w14:textId="7F7840ED" w:rsidR="00596AC6" w:rsidRPr="00580C63" w:rsidRDefault="006658F1">
      <w:pPr>
        <w:pStyle w:val="BodyText"/>
        <w:spacing w:line="480" w:lineRule="auto"/>
        <w:jc w:val="both"/>
        <w:rPr>
          <w:lang w:val="sr-Latn-RS"/>
        </w:rPr>
      </w:pPr>
      <w:r w:rsidRPr="00580C63">
        <w:rPr>
          <w:u w:val="single"/>
          <w:lang w:val="sr-Latn-RS"/>
        </w:rPr>
        <w:t>Način prim</w:t>
      </w:r>
      <w:r w:rsidR="00FD557E" w:rsidRPr="00580C63">
        <w:rPr>
          <w:u w:val="single"/>
          <w:lang w:val="sr-Latn-RS"/>
        </w:rPr>
        <w:t>j</w:t>
      </w:r>
      <w:r w:rsidRPr="00580C63">
        <w:rPr>
          <w:u w:val="single"/>
          <w:lang w:val="sr-Latn-RS"/>
        </w:rPr>
        <w:t>ene</w:t>
      </w:r>
    </w:p>
    <w:p w14:paraId="4F10BE4F" w14:textId="4C365588"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je namenjen isključivo za intravensku </w:t>
      </w:r>
      <w:r w:rsidRPr="00580C63">
        <w:rPr>
          <w:lang w:val="sr-Latn-RS"/>
        </w:rPr>
        <w:t>primjenu</w:t>
      </w:r>
      <w:r w:rsidR="006658F1" w:rsidRPr="00580C63">
        <w:rPr>
          <w:lang w:val="sr-Latn-RS"/>
        </w:rPr>
        <w:t>.</w:t>
      </w:r>
    </w:p>
    <w:p w14:paraId="5061B32A" w14:textId="77777777" w:rsidR="00596AC6" w:rsidRPr="00580C63" w:rsidRDefault="00596AC6">
      <w:pPr>
        <w:pStyle w:val="BodyText"/>
        <w:jc w:val="both"/>
        <w:rPr>
          <w:lang w:val="sr-Latn-RS"/>
        </w:rPr>
      </w:pPr>
    </w:p>
    <w:p w14:paraId="4F2343A0" w14:textId="311D9B34"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se mora razblažiti prim</w:t>
      </w:r>
      <w:r w:rsidR="0083711F" w:rsidRPr="00580C63">
        <w:rPr>
          <w:lang w:val="sr-Latn-RS"/>
        </w:rPr>
        <w:t>j</w:t>
      </w:r>
      <w:r w:rsidR="006658F1" w:rsidRPr="00580C63">
        <w:rPr>
          <w:lang w:val="sr-Latn-RS"/>
        </w:rPr>
        <w:t xml:space="preserve">enom aseptične tehnike, pod nadzorom zdravstvenog radnika. Daje se kao intravenska infuzija kroz posebnu liniju za infuziju. Nemojte koristiti filter u infuzionom vodu </w:t>
      </w:r>
      <w:r w:rsidR="00923F74" w:rsidRPr="00AE5391">
        <w:rPr>
          <w:lang w:val="de-DE"/>
        </w:rPr>
        <w:t>(</w:t>
      </w:r>
      <w:r w:rsidR="00923F74" w:rsidRPr="00AE5391">
        <w:rPr>
          <w:i/>
          <w:iCs/>
          <w:lang w:val="de-DE"/>
        </w:rPr>
        <w:t>in-line</w:t>
      </w:r>
      <w:r w:rsidR="00923F74" w:rsidRPr="00AE5391">
        <w:rPr>
          <w:lang w:val="de-DE"/>
        </w:rPr>
        <w:t xml:space="preserve">) </w:t>
      </w:r>
      <w:r w:rsidR="006658F1" w:rsidRPr="00580C63">
        <w:rPr>
          <w:lang w:val="sr-Latn-RS"/>
        </w:rPr>
        <w:t xml:space="preserve">za davanje </w:t>
      </w:r>
      <w:r w:rsidRPr="00580C63">
        <w:rPr>
          <w:lang w:val="sr-Latn-RS"/>
        </w:rPr>
        <w:t>lijek</w:t>
      </w:r>
      <w:r w:rsidR="006658F1" w:rsidRPr="00580C63">
        <w:rPr>
          <w:lang w:val="sr-Latn-RS"/>
        </w:rPr>
        <w:t xml:space="preserve">a Lunsumio. Filteri komore sistema za infuziju </w:t>
      </w:r>
      <w:r w:rsidR="00923F74" w:rsidRPr="00AE5391">
        <w:rPr>
          <w:lang w:val="de-DE"/>
        </w:rPr>
        <w:t xml:space="preserve">(engl. </w:t>
      </w:r>
      <w:r w:rsidR="00923F74" w:rsidRPr="00AE5391">
        <w:rPr>
          <w:i/>
          <w:iCs/>
          <w:lang w:val="de-DE"/>
        </w:rPr>
        <w:t>drip chamber filter</w:t>
      </w:r>
      <w:r w:rsidR="00923F74" w:rsidRPr="00AE5391">
        <w:rPr>
          <w:lang w:val="de-DE"/>
        </w:rPr>
        <w:t xml:space="preserve">) </w:t>
      </w:r>
      <w:r w:rsidR="006658F1" w:rsidRPr="00580C63">
        <w:rPr>
          <w:lang w:val="sr-Latn-RS"/>
        </w:rPr>
        <w:t xml:space="preserve">mogu se koristiti za davanje </w:t>
      </w:r>
      <w:r w:rsidRPr="00580C63">
        <w:rPr>
          <w:lang w:val="sr-Latn-RS"/>
        </w:rPr>
        <w:t>lijek</w:t>
      </w:r>
      <w:r w:rsidR="006658F1" w:rsidRPr="00580C63">
        <w:rPr>
          <w:lang w:val="sr-Latn-RS"/>
        </w:rPr>
        <w:t>a Lunsumio.</w:t>
      </w:r>
    </w:p>
    <w:p w14:paraId="16E62426" w14:textId="77777777" w:rsidR="00596AC6" w:rsidRPr="00580C63" w:rsidRDefault="00596AC6">
      <w:pPr>
        <w:pStyle w:val="BodyText"/>
        <w:jc w:val="both"/>
        <w:rPr>
          <w:lang w:val="sr-Latn-RS"/>
        </w:rPr>
      </w:pPr>
    </w:p>
    <w:p w14:paraId="1605832D" w14:textId="083C391E"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u 1. ciklusu treba davati u trajanju od najmanje 4 sata kao infuziju, intravenski. Ako je pacijent dobro podn</w:t>
      </w:r>
      <w:r w:rsidRPr="00580C63">
        <w:rPr>
          <w:lang w:val="sr-Latn-RS"/>
        </w:rPr>
        <w:t>i</w:t>
      </w:r>
      <w:r w:rsidR="006658F1" w:rsidRPr="00580C63">
        <w:rPr>
          <w:lang w:val="sr-Latn-RS"/>
        </w:rPr>
        <w:t xml:space="preserve">o infuzije u 1. ciklusu, </w:t>
      </w:r>
      <w:r w:rsidRPr="00580C63">
        <w:rPr>
          <w:lang w:val="sr-Latn-RS"/>
        </w:rPr>
        <w:t>sljedeća</w:t>
      </w:r>
      <w:r w:rsidR="006658F1" w:rsidRPr="00580C63">
        <w:rPr>
          <w:lang w:val="sr-Latn-RS"/>
        </w:rPr>
        <w:t xml:space="preserve"> infuzija </w:t>
      </w:r>
      <w:r w:rsidRPr="00580C63">
        <w:rPr>
          <w:lang w:val="sr-Latn-RS"/>
        </w:rPr>
        <w:t>lijek</w:t>
      </w:r>
      <w:r w:rsidR="006658F1" w:rsidRPr="00580C63">
        <w:rPr>
          <w:lang w:val="sr-Latn-RS"/>
        </w:rPr>
        <w:t>a Lunsumio u narednim ciklusima se može davati u trajanju od 2 sata.</w:t>
      </w:r>
    </w:p>
    <w:p w14:paraId="6C85FFC1" w14:textId="77777777" w:rsidR="00596AC6" w:rsidRPr="00580C63" w:rsidRDefault="00596AC6">
      <w:pPr>
        <w:pStyle w:val="BodyText"/>
        <w:jc w:val="both"/>
        <w:rPr>
          <w:lang w:val="sr-Latn-RS"/>
        </w:rPr>
      </w:pPr>
    </w:p>
    <w:p w14:paraId="6BB187F8" w14:textId="791DE82C"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se ne sm</w:t>
      </w:r>
      <w:r w:rsidR="00D34F0C" w:rsidRPr="00580C63">
        <w:rPr>
          <w:lang w:val="sr-Latn-RS"/>
        </w:rPr>
        <w:t>ij</w:t>
      </w:r>
      <w:r w:rsidR="006658F1" w:rsidRPr="00580C63">
        <w:rPr>
          <w:lang w:val="sr-Latn-RS"/>
        </w:rPr>
        <w:t>e davati kao brza ili bolusna intravenska injekcija.</w:t>
      </w:r>
    </w:p>
    <w:p w14:paraId="14BA34D9" w14:textId="77777777" w:rsidR="00596AC6" w:rsidRPr="00580C63" w:rsidRDefault="00596AC6">
      <w:pPr>
        <w:pStyle w:val="BodyText"/>
        <w:jc w:val="both"/>
        <w:rPr>
          <w:lang w:val="sr-Latn-RS"/>
        </w:rPr>
      </w:pPr>
    </w:p>
    <w:p w14:paraId="468A3722" w14:textId="7783E741" w:rsidR="00596AC6" w:rsidRPr="00580C63" w:rsidRDefault="006658F1">
      <w:pPr>
        <w:pStyle w:val="BodyText"/>
        <w:jc w:val="both"/>
        <w:rPr>
          <w:lang w:val="sr-Latn-RS"/>
        </w:rPr>
      </w:pPr>
      <w:r w:rsidRPr="00580C63">
        <w:rPr>
          <w:lang w:val="sr-Latn-RS"/>
        </w:rPr>
        <w:t xml:space="preserve">Za uputstva o razblaživanju </w:t>
      </w:r>
      <w:r w:rsidR="00FD557E" w:rsidRPr="00580C63">
        <w:rPr>
          <w:lang w:val="sr-Latn-RS"/>
        </w:rPr>
        <w:t>lijek</w:t>
      </w:r>
      <w:r w:rsidRPr="00580C63">
        <w:rPr>
          <w:lang w:val="sr-Latn-RS"/>
        </w:rPr>
        <w:t>a pre prim</w:t>
      </w:r>
      <w:r w:rsidR="0083711F" w:rsidRPr="00580C63">
        <w:rPr>
          <w:lang w:val="sr-Latn-RS"/>
        </w:rPr>
        <w:t>j</w:t>
      </w:r>
      <w:r w:rsidRPr="00580C63">
        <w:rPr>
          <w:lang w:val="sr-Latn-RS"/>
        </w:rPr>
        <w:t xml:space="preserve">ene,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xml:space="preserve"> 6.6.</w:t>
      </w:r>
    </w:p>
    <w:p w14:paraId="3F71E613" w14:textId="77777777" w:rsidR="00596AC6" w:rsidRPr="00580C63" w:rsidRDefault="00596AC6" w:rsidP="00A441B5">
      <w:pPr>
        <w:pStyle w:val="BodyText"/>
        <w:jc w:val="both"/>
        <w:rPr>
          <w:lang w:val="sr-Latn-RS"/>
        </w:rPr>
      </w:pPr>
    </w:p>
    <w:p w14:paraId="0F942EC3" w14:textId="77777777" w:rsidR="00596AC6" w:rsidRPr="00580C63" w:rsidRDefault="006658F1" w:rsidP="00A441B5">
      <w:pPr>
        <w:pStyle w:val="Heading1"/>
        <w:numPr>
          <w:ilvl w:val="1"/>
          <w:numId w:val="13"/>
        </w:numPr>
        <w:tabs>
          <w:tab w:val="left" w:pos="677"/>
          <w:tab w:val="left" w:pos="678"/>
        </w:tabs>
        <w:ind w:hanging="677"/>
        <w:jc w:val="both"/>
        <w:rPr>
          <w:lang w:val="sr-Latn-RS"/>
        </w:rPr>
      </w:pPr>
      <w:bookmarkStart w:id="6" w:name="4.3_Contraindications"/>
      <w:bookmarkEnd w:id="6"/>
      <w:r w:rsidRPr="00580C63">
        <w:rPr>
          <w:lang w:val="sr-Latn-RS"/>
        </w:rPr>
        <w:t>Kontraindikacije</w:t>
      </w:r>
    </w:p>
    <w:p w14:paraId="42D2A9BC" w14:textId="77777777" w:rsidR="00596AC6" w:rsidRPr="00580C63" w:rsidRDefault="00596AC6" w:rsidP="00A441B5">
      <w:pPr>
        <w:pStyle w:val="BodyText"/>
        <w:jc w:val="both"/>
        <w:rPr>
          <w:b/>
          <w:lang w:val="sr-Latn-RS"/>
        </w:rPr>
      </w:pPr>
    </w:p>
    <w:p w14:paraId="26C6624C" w14:textId="6F25CDB6" w:rsidR="00596AC6" w:rsidRPr="00580C63" w:rsidRDefault="006658F1">
      <w:pPr>
        <w:pStyle w:val="BodyText"/>
        <w:jc w:val="both"/>
        <w:rPr>
          <w:lang w:val="sr-Latn-RS"/>
        </w:rPr>
      </w:pPr>
      <w:r w:rsidRPr="00580C63">
        <w:rPr>
          <w:lang w:val="sr-Latn-RS"/>
        </w:rPr>
        <w:t xml:space="preserve">Preosetljivost na aktivnu supstancu ili neku od pomoćnih supstanci navedenih u </w:t>
      </w:r>
      <w:r w:rsidR="00DC76BF" w:rsidRPr="00580C63">
        <w:rPr>
          <w:lang w:val="sr-Latn-RS"/>
        </w:rPr>
        <w:t xml:space="preserve">dijelu </w:t>
      </w:r>
      <w:r w:rsidRPr="00580C63">
        <w:rPr>
          <w:lang w:val="sr-Latn-RS"/>
        </w:rPr>
        <w:t>6.1.</w:t>
      </w:r>
    </w:p>
    <w:p w14:paraId="23B5BEA6" w14:textId="77777777" w:rsidR="00596AC6" w:rsidRPr="00580C63" w:rsidRDefault="00596AC6" w:rsidP="00A441B5">
      <w:pPr>
        <w:pStyle w:val="BodyText"/>
        <w:jc w:val="both"/>
        <w:rPr>
          <w:lang w:val="sr-Latn-RS"/>
        </w:rPr>
      </w:pPr>
    </w:p>
    <w:p w14:paraId="0E5FB342" w14:textId="0498E4F0" w:rsidR="00596AC6" w:rsidRPr="00580C63" w:rsidRDefault="006658F1" w:rsidP="00A441B5">
      <w:pPr>
        <w:pStyle w:val="Heading1"/>
        <w:numPr>
          <w:ilvl w:val="1"/>
          <w:numId w:val="13"/>
        </w:numPr>
        <w:tabs>
          <w:tab w:val="left" w:pos="677"/>
          <w:tab w:val="left" w:pos="678"/>
        </w:tabs>
        <w:ind w:hanging="677"/>
        <w:jc w:val="both"/>
        <w:rPr>
          <w:lang w:val="sr-Latn-RS"/>
        </w:rPr>
      </w:pPr>
      <w:bookmarkStart w:id="7" w:name="4.4_Special_warnings_and_precautions_for"/>
      <w:bookmarkEnd w:id="7"/>
      <w:r w:rsidRPr="00580C63">
        <w:rPr>
          <w:lang w:val="sr-Latn-RS"/>
        </w:rPr>
        <w:t>Posebna upozorenja i m</w:t>
      </w:r>
      <w:r w:rsidR="0073308C" w:rsidRPr="00580C63">
        <w:rPr>
          <w:lang w:val="sr-Latn-RS"/>
        </w:rPr>
        <w:t>j</w:t>
      </w:r>
      <w:r w:rsidRPr="00580C63">
        <w:rPr>
          <w:lang w:val="sr-Latn-RS"/>
        </w:rPr>
        <w:t xml:space="preserve">ere opreza pri upotrebi </w:t>
      </w:r>
      <w:r w:rsidR="0073308C" w:rsidRPr="00580C63">
        <w:rPr>
          <w:lang w:val="sr-Latn-RS"/>
        </w:rPr>
        <w:t>l</w:t>
      </w:r>
      <w:r w:rsidR="00FD557E" w:rsidRPr="00580C63">
        <w:rPr>
          <w:lang w:val="sr-Latn-RS"/>
        </w:rPr>
        <w:t>ijek</w:t>
      </w:r>
      <w:r w:rsidRPr="00580C63">
        <w:rPr>
          <w:lang w:val="sr-Latn-RS"/>
        </w:rPr>
        <w:t>a</w:t>
      </w:r>
    </w:p>
    <w:p w14:paraId="086CB35C" w14:textId="77777777" w:rsidR="00596AC6" w:rsidRPr="00580C63" w:rsidRDefault="00596AC6" w:rsidP="00A441B5">
      <w:pPr>
        <w:pStyle w:val="BodyText"/>
        <w:jc w:val="both"/>
        <w:rPr>
          <w:b/>
          <w:lang w:val="sr-Latn-RS"/>
        </w:rPr>
      </w:pPr>
    </w:p>
    <w:p w14:paraId="4D2995BB" w14:textId="1851BC40" w:rsidR="00596AC6" w:rsidRPr="00580C63" w:rsidRDefault="006658F1">
      <w:pPr>
        <w:pStyle w:val="BodyText"/>
        <w:jc w:val="both"/>
        <w:rPr>
          <w:lang w:val="sr-Latn-RS"/>
        </w:rPr>
      </w:pPr>
      <w:r w:rsidRPr="00580C63">
        <w:rPr>
          <w:u w:val="single"/>
          <w:lang w:val="sr-Latn-RS"/>
        </w:rPr>
        <w:t>Sledljivost</w:t>
      </w:r>
    </w:p>
    <w:p w14:paraId="4F620172" w14:textId="77777777" w:rsidR="00596AC6" w:rsidRPr="00580C63" w:rsidRDefault="00596AC6">
      <w:pPr>
        <w:pStyle w:val="BodyText"/>
        <w:jc w:val="both"/>
        <w:rPr>
          <w:lang w:val="sr-Latn-RS"/>
        </w:rPr>
      </w:pPr>
    </w:p>
    <w:p w14:paraId="7DDE5C6F" w14:textId="7730187A" w:rsidR="00596AC6" w:rsidRPr="00580C63" w:rsidRDefault="006658F1">
      <w:pPr>
        <w:pStyle w:val="BodyText"/>
        <w:jc w:val="both"/>
        <w:rPr>
          <w:lang w:val="sr-Latn-RS"/>
        </w:rPr>
      </w:pPr>
      <w:r w:rsidRPr="00580C63">
        <w:rPr>
          <w:lang w:val="sr-Latn-RS"/>
        </w:rPr>
        <w:t xml:space="preserve">Kako bi se poboljšala sledljivost biološkog </w:t>
      </w:r>
      <w:r w:rsidR="00FD557E" w:rsidRPr="00580C63">
        <w:rPr>
          <w:lang w:val="sr-Latn-RS"/>
        </w:rPr>
        <w:t>lijek</w:t>
      </w:r>
      <w:r w:rsidRPr="00580C63">
        <w:rPr>
          <w:lang w:val="sr-Latn-RS"/>
        </w:rPr>
        <w:t>a, potrebno je jasno zab</w:t>
      </w:r>
      <w:r w:rsidR="00783A5B" w:rsidRPr="00580C63">
        <w:rPr>
          <w:lang w:val="sr-Latn-RS"/>
        </w:rPr>
        <w:t>i</w:t>
      </w:r>
      <w:r w:rsidRPr="00580C63">
        <w:rPr>
          <w:lang w:val="sr-Latn-RS"/>
        </w:rPr>
        <w:t>l</w:t>
      </w:r>
      <w:r w:rsidR="00FD557E" w:rsidRPr="00580C63">
        <w:rPr>
          <w:lang w:val="sr-Latn-RS"/>
        </w:rPr>
        <w:t>j</w:t>
      </w:r>
      <w:r w:rsidRPr="00580C63">
        <w:rPr>
          <w:lang w:val="sr-Latn-RS"/>
        </w:rPr>
        <w:t xml:space="preserve">ežiti naziv </w:t>
      </w:r>
      <w:r w:rsidR="00FD557E" w:rsidRPr="00580C63">
        <w:rPr>
          <w:lang w:val="sr-Latn-RS"/>
        </w:rPr>
        <w:t>lijek</w:t>
      </w:r>
      <w:r w:rsidRPr="00580C63">
        <w:rPr>
          <w:lang w:val="sr-Latn-RS"/>
        </w:rPr>
        <w:t>a i broj serije prim</w:t>
      </w:r>
      <w:r w:rsidR="00783A5B" w:rsidRPr="00580C63">
        <w:rPr>
          <w:lang w:val="sr-Latn-RS"/>
        </w:rPr>
        <w:t>i</w:t>
      </w:r>
      <w:r w:rsidR="00FD557E" w:rsidRPr="00580C63">
        <w:rPr>
          <w:lang w:val="sr-Latn-RS"/>
        </w:rPr>
        <w:t>j</w:t>
      </w:r>
      <w:r w:rsidRPr="00580C63">
        <w:rPr>
          <w:lang w:val="sr-Latn-RS"/>
        </w:rPr>
        <w:t xml:space="preserve">enjenog </w:t>
      </w:r>
      <w:r w:rsidR="00FD557E" w:rsidRPr="00580C63">
        <w:rPr>
          <w:lang w:val="sr-Latn-RS"/>
        </w:rPr>
        <w:t>lijek</w:t>
      </w:r>
      <w:r w:rsidRPr="00580C63">
        <w:rPr>
          <w:lang w:val="sr-Latn-RS"/>
        </w:rPr>
        <w:t>a.</w:t>
      </w:r>
    </w:p>
    <w:p w14:paraId="568D0F5A" w14:textId="77777777" w:rsidR="00596AC6" w:rsidRPr="00580C63" w:rsidRDefault="00596AC6">
      <w:pPr>
        <w:pStyle w:val="BodyText"/>
        <w:jc w:val="both"/>
        <w:rPr>
          <w:lang w:val="sr-Latn-RS"/>
        </w:rPr>
      </w:pPr>
    </w:p>
    <w:p w14:paraId="7C92C170" w14:textId="77777777" w:rsidR="00596AC6" w:rsidRPr="00580C63" w:rsidRDefault="006658F1">
      <w:pPr>
        <w:pStyle w:val="BodyText"/>
        <w:jc w:val="both"/>
        <w:rPr>
          <w:lang w:val="sr-Latn-RS"/>
        </w:rPr>
      </w:pPr>
      <w:r w:rsidRPr="00580C63">
        <w:rPr>
          <w:u w:val="single"/>
          <w:lang w:val="sr-Latn-RS"/>
        </w:rPr>
        <w:t>Sindrom otpuštanja citokina (CRS)</w:t>
      </w:r>
    </w:p>
    <w:p w14:paraId="2513EC69" w14:textId="77777777" w:rsidR="00596AC6" w:rsidRPr="00580C63" w:rsidRDefault="00596AC6">
      <w:pPr>
        <w:pStyle w:val="BodyText"/>
        <w:jc w:val="both"/>
        <w:rPr>
          <w:lang w:val="sr-Latn-RS"/>
        </w:rPr>
      </w:pPr>
    </w:p>
    <w:p w14:paraId="163D1D1F" w14:textId="4C6A53AD" w:rsidR="00596AC6" w:rsidRPr="00580C63" w:rsidRDefault="006658F1">
      <w:pPr>
        <w:pStyle w:val="BodyText"/>
        <w:jc w:val="both"/>
        <w:rPr>
          <w:lang w:val="sr-Latn-RS"/>
        </w:rPr>
      </w:pPr>
      <w:r w:rsidRPr="00580C63">
        <w:rPr>
          <w:lang w:val="sr-Latn-RS"/>
        </w:rPr>
        <w:t xml:space="preserve">CRS, uključujući reakcije opasne po život, pojavio se kod pacijenata koji su primali </w:t>
      </w:r>
      <w:r w:rsidR="00FD557E" w:rsidRPr="00580C63">
        <w:rPr>
          <w:lang w:val="sr-Latn-RS"/>
        </w:rPr>
        <w:t>lijek</w:t>
      </w:r>
      <w:r w:rsidRPr="00580C63">
        <w:rPr>
          <w:lang w:val="sr-Latn-RS"/>
        </w:rPr>
        <w:t xml:space="preserve"> </w:t>
      </w:r>
      <w:r w:rsidR="00792ABF" w:rsidRPr="00580C63">
        <w:rPr>
          <w:lang w:val="sr-Latn-RS"/>
        </w:rPr>
        <w:t>L</w:t>
      </w:r>
      <w:r w:rsidRPr="00580C63">
        <w:rPr>
          <w:lang w:val="sr-Latn-RS"/>
        </w:rPr>
        <w:t>unsumio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xml:space="preserve"> 4.8). Znakovi i simptomi koji su se javili su uključivali pireksiju, drhtavicu, hipotenziju, tahikardiju, hipoksiju i</w:t>
      </w:r>
      <w:r w:rsidR="00792ABF" w:rsidRPr="00580C63">
        <w:rPr>
          <w:lang w:val="sr-Latn-RS"/>
        </w:rPr>
        <w:t xml:space="preserve"> </w:t>
      </w:r>
      <w:r w:rsidRPr="00580C63">
        <w:rPr>
          <w:lang w:val="sr-Latn-RS"/>
        </w:rPr>
        <w:t xml:space="preserve">glavobolju. Reakcije na infuziju mogu klinički da se ne razlikuju od manifestacija </w:t>
      </w:r>
      <w:r w:rsidRPr="00580C63">
        <w:rPr>
          <w:lang w:val="sr-Latn-RS"/>
        </w:rPr>
        <w:lastRenderedPageBreak/>
        <w:t>CRS-a. Slučajevi CRS-a su se javljali pretežno u 1. ciklusu i uglavnom su bili povezani sa prim</w:t>
      </w:r>
      <w:r w:rsidR="00FD557E" w:rsidRPr="00580C63">
        <w:rPr>
          <w:lang w:val="sr-Latn-RS"/>
        </w:rPr>
        <w:t>j</w:t>
      </w:r>
      <w:r w:rsidRPr="00580C63">
        <w:rPr>
          <w:lang w:val="sr-Latn-RS"/>
        </w:rPr>
        <w:t>enom doza 1. i 15. dana.</w:t>
      </w:r>
    </w:p>
    <w:p w14:paraId="4192EE7A" w14:textId="77777777" w:rsidR="00596AC6" w:rsidRPr="00580C63" w:rsidRDefault="00596AC6">
      <w:pPr>
        <w:pStyle w:val="BodyText"/>
        <w:jc w:val="both"/>
        <w:rPr>
          <w:lang w:val="sr-Latn-RS"/>
        </w:rPr>
      </w:pPr>
    </w:p>
    <w:p w14:paraId="1A95A4AF" w14:textId="2B559FB5" w:rsidR="00596AC6" w:rsidRDefault="006658F1">
      <w:pPr>
        <w:pStyle w:val="BodyText"/>
        <w:jc w:val="both"/>
        <w:rPr>
          <w:lang w:val="sr-Latn-RS"/>
        </w:rPr>
      </w:pPr>
      <w:r w:rsidRPr="00580C63">
        <w:rPr>
          <w:lang w:val="sr-Latn-RS"/>
        </w:rPr>
        <w:t>Pacijentima treba davati premedikaciju kortikosteroidima, antipireticima i antihistaminicima barem tokom 2. ciklusa. Pacijenti moraju biti adekvatno hidrirani pr</w:t>
      </w:r>
      <w:r w:rsidR="0002681C" w:rsidRPr="00580C63">
        <w:rPr>
          <w:lang w:val="sr-Latn-RS"/>
        </w:rPr>
        <w:t>ij</w:t>
      </w:r>
      <w:r w:rsidRPr="00580C63">
        <w:rPr>
          <w:lang w:val="sr-Latn-RS"/>
        </w:rPr>
        <w:t xml:space="preserve">e upotrebe </w:t>
      </w:r>
      <w:r w:rsidR="00FD557E" w:rsidRPr="00580C63">
        <w:rPr>
          <w:lang w:val="sr-Latn-RS"/>
        </w:rPr>
        <w:t>lijek</w:t>
      </w:r>
      <w:r w:rsidRPr="00580C63">
        <w:rPr>
          <w:lang w:val="sr-Latn-RS"/>
        </w:rPr>
        <w:t>a Lunsumio. Pacijente treba pratiti zbog moguće pojave znakova ili simptoma CRS-a. Pacijente treba sav</w:t>
      </w:r>
      <w:r w:rsidR="0002681C" w:rsidRPr="00580C63">
        <w:rPr>
          <w:lang w:val="sr-Latn-RS"/>
        </w:rPr>
        <w:t>j</w:t>
      </w:r>
      <w:r w:rsidRPr="00580C63">
        <w:rPr>
          <w:lang w:val="sr-Latn-RS"/>
        </w:rPr>
        <w:t xml:space="preserve">etovati da odmah potraže medicinsku pomoć ako se znakovi ili simptomi CRS-a jave u bilo kom trenutku. </w:t>
      </w:r>
      <w:r w:rsidR="00FD557E" w:rsidRPr="00580C63">
        <w:rPr>
          <w:lang w:val="sr-Latn-RS"/>
        </w:rPr>
        <w:t>Ljek</w:t>
      </w:r>
      <w:r w:rsidRPr="00580C63">
        <w:rPr>
          <w:lang w:val="sr-Latn-RS"/>
        </w:rPr>
        <w:t xml:space="preserve">ari treba da započnu </w:t>
      </w:r>
      <w:r w:rsidR="00FD557E" w:rsidRPr="00580C63">
        <w:rPr>
          <w:lang w:val="sr-Latn-RS"/>
        </w:rPr>
        <w:t>liječenje</w:t>
      </w:r>
      <w:r w:rsidRPr="00580C63">
        <w:rPr>
          <w:lang w:val="sr-Latn-RS"/>
        </w:rPr>
        <w:t xml:space="preserve"> uz pomoć́ suportivne terapije, tocilizumaba i/ili kortikosteroida, kako je </w:t>
      </w:r>
      <w:r w:rsidR="00923F74">
        <w:rPr>
          <w:lang w:val="sr-Latn-RS"/>
        </w:rPr>
        <w:t>indikovano</w:t>
      </w:r>
      <w:r w:rsidRPr="00580C63">
        <w:rPr>
          <w:color w:val="222222"/>
          <w:lang w:val="sr-Latn-RS"/>
        </w:rPr>
        <w:t xml:space="preserve"> </w:t>
      </w:r>
      <w:r w:rsidRPr="00580C63">
        <w:rPr>
          <w:lang w:val="sr-Latn-RS"/>
        </w:rPr>
        <w:t>(</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xml:space="preserve"> 4.2).</w:t>
      </w:r>
    </w:p>
    <w:p w14:paraId="0EDCBCBF" w14:textId="225900C0" w:rsidR="00A13470" w:rsidRDefault="00A13470">
      <w:pPr>
        <w:pStyle w:val="BodyText"/>
        <w:jc w:val="both"/>
        <w:rPr>
          <w:lang w:val="sr-Latn-RS"/>
        </w:rPr>
      </w:pPr>
    </w:p>
    <w:p w14:paraId="4B7E922D" w14:textId="57850683" w:rsidR="00A13470" w:rsidRPr="00A13470" w:rsidRDefault="00A13470">
      <w:pPr>
        <w:pStyle w:val="BodyText"/>
        <w:jc w:val="both"/>
        <w:rPr>
          <w:u w:val="single"/>
          <w:lang w:val="sr-Latn-RS"/>
        </w:rPr>
      </w:pPr>
      <w:r w:rsidRPr="00DA0579">
        <w:rPr>
          <w:lang w:val="sr-Latn-RS"/>
        </w:rPr>
        <w:t xml:space="preserve">Kod pacijenata liječenih lijekom Lunsumio prijavljena je hemofagocitna limfohistiocitoza (HLH), uključujući slučajeve sa smrtnim ishodom. HLH je po život opasan sindrom koji karakterišu </w:t>
      </w:r>
      <w:r>
        <w:rPr>
          <w:lang w:val="sr-Latn-RS"/>
        </w:rPr>
        <w:t xml:space="preserve">povišena tjelesna temperatura, </w:t>
      </w:r>
      <w:r w:rsidRPr="00DA0579">
        <w:rPr>
          <w:lang w:val="sr-Latn-RS"/>
        </w:rPr>
        <w:t>hepatomegalija i citopenija. HLH je potrebno razmot</w:t>
      </w:r>
      <w:r>
        <w:rPr>
          <w:lang w:val="sr-Latn-RS"/>
        </w:rPr>
        <w:t>riti kad je klinička slika CRS-a</w:t>
      </w:r>
      <w:r w:rsidRPr="00DA0579">
        <w:rPr>
          <w:lang w:val="sr-Latn-RS"/>
        </w:rPr>
        <w:t xml:space="preserve"> atipična ili dugotrajna. Pacijente treba pratiti zbog moguće pojave kl</w:t>
      </w:r>
      <w:r>
        <w:rPr>
          <w:lang w:val="sr-Latn-RS"/>
        </w:rPr>
        <w:t xml:space="preserve">iničkih znakova i simptoma HLH </w:t>
      </w:r>
      <w:r w:rsidRPr="00DA0579">
        <w:rPr>
          <w:lang w:val="sr-Latn-RS"/>
        </w:rPr>
        <w:t xml:space="preserve"> (vidjeti dio 4.2). U slučaju sumnje na HLH mora se privremeno prekinuti primjena lijeka Lunsumio i uvesti terapija za HLH.</w:t>
      </w:r>
    </w:p>
    <w:p w14:paraId="4BF5D88E" w14:textId="77777777" w:rsidR="00AC7B20" w:rsidRPr="00923F74" w:rsidRDefault="00AC7B20" w:rsidP="00A441B5">
      <w:pPr>
        <w:pStyle w:val="BodyText"/>
        <w:jc w:val="both"/>
        <w:rPr>
          <w:u w:val="single"/>
          <w:lang w:val="sr-Latn-RS"/>
        </w:rPr>
      </w:pPr>
    </w:p>
    <w:p w14:paraId="79DB8EC2" w14:textId="427635AC" w:rsidR="00596AC6" w:rsidRPr="00580C63" w:rsidRDefault="006658F1" w:rsidP="00A441B5">
      <w:pPr>
        <w:pStyle w:val="BodyText"/>
        <w:jc w:val="both"/>
        <w:rPr>
          <w:lang w:val="sr-Latn-RS"/>
        </w:rPr>
      </w:pPr>
      <w:r w:rsidRPr="00580C63">
        <w:rPr>
          <w:u w:val="single"/>
          <w:lang w:val="sr-Latn-RS"/>
        </w:rPr>
        <w:t>Ozbiljne infekcije</w:t>
      </w:r>
    </w:p>
    <w:p w14:paraId="7700A9BA" w14:textId="77777777" w:rsidR="00596AC6" w:rsidRPr="00580C63" w:rsidRDefault="00596AC6" w:rsidP="00A441B5">
      <w:pPr>
        <w:pStyle w:val="BodyText"/>
        <w:spacing w:before="1"/>
        <w:jc w:val="both"/>
        <w:rPr>
          <w:lang w:val="sr-Latn-RS"/>
        </w:rPr>
      </w:pPr>
    </w:p>
    <w:p w14:paraId="6F7C2B25" w14:textId="349FDAAF" w:rsidR="00596AC6" w:rsidRDefault="006658F1">
      <w:pPr>
        <w:pStyle w:val="BodyText"/>
        <w:jc w:val="both"/>
        <w:rPr>
          <w:lang w:val="sr-Latn-RS"/>
        </w:rPr>
      </w:pPr>
      <w:r w:rsidRPr="00580C63">
        <w:rPr>
          <w:lang w:val="sr-Latn-RS"/>
        </w:rPr>
        <w:t xml:space="preserve">Ozbiljne infekcije kao što su pneumonija, bakterijemija i sepsa ili septički šok javile su se kod pacijenata koji su primali </w:t>
      </w:r>
      <w:r w:rsidR="00FD557E" w:rsidRPr="00580C63">
        <w:rPr>
          <w:lang w:val="sr-Latn-RS"/>
        </w:rPr>
        <w:t>lijek</w:t>
      </w:r>
      <w:r w:rsidRPr="00580C63">
        <w:rPr>
          <w:lang w:val="sr-Latn-RS"/>
        </w:rPr>
        <w:t xml:space="preserve"> Lunsumio, od kojih su neke bile opasne po život ili sa smrtnim ishodom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xml:space="preserve"> 4.8). Febrilna neutropenija se javila kod pacijenata nakon primanja infuzije </w:t>
      </w:r>
      <w:r w:rsidR="00FD557E" w:rsidRPr="00580C63">
        <w:rPr>
          <w:lang w:val="sr-Latn-RS"/>
        </w:rPr>
        <w:t>lijek</w:t>
      </w:r>
      <w:r w:rsidRPr="00580C63">
        <w:rPr>
          <w:lang w:val="sr-Latn-RS"/>
        </w:rPr>
        <w:t>a Lunsumio.</w:t>
      </w:r>
    </w:p>
    <w:p w14:paraId="73954290" w14:textId="77777777" w:rsidR="00923F74" w:rsidRPr="00580C63" w:rsidRDefault="00923F74">
      <w:pPr>
        <w:pStyle w:val="BodyText"/>
        <w:jc w:val="both"/>
        <w:rPr>
          <w:lang w:val="sr-Latn-RS"/>
        </w:rPr>
      </w:pPr>
    </w:p>
    <w:p w14:paraId="78D823AC" w14:textId="353D49D6"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ne treba davati ukoliko postoje aktivne infekcije. Dodatno obratiti pažnju pri razmatranju upotrebe </w:t>
      </w:r>
      <w:r w:rsidRPr="00580C63">
        <w:rPr>
          <w:lang w:val="sr-Latn-RS"/>
        </w:rPr>
        <w:t>lijek</w:t>
      </w:r>
      <w:r w:rsidR="006658F1" w:rsidRPr="00580C63">
        <w:rPr>
          <w:lang w:val="sr-Latn-RS"/>
        </w:rPr>
        <w:t xml:space="preserve">a Lunsumio kod pacijenata sa istorijom učestalih ili hroničnih infekcija (npr. hronični, aktivni Epstein-Barr virus), sa osnovnim stanjima koja su sklona infekcijama ili koji su prethodno primali značajnu imunosupresivnu terapiju. Pacijentima po potrebi treba davati </w:t>
      </w:r>
      <w:r w:rsidR="00792ABF" w:rsidRPr="00580C63">
        <w:rPr>
          <w:lang w:val="sr-Latn-RS"/>
        </w:rPr>
        <w:t>p</w:t>
      </w:r>
      <w:r w:rsidR="006658F1" w:rsidRPr="00580C63">
        <w:rPr>
          <w:lang w:val="sr-Latn-RS"/>
        </w:rPr>
        <w:t xml:space="preserve">rofilaktičke antibakterijske, antivirusne i/ili antifungalne </w:t>
      </w:r>
      <w:r w:rsidRPr="00580C63">
        <w:rPr>
          <w:lang w:val="sr-Latn-RS"/>
        </w:rPr>
        <w:t>ljek</w:t>
      </w:r>
      <w:r w:rsidR="006658F1" w:rsidRPr="00580C63">
        <w:rPr>
          <w:lang w:val="sr-Latn-RS"/>
        </w:rPr>
        <w:t>ove. Pacijente treba pratiti zbog moguće pojave znakova i simptoma infekcije pr</w:t>
      </w:r>
      <w:r w:rsidRPr="00580C63">
        <w:rPr>
          <w:lang w:val="sr-Latn-RS"/>
        </w:rPr>
        <w:t>ij</w:t>
      </w:r>
      <w:r w:rsidR="006658F1" w:rsidRPr="00580C63">
        <w:rPr>
          <w:lang w:val="sr-Latn-RS"/>
        </w:rPr>
        <w:t>e i posl</w:t>
      </w:r>
      <w:r w:rsidR="00CA017B" w:rsidRPr="00580C63">
        <w:rPr>
          <w:lang w:val="sr-Latn-RS"/>
        </w:rPr>
        <w:t>ij</w:t>
      </w:r>
      <w:r w:rsidR="006658F1" w:rsidRPr="00580C63">
        <w:rPr>
          <w:lang w:val="sr-Latn-RS"/>
        </w:rPr>
        <w:t>e prim</w:t>
      </w:r>
      <w:r w:rsidR="0083711F" w:rsidRPr="00580C63">
        <w:rPr>
          <w:lang w:val="sr-Latn-RS"/>
        </w:rPr>
        <w:t>j</w:t>
      </w:r>
      <w:r w:rsidR="006658F1" w:rsidRPr="00580C63">
        <w:rPr>
          <w:lang w:val="sr-Latn-RS"/>
        </w:rPr>
        <w:t xml:space="preserve">ene </w:t>
      </w:r>
      <w:r w:rsidRPr="00580C63">
        <w:rPr>
          <w:lang w:val="sr-Latn-RS"/>
        </w:rPr>
        <w:t>lijek</w:t>
      </w:r>
      <w:r w:rsidR="006658F1" w:rsidRPr="00580C63">
        <w:rPr>
          <w:lang w:val="sr-Latn-RS"/>
        </w:rPr>
        <w:t xml:space="preserve">a Lunsumio, i </w:t>
      </w:r>
      <w:r w:rsidRPr="00580C63">
        <w:rPr>
          <w:lang w:val="sr-Latn-RS"/>
        </w:rPr>
        <w:t>liječiti</w:t>
      </w:r>
      <w:r w:rsidR="006658F1" w:rsidRPr="00580C63">
        <w:rPr>
          <w:lang w:val="sr-Latn-RS"/>
        </w:rPr>
        <w:t xml:space="preserve"> na odgovarajući način. U slučaju febrilne neutropenije, pacijente treba ispitati na prisustvo infekcije i </w:t>
      </w:r>
      <w:r w:rsidRPr="00580C63">
        <w:rPr>
          <w:lang w:val="sr-Latn-RS"/>
        </w:rPr>
        <w:t>liječiti</w:t>
      </w:r>
      <w:r w:rsidR="006658F1" w:rsidRPr="00580C63">
        <w:rPr>
          <w:lang w:val="sr-Latn-RS"/>
        </w:rPr>
        <w:t xml:space="preserve"> antibioticima, tečnostima i suportivnom terapijom, u skladu sa lokalnim </w:t>
      </w:r>
      <w:r w:rsidR="00D34F0C" w:rsidRPr="00580C63">
        <w:rPr>
          <w:lang w:val="sr-Latn-RS"/>
        </w:rPr>
        <w:t>smjerni</w:t>
      </w:r>
      <w:r w:rsidR="006658F1" w:rsidRPr="00580C63">
        <w:rPr>
          <w:lang w:val="sr-Latn-RS"/>
        </w:rPr>
        <w:t>cama.</w:t>
      </w:r>
    </w:p>
    <w:p w14:paraId="16DD67E3" w14:textId="77777777" w:rsidR="00596AC6" w:rsidRPr="00580C63" w:rsidRDefault="00596AC6">
      <w:pPr>
        <w:pStyle w:val="BodyText"/>
        <w:jc w:val="both"/>
        <w:rPr>
          <w:lang w:val="sr-Latn-RS"/>
        </w:rPr>
      </w:pPr>
    </w:p>
    <w:p w14:paraId="46E7203E" w14:textId="0B2803AC" w:rsidR="00596AC6" w:rsidRPr="00580C63" w:rsidRDefault="00D05768" w:rsidP="00A441B5">
      <w:pPr>
        <w:pStyle w:val="BodyText"/>
        <w:jc w:val="both"/>
        <w:rPr>
          <w:lang w:val="sr-Latn-RS"/>
        </w:rPr>
      </w:pPr>
      <w:r w:rsidRPr="00580C63">
        <w:rPr>
          <w:u w:val="single"/>
          <w:lang w:val="sr-Latn-RS"/>
        </w:rPr>
        <w:t xml:space="preserve">Širenje </w:t>
      </w:r>
      <w:r w:rsidR="006658F1" w:rsidRPr="00580C63">
        <w:rPr>
          <w:u w:val="single"/>
          <w:lang w:val="sr-Latn-RS"/>
        </w:rPr>
        <w:t>tumora</w:t>
      </w:r>
    </w:p>
    <w:p w14:paraId="2BCCCDE1" w14:textId="77777777" w:rsidR="00596AC6" w:rsidRPr="00580C63" w:rsidRDefault="00596AC6" w:rsidP="00A441B5">
      <w:pPr>
        <w:pStyle w:val="BodyText"/>
        <w:spacing w:before="1"/>
        <w:jc w:val="both"/>
        <w:rPr>
          <w:lang w:val="sr-Latn-RS"/>
        </w:rPr>
      </w:pPr>
    </w:p>
    <w:p w14:paraId="6B030508" w14:textId="7D9B809F" w:rsidR="00596AC6" w:rsidRPr="00580C63" w:rsidRDefault="00D05768">
      <w:pPr>
        <w:pStyle w:val="BodyText"/>
        <w:jc w:val="both"/>
        <w:rPr>
          <w:lang w:val="sr-Latn-RS"/>
        </w:rPr>
      </w:pPr>
      <w:r w:rsidRPr="00580C63">
        <w:rPr>
          <w:lang w:val="sr-Latn-RS"/>
        </w:rPr>
        <w:t>Širenje</w:t>
      </w:r>
      <w:r w:rsidRPr="00580C63" w:rsidDel="00D05768">
        <w:rPr>
          <w:lang w:val="sr-Latn-RS"/>
        </w:rPr>
        <w:t xml:space="preserve"> </w:t>
      </w:r>
      <w:r w:rsidR="006658F1" w:rsidRPr="00580C63">
        <w:rPr>
          <w:lang w:val="sr-Latn-RS"/>
        </w:rPr>
        <w:t xml:space="preserve">tumora je </w:t>
      </w:r>
      <w:r w:rsidR="00FD557E" w:rsidRPr="00580C63">
        <w:rPr>
          <w:lang w:val="sr-Latn-RS"/>
        </w:rPr>
        <w:t>zabelježeno</w:t>
      </w:r>
      <w:r w:rsidR="006658F1" w:rsidRPr="00580C63">
        <w:rPr>
          <w:lang w:val="sr-Latn-RS"/>
        </w:rPr>
        <w:t xml:space="preserve"> kod pacijenata koji su l</w:t>
      </w:r>
      <w:r w:rsidR="007251DA" w:rsidRPr="00580C63">
        <w:rPr>
          <w:lang w:val="sr-Latn-RS"/>
        </w:rPr>
        <w:t>ij</w:t>
      </w:r>
      <w:r w:rsidR="006658F1" w:rsidRPr="00580C63">
        <w:rPr>
          <w:lang w:val="sr-Latn-RS"/>
        </w:rPr>
        <w:t xml:space="preserve">ečeni </w:t>
      </w:r>
      <w:r w:rsidR="00FD557E" w:rsidRPr="00580C63">
        <w:rPr>
          <w:lang w:val="sr-Latn-RS"/>
        </w:rPr>
        <w:t>lijek</w:t>
      </w:r>
      <w:r w:rsidR="006658F1" w:rsidRPr="00580C63">
        <w:rPr>
          <w:lang w:val="sr-Latn-RS"/>
        </w:rPr>
        <w:t>om Lunsumio (</w:t>
      </w:r>
      <w:r w:rsidR="0083711F" w:rsidRPr="00580C63">
        <w:rPr>
          <w:lang w:val="sr-Latn-RS"/>
        </w:rPr>
        <w:t>vidjeti</w:t>
      </w:r>
      <w:r w:rsidR="006658F1" w:rsidRPr="00580C63">
        <w:rPr>
          <w:lang w:val="sr-Latn-RS"/>
        </w:rPr>
        <w:t xml:space="preserve"> </w:t>
      </w:r>
      <w:r w:rsidR="00FD557E" w:rsidRPr="00580C63">
        <w:rPr>
          <w:lang w:val="sr-Latn-RS"/>
        </w:rPr>
        <w:t>dio</w:t>
      </w:r>
      <w:r w:rsidR="006658F1" w:rsidRPr="00580C63">
        <w:rPr>
          <w:lang w:val="sr-Latn-RS"/>
        </w:rPr>
        <w:t xml:space="preserve"> 4.8). Manifestovalo se u vidu novih ili pogoršanih pleuralnih izliva, lokalizovanog bola i otoka na m</w:t>
      </w:r>
      <w:r w:rsidR="00FD557E" w:rsidRPr="00580C63">
        <w:rPr>
          <w:lang w:val="sr-Latn-RS"/>
        </w:rPr>
        <w:t>j</w:t>
      </w:r>
      <w:r w:rsidR="006658F1" w:rsidRPr="00580C63">
        <w:rPr>
          <w:lang w:val="sr-Latn-RS"/>
        </w:rPr>
        <w:t xml:space="preserve">estima lezije limfoma i zapaljenja tumora. U skladu sa mehanizmom dejstva </w:t>
      </w:r>
      <w:r w:rsidR="00FD557E" w:rsidRPr="00580C63">
        <w:rPr>
          <w:lang w:val="sr-Latn-RS"/>
        </w:rPr>
        <w:t>lijek</w:t>
      </w:r>
      <w:r w:rsidR="006658F1" w:rsidRPr="00580C63">
        <w:rPr>
          <w:lang w:val="sr-Latn-RS"/>
        </w:rPr>
        <w:t xml:space="preserve">a Lunsumio, </w:t>
      </w:r>
      <w:r w:rsidRPr="00580C63">
        <w:rPr>
          <w:lang w:val="sr-Latn-RS"/>
        </w:rPr>
        <w:t xml:space="preserve">širenje </w:t>
      </w:r>
      <w:r w:rsidR="006658F1" w:rsidRPr="00580C63">
        <w:rPr>
          <w:lang w:val="sr-Latn-RS"/>
        </w:rPr>
        <w:t>tumora je v</w:t>
      </w:r>
      <w:r w:rsidRPr="00580C63">
        <w:rPr>
          <w:lang w:val="sr-Latn-RS"/>
        </w:rPr>
        <w:t>j</w:t>
      </w:r>
      <w:r w:rsidR="006658F1" w:rsidRPr="00580C63">
        <w:rPr>
          <w:lang w:val="sr-Latn-RS"/>
        </w:rPr>
        <w:t>erovatno posl</w:t>
      </w:r>
      <w:r w:rsidRPr="00580C63">
        <w:rPr>
          <w:lang w:val="sr-Latn-RS"/>
        </w:rPr>
        <w:t>j</w:t>
      </w:r>
      <w:r w:rsidR="006658F1" w:rsidRPr="00580C63">
        <w:rPr>
          <w:lang w:val="sr-Latn-RS"/>
        </w:rPr>
        <w:t>edica priliva T-ćelija u m</w:t>
      </w:r>
      <w:r w:rsidRPr="00580C63">
        <w:rPr>
          <w:lang w:val="sr-Latn-RS"/>
        </w:rPr>
        <w:t>j</w:t>
      </w:r>
      <w:r w:rsidR="006658F1" w:rsidRPr="00580C63">
        <w:rPr>
          <w:lang w:val="sr-Latn-RS"/>
        </w:rPr>
        <w:t>esta tumora nakon prim</w:t>
      </w:r>
      <w:r w:rsidR="0083711F" w:rsidRPr="00580C63">
        <w:rPr>
          <w:lang w:val="sr-Latn-RS"/>
        </w:rPr>
        <w:t>j</w:t>
      </w:r>
      <w:r w:rsidR="006658F1" w:rsidRPr="00580C63">
        <w:rPr>
          <w:lang w:val="sr-Latn-RS"/>
        </w:rPr>
        <w:t xml:space="preserve">ene </w:t>
      </w:r>
      <w:r w:rsidR="00FD557E" w:rsidRPr="00580C63">
        <w:rPr>
          <w:lang w:val="sr-Latn-RS"/>
        </w:rPr>
        <w:t>lijek</w:t>
      </w:r>
      <w:r w:rsidR="006658F1" w:rsidRPr="00580C63">
        <w:rPr>
          <w:lang w:val="sr-Latn-RS"/>
        </w:rPr>
        <w:t>a Lunsumio.</w:t>
      </w:r>
    </w:p>
    <w:p w14:paraId="6DE4EB01" w14:textId="77777777" w:rsidR="00596AC6" w:rsidRPr="00580C63" w:rsidRDefault="00596AC6">
      <w:pPr>
        <w:pStyle w:val="BodyText"/>
        <w:jc w:val="both"/>
        <w:rPr>
          <w:lang w:val="sr-Latn-RS"/>
        </w:rPr>
      </w:pPr>
    </w:p>
    <w:p w14:paraId="0218832C" w14:textId="51A24BCC" w:rsidR="00596AC6" w:rsidRPr="00580C63" w:rsidRDefault="006658F1">
      <w:pPr>
        <w:pStyle w:val="BodyText"/>
        <w:jc w:val="both"/>
        <w:rPr>
          <w:lang w:val="sr-Latn-RS"/>
        </w:rPr>
      </w:pPr>
      <w:r w:rsidRPr="00580C63">
        <w:rPr>
          <w:lang w:val="sr-Latn-RS"/>
        </w:rPr>
        <w:t xml:space="preserve">Ne postoje specifični faktori rizika za </w:t>
      </w:r>
      <w:r w:rsidR="00D05768" w:rsidRPr="00580C63">
        <w:rPr>
          <w:lang w:val="sr-Latn-RS"/>
        </w:rPr>
        <w:t xml:space="preserve">širenje </w:t>
      </w:r>
      <w:r w:rsidRPr="00580C63">
        <w:rPr>
          <w:lang w:val="sr-Latn-RS"/>
        </w:rPr>
        <w:t>tumora koji su identifikovani, međutim, postoji povećan rizik od kompromitovanja i morbiditeta zbog masovnog efekta koji je sekundaran u odnosu na pogoršanje tumora kod pacijenata sa bujajućim tumorima koji se nalaze u neposrednoj blizini disajnih puteva i/ili vitalnog organa. Pacijente koji se l</w:t>
      </w:r>
      <w:r w:rsidR="00FD557E" w:rsidRPr="00580C63">
        <w:rPr>
          <w:lang w:val="sr-Latn-RS"/>
        </w:rPr>
        <w:t>ij</w:t>
      </w:r>
      <w:r w:rsidRPr="00580C63">
        <w:rPr>
          <w:lang w:val="sr-Latn-RS"/>
        </w:rPr>
        <w:t xml:space="preserve">eče </w:t>
      </w:r>
      <w:r w:rsidR="00FD557E" w:rsidRPr="00580C63">
        <w:rPr>
          <w:lang w:val="sr-Latn-RS"/>
        </w:rPr>
        <w:t>lijek</w:t>
      </w:r>
      <w:r w:rsidRPr="00580C63">
        <w:rPr>
          <w:lang w:val="sr-Latn-RS"/>
        </w:rPr>
        <w:t>om Lunsumio treba pratiti i ispitati na pogoršanje tumora na kritičnim anatomskim m</w:t>
      </w:r>
      <w:r w:rsidR="00FD557E" w:rsidRPr="00580C63">
        <w:rPr>
          <w:lang w:val="sr-Latn-RS"/>
        </w:rPr>
        <w:t>j</w:t>
      </w:r>
      <w:r w:rsidRPr="00580C63">
        <w:rPr>
          <w:lang w:val="sr-Latn-RS"/>
        </w:rPr>
        <w:t>estima.</w:t>
      </w:r>
    </w:p>
    <w:p w14:paraId="016CE191" w14:textId="77777777" w:rsidR="00596AC6" w:rsidRPr="00580C63" w:rsidRDefault="00596AC6" w:rsidP="00A441B5">
      <w:pPr>
        <w:pStyle w:val="BodyText"/>
        <w:jc w:val="both"/>
        <w:rPr>
          <w:lang w:val="sr-Latn-RS"/>
        </w:rPr>
      </w:pPr>
    </w:p>
    <w:p w14:paraId="49161C18" w14:textId="75D75051" w:rsidR="00596AC6" w:rsidRPr="00580C63" w:rsidRDefault="006658F1" w:rsidP="00A441B5">
      <w:pPr>
        <w:pStyle w:val="BodyText"/>
        <w:jc w:val="both"/>
        <w:rPr>
          <w:lang w:val="sr-Latn-RS"/>
        </w:rPr>
      </w:pPr>
      <w:r w:rsidRPr="00580C63">
        <w:rPr>
          <w:u w:val="single"/>
          <w:lang w:val="sr-Latn-RS"/>
        </w:rPr>
        <w:t>Sindrom lize tumora (</w:t>
      </w:r>
      <w:r w:rsidR="008060FB" w:rsidRPr="008060FB">
        <w:rPr>
          <w:u w:val="single"/>
          <w:lang w:val="sr-Latn-RS"/>
        </w:rPr>
        <w:t xml:space="preserve">engl. </w:t>
      </w:r>
      <w:r w:rsidR="008060FB" w:rsidRPr="00A441B5">
        <w:rPr>
          <w:i/>
          <w:u w:val="single"/>
          <w:lang w:val="sr-Latn-RS"/>
        </w:rPr>
        <w:t>tumour lysis syndrome</w:t>
      </w:r>
      <w:r w:rsidR="008060FB" w:rsidRPr="008060FB">
        <w:rPr>
          <w:u w:val="single"/>
          <w:lang w:val="sr-Latn-RS"/>
        </w:rPr>
        <w:t>,</w:t>
      </w:r>
      <w:r w:rsidR="008060FB">
        <w:rPr>
          <w:u w:val="single"/>
          <w:lang w:val="sr-Latn-RS"/>
        </w:rPr>
        <w:t xml:space="preserve"> </w:t>
      </w:r>
      <w:r w:rsidRPr="008060FB">
        <w:rPr>
          <w:u w:val="single"/>
          <w:lang w:val="sr-Latn-RS"/>
        </w:rPr>
        <w:t>TLS)</w:t>
      </w:r>
    </w:p>
    <w:p w14:paraId="704099D4" w14:textId="77777777" w:rsidR="00596AC6" w:rsidRPr="00580C63" w:rsidRDefault="00596AC6" w:rsidP="00A441B5">
      <w:pPr>
        <w:pStyle w:val="BodyText"/>
        <w:spacing w:before="1"/>
        <w:jc w:val="both"/>
        <w:rPr>
          <w:lang w:val="sr-Latn-RS"/>
        </w:rPr>
      </w:pPr>
    </w:p>
    <w:p w14:paraId="795A544C" w14:textId="5E7FF3DC" w:rsidR="00596AC6" w:rsidRPr="00580C63" w:rsidRDefault="006658F1">
      <w:pPr>
        <w:pStyle w:val="BodyText"/>
        <w:spacing w:before="91"/>
        <w:jc w:val="both"/>
        <w:rPr>
          <w:lang w:val="sr-Latn-RS"/>
        </w:rPr>
      </w:pPr>
      <w:r w:rsidRPr="00580C63">
        <w:rPr>
          <w:lang w:val="sr-Latn-RS"/>
        </w:rPr>
        <w:t xml:space="preserve">Kod pacijenata koji su uzimali </w:t>
      </w:r>
      <w:r w:rsidR="00FD557E" w:rsidRPr="00580C63">
        <w:rPr>
          <w:lang w:val="sr-Latn-RS"/>
        </w:rPr>
        <w:t>lijek</w:t>
      </w:r>
      <w:r w:rsidRPr="00580C63">
        <w:rPr>
          <w:lang w:val="sr-Latn-RS"/>
        </w:rPr>
        <w:t xml:space="preserve"> Lunsumio zabel</w:t>
      </w:r>
      <w:r w:rsidR="00FD557E" w:rsidRPr="00580C63">
        <w:rPr>
          <w:lang w:val="sr-Latn-RS"/>
        </w:rPr>
        <w:t>j</w:t>
      </w:r>
      <w:r w:rsidRPr="00580C63">
        <w:rPr>
          <w:lang w:val="sr-Latn-RS"/>
        </w:rPr>
        <w:t>ežen je TLS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xml:space="preserve"> 4.8). Pacijenti moraju biti adekvatno hidrirani pre prim</w:t>
      </w:r>
      <w:r w:rsidR="00FD557E" w:rsidRPr="00580C63">
        <w:rPr>
          <w:lang w:val="sr-Latn-RS"/>
        </w:rPr>
        <w:t>j</w:t>
      </w:r>
      <w:r w:rsidRPr="00580C63">
        <w:rPr>
          <w:lang w:val="sr-Latn-RS"/>
        </w:rPr>
        <w:t xml:space="preserve">ene </w:t>
      </w:r>
      <w:r w:rsidR="00FD557E" w:rsidRPr="00580C63">
        <w:rPr>
          <w:lang w:val="sr-Latn-RS"/>
        </w:rPr>
        <w:t>lijek</w:t>
      </w:r>
      <w:r w:rsidRPr="00580C63">
        <w:rPr>
          <w:lang w:val="sr-Latn-RS"/>
        </w:rPr>
        <w:t xml:space="preserve">a Lunsumio. Pacijentima po potrebi treba davati profilaktičku antihiperurikemijsku terapiju (npr. alopurinol, rasburikaza). Pacijente treba pratiti zbog moguće pojave znakova ili simptoma TLS-a, posebno kod pacijenata sa velikim tumorskim opterećenjem ili brzo proliferativnim tumorima, kao i kod pacijenata sa smanjenom funkcijom bubrega. Pacijentima treba proveravati biohemiju, a abnormalnosti treba odmah </w:t>
      </w:r>
      <w:r w:rsidR="00FD557E" w:rsidRPr="00580C63">
        <w:rPr>
          <w:lang w:val="sr-Latn-RS"/>
        </w:rPr>
        <w:t>liječiti</w:t>
      </w:r>
      <w:r w:rsidRPr="00580C63">
        <w:rPr>
          <w:lang w:val="sr-Latn-RS"/>
        </w:rPr>
        <w:t>.</w:t>
      </w:r>
    </w:p>
    <w:p w14:paraId="1960D23C" w14:textId="77777777" w:rsidR="00596AC6" w:rsidRPr="00580C63" w:rsidRDefault="00596AC6" w:rsidP="00A441B5">
      <w:pPr>
        <w:pStyle w:val="BodyText"/>
        <w:jc w:val="both"/>
        <w:rPr>
          <w:lang w:val="sr-Latn-RS"/>
        </w:rPr>
      </w:pPr>
    </w:p>
    <w:p w14:paraId="326E0D8E" w14:textId="77777777" w:rsidR="00596AC6" w:rsidRPr="00580C63" w:rsidRDefault="006658F1" w:rsidP="00A441B5">
      <w:pPr>
        <w:pStyle w:val="BodyText"/>
        <w:jc w:val="both"/>
        <w:rPr>
          <w:lang w:val="sr-Latn-RS"/>
        </w:rPr>
      </w:pPr>
      <w:r w:rsidRPr="00580C63">
        <w:rPr>
          <w:u w:val="single"/>
          <w:lang w:val="sr-Latn-RS"/>
        </w:rPr>
        <w:t>Imunizacija</w:t>
      </w:r>
    </w:p>
    <w:p w14:paraId="430ADE8C" w14:textId="77777777" w:rsidR="00596AC6" w:rsidRPr="00580C63" w:rsidRDefault="00596AC6" w:rsidP="00A441B5">
      <w:pPr>
        <w:pStyle w:val="BodyText"/>
        <w:spacing w:before="1"/>
        <w:jc w:val="both"/>
        <w:rPr>
          <w:lang w:val="sr-Latn-RS"/>
        </w:rPr>
      </w:pPr>
    </w:p>
    <w:p w14:paraId="13087229" w14:textId="1FF3E394" w:rsidR="00596AC6" w:rsidRPr="00580C63" w:rsidRDefault="006658F1">
      <w:pPr>
        <w:pStyle w:val="BodyText"/>
        <w:spacing w:before="91"/>
        <w:jc w:val="both"/>
        <w:rPr>
          <w:lang w:val="sr-Latn-RS"/>
        </w:rPr>
      </w:pPr>
      <w:r w:rsidRPr="00580C63">
        <w:rPr>
          <w:lang w:val="sr-Latn-RS"/>
        </w:rPr>
        <w:lastRenderedPageBreak/>
        <w:t xml:space="preserve">Žive i/ili žive atenuisane vakcine ne treba davati istovremeno sa </w:t>
      </w:r>
      <w:r w:rsidR="00FD557E" w:rsidRPr="00580C63">
        <w:rPr>
          <w:lang w:val="sr-Latn-RS"/>
        </w:rPr>
        <w:t>lijek</w:t>
      </w:r>
      <w:r w:rsidRPr="00580C63">
        <w:rPr>
          <w:lang w:val="sr-Latn-RS"/>
        </w:rPr>
        <w:t>om Lunsumio. Ni</w:t>
      </w:r>
      <w:r w:rsidR="008060FB">
        <w:rPr>
          <w:lang w:val="sr-Latn-RS"/>
        </w:rPr>
        <w:t>je</w:t>
      </w:r>
      <w:r w:rsidRPr="00580C63">
        <w:rPr>
          <w:lang w:val="sr-Latn-RS"/>
        </w:rPr>
        <w:t>su sprovedene studije sa pacijentima koji su nedavno primili žive vakcine.</w:t>
      </w:r>
    </w:p>
    <w:p w14:paraId="46104571" w14:textId="77777777" w:rsidR="00596AC6" w:rsidRPr="00580C63" w:rsidRDefault="00596AC6">
      <w:pPr>
        <w:pStyle w:val="BodyText"/>
        <w:jc w:val="both"/>
        <w:rPr>
          <w:lang w:val="sr-Latn-RS"/>
        </w:rPr>
      </w:pPr>
    </w:p>
    <w:p w14:paraId="7944E2E1" w14:textId="77777777" w:rsidR="00596AC6" w:rsidRPr="00580C63" w:rsidRDefault="006658F1" w:rsidP="00A441B5">
      <w:pPr>
        <w:pStyle w:val="BodyText"/>
        <w:jc w:val="both"/>
        <w:rPr>
          <w:lang w:val="sr-Latn-RS"/>
        </w:rPr>
      </w:pPr>
      <w:r w:rsidRPr="00580C63">
        <w:rPr>
          <w:u w:val="single"/>
          <w:lang w:val="sr-Latn-RS"/>
        </w:rPr>
        <w:t>Kartica sa upozorenjima za pacijenta</w:t>
      </w:r>
    </w:p>
    <w:p w14:paraId="62C0C1FB" w14:textId="77777777" w:rsidR="00596AC6" w:rsidRPr="00580C63" w:rsidRDefault="00596AC6" w:rsidP="00A441B5">
      <w:pPr>
        <w:pStyle w:val="BodyText"/>
        <w:spacing w:before="1"/>
        <w:jc w:val="both"/>
        <w:rPr>
          <w:lang w:val="sr-Latn-RS"/>
        </w:rPr>
      </w:pPr>
    </w:p>
    <w:p w14:paraId="17DE97EC" w14:textId="62812EA2" w:rsidR="00596AC6" w:rsidRPr="00580C63" w:rsidRDefault="00FD557E">
      <w:pPr>
        <w:pStyle w:val="BodyText"/>
        <w:spacing w:before="91"/>
        <w:jc w:val="both"/>
        <w:rPr>
          <w:lang w:val="sr-Latn-RS"/>
        </w:rPr>
      </w:pPr>
      <w:r w:rsidRPr="00580C63">
        <w:rPr>
          <w:lang w:val="sr-Latn-RS"/>
        </w:rPr>
        <w:t>Ljek</w:t>
      </w:r>
      <w:r w:rsidR="006658F1" w:rsidRPr="00580C63">
        <w:rPr>
          <w:lang w:val="sr-Latn-RS"/>
        </w:rPr>
        <w:t xml:space="preserve">ar koji propisuje </w:t>
      </w:r>
      <w:r w:rsidRPr="00580C63">
        <w:rPr>
          <w:lang w:val="sr-Latn-RS"/>
        </w:rPr>
        <w:t>lijek</w:t>
      </w:r>
      <w:r w:rsidR="006658F1" w:rsidRPr="00580C63">
        <w:rPr>
          <w:lang w:val="sr-Latn-RS"/>
        </w:rPr>
        <w:t xml:space="preserve"> mora razgovarati o rizicima terapije </w:t>
      </w:r>
      <w:r w:rsidRPr="00580C63">
        <w:rPr>
          <w:lang w:val="sr-Latn-RS"/>
        </w:rPr>
        <w:t>lijek</w:t>
      </w:r>
      <w:r w:rsidR="006658F1" w:rsidRPr="00580C63">
        <w:rPr>
          <w:lang w:val="sr-Latn-RS"/>
        </w:rPr>
        <w:t xml:space="preserve">om Lunsumio sa pacijentom. Pacijent će dobiti karticu sa upozorenjima za pacijenta i biće mu </w:t>
      </w:r>
      <w:r w:rsidR="008060FB">
        <w:rPr>
          <w:lang w:val="sr-Latn-RS"/>
        </w:rPr>
        <w:t>savjetovano</w:t>
      </w:r>
      <w:r w:rsidR="006658F1" w:rsidRPr="00580C63">
        <w:rPr>
          <w:lang w:val="sr-Latn-RS"/>
        </w:rPr>
        <w:t xml:space="preserve"> da tu karticu uv</w:t>
      </w:r>
      <w:r w:rsidRPr="00580C63">
        <w:rPr>
          <w:lang w:val="sr-Latn-RS"/>
        </w:rPr>
        <w:t>ij</w:t>
      </w:r>
      <w:r w:rsidR="006658F1" w:rsidRPr="00580C63">
        <w:rPr>
          <w:lang w:val="sr-Latn-RS"/>
        </w:rPr>
        <w:t>ek nosi sa sobom. Kartica sa upozorenjima za pacijenta navodi uobičajene znakove i simptome CRS-a i daje uputstva o tome kada pacijent treba da zatraži medicinsku pomoć́.</w:t>
      </w:r>
    </w:p>
    <w:p w14:paraId="5176F520" w14:textId="77777777" w:rsidR="00596AC6" w:rsidRPr="00580C63" w:rsidRDefault="00596AC6" w:rsidP="00A441B5">
      <w:pPr>
        <w:pStyle w:val="BodyText"/>
        <w:jc w:val="both"/>
        <w:rPr>
          <w:lang w:val="sr-Latn-RS"/>
        </w:rPr>
      </w:pPr>
    </w:p>
    <w:p w14:paraId="5BA6B5E6" w14:textId="6C6DE6AF" w:rsidR="00596AC6" w:rsidRPr="00580C63" w:rsidRDefault="006658F1" w:rsidP="00A441B5">
      <w:pPr>
        <w:pStyle w:val="Heading1"/>
        <w:numPr>
          <w:ilvl w:val="1"/>
          <w:numId w:val="13"/>
        </w:numPr>
        <w:tabs>
          <w:tab w:val="left" w:pos="677"/>
          <w:tab w:val="left" w:pos="678"/>
        </w:tabs>
        <w:ind w:hanging="677"/>
        <w:jc w:val="both"/>
        <w:rPr>
          <w:lang w:val="sr-Latn-RS"/>
        </w:rPr>
      </w:pPr>
      <w:bookmarkStart w:id="8" w:name="4.5_Interaction_with_other_medicinal_pro"/>
      <w:bookmarkEnd w:id="8"/>
      <w:r w:rsidRPr="00580C63">
        <w:rPr>
          <w:lang w:val="sr-Latn-RS"/>
        </w:rPr>
        <w:t>Interakcij</w:t>
      </w:r>
      <w:r w:rsidR="0073308C" w:rsidRPr="00580C63">
        <w:rPr>
          <w:lang w:val="sr-Latn-RS"/>
        </w:rPr>
        <w:t xml:space="preserve">e </w:t>
      </w:r>
      <w:r w:rsidRPr="00580C63">
        <w:rPr>
          <w:lang w:val="sr-Latn-RS"/>
        </w:rPr>
        <w:t xml:space="preserve">sa drugim </w:t>
      </w:r>
      <w:r w:rsidR="0073308C" w:rsidRPr="00580C63">
        <w:rPr>
          <w:lang w:val="sr-Latn-RS"/>
        </w:rPr>
        <w:t>l</w:t>
      </w:r>
      <w:r w:rsidR="00FD557E" w:rsidRPr="00580C63">
        <w:rPr>
          <w:lang w:val="sr-Latn-RS"/>
        </w:rPr>
        <w:t>jek</w:t>
      </w:r>
      <w:r w:rsidRPr="00580C63">
        <w:rPr>
          <w:lang w:val="sr-Latn-RS"/>
        </w:rPr>
        <w:t>ovima i druge vrste interakcija</w:t>
      </w:r>
    </w:p>
    <w:p w14:paraId="259D1A43" w14:textId="77777777" w:rsidR="00596AC6" w:rsidRPr="00580C63" w:rsidRDefault="00596AC6" w:rsidP="00A441B5">
      <w:pPr>
        <w:pStyle w:val="BodyText"/>
        <w:jc w:val="both"/>
        <w:rPr>
          <w:b/>
          <w:lang w:val="sr-Latn-RS"/>
        </w:rPr>
      </w:pPr>
    </w:p>
    <w:p w14:paraId="170550C9" w14:textId="1E58F04B" w:rsidR="00596AC6" w:rsidRPr="00580C63" w:rsidRDefault="006658F1">
      <w:pPr>
        <w:pStyle w:val="BodyText"/>
        <w:jc w:val="both"/>
        <w:rPr>
          <w:lang w:val="sr-Latn-RS"/>
        </w:rPr>
      </w:pPr>
      <w:r w:rsidRPr="00580C63">
        <w:rPr>
          <w:lang w:val="sr-Latn-RS"/>
        </w:rPr>
        <w:t>Ni</w:t>
      </w:r>
      <w:r w:rsidR="008060FB">
        <w:rPr>
          <w:lang w:val="sr-Latn-RS"/>
        </w:rPr>
        <w:t>je</w:t>
      </w:r>
      <w:r w:rsidRPr="00580C63">
        <w:rPr>
          <w:lang w:val="sr-Latn-RS"/>
        </w:rPr>
        <w:t xml:space="preserve">su sprovedena ispitivanja interakcija između </w:t>
      </w:r>
      <w:r w:rsidR="0073308C" w:rsidRPr="00580C63">
        <w:rPr>
          <w:lang w:val="sr-Latn-RS"/>
        </w:rPr>
        <w:t>l</w:t>
      </w:r>
      <w:r w:rsidR="00FD557E" w:rsidRPr="00580C63">
        <w:rPr>
          <w:lang w:val="sr-Latn-RS"/>
        </w:rPr>
        <w:t>jek</w:t>
      </w:r>
      <w:r w:rsidRPr="00580C63">
        <w:rPr>
          <w:lang w:val="sr-Latn-RS"/>
        </w:rPr>
        <w:t>ova.</w:t>
      </w:r>
    </w:p>
    <w:p w14:paraId="41F8FDB2" w14:textId="77777777" w:rsidR="00596AC6" w:rsidRPr="00580C63" w:rsidRDefault="00596AC6" w:rsidP="00A441B5">
      <w:pPr>
        <w:pStyle w:val="BodyText"/>
        <w:jc w:val="both"/>
        <w:rPr>
          <w:lang w:val="sr-Latn-RS"/>
        </w:rPr>
      </w:pPr>
    </w:p>
    <w:p w14:paraId="082964DE" w14:textId="1A822ACA" w:rsidR="00596AC6" w:rsidRPr="00580C63" w:rsidRDefault="006658F1">
      <w:pPr>
        <w:pStyle w:val="BodyText"/>
        <w:jc w:val="both"/>
        <w:rPr>
          <w:lang w:val="sr-Latn-RS"/>
        </w:rPr>
      </w:pPr>
      <w:r w:rsidRPr="00580C63">
        <w:rPr>
          <w:lang w:val="sr-Latn-RS"/>
        </w:rPr>
        <w:t xml:space="preserve">Ne može se isključiti prolazni klinički relevantan efekat na CYP450 supstrate sa uskim terapijskim indeksom (npr. varfarin, vorikonazol, ciklosporin itd.), pošto početak </w:t>
      </w:r>
      <w:r w:rsidR="00FD557E" w:rsidRPr="00580C63">
        <w:rPr>
          <w:lang w:val="sr-Latn-RS"/>
        </w:rPr>
        <w:t>liječenja</w:t>
      </w:r>
      <w:r w:rsidRPr="00580C63">
        <w:rPr>
          <w:lang w:val="sr-Latn-RS"/>
        </w:rPr>
        <w:t xml:space="preserve"> </w:t>
      </w:r>
      <w:r w:rsidR="0073308C" w:rsidRPr="00580C63">
        <w:rPr>
          <w:lang w:val="sr-Latn-RS"/>
        </w:rPr>
        <w:t>l</w:t>
      </w:r>
      <w:r w:rsidR="00FD557E" w:rsidRPr="00580C63">
        <w:rPr>
          <w:lang w:val="sr-Latn-RS"/>
        </w:rPr>
        <w:t>ijek</w:t>
      </w:r>
      <w:r w:rsidRPr="00580C63">
        <w:rPr>
          <w:lang w:val="sr-Latn-RS"/>
        </w:rPr>
        <w:t xml:space="preserve">om Lunsumio izaziva prolazno povećanje nivoa citokina što može dovesti do inhibicije CYP450 enzima. Na početku </w:t>
      </w:r>
      <w:r w:rsidR="00FD557E" w:rsidRPr="00580C63">
        <w:rPr>
          <w:lang w:val="sr-Latn-RS"/>
        </w:rPr>
        <w:t>liječenja</w:t>
      </w:r>
      <w:r w:rsidRPr="00580C63">
        <w:rPr>
          <w:lang w:val="sr-Latn-RS"/>
        </w:rPr>
        <w:t xml:space="preserve"> </w:t>
      </w:r>
      <w:r w:rsidR="0073308C" w:rsidRPr="00580C63">
        <w:rPr>
          <w:lang w:val="sr-Latn-RS"/>
        </w:rPr>
        <w:t>l</w:t>
      </w:r>
      <w:r w:rsidR="00FD557E" w:rsidRPr="00580C63">
        <w:rPr>
          <w:lang w:val="sr-Latn-RS"/>
        </w:rPr>
        <w:t>ijek</w:t>
      </w:r>
      <w:r w:rsidRPr="00580C63">
        <w:rPr>
          <w:lang w:val="sr-Latn-RS"/>
        </w:rPr>
        <w:t>om Lunsumio kod pacijenata koji se l</w:t>
      </w:r>
      <w:r w:rsidR="007251DA" w:rsidRPr="00580C63">
        <w:rPr>
          <w:lang w:val="sr-Latn-RS"/>
        </w:rPr>
        <w:t>ij</w:t>
      </w:r>
      <w:r w:rsidRPr="00580C63">
        <w:rPr>
          <w:lang w:val="sr-Latn-RS"/>
        </w:rPr>
        <w:t xml:space="preserve">eče CYP450 supstratima sa uskim terapijskim indeksom, treba razmotriti terapijsko praćenje. Dozu drugog </w:t>
      </w:r>
      <w:r w:rsidR="0073308C" w:rsidRPr="00580C63">
        <w:rPr>
          <w:lang w:val="sr-Latn-RS"/>
        </w:rPr>
        <w:t>l</w:t>
      </w:r>
      <w:r w:rsidR="00FD557E" w:rsidRPr="00580C63">
        <w:rPr>
          <w:lang w:val="sr-Latn-RS"/>
        </w:rPr>
        <w:t>ijek</w:t>
      </w:r>
      <w:r w:rsidRPr="00580C63">
        <w:rPr>
          <w:lang w:val="sr-Latn-RS"/>
        </w:rPr>
        <w:t xml:space="preserve">a koji se uzima istovremeno sa </w:t>
      </w:r>
      <w:r w:rsidR="0073308C" w:rsidRPr="00580C63">
        <w:rPr>
          <w:lang w:val="sr-Latn-RS"/>
        </w:rPr>
        <w:t>l</w:t>
      </w:r>
      <w:r w:rsidR="00FD557E" w:rsidRPr="00580C63">
        <w:rPr>
          <w:lang w:val="sr-Latn-RS"/>
        </w:rPr>
        <w:t>ijek</w:t>
      </w:r>
      <w:r w:rsidRPr="00580C63">
        <w:rPr>
          <w:lang w:val="sr-Latn-RS"/>
        </w:rPr>
        <w:t>om Lunsumio treba prilagoditi po potrebi.</w:t>
      </w:r>
    </w:p>
    <w:p w14:paraId="6AA89F62" w14:textId="77777777" w:rsidR="00FE7988" w:rsidRPr="00580C63" w:rsidRDefault="00FE7988">
      <w:pPr>
        <w:pStyle w:val="BodyText"/>
        <w:jc w:val="both"/>
        <w:rPr>
          <w:lang w:val="sr-Latn-RS"/>
        </w:rPr>
      </w:pPr>
    </w:p>
    <w:p w14:paraId="60DF99AF" w14:textId="77777777" w:rsidR="00596AC6" w:rsidRPr="00580C63" w:rsidRDefault="006658F1" w:rsidP="00A441B5">
      <w:pPr>
        <w:pStyle w:val="Heading1"/>
        <w:numPr>
          <w:ilvl w:val="1"/>
          <w:numId w:val="13"/>
        </w:numPr>
        <w:tabs>
          <w:tab w:val="left" w:pos="677"/>
          <w:tab w:val="left" w:pos="678"/>
        </w:tabs>
        <w:spacing w:before="79"/>
        <w:ind w:hanging="677"/>
        <w:jc w:val="both"/>
        <w:rPr>
          <w:lang w:val="sr-Latn-RS"/>
        </w:rPr>
      </w:pPr>
      <w:bookmarkStart w:id="9" w:name="4.6_Fertility,_pregnancy_and_lactation"/>
      <w:bookmarkEnd w:id="9"/>
      <w:r w:rsidRPr="00580C63">
        <w:rPr>
          <w:lang w:val="sr-Latn-RS"/>
        </w:rPr>
        <w:t>Plodnost, trudnoća i dojenje</w:t>
      </w:r>
    </w:p>
    <w:p w14:paraId="7D17B453" w14:textId="77777777" w:rsidR="00596AC6" w:rsidRPr="00580C63" w:rsidRDefault="00596AC6" w:rsidP="00A441B5">
      <w:pPr>
        <w:pStyle w:val="BodyText"/>
        <w:jc w:val="both"/>
        <w:rPr>
          <w:b/>
          <w:lang w:val="sr-Latn-RS"/>
        </w:rPr>
      </w:pPr>
    </w:p>
    <w:p w14:paraId="116DC79F" w14:textId="77777777" w:rsidR="00596AC6" w:rsidRPr="00580C63" w:rsidRDefault="006658F1">
      <w:pPr>
        <w:pStyle w:val="BodyText"/>
        <w:jc w:val="both"/>
        <w:rPr>
          <w:lang w:val="sr-Latn-RS"/>
        </w:rPr>
      </w:pPr>
      <w:r w:rsidRPr="00580C63">
        <w:rPr>
          <w:u w:val="single"/>
          <w:lang w:val="sr-Latn-RS"/>
        </w:rPr>
        <w:t>Žene u reproduktivnom periodu / Kontracepcija</w:t>
      </w:r>
    </w:p>
    <w:p w14:paraId="3B8FCECB" w14:textId="77777777" w:rsidR="00596AC6" w:rsidRPr="00580C63" w:rsidRDefault="00596AC6">
      <w:pPr>
        <w:pStyle w:val="BodyText"/>
        <w:jc w:val="both"/>
        <w:rPr>
          <w:lang w:val="sr-Latn-RS"/>
        </w:rPr>
      </w:pPr>
    </w:p>
    <w:p w14:paraId="16FD05C9" w14:textId="16A4F95B" w:rsidR="00596AC6" w:rsidRPr="00580C63" w:rsidRDefault="006658F1">
      <w:pPr>
        <w:pStyle w:val="BodyText"/>
        <w:jc w:val="both"/>
        <w:rPr>
          <w:lang w:val="sr-Latn-RS"/>
        </w:rPr>
      </w:pPr>
      <w:r w:rsidRPr="00580C63">
        <w:rPr>
          <w:lang w:val="sr-Latn-RS"/>
        </w:rPr>
        <w:t xml:space="preserve">Žene u reproduktivnom periodu treba da koriste </w:t>
      </w:r>
      <w:r w:rsidR="008060FB">
        <w:rPr>
          <w:lang w:val="sr-Latn-RS"/>
        </w:rPr>
        <w:t>efikasnu</w:t>
      </w:r>
      <w:r w:rsidRPr="00580C63">
        <w:rPr>
          <w:lang w:val="sr-Latn-RS"/>
        </w:rPr>
        <w:t xml:space="preserve"> kontracepciju dok primaju </w:t>
      </w:r>
      <w:r w:rsidR="0073308C" w:rsidRPr="00580C63">
        <w:rPr>
          <w:lang w:val="sr-Latn-RS"/>
        </w:rPr>
        <w:t>l</w:t>
      </w:r>
      <w:r w:rsidR="00FD557E" w:rsidRPr="00580C63">
        <w:rPr>
          <w:lang w:val="sr-Latn-RS"/>
        </w:rPr>
        <w:t>ijek</w:t>
      </w:r>
      <w:r w:rsidRPr="00580C63">
        <w:rPr>
          <w:lang w:val="sr-Latn-RS"/>
        </w:rPr>
        <w:t xml:space="preserve"> Lunsumio, kao i tokom 3 m</w:t>
      </w:r>
      <w:r w:rsidR="0073308C" w:rsidRPr="00580C63">
        <w:rPr>
          <w:lang w:val="sr-Latn-RS"/>
        </w:rPr>
        <w:t>j</w:t>
      </w:r>
      <w:r w:rsidRPr="00580C63">
        <w:rPr>
          <w:lang w:val="sr-Latn-RS"/>
        </w:rPr>
        <w:t>eseca nakon posl</w:t>
      </w:r>
      <w:r w:rsidR="0073308C" w:rsidRPr="00580C63">
        <w:rPr>
          <w:lang w:val="sr-Latn-RS"/>
        </w:rPr>
        <w:t>j</w:t>
      </w:r>
      <w:r w:rsidRPr="00580C63">
        <w:rPr>
          <w:lang w:val="sr-Latn-RS"/>
        </w:rPr>
        <w:t xml:space="preserve">ednje doze </w:t>
      </w:r>
      <w:r w:rsidR="0073308C" w:rsidRPr="00580C63">
        <w:rPr>
          <w:lang w:val="sr-Latn-RS"/>
        </w:rPr>
        <w:t>l</w:t>
      </w:r>
      <w:r w:rsidR="00FD557E" w:rsidRPr="00580C63">
        <w:rPr>
          <w:lang w:val="sr-Latn-RS"/>
        </w:rPr>
        <w:t>ijek</w:t>
      </w:r>
      <w:r w:rsidRPr="00580C63">
        <w:rPr>
          <w:lang w:val="sr-Latn-RS"/>
        </w:rPr>
        <w:t>a Lunsumio.</w:t>
      </w:r>
    </w:p>
    <w:p w14:paraId="537006A1" w14:textId="55DED64A" w:rsidR="00FE7988" w:rsidRPr="00580C63" w:rsidRDefault="00FE7988" w:rsidP="00A441B5">
      <w:pPr>
        <w:pStyle w:val="BodyText"/>
        <w:jc w:val="both"/>
        <w:rPr>
          <w:lang w:val="sr-Latn-RS"/>
        </w:rPr>
      </w:pPr>
    </w:p>
    <w:p w14:paraId="12A3136A" w14:textId="77777777" w:rsidR="00FE7988" w:rsidRPr="00580C63" w:rsidRDefault="00FE7988">
      <w:pPr>
        <w:pStyle w:val="BodyText"/>
        <w:jc w:val="both"/>
        <w:rPr>
          <w:lang w:val="sr-Latn-RS"/>
        </w:rPr>
      </w:pPr>
      <w:r w:rsidRPr="00580C63">
        <w:rPr>
          <w:u w:val="single"/>
          <w:lang w:val="sr-Latn-RS"/>
        </w:rPr>
        <w:t>Plodnost</w:t>
      </w:r>
    </w:p>
    <w:p w14:paraId="152C83E1" w14:textId="77777777" w:rsidR="00FE7988" w:rsidRPr="00580C63" w:rsidRDefault="00FE7988">
      <w:pPr>
        <w:pStyle w:val="BodyText"/>
        <w:jc w:val="both"/>
        <w:rPr>
          <w:lang w:val="sr-Latn-RS"/>
        </w:rPr>
      </w:pPr>
    </w:p>
    <w:p w14:paraId="67CC1552" w14:textId="7D95851A" w:rsidR="00FE7988" w:rsidRPr="00580C63" w:rsidRDefault="00FE7988">
      <w:pPr>
        <w:pStyle w:val="BodyText"/>
        <w:jc w:val="both"/>
        <w:rPr>
          <w:lang w:val="sr-Latn-RS"/>
        </w:rPr>
      </w:pPr>
      <w:r w:rsidRPr="00580C63">
        <w:rPr>
          <w:lang w:val="sr-Latn-RS"/>
        </w:rPr>
        <w:t>Nema dostupnih podataka o plodnosti kod ljudi. Ni</w:t>
      </w:r>
      <w:r w:rsidR="00E83893" w:rsidRPr="00580C63">
        <w:rPr>
          <w:lang w:val="sr-Latn-RS"/>
        </w:rPr>
        <w:t>je</w:t>
      </w:r>
      <w:r w:rsidRPr="00580C63">
        <w:rPr>
          <w:lang w:val="sr-Latn-RS"/>
        </w:rPr>
        <w:t>su prim</w:t>
      </w:r>
      <w:r w:rsidR="0083711F" w:rsidRPr="00580C63">
        <w:rPr>
          <w:lang w:val="sr-Latn-RS"/>
        </w:rPr>
        <w:t>ij</w:t>
      </w:r>
      <w:r w:rsidRPr="00580C63">
        <w:rPr>
          <w:lang w:val="sr-Latn-RS"/>
        </w:rPr>
        <w:t>ećena oštećenja muških ili ženskih reproduktivnih organa u 26-nedjeljnim studijama toksičnosti sa cinomolgus majmunima pri izloženosti (</w:t>
      </w:r>
      <w:r w:rsidR="00DF2B0E" w:rsidRPr="00580C63">
        <w:rPr>
          <w:lang w:val="sr-Latn-RS"/>
        </w:rPr>
        <w:t>PIK</w:t>
      </w:r>
      <w:r w:rsidRPr="00580C63">
        <w:rPr>
          <w:lang w:val="sr-Latn-RS"/>
        </w:rPr>
        <w:t xml:space="preserve">) </w:t>
      </w:r>
      <w:r w:rsidR="00DF2B0E" w:rsidRPr="00580C63">
        <w:rPr>
          <w:lang w:val="sr-Latn-RS"/>
        </w:rPr>
        <w:t xml:space="preserve">koja je bila slična </w:t>
      </w:r>
      <w:r w:rsidRPr="00580C63">
        <w:rPr>
          <w:lang w:val="sr-Latn-RS"/>
        </w:rPr>
        <w:t>izloženosti (</w:t>
      </w:r>
      <w:r w:rsidR="00DF2B0E" w:rsidRPr="00580C63">
        <w:rPr>
          <w:lang w:val="sr-Latn-RS"/>
        </w:rPr>
        <w:t>PIK</w:t>
      </w:r>
      <w:r w:rsidRPr="00580C63">
        <w:rPr>
          <w:lang w:val="sr-Latn-RS"/>
        </w:rPr>
        <w:t xml:space="preserve">) kod pacijenata koji su primali preporučenu dozu </w:t>
      </w:r>
      <w:r w:rsidR="007251DA" w:rsidRPr="00580C63">
        <w:rPr>
          <w:lang w:val="sr-Latn-RS"/>
        </w:rPr>
        <w:t>l</w:t>
      </w:r>
      <w:r w:rsidRPr="00580C63">
        <w:rPr>
          <w:lang w:val="sr-Latn-RS"/>
        </w:rPr>
        <w:t>ijeka.</w:t>
      </w:r>
    </w:p>
    <w:p w14:paraId="03D3A0CD" w14:textId="77777777" w:rsidR="00596AC6" w:rsidRPr="00580C63" w:rsidRDefault="00596AC6">
      <w:pPr>
        <w:pStyle w:val="BodyText"/>
        <w:jc w:val="both"/>
        <w:rPr>
          <w:lang w:val="sr-Latn-RS"/>
        </w:rPr>
      </w:pPr>
    </w:p>
    <w:p w14:paraId="68CC9576" w14:textId="77777777" w:rsidR="00596AC6" w:rsidRPr="00580C63" w:rsidRDefault="006658F1">
      <w:pPr>
        <w:pStyle w:val="BodyText"/>
        <w:jc w:val="both"/>
        <w:rPr>
          <w:lang w:val="sr-Latn-RS"/>
        </w:rPr>
      </w:pPr>
      <w:r w:rsidRPr="00580C63">
        <w:rPr>
          <w:u w:val="single"/>
          <w:lang w:val="sr-Latn-RS"/>
        </w:rPr>
        <w:t>Trudnoća</w:t>
      </w:r>
    </w:p>
    <w:p w14:paraId="0B8ECA87" w14:textId="77777777" w:rsidR="00596AC6" w:rsidRPr="00580C63" w:rsidRDefault="00596AC6">
      <w:pPr>
        <w:pStyle w:val="BodyText"/>
        <w:jc w:val="both"/>
        <w:rPr>
          <w:lang w:val="sr-Latn-RS"/>
        </w:rPr>
      </w:pPr>
    </w:p>
    <w:p w14:paraId="7FFC5DC7" w14:textId="5B1CC398" w:rsidR="00596AC6" w:rsidRPr="00580C63" w:rsidRDefault="006658F1">
      <w:pPr>
        <w:pStyle w:val="BodyText"/>
        <w:jc w:val="both"/>
        <w:rPr>
          <w:lang w:val="sr-Latn-RS"/>
        </w:rPr>
      </w:pPr>
      <w:r w:rsidRPr="00580C63">
        <w:rPr>
          <w:lang w:val="sr-Latn-RS"/>
        </w:rPr>
        <w:t xml:space="preserve">Nema podataka o </w:t>
      </w:r>
      <w:r w:rsidR="00FD557E" w:rsidRPr="00580C63">
        <w:rPr>
          <w:lang w:val="sr-Latn-RS"/>
        </w:rPr>
        <w:t>primjeni</w:t>
      </w:r>
      <w:r w:rsidRPr="00580C63">
        <w:rPr>
          <w:lang w:val="sr-Latn-RS"/>
        </w:rPr>
        <w:t xml:space="preserve"> </w:t>
      </w:r>
      <w:r w:rsidR="00833B31" w:rsidRPr="00580C63">
        <w:rPr>
          <w:lang w:val="sr-Latn-RS"/>
        </w:rPr>
        <w:t>l</w:t>
      </w:r>
      <w:r w:rsidR="00FD557E" w:rsidRPr="00580C63">
        <w:rPr>
          <w:lang w:val="sr-Latn-RS"/>
        </w:rPr>
        <w:t>ijek</w:t>
      </w:r>
      <w:r w:rsidRPr="00580C63">
        <w:rPr>
          <w:lang w:val="sr-Latn-RS"/>
        </w:rPr>
        <w:t>a Lunsumio kod trudnica. Studije na životinjama ni</w:t>
      </w:r>
      <w:r w:rsidR="008060FB">
        <w:rPr>
          <w:lang w:val="sr-Latn-RS"/>
        </w:rPr>
        <w:t>je</w:t>
      </w:r>
      <w:r w:rsidRPr="00580C63">
        <w:rPr>
          <w:lang w:val="sr-Latn-RS"/>
        </w:rPr>
        <w:t>su dovoljne u pogledu proc</w:t>
      </w:r>
      <w:r w:rsidR="00833B31" w:rsidRPr="00580C63">
        <w:rPr>
          <w:lang w:val="sr-Latn-RS"/>
        </w:rPr>
        <w:t>j</w:t>
      </w:r>
      <w:r w:rsidRPr="00580C63">
        <w:rPr>
          <w:lang w:val="sr-Latn-RS"/>
        </w:rPr>
        <w:t>ene reproduktivne toksičnosti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xml:space="preserve"> 5.3). </w:t>
      </w:r>
      <w:r w:rsidR="00FD557E" w:rsidRPr="00580C63">
        <w:rPr>
          <w:lang w:val="sr-Latn-RS"/>
        </w:rPr>
        <w:t>Lijek</w:t>
      </w:r>
      <w:r w:rsidRPr="00580C63">
        <w:rPr>
          <w:lang w:val="sr-Latn-RS"/>
        </w:rPr>
        <w:t xml:space="preserve"> Lunsumio se ne preporučuje tokom trudnoće i kod žena koje mogu da rađaju, a koje ne koriste kontracepciju.</w:t>
      </w:r>
    </w:p>
    <w:p w14:paraId="0FA6991A" w14:textId="77777777" w:rsidR="00596AC6" w:rsidRPr="00580C63" w:rsidRDefault="00596AC6">
      <w:pPr>
        <w:pStyle w:val="BodyText"/>
        <w:jc w:val="both"/>
        <w:rPr>
          <w:lang w:val="sr-Latn-RS"/>
        </w:rPr>
      </w:pPr>
    </w:p>
    <w:p w14:paraId="054C2D07" w14:textId="77777777" w:rsidR="00596AC6" w:rsidRPr="00580C63" w:rsidRDefault="006658F1">
      <w:pPr>
        <w:pStyle w:val="BodyText"/>
        <w:jc w:val="both"/>
        <w:rPr>
          <w:lang w:val="sr-Latn-RS"/>
        </w:rPr>
      </w:pPr>
      <w:r w:rsidRPr="00580C63">
        <w:rPr>
          <w:u w:val="single"/>
          <w:lang w:val="sr-Latn-RS"/>
        </w:rPr>
        <w:t>Dojenje</w:t>
      </w:r>
    </w:p>
    <w:p w14:paraId="566809F5" w14:textId="77777777" w:rsidR="00596AC6" w:rsidRPr="00580C63" w:rsidRDefault="00596AC6">
      <w:pPr>
        <w:pStyle w:val="BodyText"/>
        <w:jc w:val="both"/>
        <w:rPr>
          <w:lang w:val="sr-Latn-RS"/>
        </w:rPr>
      </w:pPr>
    </w:p>
    <w:p w14:paraId="7052E07B" w14:textId="03C3678F" w:rsidR="00596AC6" w:rsidRPr="00580C63" w:rsidRDefault="006658F1">
      <w:pPr>
        <w:pStyle w:val="BodyText"/>
        <w:jc w:val="both"/>
        <w:rPr>
          <w:lang w:val="sr-Latn-RS"/>
        </w:rPr>
      </w:pPr>
      <w:r w:rsidRPr="00580C63">
        <w:rPr>
          <w:lang w:val="sr-Latn-RS"/>
        </w:rPr>
        <w:t>Nije poznato da li se mosunetuzumab/metaboliti izlučuju u majčino m</w:t>
      </w:r>
      <w:r w:rsidR="00833B31" w:rsidRPr="00580C63">
        <w:rPr>
          <w:lang w:val="sr-Latn-RS"/>
        </w:rPr>
        <w:t>l</w:t>
      </w:r>
      <w:r w:rsidR="00FD557E" w:rsidRPr="00580C63">
        <w:rPr>
          <w:lang w:val="sr-Latn-RS"/>
        </w:rPr>
        <w:t>ijek</w:t>
      </w:r>
      <w:r w:rsidRPr="00580C63">
        <w:rPr>
          <w:lang w:val="sr-Latn-RS"/>
        </w:rPr>
        <w:t xml:space="preserve">o. Rizik za novorođenčad/odojčad ne može se isključiti. Tokom terapije </w:t>
      </w:r>
      <w:r w:rsidR="00833B31" w:rsidRPr="00580C63">
        <w:rPr>
          <w:lang w:val="sr-Latn-RS"/>
        </w:rPr>
        <w:t>l</w:t>
      </w:r>
      <w:r w:rsidR="00FD557E" w:rsidRPr="00580C63">
        <w:rPr>
          <w:lang w:val="sr-Latn-RS"/>
        </w:rPr>
        <w:t>ijek</w:t>
      </w:r>
      <w:r w:rsidRPr="00580C63">
        <w:rPr>
          <w:lang w:val="sr-Latn-RS"/>
        </w:rPr>
        <w:t>om Lunsumio treba prekinuti sa dojenjem.</w:t>
      </w:r>
    </w:p>
    <w:p w14:paraId="089FAAC4" w14:textId="77777777" w:rsidR="00596AC6" w:rsidRPr="00580C63" w:rsidRDefault="00596AC6" w:rsidP="00A441B5">
      <w:pPr>
        <w:pStyle w:val="BodyText"/>
        <w:jc w:val="both"/>
        <w:rPr>
          <w:lang w:val="sr-Latn-RS"/>
        </w:rPr>
      </w:pPr>
    </w:p>
    <w:p w14:paraId="7066E024" w14:textId="6D99B15B" w:rsidR="00596AC6" w:rsidRPr="00580C63" w:rsidRDefault="00833B31" w:rsidP="00A441B5">
      <w:pPr>
        <w:pStyle w:val="Heading1"/>
        <w:numPr>
          <w:ilvl w:val="1"/>
          <w:numId w:val="13"/>
        </w:numPr>
        <w:tabs>
          <w:tab w:val="left" w:pos="677"/>
          <w:tab w:val="left" w:pos="678"/>
        </w:tabs>
        <w:ind w:hanging="677"/>
        <w:jc w:val="both"/>
        <w:rPr>
          <w:lang w:val="sr-Latn-RS"/>
        </w:rPr>
      </w:pPr>
      <w:bookmarkStart w:id="10" w:name="4.7_Effects_on_ability_to_drive_and_use_"/>
      <w:bookmarkEnd w:id="10"/>
      <w:r w:rsidRPr="00580C63">
        <w:rPr>
          <w:lang w:val="sr-Latn-RS"/>
        </w:rPr>
        <w:t>Uticaj na sposobnost upravljanja vozilima i rukovanje mašinama</w:t>
      </w:r>
    </w:p>
    <w:p w14:paraId="35B1B519" w14:textId="77777777" w:rsidR="00596AC6" w:rsidRPr="00580C63" w:rsidRDefault="00596AC6" w:rsidP="00A441B5">
      <w:pPr>
        <w:pStyle w:val="BodyText"/>
        <w:jc w:val="both"/>
        <w:rPr>
          <w:b/>
          <w:lang w:val="sr-Latn-RS"/>
        </w:rPr>
      </w:pPr>
    </w:p>
    <w:p w14:paraId="7D7D48D5" w14:textId="590AF4DF" w:rsidR="00596AC6" w:rsidRPr="00580C63" w:rsidRDefault="00FD557E">
      <w:pPr>
        <w:pStyle w:val="BodyText"/>
        <w:spacing w:before="91"/>
        <w:jc w:val="both"/>
        <w:rPr>
          <w:lang w:val="sr-Latn-RS"/>
        </w:rPr>
      </w:pPr>
      <w:r w:rsidRPr="00580C63">
        <w:rPr>
          <w:lang w:val="sr-Latn-RS"/>
        </w:rPr>
        <w:t>Lijek</w:t>
      </w:r>
      <w:r w:rsidR="006658F1" w:rsidRPr="00580C63">
        <w:rPr>
          <w:lang w:val="sr-Latn-RS"/>
        </w:rPr>
        <w:t xml:space="preserve"> Lunsumio ima mali uticaj na sposobnost upravljanja motornim vozilima i rukovanja mašinama. Pacijente kod kojih dođe do gubitka sv</w:t>
      </w:r>
      <w:r w:rsidR="00833B31" w:rsidRPr="00580C63">
        <w:rPr>
          <w:lang w:val="sr-Latn-RS"/>
        </w:rPr>
        <w:t>ij</w:t>
      </w:r>
      <w:r w:rsidR="006658F1" w:rsidRPr="00580C63">
        <w:rPr>
          <w:lang w:val="sr-Latn-RS"/>
        </w:rPr>
        <w:t>esti treba ispitati i sav</w:t>
      </w:r>
      <w:r w:rsidR="00B938FD" w:rsidRPr="00580C63">
        <w:rPr>
          <w:lang w:val="sr-Latn-RS"/>
        </w:rPr>
        <w:t>j</w:t>
      </w:r>
      <w:r w:rsidR="006658F1" w:rsidRPr="00580C63">
        <w:rPr>
          <w:lang w:val="sr-Latn-RS"/>
        </w:rPr>
        <w:t>etovati ih da ne voze i da ne rukuju teškim ili potencijalno opasnim mašinama dok se simptomi ne povuku.</w:t>
      </w:r>
    </w:p>
    <w:p w14:paraId="4A6021E4" w14:textId="77777777" w:rsidR="00596AC6" w:rsidRPr="00580C63" w:rsidRDefault="00596AC6" w:rsidP="00A441B5">
      <w:pPr>
        <w:pStyle w:val="BodyText"/>
        <w:jc w:val="both"/>
        <w:rPr>
          <w:lang w:val="sr-Latn-RS"/>
        </w:rPr>
      </w:pPr>
    </w:p>
    <w:p w14:paraId="6501143F" w14:textId="77777777" w:rsidR="00596AC6" w:rsidRPr="00580C63" w:rsidRDefault="006658F1" w:rsidP="00A441B5">
      <w:pPr>
        <w:pStyle w:val="Heading1"/>
        <w:numPr>
          <w:ilvl w:val="1"/>
          <w:numId w:val="13"/>
        </w:numPr>
        <w:tabs>
          <w:tab w:val="left" w:pos="677"/>
          <w:tab w:val="left" w:pos="678"/>
        </w:tabs>
        <w:ind w:hanging="677"/>
        <w:jc w:val="both"/>
        <w:rPr>
          <w:lang w:val="sr-Latn-RS"/>
        </w:rPr>
      </w:pPr>
      <w:bookmarkStart w:id="11" w:name="4.8_Undesirable_effects"/>
      <w:bookmarkEnd w:id="11"/>
      <w:r w:rsidRPr="00580C63">
        <w:rPr>
          <w:lang w:val="sr-Latn-RS"/>
        </w:rPr>
        <w:t>Neželjena dejstva</w:t>
      </w:r>
    </w:p>
    <w:p w14:paraId="7572AEB8" w14:textId="77777777" w:rsidR="00596AC6" w:rsidRPr="00580C63" w:rsidRDefault="00596AC6" w:rsidP="00A441B5">
      <w:pPr>
        <w:pStyle w:val="BodyText"/>
        <w:jc w:val="both"/>
        <w:rPr>
          <w:b/>
          <w:lang w:val="sr-Latn-RS"/>
        </w:rPr>
      </w:pPr>
    </w:p>
    <w:p w14:paraId="4BA5B005" w14:textId="0E8239FA" w:rsidR="00596AC6" w:rsidRPr="00580C63" w:rsidRDefault="006658F1" w:rsidP="00A441B5">
      <w:pPr>
        <w:pStyle w:val="BodyText"/>
        <w:jc w:val="both"/>
        <w:rPr>
          <w:lang w:val="sr-Latn-RS"/>
        </w:rPr>
      </w:pPr>
      <w:r w:rsidRPr="00580C63">
        <w:rPr>
          <w:u w:val="single"/>
          <w:lang w:val="sr-Latn-RS"/>
        </w:rPr>
        <w:t>Sažetak bezb</w:t>
      </w:r>
      <w:r w:rsidR="00833B31" w:rsidRPr="00580C63">
        <w:rPr>
          <w:u w:val="single"/>
          <w:lang w:val="sr-Latn-RS"/>
        </w:rPr>
        <w:t>j</w:t>
      </w:r>
      <w:r w:rsidRPr="00580C63">
        <w:rPr>
          <w:u w:val="single"/>
          <w:lang w:val="sr-Latn-RS"/>
        </w:rPr>
        <w:t>ednosnog profila</w:t>
      </w:r>
    </w:p>
    <w:p w14:paraId="2E5E8E4D" w14:textId="77777777" w:rsidR="00596AC6" w:rsidRPr="00580C63" w:rsidRDefault="00596AC6" w:rsidP="00A441B5">
      <w:pPr>
        <w:pStyle w:val="BodyText"/>
        <w:spacing w:before="1"/>
        <w:jc w:val="both"/>
        <w:rPr>
          <w:lang w:val="sr-Latn-RS"/>
        </w:rPr>
      </w:pPr>
    </w:p>
    <w:p w14:paraId="7C85FBAE" w14:textId="0B20F077" w:rsidR="00596AC6" w:rsidRPr="00580C63" w:rsidRDefault="00A9555D">
      <w:pPr>
        <w:pStyle w:val="BodyText"/>
        <w:jc w:val="both"/>
        <w:rPr>
          <w:lang w:val="sr-Latn-RS"/>
        </w:rPr>
      </w:pPr>
      <w:r w:rsidRPr="00580C63">
        <w:rPr>
          <w:lang w:val="sr-Latn-RS"/>
        </w:rPr>
        <w:lastRenderedPageBreak/>
        <w:t xml:space="preserve">Neželjena dejstva </w:t>
      </w:r>
      <w:r w:rsidR="00833B31" w:rsidRPr="00580C63">
        <w:rPr>
          <w:lang w:val="sr-Latn-RS"/>
        </w:rPr>
        <w:t>l</w:t>
      </w:r>
      <w:r w:rsidR="00FD557E" w:rsidRPr="00580C63">
        <w:rPr>
          <w:lang w:val="sr-Latn-RS"/>
        </w:rPr>
        <w:t>ijek</w:t>
      </w:r>
      <w:r w:rsidRPr="00580C63">
        <w:rPr>
          <w:lang w:val="sr-Latn-RS"/>
        </w:rPr>
        <w:t>a</w:t>
      </w:r>
      <w:r w:rsidR="006658F1" w:rsidRPr="00580C63">
        <w:rPr>
          <w:lang w:val="sr-Latn-RS"/>
        </w:rPr>
        <w:t xml:space="preserve"> opisan</w:t>
      </w:r>
      <w:r w:rsidRPr="00580C63">
        <w:rPr>
          <w:lang w:val="sr-Latn-RS"/>
        </w:rPr>
        <w:t>a</w:t>
      </w:r>
      <w:r w:rsidR="006658F1" w:rsidRPr="00580C63">
        <w:rPr>
          <w:lang w:val="sr-Latn-RS"/>
        </w:rPr>
        <w:t xml:space="preserve"> u ovom </w:t>
      </w:r>
      <w:r w:rsidR="00783A5B" w:rsidRPr="00580C63">
        <w:rPr>
          <w:lang w:val="sr-Latn-RS"/>
        </w:rPr>
        <w:t xml:space="preserve">dijelu </w:t>
      </w:r>
      <w:r w:rsidR="006658F1" w:rsidRPr="00580C63">
        <w:rPr>
          <w:lang w:val="sr-Latn-RS"/>
        </w:rPr>
        <w:t>otkriven</w:t>
      </w:r>
      <w:r w:rsidRPr="00580C63">
        <w:rPr>
          <w:lang w:val="sr-Latn-RS"/>
        </w:rPr>
        <w:t>a</w:t>
      </w:r>
      <w:r w:rsidR="006658F1" w:rsidRPr="00580C63">
        <w:rPr>
          <w:lang w:val="sr-Latn-RS"/>
        </w:rPr>
        <w:t xml:space="preserve"> su tokom pivotalnog kliničkog ispitivanja GO29781 kod pacijenata l</w:t>
      </w:r>
      <w:r w:rsidR="00833B31" w:rsidRPr="00580C63">
        <w:rPr>
          <w:lang w:val="sr-Latn-RS"/>
        </w:rPr>
        <w:t>ij</w:t>
      </w:r>
      <w:r w:rsidR="006658F1" w:rsidRPr="00580C63">
        <w:rPr>
          <w:lang w:val="sr-Latn-RS"/>
        </w:rPr>
        <w:t xml:space="preserve">ečenih preporučenom dozom </w:t>
      </w:r>
      <w:r w:rsidR="00833B31" w:rsidRPr="00580C63">
        <w:rPr>
          <w:lang w:val="sr-Latn-RS"/>
        </w:rPr>
        <w:t>l</w:t>
      </w:r>
      <w:r w:rsidR="00FD557E" w:rsidRPr="00580C63">
        <w:rPr>
          <w:lang w:val="sr-Latn-RS"/>
        </w:rPr>
        <w:t>ijek</w:t>
      </w:r>
      <w:r w:rsidR="006658F1" w:rsidRPr="00580C63">
        <w:rPr>
          <w:lang w:val="sr-Latn-RS"/>
        </w:rPr>
        <w:t>a (n = 218). Pacijenti su imali folikularni limfom (41,3%), difuzni veliki B-ćelijski limfom / transformisani folikularni limfom (40,4%), limfom mantle ćelija (11,5%), Rihterovu transformaciju (6,4%) i druge histologije (0,5%). U pros</w:t>
      </w:r>
      <w:r w:rsidR="007251DA" w:rsidRPr="00580C63">
        <w:rPr>
          <w:lang w:val="sr-Latn-RS"/>
        </w:rPr>
        <w:t>j</w:t>
      </w:r>
      <w:r w:rsidR="006658F1" w:rsidRPr="00580C63">
        <w:rPr>
          <w:lang w:val="sr-Latn-RS"/>
        </w:rPr>
        <w:t>eku, broj ciklusa tokom kojih su pacijenti primali</w:t>
      </w:r>
      <w:r w:rsidR="00833B31" w:rsidRPr="00580C63">
        <w:rPr>
          <w:lang w:val="sr-Latn-RS"/>
        </w:rPr>
        <w:t xml:space="preserve"> lijek </w:t>
      </w:r>
      <w:r w:rsidR="006658F1" w:rsidRPr="00580C63">
        <w:rPr>
          <w:lang w:val="sr-Latn-RS"/>
        </w:rPr>
        <w:t>Lunsumio bio je 8 (opseg 1–17), pri čemu je 37% pacijenata primalo terapiju 8 ciklusa, a 15% pacijenata je primalo terapiju više od 8 ciklusa, sve do 17 ciklusa.</w:t>
      </w:r>
    </w:p>
    <w:p w14:paraId="3B154F00" w14:textId="77777777" w:rsidR="00596AC6" w:rsidRPr="00580C63" w:rsidRDefault="00596AC6">
      <w:pPr>
        <w:pStyle w:val="BodyText"/>
        <w:jc w:val="both"/>
        <w:rPr>
          <w:lang w:val="sr-Latn-RS"/>
        </w:rPr>
      </w:pPr>
    </w:p>
    <w:p w14:paraId="3B849887" w14:textId="24489B91" w:rsidR="00596AC6" w:rsidRPr="00580C63" w:rsidRDefault="00301A9B">
      <w:pPr>
        <w:pStyle w:val="BodyText"/>
        <w:jc w:val="both"/>
        <w:rPr>
          <w:lang w:val="sr-Latn-RS"/>
        </w:rPr>
      </w:pPr>
      <w:r w:rsidRPr="00580C63">
        <w:rPr>
          <w:lang w:val="sr-Latn-RS"/>
        </w:rPr>
        <w:t xml:space="preserve">Najčešća neželjena dejstva </w:t>
      </w:r>
      <w:r w:rsidR="005060F3" w:rsidRPr="00580C63">
        <w:rPr>
          <w:lang w:val="sr-Latn-RS"/>
        </w:rPr>
        <w:t>(≥ 20%) su sindrom otpuštanja</w:t>
      </w:r>
      <w:r w:rsidR="006658F1" w:rsidRPr="00580C63">
        <w:rPr>
          <w:lang w:val="sr-Latn-RS"/>
        </w:rPr>
        <w:t xml:space="preserve"> citokina, neutropenija, pireksija, hipofosfatemija i glavobolja. Najčešće </w:t>
      </w:r>
      <w:r w:rsidRPr="00580C63">
        <w:rPr>
          <w:lang w:val="sr-Latn-RS"/>
        </w:rPr>
        <w:t xml:space="preserve">ozbiljna neželjena dejstva </w:t>
      </w:r>
      <w:r w:rsidR="005060F3" w:rsidRPr="00580C63">
        <w:rPr>
          <w:lang w:val="sr-Latn-RS"/>
        </w:rPr>
        <w:t>(≥ 2%) su sindrom otpuštanja</w:t>
      </w:r>
      <w:r w:rsidR="006658F1" w:rsidRPr="00580C63">
        <w:rPr>
          <w:lang w:val="sr-Latn-RS"/>
        </w:rPr>
        <w:t xml:space="preserve"> citokina (CRS) (21% prema ASTCT sistemu oc</w:t>
      </w:r>
      <w:r w:rsidR="00A9555D" w:rsidRPr="00580C63">
        <w:rPr>
          <w:lang w:val="sr-Latn-RS"/>
        </w:rPr>
        <w:t>j</w:t>
      </w:r>
      <w:r w:rsidR="006658F1" w:rsidRPr="00580C63">
        <w:rPr>
          <w:lang w:val="sr-Latn-RS"/>
        </w:rPr>
        <w:t xml:space="preserve">enjivanja), pireksija (5%) i pneumonija (3%). Devet od 218 pacijenata (4,1%) prekinulo je korišćenje </w:t>
      </w:r>
      <w:r w:rsidR="00833B31" w:rsidRPr="00580C63">
        <w:rPr>
          <w:lang w:val="sr-Latn-RS"/>
        </w:rPr>
        <w:t>l</w:t>
      </w:r>
      <w:r w:rsidR="00FD557E" w:rsidRPr="00580C63">
        <w:rPr>
          <w:lang w:val="sr-Latn-RS"/>
        </w:rPr>
        <w:t>ijek</w:t>
      </w:r>
      <w:r w:rsidR="006658F1" w:rsidRPr="00580C63">
        <w:rPr>
          <w:lang w:val="sr-Latn-RS"/>
        </w:rPr>
        <w:t>a Lunsumio zbog neželjenog događaja.</w:t>
      </w:r>
    </w:p>
    <w:p w14:paraId="68DC519A" w14:textId="3026B196" w:rsidR="00596AC6" w:rsidRPr="00580C63" w:rsidRDefault="006658F1">
      <w:pPr>
        <w:pStyle w:val="BodyText"/>
        <w:jc w:val="both"/>
        <w:rPr>
          <w:lang w:val="sr-Latn-RS"/>
        </w:rPr>
      </w:pPr>
      <w:r w:rsidRPr="00580C63">
        <w:rPr>
          <w:lang w:val="sr-Latn-RS"/>
        </w:rPr>
        <w:t xml:space="preserve">CRS je bila </w:t>
      </w:r>
      <w:r w:rsidR="00A9555D" w:rsidRPr="00580C63">
        <w:rPr>
          <w:lang w:val="sr-Latn-RS"/>
        </w:rPr>
        <w:t xml:space="preserve">jedino neželjeno dejstvo </w:t>
      </w:r>
      <w:r w:rsidRPr="00580C63">
        <w:rPr>
          <w:lang w:val="sr-Latn-RS"/>
        </w:rPr>
        <w:t>koj</w:t>
      </w:r>
      <w:r w:rsidR="00A9555D" w:rsidRPr="00580C63">
        <w:rPr>
          <w:lang w:val="sr-Latn-RS"/>
        </w:rPr>
        <w:t>e</w:t>
      </w:r>
      <w:r w:rsidRPr="00580C63">
        <w:rPr>
          <w:lang w:val="sr-Latn-RS"/>
        </w:rPr>
        <w:t xml:space="preserve"> je dovel</w:t>
      </w:r>
      <w:r w:rsidR="00A9555D" w:rsidRPr="00580C63">
        <w:rPr>
          <w:lang w:val="sr-Latn-RS"/>
        </w:rPr>
        <w:t>o</w:t>
      </w:r>
      <w:r w:rsidRPr="00580C63">
        <w:rPr>
          <w:lang w:val="sr-Latn-RS"/>
        </w:rPr>
        <w:t xml:space="preserve"> do prekida terapije kod više od jednog pacijenta (2 pacijenta [0,9%)].</w:t>
      </w:r>
    </w:p>
    <w:p w14:paraId="70EE1AE3" w14:textId="77777777" w:rsidR="00301A9B" w:rsidRPr="00580C63" w:rsidRDefault="00301A9B" w:rsidP="00A441B5">
      <w:pPr>
        <w:pStyle w:val="BodyText"/>
        <w:jc w:val="both"/>
        <w:rPr>
          <w:u w:val="single"/>
          <w:lang w:val="sr-Latn-RS"/>
        </w:rPr>
      </w:pPr>
    </w:p>
    <w:p w14:paraId="3981D36E" w14:textId="57779EEF" w:rsidR="00596AC6" w:rsidRPr="00580C63" w:rsidRDefault="006658F1" w:rsidP="00A441B5">
      <w:pPr>
        <w:pStyle w:val="BodyText"/>
        <w:jc w:val="both"/>
        <w:rPr>
          <w:u w:val="single"/>
          <w:lang w:val="sr-Latn-RS"/>
        </w:rPr>
      </w:pPr>
      <w:r w:rsidRPr="00580C63">
        <w:rPr>
          <w:u w:val="single"/>
          <w:lang w:val="sr-Latn-RS"/>
        </w:rPr>
        <w:t xml:space="preserve">Tabelarni prikaz neželjenih </w:t>
      </w:r>
      <w:r w:rsidR="00301A9B" w:rsidRPr="00580C63">
        <w:rPr>
          <w:u w:val="single"/>
          <w:lang w:val="sr-Latn-RS"/>
        </w:rPr>
        <w:t>dejstava</w:t>
      </w:r>
    </w:p>
    <w:p w14:paraId="10457059" w14:textId="4FA26728" w:rsidR="00833B31" w:rsidRPr="00580C63" w:rsidRDefault="00833B31" w:rsidP="00A441B5">
      <w:pPr>
        <w:pStyle w:val="BodyText"/>
        <w:ind w:left="111"/>
        <w:jc w:val="both"/>
        <w:rPr>
          <w:u w:val="single"/>
          <w:lang w:val="sr-Latn-RS"/>
        </w:rPr>
      </w:pPr>
    </w:p>
    <w:p w14:paraId="245C3CC7" w14:textId="51FED580" w:rsidR="00833B31" w:rsidRPr="00580C63" w:rsidRDefault="00833B31">
      <w:pPr>
        <w:pStyle w:val="BodyText"/>
        <w:jc w:val="both"/>
        <w:rPr>
          <w:lang w:val="sr-Latn-RS"/>
        </w:rPr>
      </w:pPr>
      <w:r w:rsidRPr="00580C63">
        <w:rPr>
          <w:lang w:val="sr-Latn-RS"/>
        </w:rPr>
        <w:t>Neželjena dejstva navedena u Tabeli 4 prikazana su prema MedDRA klasifikaciji sistema</w:t>
      </w:r>
      <w:r w:rsidR="008060FB">
        <w:rPr>
          <w:lang w:val="sr-Latn-RS"/>
        </w:rPr>
        <w:t xml:space="preserve"> organa</w:t>
      </w:r>
      <w:r w:rsidRPr="00580C63">
        <w:rPr>
          <w:lang w:val="sr-Latn-RS"/>
        </w:rPr>
        <w:t>,</w:t>
      </w:r>
      <w:r w:rsidR="00A9555D" w:rsidRPr="00580C63">
        <w:rPr>
          <w:lang w:val="sr-Latn-RS"/>
        </w:rPr>
        <w:t xml:space="preserve"> </w:t>
      </w:r>
      <w:r w:rsidRPr="00580C63">
        <w:rPr>
          <w:lang w:val="sr-Latn-RS"/>
        </w:rPr>
        <w:t>učestalosti i stepena</w:t>
      </w:r>
      <w:r w:rsidR="00326B04" w:rsidRPr="00580C63">
        <w:rPr>
          <w:lang w:val="sr-Latn-RS"/>
        </w:rPr>
        <w:t xml:space="preserve"> ozbiljnosti, kako slijedi: veoma</w:t>
      </w:r>
      <w:r w:rsidRPr="00580C63">
        <w:rPr>
          <w:lang w:val="sr-Latn-RS"/>
        </w:rPr>
        <w:t xml:space="preserve"> često (≥ 1/10), često (≥ 1/100 i &lt; 1/10), povremeno (≥1/1000 i &lt; 1/100), rijet</w:t>
      </w:r>
      <w:r w:rsidR="00326B04" w:rsidRPr="00580C63">
        <w:rPr>
          <w:lang w:val="sr-Latn-RS"/>
        </w:rPr>
        <w:t>ko (≥ 1/10 000 i &lt; 1/1000), veoma</w:t>
      </w:r>
      <w:r w:rsidRPr="00580C63">
        <w:rPr>
          <w:lang w:val="sr-Latn-RS"/>
        </w:rPr>
        <w:t xml:space="preserve"> rijetko (&lt; 1/10 000) i nepoznato (ne može se proc</w:t>
      </w:r>
      <w:r w:rsidR="00A9555D" w:rsidRPr="00580C63">
        <w:rPr>
          <w:lang w:val="sr-Latn-RS"/>
        </w:rPr>
        <w:t>ij</w:t>
      </w:r>
      <w:r w:rsidRPr="00580C63">
        <w:rPr>
          <w:lang w:val="sr-Latn-RS"/>
        </w:rPr>
        <w:t xml:space="preserve">eniti na osnovu dostupnih podataka). U okviru svake grupe učestalosti neželjena dejstva su prikazana po </w:t>
      </w:r>
      <w:r w:rsidR="00A9555D" w:rsidRPr="00580C63">
        <w:rPr>
          <w:lang w:val="sr-Latn-RS"/>
        </w:rPr>
        <w:t>o</w:t>
      </w:r>
      <w:r w:rsidRPr="00580C63">
        <w:rPr>
          <w:lang w:val="sr-Latn-RS"/>
        </w:rPr>
        <w:t>padajuć</w:t>
      </w:r>
      <w:r w:rsidR="00A9555D" w:rsidRPr="00580C63">
        <w:rPr>
          <w:lang w:val="sr-Latn-RS"/>
        </w:rPr>
        <w:t xml:space="preserve">em nizu prema </w:t>
      </w:r>
      <w:r w:rsidRPr="00580C63">
        <w:rPr>
          <w:lang w:val="sr-Latn-RS"/>
        </w:rPr>
        <w:t>ozbiljnosti.</w:t>
      </w:r>
    </w:p>
    <w:p w14:paraId="449908CA" w14:textId="77777777" w:rsidR="00596AC6" w:rsidRPr="00580C63" w:rsidRDefault="00596AC6" w:rsidP="00A441B5">
      <w:pPr>
        <w:pStyle w:val="BodyText"/>
        <w:spacing w:before="1"/>
        <w:jc w:val="both"/>
        <w:rPr>
          <w:lang w:val="sr-Latn-RS"/>
        </w:rPr>
      </w:pPr>
    </w:p>
    <w:p w14:paraId="3B53740C" w14:textId="571406D7" w:rsidR="00596AC6" w:rsidRPr="00580C63" w:rsidRDefault="006658F1" w:rsidP="00A441B5">
      <w:pPr>
        <w:pStyle w:val="Heading1"/>
        <w:spacing w:before="79"/>
        <w:ind w:left="0" w:firstLine="0"/>
        <w:jc w:val="both"/>
        <w:rPr>
          <w:lang w:val="sr-Latn-RS"/>
        </w:rPr>
      </w:pPr>
      <w:r w:rsidRPr="00580C63">
        <w:rPr>
          <w:lang w:val="sr-Latn-RS"/>
        </w:rPr>
        <w:t xml:space="preserve">Tabela 4 </w:t>
      </w:r>
      <w:r w:rsidR="00AB4252" w:rsidRPr="00580C63">
        <w:rPr>
          <w:lang w:val="sr-Latn-RS"/>
        </w:rPr>
        <w:t xml:space="preserve"> </w:t>
      </w:r>
      <w:r w:rsidR="00301A9B" w:rsidRPr="00580C63">
        <w:rPr>
          <w:lang w:val="sr-Latn-RS"/>
        </w:rPr>
        <w:t xml:space="preserve">Neželjena dejstva </w:t>
      </w:r>
      <w:r w:rsidRPr="00580C63">
        <w:rPr>
          <w:lang w:val="sr-Latn-RS"/>
        </w:rPr>
        <w:t>koj</w:t>
      </w:r>
      <w:r w:rsidR="00301A9B" w:rsidRPr="00580C63">
        <w:rPr>
          <w:lang w:val="sr-Latn-RS"/>
        </w:rPr>
        <w:t>a</w:t>
      </w:r>
      <w:r w:rsidRPr="00580C63">
        <w:rPr>
          <w:lang w:val="sr-Latn-RS"/>
        </w:rPr>
        <w:t xml:space="preserve"> se javljaju kod pacijenata l</w:t>
      </w:r>
      <w:r w:rsidR="007251DA" w:rsidRPr="00580C63">
        <w:rPr>
          <w:lang w:val="sr-Latn-RS"/>
        </w:rPr>
        <w:t>ij</w:t>
      </w:r>
      <w:r w:rsidRPr="00580C63">
        <w:rPr>
          <w:lang w:val="sr-Latn-RS"/>
        </w:rPr>
        <w:t xml:space="preserve">ečenih </w:t>
      </w:r>
      <w:r w:rsidR="00495640" w:rsidRPr="00580C63">
        <w:rPr>
          <w:lang w:val="sr-Latn-RS"/>
        </w:rPr>
        <w:t>l</w:t>
      </w:r>
      <w:r w:rsidR="00FD557E" w:rsidRPr="00580C63">
        <w:rPr>
          <w:lang w:val="sr-Latn-RS"/>
        </w:rPr>
        <w:t>ijek</w:t>
      </w:r>
      <w:r w:rsidRPr="00580C63">
        <w:rPr>
          <w:lang w:val="sr-Latn-RS"/>
        </w:rPr>
        <w:t>om Lunsumio</w:t>
      </w:r>
    </w:p>
    <w:p w14:paraId="0B97C81B" w14:textId="77777777" w:rsidR="00596AC6" w:rsidRPr="00580C63" w:rsidRDefault="00596AC6" w:rsidP="00A441B5">
      <w:pPr>
        <w:pStyle w:val="BodyText"/>
        <w:jc w:val="both"/>
        <w:rPr>
          <w:b/>
          <w:lang w:val="sr-Latn-R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4"/>
        <w:gridCol w:w="2501"/>
        <w:gridCol w:w="2887"/>
      </w:tblGrid>
      <w:tr w:rsidR="00596AC6" w:rsidRPr="00580C63" w14:paraId="5C2932E6" w14:textId="77777777" w:rsidTr="008868CF">
        <w:trPr>
          <w:trHeight w:val="705"/>
        </w:trPr>
        <w:tc>
          <w:tcPr>
            <w:tcW w:w="2066" w:type="pct"/>
          </w:tcPr>
          <w:p w14:paraId="58E45BD2" w14:textId="3657395A" w:rsidR="00596AC6" w:rsidRPr="00580C63" w:rsidRDefault="006658F1" w:rsidP="00A441B5">
            <w:pPr>
              <w:pStyle w:val="TableParagraph"/>
              <w:spacing w:before="100"/>
              <w:ind w:left="2" w:right="231"/>
              <w:jc w:val="both"/>
              <w:rPr>
                <w:b/>
                <w:lang w:val="sr-Latn-RS"/>
              </w:rPr>
            </w:pPr>
            <w:r w:rsidRPr="00580C63">
              <w:rPr>
                <w:b/>
                <w:bCs/>
                <w:lang w:val="sr-Latn-RS"/>
              </w:rPr>
              <w:t>Klasa sistema organa / Poželjni termin i neželjen</w:t>
            </w:r>
            <w:r w:rsidR="00301A9B" w:rsidRPr="00580C63">
              <w:rPr>
                <w:b/>
                <w:bCs/>
                <w:lang w:val="sr-Latn-RS"/>
              </w:rPr>
              <w:t>o dejstvo</w:t>
            </w:r>
          </w:p>
        </w:tc>
        <w:tc>
          <w:tcPr>
            <w:tcW w:w="1362" w:type="pct"/>
          </w:tcPr>
          <w:p w14:paraId="4BA360FA" w14:textId="77777777" w:rsidR="00596AC6" w:rsidRPr="00580C63" w:rsidRDefault="00596AC6" w:rsidP="00A441B5">
            <w:pPr>
              <w:pStyle w:val="TableParagraph"/>
              <w:spacing w:before="8"/>
              <w:ind w:left="2"/>
              <w:jc w:val="both"/>
              <w:rPr>
                <w:b/>
                <w:lang w:val="sr-Latn-RS"/>
              </w:rPr>
            </w:pPr>
          </w:p>
          <w:p w14:paraId="55CC40EB" w14:textId="77777777" w:rsidR="00596AC6" w:rsidRPr="00580C63" w:rsidRDefault="006658F1" w:rsidP="00A441B5">
            <w:pPr>
              <w:pStyle w:val="TableParagraph"/>
              <w:ind w:left="2"/>
              <w:jc w:val="both"/>
              <w:rPr>
                <w:b/>
                <w:lang w:val="sr-Latn-RS"/>
              </w:rPr>
            </w:pPr>
            <w:r w:rsidRPr="00580C63">
              <w:rPr>
                <w:b/>
                <w:bCs/>
                <w:lang w:val="sr-Latn-RS"/>
              </w:rPr>
              <w:t>Svi stepeni</w:t>
            </w:r>
          </w:p>
        </w:tc>
        <w:tc>
          <w:tcPr>
            <w:tcW w:w="1572" w:type="pct"/>
          </w:tcPr>
          <w:p w14:paraId="17E35901" w14:textId="77777777" w:rsidR="00596AC6" w:rsidRPr="00580C63" w:rsidRDefault="00596AC6" w:rsidP="00A441B5">
            <w:pPr>
              <w:pStyle w:val="TableParagraph"/>
              <w:spacing w:before="8"/>
              <w:ind w:left="2"/>
              <w:jc w:val="both"/>
              <w:rPr>
                <w:b/>
                <w:lang w:val="sr-Latn-RS"/>
              </w:rPr>
            </w:pPr>
          </w:p>
          <w:p w14:paraId="07DA48D8" w14:textId="77777777" w:rsidR="00596AC6" w:rsidRPr="00580C63" w:rsidRDefault="006658F1" w:rsidP="00A441B5">
            <w:pPr>
              <w:pStyle w:val="TableParagraph"/>
              <w:ind w:left="2"/>
              <w:jc w:val="both"/>
              <w:rPr>
                <w:b/>
                <w:lang w:val="sr-Latn-RS"/>
              </w:rPr>
            </w:pPr>
            <w:r w:rsidRPr="00580C63">
              <w:rPr>
                <w:b/>
                <w:bCs/>
                <w:lang w:val="sr-Latn-RS"/>
              </w:rPr>
              <w:t>Stepen 3–4</w:t>
            </w:r>
          </w:p>
        </w:tc>
      </w:tr>
      <w:tr w:rsidR="00596AC6" w:rsidRPr="00580C63" w14:paraId="19ADD429" w14:textId="77777777" w:rsidTr="008868CF">
        <w:trPr>
          <w:trHeight w:val="620"/>
        </w:trPr>
        <w:tc>
          <w:tcPr>
            <w:tcW w:w="5000" w:type="pct"/>
            <w:gridSpan w:val="3"/>
          </w:tcPr>
          <w:p w14:paraId="339296BE" w14:textId="77777777" w:rsidR="00596AC6" w:rsidRPr="00580C63" w:rsidRDefault="006658F1" w:rsidP="00A441B5">
            <w:pPr>
              <w:pStyle w:val="TableParagraph"/>
              <w:spacing w:before="100"/>
              <w:ind w:left="2"/>
              <w:jc w:val="both"/>
              <w:rPr>
                <w:b/>
                <w:lang w:val="sr-Latn-RS"/>
              </w:rPr>
            </w:pPr>
            <w:r w:rsidRPr="00580C63">
              <w:rPr>
                <w:b/>
                <w:bCs/>
                <w:lang w:val="sr-Latn-RS"/>
              </w:rPr>
              <w:t>Infekcije i infestacije</w:t>
            </w:r>
          </w:p>
        </w:tc>
      </w:tr>
      <w:tr w:rsidR="00596AC6" w:rsidRPr="00580C63" w14:paraId="6C09C25B" w14:textId="77777777" w:rsidTr="008868CF">
        <w:trPr>
          <w:trHeight w:val="452"/>
        </w:trPr>
        <w:tc>
          <w:tcPr>
            <w:tcW w:w="2066" w:type="pct"/>
          </w:tcPr>
          <w:p w14:paraId="3CB0FA44" w14:textId="77777777" w:rsidR="00596AC6" w:rsidRPr="00580C63" w:rsidRDefault="006658F1" w:rsidP="00A441B5">
            <w:pPr>
              <w:pStyle w:val="TableParagraph"/>
              <w:spacing w:before="100"/>
              <w:ind w:left="2"/>
              <w:jc w:val="both"/>
              <w:rPr>
                <w:lang w:val="sr-Latn-RS"/>
              </w:rPr>
            </w:pPr>
            <w:r w:rsidRPr="00580C63">
              <w:rPr>
                <w:lang w:val="sr-Latn-RS"/>
              </w:rPr>
              <w:t>Infekcija gornjeg respiratornog trakta</w:t>
            </w:r>
          </w:p>
        </w:tc>
        <w:tc>
          <w:tcPr>
            <w:tcW w:w="1362" w:type="pct"/>
          </w:tcPr>
          <w:p w14:paraId="6C7DE695" w14:textId="77777777" w:rsidR="00596AC6" w:rsidRPr="00580C63" w:rsidRDefault="006658F1" w:rsidP="00A441B5">
            <w:pPr>
              <w:pStyle w:val="TableParagraph"/>
              <w:spacing w:before="100"/>
              <w:ind w:left="2"/>
              <w:jc w:val="both"/>
              <w:rPr>
                <w:lang w:val="sr-Latn-RS"/>
              </w:rPr>
            </w:pPr>
            <w:r w:rsidRPr="00580C63">
              <w:rPr>
                <w:lang w:val="sr-Latn-RS"/>
              </w:rPr>
              <w:t>Često</w:t>
            </w:r>
          </w:p>
        </w:tc>
        <w:tc>
          <w:tcPr>
            <w:tcW w:w="1572" w:type="pct"/>
          </w:tcPr>
          <w:p w14:paraId="3503C0D7" w14:textId="77777777" w:rsidR="00596AC6" w:rsidRPr="00580C63" w:rsidRDefault="006658F1" w:rsidP="00A441B5">
            <w:pPr>
              <w:pStyle w:val="TableParagraph"/>
              <w:spacing w:before="100"/>
              <w:ind w:left="2"/>
              <w:jc w:val="both"/>
              <w:rPr>
                <w:lang w:val="sr-Latn-RS"/>
              </w:rPr>
            </w:pPr>
            <w:r w:rsidRPr="00580C63">
              <w:rPr>
                <w:lang w:val="sr-Latn-RS"/>
              </w:rPr>
              <w:t>Često</w:t>
            </w:r>
          </w:p>
        </w:tc>
      </w:tr>
      <w:tr w:rsidR="00596AC6" w:rsidRPr="00580C63" w14:paraId="28EEEA4D" w14:textId="77777777" w:rsidTr="008868CF">
        <w:trPr>
          <w:trHeight w:val="452"/>
        </w:trPr>
        <w:tc>
          <w:tcPr>
            <w:tcW w:w="2066" w:type="pct"/>
          </w:tcPr>
          <w:p w14:paraId="4D721D7C" w14:textId="77777777" w:rsidR="00596AC6" w:rsidRPr="00580C63" w:rsidRDefault="006658F1" w:rsidP="00A441B5">
            <w:pPr>
              <w:pStyle w:val="TableParagraph"/>
              <w:spacing w:before="100"/>
              <w:ind w:left="2"/>
              <w:jc w:val="both"/>
              <w:rPr>
                <w:lang w:val="sr-Latn-RS"/>
              </w:rPr>
            </w:pPr>
            <w:r w:rsidRPr="00580C63">
              <w:rPr>
                <w:lang w:val="sr-Latn-RS"/>
              </w:rPr>
              <w:t>Infekcija mokraćnih puteva</w:t>
            </w:r>
          </w:p>
        </w:tc>
        <w:tc>
          <w:tcPr>
            <w:tcW w:w="1362" w:type="pct"/>
          </w:tcPr>
          <w:p w14:paraId="2DE204C6" w14:textId="77777777" w:rsidR="00596AC6" w:rsidRPr="00580C63" w:rsidRDefault="006658F1" w:rsidP="00A441B5">
            <w:pPr>
              <w:pStyle w:val="TableParagraph"/>
              <w:spacing w:before="100"/>
              <w:ind w:left="2"/>
              <w:jc w:val="both"/>
              <w:rPr>
                <w:lang w:val="sr-Latn-RS"/>
              </w:rPr>
            </w:pPr>
            <w:r w:rsidRPr="00580C63">
              <w:rPr>
                <w:lang w:val="sr-Latn-RS"/>
              </w:rPr>
              <w:t>Često</w:t>
            </w:r>
          </w:p>
        </w:tc>
        <w:tc>
          <w:tcPr>
            <w:tcW w:w="1572" w:type="pct"/>
          </w:tcPr>
          <w:p w14:paraId="52DDFAE4" w14:textId="77777777" w:rsidR="00596AC6" w:rsidRPr="00580C63" w:rsidRDefault="006658F1" w:rsidP="00A441B5">
            <w:pPr>
              <w:pStyle w:val="TableParagraph"/>
              <w:spacing w:before="100"/>
              <w:ind w:left="2"/>
              <w:jc w:val="both"/>
              <w:rPr>
                <w:lang w:val="sr-Latn-RS"/>
              </w:rPr>
            </w:pPr>
            <w:r w:rsidRPr="00580C63">
              <w:rPr>
                <w:lang w:val="sr-Latn-RS"/>
              </w:rPr>
              <w:t>Često</w:t>
            </w:r>
          </w:p>
        </w:tc>
      </w:tr>
      <w:tr w:rsidR="00596AC6" w:rsidRPr="00580C63" w14:paraId="1F2FA7DA" w14:textId="77777777" w:rsidTr="008868CF">
        <w:trPr>
          <w:trHeight w:val="452"/>
        </w:trPr>
        <w:tc>
          <w:tcPr>
            <w:tcW w:w="2066" w:type="pct"/>
          </w:tcPr>
          <w:p w14:paraId="709F4DE8" w14:textId="77777777" w:rsidR="00596AC6" w:rsidRPr="00580C63" w:rsidRDefault="006658F1" w:rsidP="00A441B5">
            <w:pPr>
              <w:pStyle w:val="TableParagraph"/>
              <w:spacing w:before="100"/>
              <w:ind w:left="2"/>
              <w:jc w:val="both"/>
              <w:rPr>
                <w:lang w:val="sr-Latn-RS"/>
              </w:rPr>
            </w:pPr>
            <w:r w:rsidRPr="00580C63">
              <w:rPr>
                <w:lang w:val="sr-Latn-RS"/>
              </w:rPr>
              <w:t>Pneumonija</w:t>
            </w:r>
          </w:p>
        </w:tc>
        <w:tc>
          <w:tcPr>
            <w:tcW w:w="1362" w:type="pct"/>
          </w:tcPr>
          <w:p w14:paraId="2A7CB77E" w14:textId="77777777" w:rsidR="00596AC6" w:rsidRPr="00580C63" w:rsidRDefault="006658F1" w:rsidP="00A441B5">
            <w:pPr>
              <w:pStyle w:val="TableParagraph"/>
              <w:spacing w:before="100"/>
              <w:ind w:left="2"/>
              <w:jc w:val="both"/>
              <w:rPr>
                <w:lang w:val="sr-Latn-RS"/>
              </w:rPr>
            </w:pPr>
            <w:r w:rsidRPr="00580C63">
              <w:rPr>
                <w:lang w:val="sr-Latn-RS"/>
              </w:rPr>
              <w:t>Često</w:t>
            </w:r>
          </w:p>
        </w:tc>
        <w:tc>
          <w:tcPr>
            <w:tcW w:w="1572" w:type="pct"/>
          </w:tcPr>
          <w:p w14:paraId="0D981A25" w14:textId="77777777" w:rsidR="00596AC6" w:rsidRPr="00580C63" w:rsidRDefault="006658F1" w:rsidP="00A441B5">
            <w:pPr>
              <w:pStyle w:val="TableParagraph"/>
              <w:spacing w:before="100"/>
              <w:ind w:left="2"/>
              <w:jc w:val="both"/>
              <w:rPr>
                <w:lang w:val="sr-Latn-RS"/>
              </w:rPr>
            </w:pPr>
            <w:r w:rsidRPr="00580C63">
              <w:rPr>
                <w:lang w:val="sr-Latn-RS"/>
              </w:rPr>
              <w:t>Često</w:t>
            </w:r>
          </w:p>
        </w:tc>
      </w:tr>
      <w:tr w:rsidR="00596AC6" w:rsidRPr="00580C63" w14:paraId="7EF0E79D" w14:textId="77777777" w:rsidTr="008868CF">
        <w:trPr>
          <w:trHeight w:val="452"/>
        </w:trPr>
        <w:tc>
          <w:tcPr>
            <w:tcW w:w="5000" w:type="pct"/>
            <w:gridSpan w:val="3"/>
          </w:tcPr>
          <w:p w14:paraId="024728B2" w14:textId="77777777" w:rsidR="00596AC6" w:rsidRPr="00580C63" w:rsidRDefault="006658F1" w:rsidP="00A441B5">
            <w:pPr>
              <w:pStyle w:val="TableParagraph"/>
              <w:spacing w:before="100"/>
              <w:ind w:left="2"/>
              <w:jc w:val="both"/>
              <w:rPr>
                <w:b/>
                <w:lang w:val="sr-Latn-RS"/>
              </w:rPr>
            </w:pPr>
            <w:r w:rsidRPr="00580C63">
              <w:rPr>
                <w:b/>
                <w:bCs/>
                <w:lang w:val="sr-Latn-RS"/>
              </w:rPr>
              <w:t>Benigne, maligne i nespecificirane neoplazme (uključujući ciste i polipe)</w:t>
            </w:r>
          </w:p>
        </w:tc>
      </w:tr>
      <w:tr w:rsidR="00596AC6" w:rsidRPr="00580C63" w14:paraId="36F648D0" w14:textId="77777777" w:rsidTr="008868CF">
        <w:trPr>
          <w:trHeight w:val="452"/>
        </w:trPr>
        <w:tc>
          <w:tcPr>
            <w:tcW w:w="2066" w:type="pct"/>
          </w:tcPr>
          <w:p w14:paraId="7AF25FA8" w14:textId="77777777" w:rsidR="00596AC6" w:rsidRPr="00580C63" w:rsidRDefault="006658F1" w:rsidP="00A441B5">
            <w:pPr>
              <w:pStyle w:val="TableParagraph"/>
              <w:spacing w:before="100"/>
              <w:ind w:left="2"/>
              <w:jc w:val="both"/>
              <w:rPr>
                <w:lang w:val="sr-Latn-RS"/>
              </w:rPr>
            </w:pPr>
            <w:r w:rsidRPr="00580C63">
              <w:rPr>
                <w:lang w:val="sr-Latn-RS"/>
              </w:rPr>
              <w:t>Pogoršanje tumora</w:t>
            </w:r>
          </w:p>
        </w:tc>
        <w:tc>
          <w:tcPr>
            <w:tcW w:w="1362" w:type="pct"/>
          </w:tcPr>
          <w:p w14:paraId="3F4C96E8" w14:textId="77777777" w:rsidR="00596AC6" w:rsidRPr="00580C63" w:rsidRDefault="006658F1" w:rsidP="00A441B5">
            <w:pPr>
              <w:pStyle w:val="TableParagraph"/>
              <w:spacing w:before="100"/>
              <w:ind w:left="2"/>
              <w:jc w:val="both"/>
              <w:rPr>
                <w:lang w:val="sr-Latn-RS"/>
              </w:rPr>
            </w:pPr>
            <w:r w:rsidRPr="00580C63">
              <w:rPr>
                <w:lang w:val="sr-Latn-RS"/>
              </w:rPr>
              <w:t>Često</w:t>
            </w:r>
          </w:p>
        </w:tc>
        <w:tc>
          <w:tcPr>
            <w:tcW w:w="1572" w:type="pct"/>
          </w:tcPr>
          <w:p w14:paraId="78462B41" w14:textId="77777777" w:rsidR="00596AC6" w:rsidRPr="00580C63" w:rsidRDefault="006658F1" w:rsidP="00A441B5">
            <w:pPr>
              <w:pStyle w:val="TableParagraph"/>
              <w:spacing w:before="100"/>
              <w:ind w:left="2"/>
              <w:jc w:val="both"/>
              <w:rPr>
                <w:lang w:val="sr-Latn-RS"/>
              </w:rPr>
            </w:pPr>
            <w:r w:rsidRPr="00580C63">
              <w:rPr>
                <w:lang w:val="sr-Latn-RS"/>
              </w:rPr>
              <w:t>Često</w:t>
            </w:r>
          </w:p>
        </w:tc>
      </w:tr>
      <w:tr w:rsidR="00596AC6" w:rsidRPr="00580C63" w14:paraId="3148492A" w14:textId="77777777" w:rsidTr="008868CF">
        <w:trPr>
          <w:trHeight w:val="452"/>
        </w:trPr>
        <w:tc>
          <w:tcPr>
            <w:tcW w:w="5000" w:type="pct"/>
            <w:gridSpan w:val="3"/>
          </w:tcPr>
          <w:p w14:paraId="21541221" w14:textId="77777777" w:rsidR="00596AC6" w:rsidRPr="00580C63" w:rsidRDefault="006658F1" w:rsidP="00A441B5">
            <w:pPr>
              <w:pStyle w:val="TableParagraph"/>
              <w:spacing w:before="100"/>
              <w:ind w:left="2"/>
              <w:jc w:val="both"/>
              <w:rPr>
                <w:b/>
                <w:lang w:val="sr-Latn-RS"/>
              </w:rPr>
            </w:pPr>
            <w:r w:rsidRPr="00580C63">
              <w:rPr>
                <w:b/>
                <w:bCs/>
                <w:lang w:val="sr-Latn-RS"/>
              </w:rPr>
              <w:t>Poremećaji krvi i limfnog sistema</w:t>
            </w:r>
          </w:p>
        </w:tc>
      </w:tr>
      <w:tr w:rsidR="00596AC6" w:rsidRPr="00580C63" w14:paraId="1B3C7F6B" w14:textId="77777777" w:rsidTr="008868CF">
        <w:trPr>
          <w:trHeight w:val="530"/>
        </w:trPr>
        <w:tc>
          <w:tcPr>
            <w:tcW w:w="2066" w:type="pct"/>
          </w:tcPr>
          <w:p w14:paraId="3D2BAD8B" w14:textId="191E8D53" w:rsidR="00596AC6" w:rsidRPr="00580C63" w:rsidRDefault="006658F1" w:rsidP="00A441B5">
            <w:pPr>
              <w:pStyle w:val="TableParagraph"/>
              <w:spacing w:before="100"/>
              <w:ind w:left="2"/>
              <w:jc w:val="both"/>
              <w:rPr>
                <w:lang w:val="sr-Latn-RS"/>
              </w:rPr>
            </w:pPr>
            <w:r w:rsidRPr="00580C63">
              <w:rPr>
                <w:lang w:val="sr-Latn-RS"/>
              </w:rPr>
              <w:t>Neutropenija</w:t>
            </w:r>
            <w:r w:rsidR="00187D78" w:rsidRPr="00580C63">
              <w:rPr>
                <w:color w:val="000000"/>
                <w:vertAlign w:val="superscript"/>
                <w:lang w:val="sr-Latn-RS"/>
              </w:rPr>
              <w:t>1</w:t>
            </w:r>
          </w:p>
        </w:tc>
        <w:tc>
          <w:tcPr>
            <w:tcW w:w="1362" w:type="pct"/>
          </w:tcPr>
          <w:p w14:paraId="4FAD8CCE" w14:textId="5E29D83F" w:rsidR="00596AC6" w:rsidRPr="00580C63" w:rsidRDefault="007B40F8" w:rsidP="00A441B5">
            <w:pPr>
              <w:pStyle w:val="TableParagraph"/>
              <w:spacing w:before="138"/>
              <w:ind w:left="2" w:right="550"/>
              <w:jc w:val="both"/>
              <w:rPr>
                <w:lang w:val="sr-Latn-RS"/>
              </w:rPr>
            </w:pPr>
            <w:r w:rsidRPr="00580C63">
              <w:rPr>
                <w:lang w:val="sr-Latn-RS"/>
              </w:rPr>
              <w:t xml:space="preserve"> </w:t>
            </w:r>
            <w:r w:rsidR="00326B04" w:rsidRPr="00580C63">
              <w:rPr>
                <w:lang w:val="sr-Latn-RS"/>
              </w:rPr>
              <w:t>Veoma</w:t>
            </w:r>
            <w:r w:rsidR="006658F1" w:rsidRPr="00580C63">
              <w:rPr>
                <w:lang w:val="sr-Latn-RS"/>
              </w:rPr>
              <w:t xml:space="preserve"> često</w:t>
            </w:r>
          </w:p>
        </w:tc>
        <w:tc>
          <w:tcPr>
            <w:tcW w:w="1572" w:type="pct"/>
          </w:tcPr>
          <w:p w14:paraId="4FFF9679" w14:textId="126EC5F8" w:rsidR="00596AC6" w:rsidRPr="00580C63" w:rsidRDefault="00326B04" w:rsidP="00A441B5">
            <w:pPr>
              <w:pStyle w:val="TableParagraph"/>
              <w:spacing w:before="138"/>
              <w:ind w:left="2"/>
              <w:jc w:val="both"/>
              <w:rPr>
                <w:lang w:val="sr-Latn-RS"/>
              </w:rPr>
            </w:pPr>
            <w:r w:rsidRPr="00580C63">
              <w:rPr>
                <w:lang w:val="sr-Latn-RS"/>
              </w:rPr>
              <w:t>Veoma</w:t>
            </w:r>
            <w:r w:rsidR="00833B31" w:rsidRPr="00580C63">
              <w:rPr>
                <w:lang w:val="sr-Latn-RS"/>
              </w:rPr>
              <w:t xml:space="preserve"> </w:t>
            </w:r>
            <w:r w:rsidR="006658F1" w:rsidRPr="00580C63">
              <w:rPr>
                <w:lang w:val="sr-Latn-RS"/>
              </w:rPr>
              <w:t>često</w:t>
            </w:r>
          </w:p>
        </w:tc>
      </w:tr>
      <w:tr w:rsidR="00596AC6" w:rsidRPr="00580C63" w14:paraId="6253EAEB" w14:textId="77777777" w:rsidTr="008868CF">
        <w:trPr>
          <w:trHeight w:val="530"/>
        </w:trPr>
        <w:tc>
          <w:tcPr>
            <w:tcW w:w="2066" w:type="pct"/>
          </w:tcPr>
          <w:p w14:paraId="7AF0EF14" w14:textId="77777777" w:rsidR="00596AC6" w:rsidRPr="00580C63" w:rsidRDefault="006658F1" w:rsidP="00A441B5">
            <w:pPr>
              <w:pStyle w:val="TableParagraph"/>
              <w:spacing w:before="100"/>
              <w:ind w:left="2"/>
              <w:jc w:val="both"/>
              <w:rPr>
                <w:lang w:val="sr-Latn-RS"/>
              </w:rPr>
            </w:pPr>
            <w:r w:rsidRPr="00580C63">
              <w:rPr>
                <w:lang w:val="sr-Latn-RS"/>
              </w:rPr>
              <w:t>Anemija</w:t>
            </w:r>
          </w:p>
        </w:tc>
        <w:tc>
          <w:tcPr>
            <w:tcW w:w="1362" w:type="pct"/>
          </w:tcPr>
          <w:p w14:paraId="0810CFD9" w14:textId="6A1BE536" w:rsidR="00596AC6" w:rsidRPr="00580C63" w:rsidRDefault="007B40F8" w:rsidP="00A441B5">
            <w:pPr>
              <w:pStyle w:val="TableParagraph"/>
              <w:spacing w:before="138"/>
              <w:ind w:left="2" w:right="550"/>
              <w:jc w:val="both"/>
              <w:rPr>
                <w:lang w:val="sr-Latn-RS"/>
              </w:rPr>
            </w:pPr>
            <w:r w:rsidRPr="00580C63">
              <w:rPr>
                <w:lang w:val="sr-Latn-RS"/>
              </w:rPr>
              <w:t xml:space="preserve"> </w:t>
            </w:r>
            <w:r w:rsidR="00326B04" w:rsidRPr="00580C63">
              <w:rPr>
                <w:lang w:val="sr-Latn-RS"/>
              </w:rPr>
              <w:t>Veoma</w:t>
            </w:r>
            <w:r w:rsidR="006658F1" w:rsidRPr="00580C63">
              <w:rPr>
                <w:lang w:val="sr-Latn-RS"/>
              </w:rPr>
              <w:t xml:space="preserve"> često</w:t>
            </w:r>
          </w:p>
        </w:tc>
        <w:tc>
          <w:tcPr>
            <w:tcW w:w="1572" w:type="pct"/>
          </w:tcPr>
          <w:p w14:paraId="08027BCC" w14:textId="77777777" w:rsidR="00596AC6" w:rsidRPr="00580C63" w:rsidRDefault="006658F1" w:rsidP="00A441B5">
            <w:pPr>
              <w:pStyle w:val="TableParagraph"/>
              <w:spacing w:before="138"/>
              <w:ind w:left="2"/>
              <w:jc w:val="both"/>
              <w:rPr>
                <w:lang w:val="sr-Latn-RS"/>
              </w:rPr>
            </w:pPr>
            <w:r w:rsidRPr="00580C63">
              <w:rPr>
                <w:lang w:val="sr-Latn-RS"/>
              </w:rPr>
              <w:t>Često</w:t>
            </w:r>
          </w:p>
        </w:tc>
      </w:tr>
      <w:tr w:rsidR="00596AC6" w:rsidRPr="00580C63" w14:paraId="44FAD08F" w14:textId="77777777" w:rsidTr="008868CF">
        <w:trPr>
          <w:trHeight w:val="452"/>
        </w:trPr>
        <w:tc>
          <w:tcPr>
            <w:tcW w:w="2066" w:type="pct"/>
          </w:tcPr>
          <w:p w14:paraId="486820D9" w14:textId="678B8655" w:rsidR="00596AC6" w:rsidRPr="00580C63" w:rsidRDefault="006658F1" w:rsidP="00A441B5">
            <w:pPr>
              <w:pStyle w:val="TableParagraph"/>
              <w:spacing w:before="100"/>
              <w:ind w:left="2"/>
              <w:jc w:val="both"/>
              <w:rPr>
                <w:lang w:val="sr-Latn-RS"/>
              </w:rPr>
            </w:pPr>
            <w:r w:rsidRPr="00580C63">
              <w:rPr>
                <w:lang w:val="sr-Latn-RS"/>
              </w:rPr>
              <w:t>Trombocitopenija</w:t>
            </w:r>
            <w:r w:rsidR="00187D78" w:rsidRPr="00580C63">
              <w:rPr>
                <w:color w:val="000000"/>
                <w:vertAlign w:val="superscript"/>
                <w:lang w:val="sr-Latn-RS"/>
              </w:rPr>
              <w:t>2</w:t>
            </w:r>
          </w:p>
        </w:tc>
        <w:tc>
          <w:tcPr>
            <w:tcW w:w="1362" w:type="pct"/>
          </w:tcPr>
          <w:p w14:paraId="5DC0F8C0" w14:textId="12A47453" w:rsidR="00596AC6" w:rsidRPr="00580C63" w:rsidRDefault="007B40F8" w:rsidP="00A441B5">
            <w:pPr>
              <w:pStyle w:val="TableParagraph"/>
              <w:spacing w:before="100"/>
              <w:ind w:left="2" w:right="550"/>
              <w:jc w:val="both"/>
              <w:rPr>
                <w:lang w:val="sr-Latn-RS"/>
              </w:rPr>
            </w:pPr>
            <w:r w:rsidRPr="00580C63">
              <w:rPr>
                <w:lang w:val="sr-Latn-RS"/>
              </w:rPr>
              <w:t xml:space="preserve"> </w:t>
            </w:r>
            <w:r w:rsidR="00326B04" w:rsidRPr="00580C63">
              <w:rPr>
                <w:lang w:val="sr-Latn-RS"/>
              </w:rPr>
              <w:t>Veoma</w:t>
            </w:r>
            <w:r w:rsidR="00833B31" w:rsidRPr="00580C63">
              <w:rPr>
                <w:lang w:val="sr-Latn-RS"/>
              </w:rPr>
              <w:t xml:space="preserve"> </w:t>
            </w:r>
            <w:r w:rsidR="006658F1" w:rsidRPr="00580C63">
              <w:rPr>
                <w:lang w:val="sr-Latn-RS"/>
              </w:rPr>
              <w:t>često</w:t>
            </w:r>
          </w:p>
        </w:tc>
        <w:tc>
          <w:tcPr>
            <w:tcW w:w="1572" w:type="pct"/>
          </w:tcPr>
          <w:p w14:paraId="4F13C85F" w14:textId="77777777" w:rsidR="00596AC6" w:rsidRPr="00580C63" w:rsidRDefault="006658F1" w:rsidP="00A441B5">
            <w:pPr>
              <w:pStyle w:val="TableParagraph"/>
              <w:spacing w:before="100"/>
              <w:ind w:left="2"/>
              <w:jc w:val="both"/>
              <w:rPr>
                <w:lang w:val="sr-Latn-RS"/>
              </w:rPr>
            </w:pPr>
            <w:r w:rsidRPr="00580C63">
              <w:rPr>
                <w:lang w:val="sr-Latn-RS"/>
              </w:rPr>
              <w:t>Često</w:t>
            </w:r>
          </w:p>
        </w:tc>
      </w:tr>
      <w:tr w:rsidR="00596AC6" w:rsidRPr="00580C63" w14:paraId="068C5AD8" w14:textId="77777777" w:rsidTr="008868CF">
        <w:trPr>
          <w:trHeight w:val="452"/>
        </w:trPr>
        <w:tc>
          <w:tcPr>
            <w:tcW w:w="2066" w:type="pct"/>
          </w:tcPr>
          <w:p w14:paraId="651FD4F0" w14:textId="77777777" w:rsidR="00596AC6" w:rsidRPr="00580C63" w:rsidRDefault="006658F1" w:rsidP="00A441B5">
            <w:pPr>
              <w:pStyle w:val="TableParagraph"/>
              <w:spacing w:before="100"/>
              <w:ind w:left="2"/>
              <w:jc w:val="both"/>
              <w:rPr>
                <w:lang w:val="sr-Latn-RS"/>
              </w:rPr>
            </w:pPr>
            <w:r w:rsidRPr="00580C63">
              <w:rPr>
                <w:lang w:val="sr-Latn-RS"/>
              </w:rPr>
              <w:t>Febrilna neutropenija</w:t>
            </w:r>
          </w:p>
        </w:tc>
        <w:tc>
          <w:tcPr>
            <w:tcW w:w="1362" w:type="pct"/>
          </w:tcPr>
          <w:p w14:paraId="1138F6F9" w14:textId="6938B1F2" w:rsidR="00596AC6" w:rsidRPr="00580C63" w:rsidRDefault="007B40F8" w:rsidP="00A441B5">
            <w:pPr>
              <w:pStyle w:val="TableParagraph"/>
              <w:spacing w:before="100"/>
              <w:ind w:left="2"/>
              <w:jc w:val="both"/>
              <w:rPr>
                <w:lang w:val="sr-Latn-RS"/>
              </w:rPr>
            </w:pPr>
            <w:r w:rsidRPr="00580C63">
              <w:rPr>
                <w:lang w:val="sr-Latn-RS"/>
              </w:rPr>
              <w:t xml:space="preserve"> </w:t>
            </w:r>
            <w:r w:rsidR="006658F1" w:rsidRPr="00580C63">
              <w:rPr>
                <w:lang w:val="sr-Latn-RS"/>
              </w:rPr>
              <w:t>Često</w:t>
            </w:r>
          </w:p>
        </w:tc>
        <w:tc>
          <w:tcPr>
            <w:tcW w:w="1572" w:type="pct"/>
          </w:tcPr>
          <w:p w14:paraId="516764A1" w14:textId="77777777" w:rsidR="00596AC6" w:rsidRPr="00580C63" w:rsidRDefault="006658F1" w:rsidP="00A441B5">
            <w:pPr>
              <w:pStyle w:val="TableParagraph"/>
              <w:spacing w:before="100"/>
              <w:ind w:left="2"/>
              <w:jc w:val="both"/>
              <w:rPr>
                <w:lang w:val="sr-Latn-RS"/>
              </w:rPr>
            </w:pPr>
            <w:r w:rsidRPr="00580C63">
              <w:rPr>
                <w:lang w:val="sr-Latn-RS"/>
              </w:rPr>
              <w:t>Često</w:t>
            </w:r>
          </w:p>
        </w:tc>
      </w:tr>
      <w:tr w:rsidR="00A13470" w:rsidRPr="00580C63" w14:paraId="66B04486" w14:textId="77777777" w:rsidTr="008868CF">
        <w:trPr>
          <w:trHeight w:val="452"/>
        </w:trPr>
        <w:tc>
          <w:tcPr>
            <w:tcW w:w="2066" w:type="pct"/>
          </w:tcPr>
          <w:p w14:paraId="4577DE71" w14:textId="3094B466" w:rsidR="00A13470" w:rsidRPr="00580C63" w:rsidRDefault="00A13470" w:rsidP="00A13470">
            <w:pPr>
              <w:pStyle w:val="TableParagraph"/>
              <w:spacing w:before="100"/>
              <w:ind w:left="2"/>
              <w:jc w:val="both"/>
              <w:rPr>
                <w:lang w:val="sr-Latn-RS"/>
              </w:rPr>
            </w:pPr>
            <w:r>
              <w:rPr>
                <w:lang w:val="sr-Latn-RS"/>
              </w:rPr>
              <w:t>Hemofagocitna limfohistiocitoza</w:t>
            </w:r>
          </w:p>
        </w:tc>
        <w:tc>
          <w:tcPr>
            <w:tcW w:w="1362" w:type="pct"/>
          </w:tcPr>
          <w:p w14:paraId="229D68F9" w14:textId="53D97D9A" w:rsidR="00A13470" w:rsidRPr="00580C63" w:rsidRDefault="00A13470" w:rsidP="00A13470">
            <w:pPr>
              <w:pStyle w:val="TableParagraph"/>
              <w:spacing w:before="100"/>
              <w:ind w:left="2"/>
              <w:jc w:val="both"/>
              <w:rPr>
                <w:lang w:val="sr-Latn-RS"/>
              </w:rPr>
            </w:pPr>
            <w:r>
              <w:rPr>
                <w:lang w:val="sr-Latn-RS"/>
              </w:rPr>
              <w:t xml:space="preserve"> Povremeno</w:t>
            </w:r>
          </w:p>
        </w:tc>
        <w:tc>
          <w:tcPr>
            <w:tcW w:w="1572" w:type="pct"/>
          </w:tcPr>
          <w:p w14:paraId="0BD0DCB8" w14:textId="59B460E6" w:rsidR="00A13470" w:rsidRPr="00580C63" w:rsidRDefault="00A13470" w:rsidP="00A13470">
            <w:pPr>
              <w:pStyle w:val="TableParagraph"/>
              <w:spacing w:before="100"/>
              <w:ind w:left="2"/>
              <w:jc w:val="both"/>
              <w:rPr>
                <w:lang w:val="sr-Latn-RS"/>
              </w:rPr>
            </w:pPr>
            <w:r>
              <w:rPr>
                <w:lang w:val="sr-Latn-RS"/>
              </w:rPr>
              <w:t>Povremeno</w:t>
            </w:r>
          </w:p>
        </w:tc>
      </w:tr>
      <w:tr w:rsidR="00A13470" w:rsidRPr="00580C63" w14:paraId="146D2492" w14:textId="77777777" w:rsidTr="008868CF">
        <w:trPr>
          <w:trHeight w:val="620"/>
        </w:trPr>
        <w:tc>
          <w:tcPr>
            <w:tcW w:w="5000" w:type="pct"/>
            <w:gridSpan w:val="3"/>
          </w:tcPr>
          <w:p w14:paraId="5185C897" w14:textId="3851673E" w:rsidR="00A13470" w:rsidRPr="00580C63" w:rsidRDefault="00A13470" w:rsidP="00A13470">
            <w:pPr>
              <w:pStyle w:val="TableParagraph"/>
              <w:spacing w:before="100"/>
              <w:ind w:left="2"/>
              <w:jc w:val="both"/>
              <w:rPr>
                <w:b/>
                <w:lang w:val="sr-Latn-RS"/>
              </w:rPr>
            </w:pPr>
            <w:r w:rsidRPr="00580C63">
              <w:rPr>
                <w:b/>
                <w:bCs/>
                <w:lang w:val="sr-Latn-RS"/>
              </w:rPr>
              <w:t>Poremećaji imunog sistema</w:t>
            </w:r>
          </w:p>
        </w:tc>
      </w:tr>
      <w:tr w:rsidR="00A13470" w:rsidRPr="00580C63" w14:paraId="3B58483E" w14:textId="77777777" w:rsidTr="008868CF">
        <w:trPr>
          <w:trHeight w:val="452"/>
        </w:trPr>
        <w:tc>
          <w:tcPr>
            <w:tcW w:w="2066" w:type="pct"/>
          </w:tcPr>
          <w:p w14:paraId="3A20B51A" w14:textId="399CBC6D" w:rsidR="00A13470" w:rsidRPr="00580C63" w:rsidRDefault="00A13470" w:rsidP="00A13470">
            <w:pPr>
              <w:pStyle w:val="TableParagraph"/>
              <w:spacing w:before="100"/>
              <w:ind w:left="2"/>
              <w:jc w:val="both"/>
              <w:rPr>
                <w:lang w:val="sr-Latn-RS"/>
              </w:rPr>
            </w:pPr>
            <w:r w:rsidRPr="00580C63">
              <w:rPr>
                <w:lang w:val="sr-Latn-RS"/>
              </w:rPr>
              <w:t>Sindrom otpuštanja citokina</w:t>
            </w:r>
            <w:r w:rsidRPr="00580C63">
              <w:rPr>
                <w:color w:val="000000"/>
                <w:vertAlign w:val="superscript"/>
                <w:lang w:val="sr-Latn-RS"/>
              </w:rPr>
              <w:t>3</w:t>
            </w:r>
          </w:p>
        </w:tc>
        <w:tc>
          <w:tcPr>
            <w:tcW w:w="1362" w:type="pct"/>
          </w:tcPr>
          <w:p w14:paraId="13D08BE7" w14:textId="1F14F91F"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4293CE25" w14:textId="77777777" w:rsidR="00A13470" w:rsidRPr="00580C63" w:rsidRDefault="00A13470" w:rsidP="00A13470">
            <w:pPr>
              <w:pStyle w:val="TableParagraph"/>
              <w:spacing w:before="100"/>
              <w:ind w:left="2"/>
              <w:jc w:val="both"/>
              <w:rPr>
                <w:lang w:val="sr-Latn-RS"/>
              </w:rPr>
            </w:pPr>
            <w:r w:rsidRPr="00580C63">
              <w:rPr>
                <w:lang w:val="sr-Latn-RS"/>
              </w:rPr>
              <w:t>Često</w:t>
            </w:r>
          </w:p>
        </w:tc>
      </w:tr>
      <w:tr w:rsidR="00A13470" w:rsidRPr="00580C63" w14:paraId="3A2CCF7E" w14:textId="77777777" w:rsidTr="008868CF">
        <w:trPr>
          <w:trHeight w:val="452"/>
        </w:trPr>
        <w:tc>
          <w:tcPr>
            <w:tcW w:w="5000" w:type="pct"/>
            <w:gridSpan w:val="3"/>
          </w:tcPr>
          <w:p w14:paraId="44D85474" w14:textId="77777777" w:rsidR="00A13470" w:rsidRPr="00580C63" w:rsidRDefault="00A13470" w:rsidP="00A13470">
            <w:pPr>
              <w:pStyle w:val="TableParagraph"/>
              <w:spacing w:before="100"/>
              <w:ind w:left="2"/>
              <w:jc w:val="both"/>
              <w:rPr>
                <w:b/>
                <w:lang w:val="sr-Latn-RS"/>
              </w:rPr>
            </w:pPr>
            <w:r w:rsidRPr="00580C63">
              <w:rPr>
                <w:b/>
                <w:bCs/>
                <w:lang w:val="sr-Latn-RS"/>
              </w:rPr>
              <w:t>Poremećaji metabolizma i ishrane</w:t>
            </w:r>
          </w:p>
        </w:tc>
      </w:tr>
      <w:tr w:rsidR="00A13470" w:rsidRPr="00580C63" w14:paraId="01092D01" w14:textId="77777777" w:rsidTr="008868CF">
        <w:trPr>
          <w:trHeight w:val="452"/>
        </w:trPr>
        <w:tc>
          <w:tcPr>
            <w:tcW w:w="2066" w:type="pct"/>
          </w:tcPr>
          <w:p w14:paraId="6420D715" w14:textId="77777777" w:rsidR="00A13470" w:rsidRPr="00580C63" w:rsidRDefault="00A13470" w:rsidP="00A13470">
            <w:pPr>
              <w:pStyle w:val="TableParagraph"/>
              <w:spacing w:before="100"/>
              <w:ind w:left="2"/>
              <w:jc w:val="both"/>
              <w:rPr>
                <w:lang w:val="sr-Latn-RS"/>
              </w:rPr>
            </w:pPr>
            <w:r w:rsidRPr="00580C63">
              <w:rPr>
                <w:lang w:val="sr-Latn-RS"/>
              </w:rPr>
              <w:lastRenderedPageBreak/>
              <w:t>Hipofosfatemija</w:t>
            </w:r>
          </w:p>
        </w:tc>
        <w:tc>
          <w:tcPr>
            <w:tcW w:w="1362" w:type="pct"/>
          </w:tcPr>
          <w:p w14:paraId="5AE83750" w14:textId="6001FF75"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199EED7A" w14:textId="1F7939C8" w:rsidR="00A13470" w:rsidRPr="00580C63" w:rsidRDefault="00A13470" w:rsidP="00A13470">
            <w:pPr>
              <w:pStyle w:val="TableParagraph"/>
              <w:spacing w:before="100"/>
              <w:ind w:left="2"/>
              <w:jc w:val="both"/>
              <w:rPr>
                <w:lang w:val="sr-Latn-RS"/>
              </w:rPr>
            </w:pPr>
            <w:r w:rsidRPr="00580C63">
              <w:rPr>
                <w:lang w:val="sr-Latn-RS"/>
              </w:rPr>
              <w:t>Veoma često</w:t>
            </w:r>
          </w:p>
        </w:tc>
      </w:tr>
      <w:tr w:rsidR="00A13470" w:rsidRPr="00580C63" w14:paraId="1E43E5A5" w14:textId="77777777" w:rsidTr="008868CF">
        <w:trPr>
          <w:trHeight w:val="452"/>
        </w:trPr>
        <w:tc>
          <w:tcPr>
            <w:tcW w:w="2066" w:type="pct"/>
          </w:tcPr>
          <w:p w14:paraId="58101E02" w14:textId="77777777" w:rsidR="00A13470" w:rsidRPr="00580C63" w:rsidRDefault="00A13470" w:rsidP="00A13470">
            <w:pPr>
              <w:pStyle w:val="TableParagraph"/>
              <w:spacing w:before="100"/>
              <w:ind w:left="2"/>
              <w:jc w:val="both"/>
              <w:rPr>
                <w:lang w:val="sr-Latn-RS"/>
              </w:rPr>
            </w:pPr>
            <w:r w:rsidRPr="00580C63">
              <w:rPr>
                <w:lang w:val="sr-Latn-RS"/>
              </w:rPr>
              <w:t>Hipokalemija</w:t>
            </w:r>
          </w:p>
        </w:tc>
        <w:tc>
          <w:tcPr>
            <w:tcW w:w="1362" w:type="pct"/>
          </w:tcPr>
          <w:p w14:paraId="7D5C17BA" w14:textId="6612C9F6"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5107408B" w14:textId="77777777" w:rsidR="00A13470" w:rsidRPr="00580C63" w:rsidRDefault="00A13470" w:rsidP="00A13470">
            <w:pPr>
              <w:pStyle w:val="TableParagraph"/>
              <w:spacing w:before="100"/>
              <w:ind w:left="2"/>
              <w:jc w:val="both"/>
              <w:rPr>
                <w:lang w:val="sr-Latn-RS"/>
              </w:rPr>
            </w:pPr>
            <w:r w:rsidRPr="00580C63">
              <w:rPr>
                <w:lang w:val="sr-Latn-RS"/>
              </w:rPr>
              <w:t>Često</w:t>
            </w:r>
          </w:p>
        </w:tc>
      </w:tr>
      <w:tr w:rsidR="00A13470" w:rsidRPr="00580C63" w14:paraId="2F8CE61B" w14:textId="77777777" w:rsidTr="008868CF">
        <w:trPr>
          <w:trHeight w:val="452"/>
        </w:trPr>
        <w:tc>
          <w:tcPr>
            <w:tcW w:w="2066" w:type="pct"/>
          </w:tcPr>
          <w:p w14:paraId="2DCDB9EB" w14:textId="77777777" w:rsidR="00A13470" w:rsidRPr="00580C63" w:rsidRDefault="00A13470" w:rsidP="00A13470">
            <w:pPr>
              <w:pStyle w:val="TableParagraph"/>
              <w:spacing w:before="100"/>
              <w:ind w:left="2"/>
              <w:jc w:val="both"/>
              <w:rPr>
                <w:lang w:val="sr-Latn-RS"/>
              </w:rPr>
            </w:pPr>
            <w:r w:rsidRPr="00580C63">
              <w:rPr>
                <w:lang w:val="sr-Latn-RS"/>
              </w:rPr>
              <w:t>Hipomagnezemija</w:t>
            </w:r>
          </w:p>
        </w:tc>
        <w:tc>
          <w:tcPr>
            <w:tcW w:w="1362" w:type="pct"/>
          </w:tcPr>
          <w:p w14:paraId="48623115" w14:textId="372EB66A"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7A01BBC1" w14:textId="66187E42" w:rsidR="00A13470" w:rsidRPr="00580C63" w:rsidRDefault="00A13470" w:rsidP="00A13470">
            <w:pPr>
              <w:pStyle w:val="TableParagraph"/>
              <w:spacing w:before="100"/>
              <w:ind w:left="2"/>
              <w:jc w:val="both"/>
              <w:rPr>
                <w:lang w:val="sr-Latn-RS"/>
              </w:rPr>
            </w:pPr>
            <w:r w:rsidRPr="00580C63">
              <w:rPr>
                <w:lang w:val="sr-Latn-RS"/>
              </w:rPr>
              <w:t>Veoma rijetko</w:t>
            </w:r>
          </w:p>
        </w:tc>
      </w:tr>
      <w:tr w:rsidR="00A13470" w:rsidRPr="00580C63" w14:paraId="06F6682B" w14:textId="77777777" w:rsidTr="008868CF">
        <w:trPr>
          <w:trHeight w:val="452"/>
        </w:trPr>
        <w:tc>
          <w:tcPr>
            <w:tcW w:w="2066" w:type="pct"/>
          </w:tcPr>
          <w:p w14:paraId="4B64718D" w14:textId="77777777" w:rsidR="00A13470" w:rsidRPr="00580C63" w:rsidRDefault="00A13470" w:rsidP="00A13470">
            <w:pPr>
              <w:pStyle w:val="TableParagraph"/>
              <w:spacing w:before="100"/>
              <w:ind w:left="2"/>
              <w:jc w:val="both"/>
              <w:rPr>
                <w:lang w:val="sr-Latn-RS"/>
              </w:rPr>
            </w:pPr>
            <w:r w:rsidRPr="00580C63">
              <w:rPr>
                <w:lang w:val="sr-Latn-RS"/>
              </w:rPr>
              <w:t>Sindrom lize tumora</w:t>
            </w:r>
          </w:p>
        </w:tc>
        <w:tc>
          <w:tcPr>
            <w:tcW w:w="1362" w:type="pct"/>
          </w:tcPr>
          <w:p w14:paraId="6764FC98" w14:textId="77777777" w:rsidR="00A13470" w:rsidRPr="00580C63" w:rsidRDefault="00A13470" w:rsidP="00A13470">
            <w:pPr>
              <w:pStyle w:val="TableParagraph"/>
              <w:spacing w:before="100"/>
              <w:ind w:left="2"/>
              <w:jc w:val="both"/>
              <w:rPr>
                <w:lang w:val="sr-Latn-RS"/>
              </w:rPr>
            </w:pPr>
            <w:r w:rsidRPr="00580C63">
              <w:rPr>
                <w:lang w:val="sr-Latn-RS"/>
              </w:rPr>
              <w:t>Povremeno</w:t>
            </w:r>
          </w:p>
        </w:tc>
        <w:tc>
          <w:tcPr>
            <w:tcW w:w="1572" w:type="pct"/>
          </w:tcPr>
          <w:p w14:paraId="283B5346" w14:textId="77777777" w:rsidR="00A13470" w:rsidRPr="00580C63" w:rsidRDefault="00A13470" w:rsidP="00A13470">
            <w:pPr>
              <w:pStyle w:val="TableParagraph"/>
              <w:spacing w:before="100"/>
              <w:ind w:left="2"/>
              <w:jc w:val="both"/>
              <w:rPr>
                <w:lang w:val="sr-Latn-RS"/>
              </w:rPr>
            </w:pPr>
            <w:r w:rsidRPr="00580C63">
              <w:rPr>
                <w:lang w:val="sr-Latn-RS"/>
              </w:rPr>
              <w:t>Povremeno</w:t>
            </w:r>
          </w:p>
        </w:tc>
      </w:tr>
      <w:tr w:rsidR="00A13470" w:rsidRPr="00580C63" w14:paraId="43ED9C4E" w14:textId="77777777" w:rsidTr="008868CF">
        <w:trPr>
          <w:trHeight w:val="452"/>
        </w:trPr>
        <w:tc>
          <w:tcPr>
            <w:tcW w:w="5000" w:type="pct"/>
            <w:gridSpan w:val="3"/>
          </w:tcPr>
          <w:p w14:paraId="3606F4E4" w14:textId="2C1AF3DC" w:rsidR="00A13470" w:rsidRPr="00580C63" w:rsidRDefault="00A13470" w:rsidP="00A13470">
            <w:pPr>
              <w:pStyle w:val="TableParagraph"/>
              <w:spacing w:before="100"/>
              <w:ind w:left="2"/>
              <w:jc w:val="both"/>
              <w:rPr>
                <w:b/>
                <w:lang w:val="sr-Latn-RS"/>
              </w:rPr>
            </w:pPr>
            <w:r w:rsidRPr="00580C63">
              <w:rPr>
                <w:b/>
                <w:bCs/>
                <w:lang w:val="sr-Latn-RS"/>
              </w:rPr>
              <w:t>Poremećaji nervnog sistema</w:t>
            </w:r>
          </w:p>
        </w:tc>
      </w:tr>
      <w:tr w:rsidR="00A13470" w:rsidRPr="00580C63" w14:paraId="616CFF6B" w14:textId="77777777" w:rsidTr="008868CF">
        <w:trPr>
          <w:trHeight w:val="452"/>
        </w:trPr>
        <w:tc>
          <w:tcPr>
            <w:tcW w:w="2066" w:type="pct"/>
          </w:tcPr>
          <w:p w14:paraId="0D922F23" w14:textId="77777777" w:rsidR="00A13470" w:rsidRPr="00580C63" w:rsidRDefault="00A13470" w:rsidP="00A13470">
            <w:pPr>
              <w:pStyle w:val="TableParagraph"/>
              <w:spacing w:before="100"/>
              <w:ind w:left="2"/>
              <w:jc w:val="both"/>
              <w:rPr>
                <w:lang w:val="sr-Latn-RS"/>
              </w:rPr>
            </w:pPr>
            <w:r w:rsidRPr="00580C63">
              <w:rPr>
                <w:lang w:val="sr-Latn-RS"/>
              </w:rPr>
              <w:t>Glavobolja</w:t>
            </w:r>
          </w:p>
        </w:tc>
        <w:tc>
          <w:tcPr>
            <w:tcW w:w="1362" w:type="pct"/>
          </w:tcPr>
          <w:p w14:paraId="3C26FA2D" w14:textId="1E9C3B9D"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3E586D7C" w14:textId="77777777" w:rsidR="00A13470" w:rsidRPr="00580C63" w:rsidRDefault="00A13470" w:rsidP="00A13470">
            <w:pPr>
              <w:pStyle w:val="TableParagraph"/>
              <w:spacing w:before="100"/>
              <w:ind w:left="2"/>
              <w:jc w:val="both"/>
              <w:rPr>
                <w:lang w:val="sr-Latn-RS"/>
              </w:rPr>
            </w:pPr>
            <w:r w:rsidRPr="00580C63">
              <w:rPr>
                <w:lang w:val="sr-Latn-RS"/>
              </w:rPr>
              <w:t>Povremeno</w:t>
            </w:r>
          </w:p>
        </w:tc>
      </w:tr>
      <w:tr w:rsidR="00A13470" w:rsidRPr="00580C63" w14:paraId="778A9775" w14:textId="77777777" w:rsidTr="008868CF">
        <w:trPr>
          <w:trHeight w:val="452"/>
        </w:trPr>
        <w:tc>
          <w:tcPr>
            <w:tcW w:w="5000" w:type="pct"/>
            <w:gridSpan w:val="3"/>
          </w:tcPr>
          <w:p w14:paraId="2D8F8FC1" w14:textId="77777777" w:rsidR="00A13470" w:rsidRPr="00580C63" w:rsidRDefault="00A13470" w:rsidP="00A13470">
            <w:pPr>
              <w:pStyle w:val="TableParagraph"/>
              <w:spacing w:before="100"/>
              <w:ind w:left="2"/>
              <w:jc w:val="both"/>
              <w:rPr>
                <w:b/>
                <w:lang w:val="sr-Latn-RS"/>
              </w:rPr>
            </w:pPr>
            <w:r w:rsidRPr="00580C63">
              <w:rPr>
                <w:b/>
                <w:bCs/>
                <w:lang w:val="sr-Latn-RS"/>
              </w:rPr>
              <w:t>Gastrointestinalni poremećaji</w:t>
            </w:r>
          </w:p>
        </w:tc>
      </w:tr>
      <w:tr w:rsidR="00A13470" w:rsidRPr="00580C63" w14:paraId="5CEDD5D9" w14:textId="77777777" w:rsidTr="008868CF">
        <w:trPr>
          <w:trHeight w:val="452"/>
        </w:trPr>
        <w:tc>
          <w:tcPr>
            <w:tcW w:w="2066" w:type="pct"/>
          </w:tcPr>
          <w:p w14:paraId="1AE15420" w14:textId="77777777" w:rsidR="00A13470" w:rsidRPr="00580C63" w:rsidRDefault="00A13470" w:rsidP="00A13470">
            <w:pPr>
              <w:pStyle w:val="TableParagraph"/>
              <w:spacing w:before="100"/>
              <w:ind w:left="2"/>
              <w:jc w:val="both"/>
              <w:rPr>
                <w:lang w:val="sr-Latn-RS"/>
              </w:rPr>
            </w:pPr>
            <w:r w:rsidRPr="00580C63">
              <w:rPr>
                <w:lang w:val="sr-Latn-RS"/>
              </w:rPr>
              <w:t>Dijareja</w:t>
            </w:r>
          </w:p>
        </w:tc>
        <w:tc>
          <w:tcPr>
            <w:tcW w:w="1362" w:type="pct"/>
          </w:tcPr>
          <w:p w14:paraId="51650366" w14:textId="65C8D74A"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2B404D9A" w14:textId="4DE6B3E1" w:rsidR="00A13470" w:rsidRPr="00580C63" w:rsidRDefault="00A13470" w:rsidP="00A13470">
            <w:pPr>
              <w:pStyle w:val="TableParagraph"/>
              <w:spacing w:before="100"/>
              <w:ind w:left="2"/>
              <w:jc w:val="both"/>
              <w:rPr>
                <w:lang w:val="sr-Latn-RS"/>
              </w:rPr>
            </w:pPr>
            <w:r w:rsidRPr="00580C63">
              <w:rPr>
                <w:lang w:val="sr-Latn-RS"/>
              </w:rPr>
              <w:t>Veoma rijetko</w:t>
            </w:r>
          </w:p>
        </w:tc>
      </w:tr>
      <w:tr w:rsidR="00A13470" w:rsidRPr="00580C63" w14:paraId="32CEAA67" w14:textId="77777777" w:rsidTr="008868CF">
        <w:trPr>
          <w:trHeight w:val="452"/>
        </w:trPr>
        <w:tc>
          <w:tcPr>
            <w:tcW w:w="5000" w:type="pct"/>
            <w:gridSpan w:val="3"/>
          </w:tcPr>
          <w:p w14:paraId="2B31DBEC" w14:textId="77777777" w:rsidR="00A13470" w:rsidRPr="00580C63" w:rsidRDefault="00A13470" w:rsidP="00A13470">
            <w:pPr>
              <w:pStyle w:val="TableParagraph"/>
              <w:spacing w:before="100"/>
              <w:ind w:left="2"/>
              <w:jc w:val="both"/>
              <w:rPr>
                <w:b/>
                <w:lang w:val="sr-Latn-RS"/>
              </w:rPr>
            </w:pPr>
            <w:r w:rsidRPr="00580C63">
              <w:rPr>
                <w:b/>
                <w:bCs/>
                <w:lang w:val="sr-Latn-RS"/>
              </w:rPr>
              <w:t>Poremećaji kože i potkožnog tkiva</w:t>
            </w:r>
          </w:p>
        </w:tc>
      </w:tr>
      <w:tr w:rsidR="00A13470" w:rsidRPr="00580C63" w14:paraId="74AD3EF7" w14:textId="77777777" w:rsidTr="008868CF">
        <w:trPr>
          <w:trHeight w:val="452"/>
        </w:trPr>
        <w:tc>
          <w:tcPr>
            <w:tcW w:w="2066" w:type="pct"/>
          </w:tcPr>
          <w:p w14:paraId="3D6BF7B4" w14:textId="77777777" w:rsidR="00A13470" w:rsidRPr="00580C63" w:rsidRDefault="00A13470" w:rsidP="00A13470">
            <w:pPr>
              <w:pStyle w:val="TableParagraph"/>
              <w:spacing w:before="100"/>
              <w:ind w:left="2"/>
              <w:jc w:val="both"/>
              <w:rPr>
                <w:lang w:val="sr-Latn-RS"/>
              </w:rPr>
            </w:pPr>
            <w:r w:rsidRPr="00580C63">
              <w:rPr>
                <w:lang w:val="sr-Latn-RS"/>
              </w:rPr>
              <w:t>Osip</w:t>
            </w:r>
          </w:p>
        </w:tc>
        <w:tc>
          <w:tcPr>
            <w:tcW w:w="1362" w:type="pct"/>
          </w:tcPr>
          <w:p w14:paraId="720A7666" w14:textId="0B36BDBA"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166D283C" w14:textId="77777777" w:rsidR="00A13470" w:rsidRPr="00580C63" w:rsidRDefault="00A13470" w:rsidP="00A13470">
            <w:pPr>
              <w:pStyle w:val="TableParagraph"/>
              <w:spacing w:before="100"/>
              <w:ind w:left="2"/>
              <w:jc w:val="both"/>
              <w:rPr>
                <w:lang w:val="sr-Latn-RS"/>
              </w:rPr>
            </w:pPr>
            <w:r w:rsidRPr="00580C63">
              <w:rPr>
                <w:lang w:val="sr-Latn-RS"/>
              </w:rPr>
              <w:t>Povremeno</w:t>
            </w:r>
          </w:p>
        </w:tc>
      </w:tr>
      <w:tr w:rsidR="00A13470" w:rsidRPr="00580C63" w14:paraId="43D7FEAC" w14:textId="77777777" w:rsidTr="008868CF">
        <w:trPr>
          <w:trHeight w:val="452"/>
        </w:trPr>
        <w:tc>
          <w:tcPr>
            <w:tcW w:w="2066" w:type="pct"/>
          </w:tcPr>
          <w:p w14:paraId="35557A46" w14:textId="77777777" w:rsidR="00A13470" w:rsidRPr="00580C63" w:rsidRDefault="00A13470" w:rsidP="00A13470">
            <w:pPr>
              <w:pStyle w:val="TableParagraph"/>
              <w:spacing w:before="100"/>
              <w:ind w:left="2"/>
              <w:jc w:val="both"/>
              <w:rPr>
                <w:lang w:val="sr-Latn-RS"/>
              </w:rPr>
            </w:pPr>
            <w:r w:rsidRPr="00580C63">
              <w:rPr>
                <w:lang w:val="sr-Latn-RS"/>
              </w:rPr>
              <w:t>Pruritus (svrab)</w:t>
            </w:r>
          </w:p>
        </w:tc>
        <w:tc>
          <w:tcPr>
            <w:tcW w:w="1362" w:type="pct"/>
          </w:tcPr>
          <w:p w14:paraId="2B40A2AD" w14:textId="61432F5A"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69AD991E" w14:textId="1F7883A2" w:rsidR="00A13470" w:rsidRPr="00580C63" w:rsidRDefault="00A13470" w:rsidP="00A13470">
            <w:pPr>
              <w:pStyle w:val="TableParagraph"/>
              <w:spacing w:before="100"/>
              <w:ind w:left="2"/>
              <w:jc w:val="both"/>
              <w:rPr>
                <w:lang w:val="sr-Latn-RS"/>
              </w:rPr>
            </w:pPr>
            <w:r w:rsidRPr="00580C63">
              <w:rPr>
                <w:lang w:val="sr-Latn-RS"/>
              </w:rPr>
              <w:t>Veoma rijetko</w:t>
            </w:r>
          </w:p>
        </w:tc>
      </w:tr>
      <w:tr w:rsidR="00A13470" w:rsidRPr="00580C63" w14:paraId="0C62928C" w14:textId="77777777" w:rsidTr="008868CF">
        <w:trPr>
          <w:trHeight w:val="452"/>
        </w:trPr>
        <w:tc>
          <w:tcPr>
            <w:tcW w:w="2066" w:type="pct"/>
          </w:tcPr>
          <w:p w14:paraId="5051E01B" w14:textId="77777777" w:rsidR="00A13470" w:rsidRPr="00580C63" w:rsidRDefault="00A13470" w:rsidP="00A13470">
            <w:pPr>
              <w:pStyle w:val="TableParagraph"/>
              <w:spacing w:before="100"/>
              <w:ind w:left="2"/>
              <w:jc w:val="both"/>
              <w:rPr>
                <w:lang w:val="sr-Latn-RS"/>
              </w:rPr>
            </w:pPr>
            <w:r w:rsidRPr="00580C63">
              <w:rPr>
                <w:lang w:val="sr-Latn-RS"/>
              </w:rPr>
              <w:t>Suva koža</w:t>
            </w:r>
          </w:p>
        </w:tc>
        <w:tc>
          <w:tcPr>
            <w:tcW w:w="1362" w:type="pct"/>
          </w:tcPr>
          <w:p w14:paraId="700F3A8E" w14:textId="1C227747" w:rsidR="00A13470" w:rsidRPr="00580C63" w:rsidRDefault="00A13470" w:rsidP="00A13470">
            <w:pPr>
              <w:pStyle w:val="TableParagraph"/>
              <w:spacing w:before="100"/>
              <w:ind w:left="2"/>
              <w:jc w:val="both"/>
              <w:rPr>
                <w:lang w:val="sr-Latn-RS"/>
              </w:rPr>
            </w:pPr>
            <w:r w:rsidRPr="00580C63">
              <w:rPr>
                <w:lang w:val="sr-Latn-RS"/>
              </w:rPr>
              <w:t>Veoma često</w:t>
            </w:r>
          </w:p>
        </w:tc>
        <w:tc>
          <w:tcPr>
            <w:tcW w:w="1572" w:type="pct"/>
          </w:tcPr>
          <w:p w14:paraId="1346561F" w14:textId="4DDCB587" w:rsidR="00A13470" w:rsidRPr="00580C63" w:rsidRDefault="00A13470" w:rsidP="00A13470">
            <w:pPr>
              <w:pStyle w:val="TableParagraph"/>
              <w:spacing w:before="100"/>
              <w:ind w:left="2"/>
              <w:jc w:val="both"/>
              <w:rPr>
                <w:lang w:val="sr-Latn-RS"/>
              </w:rPr>
            </w:pPr>
            <w:r w:rsidRPr="00580C63">
              <w:rPr>
                <w:lang w:val="sr-Latn-RS"/>
              </w:rPr>
              <w:t>Veoma rijetko</w:t>
            </w:r>
          </w:p>
        </w:tc>
      </w:tr>
      <w:tr w:rsidR="00A13470" w:rsidRPr="00580C63" w14:paraId="0F3023A8" w14:textId="77777777" w:rsidTr="008868CF">
        <w:trPr>
          <w:trHeight w:val="452"/>
        </w:trPr>
        <w:tc>
          <w:tcPr>
            <w:tcW w:w="5000" w:type="pct"/>
            <w:gridSpan w:val="3"/>
          </w:tcPr>
          <w:p w14:paraId="60EA14E3" w14:textId="16408E05" w:rsidR="00A13470" w:rsidRPr="00580C63" w:rsidRDefault="00A13470" w:rsidP="00A13470">
            <w:pPr>
              <w:pStyle w:val="TableParagraph"/>
              <w:spacing w:before="100"/>
              <w:ind w:left="2"/>
              <w:jc w:val="both"/>
              <w:rPr>
                <w:b/>
                <w:lang w:val="sr-Latn-RS"/>
              </w:rPr>
            </w:pPr>
            <w:r w:rsidRPr="00580C63">
              <w:rPr>
                <w:b/>
                <w:bCs/>
                <w:lang w:val="sr-Latn-RS"/>
              </w:rPr>
              <w:t>Opšti poremećaji i reakcije na mjestu primjene</w:t>
            </w:r>
          </w:p>
        </w:tc>
      </w:tr>
      <w:tr w:rsidR="00A13470" w:rsidRPr="00580C63" w14:paraId="1C7CD706" w14:textId="77777777" w:rsidTr="008868CF">
        <w:trPr>
          <w:trHeight w:val="452"/>
        </w:trPr>
        <w:tc>
          <w:tcPr>
            <w:tcW w:w="2066" w:type="pct"/>
          </w:tcPr>
          <w:p w14:paraId="44D499AE" w14:textId="77777777" w:rsidR="00A13470" w:rsidRPr="00580C63" w:rsidRDefault="00A13470" w:rsidP="00A13470">
            <w:pPr>
              <w:pStyle w:val="TableParagraph"/>
              <w:spacing w:before="100"/>
              <w:ind w:left="2"/>
              <w:jc w:val="both"/>
              <w:rPr>
                <w:lang w:val="sr-Latn-RS"/>
              </w:rPr>
            </w:pPr>
            <w:r w:rsidRPr="00580C63">
              <w:rPr>
                <w:lang w:val="sr-Latn-RS"/>
              </w:rPr>
              <w:t>Pireksija</w:t>
            </w:r>
          </w:p>
        </w:tc>
        <w:tc>
          <w:tcPr>
            <w:tcW w:w="1362" w:type="pct"/>
          </w:tcPr>
          <w:p w14:paraId="2B188426" w14:textId="60176137" w:rsidR="00A13470" w:rsidRPr="00580C63" w:rsidRDefault="00A13470" w:rsidP="00A13470">
            <w:pPr>
              <w:pStyle w:val="TableParagraph"/>
              <w:spacing w:before="100"/>
              <w:ind w:left="2" w:right="642"/>
              <w:jc w:val="both"/>
              <w:rPr>
                <w:lang w:val="sr-Latn-RS"/>
              </w:rPr>
            </w:pPr>
            <w:r w:rsidRPr="00580C63">
              <w:rPr>
                <w:lang w:val="sr-Latn-RS"/>
              </w:rPr>
              <w:t>Veoma često</w:t>
            </w:r>
          </w:p>
        </w:tc>
        <w:tc>
          <w:tcPr>
            <w:tcW w:w="1572" w:type="pct"/>
          </w:tcPr>
          <w:p w14:paraId="66927AC5" w14:textId="77777777" w:rsidR="00A13470" w:rsidRPr="00580C63" w:rsidRDefault="00A13470" w:rsidP="00A13470">
            <w:pPr>
              <w:pStyle w:val="TableParagraph"/>
              <w:spacing w:before="100"/>
              <w:ind w:left="2" w:right="637"/>
              <w:jc w:val="both"/>
              <w:rPr>
                <w:lang w:val="sr-Latn-RS"/>
              </w:rPr>
            </w:pPr>
            <w:r w:rsidRPr="00580C63">
              <w:rPr>
                <w:lang w:val="sr-Latn-RS"/>
              </w:rPr>
              <w:t>Često</w:t>
            </w:r>
          </w:p>
        </w:tc>
      </w:tr>
      <w:tr w:rsidR="00A13470" w:rsidRPr="00580C63" w14:paraId="2DEB2FB6" w14:textId="77777777" w:rsidTr="008868CF">
        <w:trPr>
          <w:trHeight w:val="452"/>
        </w:trPr>
        <w:tc>
          <w:tcPr>
            <w:tcW w:w="2066" w:type="pct"/>
          </w:tcPr>
          <w:p w14:paraId="7C51B387" w14:textId="77777777" w:rsidR="00A13470" w:rsidRPr="00580C63" w:rsidRDefault="00A13470" w:rsidP="00A13470">
            <w:pPr>
              <w:pStyle w:val="TableParagraph"/>
              <w:spacing w:before="100"/>
              <w:ind w:left="2"/>
              <w:jc w:val="both"/>
              <w:rPr>
                <w:lang w:val="sr-Latn-RS"/>
              </w:rPr>
            </w:pPr>
            <w:r w:rsidRPr="00580C63">
              <w:rPr>
                <w:lang w:val="sr-Latn-RS"/>
              </w:rPr>
              <w:t>Drhtavica</w:t>
            </w:r>
          </w:p>
        </w:tc>
        <w:tc>
          <w:tcPr>
            <w:tcW w:w="1362" w:type="pct"/>
          </w:tcPr>
          <w:p w14:paraId="656144A4" w14:textId="0787321B" w:rsidR="00A13470" w:rsidRPr="00580C63" w:rsidRDefault="00A13470" w:rsidP="00A13470">
            <w:pPr>
              <w:pStyle w:val="TableParagraph"/>
              <w:spacing w:before="100"/>
              <w:ind w:left="2" w:right="642"/>
              <w:jc w:val="both"/>
              <w:rPr>
                <w:lang w:val="sr-Latn-RS"/>
              </w:rPr>
            </w:pPr>
            <w:r w:rsidRPr="00580C63">
              <w:rPr>
                <w:lang w:val="sr-Latn-RS"/>
              </w:rPr>
              <w:t>Veoma često</w:t>
            </w:r>
          </w:p>
        </w:tc>
        <w:tc>
          <w:tcPr>
            <w:tcW w:w="1572" w:type="pct"/>
          </w:tcPr>
          <w:p w14:paraId="5F93387E" w14:textId="77777777" w:rsidR="00A13470" w:rsidRPr="00580C63" w:rsidRDefault="00A13470" w:rsidP="00A13470">
            <w:pPr>
              <w:pStyle w:val="TableParagraph"/>
              <w:spacing w:before="100"/>
              <w:ind w:left="2" w:right="637"/>
              <w:jc w:val="both"/>
              <w:rPr>
                <w:lang w:val="sr-Latn-RS"/>
              </w:rPr>
            </w:pPr>
            <w:r w:rsidRPr="00580C63">
              <w:rPr>
                <w:lang w:val="sr-Latn-RS"/>
              </w:rPr>
              <w:t>Povremeno</w:t>
            </w:r>
          </w:p>
        </w:tc>
      </w:tr>
      <w:tr w:rsidR="00A13470" w:rsidRPr="00580C63" w14:paraId="2D29F925" w14:textId="77777777" w:rsidTr="008868CF">
        <w:trPr>
          <w:trHeight w:val="452"/>
        </w:trPr>
        <w:tc>
          <w:tcPr>
            <w:tcW w:w="5000" w:type="pct"/>
            <w:gridSpan w:val="3"/>
          </w:tcPr>
          <w:p w14:paraId="32922F36" w14:textId="77777777" w:rsidR="00A13470" w:rsidRPr="00580C63" w:rsidRDefault="00A13470" w:rsidP="00A13470">
            <w:pPr>
              <w:pStyle w:val="TableParagraph"/>
              <w:spacing w:before="100"/>
              <w:ind w:left="2"/>
              <w:jc w:val="both"/>
              <w:rPr>
                <w:b/>
                <w:lang w:val="sr-Latn-RS"/>
              </w:rPr>
            </w:pPr>
            <w:r w:rsidRPr="00580C63">
              <w:rPr>
                <w:b/>
                <w:bCs/>
                <w:lang w:val="sr-Latn-RS"/>
              </w:rPr>
              <w:t>Ispitivanja</w:t>
            </w:r>
          </w:p>
        </w:tc>
      </w:tr>
      <w:tr w:rsidR="00A13470" w:rsidRPr="00580C63" w14:paraId="3703A69E" w14:textId="77777777" w:rsidTr="008868CF">
        <w:trPr>
          <w:trHeight w:val="710"/>
        </w:trPr>
        <w:tc>
          <w:tcPr>
            <w:tcW w:w="2066" w:type="pct"/>
          </w:tcPr>
          <w:p w14:paraId="3E47C1B4" w14:textId="77777777" w:rsidR="00A13470" w:rsidRPr="00580C63" w:rsidRDefault="00A13470" w:rsidP="00A13470">
            <w:pPr>
              <w:pStyle w:val="TableParagraph"/>
              <w:spacing w:before="10"/>
              <w:ind w:left="2"/>
              <w:jc w:val="both"/>
              <w:rPr>
                <w:b/>
                <w:lang w:val="sr-Latn-RS"/>
              </w:rPr>
            </w:pPr>
          </w:p>
          <w:p w14:paraId="61DEF83F" w14:textId="77777777" w:rsidR="00A13470" w:rsidRPr="00580C63" w:rsidRDefault="00A13470" w:rsidP="00A13470">
            <w:pPr>
              <w:pStyle w:val="TableParagraph"/>
              <w:ind w:left="2"/>
              <w:jc w:val="both"/>
              <w:rPr>
                <w:lang w:val="sr-Latn-RS"/>
              </w:rPr>
            </w:pPr>
            <w:r w:rsidRPr="00580C63">
              <w:rPr>
                <w:lang w:val="sr-Latn-RS"/>
              </w:rPr>
              <w:t>Povišen nivo alanin-aminotransferaze</w:t>
            </w:r>
          </w:p>
        </w:tc>
        <w:tc>
          <w:tcPr>
            <w:tcW w:w="1362" w:type="pct"/>
          </w:tcPr>
          <w:p w14:paraId="41E66B45" w14:textId="77777777" w:rsidR="00A13470" w:rsidRPr="00580C63" w:rsidRDefault="00A13470" w:rsidP="00A13470">
            <w:pPr>
              <w:pStyle w:val="TableParagraph"/>
              <w:spacing w:before="10"/>
              <w:ind w:left="2"/>
              <w:jc w:val="both"/>
              <w:rPr>
                <w:b/>
                <w:lang w:val="sr-Latn-RS"/>
              </w:rPr>
            </w:pPr>
          </w:p>
          <w:p w14:paraId="3FADFC80" w14:textId="2D73622C" w:rsidR="00A13470" w:rsidRPr="00580C63" w:rsidRDefault="00A13470" w:rsidP="00A13470">
            <w:pPr>
              <w:pStyle w:val="TableParagraph"/>
              <w:ind w:left="2" w:right="642"/>
              <w:jc w:val="both"/>
              <w:rPr>
                <w:lang w:val="sr-Latn-RS"/>
              </w:rPr>
            </w:pPr>
            <w:r w:rsidRPr="00580C63">
              <w:rPr>
                <w:lang w:val="sr-Latn-RS"/>
              </w:rPr>
              <w:t>Veoma često</w:t>
            </w:r>
          </w:p>
        </w:tc>
        <w:tc>
          <w:tcPr>
            <w:tcW w:w="1572" w:type="pct"/>
          </w:tcPr>
          <w:p w14:paraId="10BC8A74" w14:textId="77777777" w:rsidR="00A13470" w:rsidRPr="00580C63" w:rsidRDefault="00A13470" w:rsidP="00A13470">
            <w:pPr>
              <w:pStyle w:val="TableParagraph"/>
              <w:spacing w:before="10"/>
              <w:ind w:left="2"/>
              <w:jc w:val="both"/>
              <w:rPr>
                <w:b/>
                <w:lang w:val="sr-Latn-RS"/>
              </w:rPr>
            </w:pPr>
          </w:p>
          <w:p w14:paraId="2C18305A" w14:textId="77777777" w:rsidR="00A13470" w:rsidRPr="00580C63" w:rsidRDefault="00A13470" w:rsidP="00A13470">
            <w:pPr>
              <w:pStyle w:val="TableParagraph"/>
              <w:ind w:left="2" w:right="637"/>
              <w:jc w:val="both"/>
              <w:rPr>
                <w:lang w:val="sr-Latn-RS"/>
              </w:rPr>
            </w:pPr>
            <w:r w:rsidRPr="00580C63">
              <w:rPr>
                <w:lang w:val="sr-Latn-RS"/>
              </w:rPr>
              <w:t>Često</w:t>
            </w:r>
          </w:p>
        </w:tc>
      </w:tr>
      <w:tr w:rsidR="00A13470" w:rsidRPr="00580C63" w14:paraId="7544205A" w14:textId="77777777" w:rsidTr="008868CF">
        <w:trPr>
          <w:trHeight w:val="452"/>
        </w:trPr>
        <w:tc>
          <w:tcPr>
            <w:tcW w:w="2066" w:type="pct"/>
          </w:tcPr>
          <w:p w14:paraId="221BBE89" w14:textId="77777777" w:rsidR="00A13470" w:rsidRPr="00580C63" w:rsidRDefault="00A13470" w:rsidP="00A13470">
            <w:pPr>
              <w:pStyle w:val="TableParagraph"/>
              <w:spacing w:before="100"/>
              <w:ind w:left="2"/>
              <w:jc w:val="both"/>
              <w:rPr>
                <w:lang w:val="sr-Latn-RS"/>
              </w:rPr>
            </w:pPr>
            <w:r w:rsidRPr="00580C63">
              <w:rPr>
                <w:lang w:val="sr-Latn-RS"/>
              </w:rPr>
              <w:t>Povišen nivo aspartat-aminotransferaze</w:t>
            </w:r>
          </w:p>
        </w:tc>
        <w:tc>
          <w:tcPr>
            <w:tcW w:w="1362" w:type="pct"/>
          </w:tcPr>
          <w:p w14:paraId="1D695E05" w14:textId="77777777" w:rsidR="00A13470" w:rsidRPr="00580C63" w:rsidRDefault="00A13470" w:rsidP="00A13470">
            <w:pPr>
              <w:pStyle w:val="TableParagraph"/>
              <w:spacing w:before="100"/>
              <w:ind w:left="2" w:right="642"/>
              <w:jc w:val="both"/>
              <w:rPr>
                <w:lang w:val="sr-Latn-RS"/>
              </w:rPr>
            </w:pPr>
            <w:r w:rsidRPr="00580C63">
              <w:rPr>
                <w:lang w:val="sr-Latn-RS"/>
              </w:rPr>
              <w:t>Često</w:t>
            </w:r>
          </w:p>
        </w:tc>
        <w:tc>
          <w:tcPr>
            <w:tcW w:w="1572" w:type="pct"/>
          </w:tcPr>
          <w:p w14:paraId="6E48ADE5" w14:textId="77777777" w:rsidR="00A13470" w:rsidRPr="00580C63" w:rsidRDefault="00A13470" w:rsidP="00A13470">
            <w:pPr>
              <w:pStyle w:val="TableParagraph"/>
              <w:spacing w:before="100"/>
              <w:ind w:left="2" w:right="637"/>
              <w:jc w:val="both"/>
              <w:rPr>
                <w:lang w:val="sr-Latn-RS"/>
              </w:rPr>
            </w:pPr>
            <w:r w:rsidRPr="00580C63">
              <w:rPr>
                <w:lang w:val="sr-Latn-RS"/>
              </w:rPr>
              <w:t>Često</w:t>
            </w:r>
          </w:p>
        </w:tc>
      </w:tr>
    </w:tbl>
    <w:p w14:paraId="519A07C4" w14:textId="77777777" w:rsidR="00596AC6" w:rsidRPr="00314AC9" w:rsidRDefault="006658F1" w:rsidP="00A441B5">
      <w:pPr>
        <w:pStyle w:val="BodyText"/>
        <w:spacing w:before="99"/>
        <w:jc w:val="both"/>
        <w:rPr>
          <w:sz w:val="20"/>
          <w:szCs w:val="20"/>
          <w:lang w:val="sr-Latn-RS"/>
        </w:rPr>
      </w:pPr>
      <w:r w:rsidRPr="00314AC9">
        <w:rPr>
          <w:sz w:val="20"/>
          <w:szCs w:val="20"/>
          <w:vertAlign w:val="superscript"/>
          <w:lang w:val="sr-Latn-RS"/>
        </w:rPr>
        <w:t>1</w:t>
      </w:r>
      <w:r w:rsidRPr="00314AC9">
        <w:rPr>
          <w:sz w:val="20"/>
          <w:szCs w:val="20"/>
          <w:lang w:val="sr-Latn-RS"/>
        </w:rPr>
        <w:t xml:space="preserve"> Neutropenija uključuje neutropeniju i smanjen broj neutrofila</w:t>
      </w:r>
    </w:p>
    <w:p w14:paraId="1D28D9C6" w14:textId="77777777" w:rsidR="00596AC6" w:rsidRPr="00314AC9" w:rsidRDefault="006658F1" w:rsidP="00A441B5">
      <w:pPr>
        <w:pStyle w:val="BodyText"/>
        <w:jc w:val="both"/>
        <w:rPr>
          <w:sz w:val="20"/>
          <w:szCs w:val="20"/>
          <w:lang w:val="sr-Latn-RS"/>
        </w:rPr>
      </w:pPr>
      <w:r w:rsidRPr="00314AC9">
        <w:rPr>
          <w:sz w:val="20"/>
          <w:szCs w:val="20"/>
          <w:vertAlign w:val="superscript"/>
          <w:lang w:val="sr-Latn-RS"/>
        </w:rPr>
        <w:t>2</w:t>
      </w:r>
      <w:r w:rsidRPr="00314AC9">
        <w:rPr>
          <w:sz w:val="20"/>
          <w:szCs w:val="20"/>
          <w:lang w:val="sr-Latn-RS"/>
        </w:rPr>
        <w:t xml:space="preserve"> Trombocitopenija uključuje trombocitopeniju i smanjenje broja trombocita</w:t>
      </w:r>
    </w:p>
    <w:p w14:paraId="4337462A" w14:textId="28AAE10D" w:rsidR="00596AC6" w:rsidRPr="00314AC9" w:rsidRDefault="006658F1" w:rsidP="00A441B5">
      <w:pPr>
        <w:pStyle w:val="BodyText"/>
        <w:jc w:val="both"/>
        <w:rPr>
          <w:sz w:val="20"/>
          <w:szCs w:val="20"/>
          <w:lang w:val="sr-Latn-RS"/>
        </w:rPr>
      </w:pPr>
      <w:r w:rsidRPr="00314AC9">
        <w:rPr>
          <w:sz w:val="20"/>
          <w:szCs w:val="20"/>
          <w:vertAlign w:val="superscript"/>
          <w:lang w:val="sr-Latn-RS"/>
        </w:rPr>
        <w:t xml:space="preserve">3 </w:t>
      </w:r>
      <w:r w:rsidR="00900E50" w:rsidRPr="00314AC9">
        <w:rPr>
          <w:sz w:val="20"/>
          <w:szCs w:val="20"/>
          <w:vertAlign w:val="superscript"/>
          <w:lang w:val="sr-Latn-RS"/>
        </w:rPr>
        <w:t xml:space="preserve"> </w:t>
      </w:r>
      <w:r w:rsidRPr="00314AC9">
        <w:rPr>
          <w:sz w:val="20"/>
          <w:szCs w:val="20"/>
          <w:lang w:val="sr-Latn-RS"/>
        </w:rPr>
        <w:t>Prema Američkom društv</w:t>
      </w:r>
      <w:r w:rsidR="007251DA" w:rsidRPr="00314AC9">
        <w:rPr>
          <w:sz w:val="20"/>
          <w:szCs w:val="20"/>
          <w:lang w:val="sr-Latn-RS"/>
        </w:rPr>
        <w:t>u</w:t>
      </w:r>
      <w:r w:rsidRPr="00314AC9">
        <w:rPr>
          <w:sz w:val="20"/>
          <w:szCs w:val="20"/>
          <w:lang w:val="sr-Latn-RS"/>
        </w:rPr>
        <w:t xml:space="preserve"> za transplantaciju i ćelijsku terapiju</w:t>
      </w:r>
    </w:p>
    <w:p w14:paraId="3A8B8CCE" w14:textId="77777777" w:rsidR="00596AC6" w:rsidRPr="00580C63" w:rsidRDefault="00596AC6" w:rsidP="00A441B5">
      <w:pPr>
        <w:pStyle w:val="BodyText"/>
        <w:spacing w:before="9"/>
        <w:jc w:val="both"/>
        <w:rPr>
          <w:lang w:val="sr-Latn-RS"/>
        </w:rPr>
      </w:pPr>
    </w:p>
    <w:p w14:paraId="16A5829F" w14:textId="71E50580" w:rsidR="00596AC6" w:rsidRPr="00580C63" w:rsidRDefault="006658F1">
      <w:pPr>
        <w:pStyle w:val="BodyText"/>
        <w:jc w:val="both"/>
        <w:rPr>
          <w:lang w:val="sr-Latn-RS"/>
        </w:rPr>
      </w:pPr>
      <w:r w:rsidRPr="00580C63">
        <w:rPr>
          <w:u w:val="single"/>
          <w:lang w:val="sr-Latn-RS"/>
        </w:rPr>
        <w:t>Opis odabranih neželjenih</w:t>
      </w:r>
      <w:r w:rsidR="005C7FDC" w:rsidRPr="00580C63">
        <w:rPr>
          <w:u w:val="single"/>
          <w:lang w:val="sr-Latn-RS"/>
        </w:rPr>
        <w:t xml:space="preserve"> dejstava</w:t>
      </w:r>
    </w:p>
    <w:p w14:paraId="6690C1AF" w14:textId="77777777" w:rsidR="00596AC6" w:rsidRPr="00580C63" w:rsidRDefault="00596AC6">
      <w:pPr>
        <w:pStyle w:val="BodyText"/>
        <w:jc w:val="both"/>
        <w:rPr>
          <w:lang w:val="sr-Latn-RS"/>
        </w:rPr>
      </w:pPr>
    </w:p>
    <w:p w14:paraId="5A63520E" w14:textId="77777777" w:rsidR="00596AC6" w:rsidRPr="00580C63" w:rsidRDefault="006658F1">
      <w:pPr>
        <w:jc w:val="both"/>
        <w:rPr>
          <w:i/>
          <w:lang w:val="sr-Latn-RS"/>
        </w:rPr>
      </w:pPr>
      <w:r w:rsidRPr="00580C63">
        <w:rPr>
          <w:i/>
          <w:iCs/>
          <w:lang w:val="sr-Latn-RS"/>
        </w:rPr>
        <w:t>Sindrom otpuštanja citokina (CRS)</w:t>
      </w:r>
    </w:p>
    <w:p w14:paraId="2F4FCA1D" w14:textId="77777777" w:rsidR="00596AC6" w:rsidRPr="00580C63" w:rsidRDefault="00596AC6">
      <w:pPr>
        <w:pStyle w:val="BodyText"/>
        <w:jc w:val="both"/>
        <w:rPr>
          <w:i/>
          <w:lang w:val="sr-Latn-RS"/>
        </w:rPr>
      </w:pPr>
    </w:p>
    <w:p w14:paraId="23098B03" w14:textId="7C6C574C" w:rsidR="00596AC6" w:rsidRPr="00580C63" w:rsidRDefault="006658F1">
      <w:pPr>
        <w:pStyle w:val="BodyText"/>
        <w:jc w:val="both"/>
        <w:rPr>
          <w:lang w:val="sr-Latn-RS"/>
        </w:rPr>
      </w:pPr>
      <w:r w:rsidRPr="00580C63">
        <w:rPr>
          <w:lang w:val="sr-Latn-RS"/>
        </w:rPr>
        <w:t>CRS (ASTCT sistem oc</w:t>
      </w:r>
      <w:r w:rsidR="00D070FA" w:rsidRPr="00580C63">
        <w:rPr>
          <w:lang w:val="sr-Latn-RS"/>
        </w:rPr>
        <w:t>j</w:t>
      </w:r>
      <w:r w:rsidRPr="00580C63">
        <w:rPr>
          <w:lang w:val="sr-Latn-RS"/>
        </w:rPr>
        <w:t>enjivanja) bilo kog stepena javio se kod 39% (86/218) pacijenata, pri čemu se 2. stepen javio kod 14% pacijenata, 3. stepen kod 2,3% pacijenata, a 4. stepen kod 0,5% pacijenata l</w:t>
      </w:r>
      <w:r w:rsidR="00833B31" w:rsidRPr="00580C63">
        <w:rPr>
          <w:lang w:val="sr-Latn-RS"/>
        </w:rPr>
        <w:t>ij</w:t>
      </w:r>
      <w:r w:rsidRPr="00580C63">
        <w:rPr>
          <w:lang w:val="sr-Latn-RS"/>
        </w:rPr>
        <w:t xml:space="preserve">ečenih </w:t>
      </w:r>
      <w:r w:rsidR="00833B31" w:rsidRPr="00580C63">
        <w:rPr>
          <w:lang w:val="sr-Latn-RS"/>
        </w:rPr>
        <w:t>l</w:t>
      </w:r>
      <w:r w:rsidR="00FD557E" w:rsidRPr="00580C63">
        <w:rPr>
          <w:lang w:val="sr-Latn-RS"/>
        </w:rPr>
        <w:t>ijek</w:t>
      </w:r>
      <w:r w:rsidRPr="00580C63">
        <w:rPr>
          <w:lang w:val="sr-Latn-RS"/>
        </w:rPr>
        <w:t>om Lunsumio. Jedan pacijent sa slučajem 4. stepena bio je pacijent sa FL u fazi leukemije koji je takođe u isto vr</w:t>
      </w:r>
      <w:r w:rsidR="0083711F" w:rsidRPr="00580C63">
        <w:rPr>
          <w:lang w:val="sr-Latn-RS"/>
        </w:rPr>
        <w:t>ij</w:t>
      </w:r>
      <w:r w:rsidRPr="00580C63">
        <w:rPr>
          <w:lang w:val="sr-Latn-RS"/>
        </w:rPr>
        <w:t>eme imao TLS.</w:t>
      </w:r>
    </w:p>
    <w:p w14:paraId="4026A8B6" w14:textId="77777777" w:rsidR="00596AC6" w:rsidRPr="00580C63" w:rsidRDefault="00596AC6">
      <w:pPr>
        <w:pStyle w:val="BodyText"/>
        <w:jc w:val="both"/>
        <w:rPr>
          <w:lang w:val="sr-Latn-RS"/>
        </w:rPr>
      </w:pPr>
    </w:p>
    <w:p w14:paraId="3024F821" w14:textId="4C1B3818" w:rsidR="00596AC6" w:rsidRPr="00580C63" w:rsidRDefault="006658F1">
      <w:pPr>
        <w:pStyle w:val="BodyText"/>
        <w:jc w:val="both"/>
        <w:rPr>
          <w:lang w:val="sr-Latn-RS"/>
        </w:rPr>
      </w:pPr>
      <w:r w:rsidRPr="00580C63">
        <w:rPr>
          <w:lang w:val="sr-Latn-RS"/>
        </w:rPr>
        <w:t>CRS bilo kog stepena javio se kod 15% pacijenata nakon doze 1. ciklusa, 1. dana; kod 5% pacijenata nakon doze 1. ciklusa, 8. dana; kod 33% pacijenata nakon doze 1. ciklusa, 15. dana, kod 5% pacijenata nakon 2. ciklusa i kod 1% pacijenata u 3. ciklusu i ciklusima nakon njega. Medijana vremena do pojave CRS-a od početka prim</w:t>
      </w:r>
      <w:r w:rsidR="00833B31" w:rsidRPr="00580C63">
        <w:rPr>
          <w:lang w:val="sr-Latn-RS"/>
        </w:rPr>
        <w:t>j</w:t>
      </w:r>
      <w:r w:rsidRPr="00580C63">
        <w:rPr>
          <w:lang w:val="sr-Latn-RS"/>
        </w:rPr>
        <w:t xml:space="preserve">ene </w:t>
      </w:r>
      <w:r w:rsidR="00833B31" w:rsidRPr="00580C63">
        <w:rPr>
          <w:lang w:val="sr-Latn-RS"/>
        </w:rPr>
        <w:t>l</w:t>
      </w:r>
      <w:r w:rsidR="00FD557E" w:rsidRPr="00580C63">
        <w:rPr>
          <w:lang w:val="sr-Latn-RS"/>
        </w:rPr>
        <w:t>ijek</w:t>
      </w:r>
      <w:r w:rsidRPr="00580C63">
        <w:rPr>
          <w:lang w:val="sr-Latn-RS"/>
        </w:rPr>
        <w:t>a u 1. ciklusu, 1. dana bila je 5 sati (opseg: 1–73 sata), u 1. ciklusu, 8. dana bila je 28 sati (opseg: 5–81 sat), u 1. ciklusu, 15. dana je bila</w:t>
      </w:r>
      <w:r w:rsidR="00792ABF" w:rsidRPr="00580C63">
        <w:rPr>
          <w:lang w:val="sr-Latn-RS"/>
        </w:rPr>
        <w:t xml:space="preserve"> </w:t>
      </w:r>
      <w:r w:rsidRPr="00580C63">
        <w:rPr>
          <w:lang w:val="sr-Latn-RS"/>
        </w:rPr>
        <w:t>25 sati (opseg: 0,1–391 sati), i u 2. ciklusu, 1. dana bila je 46 sati (opseg: 12–82 sata). CRS se povukao kod svih pacijenata, a medijana trajanja CRS događaja je bila 3 dana (opseg 1–29 dana).</w:t>
      </w:r>
    </w:p>
    <w:p w14:paraId="154FE7F4" w14:textId="77777777" w:rsidR="00596AC6" w:rsidRPr="00580C63" w:rsidRDefault="00596AC6">
      <w:pPr>
        <w:pStyle w:val="BodyText"/>
        <w:jc w:val="both"/>
        <w:rPr>
          <w:lang w:val="sr-Latn-RS"/>
        </w:rPr>
      </w:pPr>
    </w:p>
    <w:p w14:paraId="5D0EB250" w14:textId="6F5E6BE7" w:rsidR="00596AC6" w:rsidRPr="00580C63" w:rsidRDefault="006658F1">
      <w:pPr>
        <w:pStyle w:val="BodyText"/>
        <w:jc w:val="both"/>
        <w:rPr>
          <w:lang w:val="sr-Latn-RS"/>
        </w:rPr>
      </w:pPr>
      <w:r w:rsidRPr="00580C63">
        <w:rPr>
          <w:lang w:val="sr-Latn-RS"/>
        </w:rPr>
        <w:t xml:space="preserve">Od 86 pacijenata koji su imali CRS, najčešći znakovi i simptomi CRS-a su bili pireksija (98%), drhtavica </w:t>
      </w:r>
      <w:r w:rsidRPr="00580C63">
        <w:rPr>
          <w:lang w:val="sr-Latn-RS"/>
        </w:rPr>
        <w:lastRenderedPageBreak/>
        <w:t>(36%), hipotenzija (35%), tahikardija (24%), hipoksija (22%) i glavobolja</w:t>
      </w:r>
      <w:r w:rsidR="00792ABF" w:rsidRPr="00580C63">
        <w:rPr>
          <w:lang w:val="sr-Latn-RS"/>
        </w:rPr>
        <w:t xml:space="preserve"> </w:t>
      </w:r>
      <w:r w:rsidRPr="00580C63">
        <w:rPr>
          <w:lang w:val="sr-Latn-RS"/>
        </w:rPr>
        <w:t>(16%).</w:t>
      </w:r>
    </w:p>
    <w:p w14:paraId="17DB89E5" w14:textId="77777777" w:rsidR="00596AC6" w:rsidRPr="00580C63" w:rsidRDefault="00596AC6">
      <w:pPr>
        <w:pStyle w:val="BodyText"/>
        <w:jc w:val="both"/>
        <w:rPr>
          <w:lang w:val="sr-Latn-RS"/>
        </w:rPr>
      </w:pPr>
    </w:p>
    <w:p w14:paraId="5C45E012" w14:textId="474A6FBD" w:rsidR="00596AC6" w:rsidRPr="00580C63" w:rsidRDefault="006658F1">
      <w:pPr>
        <w:pStyle w:val="BodyText"/>
        <w:jc w:val="both"/>
        <w:rPr>
          <w:lang w:val="sr-Latn-RS"/>
        </w:rPr>
      </w:pPr>
      <w:r w:rsidRPr="00580C63">
        <w:rPr>
          <w:lang w:val="sr-Latn-RS"/>
        </w:rPr>
        <w:t xml:space="preserve">Tocilizumab i/ili kortikosteroidi su korišćeni za </w:t>
      </w:r>
      <w:r w:rsidR="00FD557E" w:rsidRPr="00580C63">
        <w:rPr>
          <w:lang w:val="sr-Latn-RS"/>
        </w:rPr>
        <w:t>liječenje</w:t>
      </w:r>
      <w:r w:rsidRPr="00580C63">
        <w:rPr>
          <w:lang w:val="sr-Latn-RS"/>
        </w:rPr>
        <w:t xml:space="preserve"> CRS-a kod 16% pacijenata: 6% pacijenata je primalo samo tocilizumab, 6% samo kortikosteroide, a 4% je primalo i tocilizumab i kortikosteroide. Među 10% pacijenata koji su primali tocilizumab (sa ili bez kortikosteroida), 86% je primilo samo jednu dozu tocilizumaba, pri čemu nije dato više od dv</w:t>
      </w:r>
      <w:r w:rsidR="00833B31" w:rsidRPr="00580C63">
        <w:rPr>
          <w:lang w:val="sr-Latn-RS"/>
        </w:rPr>
        <w:t>ij</w:t>
      </w:r>
      <w:r w:rsidRPr="00580C63">
        <w:rPr>
          <w:lang w:val="sr-Latn-RS"/>
        </w:rPr>
        <w:t>e doze tocilizumaba za jedan CRS događaj. Kod pacijenata koji su imali CRS 2. stepena, 48% pacijenata je l</w:t>
      </w:r>
      <w:r w:rsidR="00833B31" w:rsidRPr="00580C63">
        <w:rPr>
          <w:lang w:val="sr-Latn-RS"/>
        </w:rPr>
        <w:t>ij</w:t>
      </w:r>
      <w:r w:rsidRPr="00580C63">
        <w:rPr>
          <w:lang w:val="sr-Latn-RS"/>
        </w:rPr>
        <w:t>ečeno simptomatskom terapijom bez kortikosteroida ili tocilizumaba, 18% je primalo samo tocilizumab, 21% samo kortikosteroide, a 12% je primalo i kortikosteroide i tocilizumab. Pacijenti sa CRS-om 3. ili 4. stepena primali su tocilizumab, kortikosteroide, vazopresore i/ili suplementaciju kiseonikom. Kod 3% pacijenata je došlo do hipotenzije i/ili hipoksije bez povišene temperature nakon prim</w:t>
      </w:r>
      <w:r w:rsidR="00833B31" w:rsidRPr="00580C63">
        <w:rPr>
          <w:lang w:val="sr-Latn-RS"/>
        </w:rPr>
        <w:t>j</w:t>
      </w:r>
      <w:r w:rsidRPr="00580C63">
        <w:rPr>
          <w:lang w:val="sr-Latn-RS"/>
        </w:rPr>
        <w:t xml:space="preserve">ene </w:t>
      </w:r>
      <w:r w:rsidR="00833B31" w:rsidRPr="00580C63">
        <w:rPr>
          <w:lang w:val="sr-Latn-RS"/>
        </w:rPr>
        <w:t>l</w:t>
      </w:r>
      <w:r w:rsidR="00FD557E" w:rsidRPr="00580C63">
        <w:rPr>
          <w:lang w:val="sr-Latn-RS"/>
        </w:rPr>
        <w:t>ijek</w:t>
      </w:r>
      <w:r w:rsidRPr="00580C63">
        <w:rPr>
          <w:lang w:val="sr-Latn-RS"/>
        </w:rPr>
        <w:t>a Lunsumio; 2% pacijenata bez povišene temperature je primalo tocilizumab i/ili kortikosteroide.</w:t>
      </w:r>
    </w:p>
    <w:p w14:paraId="7FB1F01F" w14:textId="77777777" w:rsidR="00596AC6" w:rsidRPr="00580C63" w:rsidRDefault="00596AC6" w:rsidP="00A441B5">
      <w:pPr>
        <w:pStyle w:val="BodyText"/>
        <w:jc w:val="both"/>
        <w:rPr>
          <w:lang w:val="sr-Latn-RS"/>
        </w:rPr>
      </w:pPr>
    </w:p>
    <w:p w14:paraId="6855D071" w14:textId="77777777" w:rsidR="00596AC6" w:rsidRPr="00580C63" w:rsidRDefault="006658F1" w:rsidP="00A441B5">
      <w:pPr>
        <w:pStyle w:val="BodyText"/>
        <w:jc w:val="both"/>
        <w:rPr>
          <w:lang w:val="sr-Latn-RS"/>
        </w:rPr>
      </w:pPr>
      <w:r w:rsidRPr="00580C63">
        <w:rPr>
          <w:lang w:val="sr-Latn-RS"/>
        </w:rPr>
        <w:t>Zbog CRS-a je hospitalizovano 21% pacijenata, a medijana trajanja hospitalizacije je bila 5 dana (opseg: 0–30 dana).</w:t>
      </w:r>
    </w:p>
    <w:p w14:paraId="4594883E" w14:textId="77777777" w:rsidR="00495640" w:rsidRPr="00580C63" w:rsidRDefault="00495640" w:rsidP="00A441B5">
      <w:pPr>
        <w:spacing w:before="79"/>
        <w:ind w:left="111"/>
        <w:jc w:val="both"/>
        <w:rPr>
          <w:i/>
          <w:iCs/>
          <w:lang w:val="sr-Latn-RS"/>
        </w:rPr>
      </w:pPr>
    </w:p>
    <w:p w14:paraId="5A2D4BA2" w14:textId="3B584D26" w:rsidR="00596AC6" w:rsidRPr="00580C63" w:rsidRDefault="006658F1" w:rsidP="00A441B5">
      <w:pPr>
        <w:jc w:val="both"/>
        <w:rPr>
          <w:i/>
          <w:lang w:val="sr-Latn-RS"/>
        </w:rPr>
      </w:pPr>
      <w:r w:rsidRPr="00580C63">
        <w:rPr>
          <w:i/>
          <w:iCs/>
          <w:lang w:val="sr-Latn-RS"/>
        </w:rPr>
        <w:t>Neutropenija</w:t>
      </w:r>
    </w:p>
    <w:p w14:paraId="16BB6158" w14:textId="77777777" w:rsidR="00596AC6" w:rsidRPr="00580C63" w:rsidRDefault="00596AC6" w:rsidP="00A441B5">
      <w:pPr>
        <w:pStyle w:val="BodyText"/>
        <w:jc w:val="both"/>
        <w:rPr>
          <w:i/>
          <w:lang w:val="sr-Latn-RS"/>
        </w:rPr>
      </w:pPr>
    </w:p>
    <w:p w14:paraId="2D921821" w14:textId="63BAE83E" w:rsidR="00596AC6" w:rsidRPr="00580C63" w:rsidRDefault="006658F1">
      <w:pPr>
        <w:pStyle w:val="BodyText"/>
        <w:jc w:val="both"/>
        <w:rPr>
          <w:lang w:val="sr-Latn-RS"/>
        </w:rPr>
      </w:pPr>
      <w:r w:rsidRPr="00580C63">
        <w:rPr>
          <w:lang w:val="sr-Latn-RS"/>
        </w:rPr>
        <w:t>Neutropenija bilo kog stepena javila se kod 28% pacijenata, uključujući 24% događaja 3. ili 4. stepena. Srednje vr</w:t>
      </w:r>
      <w:r w:rsidR="00833B31" w:rsidRPr="00580C63">
        <w:rPr>
          <w:lang w:val="sr-Latn-RS"/>
        </w:rPr>
        <w:t>ij</w:t>
      </w:r>
      <w:r w:rsidRPr="00580C63">
        <w:rPr>
          <w:lang w:val="sr-Latn-RS"/>
        </w:rPr>
        <w:t>eme do pojave prve neutropenije / smanjenog broja neutrofila bilo je 48 dana (opseg: 1–280 dana), sa pros</w:t>
      </w:r>
      <w:r w:rsidR="007251DA" w:rsidRPr="00580C63">
        <w:rPr>
          <w:lang w:val="sr-Latn-RS"/>
        </w:rPr>
        <w:t>j</w:t>
      </w:r>
      <w:r w:rsidRPr="00580C63">
        <w:rPr>
          <w:lang w:val="sr-Latn-RS"/>
        </w:rPr>
        <w:t xml:space="preserve">ečnim trajanjem od 8 dana (opseg: 1–314 dana). Od 60 pacijenata koji su imali neutropeniju / smanjen broj neutrofila, 68% je primilo </w:t>
      </w:r>
      <w:r w:rsidR="00E67857" w:rsidRPr="00AE5391">
        <w:rPr>
          <w:lang w:val="sr-Latn-RS"/>
        </w:rPr>
        <w:t>faktor stimulacije kolonije granulocita</w:t>
      </w:r>
      <w:r w:rsidRPr="00580C63">
        <w:rPr>
          <w:lang w:val="sr-Latn-RS"/>
        </w:rPr>
        <w:t xml:space="preserve"> </w:t>
      </w:r>
      <w:r w:rsidR="00E67857" w:rsidRPr="00AE5391">
        <w:rPr>
          <w:lang w:val="sr-Latn-RS"/>
        </w:rPr>
        <w:t xml:space="preserve">(engl. </w:t>
      </w:r>
      <w:r w:rsidR="00E67857" w:rsidRPr="00AE5391">
        <w:rPr>
          <w:i/>
          <w:iCs/>
          <w:lang w:val="sr-Latn-RS"/>
        </w:rPr>
        <w:t xml:space="preserve">granulocyte colony stimulating factor, </w:t>
      </w:r>
      <w:r w:rsidR="00E67857" w:rsidRPr="00AE5391">
        <w:rPr>
          <w:lang w:val="sr-Latn-RS"/>
        </w:rPr>
        <w:t xml:space="preserve">G-CSF) </w:t>
      </w:r>
      <w:r w:rsidRPr="00580C63">
        <w:rPr>
          <w:lang w:val="sr-Latn-RS"/>
        </w:rPr>
        <w:t xml:space="preserve">za </w:t>
      </w:r>
      <w:r w:rsidR="00FD557E" w:rsidRPr="00580C63">
        <w:rPr>
          <w:lang w:val="sr-Latn-RS"/>
        </w:rPr>
        <w:t>liječenje</w:t>
      </w:r>
      <w:r w:rsidRPr="00580C63">
        <w:rPr>
          <w:lang w:val="sr-Latn-RS"/>
        </w:rPr>
        <w:t xml:space="preserve"> simptoma.</w:t>
      </w:r>
    </w:p>
    <w:p w14:paraId="58B47571" w14:textId="77777777" w:rsidR="00596AC6" w:rsidRPr="00580C63" w:rsidRDefault="00596AC6">
      <w:pPr>
        <w:pStyle w:val="BodyText"/>
        <w:jc w:val="both"/>
        <w:rPr>
          <w:lang w:val="sr-Latn-RS"/>
        </w:rPr>
      </w:pPr>
    </w:p>
    <w:p w14:paraId="1E0A4685" w14:textId="77777777" w:rsidR="00596AC6" w:rsidRPr="00580C63" w:rsidRDefault="006658F1">
      <w:pPr>
        <w:jc w:val="both"/>
        <w:rPr>
          <w:i/>
          <w:lang w:val="sr-Latn-RS"/>
        </w:rPr>
      </w:pPr>
      <w:r w:rsidRPr="00580C63">
        <w:rPr>
          <w:i/>
          <w:iCs/>
          <w:lang w:val="sr-Latn-RS"/>
        </w:rPr>
        <w:t>Ozbiljne infekcije</w:t>
      </w:r>
    </w:p>
    <w:p w14:paraId="0B402753" w14:textId="77777777" w:rsidR="00596AC6" w:rsidRPr="00580C63" w:rsidRDefault="00596AC6">
      <w:pPr>
        <w:pStyle w:val="BodyText"/>
        <w:jc w:val="both"/>
        <w:rPr>
          <w:i/>
          <w:lang w:val="sr-Latn-RS"/>
        </w:rPr>
      </w:pPr>
    </w:p>
    <w:p w14:paraId="373147CF" w14:textId="146C7CA0" w:rsidR="00596AC6" w:rsidRPr="00580C63" w:rsidRDefault="006658F1">
      <w:pPr>
        <w:pStyle w:val="BodyText"/>
        <w:jc w:val="both"/>
        <w:rPr>
          <w:lang w:val="sr-Latn-RS"/>
        </w:rPr>
      </w:pPr>
      <w:r w:rsidRPr="00580C63">
        <w:rPr>
          <w:lang w:val="sr-Latn-RS"/>
        </w:rPr>
        <w:t>Ozbiljne infekcije bilo kog stepena javile su se kod 17% pacijenata</w:t>
      </w:r>
      <w:r w:rsidR="00D051AD" w:rsidRPr="00580C63">
        <w:rPr>
          <w:lang w:val="sr-Latn-RS"/>
        </w:rPr>
        <w:t xml:space="preserve">. Kod </w:t>
      </w:r>
      <w:r w:rsidRPr="00580C63">
        <w:rPr>
          <w:lang w:val="sr-Latn-RS"/>
        </w:rPr>
        <w:t xml:space="preserve">1,8% pacijenata </w:t>
      </w:r>
      <w:r w:rsidR="00D051AD" w:rsidRPr="00580C63">
        <w:rPr>
          <w:lang w:val="sr-Latn-RS"/>
        </w:rPr>
        <w:t>javile su se</w:t>
      </w:r>
      <w:r w:rsidRPr="00580C63">
        <w:rPr>
          <w:lang w:val="sr-Latn-RS"/>
        </w:rPr>
        <w:t xml:space="preserve"> ozbiljne infekcije istovremeno sa neutropenijom 3 </w:t>
      </w:r>
      <w:r w:rsidR="00D051AD" w:rsidRPr="00580C63">
        <w:rPr>
          <w:lang w:val="sr-Latn-RS"/>
        </w:rPr>
        <w:t xml:space="preserve">- </w:t>
      </w:r>
      <w:r w:rsidRPr="00580C63">
        <w:rPr>
          <w:lang w:val="sr-Latn-RS"/>
        </w:rPr>
        <w:t>4. stepena. Medijana vremena do pojave prve infekcije bila je 50 dana (opseg: 1–561 dana), sa pros</w:t>
      </w:r>
      <w:r w:rsidR="007251DA" w:rsidRPr="00580C63">
        <w:rPr>
          <w:lang w:val="sr-Latn-RS"/>
        </w:rPr>
        <w:t>j</w:t>
      </w:r>
      <w:r w:rsidRPr="00580C63">
        <w:rPr>
          <w:lang w:val="sr-Latn-RS"/>
        </w:rPr>
        <w:t>ečnim trajanjem od 12 dana (opseg: 2–174 dana). Događaji 5. stepena javili su se kod 0,9% pacijenata, uključujući pneumoniju i sepsu.</w:t>
      </w:r>
    </w:p>
    <w:p w14:paraId="789CB3ED" w14:textId="77777777" w:rsidR="00596AC6" w:rsidRPr="00580C63" w:rsidRDefault="00596AC6">
      <w:pPr>
        <w:pStyle w:val="BodyText"/>
        <w:jc w:val="both"/>
        <w:rPr>
          <w:lang w:val="sr-Latn-RS"/>
        </w:rPr>
      </w:pPr>
    </w:p>
    <w:p w14:paraId="2EAF823C" w14:textId="1FE7B93C" w:rsidR="00596AC6" w:rsidRPr="00580C63" w:rsidRDefault="00D051AD">
      <w:pPr>
        <w:jc w:val="both"/>
        <w:rPr>
          <w:i/>
          <w:lang w:val="sr-Latn-RS"/>
        </w:rPr>
      </w:pPr>
      <w:r w:rsidRPr="00580C63">
        <w:rPr>
          <w:i/>
          <w:iCs/>
          <w:lang w:val="sr-Latn-RS"/>
        </w:rPr>
        <w:t xml:space="preserve">Širenje </w:t>
      </w:r>
      <w:r w:rsidR="006658F1" w:rsidRPr="00580C63">
        <w:rPr>
          <w:i/>
          <w:iCs/>
          <w:lang w:val="sr-Latn-RS"/>
        </w:rPr>
        <w:t>tumora</w:t>
      </w:r>
    </w:p>
    <w:p w14:paraId="1E240A72" w14:textId="77777777" w:rsidR="00596AC6" w:rsidRPr="00580C63" w:rsidRDefault="00596AC6">
      <w:pPr>
        <w:pStyle w:val="BodyText"/>
        <w:jc w:val="both"/>
        <w:rPr>
          <w:i/>
          <w:lang w:val="sr-Latn-RS"/>
        </w:rPr>
      </w:pPr>
    </w:p>
    <w:p w14:paraId="1E61075A" w14:textId="17B9F2CA" w:rsidR="00596AC6" w:rsidRPr="00580C63" w:rsidRDefault="00D051AD">
      <w:pPr>
        <w:pStyle w:val="BodyText"/>
        <w:jc w:val="both"/>
        <w:rPr>
          <w:lang w:val="sr-Latn-RS"/>
        </w:rPr>
      </w:pPr>
      <w:r w:rsidRPr="00580C63">
        <w:rPr>
          <w:lang w:val="sr-Latn-RS"/>
        </w:rPr>
        <w:t xml:space="preserve">Širenje </w:t>
      </w:r>
      <w:r w:rsidR="006658F1" w:rsidRPr="00580C63">
        <w:rPr>
          <w:lang w:val="sr-Latn-RS"/>
        </w:rPr>
        <w:t>tumora (uključujući pleuralni izliv i zapaljenje tumora) javilo se kod 4% pacijenata, što je uključivalo 1,8% događaja 2. stepena i 2,3% događaja 3. stepena. Medijana vr</w:t>
      </w:r>
      <w:r w:rsidR="00833B31" w:rsidRPr="00580C63">
        <w:rPr>
          <w:lang w:val="sr-Latn-RS"/>
        </w:rPr>
        <w:t>ij</w:t>
      </w:r>
      <w:r w:rsidR="006658F1" w:rsidRPr="00580C63">
        <w:rPr>
          <w:lang w:val="sr-Latn-RS"/>
        </w:rPr>
        <w:t>emena do pojave simptoma bila je 13 dana (opseg:</w:t>
      </w:r>
      <w:r w:rsidR="00A901FE" w:rsidRPr="00580C63">
        <w:rPr>
          <w:lang w:val="sr-Latn-RS"/>
        </w:rPr>
        <w:t xml:space="preserve"> </w:t>
      </w:r>
      <w:r w:rsidR="006658F1" w:rsidRPr="00580C63">
        <w:rPr>
          <w:lang w:val="sr-Latn-RS"/>
        </w:rPr>
        <w:t>5–84 dana), a pros</w:t>
      </w:r>
      <w:r w:rsidR="007251DA" w:rsidRPr="00580C63">
        <w:rPr>
          <w:lang w:val="sr-Latn-RS"/>
        </w:rPr>
        <w:t>j</w:t>
      </w:r>
      <w:r w:rsidR="006658F1" w:rsidRPr="00580C63">
        <w:rPr>
          <w:lang w:val="sr-Latn-RS"/>
        </w:rPr>
        <w:t>ečno trajanje je bilo 10 dana (opseg 1–77 dana).</w:t>
      </w:r>
    </w:p>
    <w:p w14:paraId="0B63D852" w14:textId="77777777" w:rsidR="00596AC6" w:rsidRPr="00580C63" w:rsidRDefault="00596AC6">
      <w:pPr>
        <w:pStyle w:val="BodyText"/>
        <w:jc w:val="both"/>
        <w:rPr>
          <w:lang w:val="sr-Latn-RS"/>
        </w:rPr>
      </w:pPr>
    </w:p>
    <w:p w14:paraId="106E865A" w14:textId="77777777" w:rsidR="00596AC6" w:rsidRPr="00580C63" w:rsidRDefault="006658F1">
      <w:pPr>
        <w:jc w:val="both"/>
        <w:rPr>
          <w:i/>
          <w:lang w:val="sr-Latn-RS"/>
        </w:rPr>
      </w:pPr>
      <w:r w:rsidRPr="00580C63">
        <w:rPr>
          <w:i/>
          <w:iCs/>
          <w:lang w:val="sr-Latn-RS"/>
        </w:rPr>
        <w:t>Sindrom lize tumora (TLS)</w:t>
      </w:r>
    </w:p>
    <w:p w14:paraId="7B24E5E3" w14:textId="77777777" w:rsidR="00596AC6" w:rsidRPr="00580C63" w:rsidRDefault="00596AC6">
      <w:pPr>
        <w:pStyle w:val="BodyText"/>
        <w:jc w:val="both"/>
        <w:rPr>
          <w:i/>
          <w:lang w:val="sr-Latn-RS"/>
        </w:rPr>
      </w:pPr>
    </w:p>
    <w:p w14:paraId="3AF6143C" w14:textId="20F5C165" w:rsidR="00596AC6" w:rsidRPr="00580C63" w:rsidRDefault="006658F1" w:rsidP="00A441B5">
      <w:pPr>
        <w:pStyle w:val="BodyText"/>
        <w:jc w:val="both"/>
        <w:rPr>
          <w:lang w:val="sr-Latn-RS"/>
        </w:rPr>
      </w:pPr>
      <w:r w:rsidRPr="00580C63">
        <w:rPr>
          <w:lang w:val="sr-Latn-RS"/>
        </w:rPr>
        <w:t>TLS je zabeležen kod 0,9% pacijenata, istovremeno sa CRS-om. Kod jednog pacijenta sa folikularnim limfomom, koji je bio u fazi leukemije, javio se TLS 4. stepena. Početak TLS-a bio je 2. i 24. dana, a nestao je u roku od 4, odnosno 6 dana.</w:t>
      </w:r>
    </w:p>
    <w:p w14:paraId="134E7585" w14:textId="77777777" w:rsidR="00596AC6" w:rsidRPr="00580C63" w:rsidRDefault="00596AC6" w:rsidP="00A441B5">
      <w:pPr>
        <w:pStyle w:val="BodyText"/>
        <w:jc w:val="both"/>
        <w:rPr>
          <w:lang w:val="sr-Latn-RS"/>
        </w:rPr>
      </w:pPr>
    </w:p>
    <w:p w14:paraId="61C26CB2" w14:textId="41773C2B" w:rsidR="00833B31" w:rsidRPr="00580C63" w:rsidRDefault="00833B31" w:rsidP="00A441B5">
      <w:pPr>
        <w:pStyle w:val="BodyText"/>
        <w:jc w:val="both"/>
        <w:rPr>
          <w:u w:val="single"/>
          <w:lang w:val="sr-Latn-RS"/>
        </w:rPr>
      </w:pPr>
      <w:bookmarkStart w:id="12" w:name="4.9_Overdose"/>
      <w:bookmarkEnd w:id="12"/>
      <w:r w:rsidRPr="00580C63">
        <w:rPr>
          <w:u w:val="single"/>
          <w:lang w:val="sr-Latn-RS"/>
        </w:rPr>
        <w:t>Prijavljivanje sumnji na neželjena dejstva</w:t>
      </w:r>
    </w:p>
    <w:p w14:paraId="164C07A7" w14:textId="77777777" w:rsidR="00495640" w:rsidRPr="00580C63" w:rsidRDefault="00495640" w:rsidP="00A441B5">
      <w:pPr>
        <w:pStyle w:val="BodyText"/>
        <w:jc w:val="both"/>
        <w:rPr>
          <w:lang w:val="sr-Latn-RS"/>
        </w:rPr>
      </w:pPr>
    </w:p>
    <w:p w14:paraId="7AD0C100" w14:textId="53A3E781" w:rsidR="00833B31" w:rsidRPr="00580C63" w:rsidRDefault="00833B31">
      <w:pPr>
        <w:pStyle w:val="BodyText"/>
        <w:jc w:val="both"/>
        <w:rPr>
          <w:lang w:val="sr-Latn-RS"/>
        </w:rPr>
      </w:pPr>
      <w:r w:rsidRPr="00580C63">
        <w:rPr>
          <w:lang w:val="sr-Latn-RS"/>
        </w:rPr>
        <w:t>Prijavljivanje neželjenih dejstava nakon dobijanja dozvole je od velikog značaja jer obezbjeđuje</w:t>
      </w:r>
      <w:r w:rsidR="00D051AD" w:rsidRPr="00580C63">
        <w:rPr>
          <w:lang w:val="sr-Latn-RS"/>
        </w:rPr>
        <w:t xml:space="preserve"> </w:t>
      </w:r>
      <w:r w:rsidRPr="00580C63">
        <w:rPr>
          <w:lang w:val="sr-Latn-RS"/>
        </w:rPr>
        <w:t>kontinuirano praćenje odnosa korist/rizik primjene lijeka. Zdravstveni radnici treba da prijave svaku sumnju na neželjeno dejstvo ovog lijeka Institutu za ljekove i medicinska sredstva (CInMED):</w:t>
      </w:r>
    </w:p>
    <w:p w14:paraId="35428613" w14:textId="77777777" w:rsidR="00BF42A5" w:rsidRPr="00580C63" w:rsidRDefault="00BF42A5" w:rsidP="00A441B5">
      <w:pPr>
        <w:pStyle w:val="BodyText"/>
        <w:jc w:val="both"/>
        <w:rPr>
          <w:lang w:val="sr-Latn-RS"/>
        </w:rPr>
      </w:pPr>
    </w:p>
    <w:p w14:paraId="3589231F" w14:textId="77777777" w:rsidR="00833B31" w:rsidRPr="00580C63" w:rsidRDefault="00833B31" w:rsidP="00A441B5">
      <w:pPr>
        <w:pStyle w:val="BodyText"/>
        <w:jc w:val="both"/>
        <w:rPr>
          <w:lang w:val="sr-Latn-RS"/>
        </w:rPr>
      </w:pPr>
      <w:r w:rsidRPr="00580C63">
        <w:rPr>
          <w:lang w:val="sr-Latn-RS"/>
        </w:rPr>
        <w:t xml:space="preserve">Institut za ljekove i medicinska sredstva </w:t>
      </w:r>
    </w:p>
    <w:p w14:paraId="69153B7E" w14:textId="77777777" w:rsidR="00833B31" w:rsidRPr="00580C63" w:rsidRDefault="00833B31" w:rsidP="00A441B5">
      <w:pPr>
        <w:pStyle w:val="BodyText"/>
        <w:jc w:val="both"/>
        <w:rPr>
          <w:lang w:val="sr-Latn-RS"/>
        </w:rPr>
      </w:pPr>
      <w:r w:rsidRPr="00580C63">
        <w:rPr>
          <w:lang w:val="sr-Latn-RS"/>
        </w:rPr>
        <w:t>Odjeljenje za farmakovigilancu</w:t>
      </w:r>
    </w:p>
    <w:p w14:paraId="6E984BCE" w14:textId="77777777" w:rsidR="00833B31" w:rsidRPr="00580C63" w:rsidRDefault="00833B31" w:rsidP="00A441B5">
      <w:pPr>
        <w:pStyle w:val="BodyText"/>
        <w:jc w:val="both"/>
        <w:rPr>
          <w:lang w:val="sr-Latn-RS"/>
        </w:rPr>
      </w:pPr>
      <w:r w:rsidRPr="00580C63">
        <w:rPr>
          <w:lang w:val="sr-Latn-RS"/>
        </w:rPr>
        <w:t>Bulevar Ivana Crnojevića 64a, 81000 Podgorica</w:t>
      </w:r>
    </w:p>
    <w:p w14:paraId="63A1016A" w14:textId="77777777" w:rsidR="00833B31" w:rsidRPr="00580C63" w:rsidRDefault="00833B31" w:rsidP="00A441B5">
      <w:pPr>
        <w:pStyle w:val="BodyText"/>
        <w:ind w:left="111" w:right="222"/>
        <w:jc w:val="both"/>
        <w:rPr>
          <w:lang w:val="sr-Latn-RS"/>
        </w:rPr>
      </w:pPr>
    </w:p>
    <w:p w14:paraId="32C028C8" w14:textId="2F24A245" w:rsidR="00833B31" w:rsidRPr="00580C63" w:rsidRDefault="00833B31" w:rsidP="00A441B5">
      <w:pPr>
        <w:pStyle w:val="BodyText"/>
        <w:ind w:right="222"/>
        <w:jc w:val="both"/>
        <w:rPr>
          <w:lang w:val="sr-Latn-RS"/>
        </w:rPr>
      </w:pPr>
      <w:r w:rsidRPr="00580C63">
        <w:rPr>
          <w:lang w:val="sr-Latn-RS"/>
        </w:rPr>
        <w:t>tel: +382 (0) 20 310 28</w:t>
      </w:r>
      <w:r w:rsidR="00EB442B" w:rsidRPr="00580C63">
        <w:rPr>
          <w:lang w:val="sr-Latn-RS"/>
        </w:rPr>
        <w:t>,</w:t>
      </w:r>
      <w:r w:rsidRPr="00580C63">
        <w:rPr>
          <w:lang w:val="sr-Latn-RS"/>
        </w:rPr>
        <w:t>0</w:t>
      </w:r>
    </w:p>
    <w:p w14:paraId="10E9625E" w14:textId="77777777" w:rsidR="00833B31" w:rsidRPr="00580C63" w:rsidRDefault="00833B31" w:rsidP="00A441B5">
      <w:pPr>
        <w:pStyle w:val="BodyText"/>
        <w:ind w:right="222"/>
        <w:jc w:val="both"/>
        <w:rPr>
          <w:lang w:val="sr-Latn-RS"/>
        </w:rPr>
      </w:pPr>
      <w:r w:rsidRPr="00580C63">
        <w:rPr>
          <w:lang w:val="sr-Latn-RS"/>
        </w:rPr>
        <w:t>fax: +382 (0) 20 310 581</w:t>
      </w:r>
    </w:p>
    <w:p w14:paraId="79422656" w14:textId="77777777" w:rsidR="00BF42A5" w:rsidRPr="00580C63" w:rsidRDefault="00981576" w:rsidP="00A441B5">
      <w:pPr>
        <w:pStyle w:val="BodyText"/>
        <w:ind w:right="222"/>
        <w:jc w:val="both"/>
        <w:rPr>
          <w:lang w:val="sr-Latn-RS"/>
        </w:rPr>
      </w:pPr>
      <w:hyperlink r:id="rId9" w:history="1">
        <w:r w:rsidR="00BF42A5" w:rsidRPr="00580C63">
          <w:rPr>
            <w:rStyle w:val="Hyperlink"/>
            <w:lang w:val="sr-Latn-RS"/>
          </w:rPr>
          <w:t>www.cinmed.me</w:t>
        </w:r>
      </w:hyperlink>
    </w:p>
    <w:p w14:paraId="79C5992A" w14:textId="77777777" w:rsidR="00BF42A5" w:rsidRPr="00580C63" w:rsidRDefault="00981576" w:rsidP="00A441B5">
      <w:pPr>
        <w:pStyle w:val="BodyText"/>
        <w:ind w:right="222"/>
        <w:jc w:val="both"/>
        <w:rPr>
          <w:u w:val="single"/>
          <w:lang w:val="sr-Latn-RS"/>
        </w:rPr>
      </w:pPr>
      <w:hyperlink r:id="rId10" w:history="1">
        <w:r w:rsidR="00BF42A5" w:rsidRPr="00580C63">
          <w:rPr>
            <w:rStyle w:val="Hyperlink"/>
            <w:lang w:val="sr-Latn-RS"/>
          </w:rPr>
          <w:t>nezeljenadejstva@cinmed.me</w:t>
        </w:r>
      </w:hyperlink>
    </w:p>
    <w:p w14:paraId="5E691D5F" w14:textId="0C79A891" w:rsidR="00833B31" w:rsidRPr="00580C63" w:rsidRDefault="00833B31" w:rsidP="00A441B5">
      <w:pPr>
        <w:pStyle w:val="BodyText"/>
        <w:ind w:right="222"/>
        <w:jc w:val="both"/>
        <w:rPr>
          <w:lang w:val="sr-Latn-RS"/>
        </w:rPr>
      </w:pPr>
      <w:r w:rsidRPr="00580C63">
        <w:rPr>
          <w:lang w:val="sr-Latn-RS"/>
        </w:rPr>
        <w:lastRenderedPageBreak/>
        <w:t>putem IS zdravstvene zaštite</w:t>
      </w:r>
    </w:p>
    <w:p w14:paraId="5C5A82AC" w14:textId="34A8645F" w:rsidR="00495640" w:rsidRPr="00580C63" w:rsidRDefault="00495640" w:rsidP="00A441B5">
      <w:pPr>
        <w:pStyle w:val="BodyText"/>
        <w:ind w:right="222"/>
        <w:jc w:val="both"/>
        <w:rPr>
          <w:lang w:val="sr-Latn-RS"/>
        </w:rPr>
      </w:pPr>
      <w:r w:rsidRPr="00580C63">
        <w:rPr>
          <w:lang w:val="sr-Latn-RS"/>
        </w:rPr>
        <w:t>QR kod za online prijavu sumnje na neželjeno dejstvo lijeka:</w:t>
      </w:r>
    </w:p>
    <w:p w14:paraId="3B1F6196" w14:textId="77777777" w:rsidR="00495640" w:rsidRPr="00580C63" w:rsidRDefault="00495640" w:rsidP="00A441B5">
      <w:pPr>
        <w:pStyle w:val="BodyText"/>
        <w:ind w:right="222"/>
        <w:jc w:val="both"/>
        <w:rPr>
          <w:lang w:val="sr-Latn-RS"/>
        </w:rPr>
      </w:pPr>
    </w:p>
    <w:p w14:paraId="2DAB209F" w14:textId="7156271B" w:rsidR="00495640" w:rsidRPr="00580C63" w:rsidRDefault="00495640" w:rsidP="00A441B5">
      <w:pPr>
        <w:pStyle w:val="BodyText"/>
        <w:ind w:right="222"/>
        <w:jc w:val="both"/>
        <w:rPr>
          <w:lang w:val="sr-Latn-RS"/>
        </w:rPr>
      </w:pPr>
      <w:r w:rsidRPr="00E45B08">
        <w:rPr>
          <w:noProof/>
        </w:rPr>
        <w:drawing>
          <wp:inline distT="0" distB="0" distL="0" distR="0" wp14:anchorId="11273B36" wp14:editId="29173899">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F4AAF5A" w14:textId="694AFD6A" w:rsidR="009F0494" w:rsidRPr="00580C63" w:rsidRDefault="00495640" w:rsidP="00A441B5">
      <w:pPr>
        <w:pStyle w:val="NoSpacing"/>
        <w:jc w:val="both"/>
        <w:rPr>
          <w:noProof/>
          <w:lang w:val="sr-Latn-RS"/>
        </w:rPr>
      </w:pPr>
      <w:r w:rsidRPr="00A441B5">
        <w:rPr>
          <w:rFonts w:eastAsia="Calibri"/>
          <w:sz w:val="22"/>
          <w:szCs w:val="22"/>
          <w:lang w:val="sr-Latn-RS"/>
        </w:rPr>
        <w:t xml:space="preserve"> </w:t>
      </w:r>
    </w:p>
    <w:p w14:paraId="723AD100" w14:textId="77777777" w:rsidR="00596AC6" w:rsidRPr="00580C63" w:rsidRDefault="006658F1">
      <w:pPr>
        <w:pStyle w:val="Heading1"/>
        <w:numPr>
          <w:ilvl w:val="1"/>
          <w:numId w:val="13"/>
        </w:numPr>
        <w:tabs>
          <w:tab w:val="left" w:pos="677"/>
          <w:tab w:val="left" w:pos="678"/>
        </w:tabs>
        <w:ind w:left="709" w:hanging="709"/>
        <w:jc w:val="both"/>
        <w:rPr>
          <w:lang w:val="sr-Latn-RS"/>
        </w:rPr>
      </w:pPr>
      <w:r w:rsidRPr="00580C63">
        <w:rPr>
          <w:lang w:val="sr-Latn-RS"/>
        </w:rPr>
        <w:t>Predoziranje</w:t>
      </w:r>
    </w:p>
    <w:p w14:paraId="5570D36D" w14:textId="77777777" w:rsidR="00596AC6" w:rsidRPr="00580C63" w:rsidRDefault="00596AC6">
      <w:pPr>
        <w:pStyle w:val="BodyText"/>
        <w:jc w:val="both"/>
        <w:rPr>
          <w:b/>
          <w:lang w:val="sr-Latn-RS"/>
        </w:rPr>
      </w:pPr>
    </w:p>
    <w:p w14:paraId="646BE220" w14:textId="432FBCD4" w:rsidR="00596AC6" w:rsidRPr="00580C63" w:rsidRDefault="006658F1">
      <w:pPr>
        <w:pStyle w:val="BodyText"/>
        <w:jc w:val="both"/>
        <w:rPr>
          <w:lang w:val="sr-Latn-RS"/>
        </w:rPr>
      </w:pPr>
      <w:r w:rsidRPr="00580C63">
        <w:rPr>
          <w:lang w:val="sr-Latn-RS"/>
        </w:rPr>
        <w:t xml:space="preserve">U slučaju predoziranja, pacijente treba pažljivo pratiti zbog znakova i simptoma neželjenih </w:t>
      </w:r>
      <w:r w:rsidR="00301A9B" w:rsidRPr="00580C63">
        <w:rPr>
          <w:lang w:val="sr-Latn-RS"/>
        </w:rPr>
        <w:t>dejstava</w:t>
      </w:r>
      <w:r w:rsidRPr="00580C63">
        <w:rPr>
          <w:lang w:val="sr-Latn-RS"/>
        </w:rPr>
        <w:t>, a treba i uvesti odgovarajuću simptomatsku terapiju.</w:t>
      </w:r>
    </w:p>
    <w:p w14:paraId="6151777C" w14:textId="77777777" w:rsidR="00187D78" w:rsidRPr="00580C63" w:rsidRDefault="00187D78">
      <w:pPr>
        <w:pStyle w:val="BodyText"/>
        <w:jc w:val="both"/>
        <w:rPr>
          <w:lang w:val="sr-Latn-RS"/>
        </w:rPr>
      </w:pPr>
    </w:p>
    <w:p w14:paraId="2C4921C2" w14:textId="77777777" w:rsidR="00596AC6" w:rsidRPr="00580C63" w:rsidRDefault="00596AC6">
      <w:pPr>
        <w:pStyle w:val="BodyText"/>
        <w:jc w:val="both"/>
        <w:rPr>
          <w:lang w:val="sr-Latn-RS"/>
        </w:rPr>
      </w:pPr>
    </w:p>
    <w:p w14:paraId="0CA0CB6C" w14:textId="77777777" w:rsidR="00596AC6" w:rsidRPr="00580C63" w:rsidRDefault="006658F1" w:rsidP="00A441B5">
      <w:pPr>
        <w:pStyle w:val="Heading1"/>
        <w:numPr>
          <w:ilvl w:val="0"/>
          <w:numId w:val="13"/>
        </w:numPr>
        <w:tabs>
          <w:tab w:val="left" w:pos="677"/>
          <w:tab w:val="left" w:pos="678"/>
        </w:tabs>
        <w:ind w:left="567"/>
        <w:jc w:val="both"/>
        <w:rPr>
          <w:lang w:val="sr-Latn-RS"/>
        </w:rPr>
      </w:pPr>
      <w:bookmarkStart w:id="13" w:name="5._PHARMACOLOGICAL_PROPERTIES"/>
      <w:bookmarkEnd w:id="13"/>
      <w:r w:rsidRPr="00580C63">
        <w:rPr>
          <w:lang w:val="sr-Latn-RS"/>
        </w:rPr>
        <w:t>FARMAKOLOŠKI PODACI</w:t>
      </w:r>
    </w:p>
    <w:p w14:paraId="0FA8ADB4" w14:textId="77777777" w:rsidR="00596AC6" w:rsidRPr="00580C63" w:rsidRDefault="00596AC6" w:rsidP="00A441B5">
      <w:pPr>
        <w:pStyle w:val="BodyText"/>
        <w:jc w:val="both"/>
        <w:rPr>
          <w:b/>
          <w:lang w:val="sr-Latn-RS"/>
        </w:rPr>
      </w:pPr>
    </w:p>
    <w:p w14:paraId="551C8019" w14:textId="77777777" w:rsidR="00596AC6" w:rsidRPr="00580C63" w:rsidRDefault="006658F1">
      <w:pPr>
        <w:pStyle w:val="ListParagraph"/>
        <w:numPr>
          <w:ilvl w:val="1"/>
          <w:numId w:val="13"/>
        </w:numPr>
        <w:tabs>
          <w:tab w:val="left" w:pos="677"/>
          <w:tab w:val="left" w:pos="678"/>
        </w:tabs>
        <w:ind w:left="0" w:firstLine="0"/>
        <w:jc w:val="both"/>
        <w:rPr>
          <w:b/>
          <w:lang w:val="sr-Latn-RS"/>
        </w:rPr>
      </w:pPr>
      <w:bookmarkStart w:id="14" w:name="5.1_Pharmacodynamic_properties"/>
      <w:bookmarkEnd w:id="14"/>
      <w:r w:rsidRPr="00580C63">
        <w:rPr>
          <w:b/>
          <w:bCs/>
          <w:lang w:val="sr-Latn-RS"/>
        </w:rPr>
        <w:t>Farmakodinamski podaci</w:t>
      </w:r>
    </w:p>
    <w:p w14:paraId="416B1147" w14:textId="77777777" w:rsidR="00596AC6" w:rsidRPr="00580C63" w:rsidRDefault="00596AC6">
      <w:pPr>
        <w:pStyle w:val="BodyText"/>
        <w:jc w:val="both"/>
        <w:rPr>
          <w:b/>
          <w:lang w:val="sr-Latn-RS"/>
        </w:rPr>
      </w:pPr>
    </w:p>
    <w:p w14:paraId="5B78D270" w14:textId="77777777" w:rsidR="00FE7988" w:rsidRPr="00580C63" w:rsidRDefault="006658F1">
      <w:pPr>
        <w:pStyle w:val="BodyText"/>
        <w:jc w:val="both"/>
        <w:rPr>
          <w:lang w:val="sr-Latn-RS"/>
        </w:rPr>
      </w:pPr>
      <w:r w:rsidRPr="00580C63">
        <w:rPr>
          <w:lang w:val="sr-Latn-RS"/>
        </w:rPr>
        <w:t>Farmakoterapijska grupa: Antineoplastični agensi: drugi antineoplastični agensi; monoklonska antit</w:t>
      </w:r>
      <w:r w:rsidR="00833B31" w:rsidRPr="00580C63">
        <w:rPr>
          <w:lang w:val="sr-Latn-RS"/>
        </w:rPr>
        <w:t>ij</w:t>
      </w:r>
      <w:r w:rsidR="00FE7988" w:rsidRPr="00580C63">
        <w:rPr>
          <w:lang w:val="sr-Latn-RS"/>
        </w:rPr>
        <w:t>ela</w:t>
      </w:r>
    </w:p>
    <w:p w14:paraId="234F1310" w14:textId="77777777" w:rsidR="00FE7988" w:rsidRPr="00580C63" w:rsidRDefault="00FE7988">
      <w:pPr>
        <w:pStyle w:val="BodyText"/>
        <w:jc w:val="both"/>
        <w:rPr>
          <w:lang w:val="sr-Latn-RS"/>
        </w:rPr>
      </w:pPr>
    </w:p>
    <w:p w14:paraId="4382B499" w14:textId="0560FF35" w:rsidR="00596AC6" w:rsidRPr="00580C63" w:rsidRDefault="006658F1">
      <w:pPr>
        <w:pStyle w:val="BodyText"/>
        <w:jc w:val="both"/>
        <w:rPr>
          <w:lang w:val="sr-Latn-RS"/>
        </w:rPr>
      </w:pPr>
      <w:r w:rsidRPr="00580C63">
        <w:rPr>
          <w:lang w:val="sr-Latn-RS"/>
        </w:rPr>
        <w:t>ATC kod: L01</w:t>
      </w:r>
      <w:r w:rsidR="00B24A53" w:rsidRPr="00580C63">
        <w:rPr>
          <w:lang w:val="sr-Latn-RS"/>
        </w:rPr>
        <w:t>FX25</w:t>
      </w:r>
    </w:p>
    <w:p w14:paraId="08572954" w14:textId="77777777" w:rsidR="00596AC6" w:rsidRPr="00580C63" w:rsidRDefault="00596AC6">
      <w:pPr>
        <w:pStyle w:val="BodyText"/>
        <w:jc w:val="both"/>
        <w:rPr>
          <w:lang w:val="sr-Latn-RS"/>
        </w:rPr>
      </w:pPr>
    </w:p>
    <w:p w14:paraId="12D92388" w14:textId="77777777" w:rsidR="00596AC6" w:rsidRPr="00580C63" w:rsidRDefault="006658F1">
      <w:pPr>
        <w:pStyle w:val="BodyText"/>
        <w:jc w:val="both"/>
        <w:rPr>
          <w:lang w:val="sr-Latn-RS"/>
        </w:rPr>
      </w:pPr>
      <w:r w:rsidRPr="00580C63">
        <w:rPr>
          <w:u w:val="single"/>
          <w:lang w:val="sr-Latn-RS"/>
        </w:rPr>
        <w:t>Mehanizam dejstva</w:t>
      </w:r>
    </w:p>
    <w:p w14:paraId="2F34CBBC" w14:textId="77777777" w:rsidR="00596AC6" w:rsidRPr="00580C63" w:rsidRDefault="00596AC6">
      <w:pPr>
        <w:pStyle w:val="BodyText"/>
        <w:jc w:val="both"/>
        <w:rPr>
          <w:lang w:val="sr-Latn-RS"/>
        </w:rPr>
      </w:pPr>
    </w:p>
    <w:p w14:paraId="0BDFA78B" w14:textId="655DB72F" w:rsidR="00596AC6" w:rsidRPr="00580C63" w:rsidRDefault="006658F1">
      <w:pPr>
        <w:pStyle w:val="BodyText"/>
        <w:jc w:val="both"/>
        <w:rPr>
          <w:lang w:val="sr-Latn-RS"/>
        </w:rPr>
      </w:pPr>
      <w:r w:rsidRPr="00580C63">
        <w:rPr>
          <w:lang w:val="sr-Latn-RS"/>
        </w:rPr>
        <w:t>Mosunetuzumab je anti-CD20/CD3 bispecifično antit</w:t>
      </w:r>
      <w:r w:rsidR="00833B31" w:rsidRPr="00580C63">
        <w:rPr>
          <w:lang w:val="sr-Latn-RS"/>
        </w:rPr>
        <w:t>ij</w:t>
      </w:r>
      <w:r w:rsidRPr="00580C63">
        <w:rPr>
          <w:lang w:val="sr-Latn-RS"/>
        </w:rPr>
        <w:t>elo T-ćelija koje cilja na B-limfocitni antigen CD20 koji se eksprimira na površini svih B-ćelija. To je uslovni agonist; ciljano ubijanje B-ćelija se prim</w:t>
      </w:r>
      <w:r w:rsidR="0083711F" w:rsidRPr="00580C63">
        <w:rPr>
          <w:lang w:val="sr-Latn-RS"/>
        </w:rPr>
        <w:t>j</w:t>
      </w:r>
      <w:r w:rsidRPr="00580C63">
        <w:rPr>
          <w:lang w:val="sr-Latn-RS"/>
        </w:rPr>
        <w:t>ećuje samo pri istovremenom vezivanju za CD20 na B-ćelije i CD3 na T-ćelije. Angažovanje oba kraka mosunetuzumaba dovodi do formiranja imunološke sinapse između ciljne B-ćelije i citotoksične T-ćelije što dovodi do aktivacije T-ćelija. Naknadno usm</w:t>
      </w:r>
      <w:r w:rsidR="00EB442B" w:rsidRPr="00580C63">
        <w:rPr>
          <w:lang w:val="sr-Latn-RS"/>
        </w:rPr>
        <w:t>j</w:t>
      </w:r>
      <w:r w:rsidRPr="00580C63">
        <w:rPr>
          <w:lang w:val="sr-Latn-RS"/>
        </w:rPr>
        <w:t>ereno oslobađanje perforina i granzima iz aktivacije T-ćelija kroz imunološku sinapsu indukuje lizu B-ćelija što dovodi do smrti ćelije.</w:t>
      </w:r>
    </w:p>
    <w:p w14:paraId="1E2B269C" w14:textId="51DC89EC" w:rsidR="00596AC6" w:rsidRPr="00580C63" w:rsidRDefault="00FD557E">
      <w:pPr>
        <w:pStyle w:val="BodyText"/>
        <w:jc w:val="both"/>
        <w:rPr>
          <w:lang w:val="sr-Latn-RS"/>
        </w:rPr>
      </w:pPr>
      <w:r w:rsidRPr="00580C63">
        <w:rPr>
          <w:lang w:val="sr-Latn-RS"/>
        </w:rPr>
        <w:t>Lijek</w:t>
      </w:r>
      <w:r w:rsidR="006658F1" w:rsidRPr="00580C63">
        <w:rPr>
          <w:lang w:val="sr-Latn-RS"/>
        </w:rPr>
        <w:t xml:space="preserve"> Lunsumio je izazvao iscrpljivanje B-ćelija (definisano kao broj CD19 B-ćelija &lt; 0,07 x 10</w:t>
      </w:r>
      <w:r w:rsidR="006658F1" w:rsidRPr="00580C63">
        <w:rPr>
          <w:vertAlign w:val="superscript"/>
          <w:lang w:val="sr-Latn-RS"/>
        </w:rPr>
        <w:t>9</w:t>
      </w:r>
      <w:r w:rsidR="006658F1" w:rsidRPr="00580C63">
        <w:rPr>
          <w:lang w:val="sr-Latn-RS"/>
        </w:rPr>
        <w:t>/l) i hipogamaglobulinemiju (definisano kao nivoi IgG &lt; 500 mg/dl).</w:t>
      </w:r>
    </w:p>
    <w:p w14:paraId="06878957" w14:textId="77777777" w:rsidR="00AC7B20" w:rsidRPr="00580C63" w:rsidRDefault="00AC7B20">
      <w:pPr>
        <w:pStyle w:val="BodyText"/>
        <w:jc w:val="both"/>
        <w:rPr>
          <w:u w:val="single"/>
          <w:lang w:val="sr-Latn-RS"/>
        </w:rPr>
      </w:pPr>
    </w:p>
    <w:p w14:paraId="3BC6276B" w14:textId="0A22A783" w:rsidR="00596AC6" w:rsidRPr="00580C63" w:rsidRDefault="006658F1">
      <w:pPr>
        <w:pStyle w:val="BodyText"/>
        <w:jc w:val="both"/>
        <w:rPr>
          <w:lang w:val="sr-Latn-RS"/>
        </w:rPr>
      </w:pPr>
      <w:r w:rsidRPr="00580C63">
        <w:rPr>
          <w:u w:val="single"/>
          <w:lang w:val="sr-Latn-RS"/>
        </w:rPr>
        <w:t xml:space="preserve">Klinička efikasnost i </w:t>
      </w:r>
      <w:r w:rsidR="00FD557E" w:rsidRPr="00580C63">
        <w:rPr>
          <w:u w:val="single"/>
          <w:lang w:val="sr-Latn-RS"/>
        </w:rPr>
        <w:t>bezbjednost</w:t>
      </w:r>
    </w:p>
    <w:p w14:paraId="3BE31102" w14:textId="77777777" w:rsidR="00596AC6" w:rsidRPr="00580C63" w:rsidRDefault="00596AC6">
      <w:pPr>
        <w:pStyle w:val="BodyText"/>
        <w:jc w:val="both"/>
        <w:rPr>
          <w:lang w:val="sr-Latn-RS"/>
        </w:rPr>
      </w:pPr>
    </w:p>
    <w:p w14:paraId="11104B1A" w14:textId="2679E433" w:rsidR="00596AC6" w:rsidRPr="00580C63" w:rsidRDefault="006658F1">
      <w:pPr>
        <w:jc w:val="both"/>
        <w:rPr>
          <w:i/>
          <w:lang w:val="sr-Latn-RS"/>
        </w:rPr>
      </w:pPr>
      <w:r w:rsidRPr="00580C63">
        <w:rPr>
          <w:i/>
          <w:iCs/>
          <w:u w:val="single"/>
          <w:lang w:val="sr-Latn-RS"/>
        </w:rPr>
        <w:t xml:space="preserve">Relapsni ili refraktorni B-ćelijski </w:t>
      </w:r>
      <w:r w:rsidR="004855EC" w:rsidRPr="00580C63">
        <w:rPr>
          <w:i/>
          <w:iCs/>
          <w:u w:val="single"/>
          <w:lang w:val="sr-Latn-RS"/>
        </w:rPr>
        <w:t>Non–Hod</w:t>
      </w:r>
      <w:r w:rsidR="00506CC6">
        <w:rPr>
          <w:i/>
          <w:iCs/>
          <w:u w:val="single"/>
          <w:lang w:val="sr-Latn-RS"/>
        </w:rPr>
        <w:t>g</w:t>
      </w:r>
      <w:r w:rsidR="004855EC" w:rsidRPr="00580C63">
        <w:rPr>
          <w:i/>
          <w:iCs/>
          <w:u w:val="single"/>
          <w:lang w:val="sr-Latn-RS"/>
        </w:rPr>
        <w:t>kin</w:t>
      </w:r>
      <w:r w:rsidRPr="00580C63">
        <w:rPr>
          <w:i/>
          <w:iCs/>
          <w:u w:val="single"/>
          <w:lang w:val="sr-Latn-RS"/>
        </w:rPr>
        <w:t xml:space="preserve"> limfom</w:t>
      </w:r>
    </w:p>
    <w:p w14:paraId="391DE1F6" w14:textId="77777777" w:rsidR="00596AC6" w:rsidRPr="00580C63" w:rsidRDefault="00596AC6">
      <w:pPr>
        <w:pStyle w:val="BodyText"/>
        <w:jc w:val="both"/>
        <w:rPr>
          <w:i/>
          <w:lang w:val="sr-Latn-RS"/>
        </w:rPr>
      </w:pPr>
    </w:p>
    <w:p w14:paraId="4A727914" w14:textId="7CE8C0B1" w:rsidR="00596AC6" w:rsidRPr="00580C63" w:rsidRDefault="006658F1">
      <w:pPr>
        <w:pStyle w:val="BodyText"/>
        <w:jc w:val="both"/>
        <w:rPr>
          <w:lang w:val="sr-Latn-RS"/>
        </w:rPr>
      </w:pPr>
      <w:r w:rsidRPr="00580C63">
        <w:rPr>
          <w:lang w:val="sr-Latn-RS"/>
        </w:rPr>
        <w:t>Sprovedena je otvorena, multicentrična, multikohortna studija (GO29781) za proc</w:t>
      </w:r>
      <w:r w:rsidR="00EB442B" w:rsidRPr="00580C63">
        <w:rPr>
          <w:lang w:val="sr-Latn-RS"/>
        </w:rPr>
        <w:t>j</w:t>
      </w:r>
      <w:r w:rsidRPr="00580C63">
        <w:rPr>
          <w:lang w:val="sr-Latn-RS"/>
        </w:rPr>
        <w:t xml:space="preserve">enu </w:t>
      </w:r>
      <w:r w:rsidR="00833B31" w:rsidRPr="00580C63">
        <w:rPr>
          <w:lang w:val="sr-Latn-RS"/>
        </w:rPr>
        <w:t>l</w:t>
      </w:r>
      <w:r w:rsidR="00FD557E" w:rsidRPr="00580C63">
        <w:rPr>
          <w:lang w:val="sr-Latn-RS"/>
        </w:rPr>
        <w:t>ijek</w:t>
      </w:r>
      <w:r w:rsidRPr="00580C63">
        <w:rPr>
          <w:lang w:val="sr-Latn-RS"/>
        </w:rPr>
        <w:t>a Lunsumio kod pacijenata sa relapsnim ili refra</w:t>
      </w:r>
      <w:r w:rsidR="00326B04" w:rsidRPr="00580C63">
        <w:rPr>
          <w:lang w:val="sr-Latn-RS"/>
        </w:rPr>
        <w:t xml:space="preserve">ktornim B-ćelijskim </w:t>
      </w:r>
      <w:r w:rsidR="00326B04" w:rsidRPr="00A441B5">
        <w:rPr>
          <w:i/>
          <w:lang w:val="sr-Latn-RS"/>
        </w:rPr>
        <w:t>Non-</w:t>
      </w:r>
      <w:r w:rsidR="00506CC6" w:rsidRPr="00A441B5">
        <w:rPr>
          <w:i/>
          <w:lang w:val="sr-Latn-RS"/>
        </w:rPr>
        <w:t>Hodgkin</w:t>
      </w:r>
      <w:r w:rsidRPr="00580C63">
        <w:rPr>
          <w:lang w:val="sr-Latn-RS"/>
        </w:rPr>
        <w:t xml:space="preserve"> limfomom za koje nije bila dostupna nijedna terapija za koju se očekivalo da će poboljšati stopu preživljavanja. U kohorti pacijenata s folikularnim limfomom (FL) (n = 90), pacijenti sa relapsnim ili refraktornim FL-om (Gradusa 1-3A) morali su da prime najmanje dv</w:t>
      </w:r>
      <w:r w:rsidR="00833B31" w:rsidRPr="00580C63">
        <w:rPr>
          <w:lang w:val="sr-Latn-RS"/>
        </w:rPr>
        <w:t>ij</w:t>
      </w:r>
      <w:r w:rsidRPr="00580C63">
        <w:rPr>
          <w:lang w:val="sr-Latn-RS"/>
        </w:rPr>
        <w:t>e prethodne sistemske terapije, uključujući anti-CD20 monoklonska antit</w:t>
      </w:r>
      <w:r w:rsidR="00833B31" w:rsidRPr="00580C63">
        <w:rPr>
          <w:lang w:val="sr-Latn-RS"/>
        </w:rPr>
        <w:t>ij</w:t>
      </w:r>
      <w:r w:rsidRPr="00580C63">
        <w:rPr>
          <w:lang w:val="sr-Latn-RS"/>
        </w:rPr>
        <w:t>ela i alkilišući agens. Pacijenti sa FL-om gradusa 3b i pacijenti sa transformisanim FL-om u trenutku uključivanja u studiju ni</w:t>
      </w:r>
      <w:r w:rsidR="00506CC6">
        <w:rPr>
          <w:lang w:val="sr-Latn-RS"/>
        </w:rPr>
        <w:t>je</w:t>
      </w:r>
      <w:r w:rsidRPr="00580C63">
        <w:rPr>
          <w:lang w:val="sr-Latn-RS"/>
        </w:rPr>
        <w:t>su bili pogodni za studiju; pacijenti sa transformisanim FL-om u anamnezi, ali FL-om gradusa 1-3A u trenutku uključivanja u studiju su bili uključeni u kohortu pacijenata s FL-om.</w:t>
      </w:r>
    </w:p>
    <w:p w14:paraId="249BBE86" w14:textId="77777777" w:rsidR="00596AC6" w:rsidRPr="00580C63" w:rsidRDefault="00596AC6">
      <w:pPr>
        <w:pStyle w:val="BodyText"/>
        <w:jc w:val="both"/>
        <w:rPr>
          <w:lang w:val="sr-Latn-RS"/>
        </w:rPr>
      </w:pPr>
    </w:p>
    <w:p w14:paraId="3C7D2FF4" w14:textId="6BFCCB73" w:rsidR="00596AC6" w:rsidRPr="00580C63" w:rsidRDefault="006658F1">
      <w:pPr>
        <w:pStyle w:val="BodyText"/>
        <w:jc w:val="both"/>
        <w:rPr>
          <w:lang w:val="sr-Latn-RS"/>
        </w:rPr>
      </w:pPr>
      <w:r w:rsidRPr="00580C63">
        <w:rPr>
          <w:lang w:val="sr-Latn-RS"/>
        </w:rPr>
        <w:t>Studija nije uključivala pacijente sa</w:t>
      </w:r>
      <w:r w:rsidR="00283FC3" w:rsidRPr="00580C63">
        <w:rPr>
          <w:lang w:val="sr-Latn-RS"/>
        </w:rPr>
        <w:t>:</w:t>
      </w:r>
      <w:r w:rsidRPr="00580C63">
        <w:rPr>
          <w:lang w:val="sr-Latn-RS"/>
        </w:rPr>
        <w:t xml:space="preserve"> funkcionalnim statusom prema ECOG (</w:t>
      </w:r>
      <w:r w:rsidRPr="00580C63">
        <w:rPr>
          <w:i/>
          <w:lang w:val="sr-Latn-RS"/>
        </w:rPr>
        <w:t>Eastern Cooperative Oncology Group</w:t>
      </w:r>
      <w:r w:rsidRPr="00580C63">
        <w:rPr>
          <w:lang w:val="sr-Latn-RS"/>
        </w:rPr>
        <w:t>)</w:t>
      </w:r>
      <w:r w:rsidR="00EB442B" w:rsidRPr="00580C63">
        <w:rPr>
          <w:color w:val="202124"/>
          <w:lang w:val="sr-Latn-RS"/>
        </w:rPr>
        <w:t xml:space="preserve"> </w:t>
      </w:r>
      <w:r w:rsidRPr="00580C63">
        <w:rPr>
          <w:color w:val="202124"/>
          <w:lang w:val="sr-Latn-RS"/>
        </w:rPr>
        <w:t xml:space="preserve">≥ </w:t>
      </w:r>
      <w:r w:rsidRPr="00580C63">
        <w:rPr>
          <w:lang w:val="sr-Latn-RS"/>
        </w:rPr>
        <w:t>2, značajnim kardiovaskularnim bolestima (kao što je srčana bolest Njujorškog udruženja bolesti srca (NYHA) iz klase III ili IV, infarkt miokarda u proteklih 6 </w:t>
      </w:r>
      <w:r w:rsidR="00833B31" w:rsidRPr="00580C63">
        <w:rPr>
          <w:lang w:val="sr-Latn-RS"/>
        </w:rPr>
        <w:t>mjeseci</w:t>
      </w:r>
      <w:r w:rsidRPr="00580C63">
        <w:rPr>
          <w:lang w:val="sr-Latn-RS"/>
        </w:rPr>
        <w:t>, nestabilne aritmije, ili nestabilna angina), ozbiljnim aktivnim plućnim bolestima, oštećenjem funkcije bubrega (klirens kreatinina</w:t>
      </w:r>
      <w:r w:rsidR="00833B31" w:rsidRPr="00580C63">
        <w:rPr>
          <w:lang w:val="sr-Latn-RS"/>
        </w:rPr>
        <w:t xml:space="preserve"> </w:t>
      </w:r>
      <w:r w:rsidRPr="00580C63">
        <w:rPr>
          <w:lang w:val="sr-Latn-RS"/>
        </w:rPr>
        <w:t>[CrCl] &lt; 60 ml/min sa povišenim nivoom kreatinina u serumu), aktivnom autoimunom bolešću koja zaht</w:t>
      </w:r>
      <w:r w:rsidR="00283FC3" w:rsidRPr="00580C63">
        <w:rPr>
          <w:lang w:val="sr-Latn-RS"/>
        </w:rPr>
        <w:t>i</w:t>
      </w:r>
      <w:r w:rsidR="00833B31" w:rsidRPr="00580C63">
        <w:rPr>
          <w:lang w:val="sr-Latn-RS"/>
        </w:rPr>
        <w:t>j</w:t>
      </w:r>
      <w:r w:rsidRPr="00580C63">
        <w:rPr>
          <w:lang w:val="sr-Latn-RS"/>
        </w:rPr>
        <w:t xml:space="preserve">eva imunosupresivnu terapiju, aktivnim infekcijama (tj. hronični aktivni EBV, akutni odnosno hronični hepatitis C, hepatitis B, HIV), progresivnom multifokalnom leukoencefalopatijom, trenutnim limfomom centralnog nervnog sistema (CNS) ili limfomom CNS-a u anamnezi ili bolesti CNS-a, sindromom aktivacije makrofaga / hemofagocitne limfohistocitoze u anamnezi, prethodnom alogenom </w:t>
      </w:r>
      <w:r w:rsidRPr="00580C63">
        <w:rPr>
          <w:lang w:val="sr-Latn-RS"/>
        </w:rPr>
        <w:lastRenderedPageBreak/>
        <w:t>transplantacijom matičnih ćelija, ili prethodnom transplantacijom organa.</w:t>
      </w:r>
    </w:p>
    <w:p w14:paraId="29A572FE" w14:textId="77777777" w:rsidR="00596AC6" w:rsidRPr="00580C63" w:rsidRDefault="00596AC6">
      <w:pPr>
        <w:pStyle w:val="BodyText"/>
        <w:jc w:val="both"/>
        <w:rPr>
          <w:lang w:val="sr-Latn-RS"/>
        </w:rPr>
      </w:pPr>
    </w:p>
    <w:p w14:paraId="4B393B76" w14:textId="64DA5E2D" w:rsidR="00596AC6" w:rsidRPr="00580C63" w:rsidRDefault="006658F1">
      <w:pPr>
        <w:pStyle w:val="BodyText"/>
        <w:jc w:val="both"/>
        <w:rPr>
          <w:lang w:val="sr-Latn-RS"/>
        </w:rPr>
      </w:pPr>
      <w:r w:rsidRPr="00580C63">
        <w:rPr>
          <w:lang w:val="sr-Latn-RS"/>
        </w:rPr>
        <w:t xml:space="preserve">Pacijenti su primali </w:t>
      </w:r>
      <w:r w:rsidR="00833B31" w:rsidRPr="00580C63">
        <w:rPr>
          <w:lang w:val="sr-Latn-RS"/>
        </w:rPr>
        <w:t>lij</w:t>
      </w:r>
      <w:r w:rsidR="00FD557E" w:rsidRPr="00580C63">
        <w:rPr>
          <w:lang w:val="sr-Latn-RS"/>
        </w:rPr>
        <w:t>ek</w:t>
      </w:r>
      <w:r w:rsidRPr="00580C63">
        <w:rPr>
          <w:lang w:val="sr-Latn-RS"/>
        </w:rPr>
        <w:t xml:space="preserve"> Lunsumio intravenski tokom ciklusa od 21 dana na sl</w:t>
      </w:r>
      <w:r w:rsidR="00EB442B" w:rsidRPr="00580C63">
        <w:rPr>
          <w:lang w:val="sr-Latn-RS"/>
        </w:rPr>
        <w:t>j</w:t>
      </w:r>
      <w:r w:rsidRPr="00580C63">
        <w:rPr>
          <w:lang w:val="sr-Latn-RS"/>
        </w:rPr>
        <w:t>edeći način:</w:t>
      </w:r>
    </w:p>
    <w:p w14:paraId="6DAAF8C1" w14:textId="77777777" w:rsidR="00596AC6" w:rsidRPr="00580C63" w:rsidRDefault="006658F1" w:rsidP="00A441B5">
      <w:pPr>
        <w:pStyle w:val="ListParagraph"/>
        <w:numPr>
          <w:ilvl w:val="0"/>
          <w:numId w:val="4"/>
        </w:numPr>
        <w:tabs>
          <w:tab w:val="left" w:pos="677"/>
          <w:tab w:val="left" w:pos="678"/>
        </w:tabs>
        <w:ind w:left="677"/>
        <w:jc w:val="both"/>
        <w:rPr>
          <w:lang w:val="sr-Latn-RS"/>
        </w:rPr>
      </w:pPr>
      <w:r w:rsidRPr="00580C63">
        <w:rPr>
          <w:lang w:val="sr-Latn-RS"/>
        </w:rPr>
        <w:t>1. ciklus, 1. dan: 1 mg</w:t>
      </w:r>
    </w:p>
    <w:p w14:paraId="5315EA9D" w14:textId="77777777" w:rsidR="00596AC6" w:rsidRPr="00580C63" w:rsidRDefault="006658F1" w:rsidP="00A441B5">
      <w:pPr>
        <w:pStyle w:val="ListParagraph"/>
        <w:numPr>
          <w:ilvl w:val="0"/>
          <w:numId w:val="4"/>
        </w:numPr>
        <w:tabs>
          <w:tab w:val="left" w:pos="677"/>
          <w:tab w:val="left" w:pos="678"/>
        </w:tabs>
        <w:ind w:left="677"/>
        <w:jc w:val="both"/>
        <w:rPr>
          <w:lang w:val="sr-Latn-RS"/>
        </w:rPr>
      </w:pPr>
      <w:r w:rsidRPr="00580C63">
        <w:rPr>
          <w:lang w:val="sr-Latn-RS"/>
        </w:rPr>
        <w:t>1. ciklus, 8. dan: 2 mg</w:t>
      </w:r>
    </w:p>
    <w:p w14:paraId="0AD67576" w14:textId="77777777" w:rsidR="00596AC6" w:rsidRPr="00580C63" w:rsidRDefault="006658F1" w:rsidP="00A441B5">
      <w:pPr>
        <w:pStyle w:val="ListParagraph"/>
        <w:numPr>
          <w:ilvl w:val="0"/>
          <w:numId w:val="4"/>
        </w:numPr>
        <w:tabs>
          <w:tab w:val="left" w:pos="677"/>
          <w:tab w:val="left" w:pos="678"/>
        </w:tabs>
        <w:ind w:left="677"/>
        <w:jc w:val="both"/>
        <w:rPr>
          <w:lang w:val="sr-Latn-RS"/>
        </w:rPr>
      </w:pPr>
      <w:r w:rsidRPr="00580C63">
        <w:rPr>
          <w:lang w:val="sr-Latn-RS"/>
        </w:rPr>
        <w:t>1. ciklus, 15. dan: 60 mg</w:t>
      </w:r>
    </w:p>
    <w:p w14:paraId="6064DCF9" w14:textId="77777777" w:rsidR="00596AC6" w:rsidRPr="00580C63" w:rsidRDefault="006658F1" w:rsidP="00A441B5">
      <w:pPr>
        <w:pStyle w:val="ListParagraph"/>
        <w:numPr>
          <w:ilvl w:val="0"/>
          <w:numId w:val="4"/>
        </w:numPr>
        <w:tabs>
          <w:tab w:val="left" w:pos="677"/>
          <w:tab w:val="left" w:pos="678"/>
        </w:tabs>
        <w:ind w:left="677"/>
        <w:jc w:val="both"/>
        <w:rPr>
          <w:lang w:val="sr-Latn-RS"/>
        </w:rPr>
      </w:pPr>
      <w:r w:rsidRPr="00580C63">
        <w:rPr>
          <w:lang w:val="sr-Latn-RS"/>
        </w:rPr>
        <w:t>2. ciklus, 1. dan: 60 mg</w:t>
      </w:r>
    </w:p>
    <w:p w14:paraId="187E23A3" w14:textId="505712DD" w:rsidR="00596AC6" w:rsidRPr="00580C63" w:rsidRDefault="006658F1" w:rsidP="00A441B5">
      <w:pPr>
        <w:pStyle w:val="ListParagraph"/>
        <w:numPr>
          <w:ilvl w:val="0"/>
          <w:numId w:val="4"/>
        </w:numPr>
        <w:tabs>
          <w:tab w:val="left" w:pos="677"/>
          <w:tab w:val="left" w:pos="678"/>
        </w:tabs>
        <w:ind w:left="677"/>
        <w:jc w:val="both"/>
        <w:rPr>
          <w:lang w:val="sr-Latn-RS"/>
        </w:rPr>
      </w:pPr>
      <w:r w:rsidRPr="00580C63">
        <w:rPr>
          <w:lang w:val="sr-Latn-RS"/>
        </w:rPr>
        <w:t>3. ciklus i ciklusi posl</w:t>
      </w:r>
      <w:r w:rsidR="00833B31" w:rsidRPr="00580C63">
        <w:rPr>
          <w:lang w:val="sr-Latn-RS"/>
        </w:rPr>
        <w:t>ij</w:t>
      </w:r>
      <w:r w:rsidRPr="00580C63">
        <w:rPr>
          <w:lang w:val="sr-Latn-RS"/>
        </w:rPr>
        <w:t>e njega, 1. dan: 30 mg</w:t>
      </w:r>
    </w:p>
    <w:p w14:paraId="3A29DC43" w14:textId="77777777" w:rsidR="00596AC6" w:rsidRPr="00580C63" w:rsidRDefault="00596AC6" w:rsidP="00A441B5">
      <w:pPr>
        <w:pStyle w:val="BodyText"/>
        <w:jc w:val="both"/>
        <w:rPr>
          <w:lang w:val="sr-Latn-RS"/>
        </w:rPr>
      </w:pPr>
    </w:p>
    <w:p w14:paraId="72F3CB15" w14:textId="212F8EB0" w:rsidR="00596AC6" w:rsidRPr="00580C63" w:rsidRDefault="001C6277">
      <w:pPr>
        <w:pStyle w:val="BodyText"/>
        <w:jc w:val="both"/>
        <w:rPr>
          <w:lang w:val="sr-Latn-RS"/>
        </w:rPr>
      </w:pPr>
      <w:r w:rsidRPr="00580C63">
        <w:rPr>
          <w:lang w:val="sr-Latn-RS"/>
        </w:rPr>
        <w:t>Medijana</w:t>
      </w:r>
      <w:r w:rsidR="006658F1" w:rsidRPr="00580C63">
        <w:rPr>
          <w:lang w:val="sr-Latn-RS"/>
        </w:rPr>
        <w:t xml:space="preserve"> broj</w:t>
      </w:r>
      <w:r w:rsidRPr="00580C63">
        <w:rPr>
          <w:lang w:val="sr-Latn-RS"/>
        </w:rPr>
        <w:t>a</w:t>
      </w:r>
      <w:r w:rsidR="006658F1" w:rsidRPr="00580C63">
        <w:rPr>
          <w:lang w:val="sr-Latn-RS"/>
        </w:rPr>
        <w:t xml:space="preserve"> prim</w:t>
      </w:r>
      <w:r w:rsidR="00EB442B" w:rsidRPr="00580C63">
        <w:rPr>
          <w:lang w:val="sr-Latn-RS"/>
        </w:rPr>
        <w:t>i</w:t>
      </w:r>
      <w:r w:rsidR="00833B31" w:rsidRPr="00580C63">
        <w:rPr>
          <w:lang w:val="sr-Latn-RS"/>
        </w:rPr>
        <w:t>j</w:t>
      </w:r>
      <w:r w:rsidR="006658F1" w:rsidRPr="00580C63">
        <w:rPr>
          <w:lang w:val="sr-Latn-RS"/>
        </w:rPr>
        <w:t>enjenih ciklusa bi</w:t>
      </w:r>
      <w:r w:rsidRPr="00580C63">
        <w:rPr>
          <w:lang w:val="sr-Latn-RS"/>
        </w:rPr>
        <w:t>la</w:t>
      </w:r>
      <w:r w:rsidR="006658F1" w:rsidRPr="00580C63">
        <w:rPr>
          <w:lang w:val="sr-Latn-RS"/>
        </w:rPr>
        <w:t xml:space="preserve"> je 8, pri čemu je 59% pacijenata primalo terapiju 8 ciklusa, a 18% pacijenata je primalo terapiju više od 8 ciklusa, sve do 17 ciklusa.</w:t>
      </w:r>
    </w:p>
    <w:p w14:paraId="0DC2CF2E" w14:textId="77777777" w:rsidR="00596AC6" w:rsidRPr="00580C63" w:rsidRDefault="00596AC6">
      <w:pPr>
        <w:pStyle w:val="BodyText"/>
        <w:jc w:val="both"/>
        <w:rPr>
          <w:lang w:val="sr-Latn-RS"/>
        </w:rPr>
      </w:pPr>
    </w:p>
    <w:p w14:paraId="6D3EAE73" w14:textId="6B0D0339" w:rsidR="00596AC6" w:rsidRPr="00580C63" w:rsidRDefault="001C6277">
      <w:pPr>
        <w:pStyle w:val="BodyText"/>
        <w:jc w:val="both"/>
        <w:rPr>
          <w:lang w:val="sr-Latn-RS"/>
        </w:rPr>
      </w:pPr>
      <w:r w:rsidRPr="00580C63">
        <w:rPr>
          <w:lang w:val="sr-Latn-RS"/>
        </w:rPr>
        <w:t xml:space="preserve">Medijana </w:t>
      </w:r>
      <w:r w:rsidR="006658F1" w:rsidRPr="00580C63">
        <w:rPr>
          <w:lang w:val="sr-Latn-RS"/>
        </w:rPr>
        <w:t>starost</w:t>
      </w:r>
      <w:r w:rsidRPr="00580C63">
        <w:rPr>
          <w:lang w:val="sr-Latn-RS"/>
        </w:rPr>
        <w:t>i</w:t>
      </w:r>
      <w:r w:rsidR="006658F1" w:rsidRPr="00580C63">
        <w:rPr>
          <w:lang w:val="sr-Latn-RS"/>
        </w:rPr>
        <w:t xml:space="preserve"> pacijenata </w:t>
      </w:r>
      <w:r w:rsidRPr="00580C63">
        <w:rPr>
          <w:lang w:val="sr-Latn-RS"/>
        </w:rPr>
        <w:t xml:space="preserve">iznosila </w:t>
      </w:r>
      <w:r w:rsidR="006658F1" w:rsidRPr="00580C63">
        <w:rPr>
          <w:lang w:val="sr-Latn-RS"/>
        </w:rPr>
        <w:t>je 60 godina (u rasponu od 29 do 90 godina), pri čemu je 31% pacijenata imalo &gt; 65 godina, a 7,8% njih ≥75 godina. Bilo je 61% muškaraca, 82% belaca, 9% Azijata, 4% crnaca, 100% je imalo funkcionalni status 0 ili 1 prema ECOG, a 34% pacijenata je imalo veliku masu tumorske bolesti (najmanje jedna lezija veličine &gt; 6 cm). Medijana broja prethodnih terapija bila je 3 (raspon: 2–10), pri čemu je 38% pacijenata primilo 2 prethodne terapije, 31% pacijenata je primilo 3 prethodne terapije i 31% njih je primilo više od 3 prethodne terapije.</w:t>
      </w:r>
    </w:p>
    <w:p w14:paraId="18B764F2" w14:textId="77777777" w:rsidR="00596AC6" w:rsidRPr="00580C63" w:rsidRDefault="00596AC6" w:rsidP="00A441B5">
      <w:pPr>
        <w:pStyle w:val="BodyText"/>
        <w:jc w:val="both"/>
        <w:rPr>
          <w:lang w:val="sr-Latn-RS"/>
        </w:rPr>
      </w:pPr>
    </w:p>
    <w:p w14:paraId="4EA8526F" w14:textId="30123838" w:rsidR="00596AC6" w:rsidRPr="00580C63" w:rsidRDefault="006658F1">
      <w:pPr>
        <w:pStyle w:val="BodyText"/>
        <w:jc w:val="both"/>
        <w:rPr>
          <w:lang w:val="sr-Latn-RS"/>
        </w:rPr>
      </w:pPr>
      <w:r w:rsidRPr="00580C63">
        <w:rPr>
          <w:lang w:val="sr-Latn-RS"/>
        </w:rPr>
        <w:t xml:space="preserve">Svi pacijenti su prethodno primali anti-CD20 i alkilatorsku terapiju, 21% je primilo transplantaciju autolognih matičnih ćelija, 19% je primalo PI3K inhibitore, 9% je primalo prethodnu terapiju rituksimabom plus lenalidomidom, a 3% je primalo CAR-T terapije. </w:t>
      </w:r>
      <w:r w:rsidR="001C6277" w:rsidRPr="00580C63">
        <w:rPr>
          <w:lang w:val="sr-Latn-RS"/>
        </w:rPr>
        <w:t>Sedamdeset i devet posto (</w:t>
      </w:r>
      <w:r w:rsidRPr="00580C63">
        <w:rPr>
          <w:lang w:val="sr-Latn-RS"/>
        </w:rPr>
        <w:t>79%</w:t>
      </w:r>
      <w:r w:rsidR="001C6277" w:rsidRPr="00580C63">
        <w:rPr>
          <w:lang w:val="sr-Latn-RS"/>
        </w:rPr>
        <w:t>)</w:t>
      </w:r>
      <w:r w:rsidRPr="00580C63">
        <w:rPr>
          <w:lang w:val="sr-Latn-RS"/>
        </w:rPr>
        <w:t xml:space="preserve"> pacijenata je bilo refraktorno na prethodnu terapiju anti-CD20 monoklonskim antit</w:t>
      </w:r>
      <w:r w:rsidR="00833B31" w:rsidRPr="00580C63">
        <w:rPr>
          <w:lang w:val="sr-Latn-RS"/>
        </w:rPr>
        <w:t>ij</w:t>
      </w:r>
      <w:r w:rsidRPr="00580C63">
        <w:rPr>
          <w:lang w:val="sr-Latn-RS"/>
        </w:rPr>
        <w:t>elima, a 53% je bilo refraktorno i na anti-CD20 monoklonsko antit</w:t>
      </w:r>
      <w:r w:rsidR="00833B31" w:rsidRPr="00580C63">
        <w:rPr>
          <w:lang w:val="sr-Latn-RS"/>
        </w:rPr>
        <w:t>ij</w:t>
      </w:r>
      <w:r w:rsidRPr="00580C63">
        <w:rPr>
          <w:lang w:val="sr-Latn-RS"/>
        </w:rPr>
        <w:t>el</w:t>
      </w:r>
      <w:r w:rsidR="00506CC6">
        <w:rPr>
          <w:lang w:val="sr-Latn-RS"/>
        </w:rPr>
        <w:t>o</w:t>
      </w:r>
      <w:r w:rsidRPr="00580C63">
        <w:rPr>
          <w:lang w:val="sr-Latn-RS"/>
        </w:rPr>
        <w:t xml:space="preserve"> i na terapiju alkilatorom. </w:t>
      </w:r>
      <w:r w:rsidR="00EF6A67" w:rsidRPr="00580C63">
        <w:rPr>
          <w:lang w:val="sr-Latn-RS"/>
        </w:rPr>
        <w:t>Šezdeset i devet posto (</w:t>
      </w:r>
      <w:r w:rsidRPr="00580C63">
        <w:rPr>
          <w:lang w:val="sr-Latn-RS"/>
        </w:rPr>
        <w:t>69%</w:t>
      </w:r>
      <w:r w:rsidR="00EF6A67" w:rsidRPr="00580C63">
        <w:rPr>
          <w:lang w:val="sr-Latn-RS"/>
        </w:rPr>
        <w:t>)</w:t>
      </w:r>
      <w:r w:rsidRPr="00580C63">
        <w:rPr>
          <w:lang w:val="sr-Latn-RS"/>
        </w:rPr>
        <w:t xml:space="preserve"> pacijenata bilo je refraktorno na posl</w:t>
      </w:r>
      <w:r w:rsidR="00EB442B" w:rsidRPr="00580C63">
        <w:rPr>
          <w:lang w:val="sr-Latn-RS"/>
        </w:rPr>
        <w:t>j</w:t>
      </w:r>
      <w:r w:rsidRPr="00580C63">
        <w:rPr>
          <w:lang w:val="sr-Latn-RS"/>
        </w:rPr>
        <w:t>ednju pr</w:t>
      </w:r>
      <w:r w:rsidR="00506CC6">
        <w:rPr>
          <w:lang w:val="sr-Latn-RS"/>
        </w:rPr>
        <w:t>imijenjenu</w:t>
      </w:r>
      <w:r w:rsidRPr="00580C63">
        <w:rPr>
          <w:lang w:val="sr-Latn-RS"/>
        </w:rPr>
        <w:t xml:space="preserve"> terapiju, a 52% je imalo progresiju bolesti u roku od 24 m</w:t>
      </w:r>
      <w:r w:rsidR="0083711F" w:rsidRPr="00580C63">
        <w:rPr>
          <w:lang w:val="sr-Latn-RS"/>
        </w:rPr>
        <w:t>j</w:t>
      </w:r>
      <w:r w:rsidRPr="00580C63">
        <w:rPr>
          <w:lang w:val="sr-Latn-RS"/>
        </w:rPr>
        <w:t>eseca od prve sistemske terapije.</w:t>
      </w:r>
    </w:p>
    <w:p w14:paraId="2A6F40D8" w14:textId="77777777" w:rsidR="00596AC6" w:rsidRPr="00580C63" w:rsidRDefault="00596AC6">
      <w:pPr>
        <w:pStyle w:val="BodyText"/>
        <w:jc w:val="both"/>
        <w:rPr>
          <w:lang w:val="sr-Latn-RS"/>
        </w:rPr>
      </w:pPr>
    </w:p>
    <w:p w14:paraId="0917741E" w14:textId="17E42178" w:rsidR="00596AC6" w:rsidRPr="00580C63" w:rsidRDefault="006658F1">
      <w:pPr>
        <w:pStyle w:val="BodyText"/>
        <w:jc w:val="both"/>
        <w:rPr>
          <w:lang w:val="sr-Latn-RS"/>
        </w:rPr>
      </w:pPr>
      <w:r w:rsidRPr="00580C63">
        <w:rPr>
          <w:lang w:val="sr-Latn-RS"/>
        </w:rPr>
        <w:t>Primarn</w:t>
      </w:r>
      <w:r w:rsidR="00506CC6">
        <w:rPr>
          <w:lang w:val="sr-Latn-RS"/>
        </w:rPr>
        <w:t>i parametar praćenja</w:t>
      </w:r>
      <w:r w:rsidRPr="00580C63">
        <w:rPr>
          <w:lang w:val="sr-Latn-RS"/>
        </w:rPr>
        <w:t xml:space="preserve"> efikasnosti bi</w:t>
      </w:r>
      <w:r w:rsidR="00506CC6">
        <w:rPr>
          <w:lang w:val="sr-Latn-RS"/>
        </w:rPr>
        <w:t>o</w:t>
      </w:r>
      <w:r w:rsidRPr="00580C63">
        <w:rPr>
          <w:lang w:val="sr-Latn-RS"/>
        </w:rPr>
        <w:t xml:space="preserve"> je potpuni odgovor (CR) proc</w:t>
      </w:r>
      <w:r w:rsidR="00833B31" w:rsidRPr="00580C63">
        <w:rPr>
          <w:lang w:val="sr-Latn-RS"/>
        </w:rPr>
        <w:t>ij</w:t>
      </w:r>
      <w:r w:rsidRPr="00580C63">
        <w:rPr>
          <w:lang w:val="sr-Latn-RS"/>
        </w:rPr>
        <w:t>enjen od strane nezavisnog oc</w:t>
      </w:r>
      <w:r w:rsidR="00EB442B" w:rsidRPr="00580C63">
        <w:rPr>
          <w:lang w:val="sr-Latn-RS"/>
        </w:rPr>
        <w:t>j</w:t>
      </w:r>
      <w:r w:rsidRPr="00580C63">
        <w:rPr>
          <w:lang w:val="sr-Latn-RS"/>
        </w:rPr>
        <w:t>enjivačkog t</w:t>
      </w:r>
      <w:r w:rsidR="0083711F" w:rsidRPr="00580C63">
        <w:rPr>
          <w:lang w:val="sr-Latn-RS"/>
        </w:rPr>
        <w:t>ij</w:t>
      </w:r>
      <w:r w:rsidRPr="00580C63">
        <w:rPr>
          <w:lang w:val="sr-Latn-RS"/>
        </w:rPr>
        <w:t>ela (IRF) prema standardnim kriterijumima za NHL (Cheson 2007). Kratak pregled rezultata efikasnosti dat je u tabeli 5.</w:t>
      </w:r>
    </w:p>
    <w:p w14:paraId="101763CC" w14:textId="77777777" w:rsidR="004855EC" w:rsidRPr="00580C63" w:rsidRDefault="004855EC" w:rsidP="00A441B5">
      <w:pPr>
        <w:pStyle w:val="BodyText"/>
        <w:ind w:left="111" w:right="559"/>
        <w:jc w:val="both"/>
        <w:rPr>
          <w:lang w:val="sr-Latn-RS"/>
        </w:rPr>
      </w:pPr>
    </w:p>
    <w:p w14:paraId="7B9E2C05" w14:textId="512E66E9" w:rsidR="00596AC6" w:rsidRPr="00580C63" w:rsidRDefault="006658F1" w:rsidP="00A441B5">
      <w:pPr>
        <w:pStyle w:val="Heading1"/>
        <w:spacing w:before="79"/>
        <w:ind w:left="111" w:firstLine="0"/>
        <w:jc w:val="both"/>
        <w:rPr>
          <w:lang w:val="sr-Latn-RS"/>
        </w:rPr>
      </w:pPr>
      <w:r w:rsidRPr="00580C63">
        <w:rPr>
          <w:lang w:val="sr-Latn-RS"/>
        </w:rPr>
        <w:t xml:space="preserve">Tabela 5 </w:t>
      </w:r>
      <w:r w:rsidR="00FE7988" w:rsidRPr="00580C63">
        <w:rPr>
          <w:lang w:val="sr-Latn-RS"/>
        </w:rPr>
        <w:t xml:space="preserve"> </w:t>
      </w:r>
      <w:r w:rsidRPr="00580C63">
        <w:rPr>
          <w:lang w:val="sr-Latn-RS"/>
        </w:rPr>
        <w:t>Kratak pregled efikasnosti kod pacijenata sa ek</w:t>
      </w:r>
      <w:r w:rsidR="004855EC" w:rsidRPr="00580C63">
        <w:rPr>
          <w:lang w:val="sr-Latn-RS"/>
        </w:rPr>
        <w:t>spresijom relapsnim / refraktorni</w:t>
      </w:r>
      <w:r w:rsidRPr="00580C63">
        <w:rPr>
          <w:lang w:val="sr-Latn-RS"/>
        </w:rPr>
        <w:t>m FL</w:t>
      </w:r>
    </w:p>
    <w:p w14:paraId="7E0BC1C9" w14:textId="77777777" w:rsidR="00596AC6" w:rsidRPr="00580C63" w:rsidRDefault="00596AC6" w:rsidP="00A441B5">
      <w:pPr>
        <w:pStyle w:val="BodyText"/>
        <w:jc w:val="both"/>
        <w:rPr>
          <w:b/>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0"/>
        <w:gridCol w:w="4282"/>
      </w:tblGrid>
      <w:tr w:rsidR="00596AC6" w:rsidRPr="00580C63" w14:paraId="2961CF2F" w14:textId="77777777" w:rsidTr="008868CF">
        <w:trPr>
          <w:trHeight w:val="580"/>
        </w:trPr>
        <w:tc>
          <w:tcPr>
            <w:tcW w:w="2671" w:type="pct"/>
          </w:tcPr>
          <w:p w14:paraId="24163388" w14:textId="77777777" w:rsidR="00596AC6" w:rsidRPr="00580C63" w:rsidRDefault="006658F1" w:rsidP="00A441B5">
            <w:pPr>
              <w:pStyle w:val="TableParagraph"/>
              <w:spacing w:before="36"/>
              <w:ind w:left="56"/>
              <w:jc w:val="both"/>
              <w:rPr>
                <w:b/>
                <w:lang w:val="sr-Latn-RS"/>
              </w:rPr>
            </w:pPr>
            <w:r w:rsidRPr="00580C63">
              <w:rPr>
                <w:b/>
                <w:bCs/>
                <w:lang w:val="sr-Latn-RS"/>
              </w:rPr>
              <w:t>Parametar efikasnosti</w:t>
            </w:r>
          </w:p>
        </w:tc>
        <w:tc>
          <w:tcPr>
            <w:tcW w:w="2329" w:type="pct"/>
          </w:tcPr>
          <w:p w14:paraId="02C3B776" w14:textId="77777777" w:rsidR="00596AC6" w:rsidRPr="00580C63" w:rsidRDefault="006658F1" w:rsidP="00A441B5">
            <w:pPr>
              <w:pStyle w:val="TableParagraph"/>
              <w:spacing w:before="47" w:line="228" w:lineRule="auto"/>
              <w:ind w:left="56" w:right="1310"/>
              <w:jc w:val="both"/>
              <w:rPr>
                <w:b/>
                <w:lang w:val="sr-Latn-RS"/>
              </w:rPr>
            </w:pPr>
            <w:r w:rsidRPr="00580C63">
              <w:rPr>
                <w:b/>
                <w:bCs/>
                <w:lang w:val="sr-Latn-RS"/>
              </w:rPr>
              <w:t>Lunsumio N=90</w:t>
            </w:r>
          </w:p>
        </w:tc>
      </w:tr>
      <w:tr w:rsidR="00596AC6" w:rsidRPr="00580C63" w14:paraId="06C138A4" w14:textId="77777777" w:rsidTr="008868CF">
        <w:trPr>
          <w:trHeight w:val="385"/>
        </w:trPr>
        <w:tc>
          <w:tcPr>
            <w:tcW w:w="5000" w:type="pct"/>
            <w:gridSpan w:val="2"/>
          </w:tcPr>
          <w:p w14:paraId="28560316" w14:textId="33A87DD7" w:rsidR="00596AC6" w:rsidRPr="00580C63" w:rsidRDefault="006658F1" w:rsidP="00A441B5">
            <w:pPr>
              <w:pStyle w:val="TableParagraph"/>
              <w:spacing w:before="36"/>
              <w:ind w:left="1847" w:right="1838"/>
              <w:jc w:val="both"/>
              <w:rPr>
                <w:lang w:val="sr-Latn-RS"/>
              </w:rPr>
            </w:pPr>
            <w:r w:rsidRPr="00580C63">
              <w:rPr>
                <w:lang w:val="sr-Latn-RS"/>
              </w:rPr>
              <w:t>Medijana vremena opservacije 18,3 m</w:t>
            </w:r>
            <w:r w:rsidR="0083711F" w:rsidRPr="00580C63">
              <w:rPr>
                <w:lang w:val="sr-Latn-RS"/>
              </w:rPr>
              <w:t>j</w:t>
            </w:r>
            <w:r w:rsidRPr="00580C63">
              <w:rPr>
                <w:lang w:val="sr-Latn-RS"/>
              </w:rPr>
              <w:t xml:space="preserve">eseca (opseg 2–27 </w:t>
            </w:r>
            <w:r w:rsidR="00833B31" w:rsidRPr="00580C63">
              <w:rPr>
                <w:lang w:val="sr-Latn-RS"/>
              </w:rPr>
              <w:t>mjeseci</w:t>
            </w:r>
            <w:r w:rsidRPr="00580C63">
              <w:rPr>
                <w:lang w:val="sr-Latn-RS"/>
              </w:rPr>
              <w:t>)</w:t>
            </w:r>
          </w:p>
        </w:tc>
      </w:tr>
      <w:tr w:rsidR="00596AC6" w:rsidRPr="00580C63" w14:paraId="56574868" w14:textId="77777777" w:rsidTr="008868CF">
        <w:trPr>
          <w:trHeight w:val="287"/>
        </w:trPr>
        <w:tc>
          <w:tcPr>
            <w:tcW w:w="2671" w:type="pct"/>
            <w:tcBorders>
              <w:bottom w:val="nil"/>
            </w:tcBorders>
          </w:tcPr>
          <w:p w14:paraId="3DA6904B" w14:textId="77777777" w:rsidR="00596AC6" w:rsidRPr="00580C63" w:rsidRDefault="006658F1" w:rsidP="00A441B5">
            <w:pPr>
              <w:pStyle w:val="TableParagraph"/>
              <w:spacing w:before="36" w:line="231" w:lineRule="exact"/>
              <w:ind w:left="56"/>
              <w:jc w:val="both"/>
              <w:rPr>
                <w:lang w:val="sr-Latn-RS"/>
              </w:rPr>
            </w:pPr>
            <w:r w:rsidRPr="00580C63">
              <w:rPr>
                <w:b/>
                <w:bCs/>
                <w:lang w:val="sr-Latn-RS"/>
              </w:rPr>
              <w:t xml:space="preserve">Kompletan odgovor (CR), </w:t>
            </w:r>
            <w:r w:rsidRPr="00580C63">
              <w:rPr>
                <w:lang w:val="sr-Latn-RS"/>
              </w:rPr>
              <w:t>n (%),</w:t>
            </w:r>
          </w:p>
        </w:tc>
        <w:tc>
          <w:tcPr>
            <w:tcW w:w="2329" w:type="pct"/>
            <w:tcBorders>
              <w:bottom w:val="nil"/>
            </w:tcBorders>
          </w:tcPr>
          <w:p w14:paraId="39FA673C" w14:textId="77777777" w:rsidR="00596AC6" w:rsidRPr="00580C63" w:rsidRDefault="006658F1" w:rsidP="00A441B5">
            <w:pPr>
              <w:pStyle w:val="TableParagraph"/>
              <w:spacing w:before="36" w:line="231" w:lineRule="exact"/>
              <w:ind w:left="1322" w:right="1312"/>
              <w:jc w:val="both"/>
              <w:rPr>
                <w:lang w:val="sr-Latn-RS"/>
              </w:rPr>
            </w:pPr>
            <w:r w:rsidRPr="00580C63">
              <w:rPr>
                <w:lang w:val="sr-Latn-RS"/>
              </w:rPr>
              <w:t>54 (60,0)</w:t>
            </w:r>
          </w:p>
        </w:tc>
      </w:tr>
      <w:tr w:rsidR="00596AC6" w:rsidRPr="00580C63" w14:paraId="403E008C" w14:textId="77777777" w:rsidTr="008868CF">
        <w:trPr>
          <w:trHeight w:val="342"/>
        </w:trPr>
        <w:tc>
          <w:tcPr>
            <w:tcW w:w="2671" w:type="pct"/>
            <w:tcBorders>
              <w:top w:val="nil"/>
            </w:tcBorders>
          </w:tcPr>
          <w:p w14:paraId="6D818EED" w14:textId="77777777" w:rsidR="00596AC6" w:rsidRPr="00580C63" w:rsidRDefault="006658F1" w:rsidP="00A441B5">
            <w:pPr>
              <w:pStyle w:val="TableParagraph"/>
              <w:spacing w:line="242" w:lineRule="exact"/>
              <w:ind w:left="56"/>
              <w:jc w:val="both"/>
              <w:rPr>
                <w:lang w:val="sr-Latn-RS"/>
              </w:rPr>
            </w:pPr>
            <w:r w:rsidRPr="00580C63">
              <w:rPr>
                <w:lang w:val="sr-Latn-RS"/>
              </w:rPr>
              <w:t>(95% CI)</w:t>
            </w:r>
          </w:p>
        </w:tc>
        <w:tc>
          <w:tcPr>
            <w:tcW w:w="2329" w:type="pct"/>
            <w:tcBorders>
              <w:top w:val="nil"/>
            </w:tcBorders>
          </w:tcPr>
          <w:p w14:paraId="1E550F70" w14:textId="77777777" w:rsidR="00596AC6" w:rsidRPr="00580C63" w:rsidRDefault="006658F1" w:rsidP="00A441B5">
            <w:pPr>
              <w:pStyle w:val="TableParagraph"/>
              <w:spacing w:before="39"/>
              <w:ind w:left="1322" w:right="1312"/>
              <w:jc w:val="both"/>
              <w:rPr>
                <w:lang w:val="sr-Latn-RS"/>
              </w:rPr>
            </w:pPr>
            <w:r w:rsidRPr="00580C63">
              <w:rPr>
                <w:lang w:val="sr-Latn-RS"/>
              </w:rPr>
              <w:t>(49,1, 70,2)</w:t>
            </w:r>
          </w:p>
        </w:tc>
      </w:tr>
      <w:tr w:rsidR="00596AC6" w:rsidRPr="00580C63" w14:paraId="0F026677" w14:textId="77777777" w:rsidTr="008868CF">
        <w:trPr>
          <w:trHeight w:val="312"/>
        </w:trPr>
        <w:tc>
          <w:tcPr>
            <w:tcW w:w="2671" w:type="pct"/>
            <w:tcBorders>
              <w:bottom w:val="nil"/>
            </w:tcBorders>
          </w:tcPr>
          <w:p w14:paraId="25A7D1EE" w14:textId="77777777" w:rsidR="00596AC6" w:rsidRPr="00580C63" w:rsidRDefault="006658F1" w:rsidP="00A441B5">
            <w:pPr>
              <w:pStyle w:val="TableParagraph"/>
              <w:spacing w:before="36"/>
              <w:ind w:left="56"/>
              <w:jc w:val="both"/>
              <w:rPr>
                <w:lang w:val="sr-Latn-RS"/>
              </w:rPr>
            </w:pPr>
            <w:r w:rsidRPr="00580C63">
              <w:rPr>
                <w:b/>
                <w:bCs/>
                <w:lang w:val="sr-Latn-RS"/>
              </w:rPr>
              <w:t xml:space="preserve">Stopa objektivnog odgovora (ORR), </w:t>
            </w:r>
            <w:r w:rsidRPr="00580C63">
              <w:rPr>
                <w:lang w:val="sr-Latn-RS"/>
              </w:rPr>
              <w:t>n (%)</w:t>
            </w:r>
          </w:p>
        </w:tc>
        <w:tc>
          <w:tcPr>
            <w:tcW w:w="2329" w:type="pct"/>
            <w:tcBorders>
              <w:bottom w:val="nil"/>
            </w:tcBorders>
          </w:tcPr>
          <w:p w14:paraId="322D4D7C" w14:textId="77777777" w:rsidR="00596AC6" w:rsidRPr="00580C63" w:rsidRDefault="006658F1" w:rsidP="00A441B5">
            <w:pPr>
              <w:pStyle w:val="TableParagraph"/>
              <w:spacing w:before="36"/>
              <w:ind w:left="1322" w:right="1312"/>
              <w:jc w:val="both"/>
              <w:rPr>
                <w:lang w:val="sr-Latn-RS"/>
              </w:rPr>
            </w:pPr>
            <w:r w:rsidRPr="00580C63">
              <w:rPr>
                <w:lang w:val="sr-Latn-RS"/>
              </w:rPr>
              <w:t>72 (80,0)</w:t>
            </w:r>
          </w:p>
        </w:tc>
      </w:tr>
      <w:tr w:rsidR="00596AC6" w:rsidRPr="00580C63" w14:paraId="07D1A72F" w14:textId="77777777" w:rsidTr="008868CF">
        <w:trPr>
          <w:trHeight w:val="321"/>
        </w:trPr>
        <w:tc>
          <w:tcPr>
            <w:tcW w:w="2671" w:type="pct"/>
            <w:tcBorders>
              <w:top w:val="nil"/>
              <w:bottom w:val="nil"/>
            </w:tcBorders>
          </w:tcPr>
          <w:p w14:paraId="6A21A397" w14:textId="77777777" w:rsidR="00596AC6" w:rsidRPr="00580C63" w:rsidRDefault="006658F1" w:rsidP="00A441B5">
            <w:pPr>
              <w:pStyle w:val="TableParagraph"/>
              <w:spacing w:before="14"/>
              <w:ind w:left="56"/>
              <w:jc w:val="both"/>
              <w:rPr>
                <w:lang w:val="sr-Latn-RS"/>
              </w:rPr>
            </w:pPr>
            <w:r w:rsidRPr="00580C63">
              <w:rPr>
                <w:lang w:val="sr-Latn-RS"/>
              </w:rPr>
              <w:t>(95% CI)</w:t>
            </w:r>
          </w:p>
        </w:tc>
        <w:tc>
          <w:tcPr>
            <w:tcW w:w="2329" w:type="pct"/>
            <w:tcBorders>
              <w:top w:val="nil"/>
              <w:bottom w:val="nil"/>
            </w:tcBorders>
          </w:tcPr>
          <w:p w14:paraId="278DD92F" w14:textId="77777777" w:rsidR="00596AC6" w:rsidRPr="00580C63" w:rsidRDefault="006658F1" w:rsidP="00A441B5">
            <w:pPr>
              <w:pStyle w:val="TableParagraph"/>
              <w:spacing w:before="27"/>
              <w:ind w:left="1322" w:right="1312"/>
              <w:jc w:val="both"/>
              <w:rPr>
                <w:lang w:val="sr-Latn-RS"/>
              </w:rPr>
            </w:pPr>
            <w:r w:rsidRPr="00580C63">
              <w:rPr>
                <w:lang w:val="sr-Latn-RS"/>
              </w:rPr>
              <w:t>(70,3, 87,7)</w:t>
            </w:r>
          </w:p>
        </w:tc>
      </w:tr>
      <w:tr w:rsidR="00596AC6" w:rsidRPr="00580C63" w14:paraId="51DC5A7A" w14:textId="77777777" w:rsidTr="008868CF">
        <w:trPr>
          <w:trHeight w:val="333"/>
        </w:trPr>
        <w:tc>
          <w:tcPr>
            <w:tcW w:w="2671" w:type="pct"/>
            <w:tcBorders>
              <w:top w:val="nil"/>
              <w:bottom w:val="nil"/>
            </w:tcBorders>
          </w:tcPr>
          <w:p w14:paraId="11077804" w14:textId="40916545" w:rsidR="00596AC6" w:rsidRPr="00580C63" w:rsidRDefault="0083711F" w:rsidP="00A441B5">
            <w:pPr>
              <w:pStyle w:val="TableParagraph"/>
              <w:spacing w:before="32"/>
              <w:ind w:left="201"/>
              <w:jc w:val="both"/>
              <w:rPr>
                <w:lang w:val="sr-Latn-RS"/>
              </w:rPr>
            </w:pPr>
            <w:r w:rsidRPr="00580C63">
              <w:rPr>
                <w:lang w:val="sr-Latn-RS"/>
              </w:rPr>
              <w:t>Djel</w:t>
            </w:r>
            <w:r w:rsidR="006658F1" w:rsidRPr="00580C63">
              <w:rPr>
                <w:lang w:val="sr-Latn-RS"/>
              </w:rPr>
              <w:t>imičan odgovor (PR) n</w:t>
            </w:r>
            <w:r w:rsidR="00CA7089" w:rsidRPr="00580C63">
              <w:rPr>
                <w:lang w:val="sr-Latn-RS"/>
              </w:rPr>
              <w:t xml:space="preserve"> </w:t>
            </w:r>
            <w:r w:rsidR="006658F1" w:rsidRPr="00580C63">
              <w:rPr>
                <w:lang w:val="sr-Latn-RS"/>
              </w:rPr>
              <w:t>(%)</w:t>
            </w:r>
          </w:p>
        </w:tc>
        <w:tc>
          <w:tcPr>
            <w:tcW w:w="2329" w:type="pct"/>
            <w:tcBorders>
              <w:top w:val="nil"/>
              <w:bottom w:val="nil"/>
            </w:tcBorders>
          </w:tcPr>
          <w:p w14:paraId="6693DEEF" w14:textId="77777777" w:rsidR="00596AC6" w:rsidRPr="00580C63" w:rsidRDefault="006658F1" w:rsidP="00A441B5">
            <w:pPr>
              <w:pStyle w:val="TableParagraph"/>
              <w:spacing w:before="32"/>
              <w:ind w:left="1322" w:right="1312"/>
              <w:jc w:val="both"/>
              <w:rPr>
                <w:lang w:val="sr-Latn-RS"/>
              </w:rPr>
            </w:pPr>
            <w:r w:rsidRPr="00580C63">
              <w:rPr>
                <w:lang w:val="sr-Latn-RS"/>
              </w:rPr>
              <w:t>18 (20,0)</w:t>
            </w:r>
          </w:p>
        </w:tc>
      </w:tr>
      <w:tr w:rsidR="00596AC6" w:rsidRPr="00580C63" w14:paraId="32AAA97C" w14:textId="77777777" w:rsidTr="008868CF">
        <w:trPr>
          <w:trHeight w:val="342"/>
        </w:trPr>
        <w:tc>
          <w:tcPr>
            <w:tcW w:w="2671" w:type="pct"/>
            <w:tcBorders>
              <w:top w:val="nil"/>
            </w:tcBorders>
          </w:tcPr>
          <w:p w14:paraId="0D87EA7E" w14:textId="77777777" w:rsidR="00596AC6" w:rsidRPr="00580C63" w:rsidRDefault="006658F1" w:rsidP="00A441B5">
            <w:pPr>
              <w:pStyle w:val="TableParagraph"/>
              <w:spacing w:before="39"/>
              <w:ind w:left="201"/>
              <w:jc w:val="both"/>
              <w:rPr>
                <w:lang w:val="sr-Latn-RS"/>
              </w:rPr>
            </w:pPr>
            <w:r w:rsidRPr="00580C63">
              <w:rPr>
                <w:lang w:val="sr-Latn-RS"/>
              </w:rPr>
              <w:t>(95% CI)</w:t>
            </w:r>
          </w:p>
        </w:tc>
        <w:tc>
          <w:tcPr>
            <w:tcW w:w="2329" w:type="pct"/>
            <w:tcBorders>
              <w:top w:val="nil"/>
            </w:tcBorders>
          </w:tcPr>
          <w:p w14:paraId="323B9407" w14:textId="77777777" w:rsidR="00596AC6" w:rsidRPr="00580C63" w:rsidRDefault="006658F1" w:rsidP="00A441B5">
            <w:pPr>
              <w:pStyle w:val="TableParagraph"/>
              <w:spacing w:before="39"/>
              <w:ind w:left="1322" w:right="1312"/>
              <w:jc w:val="both"/>
              <w:rPr>
                <w:lang w:val="sr-Latn-RS"/>
              </w:rPr>
            </w:pPr>
            <w:r w:rsidRPr="00580C63">
              <w:rPr>
                <w:lang w:val="sr-Latn-RS"/>
              </w:rPr>
              <w:t>(12,3, 29,8)</w:t>
            </w:r>
          </w:p>
        </w:tc>
      </w:tr>
      <w:tr w:rsidR="00596AC6" w:rsidRPr="00580C63" w14:paraId="07D15D16" w14:textId="77777777" w:rsidTr="008868CF">
        <w:trPr>
          <w:trHeight w:val="337"/>
        </w:trPr>
        <w:tc>
          <w:tcPr>
            <w:tcW w:w="2671" w:type="pct"/>
            <w:tcBorders>
              <w:bottom w:val="nil"/>
            </w:tcBorders>
          </w:tcPr>
          <w:p w14:paraId="5834C4D3" w14:textId="77777777" w:rsidR="00596AC6" w:rsidRPr="00580C63" w:rsidRDefault="006658F1" w:rsidP="00A441B5">
            <w:pPr>
              <w:pStyle w:val="TableParagraph"/>
              <w:spacing w:before="36"/>
              <w:ind w:left="56"/>
              <w:jc w:val="both"/>
              <w:rPr>
                <w:b/>
                <w:lang w:val="sr-Latn-RS"/>
              </w:rPr>
            </w:pPr>
            <w:r w:rsidRPr="00580C63">
              <w:rPr>
                <w:b/>
                <w:bCs/>
                <w:lang w:val="sr-Latn-RS"/>
              </w:rPr>
              <w:t>Trajanje odgovora (DOR)</w:t>
            </w:r>
            <w:r w:rsidRPr="00580C63">
              <w:rPr>
                <w:b/>
                <w:bCs/>
                <w:vertAlign w:val="superscript"/>
                <w:lang w:val="sr-Latn-RS"/>
              </w:rPr>
              <w:t>1</w:t>
            </w:r>
          </w:p>
        </w:tc>
        <w:tc>
          <w:tcPr>
            <w:tcW w:w="2329" w:type="pct"/>
            <w:tcBorders>
              <w:bottom w:val="nil"/>
            </w:tcBorders>
          </w:tcPr>
          <w:p w14:paraId="7B6FB721" w14:textId="77777777" w:rsidR="00596AC6" w:rsidRPr="00580C63" w:rsidRDefault="00596AC6" w:rsidP="00A441B5">
            <w:pPr>
              <w:pStyle w:val="TableParagraph"/>
              <w:ind w:left="0"/>
              <w:jc w:val="both"/>
              <w:rPr>
                <w:lang w:val="sr-Latn-RS"/>
              </w:rPr>
            </w:pPr>
          </w:p>
        </w:tc>
      </w:tr>
      <w:tr w:rsidR="00596AC6" w:rsidRPr="00580C63" w14:paraId="20DE49F7" w14:textId="77777777" w:rsidTr="008868CF">
        <w:trPr>
          <w:trHeight w:val="340"/>
        </w:trPr>
        <w:tc>
          <w:tcPr>
            <w:tcW w:w="2671" w:type="pct"/>
            <w:tcBorders>
              <w:top w:val="nil"/>
              <w:bottom w:val="nil"/>
            </w:tcBorders>
          </w:tcPr>
          <w:p w14:paraId="05ECBE48" w14:textId="77777777" w:rsidR="00596AC6" w:rsidRPr="00580C63" w:rsidRDefault="006658F1" w:rsidP="00A441B5">
            <w:pPr>
              <w:pStyle w:val="TableParagraph"/>
              <w:spacing w:before="39"/>
              <w:ind w:left="201"/>
              <w:jc w:val="both"/>
              <w:rPr>
                <w:lang w:val="sr-Latn-RS"/>
              </w:rPr>
            </w:pPr>
            <w:r w:rsidRPr="00580C63">
              <w:rPr>
                <w:lang w:val="sr-Latn-RS"/>
              </w:rPr>
              <w:t>Pacijenti sa događajem, n (%)</w:t>
            </w:r>
          </w:p>
        </w:tc>
        <w:tc>
          <w:tcPr>
            <w:tcW w:w="2329" w:type="pct"/>
            <w:tcBorders>
              <w:top w:val="nil"/>
              <w:bottom w:val="nil"/>
            </w:tcBorders>
          </w:tcPr>
          <w:p w14:paraId="664C86DA" w14:textId="77777777" w:rsidR="00596AC6" w:rsidRPr="00580C63" w:rsidRDefault="006658F1" w:rsidP="00A441B5">
            <w:pPr>
              <w:pStyle w:val="TableParagraph"/>
              <w:spacing w:before="39"/>
              <w:ind w:left="1322" w:right="1312"/>
              <w:jc w:val="both"/>
              <w:rPr>
                <w:lang w:val="sr-Latn-RS"/>
              </w:rPr>
            </w:pPr>
            <w:r w:rsidRPr="00580C63">
              <w:rPr>
                <w:lang w:val="sr-Latn-RS"/>
              </w:rPr>
              <w:t>29 (40,3)</w:t>
            </w:r>
          </w:p>
        </w:tc>
      </w:tr>
      <w:tr w:rsidR="00596AC6" w:rsidRPr="00580C63" w14:paraId="000620D4" w14:textId="77777777" w:rsidTr="008868CF">
        <w:trPr>
          <w:trHeight w:val="340"/>
        </w:trPr>
        <w:tc>
          <w:tcPr>
            <w:tcW w:w="2671" w:type="pct"/>
            <w:tcBorders>
              <w:top w:val="nil"/>
              <w:bottom w:val="nil"/>
            </w:tcBorders>
          </w:tcPr>
          <w:p w14:paraId="0AC84A5F" w14:textId="489A693C" w:rsidR="00596AC6" w:rsidRPr="00580C63" w:rsidRDefault="006658F1" w:rsidP="00A441B5">
            <w:pPr>
              <w:pStyle w:val="TableParagraph"/>
              <w:spacing w:before="39"/>
              <w:ind w:left="201"/>
              <w:jc w:val="both"/>
              <w:rPr>
                <w:lang w:val="sr-Latn-RS"/>
              </w:rPr>
            </w:pPr>
            <w:r w:rsidRPr="00580C63">
              <w:rPr>
                <w:lang w:val="sr-Latn-RS"/>
              </w:rPr>
              <w:t xml:space="preserve">Medijana, </w:t>
            </w:r>
            <w:r w:rsidR="00833B31" w:rsidRPr="00580C63">
              <w:rPr>
                <w:lang w:val="sr-Latn-RS"/>
              </w:rPr>
              <w:t>mjeseci</w:t>
            </w:r>
            <w:r w:rsidRPr="00580C63">
              <w:rPr>
                <w:lang w:val="sr-Latn-RS"/>
              </w:rPr>
              <w:t xml:space="preserve"> (95% CI)</w:t>
            </w:r>
          </w:p>
        </w:tc>
        <w:tc>
          <w:tcPr>
            <w:tcW w:w="2329" w:type="pct"/>
            <w:tcBorders>
              <w:top w:val="nil"/>
              <w:bottom w:val="nil"/>
            </w:tcBorders>
          </w:tcPr>
          <w:p w14:paraId="40D9D67C" w14:textId="77777777" w:rsidR="00596AC6" w:rsidRPr="00580C63" w:rsidRDefault="006658F1" w:rsidP="00A441B5">
            <w:pPr>
              <w:pStyle w:val="TableParagraph"/>
              <w:spacing w:before="39"/>
              <w:ind w:left="1322" w:right="1313"/>
              <w:jc w:val="both"/>
              <w:rPr>
                <w:lang w:val="sr-Latn-RS"/>
              </w:rPr>
            </w:pPr>
            <w:r w:rsidRPr="00580C63">
              <w:rPr>
                <w:lang w:val="sr-Latn-RS"/>
              </w:rPr>
              <w:t>22,8 (9,7, NR)</w:t>
            </w:r>
          </w:p>
        </w:tc>
      </w:tr>
      <w:tr w:rsidR="00596AC6" w:rsidRPr="00314AC9" w14:paraId="3978110B" w14:textId="77777777" w:rsidTr="008868CF">
        <w:trPr>
          <w:trHeight w:val="340"/>
        </w:trPr>
        <w:tc>
          <w:tcPr>
            <w:tcW w:w="2671" w:type="pct"/>
            <w:tcBorders>
              <w:top w:val="nil"/>
              <w:bottom w:val="nil"/>
            </w:tcBorders>
          </w:tcPr>
          <w:p w14:paraId="062606F6" w14:textId="77777777" w:rsidR="00596AC6" w:rsidRPr="00580C63" w:rsidRDefault="006658F1" w:rsidP="00A441B5">
            <w:pPr>
              <w:pStyle w:val="TableParagraph"/>
              <w:spacing w:before="39"/>
              <w:ind w:left="201"/>
              <w:jc w:val="both"/>
              <w:rPr>
                <w:lang w:val="sr-Latn-RS"/>
              </w:rPr>
            </w:pPr>
            <w:r w:rsidRPr="00580C63">
              <w:rPr>
                <w:lang w:val="sr-Latn-RS"/>
              </w:rPr>
              <w:t>K-M proporcija bez događaja</w:t>
            </w:r>
          </w:p>
        </w:tc>
        <w:tc>
          <w:tcPr>
            <w:tcW w:w="2329" w:type="pct"/>
            <w:tcBorders>
              <w:top w:val="nil"/>
              <w:bottom w:val="nil"/>
            </w:tcBorders>
          </w:tcPr>
          <w:p w14:paraId="7BE5C9B5" w14:textId="77777777" w:rsidR="00596AC6" w:rsidRPr="00580C63" w:rsidRDefault="00596AC6" w:rsidP="00A441B5">
            <w:pPr>
              <w:pStyle w:val="TableParagraph"/>
              <w:ind w:left="0"/>
              <w:jc w:val="both"/>
              <w:rPr>
                <w:lang w:val="sr-Latn-RS"/>
              </w:rPr>
            </w:pPr>
          </w:p>
        </w:tc>
      </w:tr>
      <w:tr w:rsidR="00596AC6" w:rsidRPr="00580C63" w14:paraId="38D753CF" w14:textId="77777777" w:rsidTr="008868CF">
        <w:trPr>
          <w:trHeight w:val="290"/>
        </w:trPr>
        <w:tc>
          <w:tcPr>
            <w:tcW w:w="2671" w:type="pct"/>
            <w:tcBorders>
              <w:top w:val="nil"/>
              <w:bottom w:val="nil"/>
            </w:tcBorders>
          </w:tcPr>
          <w:p w14:paraId="4E32B72D" w14:textId="05F3DF95" w:rsidR="00596AC6" w:rsidRPr="00580C63" w:rsidRDefault="006658F1" w:rsidP="00A441B5">
            <w:pPr>
              <w:pStyle w:val="TableParagraph"/>
              <w:spacing w:before="39" w:line="231" w:lineRule="exact"/>
              <w:ind w:left="201"/>
              <w:jc w:val="both"/>
              <w:rPr>
                <w:lang w:val="sr-Latn-RS"/>
              </w:rPr>
            </w:pPr>
            <w:r w:rsidRPr="00580C63">
              <w:rPr>
                <w:lang w:val="sr-Latn-RS"/>
              </w:rPr>
              <w:t xml:space="preserve">12 </w:t>
            </w:r>
            <w:r w:rsidR="00833B31" w:rsidRPr="00580C63">
              <w:rPr>
                <w:lang w:val="sr-Latn-RS"/>
              </w:rPr>
              <w:t>mjeseci</w:t>
            </w:r>
          </w:p>
        </w:tc>
        <w:tc>
          <w:tcPr>
            <w:tcW w:w="2329" w:type="pct"/>
            <w:tcBorders>
              <w:top w:val="nil"/>
              <w:bottom w:val="nil"/>
            </w:tcBorders>
          </w:tcPr>
          <w:p w14:paraId="0AAA0D92" w14:textId="77777777" w:rsidR="00596AC6" w:rsidRPr="00580C63" w:rsidRDefault="006658F1" w:rsidP="00A441B5">
            <w:pPr>
              <w:pStyle w:val="TableParagraph"/>
              <w:spacing w:before="39" w:line="231" w:lineRule="exact"/>
              <w:ind w:left="1322" w:right="1312"/>
              <w:jc w:val="both"/>
              <w:rPr>
                <w:lang w:val="sr-Latn-RS"/>
              </w:rPr>
            </w:pPr>
            <w:r w:rsidRPr="00580C63">
              <w:rPr>
                <w:lang w:val="sr-Latn-RS"/>
              </w:rPr>
              <w:t>61,8</w:t>
            </w:r>
          </w:p>
        </w:tc>
      </w:tr>
      <w:tr w:rsidR="00596AC6" w:rsidRPr="00580C63" w14:paraId="4FC73036" w14:textId="77777777" w:rsidTr="008868CF">
        <w:trPr>
          <w:trHeight w:val="340"/>
        </w:trPr>
        <w:tc>
          <w:tcPr>
            <w:tcW w:w="2671" w:type="pct"/>
            <w:tcBorders>
              <w:top w:val="nil"/>
              <w:bottom w:val="nil"/>
            </w:tcBorders>
          </w:tcPr>
          <w:p w14:paraId="37B707C3" w14:textId="77777777" w:rsidR="00596AC6" w:rsidRPr="00580C63" w:rsidRDefault="006658F1" w:rsidP="00A441B5">
            <w:pPr>
              <w:pStyle w:val="TableParagraph"/>
              <w:spacing w:before="39"/>
              <w:ind w:left="201"/>
              <w:jc w:val="both"/>
              <w:rPr>
                <w:lang w:val="sr-Latn-RS"/>
              </w:rPr>
            </w:pPr>
            <w:r w:rsidRPr="00580C63">
              <w:rPr>
                <w:lang w:val="sr-Latn-RS"/>
              </w:rPr>
              <w:t>(95% CI)</w:t>
            </w:r>
          </w:p>
        </w:tc>
        <w:tc>
          <w:tcPr>
            <w:tcW w:w="2329" w:type="pct"/>
            <w:tcBorders>
              <w:top w:val="nil"/>
              <w:bottom w:val="nil"/>
            </w:tcBorders>
          </w:tcPr>
          <w:p w14:paraId="03B19C56" w14:textId="77777777" w:rsidR="00596AC6" w:rsidRPr="00580C63" w:rsidRDefault="006658F1" w:rsidP="00A441B5">
            <w:pPr>
              <w:pStyle w:val="TableParagraph"/>
              <w:spacing w:line="242" w:lineRule="exact"/>
              <w:ind w:left="1322" w:right="1312"/>
              <w:jc w:val="both"/>
              <w:rPr>
                <w:lang w:val="sr-Latn-RS"/>
              </w:rPr>
            </w:pPr>
            <w:r w:rsidRPr="00580C63">
              <w:rPr>
                <w:lang w:val="sr-Latn-RS"/>
              </w:rPr>
              <w:t>(50,0, 73,7)</w:t>
            </w:r>
          </w:p>
        </w:tc>
      </w:tr>
      <w:tr w:rsidR="00596AC6" w:rsidRPr="00580C63" w14:paraId="0037E71D" w14:textId="77777777" w:rsidTr="008868CF">
        <w:trPr>
          <w:trHeight w:val="290"/>
        </w:trPr>
        <w:tc>
          <w:tcPr>
            <w:tcW w:w="2671" w:type="pct"/>
            <w:tcBorders>
              <w:top w:val="nil"/>
              <w:bottom w:val="nil"/>
            </w:tcBorders>
          </w:tcPr>
          <w:p w14:paraId="27915E76" w14:textId="44076257" w:rsidR="00596AC6" w:rsidRPr="00580C63" w:rsidRDefault="006658F1" w:rsidP="00A441B5">
            <w:pPr>
              <w:pStyle w:val="TableParagraph"/>
              <w:spacing w:before="39" w:line="231" w:lineRule="exact"/>
              <w:ind w:left="201"/>
              <w:jc w:val="both"/>
              <w:rPr>
                <w:lang w:val="sr-Latn-RS"/>
              </w:rPr>
            </w:pPr>
            <w:r w:rsidRPr="00580C63">
              <w:rPr>
                <w:lang w:val="sr-Latn-RS"/>
              </w:rPr>
              <w:t xml:space="preserve">18 </w:t>
            </w:r>
            <w:r w:rsidR="00833B31" w:rsidRPr="00580C63">
              <w:rPr>
                <w:lang w:val="sr-Latn-RS"/>
              </w:rPr>
              <w:t>mjeseci</w:t>
            </w:r>
          </w:p>
        </w:tc>
        <w:tc>
          <w:tcPr>
            <w:tcW w:w="2329" w:type="pct"/>
            <w:tcBorders>
              <w:top w:val="nil"/>
              <w:bottom w:val="nil"/>
            </w:tcBorders>
          </w:tcPr>
          <w:p w14:paraId="0EE19C5A" w14:textId="77777777" w:rsidR="00596AC6" w:rsidRPr="00580C63" w:rsidRDefault="006658F1" w:rsidP="00A441B5">
            <w:pPr>
              <w:pStyle w:val="TableParagraph"/>
              <w:spacing w:before="39" w:line="231" w:lineRule="exact"/>
              <w:ind w:left="1322" w:right="1312"/>
              <w:jc w:val="both"/>
              <w:rPr>
                <w:lang w:val="sr-Latn-RS"/>
              </w:rPr>
            </w:pPr>
            <w:r w:rsidRPr="00580C63">
              <w:rPr>
                <w:lang w:val="sr-Latn-RS"/>
              </w:rPr>
              <w:t>56,9</w:t>
            </w:r>
          </w:p>
        </w:tc>
      </w:tr>
      <w:tr w:rsidR="00596AC6" w:rsidRPr="00580C63" w14:paraId="6510B486" w14:textId="77777777" w:rsidTr="008868CF">
        <w:trPr>
          <w:trHeight w:val="342"/>
        </w:trPr>
        <w:tc>
          <w:tcPr>
            <w:tcW w:w="2671" w:type="pct"/>
            <w:tcBorders>
              <w:top w:val="nil"/>
            </w:tcBorders>
          </w:tcPr>
          <w:p w14:paraId="7BAA02C5" w14:textId="77777777" w:rsidR="00596AC6" w:rsidRPr="00580C63" w:rsidRDefault="006658F1" w:rsidP="00A441B5">
            <w:pPr>
              <w:pStyle w:val="TableParagraph"/>
              <w:spacing w:before="39"/>
              <w:ind w:left="201"/>
              <w:jc w:val="both"/>
              <w:rPr>
                <w:lang w:val="sr-Latn-RS"/>
              </w:rPr>
            </w:pPr>
            <w:r w:rsidRPr="00580C63">
              <w:rPr>
                <w:lang w:val="sr-Latn-RS"/>
              </w:rPr>
              <w:t>(95% CI)</w:t>
            </w:r>
          </w:p>
        </w:tc>
        <w:tc>
          <w:tcPr>
            <w:tcW w:w="2329" w:type="pct"/>
            <w:tcBorders>
              <w:top w:val="nil"/>
            </w:tcBorders>
          </w:tcPr>
          <w:p w14:paraId="44394B76" w14:textId="77777777" w:rsidR="00596AC6" w:rsidRPr="00580C63" w:rsidRDefault="006658F1" w:rsidP="00A441B5">
            <w:pPr>
              <w:pStyle w:val="TableParagraph"/>
              <w:spacing w:line="242" w:lineRule="exact"/>
              <w:ind w:left="1322" w:right="1312"/>
              <w:jc w:val="both"/>
              <w:rPr>
                <w:lang w:val="sr-Latn-RS"/>
              </w:rPr>
            </w:pPr>
            <w:r w:rsidRPr="00580C63">
              <w:rPr>
                <w:lang w:val="sr-Latn-RS"/>
              </w:rPr>
              <w:t>(44,1, 69,6)</w:t>
            </w:r>
          </w:p>
        </w:tc>
      </w:tr>
      <w:tr w:rsidR="00596AC6" w:rsidRPr="00580C63" w14:paraId="3565563A" w14:textId="77777777" w:rsidTr="008868CF">
        <w:trPr>
          <w:trHeight w:val="457"/>
        </w:trPr>
        <w:tc>
          <w:tcPr>
            <w:tcW w:w="2671" w:type="pct"/>
            <w:tcBorders>
              <w:bottom w:val="nil"/>
            </w:tcBorders>
          </w:tcPr>
          <w:p w14:paraId="4CEA5D88" w14:textId="77777777" w:rsidR="00596AC6" w:rsidRPr="00580C63" w:rsidRDefault="006658F1" w:rsidP="00A441B5">
            <w:pPr>
              <w:pStyle w:val="TableParagraph"/>
              <w:spacing w:before="36"/>
              <w:ind w:left="56"/>
              <w:jc w:val="both"/>
              <w:rPr>
                <w:b/>
                <w:lang w:val="sr-Latn-RS"/>
              </w:rPr>
            </w:pPr>
            <w:r w:rsidRPr="00580C63">
              <w:rPr>
                <w:b/>
                <w:bCs/>
                <w:lang w:val="sr-Latn-RS"/>
              </w:rPr>
              <w:lastRenderedPageBreak/>
              <w:t>Trajanje potpunog odgovora (DOCR)</w:t>
            </w:r>
            <w:r w:rsidRPr="00580C63">
              <w:rPr>
                <w:b/>
                <w:bCs/>
                <w:vertAlign w:val="superscript"/>
                <w:lang w:val="sr-Latn-RS"/>
              </w:rPr>
              <w:t>2</w:t>
            </w:r>
          </w:p>
        </w:tc>
        <w:tc>
          <w:tcPr>
            <w:tcW w:w="2329" w:type="pct"/>
            <w:tcBorders>
              <w:bottom w:val="nil"/>
            </w:tcBorders>
          </w:tcPr>
          <w:p w14:paraId="561316FA" w14:textId="77777777" w:rsidR="00596AC6" w:rsidRPr="00580C63" w:rsidRDefault="00596AC6" w:rsidP="00A441B5">
            <w:pPr>
              <w:pStyle w:val="TableParagraph"/>
              <w:ind w:left="0"/>
              <w:jc w:val="both"/>
              <w:rPr>
                <w:lang w:val="sr-Latn-RS"/>
              </w:rPr>
            </w:pPr>
          </w:p>
        </w:tc>
      </w:tr>
      <w:tr w:rsidR="00596AC6" w:rsidRPr="00580C63" w14:paraId="15027162" w14:textId="77777777" w:rsidTr="008868CF">
        <w:trPr>
          <w:trHeight w:val="460"/>
        </w:trPr>
        <w:tc>
          <w:tcPr>
            <w:tcW w:w="2671" w:type="pct"/>
            <w:tcBorders>
              <w:top w:val="nil"/>
              <w:bottom w:val="nil"/>
            </w:tcBorders>
          </w:tcPr>
          <w:p w14:paraId="0BA9CE02" w14:textId="77777777" w:rsidR="00596AC6" w:rsidRPr="00580C63" w:rsidRDefault="006658F1" w:rsidP="00A441B5">
            <w:pPr>
              <w:pStyle w:val="TableParagraph"/>
              <w:spacing w:before="158"/>
              <w:ind w:left="201"/>
              <w:jc w:val="both"/>
              <w:rPr>
                <w:lang w:val="sr-Latn-RS"/>
              </w:rPr>
            </w:pPr>
            <w:r w:rsidRPr="00580C63">
              <w:rPr>
                <w:lang w:val="sr-Latn-RS"/>
              </w:rPr>
              <w:t>Pacijenti sa događajem, n (%)</w:t>
            </w:r>
          </w:p>
        </w:tc>
        <w:tc>
          <w:tcPr>
            <w:tcW w:w="2329" w:type="pct"/>
            <w:tcBorders>
              <w:top w:val="nil"/>
              <w:bottom w:val="nil"/>
            </w:tcBorders>
          </w:tcPr>
          <w:p w14:paraId="0C50DB87" w14:textId="77777777" w:rsidR="00596AC6" w:rsidRPr="00580C63" w:rsidRDefault="006658F1" w:rsidP="00A441B5">
            <w:pPr>
              <w:pStyle w:val="TableParagraph"/>
              <w:spacing w:before="158"/>
              <w:ind w:left="1322" w:right="1312"/>
              <w:jc w:val="both"/>
              <w:rPr>
                <w:lang w:val="sr-Latn-RS"/>
              </w:rPr>
            </w:pPr>
            <w:r w:rsidRPr="00580C63">
              <w:rPr>
                <w:lang w:val="sr-Latn-RS"/>
              </w:rPr>
              <w:t>16 (29,6)</w:t>
            </w:r>
          </w:p>
        </w:tc>
      </w:tr>
      <w:tr w:rsidR="00596AC6" w:rsidRPr="00580C63" w14:paraId="4B9DD659" w14:textId="77777777" w:rsidTr="008868CF">
        <w:trPr>
          <w:trHeight w:val="340"/>
        </w:trPr>
        <w:tc>
          <w:tcPr>
            <w:tcW w:w="2671" w:type="pct"/>
            <w:tcBorders>
              <w:top w:val="nil"/>
              <w:bottom w:val="nil"/>
            </w:tcBorders>
          </w:tcPr>
          <w:p w14:paraId="19C47DF1" w14:textId="4834BAE0" w:rsidR="00596AC6" w:rsidRPr="00580C63" w:rsidRDefault="006658F1" w:rsidP="00A441B5">
            <w:pPr>
              <w:pStyle w:val="TableParagraph"/>
              <w:spacing w:before="39"/>
              <w:ind w:left="201"/>
              <w:jc w:val="both"/>
              <w:rPr>
                <w:lang w:val="sr-Latn-RS"/>
              </w:rPr>
            </w:pPr>
            <w:r w:rsidRPr="00580C63">
              <w:rPr>
                <w:lang w:val="sr-Latn-RS"/>
              </w:rPr>
              <w:t xml:space="preserve">Medijana, </w:t>
            </w:r>
            <w:r w:rsidR="00833B31" w:rsidRPr="00580C63">
              <w:rPr>
                <w:lang w:val="sr-Latn-RS"/>
              </w:rPr>
              <w:t>mjeseci</w:t>
            </w:r>
            <w:r w:rsidRPr="00580C63">
              <w:rPr>
                <w:lang w:val="sr-Latn-RS"/>
              </w:rPr>
              <w:t xml:space="preserve"> (95% CI)</w:t>
            </w:r>
          </w:p>
        </w:tc>
        <w:tc>
          <w:tcPr>
            <w:tcW w:w="2329" w:type="pct"/>
            <w:tcBorders>
              <w:top w:val="nil"/>
              <w:bottom w:val="nil"/>
            </w:tcBorders>
          </w:tcPr>
          <w:p w14:paraId="22204904" w14:textId="77777777" w:rsidR="00596AC6" w:rsidRPr="00580C63" w:rsidRDefault="006658F1" w:rsidP="00A441B5">
            <w:pPr>
              <w:pStyle w:val="TableParagraph"/>
              <w:spacing w:before="39"/>
              <w:ind w:left="1322" w:right="1313"/>
              <w:jc w:val="both"/>
              <w:rPr>
                <w:lang w:val="sr-Latn-RS"/>
              </w:rPr>
            </w:pPr>
            <w:r w:rsidRPr="00580C63">
              <w:rPr>
                <w:lang w:val="sr-Latn-RS"/>
              </w:rPr>
              <w:t>NR (14,6, NR)</w:t>
            </w:r>
          </w:p>
        </w:tc>
      </w:tr>
      <w:tr w:rsidR="00596AC6" w:rsidRPr="00314AC9" w14:paraId="0E04C137" w14:textId="77777777" w:rsidTr="008868CF">
        <w:trPr>
          <w:trHeight w:val="340"/>
        </w:trPr>
        <w:tc>
          <w:tcPr>
            <w:tcW w:w="2671" w:type="pct"/>
            <w:tcBorders>
              <w:top w:val="nil"/>
              <w:bottom w:val="nil"/>
            </w:tcBorders>
          </w:tcPr>
          <w:p w14:paraId="01350182" w14:textId="77777777" w:rsidR="00596AC6" w:rsidRPr="00580C63" w:rsidRDefault="006658F1" w:rsidP="00A441B5">
            <w:pPr>
              <w:pStyle w:val="TableParagraph"/>
              <w:spacing w:before="39"/>
              <w:ind w:left="201"/>
              <w:jc w:val="both"/>
              <w:rPr>
                <w:lang w:val="sr-Latn-RS"/>
              </w:rPr>
            </w:pPr>
            <w:r w:rsidRPr="00580C63">
              <w:rPr>
                <w:lang w:val="sr-Latn-RS"/>
              </w:rPr>
              <w:t>K-M proporcija bez događaja,</w:t>
            </w:r>
          </w:p>
        </w:tc>
        <w:tc>
          <w:tcPr>
            <w:tcW w:w="2329" w:type="pct"/>
            <w:tcBorders>
              <w:top w:val="nil"/>
              <w:bottom w:val="nil"/>
            </w:tcBorders>
          </w:tcPr>
          <w:p w14:paraId="69877E4A" w14:textId="77777777" w:rsidR="00596AC6" w:rsidRPr="00580C63" w:rsidRDefault="00596AC6" w:rsidP="00A441B5">
            <w:pPr>
              <w:pStyle w:val="TableParagraph"/>
              <w:ind w:left="0"/>
              <w:jc w:val="both"/>
              <w:rPr>
                <w:lang w:val="sr-Latn-RS"/>
              </w:rPr>
            </w:pPr>
          </w:p>
        </w:tc>
      </w:tr>
      <w:tr w:rsidR="00596AC6" w:rsidRPr="00580C63" w14:paraId="47517ADF" w14:textId="77777777" w:rsidTr="008868CF">
        <w:trPr>
          <w:trHeight w:val="290"/>
        </w:trPr>
        <w:tc>
          <w:tcPr>
            <w:tcW w:w="2671" w:type="pct"/>
            <w:tcBorders>
              <w:top w:val="nil"/>
              <w:bottom w:val="nil"/>
            </w:tcBorders>
          </w:tcPr>
          <w:p w14:paraId="6775223C" w14:textId="45AE2015" w:rsidR="00596AC6" w:rsidRPr="00580C63" w:rsidRDefault="006658F1" w:rsidP="00A441B5">
            <w:pPr>
              <w:pStyle w:val="TableParagraph"/>
              <w:spacing w:before="39" w:line="231" w:lineRule="exact"/>
              <w:ind w:left="201"/>
              <w:jc w:val="both"/>
              <w:rPr>
                <w:lang w:val="sr-Latn-RS"/>
              </w:rPr>
            </w:pPr>
            <w:r w:rsidRPr="00580C63">
              <w:rPr>
                <w:lang w:val="sr-Latn-RS"/>
              </w:rPr>
              <w:t xml:space="preserve">12 </w:t>
            </w:r>
            <w:r w:rsidR="00833B31" w:rsidRPr="00580C63">
              <w:rPr>
                <w:lang w:val="sr-Latn-RS"/>
              </w:rPr>
              <w:t>mjeseci</w:t>
            </w:r>
          </w:p>
        </w:tc>
        <w:tc>
          <w:tcPr>
            <w:tcW w:w="2329" w:type="pct"/>
            <w:tcBorders>
              <w:top w:val="nil"/>
              <w:bottom w:val="nil"/>
            </w:tcBorders>
          </w:tcPr>
          <w:p w14:paraId="13AF4E09" w14:textId="77777777" w:rsidR="00596AC6" w:rsidRPr="00580C63" w:rsidRDefault="006658F1" w:rsidP="00A441B5">
            <w:pPr>
              <w:pStyle w:val="TableParagraph"/>
              <w:spacing w:before="39" w:line="231" w:lineRule="exact"/>
              <w:ind w:left="1322" w:right="1312"/>
              <w:jc w:val="both"/>
              <w:rPr>
                <w:lang w:val="sr-Latn-RS"/>
              </w:rPr>
            </w:pPr>
            <w:r w:rsidRPr="00580C63">
              <w:rPr>
                <w:lang w:val="sr-Latn-RS"/>
              </w:rPr>
              <w:t>71,4</w:t>
            </w:r>
          </w:p>
        </w:tc>
      </w:tr>
      <w:tr w:rsidR="00596AC6" w:rsidRPr="00580C63" w14:paraId="4D53429F" w14:textId="77777777" w:rsidTr="008868CF">
        <w:trPr>
          <w:trHeight w:val="340"/>
        </w:trPr>
        <w:tc>
          <w:tcPr>
            <w:tcW w:w="2671" w:type="pct"/>
            <w:tcBorders>
              <w:top w:val="nil"/>
              <w:bottom w:val="nil"/>
            </w:tcBorders>
          </w:tcPr>
          <w:p w14:paraId="1BE3A16B" w14:textId="77777777" w:rsidR="00596AC6" w:rsidRPr="00580C63" w:rsidRDefault="006658F1" w:rsidP="00A441B5">
            <w:pPr>
              <w:pStyle w:val="TableParagraph"/>
              <w:spacing w:before="39"/>
              <w:ind w:left="201"/>
              <w:jc w:val="both"/>
              <w:rPr>
                <w:lang w:val="sr-Latn-RS"/>
              </w:rPr>
            </w:pPr>
            <w:r w:rsidRPr="00580C63">
              <w:rPr>
                <w:lang w:val="sr-Latn-RS"/>
              </w:rPr>
              <w:t>(95% CI)</w:t>
            </w:r>
          </w:p>
        </w:tc>
        <w:tc>
          <w:tcPr>
            <w:tcW w:w="2329" w:type="pct"/>
            <w:tcBorders>
              <w:top w:val="nil"/>
              <w:bottom w:val="nil"/>
            </w:tcBorders>
          </w:tcPr>
          <w:p w14:paraId="06B448A3" w14:textId="77777777" w:rsidR="00596AC6" w:rsidRPr="00580C63" w:rsidRDefault="006658F1" w:rsidP="00A441B5">
            <w:pPr>
              <w:pStyle w:val="TableParagraph"/>
              <w:spacing w:line="242" w:lineRule="exact"/>
              <w:ind w:left="1322" w:right="1312"/>
              <w:jc w:val="both"/>
              <w:rPr>
                <w:lang w:val="sr-Latn-RS"/>
              </w:rPr>
            </w:pPr>
            <w:r w:rsidRPr="00580C63">
              <w:rPr>
                <w:lang w:val="sr-Latn-RS"/>
              </w:rPr>
              <w:t>(57,9, 84,9)</w:t>
            </w:r>
          </w:p>
        </w:tc>
      </w:tr>
      <w:tr w:rsidR="00596AC6" w:rsidRPr="00580C63" w14:paraId="14558EA3" w14:textId="77777777" w:rsidTr="008868CF">
        <w:trPr>
          <w:trHeight w:val="315"/>
        </w:trPr>
        <w:tc>
          <w:tcPr>
            <w:tcW w:w="2671" w:type="pct"/>
            <w:tcBorders>
              <w:top w:val="nil"/>
              <w:bottom w:val="nil"/>
            </w:tcBorders>
          </w:tcPr>
          <w:p w14:paraId="0E2FAA74" w14:textId="70B2AC33" w:rsidR="00596AC6" w:rsidRPr="00580C63" w:rsidRDefault="006658F1" w:rsidP="00A441B5">
            <w:pPr>
              <w:pStyle w:val="TableParagraph"/>
              <w:spacing w:before="39"/>
              <w:ind w:left="201"/>
              <w:jc w:val="both"/>
              <w:rPr>
                <w:lang w:val="sr-Latn-RS"/>
              </w:rPr>
            </w:pPr>
            <w:r w:rsidRPr="00580C63">
              <w:rPr>
                <w:lang w:val="sr-Latn-RS"/>
              </w:rPr>
              <w:t xml:space="preserve">18 </w:t>
            </w:r>
            <w:r w:rsidR="00833B31" w:rsidRPr="00580C63">
              <w:rPr>
                <w:lang w:val="sr-Latn-RS"/>
              </w:rPr>
              <w:t>mjeseci</w:t>
            </w:r>
          </w:p>
        </w:tc>
        <w:tc>
          <w:tcPr>
            <w:tcW w:w="2329" w:type="pct"/>
            <w:tcBorders>
              <w:top w:val="nil"/>
              <w:bottom w:val="nil"/>
            </w:tcBorders>
          </w:tcPr>
          <w:p w14:paraId="55AACBB4" w14:textId="77777777" w:rsidR="00596AC6" w:rsidRPr="00580C63" w:rsidRDefault="006658F1" w:rsidP="00A441B5">
            <w:pPr>
              <w:pStyle w:val="TableParagraph"/>
              <w:spacing w:before="39"/>
              <w:ind w:left="1322" w:right="1312"/>
              <w:jc w:val="both"/>
              <w:rPr>
                <w:lang w:val="sr-Latn-RS"/>
              </w:rPr>
            </w:pPr>
            <w:r w:rsidRPr="00580C63">
              <w:rPr>
                <w:lang w:val="sr-Latn-RS"/>
              </w:rPr>
              <w:t>63,7</w:t>
            </w:r>
          </w:p>
        </w:tc>
      </w:tr>
      <w:tr w:rsidR="00596AC6" w:rsidRPr="00580C63" w14:paraId="42692505" w14:textId="77777777" w:rsidTr="008868CF">
        <w:trPr>
          <w:trHeight w:val="317"/>
        </w:trPr>
        <w:tc>
          <w:tcPr>
            <w:tcW w:w="2671" w:type="pct"/>
            <w:tcBorders>
              <w:top w:val="nil"/>
            </w:tcBorders>
          </w:tcPr>
          <w:p w14:paraId="314DB950" w14:textId="77777777" w:rsidR="00596AC6" w:rsidRPr="00580C63" w:rsidRDefault="006658F1" w:rsidP="00A441B5">
            <w:pPr>
              <w:pStyle w:val="TableParagraph"/>
              <w:spacing w:before="14"/>
              <w:ind w:left="201"/>
              <w:jc w:val="both"/>
              <w:rPr>
                <w:lang w:val="sr-Latn-RS"/>
              </w:rPr>
            </w:pPr>
            <w:r w:rsidRPr="00580C63">
              <w:rPr>
                <w:lang w:val="sr-Latn-RS"/>
              </w:rPr>
              <w:t>(95% CI)</w:t>
            </w:r>
          </w:p>
        </w:tc>
        <w:tc>
          <w:tcPr>
            <w:tcW w:w="2329" w:type="pct"/>
            <w:tcBorders>
              <w:top w:val="nil"/>
            </w:tcBorders>
          </w:tcPr>
          <w:p w14:paraId="0DCB1173" w14:textId="77777777" w:rsidR="00596AC6" w:rsidRPr="00580C63" w:rsidRDefault="006658F1" w:rsidP="00A441B5">
            <w:pPr>
              <w:pStyle w:val="TableParagraph"/>
              <w:spacing w:before="14"/>
              <w:ind w:left="1322" w:right="1312"/>
              <w:jc w:val="both"/>
              <w:rPr>
                <w:lang w:val="sr-Latn-RS"/>
              </w:rPr>
            </w:pPr>
            <w:r w:rsidRPr="00580C63">
              <w:rPr>
                <w:lang w:val="sr-Latn-RS"/>
              </w:rPr>
              <w:t>(48,0, 79,4)</w:t>
            </w:r>
          </w:p>
        </w:tc>
      </w:tr>
    </w:tbl>
    <w:p w14:paraId="56BE0C27" w14:textId="6466BCDE" w:rsidR="00596AC6" w:rsidRPr="00314AC9" w:rsidRDefault="006658F1" w:rsidP="00A441B5">
      <w:pPr>
        <w:pStyle w:val="BodyText"/>
        <w:ind w:left="57"/>
        <w:jc w:val="both"/>
        <w:rPr>
          <w:sz w:val="20"/>
          <w:lang w:val="sr-Latn-RS"/>
        </w:rPr>
      </w:pPr>
      <w:r w:rsidRPr="00314AC9">
        <w:rPr>
          <w:sz w:val="20"/>
          <w:lang w:val="sr-Latn-RS"/>
        </w:rPr>
        <w:t>CI</w:t>
      </w:r>
      <w:r w:rsidR="00506CC6" w:rsidRPr="00314AC9">
        <w:rPr>
          <w:sz w:val="20"/>
          <w:lang w:val="sr-Latn-RS"/>
        </w:rPr>
        <w:t xml:space="preserve"> </w:t>
      </w:r>
      <w:r w:rsidR="00506CC6" w:rsidRPr="00314AC9">
        <w:rPr>
          <w:sz w:val="20"/>
        </w:rPr>
        <w:t xml:space="preserve">(engl. </w:t>
      </w:r>
      <w:proofErr w:type="gramStart"/>
      <w:r w:rsidR="00506CC6" w:rsidRPr="00314AC9">
        <w:rPr>
          <w:i/>
          <w:iCs/>
          <w:sz w:val="20"/>
        </w:rPr>
        <w:t>confidence</w:t>
      </w:r>
      <w:proofErr w:type="gramEnd"/>
      <w:r w:rsidR="00506CC6" w:rsidRPr="00314AC9">
        <w:rPr>
          <w:i/>
          <w:iCs/>
          <w:sz w:val="20"/>
        </w:rPr>
        <w:t xml:space="preserve"> interval) </w:t>
      </w:r>
      <w:r w:rsidRPr="00314AC9">
        <w:rPr>
          <w:sz w:val="20"/>
          <w:lang w:val="sr-Latn-RS"/>
        </w:rPr>
        <w:t>=</w:t>
      </w:r>
      <w:r w:rsidR="00506CC6" w:rsidRPr="00314AC9">
        <w:rPr>
          <w:sz w:val="20"/>
          <w:lang w:val="sr-Latn-RS"/>
        </w:rPr>
        <w:t xml:space="preserve"> </w:t>
      </w:r>
      <w:r w:rsidRPr="00314AC9">
        <w:rPr>
          <w:sz w:val="20"/>
          <w:lang w:val="sr-Latn-RS"/>
        </w:rPr>
        <w:t>interval pouzdanosti; K-M=Kaplan-Meier; NR=nije</w:t>
      </w:r>
      <w:r w:rsidR="00EB442B" w:rsidRPr="00314AC9">
        <w:rPr>
          <w:sz w:val="20"/>
          <w:lang w:val="sr-Latn-RS"/>
        </w:rPr>
        <w:t xml:space="preserve"> </w:t>
      </w:r>
      <w:r w:rsidRPr="00314AC9">
        <w:rPr>
          <w:sz w:val="20"/>
          <w:lang w:val="sr-Latn-RS"/>
        </w:rPr>
        <w:t>dostignuto. Klinički prekid: 27. avgust 2021.</w:t>
      </w:r>
    </w:p>
    <w:p w14:paraId="53E51E1E" w14:textId="35E17347" w:rsidR="00596AC6" w:rsidRPr="00314AC9" w:rsidRDefault="006658F1" w:rsidP="00A441B5">
      <w:pPr>
        <w:pStyle w:val="BodyText"/>
        <w:ind w:left="57"/>
        <w:jc w:val="both"/>
        <w:rPr>
          <w:sz w:val="20"/>
          <w:lang w:val="sr-Latn-RS"/>
        </w:rPr>
      </w:pPr>
      <w:r w:rsidRPr="00314AC9">
        <w:rPr>
          <w:sz w:val="20"/>
          <w:lang w:val="sr-Latn-RS"/>
        </w:rPr>
        <w:t>Testiranje hipoteze je sprovedeno na primarnoj krajnjoj tački IRF proc</w:t>
      </w:r>
      <w:r w:rsidR="00CA7089" w:rsidRPr="00314AC9">
        <w:rPr>
          <w:sz w:val="20"/>
          <w:lang w:val="sr-Latn-RS"/>
        </w:rPr>
        <w:t>ij</w:t>
      </w:r>
      <w:r w:rsidRPr="00314AC9">
        <w:rPr>
          <w:sz w:val="20"/>
          <w:lang w:val="sr-Latn-RS"/>
        </w:rPr>
        <w:t>enjene stope CR-a.</w:t>
      </w:r>
    </w:p>
    <w:p w14:paraId="17C13899" w14:textId="367666C0" w:rsidR="00596AC6" w:rsidRPr="00314AC9" w:rsidRDefault="006658F1">
      <w:pPr>
        <w:pStyle w:val="BodyText"/>
        <w:ind w:left="57"/>
        <w:jc w:val="both"/>
        <w:rPr>
          <w:sz w:val="20"/>
          <w:lang w:val="sr-Latn-RS"/>
        </w:rPr>
      </w:pPr>
      <w:r w:rsidRPr="00314AC9">
        <w:rPr>
          <w:sz w:val="20"/>
          <w:vertAlign w:val="superscript"/>
          <w:lang w:val="sr-Latn-RS"/>
        </w:rPr>
        <w:t>1</w:t>
      </w:r>
      <w:r w:rsidRPr="00314AC9">
        <w:rPr>
          <w:sz w:val="20"/>
          <w:lang w:val="sr-Latn-RS"/>
        </w:rPr>
        <w:t xml:space="preserve"> Trajanje odgovora (DOR) je definisano kao vr</w:t>
      </w:r>
      <w:r w:rsidR="00833B31" w:rsidRPr="00314AC9">
        <w:rPr>
          <w:sz w:val="20"/>
          <w:lang w:val="sr-Latn-RS"/>
        </w:rPr>
        <w:t>ij</w:t>
      </w:r>
      <w:r w:rsidRPr="00314AC9">
        <w:rPr>
          <w:sz w:val="20"/>
          <w:lang w:val="sr-Latn-RS"/>
        </w:rPr>
        <w:t>eme od prve pojave dokumentovanog PR ili CR-a do trenutka kada kod pacijenta dođe do prom</w:t>
      </w:r>
      <w:r w:rsidR="00EB442B" w:rsidRPr="00314AC9">
        <w:rPr>
          <w:sz w:val="20"/>
          <w:lang w:val="sr-Latn-RS"/>
        </w:rPr>
        <w:t>j</w:t>
      </w:r>
      <w:r w:rsidRPr="00314AC9">
        <w:rPr>
          <w:sz w:val="20"/>
          <w:lang w:val="sr-Latn-RS"/>
        </w:rPr>
        <w:t>ene (dokumentovana progresija bolesti ili smrt usl</w:t>
      </w:r>
      <w:r w:rsidR="00833B31" w:rsidRPr="00314AC9">
        <w:rPr>
          <w:sz w:val="20"/>
          <w:lang w:val="sr-Latn-RS"/>
        </w:rPr>
        <w:t>j</w:t>
      </w:r>
      <w:r w:rsidRPr="00314AC9">
        <w:rPr>
          <w:sz w:val="20"/>
          <w:lang w:val="sr-Latn-RS"/>
        </w:rPr>
        <w:t>ed bilo kog uzroka, do čega god prvo dođe).</w:t>
      </w:r>
    </w:p>
    <w:p w14:paraId="6AA4F4EF" w14:textId="6EE0E426" w:rsidR="00596AC6" w:rsidRPr="00314AC9" w:rsidRDefault="006658F1" w:rsidP="00A441B5">
      <w:pPr>
        <w:pStyle w:val="BodyText"/>
        <w:ind w:left="57"/>
        <w:jc w:val="both"/>
        <w:rPr>
          <w:sz w:val="20"/>
          <w:lang w:val="sr-Latn-RS"/>
        </w:rPr>
      </w:pPr>
      <w:r w:rsidRPr="00314AC9">
        <w:rPr>
          <w:sz w:val="20"/>
          <w:vertAlign w:val="superscript"/>
          <w:lang w:val="sr-Latn-RS"/>
        </w:rPr>
        <w:t xml:space="preserve">2 </w:t>
      </w:r>
      <w:r w:rsidR="00187D78" w:rsidRPr="00314AC9">
        <w:rPr>
          <w:sz w:val="20"/>
          <w:lang w:val="sr-Latn-RS"/>
        </w:rPr>
        <w:t>Trajanje odgovora (DOCR</w:t>
      </w:r>
      <w:r w:rsidRPr="00314AC9">
        <w:rPr>
          <w:sz w:val="20"/>
          <w:lang w:val="sr-Latn-RS"/>
        </w:rPr>
        <w:t>) je definisano kao vr</w:t>
      </w:r>
      <w:r w:rsidR="00833B31" w:rsidRPr="00314AC9">
        <w:rPr>
          <w:sz w:val="20"/>
          <w:lang w:val="sr-Latn-RS"/>
        </w:rPr>
        <w:t>ij</w:t>
      </w:r>
      <w:r w:rsidRPr="00314AC9">
        <w:rPr>
          <w:sz w:val="20"/>
          <w:lang w:val="sr-Latn-RS"/>
        </w:rPr>
        <w:t>eme od prve pojave dokumentovanog CR-a do trenutka kada kod pacijenta dođe do prom</w:t>
      </w:r>
      <w:r w:rsidR="00833B31" w:rsidRPr="00314AC9">
        <w:rPr>
          <w:sz w:val="20"/>
          <w:lang w:val="sr-Latn-RS"/>
        </w:rPr>
        <w:t>j</w:t>
      </w:r>
      <w:r w:rsidRPr="00314AC9">
        <w:rPr>
          <w:sz w:val="20"/>
          <w:lang w:val="sr-Latn-RS"/>
        </w:rPr>
        <w:t>ene (dokumentovana progresija bolesti ili smrt usl</w:t>
      </w:r>
      <w:r w:rsidR="00833B31" w:rsidRPr="00314AC9">
        <w:rPr>
          <w:sz w:val="20"/>
          <w:lang w:val="sr-Latn-RS"/>
        </w:rPr>
        <w:t>j</w:t>
      </w:r>
      <w:r w:rsidRPr="00314AC9">
        <w:rPr>
          <w:sz w:val="20"/>
          <w:lang w:val="sr-Latn-RS"/>
        </w:rPr>
        <w:t>ed bilo kog uzroka, do čega god prvo dođe).</w:t>
      </w:r>
    </w:p>
    <w:p w14:paraId="55556D3C" w14:textId="77777777" w:rsidR="00596AC6" w:rsidRPr="00580C63" w:rsidRDefault="00596AC6" w:rsidP="00A441B5">
      <w:pPr>
        <w:pStyle w:val="BodyText"/>
        <w:jc w:val="both"/>
        <w:rPr>
          <w:lang w:val="sr-Latn-RS"/>
        </w:rPr>
      </w:pPr>
    </w:p>
    <w:p w14:paraId="494C6CAA" w14:textId="474037BB" w:rsidR="00596AC6" w:rsidRPr="00580C63" w:rsidRDefault="006658F1">
      <w:pPr>
        <w:pStyle w:val="BodyText"/>
        <w:jc w:val="both"/>
        <w:rPr>
          <w:lang w:val="sr-Latn-RS"/>
        </w:rPr>
      </w:pPr>
      <w:r w:rsidRPr="00580C63">
        <w:rPr>
          <w:lang w:val="sr-Latn-RS"/>
        </w:rPr>
        <w:t xml:space="preserve">Medijana praćenja trajanja odgovora bila je 14,9 </w:t>
      </w:r>
      <w:r w:rsidR="00833B31" w:rsidRPr="00580C63">
        <w:rPr>
          <w:lang w:val="sr-Latn-RS"/>
        </w:rPr>
        <w:t>mjeseci</w:t>
      </w:r>
      <w:r w:rsidRPr="00580C63">
        <w:rPr>
          <w:lang w:val="sr-Latn-RS"/>
        </w:rPr>
        <w:t>. Dodatni rezultati istraživačke efikasnosti uključivali su medijanu vr</w:t>
      </w:r>
      <w:r w:rsidR="00833B31" w:rsidRPr="00580C63">
        <w:rPr>
          <w:lang w:val="sr-Latn-RS"/>
        </w:rPr>
        <w:t>ij</w:t>
      </w:r>
      <w:r w:rsidRPr="00580C63">
        <w:rPr>
          <w:lang w:val="sr-Latn-RS"/>
        </w:rPr>
        <w:t>emena do prvog odgovora (1,4 m</w:t>
      </w:r>
      <w:r w:rsidR="0083711F" w:rsidRPr="00580C63">
        <w:rPr>
          <w:lang w:val="sr-Latn-RS"/>
        </w:rPr>
        <w:t>j</w:t>
      </w:r>
      <w:r w:rsidRPr="00580C63">
        <w:rPr>
          <w:lang w:val="sr-Latn-RS"/>
        </w:rPr>
        <w:t>eseca, opseg: 1,1–8,9) i medijanu vremena do prvog kompletnog odgovora (3,0 m</w:t>
      </w:r>
      <w:r w:rsidR="0083711F" w:rsidRPr="00580C63">
        <w:rPr>
          <w:lang w:val="sr-Latn-RS"/>
        </w:rPr>
        <w:t>j</w:t>
      </w:r>
      <w:r w:rsidRPr="00580C63">
        <w:rPr>
          <w:lang w:val="sr-Latn-RS"/>
        </w:rPr>
        <w:t>eseca, opseg: 1,1–18,9).</w:t>
      </w:r>
    </w:p>
    <w:p w14:paraId="13F195BE" w14:textId="77777777" w:rsidR="00596AC6" w:rsidRPr="00580C63" w:rsidRDefault="00596AC6" w:rsidP="00A441B5">
      <w:pPr>
        <w:pStyle w:val="BodyText"/>
        <w:jc w:val="both"/>
        <w:rPr>
          <w:lang w:val="sr-Latn-RS"/>
        </w:rPr>
      </w:pPr>
    </w:p>
    <w:p w14:paraId="360A67A6" w14:textId="77777777" w:rsidR="00596AC6" w:rsidRPr="00580C63" w:rsidRDefault="006658F1" w:rsidP="00A441B5">
      <w:pPr>
        <w:pStyle w:val="BodyText"/>
        <w:jc w:val="both"/>
        <w:rPr>
          <w:lang w:val="sr-Latn-RS"/>
        </w:rPr>
      </w:pPr>
      <w:r w:rsidRPr="00580C63">
        <w:rPr>
          <w:u w:val="single"/>
          <w:lang w:val="sr-Latn-RS"/>
        </w:rPr>
        <w:t>Imunogenost</w:t>
      </w:r>
    </w:p>
    <w:p w14:paraId="48372C09" w14:textId="77777777" w:rsidR="00596AC6" w:rsidRPr="00580C63" w:rsidRDefault="00596AC6">
      <w:pPr>
        <w:pStyle w:val="BodyText"/>
        <w:jc w:val="both"/>
        <w:rPr>
          <w:lang w:val="sr-Latn-RS"/>
        </w:rPr>
      </w:pPr>
    </w:p>
    <w:p w14:paraId="07A14238" w14:textId="167408C2" w:rsidR="00596AC6" w:rsidRPr="00580C63" w:rsidRDefault="006658F1">
      <w:pPr>
        <w:pStyle w:val="BodyText"/>
        <w:jc w:val="both"/>
        <w:rPr>
          <w:lang w:val="sr-Latn-RS"/>
        </w:rPr>
      </w:pPr>
      <w:r w:rsidRPr="00580C63">
        <w:rPr>
          <w:lang w:val="sr-Latn-RS"/>
        </w:rPr>
        <w:t>Imunogenost mosunetuzumaba je proc</w:t>
      </w:r>
      <w:r w:rsidR="00833B31" w:rsidRPr="00580C63">
        <w:rPr>
          <w:lang w:val="sr-Latn-RS"/>
        </w:rPr>
        <w:t>ij</w:t>
      </w:r>
      <w:r w:rsidRPr="00580C63">
        <w:rPr>
          <w:lang w:val="sr-Latn-RS"/>
        </w:rPr>
        <w:t>enjena korišćenjem enzimskog imunosorbentnog testa (ELISA). Nijedan pacijent nije bio pozitivan na antit</w:t>
      </w:r>
      <w:r w:rsidR="00833B31" w:rsidRPr="00580C63">
        <w:rPr>
          <w:lang w:val="sr-Latn-RS"/>
        </w:rPr>
        <w:t>ij</w:t>
      </w:r>
      <w:r w:rsidRPr="00580C63">
        <w:rPr>
          <w:lang w:val="sr-Latn-RS"/>
        </w:rPr>
        <w:t>ela na mosunetuzumab od 418 pacijenata sa proc</w:t>
      </w:r>
      <w:r w:rsidR="00E13E79" w:rsidRPr="00580C63">
        <w:rPr>
          <w:lang w:val="sr-Latn-RS"/>
        </w:rPr>
        <w:t>j</w:t>
      </w:r>
      <w:r w:rsidRPr="00580C63">
        <w:rPr>
          <w:lang w:val="sr-Latn-RS"/>
        </w:rPr>
        <w:t xml:space="preserve">enom ADA koji su intravenski primali </w:t>
      </w:r>
      <w:r w:rsidR="00833B31" w:rsidRPr="00580C63">
        <w:rPr>
          <w:lang w:val="sr-Latn-RS"/>
        </w:rPr>
        <w:t>l</w:t>
      </w:r>
      <w:r w:rsidR="00FD557E" w:rsidRPr="00580C63">
        <w:rPr>
          <w:lang w:val="sr-Latn-RS"/>
        </w:rPr>
        <w:t>ijek</w:t>
      </w:r>
      <w:r w:rsidRPr="00580C63">
        <w:rPr>
          <w:lang w:val="sr-Latn-RS"/>
        </w:rPr>
        <w:t xml:space="preserve"> Lunsumio sa jednim agensom u studiji GO27981. Na osnovu dostupnih informacija, nije bilo moguće proc</w:t>
      </w:r>
      <w:r w:rsidR="00833B31" w:rsidRPr="00580C63">
        <w:rPr>
          <w:lang w:val="sr-Latn-RS"/>
        </w:rPr>
        <w:t>ij</w:t>
      </w:r>
      <w:r w:rsidRPr="00580C63">
        <w:rPr>
          <w:lang w:val="sr-Latn-RS"/>
        </w:rPr>
        <w:t>eniti kliničku relevantnost antit</w:t>
      </w:r>
      <w:r w:rsidR="00833B31" w:rsidRPr="00580C63">
        <w:rPr>
          <w:lang w:val="sr-Latn-RS"/>
        </w:rPr>
        <w:t>ij</w:t>
      </w:r>
      <w:r w:rsidRPr="00580C63">
        <w:rPr>
          <w:lang w:val="sr-Latn-RS"/>
        </w:rPr>
        <w:t>ela na mosunetuzumab.</w:t>
      </w:r>
    </w:p>
    <w:p w14:paraId="08B6B025" w14:textId="77777777" w:rsidR="00AC7B20" w:rsidRPr="00580C63" w:rsidRDefault="00AC7B20" w:rsidP="00A441B5">
      <w:pPr>
        <w:pStyle w:val="BodyText"/>
        <w:jc w:val="both"/>
        <w:rPr>
          <w:u w:val="single"/>
          <w:lang w:val="sr-Latn-RS"/>
        </w:rPr>
      </w:pPr>
    </w:p>
    <w:p w14:paraId="5D31AFFA" w14:textId="1FC5F78D" w:rsidR="00596AC6" w:rsidRPr="00580C63" w:rsidRDefault="006658F1" w:rsidP="00A441B5">
      <w:pPr>
        <w:pStyle w:val="BodyText"/>
        <w:jc w:val="both"/>
        <w:rPr>
          <w:lang w:val="sr-Latn-RS"/>
        </w:rPr>
      </w:pPr>
      <w:r w:rsidRPr="00580C63">
        <w:rPr>
          <w:u w:val="single"/>
          <w:lang w:val="sr-Latn-RS"/>
        </w:rPr>
        <w:t>Pedijatrijska populacija</w:t>
      </w:r>
    </w:p>
    <w:p w14:paraId="5638EADA" w14:textId="77777777" w:rsidR="00596AC6" w:rsidRPr="00580C63" w:rsidRDefault="00596AC6" w:rsidP="00A441B5">
      <w:pPr>
        <w:pStyle w:val="BodyText"/>
        <w:jc w:val="both"/>
        <w:rPr>
          <w:lang w:val="sr-Latn-RS"/>
        </w:rPr>
      </w:pPr>
    </w:p>
    <w:p w14:paraId="60968FA6" w14:textId="41632B7C" w:rsidR="00596AC6" w:rsidRPr="00580C63" w:rsidRDefault="006658F1">
      <w:pPr>
        <w:pStyle w:val="BodyText"/>
        <w:jc w:val="both"/>
        <w:rPr>
          <w:lang w:val="sr-Latn-RS"/>
        </w:rPr>
      </w:pPr>
      <w:r w:rsidRPr="00580C63">
        <w:rPr>
          <w:lang w:val="sr-Latn-RS"/>
        </w:rPr>
        <w:t xml:space="preserve">Evropska agencija za </w:t>
      </w:r>
      <w:r w:rsidR="00833B31" w:rsidRPr="00580C63">
        <w:rPr>
          <w:lang w:val="sr-Latn-RS"/>
        </w:rPr>
        <w:t>l</w:t>
      </w:r>
      <w:r w:rsidR="00FD557E" w:rsidRPr="00580C63">
        <w:rPr>
          <w:lang w:val="sr-Latn-RS"/>
        </w:rPr>
        <w:t>jek</w:t>
      </w:r>
      <w:r w:rsidRPr="00580C63">
        <w:rPr>
          <w:lang w:val="sr-Latn-RS"/>
        </w:rPr>
        <w:t xml:space="preserve">ove </w:t>
      </w:r>
      <w:r w:rsidR="00CA7089" w:rsidRPr="00580C63">
        <w:rPr>
          <w:lang w:val="sr-Latn-RS"/>
        </w:rPr>
        <w:t>je izuzela</w:t>
      </w:r>
      <w:r w:rsidRPr="00580C63">
        <w:rPr>
          <w:lang w:val="sr-Latn-RS"/>
        </w:rPr>
        <w:t xml:space="preserve"> obavezu podnošenja rezultata studija sa </w:t>
      </w:r>
      <w:r w:rsidR="00833B31" w:rsidRPr="00580C63">
        <w:rPr>
          <w:lang w:val="sr-Latn-RS"/>
        </w:rPr>
        <w:t>l</w:t>
      </w:r>
      <w:r w:rsidR="00FD557E" w:rsidRPr="00580C63">
        <w:rPr>
          <w:lang w:val="sr-Latn-RS"/>
        </w:rPr>
        <w:t>ijek</w:t>
      </w:r>
      <w:r w:rsidRPr="00580C63">
        <w:rPr>
          <w:lang w:val="sr-Latn-RS"/>
        </w:rPr>
        <w:t xml:space="preserve">om Lunsumio u svim podgrupama pedijatrijske populacije za </w:t>
      </w:r>
      <w:r w:rsidR="00FD557E" w:rsidRPr="00580C63">
        <w:rPr>
          <w:lang w:val="sr-Latn-RS"/>
        </w:rPr>
        <w:t>liječenje</w:t>
      </w:r>
      <w:r w:rsidRPr="00580C63">
        <w:rPr>
          <w:lang w:val="sr-Latn-RS"/>
        </w:rPr>
        <w:t xml:space="preserve"> neoplazmi zrelih B-ćelija (</w:t>
      </w:r>
      <w:r w:rsidR="0083711F" w:rsidRPr="00580C63">
        <w:rPr>
          <w:lang w:val="sr-Latn-RS"/>
        </w:rPr>
        <w:t>vidjeti</w:t>
      </w:r>
      <w:r w:rsidRPr="00580C63">
        <w:rPr>
          <w:lang w:val="sr-Latn-RS"/>
        </w:rPr>
        <w:t xml:space="preserve"> </w:t>
      </w:r>
      <w:r w:rsidR="00FD557E" w:rsidRPr="00580C63">
        <w:rPr>
          <w:lang w:val="sr-Latn-RS"/>
        </w:rPr>
        <w:t>dio</w:t>
      </w:r>
      <w:r w:rsidRPr="00580C63">
        <w:rPr>
          <w:lang w:val="sr-Latn-RS"/>
        </w:rPr>
        <w:t xml:space="preserve"> 4.2 za informacije o pedijatrijskoj </w:t>
      </w:r>
      <w:r w:rsidR="00FD557E" w:rsidRPr="00580C63">
        <w:rPr>
          <w:lang w:val="sr-Latn-RS"/>
        </w:rPr>
        <w:t>primjeni</w:t>
      </w:r>
      <w:r w:rsidRPr="00580C63">
        <w:rPr>
          <w:lang w:val="sr-Latn-RS"/>
        </w:rPr>
        <w:t>).</w:t>
      </w:r>
    </w:p>
    <w:p w14:paraId="0B11C713" w14:textId="77777777" w:rsidR="00596AC6" w:rsidRPr="00580C63" w:rsidRDefault="00596AC6" w:rsidP="00A441B5">
      <w:pPr>
        <w:pStyle w:val="BodyText"/>
        <w:jc w:val="both"/>
        <w:rPr>
          <w:lang w:val="sr-Latn-RS"/>
        </w:rPr>
      </w:pPr>
    </w:p>
    <w:p w14:paraId="440EC95E" w14:textId="77777777" w:rsidR="00596AC6" w:rsidRPr="00580C63" w:rsidRDefault="006658F1">
      <w:pPr>
        <w:pStyle w:val="BodyText"/>
        <w:jc w:val="both"/>
        <w:rPr>
          <w:lang w:val="sr-Latn-RS"/>
        </w:rPr>
      </w:pPr>
      <w:r w:rsidRPr="00580C63">
        <w:rPr>
          <w:u w:val="single"/>
          <w:lang w:val="sr-Latn-RS"/>
        </w:rPr>
        <w:t>Uslovno odobrenje</w:t>
      </w:r>
    </w:p>
    <w:p w14:paraId="064FEE19" w14:textId="77777777" w:rsidR="00596AC6" w:rsidRPr="00580C63" w:rsidRDefault="00596AC6" w:rsidP="00A441B5">
      <w:pPr>
        <w:pStyle w:val="BodyText"/>
        <w:jc w:val="both"/>
        <w:rPr>
          <w:lang w:val="sr-Latn-RS"/>
        </w:rPr>
      </w:pPr>
    </w:p>
    <w:p w14:paraId="436DEB7B" w14:textId="40B7E416" w:rsidR="00596AC6" w:rsidRPr="00580C63" w:rsidRDefault="006658F1">
      <w:pPr>
        <w:pStyle w:val="BodyText"/>
        <w:jc w:val="both"/>
        <w:rPr>
          <w:lang w:val="sr-Latn-RS"/>
        </w:rPr>
      </w:pPr>
      <w:r w:rsidRPr="00580C63">
        <w:rPr>
          <w:lang w:val="sr-Latn-RS"/>
        </w:rPr>
        <w:t xml:space="preserve">Ovaj </w:t>
      </w:r>
      <w:r w:rsidR="00833B31" w:rsidRPr="00580C63">
        <w:rPr>
          <w:lang w:val="sr-Latn-RS"/>
        </w:rPr>
        <w:t>l</w:t>
      </w:r>
      <w:r w:rsidR="00FD557E" w:rsidRPr="00580C63">
        <w:rPr>
          <w:lang w:val="sr-Latn-RS"/>
        </w:rPr>
        <w:t>ijek</w:t>
      </w:r>
      <w:r w:rsidRPr="00580C63">
        <w:rPr>
          <w:lang w:val="sr-Latn-RS"/>
        </w:rPr>
        <w:t xml:space="preserve"> je dobio dozvolu u okviru takozvane šeme uslovnog odobrenja. To znači da se čekaju dodatni dokazi o ovom </w:t>
      </w:r>
      <w:r w:rsidR="00833B31" w:rsidRPr="00580C63">
        <w:rPr>
          <w:lang w:val="sr-Latn-RS"/>
        </w:rPr>
        <w:t>l</w:t>
      </w:r>
      <w:r w:rsidR="00FD557E" w:rsidRPr="00580C63">
        <w:rPr>
          <w:lang w:val="sr-Latn-RS"/>
        </w:rPr>
        <w:t>ijek</w:t>
      </w:r>
      <w:r w:rsidRPr="00580C63">
        <w:rPr>
          <w:lang w:val="sr-Latn-RS"/>
        </w:rPr>
        <w:t xml:space="preserve">u. Evropska agencija za </w:t>
      </w:r>
      <w:r w:rsidR="00833B31" w:rsidRPr="00580C63">
        <w:rPr>
          <w:lang w:val="sr-Latn-RS"/>
        </w:rPr>
        <w:t>l</w:t>
      </w:r>
      <w:r w:rsidR="00FD557E" w:rsidRPr="00580C63">
        <w:rPr>
          <w:lang w:val="sr-Latn-RS"/>
        </w:rPr>
        <w:t>jek</w:t>
      </w:r>
      <w:r w:rsidRPr="00580C63">
        <w:rPr>
          <w:lang w:val="sr-Latn-RS"/>
        </w:rPr>
        <w:t xml:space="preserve">ove pregleda nove informacije o ovom </w:t>
      </w:r>
      <w:r w:rsidR="00833B31" w:rsidRPr="00580C63">
        <w:rPr>
          <w:lang w:val="sr-Latn-RS"/>
        </w:rPr>
        <w:t>l</w:t>
      </w:r>
      <w:r w:rsidR="00FD557E" w:rsidRPr="00580C63">
        <w:rPr>
          <w:lang w:val="sr-Latn-RS"/>
        </w:rPr>
        <w:t>ijek</w:t>
      </w:r>
      <w:r w:rsidRPr="00580C63">
        <w:rPr>
          <w:lang w:val="sr-Latn-RS"/>
        </w:rPr>
        <w:t xml:space="preserve">u svake godine i ovaj sažetak karakteristika </w:t>
      </w:r>
      <w:r w:rsidR="00806921" w:rsidRPr="00580C63">
        <w:rPr>
          <w:lang w:val="sr-Latn-RS"/>
        </w:rPr>
        <w:t>l</w:t>
      </w:r>
      <w:r w:rsidR="00FD557E" w:rsidRPr="00580C63">
        <w:rPr>
          <w:lang w:val="sr-Latn-RS"/>
        </w:rPr>
        <w:t>ijek</w:t>
      </w:r>
      <w:r w:rsidRPr="00580C63">
        <w:rPr>
          <w:lang w:val="sr-Latn-RS"/>
        </w:rPr>
        <w:t>a biće ažuriran po potrebi.</w:t>
      </w:r>
    </w:p>
    <w:p w14:paraId="6AEFA293" w14:textId="77777777" w:rsidR="00596AC6" w:rsidRPr="00580C63" w:rsidRDefault="00596AC6" w:rsidP="00A441B5">
      <w:pPr>
        <w:pStyle w:val="BodyText"/>
        <w:jc w:val="both"/>
        <w:rPr>
          <w:lang w:val="sr-Latn-RS"/>
        </w:rPr>
      </w:pPr>
    </w:p>
    <w:p w14:paraId="063CD9E4" w14:textId="77777777" w:rsidR="00596AC6" w:rsidRPr="00580C63" w:rsidRDefault="006658F1" w:rsidP="00A441B5">
      <w:pPr>
        <w:pStyle w:val="Heading1"/>
        <w:numPr>
          <w:ilvl w:val="1"/>
          <w:numId w:val="13"/>
        </w:numPr>
        <w:tabs>
          <w:tab w:val="left" w:pos="677"/>
          <w:tab w:val="left" w:pos="678"/>
        </w:tabs>
        <w:ind w:left="0" w:firstLine="0"/>
        <w:jc w:val="both"/>
        <w:rPr>
          <w:lang w:val="sr-Latn-RS"/>
        </w:rPr>
      </w:pPr>
      <w:bookmarkStart w:id="15" w:name="5.2_Pharmacokinetic_properties"/>
      <w:bookmarkEnd w:id="15"/>
      <w:r w:rsidRPr="00580C63">
        <w:rPr>
          <w:lang w:val="sr-Latn-RS"/>
        </w:rPr>
        <w:t>Farmakokinetički podaci</w:t>
      </w:r>
    </w:p>
    <w:p w14:paraId="677FB64D" w14:textId="77777777" w:rsidR="00596AC6" w:rsidRPr="00580C63" w:rsidRDefault="00596AC6" w:rsidP="00A441B5">
      <w:pPr>
        <w:pStyle w:val="BodyText"/>
        <w:jc w:val="both"/>
        <w:rPr>
          <w:b/>
          <w:lang w:val="sr-Latn-RS"/>
        </w:rPr>
      </w:pPr>
    </w:p>
    <w:p w14:paraId="298183D6" w14:textId="25E4A4F4" w:rsidR="00596AC6" w:rsidRPr="00580C63" w:rsidRDefault="006658F1">
      <w:pPr>
        <w:pStyle w:val="BodyText"/>
        <w:jc w:val="both"/>
        <w:rPr>
          <w:lang w:val="sr-Latn-RS"/>
        </w:rPr>
      </w:pPr>
      <w:r w:rsidRPr="00580C63">
        <w:rPr>
          <w:lang w:val="sr-Latn-RS"/>
        </w:rPr>
        <w:t>Farmakokinetička (PK) izloženost mosunetuzumabu povećala se približno na vr</w:t>
      </w:r>
      <w:r w:rsidR="00833B31" w:rsidRPr="00580C63">
        <w:rPr>
          <w:lang w:val="sr-Latn-RS"/>
        </w:rPr>
        <w:t>ij</w:t>
      </w:r>
      <w:r w:rsidRPr="00580C63">
        <w:rPr>
          <w:lang w:val="sr-Latn-RS"/>
        </w:rPr>
        <w:t xml:space="preserve">ednost proporcionalnu dozi u ispitivanom opsegu doza, od 0,05 do 60 mg. Farmakokinetika populacije nakon intravenske </w:t>
      </w:r>
      <w:r w:rsidR="00494B1E" w:rsidRPr="00580C63">
        <w:rPr>
          <w:lang w:val="sr-Latn-RS"/>
        </w:rPr>
        <w:t xml:space="preserve">primjene </w:t>
      </w:r>
      <w:r w:rsidR="00833B31" w:rsidRPr="00580C63">
        <w:rPr>
          <w:lang w:val="sr-Latn-RS"/>
        </w:rPr>
        <w:t>l</w:t>
      </w:r>
      <w:r w:rsidR="00FD557E" w:rsidRPr="00580C63">
        <w:rPr>
          <w:lang w:val="sr-Latn-RS"/>
        </w:rPr>
        <w:t>ijek</w:t>
      </w:r>
      <w:r w:rsidRPr="00580C63">
        <w:rPr>
          <w:lang w:val="sr-Latn-RS"/>
        </w:rPr>
        <w:t xml:space="preserve">a Lunsumio opisana je PK modelom sa 2 </w:t>
      </w:r>
      <w:r w:rsidR="00520824" w:rsidRPr="00580C63">
        <w:rPr>
          <w:lang w:val="sr-Latn-RS"/>
        </w:rPr>
        <w:t xml:space="preserve">prostora </w:t>
      </w:r>
      <w:r w:rsidRPr="00580C63">
        <w:rPr>
          <w:lang w:val="sr-Latn-RS"/>
        </w:rPr>
        <w:t>sa vremenski zavisnim klirensom, koji je parametrizovan kao spuštanje na plato u stabilnom stanju (CL</w:t>
      </w:r>
      <w:r w:rsidRPr="00580C63">
        <w:rPr>
          <w:vertAlign w:val="subscript"/>
          <w:lang w:val="sr-Latn-RS"/>
        </w:rPr>
        <w:t>ss</w:t>
      </w:r>
      <w:r w:rsidRPr="00580C63">
        <w:rPr>
          <w:lang w:val="sr-Latn-RS"/>
        </w:rPr>
        <w:t>) od početne vr</w:t>
      </w:r>
      <w:r w:rsidR="00833B31" w:rsidRPr="00580C63">
        <w:rPr>
          <w:lang w:val="sr-Latn-RS"/>
        </w:rPr>
        <w:t>ij</w:t>
      </w:r>
      <w:r w:rsidRPr="00580C63">
        <w:rPr>
          <w:lang w:val="sr-Latn-RS"/>
        </w:rPr>
        <w:t>ednosti (CL</w:t>
      </w:r>
      <w:r w:rsidRPr="00580C63">
        <w:rPr>
          <w:vertAlign w:val="subscript"/>
          <w:lang w:val="sr-Latn-RS"/>
        </w:rPr>
        <w:t>base</w:t>
      </w:r>
      <w:r w:rsidRPr="00580C63">
        <w:rPr>
          <w:lang w:val="sr-Latn-RS"/>
        </w:rPr>
        <w:t xml:space="preserve">) na početku </w:t>
      </w:r>
      <w:r w:rsidR="00FD557E" w:rsidRPr="00580C63">
        <w:rPr>
          <w:lang w:val="sr-Latn-RS"/>
        </w:rPr>
        <w:t>liječenja</w:t>
      </w:r>
      <w:r w:rsidRPr="00580C63">
        <w:rPr>
          <w:lang w:val="sr-Latn-RS"/>
        </w:rPr>
        <w:t xml:space="preserve"> prema prelaznom </w:t>
      </w:r>
      <w:r w:rsidR="00506CC6">
        <w:rPr>
          <w:lang w:val="sr-Latn-RS"/>
        </w:rPr>
        <w:t>poluvremenom eliminacije</w:t>
      </w:r>
      <w:r w:rsidR="00506CC6" w:rsidRPr="00580C63">
        <w:rPr>
          <w:lang w:val="sr-Latn-RS"/>
        </w:rPr>
        <w:t xml:space="preserve"> </w:t>
      </w:r>
      <w:r w:rsidRPr="00580C63">
        <w:rPr>
          <w:lang w:val="sr-Latn-RS"/>
        </w:rPr>
        <w:t>od 16,3 dana.</w:t>
      </w:r>
    </w:p>
    <w:p w14:paraId="68AB76BE" w14:textId="7F75F6BA" w:rsidR="00596AC6" w:rsidRPr="00580C63" w:rsidRDefault="006658F1">
      <w:pPr>
        <w:pStyle w:val="BodyText"/>
        <w:jc w:val="both"/>
        <w:rPr>
          <w:lang w:val="sr-Latn-RS"/>
        </w:rPr>
      </w:pPr>
      <w:r w:rsidRPr="00580C63">
        <w:rPr>
          <w:lang w:val="sr-Latn-RS"/>
        </w:rPr>
        <w:t>Um</w:t>
      </w:r>
      <w:r w:rsidR="00833B31" w:rsidRPr="00580C63">
        <w:rPr>
          <w:lang w:val="sr-Latn-RS"/>
        </w:rPr>
        <w:t>j</w:t>
      </w:r>
      <w:r w:rsidRPr="00580C63">
        <w:rPr>
          <w:lang w:val="sr-Latn-RS"/>
        </w:rPr>
        <w:t>erena do visoka farmakokinetička varijabilnost za mosunetuzumab je prim</w:t>
      </w:r>
      <w:r w:rsidR="00833B31" w:rsidRPr="00580C63">
        <w:rPr>
          <w:lang w:val="sr-Latn-RS"/>
        </w:rPr>
        <w:t>j</w:t>
      </w:r>
      <w:r w:rsidRPr="00580C63">
        <w:rPr>
          <w:lang w:val="sr-Latn-RS"/>
        </w:rPr>
        <w:t>ećena i okarakterisana je inter-individualnom varijabilnošću (IIV) koja se kreće od 18% do 86% koeficijenta varijacije (CV) za PK parametre mosunetuzumaba: IIV je proc</w:t>
      </w:r>
      <w:r w:rsidR="00833B31" w:rsidRPr="00580C63">
        <w:rPr>
          <w:lang w:val="sr-Latn-RS"/>
        </w:rPr>
        <w:t>ij</w:t>
      </w:r>
      <w:r w:rsidRPr="00580C63">
        <w:rPr>
          <w:lang w:val="sr-Latn-RS"/>
        </w:rPr>
        <w:t>enjen za CL</w:t>
      </w:r>
      <w:r w:rsidRPr="00580C63">
        <w:rPr>
          <w:vertAlign w:val="subscript"/>
          <w:lang w:val="sr-Latn-RS"/>
        </w:rPr>
        <w:t>base</w:t>
      </w:r>
      <w:r w:rsidRPr="00580C63">
        <w:rPr>
          <w:lang w:val="sr-Latn-RS"/>
        </w:rPr>
        <w:t xml:space="preserve"> (63% CV), centralni volumen distribucije (31% CV), periferni volumen distribucije (25% CV), CL</w:t>
      </w:r>
      <w:r w:rsidRPr="00580C63">
        <w:rPr>
          <w:vertAlign w:val="subscript"/>
          <w:lang w:val="sr-Latn-RS"/>
        </w:rPr>
        <w:t>ss</w:t>
      </w:r>
      <w:r w:rsidRPr="00580C63">
        <w:rPr>
          <w:lang w:val="sr-Latn-RS"/>
        </w:rPr>
        <w:t xml:space="preserve"> (18% CV) i prelazn</w:t>
      </w:r>
      <w:r w:rsidR="00520824" w:rsidRPr="00580C63">
        <w:rPr>
          <w:lang w:val="sr-Latn-RS"/>
        </w:rPr>
        <w:t>o</w:t>
      </w:r>
      <w:r w:rsidRPr="00580C63">
        <w:rPr>
          <w:lang w:val="sr-Latn-RS"/>
        </w:rPr>
        <w:t xml:space="preserve"> polu</w:t>
      </w:r>
      <w:r w:rsidR="00520824" w:rsidRPr="00580C63">
        <w:rPr>
          <w:lang w:val="sr-Latn-RS"/>
        </w:rPr>
        <w:t>vrijeme</w:t>
      </w:r>
      <w:r w:rsidRPr="00580C63">
        <w:rPr>
          <w:lang w:val="sr-Latn-RS"/>
        </w:rPr>
        <w:t xml:space="preserve"> </w:t>
      </w:r>
      <w:r w:rsidR="000D3CDE" w:rsidRPr="00580C63">
        <w:rPr>
          <w:lang w:val="sr-Latn-RS"/>
        </w:rPr>
        <w:t xml:space="preserve">eliminacije </w:t>
      </w:r>
      <w:r w:rsidRPr="00580C63">
        <w:rPr>
          <w:lang w:val="sr-Latn-RS"/>
        </w:rPr>
        <w:t>(86% CV).</w:t>
      </w:r>
    </w:p>
    <w:p w14:paraId="14F7343D" w14:textId="77777777" w:rsidR="00596AC6" w:rsidRPr="00580C63" w:rsidRDefault="00596AC6">
      <w:pPr>
        <w:pStyle w:val="BodyText"/>
        <w:jc w:val="both"/>
        <w:rPr>
          <w:lang w:val="sr-Latn-RS"/>
        </w:rPr>
      </w:pPr>
    </w:p>
    <w:p w14:paraId="6A9BBA23" w14:textId="4F98EC7F" w:rsidR="00596AC6" w:rsidRPr="00580C63" w:rsidRDefault="006658F1">
      <w:pPr>
        <w:pStyle w:val="BodyText"/>
        <w:jc w:val="both"/>
        <w:rPr>
          <w:lang w:val="sr-Latn-RS"/>
        </w:rPr>
      </w:pPr>
      <w:r w:rsidRPr="00580C63">
        <w:rPr>
          <w:lang w:val="sr-Latn-RS"/>
        </w:rPr>
        <w:t xml:space="preserve">Nakon prva dva ciklusa (tj. 42 dana) doziranja </w:t>
      </w:r>
      <w:r w:rsidR="00833B31" w:rsidRPr="00580C63">
        <w:rPr>
          <w:lang w:val="sr-Latn-RS"/>
        </w:rPr>
        <w:t>l</w:t>
      </w:r>
      <w:r w:rsidR="00FD557E" w:rsidRPr="00580C63">
        <w:rPr>
          <w:lang w:val="sr-Latn-RS"/>
        </w:rPr>
        <w:t>ijek</w:t>
      </w:r>
      <w:r w:rsidRPr="00580C63">
        <w:rPr>
          <w:lang w:val="sr-Latn-RS"/>
        </w:rPr>
        <w:t>a Lunsumio, koncentracija u serumu dostiže C</w:t>
      </w:r>
      <w:r w:rsidRPr="00580C63">
        <w:rPr>
          <w:vertAlign w:val="subscript"/>
          <w:lang w:val="sr-Latn-RS"/>
        </w:rPr>
        <w:t>max</w:t>
      </w:r>
      <w:r w:rsidRPr="00580C63">
        <w:rPr>
          <w:lang w:val="sr-Latn-RS"/>
        </w:rPr>
        <w:t xml:space="preserve"> na </w:t>
      </w:r>
      <w:r w:rsidRPr="00580C63">
        <w:rPr>
          <w:lang w:val="sr-Latn-RS"/>
        </w:rPr>
        <w:lastRenderedPageBreak/>
        <w:t xml:space="preserve">kraju doze 2. ciklusa 1. dana intravenske infuzije </w:t>
      </w:r>
      <w:r w:rsidR="00833B31" w:rsidRPr="00580C63">
        <w:rPr>
          <w:lang w:val="sr-Latn-RS"/>
        </w:rPr>
        <w:t>l</w:t>
      </w:r>
      <w:r w:rsidR="00FD557E" w:rsidRPr="00580C63">
        <w:rPr>
          <w:lang w:val="sr-Latn-RS"/>
        </w:rPr>
        <w:t>ijek</w:t>
      </w:r>
      <w:r w:rsidRPr="00580C63">
        <w:rPr>
          <w:lang w:val="sr-Latn-RS"/>
        </w:rPr>
        <w:t>a Lunsumio sa pros</w:t>
      </w:r>
      <w:r w:rsidR="007251DA" w:rsidRPr="00580C63">
        <w:rPr>
          <w:lang w:val="sr-Latn-RS"/>
        </w:rPr>
        <w:t>j</w:t>
      </w:r>
      <w:r w:rsidRPr="00580C63">
        <w:rPr>
          <w:lang w:val="sr-Latn-RS"/>
        </w:rPr>
        <w:t>ečnom maksimalnom koncentracijom od 17,9 µg/ml i %CV od 49,6%. Pros</w:t>
      </w:r>
      <w:r w:rsidR="007251DA" w:rsidRPr="00580C63">
        <w:rPr>
          <w:lang w:val="sr-Latn-RS"/>
        </w:rPr>
        <w:t>j</w:t>
      </w:r>
      <w:r w:rsidRPr="00580C63">
        <w:rPr>
          <w:lang w:val="sr-Latn-RS"/>
        </w:rPr>
        <w:t xml:space="preserve">ečna ukupna </w:t>
      </w:r>
      <w:r w:rsidR="00CE1A75" w:rsidRPr="00580C63">
        <w:rPr>
          <w:lang w:val="sr-Latn-RS"/>
        </w:rPr>
        <w:t>izloženost (PIK)</w:t>
      </w:r>
      <w:r w:rsidRPr="00580C63">
        <w:rPr>
          <w:lang w:val="sr-Latn-RS"/>
        </w:rPr>
        <w:t xml:space="preserve"> mosunetuzumabu u d</w:t>
      </w:r>
      <w:r w:rsidR="00867174">
        <w:rPr>
          <w:lang w:val="sr-Latn-RS"/>
        </w:rPr>
        <w:t>va ciklusa (42 dana) bila je</w:t>
      </w:r>
      <w:r w:rsidRPr="00580C63">
        <w:rPr>
          <w:lang w:val="sr-Latn-RS"/>
        </w:rPr>
        <w:t xml:space="preserve"> </w:t>
      </w:r>
      <w:r w:rsidR="00627AC6" w:rsidRPr="00627AC6">
        <w:rPr>
          <w:lang w:val="sr-Latn-RS"/>
        </w:rPr>
        <w:t>126 dana•μg/ml,</w:t>
      </w:r>
      <w:r w:rsidR="00627AC6">
        <w:rPr>
          <w:lang w:val="sr-Latn-RS"/>
        </w:rPr>
        <w:t xml:space="preserve"> </w:t>
      </w:r>
      <w:r w:rsidRPr="00580C63">
        <w:rPr>
          <w:lang w:val="sr-Latn-RS"/>
        </w:rPr>
        <w:t>sa %CV od 44,4%.</w:t>
      </w:r>
    </w:p>
    <w:p w14:paraId="7340B078" w14:textId="77777777" w:rsidR="00596AC6" w:rsidRPr="00580C63" w:rsidRDefault="00596AC6" w:rsidP="00A441B5">
      <w:pPr>
        <w:pStyle w:val="BodyText"/>
        <w:jc w:val="both"/>
        <w:rPr>
          <w:lang w:val="sr-Latn-RS"/>
        </w:rPr>
      </w:pPr>
    </w:p>
    <w:p w14:paraId="13ADB172" w14:textId="77777777" w:rsidR="00187D78" w:rsidRPr="00580C63" w:rsidRDefault="006658F1" w:rsidP="00A441B5">
      <w:pPr>
        <w:pStyle w:val="BodyText"/>
        <w:jc w:val="both"/>
        <w:rPr>
          <w:lang w:val="sr-Latn-RS"/>
        </w:rPr>
      </w:pPr>
      <w:r w:rsidRPr="00580C63">
        <w:rPr>
          <w:u w:val="single"/>
          <w:lang w:val="sr-Latn-RS"/>
        </w:rPr>
        <w:t>Resorpcija</w:t>
      </w:r>
    </w:p>
    <w:p w14:paraId="038E48E6" w14:textId="77777777" w:rsidR="00187D78" w:rsidRPr="00580C63" w:rsidRDefault="00187D78" w:rsidP="00A441B5">
      <w:pPr>
        <w:pStyle w:val="BodyText"/>
        <w:jc w:val="both"/>
        <w:rPr>
          <w:lang w:val="sr-Latn-RS"/>
        </w:rPr>
      </w:pPr>
    </w:p>
    <w:p w14:paraId="71F41D76" w14:textId="5D1F635E" w:rsidR="00FE7988" w:rsidRPr="00580C63" w:rsidRDefault="00FD557E">
      <w:pPr>
        <w:pStyle w:val="BodyText"/>
        <w:jc w:val="both"/>
        <w:rPr>
          <w:lang w:val="sr-Latn-RS"/>
        </w:rPr>
      </w:pPr>
      <w:r w:rsidRPr="00580C63">
        <w:rPr>
          <w:lang w:val="sr-Latn-RS"/>
        </w:rPr>
        <w:t>Lijek</w:t>
      </w:r>
      <w:r w:rsidR="00187D78" w:rsidRPr="00580C63">
        <w:rPr>
          <w:lang w:val="sr-Latn-RS"/>
        </w:rPr>
        <w:t xml:space="preserve"> Lunsumio se prim</w:t>
      </w:r>
      <w:r w:rsidR="0083711F" w:rsidRPr="00580C63">
        <w:rPr>
          <w:lang w:val="sr-Latn-RS"/>
        </w:rPr>
        <w:t>j</w:t>
      </w:r>
      <w:r w:rsidR="00187D78" w:rsidRPr="00580C63">
        <w:rPr>
          <w:lang w:val="sr-Latn-RS"/>
        </w:rPr>
        <w:t xml:space="preserve">enjuje </w:t>
      </w:r>
      <w:r w:rsidR="006658F1" w:rsidRPr="00580C63">
        <w:rPr>
          <w:lang w:val="sr-Latn-RS"/>
        </w:rPr>
        <w:t>intravenski.</w:t>
      </w:r>
    </w:p>
    <w:p w14:paraId="635307C7" w14:textId="77777777" w:rsidR="00FE7988" w:rsidRPr="00580C63" w:rsidRDefault="00FE7988">
      <w:pPr>
        <w:pStyle w:val="BodyText"/>
        <w:jc w:val="both"/>
        <w:rPr>
          <w:u w:val="single"/>
          <w:lang w:val="sr-Latn-RS"/>
        </w:rPr>
      </w:pPr>
    </w:p>
    <w:p w14:paraId="5B492043" w14:textId="24DA9E35" w:rsidR="00596AC6" w:rsidRPr="00580C63" w:rsidRDefault="006658F1">
      <w:pPr>
        <w:pStyle w:val="BodyText"/>
        <w:spacing w:line="480" w:lineRule="auto"/>
        <w:jc w:val="both"/>
        <w:rPr>
          <w:lang w:val="sr-Latn-RS"/>
        </w:rPr>
      </w:pPr>
      <w:r w:rsidRPr="00580C63">
        <w:rPr>
          <w:u w:val="single"/>
          <w:lang w:val="sr-Latn-RS"/>
        </w:rPr>
        <w:t>Distribucija</w:t>
      </w:r>
    </w:p>
    <w:p w14:paraId="1F678EAC" w14:textId="2E3A3734" w:rsidR="00596AC6" w:rsidRPr="00580C63" w:rsidRDefault="006658F1">
      <w:pPr>
        <w:pStyle w:val="BodyText"/>
        <w:jc w:val="both"/>
        <w:rPr>
          <w:lang w:val="sr-Latn-RS"/>
        </w:rPr>
      </w:pPr>
      <w:r w:rsidRPr="00580C63">
        <w:rPr>
          <w:lang w:val="sr-Latn-RS"/>
        </w:rPr>
        <w:t>Populaciona proc</w:t>
      </w:r>
      <w:r w:rsidR="00833B31" w:rsidRPr="00580C63">
        <w:rPr>
          <w:lang w:val="sr-Latn-RS"/>
        </w:rPr>
        <w:t>j</w:t>
      </w:r>
      <w:r w:rsidRPr="00580C63">
        <w:rPr>
          <w:lang w:val="sr-Latn-RS"/>
        </w:rPr>
        <w:t>ena centralnog volumena distribucije za mosunetuzumab bila je 5,</w:t>
      </w:r>
      <w:r w:rsidR="00754D84" w:rsidRPr="00580C63">
        <w:rPr>
          <w:lang w:val="sr-Latn-RS"/>
        </w:rPr>
        <w:t xml:space="preserve">49 l </w:t>
      </w:r>
      <w:r w:rsidRPr="00580C63">
        <w:rPr>
          <w:lang w:val="sr-Latn-RS"/>
        </w:rPr>
        <w:t xml:space="preserve">sa intravenskom infuzijom </w:t>
      </w:r>
      <w:r w:rsidR="00833B31" w:rsidRPr="00580C63">
        <w:rPr>
          <w:lang w:val="sr-Latn-RS"/>
        </w:rPr>
        <w:t>l</w:t>
      </w:r>
      <w:r w:rsidR="00FD557E" w:rsidRPr="00580C63">
        <w:rPr>
          <w:lang w:val="sr-Latn-RS"/>
        </w:rPr>
        <w:t>ijek</w:t>
      </w:r>
      <w:r w:rsidRPr="00580C63">
        <w:rPr>
          <w:lang w:val="sr-Latn-RS"/>
        </w:rPr>
        <w:t>a Lunsumio. Pošto je mosunetuzumab antit</w:t>
      </w:r>
      <w:r w:rsidR="00833B31" w:rsidRPr="00580C63">
        <w:rPr>
          <w:lang w:val="sr-Latn-RS"/>
        </w:rPr>
        <w:t>ij</w:t>
      </w:r>
      <w:r w:rsidRPr="00580C63">
        <w:rPr>
          <w:lang w:val="sr-Latn-RS"/>
        </w:rPr>
        <w:t>elo, studije vezivanja za proteine ni</w:t>
      </w:r>
      <w:r w:rsidR="00627AC6">
        <w:rPr>
          <w:lang w:val="sr-Latn-RS"/>
        </w:rPr>
        <w:t>je</w:t>
      </w:r>
      <w:r w:rsidRPr="00580C63">
        <w:rPr>
          <w:lang w:val="sr-Latn-RS"/>
        </w:rPr>
        <w:t>su sprovedene.</w:t>
      </w:r>
    </w:p>
    <w:p w14:paraId="62D91846" w14:textId="77777777" w:rsidR="00596AC6" w:rsidRPr="00580C63" w:rsidRDefault="00596AC6">
      <w:pPr>
        <w:pStyle w:val="BodyText"/>
        <w:jc w:val="both"/>
        <w:rPr>
          <w:lang w:val="sr-Latn-RS"/>
        </w:rPr>
      </w:pPr>
    </w:p>
    <w:p w14:paraId="3D8533AF" w14:textId="77777777" w:rsidR="00596AC6" w:rsidRPr="00580C63" w:rsidRDefault="006658F1">
      <w:pPr>
        <w:pStyle w:val="BodyText"/>
        <w:jc w:val="both"/>
        <w:rPr>
          <w:lang w:val="sr-Latn-RS"/>
        </w:rPr>
      </w:pPr>
      <w:r w:rsidRPr="00580C63">
        <w:rPr>
          <w:u w:val="single"/>
          <w:lang w:val="sr-Latn-RS"/>
        </w:rPr>
        <w:t>Biotransformacija</w:t>
      </w:r>
    </w:p>
    <w:p w14:paraId="3A1C9CE3" w14:textId="77777777" w:rsidR="00596AC6" w:rsidRPr="00580C63" w:rsidRDefault="00596AC6">
      <w:pPr>
        <w:pStyle w:val="BodyText"/>
        <w:jc w:val="both"/>
        <w:rPr>
          <w:lang w:val="sr-Latn-RS"/>
        </w:rPr>
      </w:pPr>
    </w:p>
    <w:p w14:paraId="76BB81E9" w14:textId="32646D88" w:rsidR="00596AC6" w:rsidRPr="00580C63" w:rsidRDefault="006658F1">
      <w:pPr>
        <w:pStyle w:val="BodyText"/>
        <w:jc w:val="both"/>
        <w:rPr>
          <w:lang w:val="sr-Latn-RS"/>
        </w:rPr>
      </w:pPr>
      <w:r w:rsidRPr="00580C63">
        <w:rPr>
          <w:lang w:val="sr-Latn-RS"/>
        </w:rPr>
        <w:t xml:space="preserve">Metabolički put </w:t>
      </w:r>
      <w:r w:rsidR="00833B31" w:rsidRPr="00580C63">
        <w:rPr>
          <w:lang w:val="sr-Latn-RS"/>
        </w:rPr>
        <w:t>l</w:t>
      </w:r>
      <w:r w:rsidR="00FD557E" w:rsidRPr="00580C63">
        <w:rPr>
          <w:lang w:val="sr-Latn-RS"/>
        </w:rPr>
        <w:t>ijek</w:t>
      </w:r>
      <w:r w:rsidRPr="00580C63">
        <w:rPr>
          <w:lang w:val="sr-Latn-RS"/>
        </w:rPr>
        <w:t>a mosunetuzumab nije direktno proučavan. Kao i drugi terapijski proteini, očekuje se da se mosunetuzumab razgradi u male peptide i aminokiseline kataboličkim putevima.</w:t>
      </w:r>
    </w:p>
    <w:p w14:paraId="1273B27F" w14:textId="77777777" w:rsidR="00596AC6" w:rsidRPr="00580C63" w:rsidRDefault="00596AC6">
      <w:pPr>
        <w:pStyle w:val="BodyText"/>
        <w:jc w:val="both"/>
        <w:rPr>
          <w:lang w:val="sr-Latn-RS"/>
        </w:rPr>
      </w:pPr>
    </w:p>
    <w:p w14:paraId="7B936682" w14:textId="77777777" w:rsidR="00596AC6" w:rsidRPr="00580C63" w:rsidRDefault="006658F1">
      <w:pPr>
        <w:pStyle w:val="BodyText"/>
        <w:jc w:val="both"/>
        <w:rPr>
          <w:lang w:val="sr-Latn-RS"/>
        </w:rPr>
      </w:pPr>
      <w:r w:rsidRPr="00580C63">
        <w:rPr>
          <w:u w:val="single"/>
          <w:lang w:val="sr-Latn-RS"/>
        </w:rPr>
        <w:t>Eliminacija</w:t>
      </w:r>
    </w:p>
    <w:p w14:paraId="60D08827" w14:textId="77777777" w:rsidR="00596AC6" w:rsidRPr="00580C63" w:rsidRDefault="00596AC6">
      <w:pPr>
        <w:pStyle w:val="BodyText"/>
        <w:jc w:val="both"/>
        <w:rPr>
          <w:lang w:val="sr-Latn-RS"/>
        </w:rPr>
      </w:pPr>
    </w:p>
    <w:p w14:paraId="3B0434FB" w14:textId="6D5793B2" w:rsidR="00596AC6" w:rsidRPr="00580C63" w:rsidRDefault="006658F1">
      <w:pPr>
        <w:pStyle w:val="BodyText"/>
        <w:jc w:val="both"/>
        <w:rPr>
          <w:lang w:val="sr-Latn-RS"/>
        </w:rPr>
      </w:pPr>
      <w:r w:rsidRPr="00580C63">
        <w:rPr>
          <w:lang w:val="sr-Latn-RS"/>
        </w:rPr>
        <w:t>Na osnovu populacione farmakokinetičke analize, proc</w:t>
      </w:r>
      <w:r w:rsidR="00833B31" w:rsidRPr="00580C63">
        <w:rPr>
          <w:lang w:val="sr-Latn-RS"/>
        </w:rPr>
        <w:t>ij</w:t>
      </w:r>
      <w:r w:rsidRPr="00580C63">
        <w:rPr>
          <w:lang w:val="sr-Latn-RS"/>
        </w:rPr>
        <w:t>enjeni srednji CL</w:t>
      </w:r>
      <w:r w:rsidRPr="00580C63">
        <w:rPr>
          <w:vertAlign w:val="subscript"/>
          <w:lang w:val="sr-Latn-RS"/>
        </w:rPr>
        <w:t>ss</w:t>
      </w:r>
      <w:r w:rsidRPr="00580C63">
        <w:rPr>
          <w:lang w:val="sr-Latn-RS"/>
        </w:rPr>
        <w:t xml:space="preserve"> i bazni klirens (CL</w:t>
      </w:r>
      <w:r w:rsidRPr="00580C63">
        <w:rPr>
          <w:vertAlign w:val="subscript"/>
          <w:lang w:val="sr-Latn-RS"/>
        </w:rPr>
        <w:t>base</w:t>
      </w:r>
      <w:r w:rsidRPr="00580C63">
        <w:rPr>
          <w:lang w:val="sr-Latn-RS"/>
        </w:rPr>
        <w:t>) bili su 1,08 l/dan i 0,584 l/dan, respektivno. Proc</w:t>
      </w:r>
      <w:r w:rsidR="00754D84" w:rsidRPr="00580C63">
        <w:rPr>
          <w:lang w:val="sr-Latn-RS"/>
        </w:rPr>
        <w:t>j</w:t>
      </w:r>
      <w:r w:rsidRPr="00580C63">
        <w:rPr>
          <w:lang w:val="sr-Latn-RS"/>
        </w:rPr>
        <w:t xml:space="preserve">ena terminalnog </w:t>
      </w:r>
      <w:r w:rsidR="00754D84" w:rsidRPr="00580C63">
        <w:rPr>
          <w:lang w:val="sr-Latn-RS"/>
        </w:rPr>
        <w:t xml:space="preserve">poluvremena eliminacije </w:t>
      </w:r>
      <w:r w:rsidRPr="00580C63">
        <w:rPr>
          <w:lang w:val="sr-Latn-RS"/>
        </w:rPr>
        <w:t>bila je 16,1 dan u stabilnom stanju na osnovu proc</w:t>
      </w:r>
      <w:r w:rsidR="00754D84" w:rsidRPr="00580C63">
        <w:rPr>
          <w:lang w:val="sr-Latn-RS"/>
        </w:rPr>
        <w:t>j</w:t>
      </w:r>
      <w:r w:rsidRPr="00580C63">
        <w:rPr>
          <w:lang w:val="sr-Latn-RS"/>
        </w:rPr>
        <w:t>ena farmakokinetičkog modela populacije. Rezultati dobijeni u studiji GO29781 pokazuju da koncentracija mosunetuzumaba u serumu dostiže C</w:t>
      </w:r>
      <w:r w:rsidRPr="00580C63">
        <w:rPr>
          <w:vertAlign w:val="subscript"/>
          <w:lang w:val="sr-Latn-RS"/>
        </w:rPr>
        <w:t>max</w:t>
      </w:r>
      <w:r w:rsidRPr="00580C63">
        <w:rPr>
          <w:lang w:val="sr-Latn-RS"/>
        </w:rPr>
        <w:t xml:space="preserve"> na kraju intravenske infuzije </w:t>
      </w:r>
      <w:r w:rsidR="005B7E97" w:rsidRPr="00580C63">
        <w:rPr>
          <w:lang w:val="sr-Latn-RS"/>
        </w:rPr>
        <w:t xml:space="preserve">opada </w:t>
      </w:r>
      <w:r w:rsidRPr="00580C63">
        <w:rPr>
          <w:lang w:val="sr-Latn-RS"/>
        </w:rPr>
        <w:t>bieksponencijaln</w:t>
      </w:r>
      <w:r w:rsidR="005B7E97" w:rsidRPr="00580C63">
        <w:rPr>
          <w:lang w:val="sr-Latn-RS"/>
        </w:rPr>
        <w:t>o.</w:t>
      </w:r>
    </w:p>
    <w:p w14:paraId="4842571F" w14:textId="77777777" w:rsidR="00187D78" w:rsidRPr="00580C63" w:rsidRDefault="00187D78">
      <w:pPr>
        <w:pStyle w:val="BodyText"/>
        <w:jc w:val="both"/>
        <w:rPr>
          <w:lang w:val="sr-Latn-RS"/>
        </w:rPr>
      </w:pPr>
    </w:p>
    <w:p w14:paraId="37C35B15" w14:textId="77777777" w:rsidR="00596AC6" w:rsidRPr="00580C63" w:rsidRDefault="006658F1">
      <w:pPr>
        <w:pStyle w:val="BodyText"/>
        <w:jc w:val="both"/>
        <w:rPr>
          <w:lang w:val="sr-Latn-RS"/>
        </w:rPr>
      </w:pPr>
      <w:r w:rsidRPr="00580C63">
        <w:rPr>
          <w:u w:val="single"/>
          <w:lang w:val="sr-Latn-RS"/>
        </w:rPr>
        <w:t>Posebne populacije</w:t>
      </w:r>
    </w:p>
    <w:p w14:paraId="5C8A16A2" w14:textId="77777777" w:rsidR="00596AC6" w:rsidRPr="00580C63" w:rsidRDefault="00596AC6">
      <w:pPr>
        <w:pStyle w:val="BodyText"/>
        <w:jc w:val="both"/>
        <w:rPr>
          <w:lang w:val="sr-Latn-RS"/>
        </w:rPr>
      </w:pPr>
    </w:p>
    <w:p w14:paraId="3893352B" w14:textId="77777777" w:rsidR="00596AC6" w:rsidRPr="00580C63" w:rsidRDefault="006658F1">
      <w:pPr>
        <w:jc w:val="both"/>
        <w:rPr>
          <w:i/>
          <w:lang w:val="sr-Latn-RS"/>
        </w:rPr>
      </w:pPr>
      <w:r w:rsidRPr="00580C63">
        <w:rPr>
          <w:i/>
          <w:iCs/>
          <w:lang w:val="sr-Latn-RS"/>
        </w:rPr>
        <w:t>Starije osobe</w:t>
      </w:r>
    </w:p>
    <w:p w14:paraId="026B972E" w14:textId="77777777" w:rsidR="00596AC6" w:rsidRPr="00580C63" w:rsidRDefault="00596AC6">
      <w:pPr>
        <w:pStyle w:val="BodyText"/>
        <w:jc w:val="both"/>
        <w:rPr>
          <w:i/>
          <w:lang w:val="sr-Latn-RS"/>
        </w:rPr>
      </w:pPr>
    </w:p>
    <w:p w14:paraId="74936A0B" w14:textId="46F46EFC" w:rsidR="00596AC6" w:rsidRPr="00580C63" w:rsidRDefault="006658F1">
      <w:pPr>
        <w:pStyle w:val="BodyText"/>
        <w:jc w:val="both"/>
        <w:rPr>
          <w:lang w:val="sr-Latn-RS"/>
        </w:rPr>
      </w:pPr>
      <w:r w:rsidRPr="00580C63">
        <w:rPr>
          <w:lang w:val="sr-Latn-RS"/>
        </w:rPr>
        <w:t>Starost nije imala uticaja na farmakokinetiku mosunetuzumaba na osnovu populacione farmakokinetičke analize sa pacijentima starosti 19–96 godina (n = 439). Nije prim</w:t>
      </w:r>
      <w:r w:rsidR="0083711F" w:rsidRPr="00580C63">
        <w:rPr>
          <w:lang w:val="sr-Latn-RS"/>
        </w:rPr>
        <w:t>ij</w:t>
      </w:r>
      <w:r w:rsidRPr="00580C63">
        <w:rPr>
          <w:lang w:val="sr-Latn-RS"/>
        </w:rPr>
        <w:t>ećena klinički značajna razlika u farmakokinetici mosunetuzumaba za pacijente ove starosne grupe.</w:t>
      </w:r>
    </w:p>
    <w:p w14:paraId="565819E3" w14:textId="77777777" w:rsidR="00596AC6" w:rsidRPr="00580C63" w:rsidRDefault="00596AC6">
      <w:pPr>
        <w:pStyle w:val="BodyText"/>
        <w:jc w:val="both"/>
        <w:rPr>
          <w:lang w:val="sr-Latn-RS"/>
        </w:rPr>
      </w:pPr>
    </w:p>
    <w:p w14:paraId="0CE60DFB" w14:textId="4497D9D9" w:rsidR="00596AC6" w:rsidRPr="00580C63" w:rsidRDefault="006658F1">
      <w:pPr>
        <w:jc w:val="both"/>
        <w:rPr>
          <w:i/>
          <w:lang w:val="sr-Latn-RS"/>
        </w:rPr>
      </w:pPr>
      <w:r w:rsidRPr="00580C63">
        <w:rPr>
          <w:i/>
          <w:iCs/>
          <w:lang w:val="sr-Latn-RS"/>
        </w:rPr>
        <w:t>T</w:t>
      </w:r>
      <w:r w:rsidR="0083711F" w:rsidRPr="00580C63">
        <w:rPr>
          <w:i/>
          <w:iCs/>
          <w:lang w:val="sr-Latn-RS"/>
        </w:rPr>
        <w:t>j</w:t>
      </w:r>
      <w:r w:rsidRPr="00580C63">
        <w:rPr>
          <w:i/>
          <w:iCs/>
          <w:lang w:val="sr-Latn-RS"/>
        </w:rPr>
        <w:t>elesna težina</w:t>
      </w:r>
    </w:p>
    <w:p w14:paraId="70B31AF7" w14:textId="77777777" w:rsidR="00596AC6" w:rsidRPr="00580C63" w:rsidRDefault="00596AC6">
      <w:pPr>
        <w:pStyle w:val="BodyText"/>
        <w:jc w:val="both"/>
        <w:rPr>
          <w:i/>
          <w:lang w:val="sr-Latn-RS"/>
        </w:rPr>
      </w:pPr>
    </w:p>
    <w:p w14:paraId="221E6C32" w14:textId="71F23C16" w:rsidR="00596AC6" w:rsidRPr="00580C63" w:rsidRDefault="006658F1">
      <w:pPr>
        <w:pStyle w:val="BodyText"/>
        <w:jc w:val="both"/>
        <w:rPr>
          <w:lang w:val="sr-Latn-RS"/>
        </w:rPr>
      </w:pPr>
      <w:r w:rsidRPr="00580C63">
        <w:rPr>
          <w:lang w:val="sr-Latn-RS"/>
        </w:rPr>
        <w:t>Kao i drugi terapijski proteini, t</w:t>
      </w:r>
      <w:r w:rsidR="0083711F" w:rsidRPr="00580C63">
        <w:rPr>
          <w:lang w:val="sr-Latn-RS"/>
        </w:rPr>
        <w:t>j</w:t>
      </w:r>
      <w:r w:rsidRPr="00580C63">
        <w:rPr>
          <w:lang w:val="sr-Latn-RS"/>
        </w:rPr>
        <w:t>elesna težina je bila pozitivno povezana sa proc</w:t>
      </w:r>
      <w:r w:rsidR="00833B31" w:rsidRPr="00580C63">
        <w:rPr>
          <w:lang w:val="sr-Latn-RS"/>
        </w:rPr>
        <w:t>ij</w:t>
      </w:r>
      <w:r w:rsidRPr="00580C63">
        <w:rPr>
          <w:lang w:val="sr-Latn-RS"/>
        </w:rPr>
        <w:t>enjenim klirensom i zapreminom distribucije mosunetuzumaba. Međutim, na osnovu analize izloženosti–odgovora i margina kliničke izloženosti, s obzirom na izloženost pacijenata sa „malom” (&lt; 50 kg) ili „velikom” (≥ 112 kg) težinom, nije potrebno prilagođavanje doze zbog t</w:t>
      </w:r>
      <w:r w:rsidR="00833B31" w:rsidRPr="00580C63">
        <w:rPr>
          <w:lang w:val="sr-Latn-RS"/>
        </w:rPr>
        <w:t>j</w:t>
      </w:r>
      <w:r w:rsidRPr="00580C63">
        <w:rPr>
          <w:lang w:val="sr-Latn-RS"/>
        </w:rPr>
        <w:t>elesne težine pacijenta.</w:t>
      </w:r>
    </w:p>
    <w:p w14:paraId="04297463" w14:textId="77777777" w:rsidR="00596AC6" w:rsidRPr="00580C63" w:rsidRDefault="00596AC6">
      <w:pPr>
        <w:pStyle w:val="BodyText"/>
        <w:jc w:val="both"/>
        <w:rPr>
          <w:lang w:val="sr-Latn-RS"/>
        </w:rPr>
      </w:pPr>
    </w:p>
    <w:p w14:paraId="4562B29C" w14:textId="77777777" w:rsidR="00596AC6" w:rsidRPr="00580C63" w:rsidRDefault="006658F1">
      <w:pPr>
        <w:jc w:val="both"/>
        <w:rPr>
          <w:i/>
          <w:lang w:val="sr-Latn-RS"/>
        </w:rPr>
      </w:pPr>
      <w:r w:rsidRPr="00580C63">
        <w:rPr>
          <w:i/>
          <w:iCs/>
          <w:lang w:val="sr-Latn-RS"/>
        </w:rPr>
        <w:t>Pol</w:t>
      </w:r>
    </w:p>
    <w:p w14:paraId="766AF0CC" w14:textId="77777777" w:rsidR="00596AC6" w:rsidRPr="00580C63" w:rsidRDefault="00596AC6">
      <w:pPr>
        <w:pStyle w:val="BodyText"/>
        <w:jc w:val="both"/>
        <w:rPr>
          <w:i/>
          <w:lang w:val="sr-Latn-RS"/>
        </w:rPr>
      </w:pPr>
    </w:p>
    <w:p w14:paraId="7FA4B20C" w14:textId="77777777" w:rsidR="00596AC6" w:rsidRPr="00580C63" w:rsidRDefault="006658F1">
      <w:pPr>
        <w:pStyle w:val="BodyText"/>
        <w:jc w:val="both"/>
        <w:rPr>
          <w:lang w:val="sr-Latn-RS"/>
        </w:rPr>
      </w:pPr>
      <w:r w:rsidRPr="00580C63">
        <w:rPr>
          <w:lang w:val="sr-Latn-RS"/>
        </w:rPr>
        <w:t>Na osnovu populacione farmakokinetičke analize, klirens mosunetuzumaba u stabilnom stanju je neznatno niži kod žena (~13%) u poređenju sa muškarcima. Na osnovu analize izloženosti–odgovora nije potrebno prilagođavanje doze zbog pola pacijenta.</w:t>
      </w:r>
    </w:p>
    <w:p w14:paraId="6C4F84F2" w14:textId="77777777" w:rsidR="00596AC6" w:rsidRPr="00580C63" w:rsidRDefault="00596AC6">
      <w:pPr>
        <w:pStyle w:val="BodyText"/>
        <w:jc w:val="both"/>
        <w:rPr>
          <w:lang w:val="sr-Latn-RS"/>
        </w:rPr>
      </w:pPr>
    </w:p>
    <w:p w14:paraId="41AC2B3B" w14:textId="77777777" w:rsidR="00596AC6" w:rsidRPr="00580C63" w:rsidRDefault="006658F1">
      <w:pPr>
        <w:jc w:val="both"/>
        <w:rPr>
          <w:i/>
          <w:lang w:val="sr-Latn-RS"/>
        </w:rPr>
      </w:pPr>
      <w:r w:rsidRPr="00580C63">
        <w:rPr>
          <w:i/>
          <w:iCs/>
          <w:lang w:val="sr-Latn-RS"/>
        </w:rPr>
        <w:t>Rasa</w:t>
      </w:r>
    </w:p>
    <w:p w14:paraId="05033EE5" w14:textId="77777777" w:rsidR="00596AC6" w:rsidRPr="00580C63" w:rsidRDefault="00596AC6">
      <w:pPr>
        <w:pStyle w:val="BodyText"/>
        <w:jc w:val="both"/>
        <w:rPr>
          <w:i/>
          <w:lang w:val="sr-Latn-RS"/>
        </w:rPr>
      </w:pPr>
    </w:p>
    <w:p w14:paraId="68907D1A" w14:textId="0A82DC29" w:rsidR="00596AC6" w:rsidRPr="00580C63" w:rsidRDefault="006658F1">
      <w:pPr>
        <w:pStyle w:val="BodyText"/>
        <w:jc w:val="both"/>
        <w:rPr>
          <w:lang w:val="sr-Latn-RS"/>
        </w:rPr>
      </w:pPr>
      <w:r w:rsidRPr="00580C63">
        <w:rPr>
          <w:lang w:val="sr-Latn-RS"/>
        </w:rPr>
        <w:t xml:space="preserve">Rasa (Azijat </w:t>
      </w:r>
      <w:r w:rsidR="002E4084" w:rsidRPr="00580C63">
        <w:rPr>
          <w:lang w:val="sr-Latn-RS"/>
        </w:rPr>
        <w:t>u odnosu na one koji ne pripadaju ovoj grupi</w:t>
      </w:r>
      <w:r w:rsidRPr="00580C63">
        <w:rPr>
          <w:lang w:val="sr-Latn-RS"/>
        </w:rPr>
        <w:t>) nije identifikovana kao kovarijanta koja utiče na farmakokinetiku mosunetuzumaba.</w:t>
      </w:r>
    </w:p>
    <w:p w14:paraId="0A1C4B34" w14:textId="77777777" w:rsidR="00596AC6" w:rsidRPr="00580C63" w:rsidRDefault="00596AC6">
      <w:pPr>
        <w:pStyle w:val="BodyText"/>
        <w:jc w:val="both"/>
        <w:rPr>
          <w:lang w:val="sr-Latn-RS"/>
        </w:rPr>
      </w:pPr>
    </w:p>
    <w:p w14:paraId="7A7DCDEC" w14:textId="77777777" w:rsidR="00596AC6" w:rsidRPr="00580C63" w:rsidRDefault="006658F1">
      <w:pPr>
        <w:jc w:val="both"/>
        <w:rPr>
          <w:i/>
          <w:lang w:val="sr-Latn-RS"/>
        </w:rPr>
      </w:pPr>
      <w:r w:rsidRPr="00580C63">
        <w:rPr>
          <w:i/>
          <w:iCs/>
          <w:lang w:val="sr-Latn-RS"/>
        </w:rPr>
        <w:t>Oštećenje funkcije bubrega</w:t>
      </w:r>
    </w:p>
    <w:p w14:paraId="4751D43D" w14:textId="77777777" w:rsidR="00596AC6" w:rsidRPr="00580C63" w:rsidRDefault="00596AC6">
      <w:pPr>
        <w:pStyle w:val="BodyText"/>
        <w:jc w:val="both"/>
        <w:rPr>
          <w:i/>
          <w:lang w:val="sr-Latn-RS"/>
        </w:rPr>
      </w:pPr>
    </w:p>
    <w:p w14:paraId="29480B97" w14:textId="4B3782AA" w:rsidR="00596AC6" w:rsidRPr="00580C63" w:rsidRDefault="006658F1">
      <w:pPr>
        <w:pStyle w:val="BodyText"/>
        <w:jc w:val="both"/>
        <w:rPr>
          <w:lang w:val="sr-Latn-RS"/>
        </w:rPr>
      </w:pPr>
      <w:r w:rsidRPr="00580C63">
        <w:rPr>
          <w:lang w:val="sr-Latn-RS"/>
        </w:rPr>
        <w:t>Ni</w:t>
      </w:r>
      <w:r w:rsidR="00627AC6">
        <w:rPr>
          <w:lang w:val="sr-Latn-RS"/>
        </w:rPr>
        <w:t>je</w:t>
      </w:r>
      <w:r w:rsidRPr="00580C63">
        <w:rPr>
          <w:lang w:val="sr-Latn-RS"/>
        </w:rPr>
        <w:t xml:space="preserve">su sprovedene posebne studije uticaja oštećene funkcije bubrega na farmakokinetiku mosunetuzumaba. Očekuje se da će bubrežna ekskrecija intaktnog mosunetuzumaba, IgG monoklonskog </w:t>
      </w:r>
      <w:r w:rsidRPr="00580C63">
        <w:rPr>
          <w:lang w:val="sr-Latn-RS"/>
        </w:rPr>
        <w:lastRenderedPageBreak/>
        <w:t>antit</w:t>
      </w:r>
      <w:r w:rsidR="00833B31" w:rsidRPr="00580C63">
        <w:rPr>
          <w:lang w:val="sr-Latn-RS"/>
        </w:rPr>
        <w:t>ij</w:t>
      </w:r>
      <w:r w:rsidRPr="00580C63">
        <w:rPr>
          <w:lang w:val="sr-Latn-RS"/>
        </w:rPr>
        <w:t>ela, biti niska i od manjeg značaja.</w:t>
      </w:r>
    </w:p>
    <w:p w14:paraId="4BF17B1E" w14:textId="77777777" w:rsidR="00596AC6" w:rsidRPr="00580C63" w:rsidRDefault="00596AC6">
      <w:pPr>
        <w:pStyle w:val="BodyText"/>
        <w:jc w:val="both"/>
        <w:rPr>
          <w:lang w:val="sr-Latn-RS"/>
        </w:rPr>
      </w:pPr>
    </w:p>
    <w:p w14:paraId="0A0D10E2" w14:textId="0C044489" w:rsidR="00596AC6" w:rsidRPr="00580C63" w:rsidRDefault="006658F1">
      <w:pPr>
        <w:pStyle w:val="BodyText"/>
        <w:jc w:val="both"/>
        <w:rPr>
          <w:lang w:val="sr-Latn-RS"/>
        </w:rPr>
      </w:pPr>
      <w:r w:rsidRPr="00580C63">
        <w:rPr>
          <w:lang w:val="sr-Latn-RS"/>
        </w:rPr>
        <w:t xml:space="preserve">Analiza populacione farmakokinetike mosunetuzumaba pokazala je da klirens kreatinina (CrCl) ne utiče na farmakokinetiku mosunetuzumaba. Farmakokinetika mosunetuzumaba kod pacijenata sa blagim (CrCl 60 do 89 ml/min, n = 178) ili </w:t>
      </w:r>
      <w:r w:rsidR="00FD557E" w:rsidRPr="00580C63">
        <w:rPr>
          <w:lang w:val="sr-Latn-RS"/>
        </w:rPr>
        <w:t>umjerenim</w:t>
      </w:r>
      <w:r w:rsidRPr="00580C63">
        <w:rPr>
          <w:lang w:val="sr-Latn-RS"/>
        </w:rPr>
        <w:t xml:space="preserve"> (CrCl 30 do 59 ml/min, n = 53) oštećenjem funkcije bubrega bila je slična onoj kod pacijenata sa normalnom funkcijom bubrega (CrCl ≥ 90 ml/min, n = 200). Farmakokinetički podaci kod pacijenata sa teškim oštećenjem funkcije bubrega (CrCl 15 do 29 ml/min) su ograničeni (n = 1), stoga se ne mogu dati preporuke za dozu. </w:t>
      </w:r>
      <w:r w:rsidR="00FD557E" w:rsidRPr="00580C63">
        <w:rPr>
          <w:lang w:val="sr-Latn-RS"/>
        </w:rPr>
        <w:t>Lijek</w:t>
      </w:r>
      <w:r w:rsidRPr="00580C63">
        <w:rPr>
          <w:lang w:val="sr-Latn-RS"/>
        </w:rPr>
        <w:t xml:space="preserve"> Lunsumio nije ispitivan kod pacijenata sa bubrežnim oboljenjem u krajnjem stadijumu, odnosno onih koji su na dijalizi.</w:t>
      </w:r>
    </w:p>
    <w:p w14:paraId="324D5F8E" w14:textId="77777777" w:rsidR="00596AC6" w:rsidRPr="00580C63" w:rsidRDefault="00596AC6">
      <w:pPr>
        <w:pStyle w:val="BodyText"/>
        <w:jc w:val="both"/>
        <w:rPr>
          <w:lang w:val="sr-Latn-RS"/>
        </w:rPr>
      </w:pPr>
    </w:p>
    <w:p w14:paraId="5D579FEE" w14:textId="77777777" w:rsidR="00596AC6" w:rsidRPr="00580C63" w:rsidRDefault="006658F1">
      <w:pPr>
        <w:jc w:val="both"/>
        <w:rPr>
          <w:i/>
          <w:lang w:val="sr-Latn-RS"/>
        </w:rPr>
      </w:pPr>
      <w:r w:rsidRPr="00580C63">
        <w:rPr>
          <w:i/>
          <w:iCs/>
          <w:lang w:val="sr-Latn-RS"/>
        </w:rPr>
        <w:t>Oštećenje funkcije jetre</w:t>
      </w:r>
    </w:p>
    <w:p w14:paraId="059F4308" w14:textId="77777777" w:rsidR="00596AC6" w:rsidRPr="00580C63" w:rsidRDefault="00596AC6">
      <w:pPr>
        <w:pStyle w:val="BodyText"/>
        <w:jc w:val="both"/>
        <w:rPr>
          <w:i/>
          <w:lang w:val="sr-Latn-RS"/>
        </w:rPr>
      </w:pPr>
    </w:p>
    <w:p w14:paraId="49DB4E04" w14:textId="1049886D" w:rsidR="00596AC6" w:rsidRPr="00580C63" w:rsidRDefault="006658F1">
      <w:pPr>
        <w:pStyle w:val="BodyText"/>
        <w:jc w:val="both"/>
        <w:rPr>
          <w:lang w:val="sr-Latn-RS"/>
        </w:rPr>
      </w:pPr>
      <w:r w:rsidRPr="00580C63">
        <w:rPr>
          <w:lang w:val="sr-Latn-RS"/>
        </w:rPr>
        <w:t>Ni</w:t>
      </w:r>
      <w:r w:rsidR="00D74A81">
        <w:rPr>
          <w:lang w:val="sr-Latn-RS"/>
        </w:rPr>
        <w:t>je</w:t>
      </w:r>
      <w:r w:rsidRPr="00580C63">
        <w:rPr>
          <w:lang w:val="sr-Latn-RS"/>
        </w:rPr>
        <w:t>su sprovedene posebne studije uticaja oštećenja funkcije jetre na farmakokinetiku mosunetuzumaba. IgG se uglavnom eliminišu putem intracelularnog katabolizma i ne očekuje se da oštećenje funkcije jetre utiče na klirens mosunetuzumaba.</w:t>
      </w:r>
    </w:p>
    <w:p w14:paraId="7D4CCD8F" w14:textId="77777777" w:rsidR="00596AC6" w:rsidRPr="00580C63" w:rsidRDefault="00596AC6">
      <w:pPr>
        <w:pStyle w:val="BodyText"/>
        <w:jc w:val="both"/>
        <w:rPr>
          <w:lang w:val="sr-Latn-RS"/>
        </w:rPr>
      </w:pPr>
    </w:p>
    <w:p w14:paraId="0676EC8D" w14:textId="15D445B2" w:rsidR="00596AC6" w:rsidRPr="00580C63" w:rsidRDefault="006658F1">
      <w:pPr>
        <w:pStyle w:val="BodyText"/>
        <w:jc w:val="both"/>
        <w:rPr>
          <w:lang w:val="sr-Latn-RS"/>
        </w:rPr>
      </w:pPr>
      <w:r w:rsidRPr="00580C63">
        <w:rPr>
          <w:lang w:val="sr-Latn-RS"/>
        </w:rPr>
        <w:t xml:space="preserve">Analiza populacione farmakokinetike mosunetuzumaba pokazala je da oštećenje funkcije jetre ne utiče na farmakokinetiku mosunetuzumaba. Farmakokinetika mosunetuzumaba kod pacijenata sa blagim oštećenjem funkcije jetre (ukupni bilirubin &gt; ULN do 1,5 x ULN ili AST &gt; ULN, n = 53) bila je slična onoj kod pacijenata sa normalnom funkcijom jetre (n = 384). Broj pacijenata sa </w:t>
      </w:r>
      <w:r w:rsidR="00FD557E" w:rsidRPr="00580C63">
        <w:rPr>
          <w:lang w:val="sr-Latn-RS"/>
        </w:rPr>
        <w:t>umjerenim</w:t>
      </w:r>
      <w:r w:rsidRPr="00580C63">
        <w:rPr>
          <w:lang w:val="sr-Latn-RS"/>
        </w:rPr>
        <w:t xml:space="preserve"> oštećenjem funkcije jetre je ograničen (ukupni bilirubin &gt; 1,5–3 x ULN, bilo koji AST, n = 2) i ni</w:t>
      </w:r>
      <w:r w:rsidR="00D74A81">
        <w:rPr>
          <w:lang w:val="sr-Latn-RS"/>
        </w:rPr>
        <w:t>je</w:t>
      </w:r>
      <w:r w:rsidRPr="00580C63">
        <w:rPr>
          <w:lang w:val="sr-Latn-RS"/>
        </w:rPr>
        <w:t>su proučavani pacijenti sa teškim oštećenjem funkcije jetre.</w:t>
      </w:r>
    </w:p>
    <w:p w14:paraId="1B5D8B9B" w14:textId="77777777" w:rsidR="00596AC6" w:rsidRPr="00580C63" w:rsidRDefault="00596AC6">
      <w:pPr>
        <w:pStyle w:val="BodyText"/>
        <w:jc w:val="both"/>
        <w:rPr>
          <w:lang w:val="sr-Latn-RS"/>
        </w:rPr>
      </w:pPr>
    </w:p>
    <w:p w14:paraId="6EC17D7E" w14:textId="77777777" w:rsidR="00596AC6" w:rsidRPr="00580C63" w:rsidRDefault="006658F1">
      <w:pPr>
        <w:jc w:val="both"/>
        <w:rPr>
          <w:i/>
          <w:lang w:val="sr-Latn-RS"/>
        </w:rPr>
      </w:pPr>
      <w:r w:rsidRPr="00580C63">
        <w:rPr>
          <w:i/>
          <w:iCs/>
          <w:lang w:val="sr-Latn-RS"/>
        </w:rPr>
        <w:t>Pedijatrijska populacija</w:t>
      </w:r>
    </w:p>
    <w:p w14:paraId="0FF82FDB" w14:textId="77777777" w:rsidR="00596AC6" w:rsidRPr="00580C63" w:rsidRDefault="00596AC6">
      <w:pPr>
        <w:pStyle w:val="BodyText"/>
        <w:jc w:val="both"/>
        <w:rPr>
          <w:i/>
          <w:lang w:val="sr-Latn-RS"/>
        </w:rPr>
      </w:pPr>
    </w:p>
    <w:p w14:paraId="4901EB5B" w14:textId="58CF7F8A" w:rsidR="00187D78" w:rsidRPr="00580C63" w:rsidRDefault="006658F1">
      <w:pPr>
        <w:pStyle w:val="BodyText"/>
        <w:jc w:val="both"/>
        <w:rPr>
          <w:lang w:val="sr-Latn-RS"/>
        </w:rPr>
      </w:pPr>
      <w:r w:rsidRPr="00580C63">
        <w:rPr>
          <w:lang w:val="sr-Latn-RS"/>
        </w:rPr>
        <w:t>Ni</w:t>
      </w:r>
      <w:r w:rsidR="00D74A81">
        <w:rPr>
          <w:lang w:val="sr-Latn-RS"/>
        </w:rPr>
        <w:t>je</w:t>
      </w:r>
      <w:r w:rsidRPr="00580C63">
        <w:rPr>
          <w:lang w:val="sr-Latn-RS"/>
        </w:rPr>
        <w:t>su izvršene studije kojima bi se ispitala farmakokinetika mosunetuzumaba u pedijatrijskoj populaciji (mlađoj od 18 godina).</w:t>
      </w:r>
    </w:p>
    <w:p w14:paraId="048569C6" w14:textId="77777777" w:rsidR="009F0494" w:rsidRPr="00580C63" w:rsidRDefault="009F0494">
      <w:pPr>
        <w:pStyle w:val="Heading1"/>
        <w:tabs>
          <w:tab w:val="left" w:pos="677"/>
          <w:tab w:val="left" w:pos="678"/>
        </w:tabs>
        <w:ind w:left="0" w:firstLine="0"/>
        <w:jc w:val="both"/>
        <w:rPr>
          <w:lang w:val="sr-Latn-RS"/>
        </w:rPr>
      </w:pPr>
      <w:bookmarkStart w:id="16" w:name="5.3_Preclinical_safety_data"/>
      <w:bookmarkEnd w:id="16"/>
    </w:p>
    <w:p w14:paraId="690502F8" w14:textId="590734E7" w:rsidR="00596AC6" w:rsidRPr="00580C63" w:rsidRDefault="006658F1">
      <w:pPr>
        <w:pStyle w:val="Heading1"/>
        <w:numPr>
          <w:ilvl w:val="1"/>
          <w:numId w:val="13"/>
        </w:numPr>
        <w:tabs>
          <w:tab w:val="left" w:pos="677"/>
          <w:tab w:val="left" w:pos="678"/>
        </w:tabs>
        <w:ind w:left="0" w:firstLine="0"/>
        <w:jc w:val="both"/>
        <w:rPr>
          <w:lang w:val="sr-Latn-RS"/>
        </w:rPr>
      </w:pPr>
      <w:r w:rsidRPr="00580C63">
        <w:rPr>
          <w:lang w:val="sr-Latn-RS"/>
        </w:rPr>
        <w:t xml:space="preserve">Pretklinički podaci o </w:t>
      </w:r>
      <w:r w:rsidR="00FD557E" w:rsidRPr="00580C63">
        <w:rPr>
          <w:lang w:val="sr-Latn-RS"/>
        </w:rPr>
        <w:t>bezbjednost</w:t>
      </w:r>
      <w:r w:rsidRPr="00580C63">
        <w:rPr>
          <w:lang w:val="sr-Latn-RS"/>
        </w:rPr>
        <w:t xml:space="preserve">i </w:t>
      </w:r>
    </w:p>
    <w:p w14:paraId="004FDF6E" w14:textId="77777777" w:rsidR="00596AC6" w:rsidRPr="00580C63" w:rsidRDefault="00596AC6">
      <w:pPr>
        <w:pStyle w:val="BodyText"/>
        <w:jc w:val="both"/>
        <w:rPr>
          <w:b/>
          <w:lang w:val="sr-Latn-RS"/>
        </w:rPr>
      </w:pPr>
    </w:p>
    <w:p w14:paraId="133B31B1" w14:textId="77777777" w:rsidR="00596AC6" w:rsidRPr="00580C63" w:rsidRDefault="006658F1">
      <w:pPr>
        <w:pStyle w:val="BodyText"/>
        <w:jc w:val="both"/>
        <w:rPr>
          <w:lang w:val="sr-Latn-RS"/>
        </w:rPr>
      </w:pPr>
      <w:r w:rsidRPr="00580C63">
        <w:rPr>
          <w:u w:val="single"/>
          <w:lang w:val="sr-Latn-RS"/>
        </w:rPr>
        <w:t>Sistemska toksičnost</w:t>
      </w:r>
    </w:p>
    <w:p w14:paraId="60EE05A7" w14:textId="77777777" w:rsidR="00596AC6" w:rsidRPr="00580C63" w:rsidRDefault="00596AC6">
      <w:pPr>
        <w:pStyle w:val="BodyText"/>
        <w:jc w:val="both"/>
        <w:rPr>
          <w:lang w:val="sr-Latn-RS"/>
        </w:rPr>
      </w:pPr>
    </w:p>
    <w:p w14:paraId="265BC246" w14:textId="2B96E4B1" w:rsidR="00596AC6" w:rsidRPr="00580C63" w:rsidRDefault="006658F1">
      <w:pPr>
        <w:pStyle w:val="BodyText"/>
        <w:jc w:val="both"/>
        <w:rPr>
          <w:lang w:val="sr-Latn-RS"/>
        </w:rPr>
      </w:pPr>
      <w:r w:rsidRPr="00580C63">
        <w:rPr>
          <w:lang w:val="sr-Latn-RS"/>
        </w:rPr>
        <w:t xml:space="preserve">Ključni neklinički nalazi o mosunetuzumabu identifikovani u studijama toksičnosti pojedinačne i ponovljene doze u trajanju do 26 </w:t>
      </w:r>
      <w:r w:rsidR="00FD557E" w:rsidRPr="00580C63">
        <w:rPr>
          <w:lang w:val="sr-Latn-RS"/>
        </w:rPr>
        <w:t>nedjelja</w:t>
      </w:r>
      <w:r w:rsidRPr="00580C63">
        <w:rPr>
          <w:lang w:val="sr-Latn-RS"/>
        </w:rPr>
        <w:t xml:space="preserve"> uključivali su prolazni CRS nakon doze, prvenstveno ograničen na prvu dozu, vaskularne/perivaskularne inflamatorne ćelijske infiltrate koji su prvenstveno bili u CNS-u i neretko u drugim organima koji su v</w:t>
      </w:r>
      <w:r w:rsidR="00B45216" w:rsidRPr="00580C63">
        <w:rPr>
          <w:lang w:val="sr-Latn-RS"/>
        </w:rPr>
        <w:t>j</w:t>
      </w:r>
      <w:r w:rsidRPr="00580C63">
        <w:rPr>
          <w:lang w:val="sr-Latn-RS"/>
        </w:rPr>
        <w:t xml:space="preserve">erovatno bili </w:t>
      </w:r>
      <w:r w:rsidR="00D74A81">
        <w:rPr>
          <w:lang w:val="sr-Latn-RS"/>
        </w:rPr>
        <w:t>posljedica</w:t>
      </w:r>
      <w:r w:rsidRPr="00580C63">
        <w:rPr>
          <w:lang w:val="sr-Latn-RS"/>
        </w:rPr>
        <w:t xml:space="preserve"> oslobađanj</w:t>
      </w:r>
      <w:r w:rsidR="00D74A81">
        <w:rPr>
          <w:lang w:val="sr-Latn-RS"/>
        </w:rPr>
        <w:t>a</w:t>
      </w:r>
      <w:r w:rsidRPr="00580C63">
        <w:rPr>
          <w:lang w:val="sr-Latn-RS"/>
        </w:rPr>
        <w:t xml:space="preserve"> citokina i aktivacije imunih ćelija, i povećane os</w:t>
      </w:r>
      <w:r w:rsidR="00B41900" w:rsidRPr="00580C63">
        <w:rPr>
          <w:lang w:val="sr-Latn-RS"/>
        </w:rPr>
        <w:t>j</w:t>
      </w:r>
      <w:r w:rsidRPr="00580C63">
        <w:rPr>
          <w:lang w:val="sr-Latn-RS"/>
        </w:rPr>
        <w:t>etljivosti na infekciju nakon hroničnog doziranja usl</w:t>
      </w:r>
      <w:r w:rsidR="00B41900" w:rsidRPr="00580C63">
        <w:rPr>
          <w:lang w:val="sr-Latn-RS"/>
        </w:rPr>
        <w:t>j</w:t>
      </w:r>
      <w:r w:rsidRPr="00580C63">
        <w:rPr>
          <w:lang w:val="sr-Latn-RS"/>
        </w:rPr>
        <w:t>ed trajnog iscrpljivanja B-ćelija.</w:t>
      </w:r>
    </w:p>
    <w:p w14:paraId="2938C4FB" w14:textId="77777777" w:rsidR="00596AC6" w:rsidRPr="00580C63" w:rsidRDefault="00596AC6">
      <w:pPr>
        <w:pStyle w:val="BodyText"/>
        <w:jc w:val="both"/>
        <w:rPr>
          <w:lang w:val="sr-Latn-RS"/>
        </w:rPr>
      </w:pPr>
    </w:p>
    <w:p w14:paraId="01E9AAF4" w14:textId="69FF4BF2" w:rsidR="00596AC6" w:rsidRPr="00580C63" w:rsidRDefault="006658F1">
      <w:pPr>
        <w:pStyle w:val="BodyText"/>
        <w:jc w:val="both"/>
        <w:rPr>
          <w:lang w:val="sr-Latn-RS"/>
        </w:rPr>
      </w:pPr>
      <w:r w:rsidRPr="00580C63">
        <w:rPr>
          <w:lang w:val="sr-Latn-RS"/>
        </w:rPr>
        <w:t>Svi nalazi se smatraju farmakološki posredovanim efektima i reverzibilnim. U svim studijama postojala je pojedinačna incidenca konvulzija kod jedne životinje</w:t>
      </w:r>
      <w:r w:rsidR="00B45216" w:rsidRPr="00580C63">
        <w:rPr>
          <w:lang w:val="sr-Latn-RS"/>
        </w:rPr>
        <w:t>, i to pri</w:t>
      </w:r>
      <w:r w:rsidRPr="00580C63">
        <w:rPr>
          <w:lang w:val="sr-Latn-RS"/>
        </w:rPr>
        <w:t xml:space="preserve"> </w:t>
      </w:r>
      <w:r w:rsidR="00B45216" w:rsidRPr="00580C63">
        <w:rPr>
          <w:lang w:val="sr-Latn-RS"/>
        </w:rPr>
        <w:t xml:space="preserve">vrijednostima </w:t>
      </w:r>
      <w:r w:rsidRPr="00580C63">
        <w:rPr>
          <w:lang w:val="sr-Latn-RS"/>
        </w:rPr>
        <w:t>C</w:t>
      </w:r>
      <w:r w:rsidRPr="00580C63">
        <w:rPr>
          <w:vertAlign w:val="subscript"/>
          <w:lang w:val="sr-Latn-RS"/>
        </w:rPr>
        <w:t>max</w:t>
      </w:r>
      <w:r w:rsidRPr="00580C63">
        <w:rPr>
          <w:lang w:val="sr-Latn-RS"/>
        </w:rPr>
        <w:t xml:space="preserve"> i </w:t>
      </w:r>
      <w:r w:rsidR="00B45216" w:rsidRPr="00580C63">
        <w:rPr>
          <w:lang w:val="sr-Latn-RS"/>
        </w:rPr>
        <w:t xml:space="preserve">PIK </w:t>
      </w:r>
      <w:r w:rsidRPr="00580C63">
        <w:rPr>
          <w:lang w:val="sr-Latn-RS"/>
        </w:rPr>
        <w:t>(u pros</w:t>
      </w:r>
      <w:r w:rsidR="00CB7959" w:rsidRPr="00580C63">
        <w:rPr>
          <w:lang w:val="sr-Latn-RS"/>
        </w:rPr>
        <w:t>j</w:t>
      </w:r>
      <w:r w:rsidRPr="00580C63">
        <w:rPr>
          <w:lang w:val="sr-Latn-RS"/>
        </w:rPr>
        <w:t xml:space="preserve">eku tokom 7 dana) </w:t>
      </w:r>
      <w:r w:rsidR="00B45216" w:rsidRPr="00580C63">
        <w:rPr>
          <w:lang w:val="sr-Latn-RS"/>
        </w:rPr>
        <w:t xml:space="preserve">koje su bile </w:t>
      </w:r>
      <w:r w:rsidRPr="00580C63">
        <w:rPr>
          <w:lang w:val="sr-Latn-RS"/>
        </w:rPr>
        <w:t xml:space="preserve">3,3 </w:t>
      </w:r>
      <w:r w:rsidR="00B45216" w:rsidRPr="00580C63">
        <w:rPr>
          <w:lang w:val="sr-Latn-RS"/>
        </w:rPr>
        <w:t>odnosno</w:t>
      </w:r>
      <w:r w:rsidRPr="00580C63">
        <w:rPr>
          <w:lang w:val="sr-Latn-RS"/>
        </w:rPr>
        <w:t xml:space="preserve"> 1,8 puta već</w:t>
      </w:r>
      <w:r w:rsidR="00B45216" w:rsidRPr="00580C63">
        <w:rPr>
          <w:lang w:val="sr-Latn-RS"/>
        </w:rPr>
        <w:t>e</w:t>
      </w:r>
      <w:r w:rsidRPr="00580C63">
        <w:rPr>
          <w:lang w:val="sr-Latn-RS"/>
        </w:rPr>
        <w:t xml:space="preserve"> nego kod pacijenata koji su primali </w:t>
      </w:r>
      <w:r w:rsidR="00B41900" w:rsidRPr="00580C63">
        <w:rPr>
          <w:lang w:val="sr-Latn-RS"/>
        </w:rPr>
        <w:t>l</w:t>
      </w:r>
      <w:r w:rsidR="00FD557E" w:rsidRPr="00580C63">
        <w:rPr>
          <w:lang w:val="sr-Latn-RS"/>
        </w:rPr>
        <w:t>ijek</w:t>
      </w:r>
      <w:r w:rsidRPr="00580C63">
        <w:rPr>
          <w:lang w:val="sr-Latn-RS"/>
        </w:rPr>
        <w:t xml:space="preserve"> Lunsumio u preporučenoj dozi i rasporedu u studiji GO29781.</w:t>
      </w:r>
    </w:p>
    <w:p w14:paraId="7C4FF6FA" w14:textId="77777777" w:rsidR="00596AC6" w:rsidRPr="00580C63" w:rsidRDefault="00596AC6">
      <w:pPr>
        <w:pStyle w:val="BodyText"/>
        <w:jc w:val="both"/>
        <w:rPr>
          <w:lang w:val="sr-Latn-RS"/>
        </w:rPr>
      </w:pPr>
    </w:p>
    <w:p w14:paraId="22C2D8B3" w14:textId="77777777" w:rsidR="00596AC6" w:rsidRPr="00580C63" w:rsidRDefault="006658F1">
      <w:pPr>
        <w:pStyle w:val="BodyText"/>
        <w:jc w:val="both"/>
        <w:rPr>
          <w:lang w:val="sr-Latn-RS"/>
        </w:rPr>
      </w:pPr>
      <w:r w:rsidRPr="00580C63">
        <w:rPr>
          <w:u w:val="single"/>
          <w:lang w:val="sr-Latn-RS"/>
        </w:rPr>
        <w:t>Oštećenje plodnosti</w:t>
      </w:r>
    </w:p>
    <w:p w14:paraId="28000998" w14:textId="77777777" w:rsidR="00596AC6" w:rsidRPr="00580C63" w:rsidRDefault="00596AC6">
      <w:pPr>
        <w:pStyle w:val="BodyText"/>
        <w:jc w:val="both"/>
        <w:rPr>
          <w:lang w:val="sr-Latn-RS"/>
        </w:rPr>
      </w:pPr>
    </w:p>
    <w:p w14:paraId="247CD966" w14:textId="70DAD5DE" w:rsidR="00596AC6" w:rsidRPr="00580C63" w:rsidRDefault="006658F1">
      <w:pPr>
        <w:pStyle w:val="BodyText"/>
        <w:jc w:val="both"/>
        <w:rPr>
          <w:lang w:val="sr-Latn-RS"/>
        </w:rPr>
      </w:pPr>
      <w:r w:rsidRPr="00580C63">
        <w:rPr>
          <w:lang w:val="sr-Latn-RS"/>
        </w:rPr>
        <w:t>Proc</w:t>
      </w:r>
      <w:r w:rsidR="00A56A28" w:rsidRPr="00580C63">
        <w:rPr>
          <w:lang w:val="sr-Latn-RS"/>
        </w:rPr>
        <w:t>j</w:t>
      </w:r>
      <w:r w:rsidRPr="00580C63">
        <w:rPr>
          <w:lang w:val="sr-Latn-RS"/>
        </w:rPr>
        <w:t>ena muških i ženskih reproduktivnih organa uključena je u 26-ne</w:t>
      </w:r>
      <w:r w:rsidR="0083711F" w:rsidRPr="00580C63">
        <w:rPr>
          <w:lang w:val="sr-Latn-RS"/>
        </w:rPr>
        <w:t>djel</w:t>
      </w:r>
      <w:r w:rsidRPr="00580C63">
        <w:rPr>
          <w:lang w:val="sr-Latn-RS"/>
        </w:rPr>
        <w:t xml:space="preserve">jnu studiju hronične toksičnosti kod polno zrelih majmuna cinomolgus </w:t>
      </w:r>
      <w:r w:rsidR="00B41900" w:rsidRPr="00580C63">
        <w:rPr>
          <w:lang w:val="sr-Latn-RS"/>
        </w:rPr>
        <w:t>l</w:t>
      </w:r>
      <w:r w:rsidR="00FD557E" w:rsidRPr="00580C63">
        <w:rPr>
          <w:lang w:val="sr-Latn-RS"/>
        </w:rPr>
        <w:t>jek</w:t>
      </w:r>
      <w:r w:rsidRPr="00580C63">
        <w:rPr>
          <w:lang w:val="sr-Latn-RS"/>
        </w:rPr>
        <w:t>ovima koji su davani intravenskom infuzijom. Mosunetuzumab nije imao efekta ni na muške ni na ženske reproduktivne organe pri izloženosti (</w:t>
      </w:r>
      <w:r w:rsidR="00CE1A75" w:rsidRPr="00580C63">
        <w:rPr>
          <w:lang w:val="sr-Latn-RS"/>
        </w:rPr>
        <w:t>PIK</w:t>
      </w:r>
      <w:r w:rsidRPr="00580C63">
        <w:rPr>
          <w:lang w:val="sr-Latn-RS"/>
        </w:rPr>
        <w:t>) sličnoj izloženosti (</w:t>
      </w:r>
      <w:r w:rsidR="00CE1A75" w:rsidRPr="00580C63">
        <w:rPr>
          <w:lang w:val="sr-Latn-RS"/>
        </w:rPr>
        <w:t>PIK</w:t>
      </w:r>
      <w:r w:rsidRPr="00580C63">
        <w:rPr>
          <w:lang w:val="sr-Latn-RS"/>
        </w:rPr>
        <w:t xml:space="preserve">) kod pacijenata koji su primali preporučenu dozu </w:t>
      </w:r>
      <w:r w:rsidR="00B41900" w:rsidRPr="00580C63">
        <w:rPr>
          <w:lang w:val="sr-Latn-RS"/>
        </w:rPr>
        <w:t>l</w:t>
      </w:r>
      <w:r w:rsidR="00FD557E" w:rsidRPr="00580C63">
        <w:rPr>
          <w:lang w:val="sr-Latn-RS"/>
        </w:rPr>
        <w:t>ijek</w:t>
      </w:r>
      <w:r w:rsidRPr="00580C63">
        <w:rPr>
          <w:lang w:val="sr-Latn-RS"/>
        </w:rPr>
        <w:t>a.</w:t>
      </w:r>
    </w:p>
    <w:p w14:paraId="64ACD4FA" w14:textId="77777777" w:rsidR="00596AC6" w:rsidRPr="00580C63" w:rsidRDefault="00596AC6">
      <w:pPr>
        <w:pStyle w:val="BodyText"/>
        <w:jc w:val="both"/>
        <w:rPr>
          <w:lang w:val="sr-Latn-RS"/>
        </w:rPr>
      </w:pPr>
    </w:p>
    <w:p w14:paraId="55735A21" w14:textId="77777777" w:rsidR="00596AC6" w:rsidRPr="00580C63" w:rsidRDefault="006658F1">
      <w:pPr>
        <w:pStyle w:val="BodyText"/>
        <w:jc w:val="both"/>
        <w:rPr>
          <w:lang w:val="sr-Latn-RS"/>
        </w:rPr>
      </w:pPr>
      <w:r w:rsidRPr="00580C63">
        <w:rPr>
          <w:u w:val="single"/>
          <w:lang w:val="sr-Latn-RS"/>
        </w:rPr>
        <w:t>Reproduktivna toksičnost</w:t>
      </w:r>
    </w:p>
    <w:p w14:paraId="45557FA0" w14:textId="77777777" w:rsidR="00596AC6" w:rsidRPr="00580C63" w:rsidRDefault="00596AC6">
      <w:pPr>
        <w:pStyle w:val="BodyText"/>
        <w:jc w:val="both"/>
        <w:rPr>
          <w:lang w:val="sr-Latn-RS"/>
        </w:rPr>
      </w:pPr>
    </w:p>
    <w:p w14:paraId="7C0DFC95" w14:textId="1A8CFF20" w:rsidR="00596AC6" w:rsidRPr="00580C63" w:rsidRDefault="006658F1">
      <w:pPr>
        <w:pStyle w:val="BodyText"/>
        <w:jc w:val="both"/>
        <w:rPr>
          <w:lang w:val="sr-Latn-RS"/>
        </w:rPr>
      </w:pPr>
      <w:r w:rsidRPr="00580C63">
        <w:rPr>
          <w:lang w:val="sr-Latn-RS"/>
        </w:rPr>
        <w:t>Ni</w:t>
      </w:r>
      <w:r w:rsidR="00A56A28" w:rsidRPr="00580C63">
        <w:rPr>
          <w:lang w:val="sr-Latn-RS"/>
        </w:rPr>
        <w:t>je</w:t>
      </w:r>
      <w:r w:rsidRPr="00580C63">
        <w:rPr>
          <w:lang w:val="sr-Latn-RS"/>
        </w:rPr>
        <w:t xml:space="preserve">su sprovedene nikakve studije razvojne toksičnosti sa mosunetuzumabom </w:t>
      </w:r>
      <w:r w:rsidR="00A02FAE" w:rsidRPr="00580C63">
        <w:rPr>
          <w:lang w:val="sr-Latn-RS"/>
        </w:rPr>
        <w:t xml:space="preserve">na </w:t>
      </w:r>
      <w:r w:rsidRPr="00580C63">
        <w:rPr>
          <w:lang w:val="sr-Latn-RS"/>
        </w:rPr>
        <w:t>životinja</w:t>
      </w:r>
      <w:r w:rsidR="00A02FAE" w:rsidRPr="00580C63">
        <w:rPr>
          <w:lang w:val="sr-Latn-RS"/>
        </w:rPr>
        <w:t>ma</w:t>
      </w:r>
      <w:r w:rsidRPr="00580C63">
        <w:rPr>
          <w:lang w:val="sr-Latn-RS"/>
        </w:rPr>
        <w:t>. Na osnovu slabog placentnog transfera antit</w:t>
      </w:r>
      <w:r w:rsidR="0083711F" w:rsidRPr="00580C63">
        <w:rPr>
          <w:lang w:val="sr-Latn-RS"/>
        </w:rPr>
        <w:t>ij</w:t>
      </w:r>
      <w:r w:rsidRPr="00580C63">
        <w:rPr>
          <w:lang w:val="sr-Latn-RS"/>
        </w:rPr>
        <w:t>ela tokom prvog trimestra, mehanizma dejstva i dostupnih podataka mosunetuzumaba, kao i podataka o klasi anti-CD20 antit</w:t>
      </w:r>
      <w:r w:rsidR="00B41900" w:rsidRPr="00580C63">
        <w:rPr>
          <w:lang w:val="sr-Latn-RS"/>
        </w:rPr>
        <w:t>ij</w:t>
      </w:r>
      <w:r w:rsidRPr="00580C63">
        <w:rPr>
          <w:lang w:val="sr-Latn-RS"/>
        </w:rPr>
        <w:t>ela, rizik od teratogenosti je nizak. Studije sa mosunetuzumabom na životinjama koje ni</w:t>
      </w:r>
      <w:r w:rsidR="002525D8">
        <w:rPr>
          <w:lang w:val="sr-Latn-RS"/>
        </w:rPr>
        <w:t>je</w:t>
      </w:r>
      <w:r w:rsidRPr="00580C63">
        <w:rPr>
          <w:lang w:val="sr-Latn-RS"/>
        </w:rPr>
        <w:t xml:space="preserve">su </w:t>
      </w:r>
      <w:r w:rsidR="00470B1D" w:rsidRPr="00580C63">
        <w:rPr>
          <w:lang w:val="sr-Latn-RS"/>
        </w:rPr>
        <w:t xml:space="preserve">bile </w:t>
      </w:r>
      <w:r w:rsidR="00A02FAE" w:rsidRPr="00580C63">
        <w:rPr>
          <w:lang w:val="sr-Latn-RS"/>
        </w:rPr>
        <w:t xml:space="preserve">gravidne </w:t>
      </w:r>
      <w:r w:rsidRPr="00580C63">
        <w:rPr>
          <w:lang w:val="sr-Latn-RS"/>
        </w:rPr>
        <w:t xml:space="preserve">pokazale su da produženo iscrpljivanje B-ćelija može dovesti do povećanog rizika od oportunističke infekcije, što može dovesti do gubitka fetusa. </w:t>
      </w:r>
      <w:r w:rsidRPr="00580C63">
        <w:rPr>
          <w:lang w:val="sr-Latn-RS"/>
        </w:rPr>
        <w:lastRenderedPageBreak/>
        <w:t>Prolazni CRS povezan sa prim</w:t>
      </w:r>
      <w:r w:rsidR="00B41900" w:rsidRPr="00580C63">
        <w:rPr>
          <w:lang w:val="sr-Latn-RS"/>
        </w:rPr>
        <w:t>j</w:t>
      </w:r>
      <w:r w:rsidRPr="00580C63">
        <w:rPr>
          <w:lang w:val="sr-Latn-RS"/>
        </w:rPr>
        <w:t xml:space="preserve">enom </w:t>
      </w:r>
      <w:r w:rsidR="00B41900" w:rsidRPr="00580C63">
        <w:rPr>
          <w:lang w:val="sr-Latn-RS"/>
        </w:rPr>
        <w:t>l</w:t>
      </w:r>
      <w:r w:rsidR="00FD557E" w:rsidRPr="00580C63">
        <w:rPr>
          <w:lang w:val="sr-Latn-RS"/>
        </w:rPr>
        <w:t>ijek</w:t>
      </w:r>
      <w:r w:rsidRPr="00580C63">
        <w:rPr>
          <w:lang w:val="sr-Latn-RS"/>
        </w:rPr>
        <w:t>a Lunsumio takođe može biti</w:t>
      </w:r>
      <w:r w:rsidRPr="00580C63">
        <w:rPr>
          <w:i/>
          <w:lang w:val="sr-Latn-RS"/>
        </w:rPr>
        <w:t xml:space="preserve"> </w:t>
      </w:r>
      <w:r w:rsidRPr="00580C63">
        <w:rPr>
          <w:lang w:val="sr-Latn-RS"/>
        </w:rPr>
        <w:t>štetan za trudnoću.</w:t>
      </w:r>
    </w:p>
    <w:p w14:paraId="33C64DA2" w14:textId="77777777" w:rsidR="00B41900" w:rsidRPr="00580C63" w:rsidRDefault="00B41900">
      <w:pPr>
        <w:pStyle w:val="BodyText"/>
        <w:jc w:val="both"/>
        <w:rPr>
          <w:lang w:val="sr-Latn-RS"/>
        </w:rPr>
      </w:pPr>
    </w:p>
    <w:p w14:paraId="7009D5AE" w14:textId="77777777" w:rsidR="00596AC6" w:rsidRPr="00900E50" w:rsidRDefault="00596AC6">
      <w:pPr>
        <w:pStyle w:val="BodyText"/>
        <w:rPr>
          <w:lang w:val="sr-Latn-RS"/>
        </w:rPr>
      </w:pPr>
    </w:p>
    <w:p w14:paraId="44576581" w14:textId="77777777" w:rsidR="00596AC6" w:rsidRPr="00900E50" w:rsidRDefault="006658F1">
      <w:pPr>
        <w:pStyle w:val="Heading1"/>
        <w:numPr>
          <w:ilvl w:val="0"/>
          <w:numId w:val="3"/>
        </w:numPr>
        <w:tabs>
          <w:tab w:val="left" w:pos="677"/>
          <w:tab w:val="left" w:pos="678"/>
        </w:tabs>
        <w:rPr>
          <w:lang w:val="sr-Latn-RS"/>
        </w:rPr>
      </w:pPr>
      <w:bookmarkStart w:id="17" w:name="6._PHARMACEUTICAL_PARTICULARS"/>
      <w:bookmarkEnd w:id="17"/>
      <w:r w:rsidRPr="00900E50">
        <w:rPr>
          <w:lang w:val="sr-Latn-RS"/>
        </w:rPr>
        <w:t>FARMACEUTSKI PODACI</w:t>
      </w:r>
    </w:p>
    <w:p w14:paraId="67DDD1EA" w14:textId="77777777" w:rsidR="00596AC6" w:rsidRPr="00900E50" w:rsidRDefault="00596AC6">
      <w:pPr>
        <w:pStyle w:val="BodyText"/>
        <w:rPr>
          <w:b/>
          <w:lang w:val="sr-Latn-RS"/>
        </w:rPr>
      </w:pPr>
    </w:p>
    <w:p w14:paraId="43CAE5DC" w14:textId="320DF327" w:rsidR="00596AC6" w:rsidRPr="00900E50" w:rsidRDefault="006658F1">
      <w:pPr>
        <w:pStyle w:val="ListParagraph"/>
        <w:numPr>
          <w:ilvl w:val="1"/>
          <w:numId w:val="3"/>
        </w:numPr>
        <w:tabs>
          <w:tab w:val="left" w:pos="677"/>
          <w:tab w:val="left" w:pos="678"/>
        </w:tabs>
        <w:rPr>
          <w:b/>
          <w:lang w:val="sr-Latn-RS"/>
        </w:rPr>
      </w:pPr>
      <w:bookmarkStart w:id="18" w:name="6.1_List_of_excipients"/>
      <w:bookmarkEnd w:id="18"/>
      <w:r w:rsidRPr="00900E50">
        <w:rPr>
          <w:b/>
          <w:bCs/>
          <w:lang w:val="sr-Latn-RS"/>
        </w:rPr>
        <w:t>Lista pomoćnih supstanci</w:t>
      </w:r>
      <w:r w:rsidR="00FE7988" w:rsidRPr="00900E50">
        <w:rPr>
          <w:b/>
          <w:bCs/>
          <w:lang w:val="sr-Latn-RS"/>
        </w:rPr>
        <w:t xml:space="preserve"> (ekscipijenasa)</w:t>
      </w:r>
    </w:p>
    <w:p w14:paraId="59E0F952" w14:textId="77777777" w:rsidR="00596AC6" w:rsidRPr="00900E50" w:rsidRDefault="00596AC6">
      <w:pPr>
        <w:pStyle w:val="BodyText"/>
        <w:rPr>
          <w:b/>
          <w:lang w:val="sr-Latn-RS"/>
        </w:rPr>
      </w:pPr>
    </w:p>
    <w:p w14:paraId="54A1D3B1" w14:textId="439B39AD" w:rsidR="004855EC" w:rsidRPr="00900E50" w:rsidRDefault="004855EC" w:rsidP="004855EC">
      <w:pPr>
        <w:pStyle w:val="BodyText"/>
        <w:rPr>
          <w:lang w:val="sr-Latn-RS"/>
        </w:rPr>
      </w:pPr>
      <w:r w:rsidRPr="00900E50">
        <w:rPr>
          <w:lang w:val="sr-Latn-RS"/>
        </w:rPr>
        <w:t xml:space="preserve">   L-histidin</w:t>
      </w:r>
    </w:p>
    <w:p w14:paraId="5F431FA4" w14:textId="3789A338" w:rsidR="004855EC" w:rsidRPr="00900E50" w:rsidRDefault="004855EC" w:rsidP="004855EC">
      <w:pPr>
        <w:pStyle w:val="BodyText"/>
        <w:rPr>
          <w:lang w:val="sr-Latn-RS"/>
        </w:rPr>
      </w:pPr>
      <w:r w:rsidRPr="00900E50">
        <w:rPr>
          <w:lang w:val="sr-Latn-RS"/>
        </w:rPr>
        <w:t xml:space="preserve">   L-metionin</w:t>
      </w:r>
    </w:p>
    <w:p w14:paraId="2D21B776" w14:textId="56D01B56" w:rsidR="004855EC" w:rsidRPr="00900E50" w:rsidRDefault="004855EC" w:rsidP="004855EC">
      <w:pPr>
        <w:pStyle w:val="BodyText"/>
        <w:rPr>
          <w:lang w:val="sr-Latn-RS"/>
        </w:rPr>
      </w:pPr>
      <w:r w:rsidRPr="00900E50">
        <w:rPr>
          <w:lang w:val="sr-Latn-RS"/>
        </w:rPr>
        <w:t xml:space="preserve">   Sirćetna kiselina (</w:t>
      </w:r>
      <w:r w:rsidR="003D517A">
        <w:rPr>
          <w:lang w:val="sr-Latn-RS"/>
        </w:rPr>
        <w:t xml:space="preserve">za </w:t>
      </w:r>
      <w:r w:rsidRPr="00900E50">
        <w:rPr>
          <w:lang w:val="sr-Latn-RS"/>
        </w:rPr>
        <w:t>prilagođavanje pH vr</w:t>
      </w:r>
      <w:r w:rsidR="00970E63">
        <w:rPr>
          <w:lang w:val="sr-Latn-RS"/>
        </w:rPr>
        <w:t>ij</w:t>
      </w:r>
      <w:r w:rsidRPr="00900E50">
        <w:rPr>
          <w:lang w:val="sr-Latn-RS"/>
        </w:rPr>
        <w:t xml:space="preserve">ednosti) </w:t>
      </w:r>
    </w:p>
    <w:p w14:paraId="0187FE64" w14:textId="4E24FFC2" w:rsidR="004855EC" w:rsidRPr="00900E50" w:rsidRDefault="004855EC" w:rsidP="004855EC">
      <w:pPr>
        <w:pStyle w:val="BodyText"/>
        <w:rPr>
          <w:lang w:val="sr-Latn-RS"/>
        </w:rPr>
      </w:pPr>
      <w:r w:rsidRPr="00900E50">
        <w:rPr>
          <w:lang w:val="sr-Latn-RS"/>
        </w:rPr>
        <w:t xml:space="preserve">   Saharoza</w:t>
      </w:r>
    </w:p>
    <w:p w14:paraId="27D87572" w14:textId="77777777" w:rsidR="009F0494" w:rsidRDefault="004855EC" w:rsidP="004855EC">
      <w:pPr>
        <w:pStyle w:val="BodyText"/>
        <w:rPr>
          <w:lang w:val="sr-Latn-RS"/>
        </w:rPr>
      </w:pPr>
      <w:r w:rsidRPr="00900E50">
        <w:rPr>
          <w:lang w:val="sr-Latn-RS"/>
        </w:rPr>
        <w:t xml:space="preserve">   Polisorbat 20 (E 432) </w:t>
      </w:r>
    </w:p>
    <w:p w14:paraId="11E7C953" w14:textId="6E64D7EA" w:rsidR="00596AC6" w:rsidRPr="00900E50" w:rsidRDefault="009F0494" w:rsidP="004855EC">
      <w:pPr>
        <w:pStyle w:val="BodyText"/>
        <w:rPr>
          <w:lang w:val="sr-Latn-RS"/>
        </w:rPr>
      </w:pPr>
      <w:r>
        <w:rPr>
          <w:lang w:val="sr-Latn-RS"/>
        </w:rPr>
        <w:t xml:space="preserve">   </w:t>
      </w:r>
      <w:r w:rsidR="004855EC" w:rsidRPr="00900E50">
        <w:rPr>
          <w:lang w:val="sr-Latn-RS"/>
        </w:rPr>
        <w:t xml:space="preserve">Voda za injekcije </w:t>
      </w:r>
    </w:p>
    <w:p w14:paraId="5030F6DD" w14:textId="77777777" w:rsidR="009F0494" w:rsidRPr="00900E50" w:rsidRDefault="009F0494" w:rsidP="004855EC">
      <w:pPr>
        <w:pStyle w:val="BodyText"/>
        <w:rPr>
          <w:lang w:val="sr-Latn-RS"/>
        </w:rPr>
      </w:pPr>
    </w:p>
    <w:p w14:paraId="042329D5" w14:textId="769EBD18" w:rsidR="00596AC6" w:rsidRPr="00900E50" w:rsidRDefault="006844C6">
      <w:pPr>
        <w:pStyle w:val="Heading1"/>
        <w:numPr>
          <w:ilvl w:val="1"/>
          <w:numId w:val="3"/>
        </w:numPr>
        <w:tabs>
          <w:tab w:val="left" w:pos="677"/>
          <w:tab w:val="left" w:pos="678"/>
        </w:tabs>
        <w:rPr>
          <w:lang w:val="sr-Latn-RS"/>
        </w:rPr>
      </w:pPr>
      <w:bookmarkStart w:id="19" w:name="6.2_Incompatibilities"/>
      <w:bookmarkEnd w:id="19"/>
      <w:r w:rsidRPr="00900E50">
        <w:rPr>
          <w:lang w:val="sr-Latn-RS"/>
        </w:rPr>
        <w:t>Inkompatibilnost</w:t>
      </w:r>
      <w:r w:rsidR="00BF42A5" w:rsidRPr="00900E50">
        <w:rPr>
          <w:lang w:val="sr-Latn-RS"/>
        </w:rPr>
        <w:t>i</w:t>
      </w:r>
    </w:p>
    <w:p w14:paraId="54087817" w14:textId="77777777" w:rsidR="00596AC6" w:rsidRPr="00900E50" w:rsidRDefault="00596AC6">
      <w:pPr>
        <w:pStyle w:val="BodyText"/>
        <w:rPr>
          <w:b/>
          <w:lang w:val="sr-Latn-RS"/>
        </w:rPr>
      </w:pPr>
    </w:p>
    <w:p w14:paraId="63F3EE88" w14:textId="50B85A0C" w:rsidR="00596AC6" w:rsidRPr="00900E50" w:rsidRDefault="006658F1">
      <w:pPr>
        <w:pStyle w:val="ListParagraph"/>
        <w:numPr>
          <w:ilvl w:val="0"/>
          <w:numId w:val="4"/>
        </w:numPr>
        <w:tabs>
          <w:tab w:val="left" w:pos="677"/>
          <w:tab w:val="left" w:pos="678"/>
        </w:tabs>
        <w:ind w:right="500"/>
        <w:rPr>
          <w:lang w:val="sr-Latn-RS"/>
        </w:rPr>
      </w:pPr>
      <w:r w:rsidRPr="00900E50">
        <w:rPr>
          <w:lang w:val="sr-Latn-RS"/>
        </w:rPr>
        <w:t>Nemojte m</w:t>
      </w:r>
      <w:r w:rsidR="007D4A33">
        <w:rPr>
          <w:lang w:val="sr-Latn-RS"/>
        </w:rPr>
        <w:t>ij</w:t>
      </w:r>
      <w:r w:rsidRPr="00900E50">
        <w:rPr>
          <w:lang w:val="sr-Latn-RS"/>
        </w:rPr>
        <w:t xml:space="preserve">ešati </w:t>
      </w:r>
      <w:r w:rsidR="001E7653" w:rsidRPr="00900E50">
        <w:rPr>
          <w:lang w:val="sr-Latn-RS"/>
        </w:rPr>
        <w:t>l</w:t>
      </w:r>
      <w:r w:rsidR="00FD557E" w:rsidRPr="00900E50">
        <w:rPr>
          <w:lang w:val="sr-Latn-RS"/>
        </w:rPr>
        <w:t>ijek</w:t>
      </w:r>
      <w:r w:rsidRPr="00900E50">
        <w:rPr>
          <w:lang w:val="sr-Latn-RS"/>
        </w:rPr>
        <w:t xml:space="preserve"> Lunsumio sa drugim </w:t>
      </w:r>
      <w:r w:rsidR="001E7653" w:rsidRPr="00900E50">
        <w:rPr>
          <w:lang w:val="sr-Latn-RS"/>
        </w:rPr>
        <w:t>lj</w:t>
      </w:r>
      <w:r w:rsidR="00FD557E" w:rsidRPr="00900E50">
        <w:rPr>
          <w:lang w:val="sr-Latn-RS"/>
        </w:rPr>
        <w:t>ek</w:t>
      </w:r>
      <w:r w:rsidRPr="00900E50">
        <w:rPr>
          <w:lang w:val="sr-Latn-RS"/>
        </w:rPr>
        <w:t xml:space="preserve">ovima, niti ga davati u istoj infuzionoj liniji sa drugim </w:t>
      </w:r>
      <w:r w:rsidR="001E7653" w:rsidRPr="00900E50">
        <w:rPr>
          <w:lang w:val="sr-Latn-RS"/>
        </w:rPr>
        <w:t>l</w:t>
      </w:r>
      <w:r w:rsidR="00FD557E" w:rsidRPr="00900E50">
        <w:rPr>
          <w:lang w:val="sr-Latn-RS"/>
        </w:rPr>
        <w:t>jek</w:t>
      </w:r>
      <w:r w:rsidRPr="00900E50">
        <w:rPr>
          <w:lang w:val="sr-Latn-RS"/>
        </w:rPr>
        <w:t>ovima.</w:t>
      </w:r>
    </w:p>
    <w:p w14:paraId="474C6845" w14:textId="01D6FAD1" w:rsidR="00377066" w:rsidRPr="00900E50" w:rsidRDefault="006658F1" w:rsidP="00A441B5">
      <w:pPr>
        <w:pStyle w:val="ListParagraph"/>
        <w:numPr>
          <w:ilvl w:val="0"/>
          <w:numId w:val="4"/>
        </w:numPr>
        <w:tabs>
          <w:tab w:val="left" w:pos="677"/>
          <w:tab w:val="left" w:pos="678"/>
        </w:tabs>
        <w:ind w:right="500"/>
        <w:jc w:val="both"/>
        <w:rPr>
          <w:lang w:val="sr-Latn-RS"/>
        </w:rPr>
      </w:pPr>
      <w:r w:rsidRPr="00900E50">
        <w:rPr>
          <w:lang w:val="sr-Latn-RS"/>
        </w:rPr>
        <w:t xml:space="preserve">Nemojte koristiti </w:t>
      </w:r>
      <w:r w:rsidR="00970E63">
        <w:rPr>
          <w:lang w:val="sr-Latn-RS"/>
        </w:rPr>
        <w:t xml:space="preserve">druge </w:t>
      </w:r>
      <w:r w:rsidRPr="00900E50">
        <w:rPr>
          <w:lang w:val="sr-Latn-RS"/>
        </w:rPr>
        <w:t xml:space="preserve">rastvarače </w:t>
      </w:r>
      <w:r w:rsidR="00970E63" w:rsidRPr="00900E50">
        <w:rPr>
          <w:lang w:val="sr-Latn-RS"/>
        </w:rPr>
        <w:t>za razblaživanje lijeka Lunsumio</w:t>
      </w:r>
      <w:r w:rsidR="00970E63">
        <w:rPr>
          <w:lang w:val="sr-Latn-RS"/>
        </w:rPr>
        <w:t xml:space="preserve">, </w:t>
      </w:r>
      <w:r w:rsidRPr="00900E50">
        <w:rPr>
          <w:lang w:val="sr-Latn-RS"/>
        </w:rPr>
        <w:t>osim rastvora</w:t>
      </w:r>
      <w:r w:rsidR="00970E63">
        <w:rPr>
          <w:lang w:val="sr-Latn-RS"/>
        </w:rPr>
        <w:t xml:space="preserve"> </w:t>
      </w:r>
      <w:r w:rsidR="00970E63" w:rsidRPr="00900E50">
        <w:rPr>
          <w:lang w:val="sr-Latn-RS"/>
        </w:rPr>
        <w:t>za injekcij</w:t>
      </w:r>
      <w:r w:rsidR="00970E63">
        <w:rPr>
          <w:lang w:val="sr-Latn-RS"/>
        </w:rPr>
        <w:t>u</w:t>
      </w:r>
      <w:r w:rsidRPr="00900E50">
        <w:rPr>
          <w:lang w:val="sr-Latn-RS"/>
        </w:rPr>
        <w:t xml:space="preserve"> natrijum hlorida 9 mg/ml (0,9%) ili rastvora</w:t>
      </w:r>
      <w:r w:rsidR="00970E63">
        <w:rPr>
          <w:lang w:val="sr-Latn-RS"/>
        </w:rPr>
        <w:t xml:space="preserve"> </w:t>
      </w:r>
      <w:r w:rsidR="00970E63" w:rsidRPr="00900E50">
        <w:rPr>
          <w:lang w:val="sr-Latn-RS"/>
        </w:rPr>
        <w:t>za injekcij</w:t>
      </w:r>
      <w:r w:rsidR="00970E63">
        <w:rPr>
          <w:lang w:val="sr-Latn-RS"/>
        </w:rPr>
        <w:t>u</w:t>
      </w:r>
      <w:r w:rsidRPr="00900E50">
        <w:rPr>
          <w:lang w:val="sr-Latn-RS"/>
        </w:rPr>
        <w:t xml:space="preserve"> natrijum hlorida 4,5 mg/ml (0,45%) jer </w:t>
      </w:r>
      <w:r w:rsidR="00970E63" w:rsidRPr="00900E50">
        <w:rPr>
          <w:lang w:val="sr-Latn-RS"/>
        </w:rPr>
        <w:t>nj</w:t>
      </w:r>
      <w:r w:rsidR="00970E63">
        <w:rPr>
          <w:lang w:val="sr-Latn-RS"/>
        </w:rPr>
        <w:t>iho</w:t>
      </w:r>
      <w:r w:rsidR="00970E63" w:rsidRPr="00900E50">
        <w:rPr>
          <w:lang w:val="sr-Latn-RS"/>
        </w:rPr>
        <w:t xml:space="preserve">va </w:t>
      </w:r>
      <w:r w:rsidRPr="00900E50">
        <w:rPr>
          <w:lang w:val="sr-Latn-RS"/>
        </w:rPr>
        <w:t>upotreba nije testirana.</w:t>
      </w:r>
    </w:p>
    <w:p w14:paraId="3D35D271" w14:textId="2F60D00F" w:rsidR="00596AC6" w:rsidRPr="00900E50" w:rsidRDefault="006658F1" w:rsidP="00A441B5">
      <w:pPr>
        <w:pStyle w:val="ListParagraph"/>
        <w:numPr>
          <w:ilvl w:val="0"/>
          <w:numId w:val="4"/>
        </w:numPr>
        <w:tabs>
          <w:tab w:val="left" w:pos="677"/>
          <w:tab w:val="left" w:pos="678"/>
        </w:tabs>
        <w:ind w:right="500"/>
        <w:jc w:val="both"/>
        <w:rPr>
          <w:lang w:val="sr-Latn-RS"/>
        </w:rPr>
      </w:pPr>
      <w:r w:rsidRPr="00900E50">
        <w:rPr>
          <w:lang w:val="sr-Latn-RS"/>
        </w:rPr>
        <w:t>Ni</w:t>
      </w:r>
      <w:r w:rsidR="00970E63">
        <w:rPr>
          <w:lang w:val="sr-Latn-RS"/>
        </w:rPr>
        <w:t>je</w:t>
      </w:r>
      <w:r w:rsidRPr="00900E50">
        <w:rPr>
          <w:lang w:val="sr-Latn-RS"/>
        </w:rPr>
        <w:t>su prim</w:t>
      </w:r>
      <w:r w:rsidR="003D517A">
        <w:rPr>
          <w:lang w:val="sr-Latn-RS"/>
        </w:rPr>
        <w:t>i</w:t>
      </w:r>
      <w:r w:rsidR="001E7653" w:rsidRPr="00900E50">
        <w:rPr>
          <w:lang w:val="sr-Latn-RS"/>
        </w:rPr>
        <w:t>j</w:t>
      </w:r>
      <w:r w:rsidRPr="00900E50">
        <w:rPr>
          <w:lang w:val="sr-Latn-RS"/>
        </w:rPr>
        <w:t xml:space="preserve">ećene </w:t>
      </w:r>
      <w:r w:rsidR="00970E63">
        <w:rPr>
          <w:lang w:val="sr-Latn-RS"/>
        </w:rPr>
        <w:t>in</w:t>
      </w:r>
      <w:r w:rsidRPr="00900E50">
        <w:rPr>
          <w:lang w:val="sr-Latn-RS"/>
        </w:rPr>
        <w:t xml:space="preserve">kompatibilnosti između </w:t>
      </w:r>
      <w:r w:rsidR="001E7653" w:rsidRPr="00900E50">
        <w:rPr>
          <w:lang w:val="sr-Latn-RS"/>
        </w:rPr>
        <w:t>l</w:t>
      </w:r>
      <w:r w:rsidR="007D4A33">
        <w:rPr>
          <w:lang w:val="sr-Latn-RS"/>
        </w:rPr>
        <w:t>i</w:t>
      </w:r>
      <w:r w:rsidR="00FD557E" w:rsidRPr="00900E50">
        <w:rPr>
          <w:lang w:val="sr-Latn-RS"/>
        </w:rPr>
        <w:t>jek</w:t>
      </w:r>
      <w:r w:rsidRPr="00900E50">
        <w:rPr>
          <w:lang w:val="sr-Latn-RS"/>
        </w:rPr>
        <w:t xml:space="preserve">a Lunsumio i kesa za intravensku infuziju sa proizvodima koji sadrže materijale </w:t>
      </w:r>
      <w:r w:rsidR="003D517A">
        <w:rPr>
          <w:lang w:val="sr-Latn-RS"/>
        </w:rPr>
        <w:t xml:space="preserve">od </w:t>
      </w:r>
      <w:r w:rsidRPr="00900E50">
        <w:rPr>
          <w:lang w:val="sr-Latn-RS"/>
        </w:rPr>
        <w:t>polivinil hlorid</w:t>
      </w:r>
      <w:r w:rsidR="003D517A">
        <w:rPr>
          <w:lang w:val="sr-Latn-RS"/>
        </w:rPr>
        <w:t>a</w:t>
      </w:r>
      <w:r w:rsidRPr="00900E50">
        <w:rPr>
          <w:lang w:val="sr-Latn-RS"/>
        </w:rPr>
        <w:t xml:space="preserve"> (PVC) ili poliolefine, kao što su polietilen (PE) i polipropilen. Pored toga, nisu zab</w:t>
      </w:r>
      <w:r w:rsidR="009F0494">
        <w:rPr>
          <w:lang w:val="sr-Latn-RS"/>
        </w:rPr>
        <w:t>i</w:t>
      </w:r>
      <w:r w:rsidRPr="00900E50">
        <w:rPr>
          <w:lang w:val="sr-Latn-RS"/>
        </w:rPr>
        <w:t>l</w:t>
      </w:r>
      <w:r w:rsidR="001E7653" w:rsidRPr="00900E50">
        <w:rPr>
          <w:lang w:val="sr-Latn-RS"/>
        </w:rPr>
        <w:t>j</w:t>
      </w:r>
      <w:r w:rsidRPr="00900E50">
        <w:rPr>
          <w:lang w:val="sr-Latn-RS"/>
        </w:rPr>
        <w:t>ežene inkompatibilnosti sa setovima za infuziju i drugim pomoćnim sredstvima za infuziju sa proizvodima koja sadrže materijale od PVC, PE, poliuretana (PUR), polibutadiena (PBD), silikona, akrilonitril butadien stirena (ABS), polikarbonata (PC), polieteruretana (PEU), fluorisanog etilen propilena (FEP) ili politetrafluoretilena</w:t>
      </w:r>
      <w:r w:rsidR="00377066" w:rsidRPr="00900E50">
        <w:rPr>
          <w:lang w:val="sr-Latn-RS"/>
        </w:rPr>
        <w:t xml:space="preserve"> </w:t>
      </w:r>
      <w:r w:rsidRPr="00900E50">
        <w:rPr>
          <w:lang w:val="sr-Latn-RS"/>
        </w:rPr>
        <w:t>(PTFE), ili filterom komore sistema za infuziju od poliamida (PA).</w:t>
      </w:r>
    </w:p>
    <w:p w14:paraId="54D70062" w14:textId="77777777" w:rsidR="00596AC6" w:rsidRPr="00900E50" w:rsidRDefault="006658F1">
      <w:pPr>
        <w:pStyle w:val="ListParagraph"/>
        <w:numPr>
          <w:ilvl w:val="0"/>
          <w:numId w:val="4"/>
        </w:numPr>
        <w:tabs>
          <w:tab w:val="left" w:pos="677"/>
          <w:tab w:val="left" w:pos="678"/>
        </w:tabs>
        <w:ind w:left="677"/>
        <w:rPr>
          <w:lang w:val="sr-Latn-RS"/>
        </w:rPr>
      </w:pPr>
      <w:r w:rsidRPr="00900E50">
        <w:rPr>
          <w:lang w:val="sr-Latn-RS"/>
        </w:rPr>
        <w:t>Nemojte koristiti filter u infuzionom vodu.</w:t>
      </w:r>
    </w:p>
    <w:p w14:paraId="57368671" w14:textId="77777777" w:rsidR="00596AC6" w:rsidRPr="00900E50" w:rsidRDefault="00596AC6">
      <w:pPr>
        <w:pStyle w:val="BodyText"/>
        <w:rPr>
          <w:lang w:val="sr-Latn-RS"/>
        </w:rPr>
      </w:pPr>
    </w:p>
    <w:p w14:paraId="61D08AE5" w14:textId="77777777" w:rsidR="00596AC6" w:rsidRPr="00900E50" w:rsidRDefault="006658F1">
      <w:pPr>
        <w:pStyle w:val="Heading1"/>
        <w:numPr>
          <w:ilvl w:val="1"/>
          <w:numId w:val="3"/>
        </w:numPr>
        <w:tabs>
          <w:tab w:val="left" w:pos="677"/>
          <w:tab w:val="left" w:pos="678"/>
        </w:tabs>
        <w:rPr>
          <w:lang w:val="sr-Latn-RS"/>
        </w:rPr>
      </w:pPr>
      <w:bookmarkStart w:id="20" w:name="6.3_Shelf_life"/>
      <w:bookmarkEnd w:id="20"/>
      <w:r w:rsidRPr="00900E50">
        <w:rPr>
          <w:lang w:val="sr-Latn-RS"/>
        </w:rPr>
        <w:t>Rok upotrebe</w:t>
      </w:r>
    </w:p>
    <w:p w14:paraId="186D57F9" w14:textId="77777777" w:rsidR="00596AC6" w:rsidRPr="00900E50" w:rsidRDefault="00596AC6">
      <w:pPr>
        <w:pStyle w:val="BodyText"/>
        <w:rPr>
          <w:b/>
          <w:lang w:val="sr-Latn-RS"/>
        </w:rPr>
      </w:pPr>
    </w:p>
    <w:p w14:paraId="3AA55431" w14:textId="301AA8C4" w:rsidR="00596AC6" w:rsidRPr="00900E50" w:rsidRDefault="006658F1" w:rsidP="00314AC9">
      <w:pPr>
        <w:pStyle w:val="BodyText"/>
        <w:ind w:left="111"/>
        <w:jc w:val="both"/>
        <w:rPr>
          <w:lang w:val="sr-Latn-RS"/>
        </w:rPr>
      </w:pPr>
      <w:r w:rsidRPr="00900E50">
        <w:rPr>
          <w:u w:val="single"/>
          <w:lang w:val="sr-Latn-RS"/>
        </w:rPr>
        <w:t>Neotvorena bočica</w:t>
      </w:r>
    </w:p>
    <w:p w14:paraId="739BBA5C" w14:textId="752B4AF3" w:rsidR="00596AC6" w:rsidRPr="00900E50" w:rsidRDefault="00B24A53" w:rsidP="00314AC9">
      <w:pPr>
        <w:pStyle w:val="BodyText"/>
        <w:spacing w:before="91"/>
        <w:ind w:left="111"/>
        <w:jc w:val="both"/>
        <w:rPr>
          <w:lang w:val="sr-Latn-RS"/>
        </w:rPr>
      </w:pPr>
      <w:r>
        <w:rPr>
          <w:lang w:val="sr-Latn-RS"/>
        </w:rPr>
        <w:t>3</w:t>
      </w:r>
      <w:r w:rsidR="006658F1" w:rsidRPr="00900E50">
        <w:rPr>
          <w:lang w:val="sr-Latn-RS"/>
        </w:rPr>
        <w:t xml:space="preserve"> godine</w:t>
      </w:r>
    </w:p>
    <w:p w14:paraId="38493E1A" w14:textId="77777777" w:rsidR="00596AC6" w:rsidRPr="00900E50" w:rsidRDefault="00596AC6" w:rsidP="00314AC9">
      <w:pPr>
        <w:pStyle w:val="BodyText"/>
        <w:jc w:val="both"/>
        <w:rPr>
          <w:lang w:val="sr-Latn-RS"/>
        </w:rPr>
      </w:pPr>
    </w:p>
    <w:p w14:paraId="74168472" w14:textId="09C94577" w:rsidR="00596AC6" w:rsidRPr="00900E50" w:rsidRDefault="006658F1" w:rsidP="00314AC9">
      <w:pPr>
        <w:pStyle w:val="BodyText"/>
        <w:ind w:left="111"/>
        <w:jc w:val="both"/>
        <w:rPr>
          <w:lang w:val="sr-Latn-RS"/>
        </w:rPr>
      </w:pPr>
      <w:r w:rsidRPr="00900E50">
        <w:rPr>
          <w:u w:val="single"/>
          <w:lang w:val="sr-Latn-RS"/>
        </w:rPr>
        <w:t>Razblaženi rastvor</w:t>
      </w:r>
    </w:p>
    <w:p w14:paraId="1EE3FFBA" w14:textId="6D49ECC8" w:rsidR="00596AC6" w:rsidRPr="00900E50" w:rsidRDefault="003D517A" w:rsidP="00314AC9">
      <w:pPr>
        <w:pStyle w:val="BodyText"/>
        <w:spacing w:before="91"/>
        <w:ind w:left="111" w:right="186"/>
        <w:jc w:val="both"/>
        <w:rPr>
          <w:lang w:val="sr-Latn-RS"/>
        </w:rPr>
      </w:pPr>
      <w:r>
        <w:rPr>
          <w:lang w:val="sr-Latn-RS"/>
        </w:rPr>
        <w:t>Dokazana je</w:t>
      </w:r>
      <w:r w:rsidR="006658F1" w:rsidRPr="00900E50">
        <w:rPr>
          <w:lang w:val="sr-Latn-RS"/>
        </w:rPr>
        <w:t xml:space="preserve"> hemijsk</w:t>
      </w:r>
      <w:r>
        <w:rPr>
          <w:lang w:val="sr-Latn-RS"/>
        </w:rPr>
        <w:t>a</w:t>
      </w:r>
      <w:r w:rsidR="006658F1" w:rsidRPr="00900E50">
        <w:rPr>
          <w:lang w:val="sr-Latn-RS"/>
        </w:rPr>
        <w:t xml:space="preserve"> i fizičk</w:t>
      </w:r>
      <w:r>
        <w:rPr>
          <w:lang w:val="sr-Latn-RS"/>
        </w:rPr>
        <w:t>a</w:t>
      </w:r>
      <w:r w:rsidR="006658F1" w:rsidRPr="00900E50">
        <w:rPr>
          <w:lang w:val="sr-Latn-RS"/>
        </w:rPr>
        <w:t xml:space="preserve"> stabilnost </w:t>
      </w:r>
      <w:r w:rsidR="006009AE">
        <w:rPr>
          <w:lang w:val="sr-Latn-RS"/>
        </w:rPr>
        <w:t>u toku</w:t>
      </w:r>
      <w:r w:rsidR="006009AE" w:rsidRPr="00900E50">
        <w:rPr>
          <w:lang w:val="sr-Latn-RS"/>
        </w:rPr>
        <w:t xml:space="preserve"> </w:t>
      </w:r>
      <w:r w:rsidR="006658F1" w:rsidRPr="00900E50">
        <w:rPr>
          <w:lang w:val="sr-Latn-RS"/>
        </w:rPr>
        <w:t>upotrebe tokom 24 sata na temperaturi od 2°C do 8°C i 24 sata na temperaturi od 9°C do 30°C.</w:t>
      </w:r>
    </w:p>
    <w:p w14:paraId="2BD65538" w14:textId="77777777" w:rsidR="00596AC6" w:rsidRPr="00900E50" w:rsidRDefault="00596AC6" w:rsidP="00314AC9">
      <w:pPr>
        <w:pStyle w:val="BodyText"/>
        <w:jc w:val="both"/>
        <w:rPr>
          <w:lang w:val="sr-Latn-RS"/>
        </w:rPr>
      </w:pPr>
    </w:p>
    <w:p w14:paraId="5890063B" w14:textId="2D61394D" w:rsidR="00596AC6" w:rsidRPr="00900E50" w:rsidRDefault="006658F1" w:rsidP="00314AC9">
      <w:pPr>
        <w:pStyle w:val="BodyText"/>
        <w:ind w:left="111" w:right="154"/>
        <w:jc w:val="both"/>
        <w:rPr>
          <w:lang w:val="sr-Latn-RS"/>
        </w:rPr>
      </w:pPr>
      <w:r w:rsidRPr="00900E50">
        <w:rPr>
          <w:lang w:val="sr-Latn-RS"/>
        </w:rPr>
        <w:t xml:space="preserve">Sa mikrobiološke tačke gledišta, </w:t>
      </w:r>
      <w:r w:rsidR="003D517A">
        <w:rPr>
          <w:lang w:val="sr-Latn-RS"/>
        </w:rPr>
        <w:t>lijek</w:t>
      </w:r>
      <w:r w:rsidR="003D517A" w:rsidRPr="00900E50">
        <w:rPr>
          <w:lang w:val="sr-Latn-RS"/>
        </w:rPr>
        <w:t xml:space="preserve"> </w:t>
      </w:r>
      <w:r w:rsidRPr="00900E50">
        <w:rPr>
          <w:lang w:val="sr-Latn-RS"/>
        </w:rPr>
        <w:t>treba upotr</w:t>
      </w:r>
      <w:r w:rsidR="001E7653" w:rsidRPr="00900E50">
        <w:rPr>
          <w:lang w:val="sr-Latn-RS"/>
        </w:rPr>
        <w:t>ij</w:t>
      </w:r>
      <w:r w:rsidRPr="00900E50">
        <w:rPr>
          <w:lang w:val="sr-Latn-RS"/>
        </w:rPr>
        <w:t>ebiti</w:t>
      </w:r>
      <w:r w:rsidR="006009AE" w:rsidRPr="006009AE">
        <w:rPr>
          <w:lang w:val="sr-Latn-RS"/>
        </w:rPr>
        <w:t xml:space="preserve"> </w:t>
      </w:r>
      <w:r w:rsidR="006009AE" w:rsidRPr="00900E50">
        <w:rPr>
          <w:lang w:val="sr-Latn-RS"/>
        </w:rPr>
        <w:t>odmah</w:t>
      </w:r>
      <w:r w:rsidRPr="00900E50">
        <w:rPr>
          <w:lang w:val="sr-Latn-RS"/>
        </w:rPr>
        <w:t>. Ukoliko se ne upotr</w:t>
      </w:r>
      <w:r w:rsidR="001E7653" w:rsidRPr="00900E50">
        <w:rPr>
          <w:lang w:val="sr-Latn-RS"/>
        </w:rPr>
        <w:t>ij</w:t>
      </w:r>
      <w:r w:rsidRPr="00900E50">
        <w:rPr>
          <w:lang w:val="sr-Latn-RS"/>
        </w:rPr>
        <w:t>ebi odmah, vr</w:t>
      </w:r>
      <w:r w:rsidR="001E7653" w:rsidRPr="00900E50">
        <w:rPr>
          <w:lang w:val="sr-Latn-RS"/>
        </w:rPr>
        <w:t>ij</w:t>
      </w:r>
      <w:r w:rsidRPr="00900E50">
        <w:rPr>
          <w:lang w:val="sr-Latn-RS"/>
        </w:rPr>
        <w:t>eme</w:t>
      </w:r>
      <w:r w:rsidR="006009AE">
        <w:rPr>
          <w:lang w:val="sr-Latn-RS"/>
        </w:rPr>
        <w:t xml:space="preserve"> </w:t>
      </w:r>
      <w:r w:rsidR="006009AE" w:rsidRPr="00900E50">
        <w:rPr>
          <w:lang w:val="sr-Latn-RS"/>
        </w:rPr>
        <w:t>i uslovi</w:t>
      </w:r>
      <w:r w:rsidRPr="00900E50">
        <w:rPr>
          <w:lang w:val="sr-Latn-RS"/>
        </w:rPr>
        <w:t xml:space="preserve"> čuvanja </w:t>
      </w:r>
      <w:r w:rsidR="006009AE">
        <w:rPr>
          <w:lang w:val="sr-Latn-RS"/>
        </w:rPr>
        <w:t>u toku</w:t>
      </w:r>
      <w:r w:rsidR="006009AE" w:rsidRPr="00900E50">
        <w:rPr>
          <w:lang w:val="sr-Latn-RS"/>
        </w:rPr>
        <w:t xml:space="preserve"> </w:t>
      </w:r>
      <w:r w:rsidRPr="00900E50">
        <w:rPr>
          <w:lang w:val="sr-Latn-RS"/>
        </w:rPr>
        <w:t>upotreb</w:t>
      </w:r>
      <w:r w:rsidR="006009AE">
        <w:rPr>
          <w:lang w:val="sr-Latn-RS"/>
        </w:rPr>
        <w:t>e</w:t>
      </w:r>
      <w:r w:rsidRPr="00900E50">
        <w:rPr>
          <w:lang w:val="sr-Latn-RS"/>
        </w:rPr>
        <w:t xml:space="preserve"> jesu odgovornost korisnika i obično ne treba da budu duži od 24 sata na </w:t>
      </w:r>
      <w:r w:rsidR="006009AE">
        <w:rPr>
          <w:lang w:val="sr-Latn-RS"/>
        </w:rPr>
        <w:t xml:space="preserve">temperaturi od </w:t>
      </w:r>
      <w:r w:rsidRPr="00900E50">
        <w:rPr>
          <w:lang w:val="sr-Latn-RS"/>
        </w:rPr>
        <w:t>2°C do 8°C, osim ukoliko je do razblaženja došlo u kontrolisanim i potvrđenim aseptičnim uslovima.</w:t>
      </w:r>
    </w:p>
    <w:p w14:paraId="284BEAD0" w14:textId="77777777" w:rsidR="00596AC6" w:rsidRPr="00900E50" w:rsidRDefault="00596AC6" w:rsidP="00314AC9">
      <w:pPr>
        <w:pStyle w:val="BodyText"/>
        <w:jc w:val="both"/>
        <w:rPr>
          <w:lang w:val="sr-Latn-RS"/>
        </w:rPr>
      </w:pPr>
    </w:p>
    <w:p w14:paraId="037BFE30" w14:textId="6D3AE75E" w:rsidR="00596AC6" w:rsidRPr="00900E50" w:rsidRDefault="006658F1" w:rsidP="00314AC9">
      <w:pPr>
        <w:pStyle w:val="Heading1"/>
        <w:numPr>
          <w:ilvl w:val="1"/>
          <w:numId w:val="3"/>
        </w:numPr>
        <w:tabs>
          <w:tab w:val="left" w:pos="677"/>
          <w:tab w:val="left" w:pos="678"/>
        </w:tabs>
        <w:jc w:val="both"/>
        <w:rPr>
          <w:lang w:val="sr-Latn-RS"/>
        </w:rPr>
      </w:pPr>
      <w:bookmarkStart w:id="21" w:name="6.4_Special_precautions_for_storage"/>
      <w:bookmarkEnd w:id="21"/>
      <w:r w:rsidRPr="00900E50">
        <w:rPr>
          <w:lang w:val="sr-Latn-RS"/>
        </w:rPr>
        <w:t>Posebne m</w:t>
      </w:r>
      <w:r w:rsidR="00FE7988" w:rsidRPr="00900E50">
        <w:rPr>
          <w:lang w:val="sr-Latn-RS"/>
        </w:rPr>
        <w:t>jere upozorenja</w:t>
      </w:r>
      <w:r w:rsidRPr="00900E50">
        <w:rPr>
          <w:lang w:val="sr-Latn-RS"/>
        </w:rPr>
        <w:t xml:space="preserve"> pri čuvanju</w:t>
      </w:r>
      <w:r w:rsidR="00FE7988" w:rsidRPr="00900E50">
        <w:rPr>
          <w:lang w:val="sr-Latn-RS"/>
        </w:rPr>
        <w:t xml:space="preserve"> lijeka</w:t>
      </w:r>
    </w:p>
    <w:p w14:paraId="46D33BFF" w14:textId="77777777" w:rsidR="00596AC6" w:rsidRPr="00900E50" w:rsidRDefault="00596AC6" w:rsidP="00314AC9">
      <w:pPr>
        <w:pStyle w:val="BodyText"/>
        <w:jc w:val="both"/>
        <w:rPr>
          <w:b/>
          <w:lang w:val="sr-Latn-RS"/>
        </w:rPr>
      </w:pPr>
    </w:p>
    <w:p w14:paraId="1CA28C70" w14:textId="05E000B0" w:rsidR="00E01318" w:rsidRDefault="004855EC" w:rsidP="00314AC9">
      <w:pPr>
        <w:pStyle w:val="BodyText"/>
        <w:ind w:left="111" w:right="6040"/>
        <w:jc w:val="both"/>
        <w:rPr>
          <w:lang w:val="sr-Latn-RS"/>
        </w:rPr>
      </w:pPr>
      <w:bookmarkStart w:id="22" w:name="Store_in_a_refrigerator_(2_°C___8_°C)."/>
      <w:bookmarkEnd w:id="22"/>
      <w:r w:rsidRPr="00900E50">
        <w:rPr>
          <w:lang w:val="sr-Latn-RS"/>
        </w:rPr>
        <w:t>Čuvati</w:t>
      </w:r>
      <w:r w:rsidR="006658F1" w:rsidRPr="00900E50">
        <w:rPr>
          <w:lang w:val="sr-Latn-RS"/>
        </w:rPr>
        <w:t xml:space="preserve"> u frižideru (2°C do 8°C). </w:t>
      </w:r>
      <w:bookmarkStart w:id="23" w:name="Do_not_freeze."/>
      <w:bookmarkEnd w:id="23"/>
    </w:p>
    <w:p w14:paraId="30B18732" w14:textId="4BF54D47" w:rsidR="00596AC6" w:rsidRPr="00900E50" w:rsidRDefault="004855EC" w:rsidP="00314AC9">
      <w:pPr>
        <w:pStyle w:val="BodyText"/>
        <w:ind w:left="111" w:right="6040"/>
        <w:jc w:val="both"/>
        <w:rPr>
          <w:lang w:val="sr-Latn-RS"/>
        </w:rPr>
      </w:pPr>
      <w:r w:rsidRPr="00900E50">
        <w:rPr>
          <w:lang w:val="sr-Latn-RS"/>
        </w:rPr>
        <w:t>Ne zamrzavati</w:t>
      </w:r>
      <w:r w:rsidR="006658F1" w:rsidRPr="00900E50">
        <w:rPr>
          <w:lang w:val="sr-Latn-RS"/>
        </w:rPr>
        <w:t>.</w:t>
      </w:r>
    </w:p>
    <w:p w14:paraId="259C4FAC" w14:textId="33287E59" w:rsidR="00596AC6" w:rsidRPr="00900E50" w:rsidRDefault="006658F1" w:rsidP="00314AC9">
      <w:pPr>
        <w:pStyle w:val="BodyText"/>
        <w:ind w:left="111"/>
        <w:jc w:val="both"/>
        <w:rPr>
          <w:lang w:val="sr-Latn-RS"/>
        </w:rPr>
      </w:pPr>
      <w:bookmarkStart w:id="24" w:name="Keep_the_vial_in_the_outer_carton_in_ord"/>
      <w:bookmarkEnd w:id="24"/>
      <w:r w:rsidRPr="00900E50">
        <w:rPr>
          <w:lang w:val="sr-Latn-RS"/>
        </w:rPr>
        <w:t>Bočicu čuvati u spoljašnjem kartonskom pakovanju radi zaštite od sv</w:t>
      </w:r>
      <w:r w:rsidR="007B40F8" w:rsidRPr="00900E50">
        <w:rPr>
          <w:lang w:val="sr-Latn-RS"/>
        </w:rPr>
        <w:t>j</w:t>
      </w:r>
      <w:r w:rsidRPr="00900E50">
        <w:rPr>
          <w:lang w:val="sr-Latn-RS"/>
        </w:rPr>
        <w:t>etlosti.</w:t>
      </w:r>
    </w:p>
    <w:p w14:paraId="78A95066" w14:textId="043B0372" w:rsidR="00596AC6" w:rsidRPr="00900E50" w:rsidRDefault="006658F1" w:rsidP="00314AC9">
      <w:pPr>
        <w:pStyle w:val="BodyText"/>
        <w:ind w:left="111"/>
        <w:jc w:val="both"/>
        <w:rPr>
          <w:lang w:val="sr-Latn-RS"/>
        </w:rPr>
      </w:pPr>
      <w:bookmarkStart w:id="25" w:name="For_storage_conditions_after_dilution_of"/>
      <w:bookmarkEnd w:id="25"/>
      <w:r w:rsidRPr="00900E50">
        <w:rPr>
          <w:lang w:val="sr-Latn-RS"/>
        </w:rPr>
        <w:t xml:space="preserve">Za uslove čuvanja nakon razblaživanja </w:t>
      </w:r>
      <w:r w:rsidR="001E7653" w:rsidRPr="00900E50">
        <w:rPr>
          <w:lang w:val="sr-Latn-RS"/>
        </w:rPr>
        <w:t>l</w:t>
      </w:r>
      <w:r w:rsidR="00FD557E" w:rsidRPr="00900E50">
        <w:rPr>
          <w:lang w:val="sr-Latn-RS"/>
        </w:rPr>
        <w:t>ijek</w:t>
      </w:r>
      <w:r w:rsidRPr="00900E50">
        <w:rPr>
          <w:lang w:val="sr-Latn-RS"/>
        </w:rPr>
        <w:t xml:space="preserve">a </w:t>
      </w:r>
      <w:r w:rsidR="0083711F" w:rsidRPr="00900E50">
        <w:rPr>
          <w:lang w:val="sr-Latn-RS"/>
        </w:rPr>
        <w:t>vidjeti</w:t>
      </w:r>
      <w:r w:rsidRPr="00900E50">
        <w:rPr>
          <w:lang w:val="sr-Latn-RS"/>
        </w:rPr>
        <w:t xml:space="preserve"> </w:t>
      </w:r>
      <w:r w:rsidR="00FD557E" w:rsidRPr="00900E50">
        <w:rPr>
          <w:lang w:val="sr-Latn-RS"/>
        </w:rPr>
        <w:t>dio</w:t>
      </w:r>
      <w:r w:rsidRPr="00900E50">
        <w:rPr>
          <w:lang w:val="sr-Latn-RS"/>
        </w:rPr>
        <w:t xml:space="preserve"> 6.3.</w:t>
      </w:r>
    </w:p>
    <w:p w14:paraId="127E4DDF" w14:textId="77777777" w:rsidR="00596AC6" w:rsidRPr="00900E50" w:rsidRDefault="00596AC6" w:rsidP="00314AC9">
      <w:pPr>
        <w:pStyle w:val="BodyText"/>
        <w:jc w:val="both"/>
        <w:rPr>
          <w:lang w:val="sr-Latn-RS"/>
        </w:rPr>
      </w:pPr>
    </w:p>
    <w:p w14:paraId="127E1E62" w14:textId="2F21714A" w:rsidR="00596AC6" w:rsidRPr="00900E50" w:rsidRDefault="00FE7988" w:rsidP="00314AC9">
      <w:pPr>
        <w:pStyle w:val="Heading1"/>
        <w:numPr>
          <w:ilvl w:val="1"/>
          <w:numId w:val="3"/>
        </w:numPr>
        <w:tabs>
          <w:tab w:val="left" w:pos="677"/>
          <w:tab w:val="left" w:pos="678"/>
        </w:tabs>
        <w:jc w:val="both"/>
        <w:rPr>
          <w:lang w:val="sr-Latn-RS"/>
        </w:rPr>
      </w:pPr>
      <w:bookmarkStart w:id="26" w:name="6.5_Nature_and_contents_of_container"/>
      <w:bookmarkEnd w:id="26"/>
      <w:r w:rsidRPr="00900E50">
        <w:rPr>
          <w:lang w:val="sr-Latn-RS"/>
        </w:rPr>
        <w:t>Vrsta</w:t>
      </w:r>
      <w:r w:rsidR="006658F1" w:rsidRPr="00900E50">
        <w:rPr>
          <w:lang w:val="sr-Latn-RS"/>
        </w:rPr>
        <w:t xml:space="preserve"> i sadržaj </w:t>
      </w:r>
      <w:r w:rsidR="006844C6" w:rsidRPr="00900E50">
        <w:rPr>
          <w:lang w:val="sr-Latn-RS"/>
        </w:rPr>
        <w:t>pakovanja</w:t>
      </w:r>
    </w:p>
    <w:p w14:paraId="0B605C30" w14:textId="77777777" w:rsidR="00596AC6" w:rsidRPr="00900E50" w:rsidRDefault="00596AC6" w:rsidP="00314AC9">
      <w:pPr>
        <w:pStyle w:val="BodyText"/>
        <w:jc w:val="both"/>
        <w:rPr>
          <w:b/>
          <w:lang w:val="sr-Latn-RS"/>
        </w:rPr>
      </w:pPr>
    </w:p>
    <w:p w14:paraId="1C712BB3" w14:textId="7D871EE0" w:rsidR="00596AC6" w:rsidRPr="00900E50" w:rsidRDefault="006658F1" w:rsidP="00314AC9">
      <w:pPr>
        <w:pStyle w:val="BodyText"/>
        <w:ind w:left="111"/>
        <w:jc w:val="both"/>
        <w:rPr>
          <w:lang w:val="sr-Latn-RS"/>
        </w:rPr>
      </w:pPr>
      <w:r w:rsidRPr="00900E50">
        <w:rPr>
          <w:u w:val="single"/>
          <w:lang w:val="sr-Latn-RS"/>
        </w:rPr>
        <w:t>Lunsumio</w:t>
      </w:r>
      <w:r w:rsidR="004362C0" w:rsidRPr="00900E50">
        <w:rPr>
          <w:u w:val="single"/>
          <w:lang w:val="sr-Latn-RS"/>
        </w:rPr>
        <w:t>,</w:t>
      </w:r>
      <w:r w:rsidRPr="00900E50">
        <w:rPr>
          <w:u w:val="single"/>
          <w:lang w:val="sr-Latn-RS"/>
        </w:rPr>
        <w:t xml:space="preserve"> 1 mg, koncentrat za rastvor za infuziju</w:t>
      </w:r>
    </w:p>
    <w:p w14:paraId="3CA62CB2" w14:textId="2A211307" w:rsidR="00596AC6" w:rsidRPr="00900E50" w:rsidRDefault="006009AE" w:rsidP="00314AC9">
      <w:pPr>
        <w:pStyle w:val="BodyText"/>
        <w:spacing w:before="91"/>
        <w:ind w:left="111" w:right="411"/>
        <w:jc w:val="both"/>
        <w:rPr>
          <w:lang w:val="sr-Latn-RS"/>
        </w:rPr>
      </w:pPr>
      <w:r>
        <w:rPr>
          <w:lang w:val="sr-Latn-RS"/>
        </w:rPr>
        <w:t>Unutrašnje pakovanje je b</w:t>
      </w:r>
      <w:r w:rsidR="006658F1" w:rsidRPr="00900E50">
        <w:rPr>
          <w:lang w:val="sr-Latn-RS"/>
        </w:rPr>
        <w:t>očica od stakla tipa I sa zatvaračem od butil gume</w:t>
      </w:r>
      <w:r>
        <w:rPr>
          <w:lang w:val="sr-Latn-RS"/>
        </w:rPr>
        <w:t xml:space="preserve">, </w:t>
      </w:r>
      <w:r w:rsidR="006658F1" w:rsidRPr="00900E50">
        <w:rPr>
          <w:lang w:val="sr-Latn-RS"/>
        </w:rPr>
        <w:t xml:space="preserve">aluminijumskom kapicom </w:t>
      </w:r>
      <w:r>
        <w:rPr>
          <w:lang w:val="sr-Latn-RS"/>
        </w:rPr>
        <w:t>i</w:t>
      </w:r>
      <w:r w:rsidR="006658F1" w:rsidRPr="00900E50">
        <w:rPr>
          <w:lang w:val="sr-Latn-RS"/>
        </w:rPr>
        <w:t xml:space="preserve"> plastičnim tamnosivim </w:t>
      </w:r>
      <w:bookmarkStart w:id="27" w:name="cap_containing_1_mg_of_concentrate_for_s"/>
      <w:bookmarkEnd w:id="27"/>
      <w:r w:rsidRPr="00A441B5">
        <w:rPr>
          <w:i/>
          <w:lang w:val="sr-Latn-RS"/>
        </w:rPr>
        <w:t>flip-off</w:t>
      </w:r>
      <w:r>
        <w:rPr>
          <w:lang w:val="sr-Latn-RS"/>
        </w:rPr>
        <w:t xml:space="preserve"> zatvaračem,</w:t>
      </w:r>
      <w:r w:rsidR="006658F1" w:rsidRPr="00900E50">
        <w:rPr>
          <w:lang w:val="sr-Latn-RS"/>
        </w:rPr>
        <w:t xml:space="preserve"> koja sadrži 1 m</w:t>
      </w:r>
      <w:r>
        <w:rPr>
          <w:lang w:val="sr-Latn-RS"/>
        </w:rPr>
        <w:t>l</w:t>
      </w:r>
      <w:r w:rsidR="006658F1" w:rsidRPr="00900E50">
        <w:rPr>
          <w:lang w:val="sr-Latn-RS"/>
        </w:rPr>
        <w:t xml:space="preserve"> koncentrata za rastvor za </w:t>
      </w:r>
      <w:r w:rsidR="006658F1" w:rsidRPr="00900E50">
        <w:rPr>
          <w:lang w:val="sr-Latn-RS"/>
        </w:rPr>
        <w:lastRenderedPageBreak/>
        <w:t>infuziju.</w:t>
      </w:r>
    </w:p>
    <w:p w14:paraId="04A9D297" w14:textId="77777777" w:rsidR="00596AC6" w:rsidRPr="00900E50" w:rsidRDefault="00596AC6" w:rsidP="00314AC9">
      <w:pPr>
        <w:pStyle w:val="BodyText"/>
        <w:jc w:val="both"/>
        <w:rPr>
          <w:lang w:val="sr-Latn-RS"/>
        </w:rPr>
      </w:pPr>
    </w:p>
    <w:p w14:paraId="02009771" w14:textId="12CAFADB" w:rsidR="00596AC6" w:rsidRPr="00900E50" w:rsidRDefault="006658F1" w:rsidP="00314AC9">
      <w:pPr>
        <w:pStyle w:val="BodyText"/>
        <w:ind w:left="111"/>
        <w:jc w:val="both"/>
        <w:rPr>
          <w:lang w:val="sr-Latn-RS"/>
        </w:rPr>
      </w:pPr>
      <w:r w:rsidRPr="00900E50">
        <w:rPr>
          <w:u w:val="single"/>
          <w:lang w:val="sr-Latn-RS"/>
        </w:rPr>
        <w:t>Lunsumio</w:t>
      </w:r>
      <w:r w:rsidR="004362C0" w:rsidRPr="00900E50">
        <w:rPr>
          <w:u w:val="single"/>
          <w:lang w:val="sr-Latn-RS"/>
        </w:rPr>
        <w:t>,</w:t>
      </w:r>
      <w:r w:rsidRPr="00900E50">
        <w:rPr>
          <w:u w:val="single"/>
          <w:lang w:val="sr-Latn-RS"/>
        </w:rPr>
        <w:t xml:space="preserve"> 30 mg, koncentrat za rastvor za infuziju</w:t>
      </w:r>
    </w:p>
    <w:p w14:paraId="065290AD" w14:textId="5BB39437" w:rsidR="00596AC6" w:rsidRPr="00900E50" w:rsidRDefault="006009AE" w:rsidP="00314AC9">
      <w:pPr>
        <w:pStyle w:val="BodyText"/>
        <w:spacing w:before="91"/>
        <w:ind w:left="111" w:right="411"/>
        <w:jc w:val="both"/>
        <w:rPr>
          <w:lang w:val="sr-Latn-RS"/>
        </w:rPr>
      </w:pPr>
      <w:r>
        <w:rPr>
          <w:lang w:val="sr-Latn-RS"/>
        </w:rPr>
        <w:t xml:space="preserve">Unutrašnje pakovanje je </w:t>
      </w:r>
      <w:bookmarkStart w:id="28" w:name="Type_I_glass-vial_with_a_butyl_rubber_st"/>
      <w:bookmarkEnd w:id="28"/>
      <w:r>
        <w:rPr>
          <w:lang w:val="sr-Latn-RS"/>
        </w:rPr>
        <w:t>b</w:t>
      </w:r>
      <w:r w:rsidR="006658F1" w:rsidRPr="00900E50">
        <w:rPr>
          <w:lang w:val="sr-Latn-RS"/>
        </w:rPr>
        <w:t>očica od stakla tipa I sa zatvaračem od butil gume</w:t>
      </w:r>
      <w:r>
        <w:rPr>
          <w:lang w:val="sr-Latn-RS"/>
        </w:rPr>
        <w:t xml:space="preserve">, </w:t>
      </w:r>
      <w:r w:rsidR="006658F1" w:rsidRPr="00900E50">
        <w:rPr>
          <w:lang w:val="sr-Latn-RS"/>
        </w:rPr>
        <w:t xml:space="preserve">aluminijumskom kapicom </w:t>
      </w:r>
      <w:r>
        <w:rPr>
          <w:lang w:val="sr-Latn-RS"/>
        </w:rPr>
        <w:t>i</w:t>
      </w:r>
      <w:r w:rsidR="006658F1" w:rsidRPr="00900E50">
        <w:rPr>
          <w:lang w:val="sr-Latn-RS"/>
        </w:rPr>
        <w:t xml:space="preserve"> plastičnim sv</w:t>
      </w:r>
      <w:r w:rsidR="00EB674F">
        <w:rPr>
          <w:lang w:val="sr-Latn-RS"/>
        </w:rPr>
        <w:t>ij</w:t>
      </w:r>
      <w:r w:rsidR="006658F1" w:rsidRPr="00900E50">
        <w:rPr>
          <w:lang w:val="sr-Latn-RS"/>
        </w:rPr>
        <w:t xml:space="preserve">etloplavim </w:t>
      </w:r>
      <w:bookmarkStart w:id="29" w:name="cap_containing_30_mg_of_concentrate_for_"/>
      <w:bookmarkEnd w:id="29"/>
      <w:r w:rsidRPr="00A441B5">
        <w:rPr>
          <w:i/>
          <w:lang w:val="sr-Latn-RS"/>
        </w:rPr>
        <w:t>flip-off</w:t>
      </w:r>
      <w:r>
        <w:rPr>
          <w:lang w:val="sr-Latn-RS"/>
        </w:rPr>
        <w:t xml:space="preserve"> zatvaračem,</w:t>
      </w:r>
      <w:r w:rsidR="006658F1" w:rsidRPr="00900E50">
        <w:rPr>
          <w:lang w:val="sr-Latn-RS"/>
        </w:rPr>
        <w:t xml:space="preserve"> koja sadrži 30 m</w:t>
      </w:r>
      <w:r>
        <w:rPr>
          <w:lang w:val="sr-Latn-RS"/>
        </w:rPr>
        <w:t>l</w:t>
      </w:r>
      <w:r w:rsidR="006658F1" w:rsidRPr="00900E50">
        <w:rPr>
          <w:lang w:val="sr-Latn-RS"/>
        </w:rPr>
        <w:t xml:space="preserve"> koncentrata za rastvor za infuziju.</w:t>
      </w:r>
    </w:p>
    <w:p w14:paraId="2884FF9C" w14:textId="77777777" w:rsidR="00596AC6" w:rsidRPr="00900E50" w:rsidRDefault="00596AC6" w:rsidP="00314AC9">
      <w:pPr>
        <w:pStyle w:val="BodyText"/>
        <w:jc w:val="both"/>
        <w:rPr>
          <w:lang w:val="sr-Latn-RS"/>
        </w:rPr>
      </w:pPr>
    </w:p>
    <w:p w14:paraId="114ED772" w14:textId="17628C59" w:rsidR="00596AC6" w:rsidRPr="00900E50" w:rsidRDefault="00881FF4" w:rsidP="00314AC9">
      <w:pPr>
        <w:pStyle w:val="BodyText"/>
        <w:ind w:left="111"/>
        <w:jc w:val="both"/>
        <w:rPr>
          <w:lang w:val="sr-Latn-RS"/>
        </w:rPr>
      </w:pPr>
      <w:bookmarkStart w:id="30" w:name="Pack_of_one_vial."/>
      <w:bookmarkEnd w:id="30"/>
      <w:r>
        <w:rPr>
          <w:lang w:val="sr-Latn-RS"/>
        </w:rPr>
        <w:t>Spoljašnje pakovanje je složiva katonska kutija koja</w:t>
      </w:r>
      <w:r w:rsidRPr="00900E50">
        <w:rPr>
          <w:lang w:val="sr-Latn-RS"/>
        </w:rPr>
        <w:t xml:space="preserve"> </w:t>
      </w:r>
      <w:r w:rsidR="006658F1" w:rsidRPr="00900E50">
        <w:rPr>
          <w:lang w:val="sr-Latn-RS"/>
        </w:rPr>
        <w:t>sadrži jednu bočicu</w:t>
      </w:r>
      <w:r>
        <w:rPr>
          <w:lang w:val="sr-Latn-RS"/>
        </w:rPr>
        <w:t xml:space="preserve"> i Uputstvo za lijek. </w:t>
      </w:r>
    </w:p>
    <w:p w14:paraId="18ABE6BD" w14:textId="77777777" w:rsidR="00596AC6" w:rsidRPr="00900E50" w:rsidRDefault="00596AC6" w:rsidP="00314AC9">
      <w:pPr>
        <w:pStyle w:val="BodyText"/>
        <w:jc w:val="both"/>
        <w:rPr>
          <w:lang w:val="sr-Latn-RS"/>
        </w:rPr>
      </w:pPr>
    </w:p>
    <w:p w14:paraId="1B6EC0A9" w14:textId="53F779C6" w:rsidR="001E7653" w:rsidRPr="00900E50" w:rsidRDefault="001E7653" w:rsidP="00314AC9">
      <w:pPr>
        <w:pStyle w:val="Heading1"/>
        <w:numPr>
          <w:ilvl w:val="1"/>
          <w:numId w:val="3"/>
        </w:numPr>
        <w:tabs>
          <w:tab w:val="left" w:pos="677"/>
          <w:tab w:val="left" w:pos="678"/>
        </w:tabs>
        <w:jc w:val="both"/>
        <w:rPr>
          <w:lang w:val="sr-Latn-RS"/>
        </w:rPr>
      </w:pPr>
      <w:bookmarkStart w:id="31" w:name="6.6_Special_precautions_for_disposal_and"/>
      <w:bookmarkEnd w:id="31"/>
      <w:r w:rsidRPr="00900E50">
        <w:rPr>
          <w:color w:val="000000"/>
          <w:lang w:val="sr-Latn-RS"/>
        </w:rPr>
        <w:t>Posebne mjere opreza pri odlaganju materi</w:t>
      </w:r>
      <w:bookmarkStart w:id="32" w:name="_GoBack"/>
      <w:bookmarkEnd w:id="32"/>
      <w:r w:rsidRPr="00900E50">
        <w:rPr>
          <w:color w:val="000000"/>
          <w:lang w:val="sr-Latn-RS"/>
        </w:rPr>
        <w:t>jala koji treba odbaciti nakon primjene lijeka</w:t>
      </w:r>
      <w:r w:rsidRPr="00900E50">
        <w:rPr>
          <w:lang w:val="sr-Latn-RS"/>
        </w:rPr>
        <w:t xml:space="preserve"> (i druga uputstva za rukovanje lijekom) </w:t>
      </w:r>
    </w:p>
    <w:p w14:paraId="759986BB" w14:textId="77777777" w:rsidR="00596AC6" w:rsidRPr="00900E50" w:rsidRDefault="00596AC6" w:rsidP="00314AC9">
      <w:pPr>
        <w:pStyle w:val="BodyText"/>
        <w:jc w:val="both"/>
        <w:rPr>
          <w:b/>
          <w:lang w:val="sr-Latn-RS"/>
        </w:rPr>
      </w:pPr>
    </w:p>
    <w:p w14:paraId="37BA1003" w14:textId="3AAEE309" w:rsidR="00596AC6" w:rsidRPr="00900E50" w:rsidRDefault="006658F1" w:rsidP="00314AC9">
      <w:pPr>
        <w:pStyle w:val="BodyText"/>
        <w:ind w:left="111"/>
        <w:jc w:val="both"/>
        <w:rPr>
          <w:lang w:val="sr-Latn-RS"/>
        </w:rPr>
      </w:pPr>
      <w:r w:rsidRPr="00900E50">
        <w:rPr>
          <w:u w:val="single"/>
          <w:lang w:val="sr-Latn-RS"/>
        </w:rPr>
        <w:t>Opšte m</w:t>
      </w:r>
      <w:r w:rsidR="00EB674F">
        <w:rPr>
          <w:u w:val="single"/>
          <w:lang w:val="sr-Latn-RS"/>
        </w:rPr>
        <w:t>j</w:t>
      </w:r>
      <w:r w:rsidRPr="00900E50">
        <w:rPr>
          <w:u w:val="single"/>
          <w:lang w:val="sr-Latn-RS"/>
        </w:rPr>
        <w:t>ere opreza</w:t>
      </w:r>
    </w:p>
    <w:p w14:paraId="78050D44" w14:textId="19148173" w:rsidR="00596AC6" w:rsidRPr="00900E50" w:rsidRDefault="00FD557E" w:rsidP="00314AC9">
      <w:pPr>
        <w:pStyle w:val="BodyText"/>
        <w:spacing w:before="91"/>
        <w:ind w:left="111" w:right="619"/>
        <w:jc w:val="both"/>
        <w:rPr>
          <w:lang w:val="sr-Latn-RS"/>
        </w:rPr>
      </w:pPr>
      <w:r w:rsidRPr="00900E50">
        <w:rPr>
          <w:lang w:val="sr-Latn-RS"/>
        </w:rPr>
        <w:t>Lijek</w:t>
      </w:r>
      <w:r w:rsidR="006658F1" w:rsidRPr="00900E50">
        <w:rPr>
          <w:lang w:val="sr-Latn-RS"/>
        </w:rPr>
        <w:t xml:space="preserve"> Lunsumio ne sadrži konzervanse i nam</w:t>
      </w:r>
      <w:r w:rsidR="001E7653" w:rsidRPr="00900E50">
        <w:rPr>
          <w:lang w:val="sr-Latn-RS"/>
        </w:rPr>
        <w:t>ij</w:t>
      </w:r>
      <w:r w:rsidR="006658F1" w:rsidRPr="00900E50">
        <w:rPr>
          <w:lang w:val="sr-Latn-RS"/>
        </w:rPr>
        <w:t xml:space="preserve">enjen je samo za </w:t>
      </w:r>
      <w:r w:rsidR="00881FF4">
        <w:rPr>
          <w:lang w:val="sr-Latn-RS"/>
        </w:rPr>
        <w:t>jednokratnu upotrebu</w:t>
      </w:r>
      <w:r w:rsidR="006658F1" w:rsidRPr="00900E50">
        <w:rPr>
          <w:lang w:val="sr-Latn-RS"/>
        </w:rPr>
        <w:t xml:space="preserve">. Potrebno je pridržavati se pravilne aseptične tehnike prilikom rukovanja ovim </w:t>
      </w:r>
      <w:r w:rsidR="001E7653" w:rsidRPr="00900E50">
        <w:rPr>
          <w:lang w:val="sr-Latn-RS"/>
        </w:rPr>
        <w:t>l</w:t>
      </w:r>
      <w:r w:rsidRPr="00900E50">
        <w:rPr>
          <w:lang w:val="sr-Latn-RS"/>
        </w:rPr>
        <w:t>ijek</w:t>
      </w:r>
      <w:r w:rsidR="006658F1" w:rsidRPr="00900E50">
        <w:rPr>
          <w:lang w:val="sr-Latn-RS"/>
        </w:rPr>
        <w:t>om. Ne mućka</w:t>
      </w:r>
      <w:r w:rsidR="004362C0" w:rsidRPr="00900E50">
        <w:rPr>
          <w:lang w:val="sr-Latn-RS"/>
        </w:rPr>
        <w:t>ti</w:t>
      </w:r>
      <w:r w:rsidR="006658F1" w:rsidRPr="00900E50">
        <w:rPr>
          <w:lang w:val="sr-Latn-RS"/>
        </w:rPr>
        <w:t>.</w:t>
      </w:r>
    </w:p>
    <w:p w14:paraId="74DAE329" w14:textId="77777777" w:rsidR="00596AC6" w:rsidRPr="00900E50" w:rsidRDefault="00596AC6" w:rsidP="00314AC9">
      <w:pPr>
        <w:pStyle w:val="BodyText"/>
        <w:jc w:val="both"/>
        <w:rPr>
          <w:lang w:val="sr-Latn-RS"/>
        </w:rPr>
      </w:pPr>
    </w:p>
    <w:p w14:paraId="7BC021D0" w14:textId="42B6D924" w:rsidR="00596AC6" w:rsidRPr="00900E50" w:rsidRDefault="006658F1" w:rsidP="00314AC9">
      <w:pPr>
        <w:pStyle w:val="BodyText"/>
        <w:ind w:left="111"/>
        <w:jc w:val="both"/>
        <w:rPr>
          <w:lang w:val="sr-Latn-RS"/>
        </w:rPr>
      </w:pPr>
      <w:r w:rsidRPr="00900E50">
        <w:rPr>
          <w:u w:val="single"/>
          <w:lang w:val="sr-Latn-RS"/>
        </w:rPr>
        <w:t>Uputstva za razblaživanje</w:t>
      </w:r>
    </w:p>
    <w:p w14:paraId="14DE24A6" w14:textId="5872CA2D" w:rsidR="00596AC6" w:rsidRPr="00900E50" w:rsidRDefault="00FD557E" w:rsidP="00314AC9">
      <w:pPr>
        <w:pStyle w:val="BodyText"/>
        <w:spacing w:before="91"/>
        <w:ind w:left="111" w:right="117"/>
        <w:jc w:val="both"/>
        <w:rPr>
          <w:lang w:val="sr-Latn-RS"/>
        </w:rPr>
      </w:pPr>
      <w:r w:rsidRPr="00900E50">
        <w:rPr>
          <w:lang w:val="sr-Latn-RS"/>
        </w:rPr>
        <w:t>Lijek</w:t>
      </w:r>
      <w:r w:rsidR="006658F1" w:rsidRPr="00900E50">
        <w:rPr>
          <w:lang w:val="sr-Latn-RS"/>
        </w:rPr>
        <w:t xml:space="preserve"> Lunsumio se pr</w:t>
      </w:r>
      <w:r w:rsidR="001E7653" w:rsidRPr="00900E50">
        <w:rPr>
          <w:lang w:val="sr-Latn-RS"/>
        </w:rPr>
        <w:t>ij</w:t>
      </w:r>
      <w:r w:rsidR="006658F1" w:rsidRPr="00900E50">
        <w:rPr>
          <w:lang w:val="sr-Latn-RS"/>
        </w:rPr>
        <w:t>e prim</w:t>
      </w:r>
      <w:r w:rsidR="001E7653" w:rsidRPr="00900E50">
        <w:rPr>
          <w:lang w:val="sr-Latn-RS"/>
        </w:rPr>
        <w:t>j</w:t>
      </w:r>
      <w:r w:rsidR="006658F1" w:rsidRPr="00900E50">
        <w:rPr>
          <w:lang w:val="sr-Latn-RS"/>
        </w:rPr>
        <w:t xml:space="preserve">ene mora razblažiti u </w:t>
      </w:r>
      <w:r w:rsidR="00881FF4">
        <w:rPr>
          <w:lang w:val="sr-Latn-RS"/>
        </w:rPr>
        <w:t>kesi</w:t>
      </w:r>
      <w:r w:rsidR="00881FF4" w:rsidRPr="00900E50">
        <w:rPr>
          <w:lang w:val="sr-Latn-RS"/>
        </w:rPr>
        <w:t xml:space="preserve"> za infuziju</w:t>
      </w:r>
      <w:r w:rsidR="00881FF4">
        <w:rPr>
          <w:lang w:val="sr-Latn-RS"/>
        </w:rPr>
        <w:t xml:space="preserve"> od</w:t>
      </w:r>
      <w:r w:rsidR="00881FF4" w:rsidRPr="00900E50">
        <w:rPr>
          <w:lang w:val="sr-Latn-RS"/>
        </w:rPr>
        <w:t xml:space="preserve"> </w:t>
      </w:r>
      <w:r w:rsidR="006658F1" w:rsidRPr="00900E50">
        <w:rPr>
          <w:lang w:val="sr-Latn-RS"/>
        </w:rPr>
        <w:t>PVC ili poliolefin</w:t>
      </w:r>
      <w:r w:rsidR="00881FF4">
        <w:rPr>
          <w:lang w:val="sr-Latn-RS"/>
        </w:rPr>
        <w:t>a</w:t>
      </w:r>
      <w:r w:rsidR="006658F1" w:rsidRPr="00900E50">
        <w:rPr>
          <w:lang w:val="sr-Latn-RS"/>
        </w:rPr>
        <w:t xml:space="preserve"> (PO)</w:t>
      </w:r>
      <w:r w:rsidR="00881FF4">
        <w:rPr>
          <w:lang w:val="sr-Latn-RS"/>
        </w:rPr>
        <w:t>,</w:t>
      </w:r>
      <w:r w:rsidR="006658F1" w:rsidRPr="00900E50">
        <w:rPr>
          <w:lang w:val="sr-Latn-RS"/>
        </w:rPr>
        <w:t xml:space="preserve"> kao što je polietilenska (PE) i polipropilenska</w:t>
      </w:r>
      <w:r w:rsidR="00881FF4">
        <w:rPr>
          <w:lang w:val="sr-Latn-RS"/>
        </w:rPr>
        <w:t xml:space="preserve"> infuziona kesa,</w:t>
      </w:r>
      <w:r w:rsidR="006658F1" w:rsidRPr="00900E50">
        <w:rPr>
          <w:lang w:val="sr-Latn-RS"/>
        </w:rPr>
        <w:t xml:space="preserve"> koja sadrži rastvor </w:t>
      </w:r>
      <w:r w:rsidR="00881FF4" w:rsidRPr="00900E50">
        <w:rPr>
          <w:lang w:val="sr-Latn-RS"/>
        </w:rPr>
        <w:t xml:space="preserve">za injekciju </w:t>
      </w:r>
      <w:r w:rsidR="006658F1" w:rsidRPr="00900E50">
        <w:rPr>
          <w:lang w:val="sr-Latn-RS"/>
        </w:rPr>
        <w:t xml:space="preserve">natrijum hlorida 9 mg/ml (0,9%) ili rastvor </w:t>
      </w:r>
      <w:r w:rsidR="00881FF4" w:rsidRPr="00900E50">
        <w:rPr>
          <w:lang w:val="sr-Latn-RS"/>
        </w:rPr>
        <w:t xml:space="preserve">za injekciju </w:t>
      </w:r>
      <w:r w:rsidR="006658F1" w:rsidRPr="00900E50">
        <w:rPr>
          <w:lang w:val="sr-Latn-RS"/>
        </w:rPr>
        <w:t>natrijum hlorida 4,5 mg/ml (0,45%) od strane zdravstvenog radnika koji koristi aseptičnu tehniku.</w:t>
      </w:r>
    </w:p>
    <w:p w14:paraId="29309FFD" w14:textId="77777777" w:rsidR="00596AC6" w:rsidRPr="00900E50" w:rsidRDefault="00596AC6" w:rsidP="00314AC9">
      <w:pPr>
        <w:pStyle w:val="BodyText"/>
        <w:jc w:val="both"/>
        <w:rPr>
          <w:lang w:val="sr-Latn-RS"/>
        </w:rPr>
      </w:pPr>
    </w:p>
    <w:p w14:paraId="497682C7" w14:textId="79D66B05" w:rsidR="00596AC6" w:rsidRPr="00900E50" w:rsidRDefault="006658F1" w:rsidP="00314AC9">
      <w:pPr>
        <w:pStyle w:val="BodyText"/>
        <w:ind w:left="111"/>
        <w:jc w:val="both"/>
        <w:rPr>
          <w:lang w:val="sr-Latn-RS"/>
        </w:rPr>
      </w:pPr>
      <w:r w:rsidRPr="00900E50">
        <w:rPr>
          <w:lang w:val="sr-Latn-RS"/>
        </w:rPr>
        <w:t xml:space="preserve">Koristite sterilnu iglu i špric da pripremite </w:t>
      </w:r>
      <w:r w:rsidR="001E7653" w:rsidRPr="00900E50">
        <w:rPr>
          <w:lang w:val="sr-Latn-RS"/>
        </w:rPr>
        <w:t>l</w:t>
      </w:r>
      <w:r w:rsidR="00FD557E" w:rsidRPr="00900E50">
        <w:rPr>
          <w:lang w:val="sr-Latn-RS"/>
        </w:rPr>
        <w:t>ijek</w:t>
      </w:r>
      <w:r w:rsidRPr="00900E50">
        <w:rPr>
          <w:lang w:val="sr-Latn-RS"/>
        </w:rPr>
        <w:t xml:space="preserve"> Lunsumio. Bacite svaki neiskorišćeni d</w:t>
      </w:r>
      <w:r w:rsidR="00EB674F">
        <w:rPr>
          <w:lang w:val="sr-Latn-RS"/>
        </w:rPr>
        <w:t>i</w:t>
      </w:r>
      <w:r w:rsidRPr="00900E50">
        <w:rPr>
          <w:lang w:val="sr-Latn-RS"/>
        </w:rPr>
        <w:t>o.</w:t>
      </w:r>
    </w:p>
    <w:p w14:paraId="330CC162" w14:textId="46C306D9" w:rsidR="00881FF4" w:rsidRPr="00900E50" w:rsidRDefault="006658F1" w:rsidP="00314AC9">
      <w:pPr>
        <w:pStyle w:val="BodyText"/>
        <w:spacing w:before="72"/>
        <w:ind w:left="111"/>
        <w:jc w:val="both"/>
        <w:rPr>
          <w:lang w:val="sr-Latn-RS"/>
        </w:rPr>
      </w:pPr>
      <w:r w:rsidRPr="00900E50">
        <w:rPr>
          <w:lang w:val="sr-Latn-RS"/>
        </w:rPr>
        <w:t>Tokom intravenske prim</w:t>
      </w:r>
      <w:r w:rsidR="001E7653" w:rsidRPr="00900E50">
        <w:rPr>
          <w:lang w:val="sr-Latn-RS"/>
        </w:rPr>
        <w:t>j</w:t>
      </w:r>
      <w:r w:rsidRPr="00900E50">
        <w:rPr>
          <w:lang w:val="sr-Latn-RS"/>
        </w:rPr>
        <w:t>ene treba koristiti nam</w:t>
      </w:r>
      <w:r w:rsidR="00EB674F">
        <w:rPr>
          <w:lang w:val="sr-Latn-RS"/>
        </w:rPr>
        <w:t>j</w:t>
      </w:r>
      <w:r w:rsidRPr="00900E50">
        <w:rPr>
          <w:lang w:val="sr-Latn-RS"/>
        </w:rPr>
        <w:t>ensku liniju za infuziju.</w:t>
      </w:r>
    </w:p>
    <w:p w14:paraId="30BDB679" w14:textId="77777777" w:rsidR="004362C0" w:rsidRPr="00900E50" w:rsidRDefault="004362C0" w:rsidP="00314AC9">
      <w:pPr>
        <w:pStyle w:val="BodyText"/>
        <w:spacing w:before="72"/>
        <w:ind w:left="111"/>
        <w:jc w:val="both"/>
        <w:rPr>
          <w:lang w:val="sr-Latn-RS"/>
        </w:rPr>
      </w:pPr>
    </w:p>
    <w:p w14:paraId="6B3129B4" w14:textId="2EF179B4" w:rsidR="004362C0" w:rsidRPr="00900E50" w:rsidRDefault="006658F1" w:rsidP="00314AC9">
      <w:pPr>
        <w:pStyle w:val="BodyText"/>
        <w:ind w:left="111"/>
        <w:jc w:val="both"/>
        <w:rPr>
          <w:b/>
          <w:lang w:val="sr-Latn-RS"/>
        </w:rPr>
      </w:pPr>
      <w:r w:rsidRPr="00900E50">
        <w:rPr>
          <w:b/>
          <w:lang w:val="sr-Latn-RS"/>
        </w:rPr>
        <w:t>Nemojte koristiti filt</w:t>
      </w:r>
      <w:r w:rsidR="001E7653" w:rsidRPr="00900E50">
        <w:rPr>
          <w:b/>
          <w:lang w:val="sr-Latn-RS"/>
        </w:rPr>
        <w:t xml:space="preserve">er u infuzionom vodu </w:t>
      </w:r>
      <w:r w:rsidR="00A318CD">
        <w:rPr>
          <w:b/>
          <w:lang w:val="sr-Latn-RS"/>
        </w:rPr>
        <w:t xml:space="preserve">(in-line filter) </w:t>
      </w:r>
      <w:r w:rsidR="001E7653" w:rsidRPr="00900E50">
        <w:rPr>
          <w:b/>
          <w:lang w:val="sr-Latn-RS"/>
        </w:rPr>
        <w:t xml:space="preserve">za </w:t>
      </w:r>
      <w:r w:rsidR="00FE7988" w:rsidRPr="00900E50">
        <w:rPr>
          <w:b/>
          <w:lang w:val="sr-Latn-RS"/>
        </w:rPr>
        <w:t>p</w:t>
      </w:r>
      <w:r w:rsidR="00FD557E" w:rsidRPr="00900E50">
        <w:rPr>
          <w:b/>
          <w:lang w:val="sr-Latn-RS"/>
        </w:rPr>
        <w:t>rimjenu</w:t>
      </w:r>
      <w:r w:rsidR="004362C0" w:rsidRPr="00900E50">
        <w:rPr>
          <w:b/>
          <w:lang w:val="sr-Latn-RS"/>
        </w:rPr>
        <w:t xml:space="preserve"> </w:t>
      </w:r>
      <w:r w:rsidR="001E7653" w:rsidRPr="00900E50">
        <w:rPr>
          <w:b/>
          <w:lang w:val="sr-Latn-RS"/>
        </w:rPr>
        <w:t>l</w:t>
      </w:r>
      <w:r w:rsidR="00FD557E" w:rsidRPr="00900E50">
        <w:rPr>
          <w:b/>
          <w:lang w:val="sr-Latn-RS"/>
        </w:rPr>
        <w:t>ijek</w:t>
      </w:r>
      <w:r w:rsidRPr="00900E50">
        <w:rPr>
          <w:b/>
          <w:lang w:val="sr-Latn-RS"/>
        </w:rPr>
        <w:t xml:space="preserve">a Lunsumio. </w:t>
      </w:r>
    </w:p>
    <w:p w14:paraId="45450C80" w14:textId="77777777" w:rsidR="00FE7988" w:rsidRPr="00900E50" w:rsidRDefault="00FE7988" w:rsidP="00314AC9">
      <w:pPr>
        <w:pStyle w:val="BodyText"/>
        <w:ind w:left="111"/>
        <w:jc w:val="both"/>
        <w:rPr>
          <w:lang w:val="sr-Latn-RS"/>
        </w:rPr>
      </w:pPr>
    </w:p>
    <w:p w14:paraId="5D86F91A" w14:textId="7D17AF2E" w:rsidR="004362C0" w:rsidRPr="00900E50" w:rsidRDefault="006658F1" w:rsidP="00314AC9">
      <w:pPr>
        <w:pStyle w:val="BodyText"/>
        <w:ind w:left="111"/>
        <w:jc w:val="both"/>
        <w:rPr>
          <w:lang w:val="sr-Latn-RS"/>
        </w:rPr>
      </w:pPr>
      <w:r w:rsidRPr="00900E50">
        <w:rPr>
          <w:lang w:val="sr-Latn-RS"/>
        </w:rPr>
        <w:t xml:space="preserve">Filteri komore sistema za infuziju mogu se koristiti za davanje </w:t>
      </w:r>
      <w:r w:rsidR="001E7653" w:rsidRPr="00900E50">
        <w:rPr>
          <w:lang w:val="sr-Latn-RS"/>
        </w:rPr>
        <w:t>l</w:t>
      </w:r>
      <w:r w:rsidR="00FD557E" w:rsidRPr="00900E50">
        <w:rPr>
          <w:lang w:val="sr-Latn-RS"/>
        </w:rPr>
        <w:t>ijek</w:t>
      </w:r>
      <w:r w:rsidRPr="00900E50">
        <w:rPr>
          <w:lang w:val="sr-Latn-RS"/>
        </w:rPr>
        <w:t>a Lunsumio.</w:t>
      </w:r>
    </w:p>
    <w:p w14:paraId="10A86DA7" w14:textId="77777777" w:rsidR="00FE7988" w:rsidRPr="00900E50" w:rsidRDefault="00FE7988" w:rsidP="00314AC9">
      <w:pPr>
        <w:pStyle w:val="BodyText"/>
        <w:ind w:left="111"/>
        <w:jc w:val="both"/>
        <w:rPr>
          <w:lang w:val="sr-Latn-RS"/>
        </w:rPr>
      </w:pPr>
    </w:p>
    <w:p w14:paraId="2302FAF8" w14:textId="508D7323" w:rsidR="00596AC6" w:rsidRPr="00900E50" w:rsidRDefault="006658F1" w:rsidP="00314AC9">
      <w:pPr>
        <w:spacing w:line="480" w:lineRule="auto"/>
        <w:ind w:left="111" w:right="4102"/>
        <w:jc w:val="both"/>
        <w:rPr>
          <w:i/>
          <w:lang w:val="sr-Latn-RS"/>
        </w:rPr>
      </w:pPr>
      <w:r w:rsidRPr="00900E50">
        <w:rPr>
          <w:lang w:val="sr-Latn-RS"/>
        </w:rPr>
        <w:t xml:space="preserve"> </w:t>
      </w:r>
      <w:r w:rsidRPr="00900E50">
        <w:rPr>
          <w:i/>
          <w:iCs/>
          <w:lang w:val="sr-Latn-RS"/>
        </w:rPr>
        <w:t>Priprema za infuziju</w:t>
      </w:r>
    </w:p>
    <w:p w14:paraId="4462BA96" w14:textId="17BAFEA2" w:rsidR="00596AC6" w:rsidRPr="00900E50" w:rsidRDefault="003332C0" w:rsidP="00314AC9">
      <w:pPr>
        <w:pStyle w:val="ListParagraph"/>
        <w:numPr>
          <w:ilvl w:val="0"/>
          <w:numId w:val="2"/>
        </w:numPr>
        <w:tabs>
          <w:tab w:val="left" w:pos="677"/>
          <w:tab w:val="left" w:pos="678"/>
        </w:tabs>
        <w:ind w:right="195"/>
        <w:jc w:val="both"/>
        <w:rPr>
          <w:lang w:val="sr-Latn-RS"/>
        </w:rPr>
      </w:pPr>
      <w:r>
        <w:rPr>
          <w:lang w:val="sr-Latn-RS"/>
        </w:rPr>
        <w:t>Iz kese za infuziju i</w:t>
      </w:r>
      <w:r w:rsidR="006658F1" w:rsidRPr="00900E50">
        <w:rPr>
          <w:lang w:val="sr-Latn-RS"/>
        </w:rPr>
        <w:t xml:space="preserve">zvucite </w:t>
      </w:r>
      <w:r w:rsidR="0048185B">
        <w:rPr>
          <w:lang w:val="sr-Latn-RS"/>
        </w:rPr>
        <w:t xml:space="preserve">i </w:t>
      </w:r>
      <w:r w:rsidR="00881FF4">
        <w:rPr>
          <w:lang w:val="sr-Latn-RS"/>
        </w:rPr>
        <w:t>od</w:t>
      </w:r>
      <w:r w:rsidR="0048185B">
        <w:rPr>
          <w:lang w:val="sr-Latn-RS"/>
        </w:rPr>
        <w:t xml:space="preserve">bacite </w:t>
      </w:r>
      <w:r w:rsidR="006658F1" w:rsidRPr="00900E50">
        <w:rPr>
          <w:lang w:val="sr-Latn-RS"/>
        </w:rPr>
        <w:t xml:space="preserve">zapreminu rastvora </w:t>
      </w:r>
      <w:r w:rsidR="00881FF4" w:rsidRPr="00900E50">
        <w:rPr>
          <w:lang w:val="sr-Latn-RS"/>
        </w:rPr>
        <w:t xml:space="preserve">za injekciju </w:t>
      </w:r>
      <w:r w:rsidR="006658F1" w:rsidRPr="00900E50">
        <w:rPr>
          <w:lang w:val="sr-Latn-RS"/>
        </w:rPr>
        <w:t xml:space="preserve">natrijum hlorida 9 mg/ml (0,9%) ili rastvora </w:t>
      </w:r>
      <w:r w:rsidR="00881FF4" w:rsidRPr="00900E50">
        <w:rPr>
          <w:lang w:val="sr-Latn-RS"/>
        </w:rPr>
        <w:t xml:space="preserve">za injekciju </w:t>
      </w:r>
      <w:r w:rsidR="006658F1" w:rsidRPr="00900E50">
        <w:rPr>
          <w:lang w:val="sr-Latn-RS"/>
        </w:rPr>
        <w:t>natrijum hlorida 4,5 mg/ml (0,45%) jednaku</w:t>
      </w:r>
      <w:r w:rsidR="0085710F">
        <w:rPr>
          <w:lang w:val="sr-Latn-RS"/>
        </w:rPr>
        <w:t xml:space="preserve"> </w:t>
      </w:r>
      <w:r w:rsidR="006658F1" w:rsidRPr="00900E50">
        <w:rPr>
          <w:lang w:val="sr-Latn-RS"/>
        </w:rPr>
        <w:t xml:space="preserve">zapremini </w:t>
      </w:r>
      <w:r w:rsidR="001E7653" w:rsidRPr="00900E50">
        <w:rPr>
          <w:lang w:val="sr-Latn-RS"/>
        </w:rPr>
        <w:t>l</w:t>
      </w:r>
      <w:r w:rsidR="00FD557E" w:rsidRPr="00900E50">
        <w:rPr>
          <w:lang w:val="sr-Latn-RS"/>
        </w:rPr>
        <w:t>ijek</w:t>
      </w:r>
      <w:r w:rsidR="006658F1" w:rsidRPr="00900E50">
        <w:rPr>
          <w:lang w:val="sr-Latn-RS"/>
        </w:rPr>
        <w:t>a Lunsumio potrebnoj za doz</w:t>
      </w:r>
      <w:r w:rsidR="00881FF4">
        <w:rPr>
          <w:lang w:val="sr-Latn-RS"/>
        </w:rPr>
        <w:t>iranje</w:t>
      </w:r>
      <w:r w:rsidR="006658F1" w:rsidRPr="00900E50">
        <w:rPr>
          <w:lang w:val="sr-Latn-RS"/>
        </w:rPr>
        <w:t xml:space="preserve"> pacijenta, prema tabeli 6 </w:t>
      </w:r>
      <w:r w:rsidR="00881FF4">
        <w:rPr>
          <w:lang w:val="sr-Latn-RS"/>
        </w:rPr>
        <w:t>niže navedenoj</w:t>
      </w:r>
      <w:r>
        <w:rPr>
          <w:lang w:val="sr-Latn-RS"/>
        </w:rPr>
        <w:t>.</w:t>
      </w:r>
    </w:p>
    <w:p w14:paraId="1A9CD2B4" w14:textId="7BC75108" w:rsidR="00596AC6" w:rsidRPr="00900E50" w:rsidRDefault="006658F1" w:rsidP="00314AC9">
      <w:pPr>
        <w:pStyle w:val="ListParagraph"/>
        <w:numPr>
          <w:ilvl w:val="0"/>
          <w:numId w:val="2"/>
        </w:numPr>
        <w:tabs>
          <w:tab w:val="left" w:pos="677"/>
          <w:tab w:val="left" w:pos="678"/>
        </w:tabs>
        <w:ind w:right="238"/>
        <w:jc w:val="both"/>
        <w:rPr>
          <w:lang w:val="sr-Latn-RS"/>
        </w:rPr>
      </w:pPr>
      <w:r w:rsidRPr="00900E50">
        <w:rPr>
          <w:lang w:val="sr-Latn-RS"/>
        </w:rPr>
        <w:t xml:space="preserve">Izvucite potrebnu zapreminu </w:t>
      </w:r>
      <w:r w:rsidR="001E7653" w:rsidRPr="00900E50">
        <w:rPr>
          <w:lang w:val="sr-Latn-RS"/>
        </w:rPr>
        <w:t>li</w:t>
      </w:r>
      <w:r w:rsidR="00FD557E" w:rsidRPr="00900E50">
        <w:rPr>
          <w:lang w:val="sr-Latn-RS"/>
        </w:rPr>
        <w:t>jek</w:t>
      </w:r>
      <w:r w:rsidRPr="00900E50">
        <w:rPr>
          <w:lang w:val="sr-Latn-RS"/>
        </w:rPr>
        <w:t xml:space="preserve">a Lunsumio iz bočice </w:t>
      </w:r>
      <w:r w:rsidR="001E7653" w:rsidRPr="00900E50">
        <w:rPr>
          <w:lang w:val="sr-Latn-RS"/>
        </w:rPr>
        <w:t>l</w:t>
      </w:r>
      <w:r w:rsidR="00FD557E" w:rsidRPr="00900E50">
        <w:rPr>
          <w:lang w:val="sr-Latn-RS"/>
        </w:rPr>
        <w:t>ijek</w:t>
      </w:r>
      <w:r w:rsidRPr="00900E50">
        <w:rPr>
          <w:lang w:val="sr-Latn-RS"/>
        </w:rPr>
        <w:t xml:space="preserve">a sterilnim špricem i razblažite u kesi za infuziju. </w:t>
      </w:r>
      <w:r w:rsidR="00881FF4">
        <w:rPr>
          <w:lang w:val="sr-Latn-RS"/>
        </w:rPr>
        <w:t>Odb</w:t>
      </w:r>
      <w:r w:rsidRPr="00900E50">
        <w:rPr>
          <w:lang w:val="sr-Latn-RS"/>
        </w:rPr>
        <w:t>acite sve što je ostalo u bočici.</w:t>
      </w:r>
    </w:p>
    <w:p w14:paraId="0D4BFE70" w14:textId="77777777" w:rsidR="00596AC6" w:rsidRPr="00900E50" w:rsidRDefault="00596AC6" w:rsidP="00314AC9">
      <w:pPr>
        <w:pStyle w:val="BodyText"/>
        <w:jc w:val="both"/>
        <w:rPr>
          <w:lang w:val="sr-Latn-RS"/>
        </w:rPr>
      </w:pPr>
    </w:p>
    <w:p w14:paraId="376CC742" w14:textId="51F1E85B" w:rsidR="00596AC6" w:rsidRPr="00900E50" w:rsidRDefault="006658F1" w:rsidP="00314AC9">
      <w:pPr>
        <w:pStyle w:val="Heading1"/>
        <w:ind w:left="111" w:firstLine="0"/>
        <w:jc w:val="both"/>
        <w:rPr>
          <w:lang w:val="sr-Latn-RS"/>
        </w:rPr>
      </w:pPr>
      <w:r w:rsidRPr="00900E50">
        <w:rPr>
          <w:lang w:val="sr-Latn-RS"/>
        </w:rPr>
        <w:t xml:space="preserve">Tabela 6: Razblaživanje </w:t>
      </w:r>
      <w:r w:rsidR="00FE7988" w:rsidRPr="00900E50">
        <w:rPr>
          <w:lang w:val="sr-Latn-RS"/>
        </w:rPr>
        <w:t>l</w:t>
      </w:r>
      <w:r w:rsidR="00FD557E" w:rsidRPr="00900E50">
        <w:rPr>
          <w:lang w:val="sr-Latn-RS"/>
        </w:rPr>
        <w:t>ijek</w:t>
      </w:r>
      <w:r w:rsidRPr="00900E50">
        <w:rPr>
          <w:lang w:val="sr-Latn-RS"/>
        </w:rPr>
        <w:t>a Lunsumio</w:t>
      </w:r>
    </w:p>
    <w:p w14:paraId="63250E22" w14:textId="77777777" w:rsidR="00596AC6" w:rsidRPr="00900E50" w:rsidRDefault="00596AC6" w:rsidP="00314AC9">
      <w:pPr>
        <w:pStyle w:val="BodyText"/>
        <w:jc w:val="both"/>
        <w:rPr>
          <w:b/>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3"/>
        <w:gridCol w:w="853"/>
        <w:gridCol w:w="1895"/>
        <w:gridCol w:w="2748"/>
        <w:gridCol w:w="2463"/>
      </w:tblGrid>
      <w:tr w:rsidR="00596AC6" w:rsidRPr="009F0494" w14:paraId="32D5A104" w14:textId="77777777" w:rsidTr="008868CF">
        <w:trPr>
          <w:trHeight w:val="1264"/>
        </w:trPr>
        <w:tc>
          <w:tcPr>
            <w:tcW w:w="1134" w:type="pct"/>
            <w:gridSpan w:val="2"/>
          </w:tcPr>
          <w:p w14:paraId="1F9C226B" w14:textId="77777777" w:rsidR="00596AC6" w:rsidRPr="00900E50" w:rsidRDefault="00596AC6" w:rsidP="00314AC9">
            <w:pPr>
              <w:pStyle w:val="TableParagraph"/>
              <w:ind w:left="0"/>
              <w:jc w:val="both"/>
              <w:rPr>
                <w:b/>
                <w:lang w:val="sr-Latn-RS"/>
              </w:rPr>
            </w:pPr>
          </w:p>
          <w:p w14:paraId="43E12435" w14:textId="77777777" w:rsidR="00596AC6" w:rsidRPr="00900E50" w:rsidRDefault="00596AC6" w:rsidP="00314AC9">
            <w:pPr>
              <w:pStyle w:val="TableParagraph"/>
              <w:ind w:left="0"/>
              <w:jc w:val="both"/>
              <w:rPr>
                <w:b/>
                <w:lang w:val="sr-Latn-RS"/>
              </w:rPr>
            </w:pPr>
          </w:p>
          <w:p w14:paraId="2F36EE14" w14:textId="77777777" w:rsidR="00596AC6" w:rsidRPr="00900E50" w:rsidRDefault="00596AC6" w:rsidP="00314AC9">
            <w:pPr>
              <w:pStyle w:val="TableParagraph"/>
              <w:ind w:left="0"/>
              <w:jc w:val="both"/>
              <w:rPr>
                <w:b/>
                <w:lang w:val="sr-Latn-RS"/>
              </w:rPr>
            </w:pPr>
          </w:p>
          <w:p w14:paraId="69585386" w14:textId="023C7703" w:rsidR="00596AC6" w:rsidRPr="00900E50" w:rsidRDefault="006658F1" w:rsidP="00314AC9">
            <w:pPr>
              <w:pStyle w:val="TableParagraph"/>
              <w:spacing w:before="184" w:line="233" w:lineRule="exact"/>
              <w:ind w:left="108"/>
              <w:jc w:val="both"/>
              <w:rPr>
                <w:b/>
                <w:lang w:val="sr-Latn-RS"/>
              </w:rPr>
            </w:pPr>
            <w:r w:rsidRPr="00900E50">
              <w:rPr>
                <w:b/>
                <w:bCs/>
                <w:lang w:val="sr-Latn-RS"/>
              </w:rPr>
              <w:t>Dan </w:t>
            </w:r>
            <w:r w:rsidR="00FD557E" w:rsidRPr="00900E50">
              <w:rPr>
                <w:b/>
                <w:bCs/>
                <w:lang w:val="sr-Latn-RS"/>
              </w:rPr>
              <w:t>liječenja</w:t>
            </w:r>
          </w:p>
        </w:tc>
        <w:tc>
          <w:tcPr>
            <w:tcW w:w="1031" w:type="pct"/>
          </w:tcPr>
          <w:p w14:paraId="7C8928D9" w14:textId="77777777" w:rsidR="00596AC6" w:rsidRPr="00900E50" w:rsidRDefault="00596AC6" w:rsidP="00314AC9">
            <w:pPr>
              <w:pStyle w:val="TableParagraph"/>
              <w:ind w:left="0"/>
              <w:jc w:val="both"/>
              <w:rPr>
                <w:b/>
                <w:lang w:val="sr-Latn-RS"/>
              </w:rPr>
            </w:pPr>
          </w:p>
          <w:p w14:paraId="34F0FFA0" w14:textId="77777777" w:rsidR="00596AC6" w:rsidRPr="00900E50" w:rsidRDefault="00596AC6" w:rsidP="00314AC9">
            <w:pPr>
              <w:pStyle w:val="TableParagraph"/>
              <w:ind w:left="0"/>
              <w:jc w:val="both"/>
              <w:rPr>
                <w:b/>
                <w:lang w:val="sr-Latn-RS"/>
              </w:rPr>
            </w:pPr>
          </w:p>
          <w:p w14:paraId="1C8B5B18" w14:textId="434DBA10" w:rsidR="00596AC6" w:rsidRPr="00900E50" w:rsidRDefault="006658F1" w:rsidP="00314AC9">
            <w:pPr>
              <w:pStyle w:val="TableParagraph"/>
              <w:spacing w:before="187" w:line="250" w:lineRule="atLeast"/>
              <w:ind w:left="108" w:right="723"/>
              <w:jc w:val="both"/>
              <w:rPr>
                <w:b/>
                <w:lang w:val="sr-Latn-RS"/>
              </w:rPr>
            </w:pPr>
            <w:r w:rsidRPr="00900E50">
              <w:rPr>
                <w:b/>
                <w:bCs/>
                <w:lang w:val="sr-Latn-RS"/>
              </w:rPr>
              <w:t xml:space="preserve">Doza </w:t>
            </w:r>
            <w:r w:rsidR="001E7653" w:rsidRPr="00900E50">
              <w:rPr>
                <w:b/>
                <w:bCs/>
                <w:lang w:val="sr-Latn-RS"/>
              </w:rPr>
              <w:t>l</w:t>
            </w:r>
            <w:r w:rsidR="00FD557E" w:rsidRPr="00900E50">
              <w:rPr>
                <w:b/>
                <w:bCs/>
                <w:lang w:val="sr-Latn-RS"/>
              </w:rPr>
              <w:t>ijek</w:t>
            </w:r>
            <w:r w:rsidRPr="00900E50">
              <w:rPr>
                <w:b/>
                <w:bCs/>
                <w:lang w:val="sr-Latn-RS"/>
              </w:rPr>
              <w:t>a Lunsumio</w:t>
            </w:r>
          </w:p>
        </w:tc>
        <w:tc>
          <w:tcPr>
            <w:tcW w:w="1495" w:type="pct"/>
          </w:tcPr>
          <w:p w14:paraId="29326383" w14:textId="1ADF9099" w:rsidR="00596AC6" w:rsidRPr="00900E50" w:rsidRDefault="006658F1" w:rsidP="00314AC9">
            <w:pPr>
              <w:pStyle w:val="TableParagraph"/>
              <w:ind w:left="108" w:right="80"/>
              <w:jc w:val="both"/>
              <w:rPr>
                <w:b/>
                <w:lang w:val="sr-Latn-RS"/>
              </w:rPr>
            </w:pPr>
            <w:r w:rsidRPr="00900E50">
              <w:rPr>
                <w:b/>
                <w:bCs/>
                <w:lang w:val="sr-Latn-RS"/>
              </w:rPr>
              <w:t xml:space="preserve">Zapremina </w:t>
            </w:r>
            <w:r w:rsidR="001E7653" w:rsidRPr="00900E50">
              <w:rPr>
                <w:b/>
                <w:bCs/>
                <w:lang w:val="sr-Latn-RS"/>
              </w:rPr>
              <w:t>l</w:t>
            </w:r>
            <w:r w:rsidR="00FD557E" w:rsidRPr="00900E50">
              <w:rPr>
                <w:b/>
                <w:bCs/>
                <w:lang w:val="sr-Latn-RS"/>
              </w:rPr>
              <w:t>ijek</w:t>
            </w:r>
            <w:r w:rsidRPr="00900E50">
              <w:rPr>
                <w:b/>
                <w:bCs/>
                <w:lang w:val="sr-Latn-RS"/>
              </w:rPr>
              <w:t>a Lunsumio u natrijum hloridu 9 mg/ml (0,9%) ili 4,5 mg/ml</w:t>
            </w:r>
          </w:p>
          <w:p w14:paraId="0D20707C" w14:textId="77777777" w:rsidR="00596AC6" w:rsidRPr="00900E50" w:rsidRDefault="006658F1" w:rsidP="00314AC9">
            <w:pPr>
              <w:pStyle w:val="TableParagraph"/>
              <w:spacing w:line="250" w:lineRule="atLeast"/>
              <w:ind w:left="108" w:right="605"/>
              <w:jc w:val="both"/>
              <w:rPr>
                <w:b/>
                <w:lang w:val="sr-Latn-RS"/>
              </w:rPr>
            </w:pPr>
            <w:r w:rsidRPr="00900E50">
              <w:rPr>
                <w:b/>
                <w:bCs/>
                <w:lang w:val="sr-Latn-RS"/>
              </w:rPr>
              <w:t>(0,45%) rastvor za injekciju</w:t>
            </w:r>
          </w:p>
        </w:tc>
        <w:tc>
          <w:tcPr>
            <w:tcW w:w="1340" w:type="pct"/>
          </w:tcPr>
          <w:p w14:paraId="3087FAFF" w14:textId="77777777" w:rsidR="00596AC6" w:rsidRPr="00900E50" w:rsidRDefault="00596AC6" w:rsidP="00314AC9">
            <w:pPr>
              <w:pStyle w:val="TableParagraph"/>
              <w:ind w:left="0"/>
              <w:jc w:val="both"/>
              <w:rPr>
                <w:b/>
                <w:lang w:val="sr-Latn-RS"/>
              </w:rPr>
            </w:pPr>
          </w:p>
          <w:p w14:paraId="6BB4DA15" w14:textId="77777777" w:rsidR="00596AC6" w:rsidRPr="00900E50" w:rsidRDefault="00596AC6" w:rsidP="00314AC9">
            <w:pPr>
              <w:pStyle w:val="TableParagraph"/>
              <w:ind w:left="0"/>
              <w:jc w:val="both"/>
              <w:rPr>
                <w:b/>
                <w:lang w:val="sr-Latn-RS"/>
              </w:rPr>
            </w:pPr>
          </w:p>
          <w:p w14:paraId="141F427B" w14:textId="77777777" w:rsidR="00596AC6" w:rsidRPr="00900E50" w:rsidRDefault="00596AC6" w:rsidP="00314AC9">
            <w:pPr>
              <w:pStyle w:val="TableParagraph"/>
              <w:ind w:left="0"/>
              <w:jc w:val="both"/>
              <w:rPr>
                <w:b/>
                <w:lang w:val="sr-Latn-RS"/>
              </w:rPr>
            </w:pPr>
          </w:p>
          <w:p w14:paraId="0E461D10" w14:textId="77777777" w:rsidR="00596AC6" w:rsidRPr="00900E50" w:rsidRDefault="006658F1" w:rsidP="00314AC9">
            <w:pPr>
              <w:pStyle w:val="TableParagraph"/>
              <w:spacing w:before="184" w:line="233" w:lineRule="exact"/>
              <w:ind w:left="107"/>
              <w:jc w:val="both"/>
              <w:rPr>
                <w:b/>
                <w:lang w:val="sr-Latn-RS"/>
              </w:rPr>
            </w:pPr>
            <w:r w:rsidRPr="00900E50">
              <w:rPr>
                <w:b/>
                <w:bCs/>
                <w:lang w:val="sr-Latn-RS"/>
              </w:rPr>
              <w:t>Veličina kese za infuziju</w:t>
            </w:r>
          </w:p>
        </w:tc>
      </w:tr>
      <w:tr w:rsidR="00596AC6" w:rsidRPr="009F0494" w14:paraId="529D3ED9" w14:textId="77777777" w:rsidTr="008868CF">
        <w:trPr>
          <w:trHeight w:val="389"/>
        </w:trPr>
        <w:tc>
          <w:tcPr>
            <w:tcW w:w="670" w:type="pct"/>
          </w:tcPr>
          <w:p w14:paraId="488EE4C1" w14:textId="77777777" w:rsidR="00596AC6" w:rsidRPr="00900E50" w:rsidRDefault="006658F1" w:rsidP="00314AC9">
            <w:pPr>
              <w:pStyle w:val="TableParagraph"/>
              <w:ind w:left="108"/>
              <w:jc w:val="both"/>
              <w:rPr>
                <w:lang w:val="sr-Latn-RS"/>
              </w:rPr>
            </w:pPr>
            <w:r w:rsidRPr="00900E50">
              <w:rPr>
                <w:lang w:val="sr-Latn-RS"/>
              </w:rPr>
              <w:t>1. ciklus</w:t>
            </w:r>
          </w:p>
        </w:tc>
        <w:tc>
          <w:tcPr>
            <w:tcW w:w="464" w:type="pct"/>
          </w:tcPr>
          <w:p w14:paraId="2CEA92D6" w14:textId="77777777" w:rsidR="00596AC6" w:rsidRPr="00900E50" w:rsidRDefault="006658F1" w:rsidP="00314AC9">
            <w:pPr>
              <w:pStyle w:val="TableParagraph"/>
              <w:ind w:left="108"/>
              <w:jc w:val="both"/>
              <w:rPr>
                <w:lang w:val="sr-Latn-RS"/>
              </w:rPr>
            </w:pPr>
            <w:r w:rsidRPr="00900E50">
              <w:rPr>
                <w:lang w:val="sr-Latn-RS"/>
              </w:rPr>
              <w:t>1. dan</w:t>
            </w:r>
          </w:p>
        </w:tc>
        <w:tc>
          <w:tcPr>
            <w:tcW w:w="1031" w:type="pct"/>
          </w:tcPr>
          <w:p w14:paraId="3E0FE399" w14:textId="77777777" w:rsidR="00596AC6" w:rsidRPr="00900E50" w:rsidRDefault="006658F1" w:rsidP="00314AC9">
            <w:pPr>
              <w:pStyle w:val="TableParagraph"/>
              <w:ind w:left="108"/>
              <w:jc w:val="both"/>
              <w:rPr>
                <w:lang w:val="sr-Latn-RS"/>
              </w:rPr>
            </w:pPr>
            <w:r w:rsidRPr="00900E50">
              <w:rPr>
                <w:lang w:val="sr-Latn-RS"/>
              </w:rPr>
              <w:t>1 mg</w:t>
            </w:r>
          </w:p>
        </w:tc>
        <w:tc>
          <w:tcPr>
            <w:tcW w:w="1495" w:type="pct"/>
          </w:tcPr>
          <w:p w14:paraId="029B45D8" w14:textId="77777777" w:rsidR="00596AC6" w:rsidRPr="00900E50" w:rsidRDefault="006658F1" w:rsidP="00314AC9">
            <w:pPr>
              <w:pStyle w:val="TableParagraph"/>
              <w:ind w:left="108"/>
              <w:jc w:val="both"/>
              <w:rPr>
                <w:lang w:val="sr-Latn-RS"/>
              </w:rPr>
            </w:pPr>
            <w:r w:rsidRPr="00900E50">
              <w:rPr>
                <w:lang w:val="sr-Latn-RS"/>
              </w:rPr>
              <w:t>1 ml</w:t>
            </w:r>
          </w:p>
        </w:tc>
        <w:tc>
          <w:tcPr>
            <w:tcW w:w="1340" w:type="pct"/>
          </w:tcPr>
          <w:p w14:paraId="19D31A1B" w14:textId="77777777" w:rsidR="00596AC6" w:rsidRPr="00900E50" w:rsidRDefault="006658F1" w:rsidP="00314AC9">
            <w:pPr>
              <w:pStyle w:val="TableParagraph"/>
              <w:ind w:left="107"/>
              <w:jc w:val="both"/>
              <w:rPr>
                <w:lang w:val="sr-Latn-RS"/>
              </w:rPr>
            </w:pPr>
            <w:r w:rsidRPr="00900E50">
              <w:rPr>
                <w:lang w:val="sr-Latn-RS"/>
              </w:rPr>
              <w:t>50 ml ili 100 ml</w:t>
            </w:r>
          </w:p>
        </w:tc>
      </w:tr>
      <w:tr w:rsidR="00596AC6" w:rsidRPr="009F0494" w14:paraId="0605FAB5" w14:textId="77777777" w:rsidTr="008868CF">
        <w:trPr>
          <w:trHeight w:val="389"/>
        </w:trPr>
        <w:tc>
          <w:tcPr>
            <w:tcW w:w="670" w:type="pct"/>
          </w:tcPr>
          <w:p w14:paraId="7580EEC9" w14:textId="77777777" w:rsidR="00596AC6" w:rsidRPr="00900E50" w:rsidRDefault="00596AC6" w:rsidP="00314AC9">
            <w:pPr>
              <w:pStyle w:val="TableParagraph"/>
              <w:ind w:left="0"/>
              <w:jc w:val="both"/>
              <w:rPr>
                <w:lang w:val="sr-Latn-RS"/>
              </w:rPr>
            </w:pPr>
          </w:p>
        </w:tc>
        <w:tc>
          <w:tcPr>
            <w:tcW w:w="464" w:type="pct"/>
          </w:tcPr>
          <w:p w14:paraId="6E557AB2" w14:textId="77777777" w:rsidR="00596AC6" w:rsidRPr="00900E50" w:rsidRDefault="006658F1" w:rsidP="00314AC9">
            <w:pPr>
              <w:pStyle w:val="TableParagraph"/>
              <w:ind w:left="108"/>
              <w:jc w:val="both"/>
              <w:rPr>
                <w:lang w:val="sr-Latn-RS"/>
              </w:rPr>
            </w:pPr>
            <w:r w:rsidRPr="00900E50">
              <w:rPr>
                <w:lang w:val="sr-Latn-RS"/>
              </w:rPr>
              <w:t>8. dan</w:t>
            </w:r>
          </w:p>
        </w:tc>
        <w:tc>
          <w:tcPr>
            <w:tcW w:w="1031" w:type="pct"/>
          </w:tcPr>
          <w:p w14:paraId="6050EB3C" w14:textId="77777777" w:rsidR="00596AC6" w:rsidRPr="00900E50" w:rsidRDefault="006658F1" w:rsidP="00314AC9">
            <w:pPr>
              <w:pStyle w:val="TableParagraph"/>
              <w:ind w:left="108"/>
              <w:jc w:val="both"/>
              <w:rPr>
                <w:lang w:val="sr-Latn-RS"/>
              </w:rPr>
            </w:pPr>
            <w:r w:rsidRPr="00900E50">
              <w:rPr>
                <w:lang w:val="sr-Latn-RS"/>
              </w:rPr>
              <w:t>2 mg</w:t>
            </w:r>
          </w:p>
        </w:tc>
        <w:tc>
          <w:tcPr>
            <w:tcW w:w="1495" w:type="pct"/>
          </w:tcPr>
          <w:p w14:paraId="1B5D3E48" w14:textId="77777777" w:rsidR="00596AC6" w:rsidRPr="00900E50" w:rsidRDefault="006658F1" w:rsidP="00314AC9">
            <w:pPr>
              <w:pStyle w:val="TableParagraph"/>
              <w:ind w:left="108"/>
              <w:jc w:val="both"/>
              <w:rPr>
                <w:lang w:val="sr-Latn-RS"/>
              </w:rPr>
            </w:pPr>
            <w:r w:rsidRPr="00900E50">
              <w:rPr>
                <w:lang w:val="sr-Latn-RS"/>
              </w:rPr>
              <w:t>2 ml</w:t>
            </w:r>
          </w:p>
        </w:tc>
        <w:tc>
          <w:tcPr>
            <w:tcW w:w="1340" w:type="pct"/>
          </w:tcPr>
          <w:p w14:paraId="632B0FB2" w14:textId="77777777" w:rsidR="00596AC6" w:rsidRPr="00900E50" w:rsidRDefault="006658F1" w:rsidP="00314AC9">
            <w:pPr>
              <w:pStyle w:val="TableParagraph"/>
              <w:ind w:left="107"/>
              <w:jc w:val="both"/>
              <w:rPr>
                <w:lang w:val="sr-Latn-RS"/>
              </w:rPr>
            </w:pPr>
            <w:r w:rsidRPr="00900E50">
              <w:rPr>
                <w:lang w:val="sr-Latn-RS"/>
              </w:rPr>
              <w:t>50 ml ili 100 ml</w:t>
            </w:r>
          </w:p>
        </w:tc>
      </w:tr>
      <w:tr w:rsidR="00596AC6" w:rsidRPr="009F0494" w14:paraId="4AE742C2" w14:textId="77777777" w:rsidTr="008868CF">
        <w:trPr>
          <w:trHeight w:val="505"/>
        </w:trPr>
        <w:tc>
          <w:tcPr>
            <w:tcW w:w="670" w:type="pct"/>
          </w:tcPr>
          <w:p w14:paraId="2E6F9978" w14:textId="77777777" w:rsidR="00596AC6" w:rsidRPr="00900E50" w:rsidRDefault="00596AC6" w:rsidP="00314AC9">
            <w:pPr>
              <w:pStyle w:val="TableParagraph"/>
              <w:ind w:left="0"/>
              <w:jc w:val="both"/>
              <w:rPr>
                <w:lang w:val="sr-Latn-RS"/>
              </w:rPr>
            </w:pPr>
          </w:p>
        </w:tc>
        <w:tc>
          <w:tcPr>
            <w:tcW w:w="464" w:type="pct"/>
          </w:tcPr>
          <w:p w14:paraId="0A5F4E6A" w14:textId="4B1B75CF" w:rsidR="00596AC6" w:rsidRPr="00900E50" w:rsidRDefault="006658F1" w:rsidP="00314AC9">
            <w:pPr>
              <w:pStyle w:val="TableParagraph"/>
              <w:ind w:left="108"/>
              <w:jc w:val="both"/>
              <w:rPr>
                <w:lang w:val="sr-Latn-RS"/>
              </w:rPr>
            </w:pPr>
            <w:r w:rsidRPr="00900E50">
              <w:rPr>
                <w:lang w:val="sr-Latn-RS"/>
              </w:rPr>
              <w:t>1</w:t>
            </w:r>
            <w:r w:rsidR="004855EC" w:rsidRPr="00900E50">
              <w:rPr>
                <w:lang w:val="sr-Latn-RS"/>
              </w:rPr>
              <w:t>5</w:t>
            </w:r>
            <w:r w:rsidRPr="00900E50">
              <w:rPr>
                <w:lang w:val="sr-Latn-RS"/>
              </w:rPr>
              <w:t>. dan</w:t>
            </w:r>
          </w:p>
          <w:p w14:paraId="054FE65E" w14:textId="7184FC7E" w:rsidR="00596AC6" w:rsidRPr="00900E50" w:rsidRDefault="00596AC6" w:rsidP="00314AC9">
            <w:pPr>
              <w:pStyle w:val="TableParagraph"/>
              <w:spacing w:line="233" w:lineRule="exact"/>
              <w:ind w:left="108"/>
              <w:jc w:val="both"/>
              <w:rPr>
                <w:lang w:val="sr-Latn-RS"/>
              </w:rPr>
            </w:pPr>
          </w:p>
        </w:tc>
        <w:tc>
          <w:tcPr>
            <w:tcW w:w="1031" w:type="pct"/>
          </w:tcPr>
          <w:p w14:paraId="65455DEB" w14:textId="77777777" w:rsidR="00596AC6" w:rsidRPr="00900E50" w:rsidRDefault="006658F1" w:rsidP="00314AC9">
            <w:pPr>
              <w:pStyle w:val="TableParagraph"/>
              <w:ind w:left="108"/>
              <w:jc w:val="both"/>
              <w:rPr>
                <w:lang w:val="sr-Latn-RS"/>
              </w:rPr>
            </w:pPr>
            <w:r w:rsidRPr="00900E50">
              <w:rPr>
                <w:lang w:val="sr-Latn-RS"/>
              </w:rPr>
              <w:t>60 mg</w:t>
            </w:r>
          </w:p>
        </w:tc>
        <w:tc>
          <w:tcPr>
            <w:tcW w:w="1495" w:type="pct"/>
          </w:tcPr>
          <w:p w14:paraId="3130DBEF" w14:textId="77777777" w:rsidR="00596AC6" w:rsidRPr="00900E50" w:rsidRDefault="006658F1" w:rsidP="00314AC9">
            <w:pPr>
              <w:pStyle w:val="TableParagraph"/>
              <w:ind w:left="108"/>
              <w:jc w:val="both"/>
              <w:rPr>
                <w:lang w:val="sr-Latn-RS"/>
              </w:rPr>
            </w:pPr>
            <w:r w:rsidRPr="00900E50">
              <w:rPr>
                <w:lang w:val="sr-Latn-RS"/>
              </w:rPr>
              <w:t>60 ml</w:t>
            </w:r>
          </w:p>
        </w:tc>
        <w:tc>
          <w:tcPr>
            <w:tcW w:w="1340" w:type="pct"/>
          </w:tcPr>
          <w:p w14:paraId="3A723851" w14:textId="77777777" w:rsidR="00596AC6" w:rsidRPr="00900E50" w:rsidRDefault="006658F1" w:rsidP="00314AC9">
            <w:pPr>
              <w:pStyle w:val="TableParagraph"/>
              <w:ind w:left="107"/>
              <w:jc w:val="both"/>
              <w:rPr>
                <w:lang w:val="sr-Latn-RS"/>
              </w:rPr>
            </w:pPr>
            <w:r w:rsidRPr="00900E50">
              <w:rPr>
                <w:lang w:val="sr-Latn-RS"/>
              </w:rPr>
              <w:t>100 ml ili 250 ml</w:t>
            </w:r>
          </w:p>
        </w:tc>
      </w:tr>
      <w:tr w:rsidR="00596AC6" w:rsidRPr="009F0494" w14:paraId="1B469FA1" w14:textId="77777777" w:rsidTr="008868CF">
        <w:trPr>
          <w:trHeight w:val="388"/>
        </w:trPr>
        <w:tc>
          <w:tcPr>
            <w:tcW w:w="670" w:type="pct"/>
          </w:tcPr>
          <w:p w14:paraId="24F8E352" w14:textId="77777777" w:rsidR="00596AC6" w:rsidRPr="00900E50" w:rsidRDefault="006658F1" w:rsidP="00314AC9">
            <w:pPr>
              <w:pStyle w:val="TableParagraph"/>
              <w:ind w:left="108"/>
              <w:jc w:val="both"/>
              <w:rPr>
                <w:lang w:val="sr-Latn-RS"/>
              </w:rPr>
            </w:pPr>
            <w:r w:rsidRPr="00900E50">
              <w:rPr>
                <w:lang w:val="sr-Latn-RS"/>
              </w:rPr>
              <w:t>2. ciklus</w:t>
            </w:r>
          </w:p>
        </w:tc>
        <w:tc>
          <w:tcPr>
            <w:tcW w:w="464" w:type="pct"/>
          </w:tcPr>
          <w:p w14:paraId="7B358844" w14:textId="77777777" w:rsidR="00596AC6" w:rsidRPr="00900E50" w:rsidRDefault="006658F1" w:rsidP="00314AC9">
            <w:pPr>
              <w:pStyle w:val="TableParagraph"/>
              <w:ind w:left="108"/>
              <w:jc w:val="both"/>
              <w:rPr>
                <w:lang w:val="sr-Latn-RS"/>
              </w:rPr>
            </w:pPr>
            <w:r w:rsidRPr="00900E50">
              <w:rPr>
                <w:lang w:val="sr-Latn-RS"/>
              </w:rPr>
              <w:t>1. dan</w:t>
            </w:r>
          </w:p>
        </w:tc>
        <w:tc>
          <w:tcPr>
            <w:tcW w:w="1031" w:type="pct"/>
          </w:tcPr>
          <w:p w14:paraId="4FB9A3D8" w14:textId="77777777" w:rsidR="00596AC6" w:rsidRPr="00900E50" w:rsidRDefault="006658F1" w:rsidP="00314AC9">
            <w:pPr>
              <w:pStyle w:val="TableParagraph"/>
              <w:ind w:left="108"/>
              <w:jc w:val="both"/>
              <w:rPr>
                <w:lang w:val="sr-Latn-RS"/>
              </w:rPr>
            </w:pPr>
            <w:r w:rsidRPr="00900E50">
              <w:rPr>
                <w:lang w:val="sr-Latn-RS"/>
              </w:rPr>
              <w:t>60 mg</w:t>
            </w:r>
          </w:p>
        </w:tc>
        <w:tc>
          <w:tcPr>
            <w:tcW w:w="1495" w:type="pct"/>
          </w:tcPr>
          <w:p w14:paraId="1FCF7B26" w14:textId="77777777" w:rsidR="00596AC6" w:rsidRPr="00900E50" w:rsidRDefault="006658F1" w:rsidP="00314AC9">
            <w:pPr>
              <w:pStyle w:val="TableParagraph"/>
              <w:ind w:left="108"/>
              <w:jc w:val="both"/>
              <w:rPr>
                <w:lang w:val="sr-Latn-RS"/>
              </w:rPr>
            </w:pPr>
            <w:r w:rsidRPr="00900E50">
              <w:rPr>
                <w:lang w:val="sr-Latn-RS"/>
              </w:rPr>
              <w:t>60 ml</w:t>
            </w:r>
          </w:p>
        </w:tc>
        <w:tc>
          <w:tcPr>
            <w:tcW w:w="1340" w:type="pct"/>
          </w:tcPr>
          <w:p w14:paraId="75B426EF" w14:textId="77777777" w:rsidR="00596AC6" w:rsidRPr="00900E50" w:rsidRDefault="006658F1" w:rsidP="00314AC9">
            <w:pPr>
              <w:pStyle w:val="TableParagraph"/>
              <w:ind w:left="107"/>
              <w:jc w:val="both"/>
              <w:rPr>
                <w:lang w:val="sr-Latn-RS"/>
              </w:rPr>
            </w:pPr>
            <w:r w:rsidRPr="00900E50">
              <w:rPr>
                <w:lang w:val="sr-Latn-RS"/>
              </w:rPr>
              <w:t>100 ml ili 250 ml</w:t>
            </w:r>
          </w:p>
        </w:tc>
      </w:tr>
      <w:tr w:rsidR="00596AC6" w:rsidRPr="009F0494" w14:paraId="113BE439" w14:textId="77777777" w:rsidTr="008868CF">
        <w:trPr>
          <w:trHeight w:val="758"/>
        </w:trPr>
        <w:tc>
          <w:tcPr>
            <w:tcW w:w="670" w:type="pct"/>
          </w:tcPr>
          <w:p w14:paraId="7F66A040" w14:textId="79896349" w:rsidR="00596AC6" w:rsidRPr="00900E50" w:rsidRDefault="004855EC" w:rsidP="00314AC9">
            <w:pPr>
              <w:pStyle w:val="TableParagraph"/>
              <w:spacing w:line="250" w:lineRule="atLeast"/>
              <w:ind w:left="108" w:right="362"/>
              <w:jc w:val="both"/>
              <w:rPr>
                <w:lang w:val="sr-Latn-RS"/>
              </w:rPr>
            </w:pPr>
            <w:r w:rsidRPr="00900E50">
              <w:rPr>
                <w:lang w:val="sr-Latn-RS"/>
              </w:rPr>
              <w:t>3.</w:t>
            </w:r>
            <w:r w:rsidR="006658F1" w:rsidRPr="00900E50">
              <w:rPr>
                <w:lang w:val="sr-Latn-RS"/>
              </w:rPr>
              <w:t>ciklu</w:t>
            </w:r>
            <w:r w:rsidRPr="00900E50">
              <w:rPr>
                <w:lang w:val="sr-Latn-RS"/>
              </w:rPr>
              <w:t>s</w:t>
            </w:r>
            <w:r w:rsidR="006658F1" w:rsidRPr="00900E50">
              <w:rPr>
                <w:lang w:val="sr-Latn-RS"/>
              </w:rPr>
              <w:t xml:space="preserve"> i ciklusi posl</w:t>
            </w:r>
            <w:r w:rsidR="00EB674F">
              <w:rPr>
                <w:lang w:val="sr-Latn-RS"/>
              </w:rPr>
              <w:t>ij</w:t>
            </w:r>
            <w:r w:rsidR="006658F1" w:rsidRPr="00900E50">
              <w:rPr>
                <w:lang w:val="sr-Latn-RS"/>
              </w:rPr>
              <w:t>e njega</w:t>
            </w:r>
          </w:p>
        </w:tc>
        <w:tc>
          <w:tcPr>
            <w:tcW w:w="464" w:type="pct"/>
          </w:tcPr>
          <w:p w14:paraId="1F1EC35E" w14:textId="77777777" w:rsidR="00596AC6" w:rsidRPr="00900E50" w:rsidRDefault="006658F1" w:rsidP="00314AC9">
            <w:pPr>
              <w:pStyle w:val="TableParagraph"/>
              <w:ind w:left="108"/>
              <w:jc w:val="both"/>
              <w:rPr>
                <w:lang w:val="sr-Latn-RS"/>
              </w:rPr>
            </w:pPr>
            <w:r w:rsidRPr="00900E50">
              <w:rPr>
                <w:lang w:val="sr-Latn-RS"/>
              </w:rPr>
              <w:t>1. dan</w:t>
            </w:r>
          </w:p>
        </w:tc>
        <w:tc>
          <w:tcPr>
            <w:tcW w:w="1031" w:type="pct"/>
          </w:tcPr>
          <w:p w14:paraId="7A39BA65" w14:textId="77777777" w:rsidR="00596AC6" w:rsidRPr="00900E50" w:rsidRDefault="006658F1" w:rsidP="00314AC9">
            <w:pPr>
              <w:pStyle w:val="TableParagraph"/>
              <w:ind w:left="108"/>
              <w:jc w:val="both"/>
              <w:rPr>
                <w:lang w:val="sr-Latn-RS"/>
              </w:rPr>
            </w:pPr>
            <w:r w:rsidRPr="00900E50">
              <w:rPr>
                <w:lang w:val="sr-Latn-RS"/>
              </w:rPr>
              <w:t>30 mg</w:t>
            </w:r>
          </w:p>
        </w:tc>
        <w:tc>
          <w:tcPr>
            <w:tcW w:w="1495" w:type="pct"/>
          </w:tcPr>
          <w:p w14:paraId="13B0BF50" w14:textId="77777777" w:rsidR="00596AC6" w:rsidRPr="00900E50" w:rsidRDefault="006658F1" w:rsidP="00314AC9">
            <w:pPr>
              <w:pStyle w:val="TableParagraph"/>
              <w:ind w:left="108"/>
              <w:jc w:val="both"/>
              <w:rPr>
                <w:lang w:val="sr-Latn-RS"/>
              </w:rPr>
            </w:pPr>
            <w:r w:rsidRPr="00900E50">
              <w:rPr>
                <w:lang w:val="sr-Latn-RS"/>
              </w:rPr>
              <w:t>30 ml</w:t>
            </w:r>
          </w:p>
        </w:tc>
        <w:tc>
          <w:tcPr>
            <w:tcW w:w="1340" w:type="pct"/>
          </w:tcPr>
          <w:p w14:paraId="7EA81509" w14:textId="77777777" w:rsidR="00596AC6" w:rsidRPr="00900E50" w:rsidRDefault="006658F1" w:rsidP="00314AC9">
            <w:pPr>
              <w:pStyle w:val="TableParagraph"/>
              <w:ind w:left="107"/>
              <w:jc w:val="both"/>
              <w:rPr>
                <w:lang w:val="sr-Latn-RS"/>
              </w:rPr>
            </w:pPr>
            <w:r w:rsidRPr="00900E50">
              <w:rPr>
                <w:lang w:val="sr-Latn-RS"/>
              </w:rPr>
              <w:t>100 ml ili 250 ml</w:t>
            </w:r>
          </w:p>
        </w:tc>
      </w:tr>
    </w:tbl>
    <w:p w14:paraId="41AF0C30" w14:textId="77777777" w:rsidR="00596AC6" w:rsidRPr="00900E50" w:rsidRDefault="00596AC6" w:rsidP="00314AC9">
      <w:pPr>
        <w:pStyle w:val="BodyText"/>
        <w:jc w:val="both"/>
        <w:rPr>
          <w:b/>
          <w:lang w:val="sr-Latn-RS"/>
        </w:rPr>
      </w:pPr>
    </w:p>
    <w:p w14:paraId="73737117" w14:textId="4DA8A9F7" w:rsidR="00596AC6" w:rsidRPr="00900E50" w:rsidRDefault="006658F1" w:rsidP="00314AC9">
      <w:pPr>
        <w:pStyle w:val="ListParagraph"/>
        <w:numPr>
          <w:ilvl w:val="0"/>
          <w:numId w:val="2"/>
        </w:numPr>
        <w:tabs>
          <w:tab w:val="left" w:pos="677"/>
          <w:tab w:val="left" w:pos="678"/>
        </w:tabs>
        <w:ind w:left="677"/>
        <w:jc w:val="both"/>
        <w:rPr>
          <w:i/>
          <w:lang w:val="sr-Latn-RS"/>
        </w:rPr>
      </w:pPr>
      <w:r w:rsidRPr="00900E50">
        <w:rPr>
          <w:lang w:val="sr-Latn-RS"/>
        </w:rPr>
        <w:t>Lagano prom</w:t>
      </w:r>
      <w:r w:rsidR="001E7653" w:rsidRPr="00900E50">
        <w:rPr>
          <w:lang w:val="sr-Latn-RS"/>
        </w:rPr>
        <w:t>ij</w:t>
      </w:r>
      <w:r w:rsidRPr="00900E50">
        <w:rPr>
          <w:lang w:val="sr-Latn-RS"/>
        </w:rPr>
        <w:t>ešajte sadržaj kese za infuziju polako okrećući kesu. Ne mućkajte</w:t>
      </w:r>
      <w:r w:rsidRPr="00900E50">
        <w:rPr>
          <w:i/>
          <w:iCs/>
          <w:lang w:val="sr-Latn-RS"/>
        </w:rPr>
        <w:t>.</w:t>
      </w:r>
    </w:p>
    <w:p w14:paraId="2EC66F86" w14:textId="725F0AC3" w:rsidR="00596AC6" w:rsidRPr="00900E50" w:rsidRDefault="006658F1" w:rsidP="00314AC9">
      <w:pPr>
        <w:pStyle w:val="ListParagraph"/>
        <w:numPr>
          <w:ilvl w:val="0"/>
          <w:numId w:val="2"/>
        </w:numPr>
        <w:tabs>
          <w:tab w:val="left" w:pos="677"/>
          <w:tab w:val="left" w:pos="678"/>
        </w:tabs>
        <w:ind w:left="677"/>
        <w:jc w:val="both"/>
        <w:rPr>
          <w:lang w:val="sr-Latn-RS"/>
        </w:rPr>
      </w:pPr>
      <w:r w:rsidRPr="00900E50">
        <w:rPr>
          <w:lang w:val="sr-Latn-RS"/>
        </w:rPr>
        <w:t>Prov</w:t>
      </w:r>
      <w:r w:rsidR="00EB674F">
        <w:rPr>
          <w:lang w:val="sr-Latn-RS"/>
        </w:rPr>
        <w:t>j</w:t>
      </w:r>
      <w:r w:rsidRPr="00900E50">
        <w:rPr>
          <w:lang w:val="sr-Latn-RS"/>
        </w:rPr>
        <w:t xml:space="preserve">erite da li u kesi za infuziju postoje čestice i </w:t>
      </w:r>
      <w:r w:rsidR="00881FF4">
        <w:rPr>
          <w:lang w:val="sr-Latn-RS"/>
        </w:rPr>
        <w:t>od</w:t>
      </w:r>
      <w:r w:rsidRPr="00900E50">
        <w:rPr>
          <w:lang w:val="sr-Latn-RS"/>
        </w:rPr>
        <w:t>bacite je ako postoje.</w:t>
      </w:r>
    </w:p>
    <w:p w14:paraId="0DB13E60" w14:textId="2FC93B23" w:rsidR="00596AC6" w:rsidRPr="00900E50" w:rsidRDefault="006658F1" w:rsidP="00314AC9">
      <w:pPr>
        <w:pStyle w:val="ListParagraph"/>
        <w:numPr>
          <w:ilvl w:val="0"/>
          <w:numId w:val="2"/>
        </w:numPr>
        <w:tabs>
          <w:tab w:val="left" w:pos="677"/>
          <w:tab w:val="left" w:pos="678"/>
        </w:tabs>
        <w:ind w:left="677"/>
        <w:jc w:val="both"/>
        <w:rPr>
          <w:lang w:val="sr-Latn-RS"/>
        </w:rPr>
      </w:pPr>
      <w:r w:rsidRPr="00900E50">
        <w:rPr>
          <w:lang w:val="sr-Latn-RS"/>
        </w:rPr>
        <w:t>Odl</w:t>
      </w:r>
      <w:r w:rsidR="00773218" w:rsidRPr="00900E50">
        <w:rPr>
          <w:lang w:val="sr-Latn-RS"/>
        </w:rPr>
        <w:t>ij</w:t>
      </w:r>
      <w:r w:rsidRPr="00900E50">
        <w:rPr>
          <w:lang w:val="sr-Latn-RS"/>
        </w:rPr>
        <w:t>epite nal</w:t>
      </w:r>
      <w:r w:rsidR="00773218" w:rsidRPr="00900E50">
        <w:rPr>
          <w:lang w:val="sr-Latn-RS"/>
        </w:rPr>
        <w:t>j</w:t>
      </w:r>
      <w:r w:rsidR="003F7E21" w:rsidRPr="00900E50">
        <w:rPr>
          <w:lang w:val="sr-Latn-RS"/>
        </w:rPr>
        <w:t>epnicu sa uputstva za lijek</w:t>
      </w:r>
      <w:r w:rsidRPr="00900E50">
        <w:rPr>
          <w:lang w:val="sr-Latn-RS"/>
        </w:rPr>
        <w:t xml:space="preserve"> i zal</w:t>
      </w:r>
      <w:r w:rsidR="00CB303D" w:rsidRPr="00900E50">
        <w:rPr>
          <w:lang w:val="sr-Latn-RS"/>
        </w:rPr>
        <w:t>ij</w:t>
      </w:r>
      <w:r w:rsidRPr="00900E50">
        <w:rPr>
          <w:lang w:val="sr-Latn-RS"/>
        </w:rPr>
        <w:t>epite je na kesu za infuziju.</w:t>
      </w:r>
    </w:p>
    <w:p w14:paraId="570DCFE4" w14:textId="77777777" w:rsidR="00596AC6" w:rsidRPr="00900E50" w:rsidRDefault="00596AC6" w:rsidP="00314AC9">
      <w:pPr>
        <w:pStyle w:val="BodyText"/>
        <w:jc w:val="both"/>
        <w:rPr>
          <w:lang w:val="sr-Latn-RS"/>
        </w:rPr>
      </w:pPr>
    </w:p>
    <w:p w14:paraId="2B1129BA" w14:textId="287CAB59" w:rsidR="00881FF4" w:rsidRDefault="006658F1" w:rsidP="00314AC9">
      <w:pPr>
        <w:pStyle w:val="BodyText"/>
        <w:ind w:left="111" w:right="3960"/>
        <w:jc w:val="both"/>
        <w:rPr>
          <w:lang w:val="sr-Latn-RS"/>
        </w:rPr>
      </w:pPr>
      <w:r w:rsidRPr="00900E50">
        <w:rPr>
          <w:lang w:val="sr-Latn-RS"/>
        </w:rPr>
        <w:t>Za uslove čuvanja kes</w:t>
      </w:r>
      <w:r w:rsidR="00881FF4">
        <w:rPr>
          <w:lang w:val="sr-Latn-RS"/>
        </w:rPr>
        <w:t>e</w:t>
      </w:r>
      <w:r w:rsidRPr="00900E50">
        <w:rPr>
          <w:lang w:val="sr-Latn-RS"/>
        </w:rPr>
        <w:t xml:space="preserve"> za infuziju, </w:t>
      </w:r>
      <w:r w:rsidR="0083711F" w:rsidRPr="00900E50">
        <w:rPr>
          <w:lang w:val="sr-Latn-RS"/>
        </w:rPr>
        <w:t>vidjeti</w:t>
      </w:r>
      <w:r w:rsidRPr="00900E50">
        <w:rPr>
          <w:lang w:val="sr-Latn-RS"/>
        </w:rPr>
        <w:t xml:space="preserve"> </w:t>
      </w:r>
      <w:r w:rsidR="00FD557E" w:rsidRPr="00900E50">
        <w:rPr>
          <w:lang w:val="sr-Latn-RS"/>
        </w:rPr>
        <w:t>dio</w:t>
      </w:r>
      <w:r w:rsidRPr="00900E50">
        <w:rPr>
          <w:lang w:val="sr-Latn-RS"/>
        </w:rPr>
        <w:t xml:space="preserve"> 6.3. </w:t>
      </w:r>
    </w:p>
    <w:p w14:paraId="3F996DBC" w14:textId="77777777" w:rsidR="00881FF4" w:rsidRDefault="00881FF4" w:rsidP="00314AC9">
      <w:pPr>
        <w:pStyle w:val="BodyText"/>
        <w:ind w:left="111" w:right="3960"/>
        <w:jc w:val="both"/>
        <w:rPr>
          <w:lang w:val="sr-Latn-RS"/>
        </w:rPr>
      </w:pPr>
    </w:p>
    <w:p w14:paraId="47ED42AE" w14:textId="0D52E149" w:rsidR="00596AC6" w:rsidRPr="00900E50" w:rsidRDefault="006658F1" w:rsidP="00314AC9">
      <w:pPr>
        <w:pStyle w:val="BodyText"/>
        <w:ind w:left="111" w:right="3960"/>
        <w:jc w:val="both"/>
        <w:rPr>
          <w:lang w:val="sr-Latn-RS"/>
        </w:rPr>
      </w:pPr>
      <w:r w:rsidRPr="00900E50">
        <w:rPr>
          <w:u w:val="single"/>
          <w:lang w:val="sr-Latn-RS"/>
        </w:rPr>
        <w:t>Odlaganje</w:t>
      </w:r>
    </w:p>
    <w:p w14:paraId="7423F9C7" w14:textId="6D5E24C3" w:rsidR="00596AC6" w:rsidRPr="00900E50" w:rsidRDefault="006658F1" w:rsidP="00314AC9">
      <w:pPr>
        <w:pStyle w:val="BodyText"/>
        <w:ind w:left="111" w:right="216"/>
        <w:jc w:val="both"/>
        <w:rPr>
          <w:lang w:val="sr-Latn-RS"/>
        </w:rPr>
      </w:pPr>
      <w:r w:rsidRPr="00900E50">
        <w:rPr>
          <w:lang w:val="sr-Latn-RS"/>
        </w:rPr>
        <w:t>Odlaganje farmaceutskih proizvoda u životnu sredinu treba svesti na najmanju moguću m</w:t>
      </w:r>
      <w:r w:rsidR="001E7653" w:rsidRPr="00900E50">
        <w:rPr>
          <w:lang w:val="sr-Latn-RS"/>
        </w:rPr>
        <w:t>j</w:t>
      </w:r>
      <w:r w:rsidRPr="00900E50">
        <w:rPr>
          <w:lang w:val="sr-Latn-RS"/>
        </w:rPr>
        <w:t xml:space="preserve">eru. </w:t>
      </w:r>
      <w:r w:rsidR="001E7653" w:rsidRPr="00900E50">
        <w:rPr>
          <w:lang w:val="sr-Latn-RS"/>
        </w:rPr>
        <w:t>L</w:t>
      </w:r>
      <w:r w:rsidR="00FD557E" w:rsidRPr="00900E50">
        <w:rPr>
          <w:lang w:val="sr-Latn-RS"/>
        </w:rPr>
        <w:t>jek</w:t>
      </w:r>
      <w:r w:rsidRPr="00900E50">
        <w:rPr>
          <w:lang w:val="sr-Latn-RS"/>
        </w:rPr>
        <w:t>ovi se ne sm</w:t>
      </w:r>
      <w:r w:rsidR="001E7653" w:rsidRPr="00900E50">
        <w:rPr>
          <w:lang w:val="sr-Latn-RS"/>
        </w:rPr>
        <w:t>ij</w:t>
      </w:r>
      <w:r w:rsidRPr="00900E50">
        <w:rPr>
          <w:lang w:val="sr-Latn-RS"/>
        </w:rPr>
        <w:t>u odlagati u otpadne vode, kao ni zajedno sa komunalnim otpadom.</w:t>
      </w:r>
    </w:p>
    <w:p w14:paraId="23324F11" w14:textId="51C65085" w:rsidR="00596AC6" w:rsidRPr="00900E50" w:rsidRDefault="006658F1" w:rsidP="00314AC9">
      <w:pPr>
        <w:pStyle w:val="BodyText"/>
        <w:ind w:left="111" w:right="160"/>
        <w:jc w:val="both"/>
        <w:rPr>
          <w:lang w:val="sr-Latn-RS"/>
        </w:rPr>
      </w:pPr>
      <w:r w:rsidRPr="00900E50">
        <w:rPr>
          <w:lang w:val="sr-Latn-RS"/>
        </w:rPr>
        <w:t>Potrebno je pridržavati</w:t>
      </w:r>
      <w:r w:rsidR="00CC069E">
        <w:rPr>
          <w:lang w:val="sr-Latn-RS"/>
        </w:rPr>
        <w:t xml:space="preserve"> se</w:t>
      </w:r>
      <w:r w:rsidR="00CC069E" w:rsidRPr="00CC069E">
        <w:rPr>
          <w:lang w:val="sr-Latn-RS"/>
        </w:rPr>
        <w:t xml:space="preserve"> </w:t>
      </w:r>
      <w:r w:rsidR="00CC069E" w:rsidRPr="00900E50">
        <w:rPr>
          <w:lang w:val="sr-Latn-RS"/>
        </w:rPr>
        <w:t>strogo</w:t>
      </w:r>
      <w:r w:rsidRPr="00900E50">
        <w:rPr>
          <w:lang w:val="sr-Latn-RS"/>
        </w:rPr>
        <w:t xml:space="preserve"> sl</w:t>
      </w:r>
      <w:r w:rsidR="00CB7959" w:rsidRPr="00900E50">
        <w:rPr>
          <w:lang w:val="sr-Latn-RS"/>
        </w:rPr>
        <w:t>j</w:t>
      </w:r>
      <w:r w:rsidRPr="00900E50">
        <w:rPr>
          <w:lang w:val="sr-Latn-RS"/>
        </w:rPr>
        <w:t>edećih navoda u pogledu upotrebe i odlaganja špriceva i ostalih medicinskih oštrih predmeta:</w:t>
      </w:r>
    </w:p>
    <w:p w14:paraId="5C0FF7BF" w14:textId="77777777" w:rsidR="00596AC6" w:rsidRPr="00900E50" w:rsidRDefault="006658F1" w:rsidP="00314AC9">
      <w:pPr>
        <w:pStyle w:val="ListParagraph"/>
        <w:numPr>
          <w:ilvl w:val="0"/>
          <w:numId w:val="4"/>
        </w:numPr>
        <w:tabs>
          <w:tab w:val="left" w:pos="677"/>
          <w:tab w:val="left" w:pos="678"/>
        </w:tabs>
        <w:ind w:left="677"/>
        <w:jc w:val="both"/>
        <w:rPr>
          <w:lang w:val="sr-Latn-RS"/>
        </w:rPr>
      </w:pPr>
      <w:r w:rsidRPr="00900E50">
        <w:rPr>
          <w:lang w:val="sr-Latn-RS"/>
        </w:rPr>
        <w:t>Igle i špriceve nikada ne treba ponovo koristiti.</w:t>
      </w:r>
    </w:p>
    <w:p w14:paraId="6BA0398B" w14:textId="0DE2AD53" w:rsidR="00596AC6" w:rsidRPr="00900E50" w:rsidRDefault="006658F1" w:rsidP="00314AC9">
      <w:pPr>
        <w:pStyle w:val="ListParagraph"/>
        <w:numPr>
          <w:ilvl w:val="0"/>
          <w:numId w:val="4"/>
        </w:numPr>
        <w:tabs>
          <w:tab w:val="left" w:pos="677"/>
          <w:tab w:val="left" w:pos="678"/>
        </w:tabs>
        <w:ind w:right="1069"/>
        <w:jc w:val="both"/>
        <w:rPr>
          <w:lang w:val="sr-Latn-RS"/>
        </w:rPr>
      </w:pPr>
      <w:r w:rsidRPr="00900E50">
        <w:rPr>
          <w:lang w:val="sr-Latn-RS"/>
        </w:rPr>
        <w:t>Stavite sve upotr</w:t>
      </w:r>
      <w:r w:rsidR="00EB674F">
        <w:rPr>
          <w:lang w:val="sr-Latn-RS"/>
        </w:rPr>
        <w:t>ij</w:t>
      </w:r>
      <w:r w:rsidRPr="00900E50">
        <w:rPr>
          <w:lang w:val="sr-Latn-RS"/>
        </w:rPr>
        <w:t>ebljene igle i špriceve u posudu za oštre predmete (posudu za jednokratnu upotrebu otpornu na ubode).</w:t>
      </w:r>
    </w:p>
    <w:p w14:paraId="7CCC7D8E" w14:textId="77777777" w:rsidR="00596AC6" w:rsidRPr="00900E50" w:rsidRDefault="00596AC6" w:rsidP="00314AC9">
      <w:pPr>
        <w:pStyle w:val="BodyText"/>
        <w:jc w:val="both"/>
        <w:rPr>
          <w:lang w:val="sr-Latn-RS"/>
        </w:rPr>
      </w:pPr>
    </w:p>
    <w:p w14:paraId="4BF9BEB9" w14:textId="4F1B57F7" w:rsidR="00596AC6" w:rsidRPr="00900E50" w:rsidRDefault="006658F1" w:rsidP="00314AC9">
      <w:pPr>
        <w:pStyle w:val="BodyText"/>
        <w:ind w:left="111" w:right="735"/>
        <w:jc w:val="both"/>
        <w:rPr>
          <w:lang w:val="sr-Latn-RS"/>
        </w:rPr>
      </w:pPr>
      <w:r w:rsidRPr="00900E50">
        <w:rPr>
          <w:lang w:val="sr-Latn-RS"/>
        </w:rPr>
        <w:t xml:space="preserve">Svu neiskorišćenu količinu </w:t>
      </w:r>
      <w:r w:rsidR="001E7653" w:rsidRPr="00900E50">
        <w:rPr>
          <w:lang w:val="sr-Latn-RS"/>
        </w:rPr>
        <w:t>l</w:t>
      </w:r>
      <w:r w:rsidR="00FD557E" w:rsidRPr="00900E50">
        <w:rPr>
          <w:lang w:val="sr-Latn-RS"/>
        </w:rPr>
        <w:t>ijek</w:t>
      </w:r>
      <w:r w:rsidRPr="00900E50">
        <w:rPr>
          <w:lang w:val="sr-Latn-RS"/>
        </w:rPr>
        <w:t>a ili otpadnog materijala treba odložiti, u skladu s</w:t>
      </w:r>
      <w:r w:rsidR="008C5044">
        <w:rPr>
          <w:lang w:val="sr-Latn-RS"/>
        </w:rPr>
        <w:t>a</w:t>
      </w:r>
      <w:r w:rsidRPr="00900E50">
        <w:rPr>
          <w:lang w:val="sr-Latn-RS"/>
        </w:rPr>
        <w:t xml:space="preserve"> važećim propisima.</w:t>
      </w:r>
    </w:p>
    <w:p w14:paraId="4716AF13" w14:textId="77777777" w:rsidR="00596AC6" w:rsidRPr="00900E50" w:rsidRDefault="00596AC6" w:rsidP="00314AC9">
      <w:pPr>
        <w:pStyle w:val="BodyText"/>
        <w:jc w:val="both"/>
        <w:rPr>
          <w:lang w:val="sr-Latn-RS"/>
        </w:rPr>
      </w:pPr>
    </w:p>
    <w:p w14:paraId="4C474D02" w14:textId="77777777" w:rsidR="00596AC6" w:rsidRPr="00900E50" w:rsidRDefault="00596AC6" w:rsidP="00314AC9">
      <w:pPr>
        <w:pStyle w:val="BodyText"/>
        <w:jc w:val="both"/>
        <w:rPr>
          <w:lang w:val="sr-Latn-RS"/>
        </w:rPr>
      </w:pPr>
    </w:p>
    <w:p w14:paraId="66622F26" w14:textId="75FA38F6" w:rsidR="00596AC6" w:rsidRPr="00900E50" w:rsidRDefault="006658F1" w:rsidP="00314AC9">
      <w:pPr>
        <w:pStyle w:val="Heading1"/>
        <w:numPr>
          <w:ilvl w:val="0"/>
          <w:numId w:val="1"/>
        </w:numPr>
        <w:tabs>
          <w:tab w:val="left" w:pos="677"/>
          <w:tab w:val="left" w:pos="678"/>
        </w:tabs>
        <w:jc w:val="both"/>
        <w:rPr>
          <w:lang w:val="sr-Latn-RS"/>
        </w:rPr>
      </w:pPr>
      <w:bookmarkStart w:id="33" w:name="7._MARKETING_AUTHORISATION_HOLDER"/>
      <w:bookmarkEnd w:id="33"/>
      <w:r w:rsidRPr="00900E50">
        <w:rPr>
          <w:lang w:val="sr-Latn-RS"/>
        </w:rPr>
        <w:t xml:space="preserve">NOSILAC DOZVOLE </w:t>
      </w:r>
    </w:p>
    <w:p w14:paraId="5FB7B472" w14:textId="77777777" w:rsidR="00596AC6" w:rsidRPr="00900E50" w:rsidRDefault="00596AC6" w:rsidP="00314AC9">
      <w:pPr>
        <w:pStyle w:val="BodyText"/>
        <w:jc w:val="both"/>
        <w:rPr>
          <w:b/>
          <w:lang w:val="sr-Latn-RS"/>
        </w:rPr>
      </w:pPr>
    </w:p>
    <w:p w14:paraId="4774799D" w14:textId="21C3A474" w:rsidR="001E7653" w:rsidRPr="00900E50" w:rsidRDefault="001E7653" w:rsidP="00314AC9">
      <w:pPr>
        <w:pStyle w:val="BodyText"/>
        <w:ind w:left="111" w:right="216"/>
        <w:jc w:val="both"/>
        <w:rPr>
          <w:lang w:val="sr-Latn-RS"/>
        </w:rPr>
      </w:pPr>
      <w:r w:rsidRPr="00900E50">
        <w:rPr>
          <w:lang w:val="sr-Latn-RS"/>
        </w:rPr>
        <w:t>„Hoffmann-La Roche L</w:t>
      </w:r>
      <w:r w:rsidR="00E01318" w:rsidRPr="00900E50">
        <w:rPr>
          <w:lang w:val="sr-Latn-RS"/>
        </w:rPr>
        <w:t>TD</w:t>
      </w:r>
      <w:r w:rsidRPr="00900E50">
        <w:rPr>
          <w:lang w:val="sr-Latn-RS"/>
        </w:rPr>
        <w:t xml:space="preserve">“ </w:t>
      </w:r>
      <w:r w:rsidR="00CC069E">
        <w:rPr>
          <w:lang w:val="sr-Latn-RS"/>
        </w:rPr>
        <w:t>D.S.D.</w:t>
      </w:r>
      <w:r w:rsidRPr="00900E50">
        <w:rPr>
          <w:lang w:val="sr-Latn-RS"/>
        </w:rPr>
        <w:t xml:space="preserve"> Podgorica</w:t>
      </w:r>
      <w:r w:rsidR="00CC069E">
        <w:rPr>
          <w:lang w:val="sr-Latn-RS"/>
        </w:rPr>
        <w:t>,</w:t>
      </w:r>
    </w:p>
    <w:p w14:paraId="5841ED67" w14:textId="0E1C23A0" w:rsidR="00596AC6" w:rsidRPr="00900E50" w:rsidRDefault="00E01318" w:rsidP="00314AC9">
      <w:pPr>
        <w:pStyle w:val="BodyText"/>
        <w:ind w:left="111" w:right="216"/>
        <w:jc w:val="both"/>
        <w:rPr>
          <w:lang w:val="sr-Latn-RS"/>
        </w:rPr>
      </w:pPr>
      <w:r w:rsidRPr="00900E50">
        <w:rPr>
          <w:lang w:val="sr-Latn-RS"/>
        </w:rPr>
        <w:t xml:space="preserve">ul. </w:t>
      </w:r>
      <w:r w:rsidR="001E7653" w:rsidRPr="00900E50">
        <w:rPr>
          <w:lang w:val="sr-Latn-RS"/>
        </w:rPr>
        <w:t>Cetinjska 11</w:t>
      </w:r>
      <w:r w:rsidRPr="00900E50">
        <w:rPr>
          <w:lang w:val="sr-Latn-RS"/>
        </w:rPr>
        <w:t xml:space="preserve">, </w:t>
      </w:r>
      <w:r w:rsidR="001E7653" w:rsidRPr="00900E50">
        <w:rPr>
          <w:lang w:val="sr-Latn-RS"/>
        </w:rPr>
        <w:t>81000 Podgorica, Crna Gora</w:t>
      </w:r>
    </w:p>
    <w:p w14:paraId="743D6D32" w14:textId="6BE1E1F6" w:rsidR="00596AC6" w:rsidRPr="00900E50" w:rsidRDefault="00596AC6" w:rsidP="00314AC9">
      <w:pPr>
        <w:pStyle w:val="BodyText"/>
        <w:ind w:left="111" w:right="216"/>
        <w:jc w:val="both"/>
        <w:rPr>
          <w:lang w:val="sr-Latn-RS"/>
        </w:rPr>
      </w:pPr>
    </w:p>
    <w:p w14:paraId="53A68118" w14:textId="77777777" w:rsidR="00FE7988" w:rsidRPr="00900E50" w:rsidRDefault="00FE7988" w:rsidP="00314AC9">
      <w:pPr>
        <w:pStyle w:val="BodyText"/>
        <w:jc w:val="both"/>
        <w:rPr>
          <w:lang w:val="sr-Latn-RS"/>
        </w:rPr>
      </w:pPr>
    </w:p>
    <w:p w14:paraId="7392FCC4" w14:textId="5921C95A" w:rsidR="00596AC6" w:rsidRPr="00900E50" w:rsidRDefault="006844C6" w:rsidP="00314AC9">
      <w:pPr>
        <w:pStyle w:val="Heading1"/>
        <w:numPr>
          <w:ilvl w:val="0"/>
          <w:numId w:val="1"/>
        </w:numPr>
        <w:tabs>
          <w:tab w:val="left" w:pos="677"/>
          <w:tab w:val="left" w:pos="678"/>
        </w:tabs>
        <w:jc w:val="both"/>
        <w:rPr>
          <w:lang w:val="sr-Latn-RS"/>
        </w:rPr>
      </w:pPr>
      <w:bookmarkStart w:id="34" w:name="8._MARKETING_AUTHORISATION_NUMBER(S)"/>
      <w:bookmarkEnd w:id="34"/>
      <w:r w:rsidRPr="00900E50">
        <w:rPr>
          <w:lang w:val="sr-Latn-RS"/>
        </w:rPr>
        <w:t>BROJ</w:t>
      </w:r>
      <w:r w:rsidR="006658F1" w:rsidRPr="00900E50">
        <w:rPr>
          <w:lang w:val="sr-Latn-RS"/>
        </w:rPr>
        <w:t xml:space="preserve"> DOZVOLE ZA STAVLJANJE </w:t>
      </w:r>
      <w:r w:rsidR="00FD557E" w:rsidRPr="00900E50">
        <w:rPr>
          <w:lang w:val="sr-Latn-RS"/>
        </w:rPr>
        <w:t>LIJEK</w:t>
      </w:r>
      <w:r w:rsidR="006658F1" w:rsidRPr="00900E50">
        <w:rPr>
          <w:lang w:val="sr-Latn-RS"/>
        </w:rPr>
        <w:t>A U PROMET</w:t>
      </w:r>
    </w:p>
    <w:p w14:paraId="68F7D0BB" w14:textId="06DD2285" w:rsidR="00596AC6" w:rsidRDefault="000A096A" w:rsidP="00314AC9">
      <w:pPr>
        <w:pStyle w:val="BodyText"/>
        <w:jc w:val="both"/>
        <w:rPr>
          <w:b/>
          <w:lang w:val="sr-Latn-RS"/>
        </w:rPr>
      </w:pPr>
      <w:r>
        <w:rPr>
          <w:b/>
          <w:lang w:val="sr-Latn-RS"/>
        </w:rPr>
        <w:t xml:space="preserve">  </w:t>
      </w:r>
    </w:p>
    <w:p w14:paraId="6C81F8A5" w14:textId="6E180085" w:rsidR="000A096A" w:rsidRDefault="000A096A" w:rsidP="00314AC9">
      <w:pPr>
        <w:pStyle w:val="BodyText"/>
        <w:ind w:left="111" w:right="735"/>
        <w:jc w:val="both"/>
        <w:rPr>
          <w:lang w:val="sr-Latn-RS"/>
        </w:rPr>
      </w:pPr>
      <w:r>
        <w:rPr>
          <w:b/>
          <w:lang w:val="sr-Latn-RS"/>
        </w:rPr>
        <w:t xml:space="preserve"> </w:t>
      </w:r>
      <w:r>
        <w:rPr>
          <w:lang w:val="sr-Latn-RS"/>
        </w:rPr>
        <w:t>Lunsumio, 1 mg, koncentrat za rastvor za infuziju:</w:t>
      </w:r>
      <w:r w:rsidR="007E55BB">
        <w:rPr>
          <w:lang w:val="sr-Latn-RS"/>
        </w:rPr>
        <w:t xml:space="preserve"> 2030/24/2919 - 1087</w:t>
      </w:r>
    </w:p>
    <w:p w14:paraId="370F21E3" w14:textId="568D2BAB" w:rsidR="000A096A" w:rsidRDefault="000A096A" w:rsidP="000A096A">
      <w:pPr>
        <w:pStyle w:val="BodyText"/>
        <w:ind w:left="111" w:right="735"/>
        <w:rPr>
          <w:lang w:val="sr-Latn-RS"/>
        </w:rPr>
      </w:pPr>
      <w:r>
        <w:rPr>
          <w:lang w:val="sr-Latn-RS"/>
        </w:rPr>
        <w:t xml:space="preserve"> Lunsumio, 30 mg, koncentrat za rastvor za infuziju:</w:t>
      </w:r>
      <w:r w:rsidR="007E55BB">
        <w:rPr>
          <w:lang w:val="sr-Latn-RS"/>
        </w:rPr>
        <w:t xml:space="preserve"> 2030/24/2920 - 1088</w:t>
      </w:r>
    </w:p>
    <w:p w14:paraId="5A93DEC0" w14:textId="21D60653" w:rsidR="000A096A" w:rsidRDefault="000A096A" w:rsidP="000A096A">
      <w:pPr>
        <w:pStyle w:val="BodyText"/>
        <w:ind w:left="111" w:right="735"/>
        <w:rPr>
          <w:lang w:val="sr-Latn-RS"/>
        </w:rPr>
      </w:pPr>
      <w:r>
        <w:rPr>
          <w:lang w:val="sr-Latn-RS"/>
        </w:rPr>
        <w:t xml:space="preserve">  </w:t>
      </w:r>
    </w:p>
    <w:p w14:paraId="19F7C854" w14:textId="77777777" w:rsidR="00596AC6" w:rsidRPr="00900E50" w:rsidRDefault="00596AC6">
      <w:pPr>
        <w:pStyle w:val="BodyText"/>
        <w:rPr>
          <w:lang w:val="sr-Latn-RS"/>
        </w:rPr>
      </w:pPr>
    </w:p>
    <w:p w14:paraId="2F4A39CD" w14:textId="05B8C112" w:rsidR="001E7653" w:rsidRPr="00900E50" w:rsidRDefault="001E7653" w:rsidP="001E7653">
      <w:pPr>
        <w:pStyle w:val="Heading1"/>
        <w:numPr>
          <w:ilvl w:val="0"/>
          <w:numId w:val="1"/>
        </w:numPr>
        <w:tabs>
          <w:tab w:val="left" w:pos="677"/>
          <w:tab w:val="left" w:pos="678"/>
        </w:tabs>
        <w:rPr>
          <w:lang w:val="sr-Latn-RS"/>
        </w:rPr>
      </w:pPr>
      <w:bookmarkStart w:id="35" w:name="9._DATE_OF_FIRST_AUTHORISATION/RENEWAL_O"/>
      <w:bookmarkEnd w:id="35"/>
      <w:r w:rsidRPr="00900E50">
        <w:rPr>
          <w:lang w:val="sr-Latn-RS"/>
        </w:rPr>
        <w:t>DATUM PRVE DOZVOLE/OBNOVE DOZVOLE ZA STAVLJANJE LIJEKA U PROMET</w:t>
      </w:r>
    </w:p>
    <w:p w14:paraId="1CB4F317" w14:textId="77777777" w:rsidR="00485247" w:rsidRPr="00900E50" w:rsidRDefault="00485247">
      <w:pPr>
        <w:pStyle w:val="BodyText"/>
        <w:rPr>
          <w:lang w:val="sr-Latn-RS"/>
        </w:rPr>
      </w:pPr>
      <w:r w:rsidRPr="00900E50">
        <w:rPr>
          <w:lang w:val="sr-Latn-RS"/>
        </w:rPr>
        <w:t xml:space="preserve">  </w:t>
      </w:r>
    </w:p>
    <w:p w14:paraId="6D33DC77" w14:textId="2ABD68A2" w:rsidR="00596AC6" w:rsidRDefault="000A096A" w:rsidP="000A096A">
      <w:pPr>
        <w:pStyle w:val="BodyText"/>
        <w:ind w:left="111" w:right="735"/>
        <w:rPr>
          <w:lang w:val="sr-Latn-RS"/>
        </w:rPr>
      </w:pPr>
      <w:r>
        <w:rPr>
          <w:lang w:val="sr-Latn-RS"/>
        </w:rPr>
        <w:t xml:space="preserve"> </w:t>
      </w:r>
      <w:r w:rsidR="00CC069E">
        <w:rPr>
          <w:lang w:val="sr-Latn-RS"/>
        </w:rPr>
        <w:t xml:space="preserve">Datum prve dozvole: </w:t>
      </w:r>
      <w:r>
        <w:rPr>
          <w:lang w:val="sr-Latn-RS"/>
        </w:rPr>
        <w:t>10.11.2023. godine</w:t>
      </w:r>
    </w:p>
    <w:p w14:paraId="13D84DE1" w14:textId="63F9FD15" w:rsidR="00CC069E" w:rsidRDefault="00CC069E" w:rsidP="0085710F">
      <w:pPr>
        <w:pStyle w:val="BodyText"/>
        <w:ind w:left="111" w:right="735"/>
        <w:rPr>
          <w:lang w:val="sr-Latn-RS"/>
        </w:rPr>
      </w:pPr>
      <w:r>
        <w:rPr>
          <w:lang w:val="sr-Latn-RS"/>
        </w:rPr>
        <w:t xml:space="preserve"> Datum posljednje obnove dozvole: </w:t>
      </w:r>
      <w:r w:rsidR="007E55BB">
        <w:rPr>
          <w:lang w:val="sr-Latn-RS"/>
        </w:rPr>
        <w:t>10.06.2024. godine</w:t>
      </w:r>
    </w:p>
    <w:p w14:paraId="4E871CA9" w14:textId="2826B04A" w:rsidR="000A096A" w:rsidRDefault="000A096A">
      <w:pPr>
        <w:pStyle w:val="BodyText"/>
        <w:rPr>
          <w:lang w:val="sr-Latn-RS"/>
        </w:rPr>
      </w:pPr>
    </w:p>
    <w:p w14:paraId="6F45D927" w14:textId="77777777" w:rsidR="00AE5391" w:rsidRPr="00900E50" w:rsidRDefault="00AE5391">
      <w:pPr>
        <w:pStyle w:val="BodyText"/>
        <w:rPr>
          <w:lang w:val="sr-Latn-RS"/>
        </w:rPr>
      </w:pPr>
    </w:p>
    <w:p w14:paraId="799DADB9" w14:textId="77777777" w:rsidR="00596AC6" w:rsidRPr="00900E50" w:rsidRDefault="006658F1">
      <w:pPr>
        <w:pStyle w:val="Heading1"/>
        <w:numPr>
          <w:ilvl w:val="0"/>
          <w:numId w:val="1"/>
        </w:numPr>
        <w:tabs>
          <w:tab w:val="left" w:pos="677"/>
          <w:tab w:val="left" w:pos="678"/>
        </w:tabs>
        <w:rPr>
          <w:lang w:val="sr-Latn-RS"/>
        </w:rPr>
      </w:pPr>
      <w:bookmarkStart w:id="36" w:name="10._DATE_OF_REVISION_OF_THE_TEXT"/>
      <w:bookmarkEnd w:id="36"/>
      <w:r w:rsidRPr="00900E50">
        <w:rPr>
          <w:lang w:val="sr-Latn-RS"/>
        </w:rPr>
        <w:t>DATUM REVIZIJE TEKSTA</w:t>
      </w:r>
    </w:p>
    <w:p w14:paraId="46BFD4EC" w14:textId="77777777" w:rsidR="000A096A" w:rsidRDefault="000A096A">
      <w:pPr>
        <w:pStyle w:val="BodyText"/>
        <w:rPr>
          <w:b/>
          <w:lang w:val="sr-Latn-RS"/>
        </w:rPr>
      </w:pPr>
      <w:r>
        <w:rPr>
          <w:b/>
          <w:lang w:val="sr-Latn-RS"/>
        </w:rPr>
        <w:t xml:space="preserve">      </w:t>
      </w:r>
    </w:p>
    <w:p w14:paraId="311E9303" w14:textId="53F7130E" w:rsidR="00596AC6" w:rsidRPr="000A096A" w:rsidRDefault="000A096A" w:rsidP="000A096A">
      <w:pPr>
        <w:pStyle w:val="BodyText"/>
        <w:ind w:left="111" w:right="735"/>
        <w:rPr>
          <w:lang w:val="sr-Latn-RS"/>
        </w:rPr>
      </w:pPr>
      <w:r w:rsidRPr="000A096A">
        <w:rPr>
          <w:lang w:val="sr-Latn-RS"/>
        </w:rPr>
        <w:t xml:space="preserve"> </w:t>
      </w:r>
      <w:r w:rsidR="00314AC9">
        <w:rPr>
          <w:lang w:val="sr-Latn-RS"/>
        </w:rPr>
        <w:t>Septembar</w:t>
      </w:r>
      <w:r w:rsidR="007E55BB">
        <w:rPr>
          <w:lang w:val="sr-Latn-RS"/>
        </w:rPr>
        <w:t>, 2024. godine</w:t>
      </w:r>
      <w:r>
        <w:rPr>
          <w:lang w:val="sr-Latn-RS"/>
        </w:rPr>
        <w:t xml:space="preserve">  </w:t>
      </w:r>
    </w:p>
    <w:sectPr w:rsidR="00596AC6" w:rsidRPr="000A096A" w:rsidSect="007E55BB">
      <w:footerReference w:type="default" r:id="rId13"/>
      <w:pgSz w:w="11910" w:h="16840"/>
      <w:pgMar w:top="1134" w:right="1290" w:bottom="1134" w:left="1418"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60EF6" w14:textId="77777777" w:rsidR="00981576" w:rsidRDefault="00981576">
      <w:r>
        <w:separator/>
      </w:r>
    </w:p>
  </w:endnote>
  <w:endnote w:type="continuationSeparator" w:id="0">
    <w:p w14:paraId="57CD54C1" w14:textId="77777777" w:rsidR="00981576" w:rsidRDefault="0098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34C32" w14:textId="3FB760A5" w:rsidR="00E45B08" w:rsidRDefault="00E45B08" w:rsidP="00900E50">
    <w:pPr>
      <w:jc w:val="center"/>
    </w:pPr>
    <w:r>
      <w:fldChar w:fldCharType="begin"/>
    </w:r>
    <w:r>
      <w:instrText xml:space="preserve"> PAGE  \* Arabic  \* MERGEFORMAT </w:instrText>
    </w:r>
    <w:r>
      <w:fldChar w:fldCharType="separate"/>
    </w:r>
    <w:r w:rsidR="00314AC9">
      <w:rPr>
        <w:noProof/>
      </w:rPr>
      <w:t>16</w:t>
    </w:r>
    <w:r>
      <w:fldChar w:fldCharType="end"/>
    </w:r>
    <w:r>
      <w:t>/</w:t>
    </w:r>
    <w:fldSimple w:instr=" NUMPAGES  \* Arabic  \* MERGEFORMAT ">
      <w:r w:rsidR="00314AC9">
        <w:rPr>
          <w:noProof/>
        </w:rPr>
        <w:t>18</w:t>
      </w:r>
    </w:fldSimple>
  </w:p>
  <w:p w14:paraId="7735F8AC" w14:textId="76A93A02" w:rsidR="00E45B08" w:rsidRDefault="00E45B0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7438" w14:textId="77777777" w:rsidR="00981576" w:rsidRDefault="00981576">
      <w:r>
        <w:separator/>
      </w:r>
    </w:p>
  </w:footnote>
  <w:footnote w:type="continuationSeparator" w:id="0">
    <w:p w14:paraId="07BB5250" w14:textId="77777777" w:rsidR="00981576" w:rsidRDefault="0098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830"/>
    <w:multiLevelType w:val="hybridMultilevel"/>
    <w:tmpl w:val="D14CD4A8"/>
    <w:lvl w:ilvl="0" w:tplc="BD3EA9C6">
      <w:numFmt w:val="bullet"/>
      <w:lvlText w:val=""/>
      <w:lvlJc w:val="left"/>
      <w:pPr>
        <w:ind w:left="814" w:hanging="358"/>
      </w:pPr>
      <w:rPr>
        <w:rFonts w:ascii="Symbol" w:eastAsia="Symbol" w:hAnsi="Symbol" w:cs="Symbol" w:hint="default"/>
        <w:w w:val="100"/>
        <w:sz w:val="24"/>
        <w:szCs w:val="24"/>
        <w:lang w:val="en-US" w:eastAsia="en-US" w:bidi="ar-SA"/>
      </w:rPr>
    </w:lvl>
    <w:lvl w:ilvl="1" w:tplc="7B8E740A">
      <w:numFmt w:val="bullet"/>
      <w:lvlText w:val="•"/>
      <w:lvlJc w:val="left"/>
      <w:pPr>
        <w:ind w:left="1180" w:hanging="358"/>
      </w:pPr>
      <w:rPr>
        <w:rFonts w:hint="default"/>
        <w:lang w:val="en-US" w:eastAsia="en-US" w:bidi="ar-SA"/>
      </w:rPr>
    </w:lvl>
    <w:lvl w:ilvl="2" w:tplc="14846A5A">
      <w:numFmt w:val="bullet"/>
      <w:lvlText w:val="•"/>
      <w:lvlJc w:val="left"/>
      <w:pPr>
        <w:ind w:left="1540" w:hanging="358"/>
      </w:pPr>
      <w:rPr>
        <w:rFonts w:hint="default"/>
        <w:lang w:val="en-US" w:eastAsia="en-US" w:bidi="ar-SA"/>
      </w:rPr>
    </w:lvl>
    <w:lvl w:ilvl="3" w:tplc="69EC177E">
      <w:numFmt w:val="bullet"/>
      <w:lvlText w:val="•"/>
      <w:lvlJc w:val="left"/>
      <w:pPr>
        <w:ind w:left="1900" w:hanging="358"/>
      </w:pPr>
      <w:rPr>
        <w:rFonts w:hint="default"/>
        <w:lang w:val="en-US" w:eastAsia="en-US" w:bidi="ar-SA"/>
      </w:rPr>
    </w:lvl>
    <w:lvl w:ilvl="4" w:tplc="B3568080">
      <w:numFmt w:val="bullet"/>
      <w:lvlText w:val="•"/>
      <w:lvlJc w:val="left"/>
      <w:pPr>
        <w:ind w:left="2260" w:hanging="358"/>
      </w:pPr>
      <w:rPr>
        <w:rFonts w:hint="default"/>
        <w:lang w:val="en-US" w:eastAsia="en-US" w:bidi="ar-SA"/>
      </w:rPr>
    </w:lvl>
    <w:lvl w:ilvl="5" w:tplc="3BDAA4A8">
      <w:numFmt w:val="bullet"/>
      <w:lvlText w:val="•"/>
      <w:lvlJc w:val="left"/>
      <w:pPr>
        <w:ind w:left="2621" w:hanging="358"/>
      </w:pPr>
      <w:rPr>
        <w:rFonts w:hint="default"/>
        <w:lang w:val="en-US" w:eastAsia="en-US" w:bidi="ar-SA"/>
      </w:rPr>
    </w:lvl>
    <w:lvl w:ilvl="6" w:tplc="64684E78">
      <w:numFmt w:val="bullet"/>
      <w:lvlText w:val="•"/>
      <w:lvlJc w:val="left"/>
      <w:pPr>
        <w:ind w:left="2981" w:hanging="358"/>
      </w:pPr>
      <w:rPr>
        <w:rFonts w:hint="default"/>
        <w:lang w:val="en-US" w:eastAsia="en-US" w:bidi="ar-SA"/>
      </w:rPr>
    </w:lvl>
    <w:lvl w:ilvl="7" w:tplc="A9B4F370">
      <w:numFmt w:val="bullet"/>
      <w:lvlText w:val="•"/>
      <w:lvlJc w:val="left"/>
      <w:pPr>
        <w:ind w:left="3341" w:hanging="358"/>
      </w:pPr>
      <w:rPr>
        <w:rFonts w:hint="default"/>
        <w:lang w:val="en-US" w:eastAsia="en-US" w:bidi="ar-SA"/>
      </w:rPr>
    </w:lvl>
    <w:lvl w:ilvl="8" w:tplc="ACEA37DC">
      <w:numFmt w:val="bullet"/>
      <w:lvlText w:val="•"/>
      <w:lvlJc w:val="left"/>
      <w:pPr>
        <w:ind w:left="3701" w:hanging="358"/>
      </w:pPr>
      <w:rPr>
        <w:rFonts w:hint="default"/>
        <w:lang w:val="en-US" w:eastAsia="en-US" w:bidi="ar-SA"/>
      </w:rPr>
    </w:lvl>
  </w:abstractNum>
  <w:abstractNum w:abstractNumId="1" w15:restartNumberingAfterBreak="0">
    <w:nsid w:val="210869FD"/>
    <w:multiLevelType w:val="hybridMultilevel"/>
    <w:tmpl w:val="A74EFF28"/>
    <w:lvl w:ilvl="0" w:tplc="355A10AC">
      <w:numFmt w:val="bullet"/>
      <w:lvlText w:val=""/>
      <w:lvlJc w:val="left"/>
      <w:pPr>
        <w:ind w:left="814" w:hanging="358"/>
      </w:pPr>
      <w:rPr>
        <w:rFonts w:ascii="Symbol" w:eastAsia="Symbol" w:hAnsi="Symbol" w:cs="Symbol" w:hint="default"/>
        <w:w w:val="100"/>
        <w:sz w:val="24"/>
        <w:szCs w:val="24"/>
        <w:lang w:val="en-US" w:eastAsia="en-US" w:bidi="ar-SA"/>
      </w:rPr>
    </w:lvl>
    <w:lvl w:ilvl="1" w:tplc="E37A5A9E">
      <w:numFmt w:val="bullet"/>
      <w:lvlText w:val="•"/>
      <w:lvlJc w:val="left"/>
      <w:pPr>
        <w:ind w:left="1180" w:hanging="358"/>
      </w:pPr>
      <w:rPr>
        <w:rFonts w:hint="default"/>
        <w:lang w:val="en-US" w:eastAsia="en-US" w:bidi="ar-SA"/>
      </w:rPr>
    </w:lvl>
    <w:lvl w:ilvl="2" w:tplc="F8D83780">
      <w:numFmt w:val="bullet"/>
      <w:lvlText w:val="•"/>
      <w:lvlJc w:val="left"/>
      <w:pPr>
        <w:ind w:left="1540" w:hanging="358"/>
      </w:pPr>
      <w:rPr>
        <w:rFonts w:hint="default"/>
        <w:lang w:val="en-US" w:eastAsia="en-US" w:bidi="ar-SA"/>
      </w:rPr>
    </w:lvl>
    <w:lvl w:ilvl="3" w:tplc="8482E162">
      <w:numFmt w:val="bullet"/>
      <w:lvlText w:val="•"/>
      <w:lvlJc w:val="left"/>
      <w:pPr>
        <w:ind w:left="1900" w:hanging="358"/>
      </w:pPr>
      <w:rPr>
        <w:rFonts w:hint="default"/>
        <w:lang w:val="en-US" w:eastAsia="en-US" w:bidi="ar-SA"/>
      </w:rPr>
    </w:lvl>
    <w:lvl w:ilvl="4" w:tplc="FBB01286">
      <w:numFmt w:val="bullet"/>
      <w:lvlText w:val="•"/>
      <w:lvlJc w:val="left"/>
      <w:pPr>
        <w:ind w:left="2260" w:hanging="358"/>
      </w:pPr>
      <w:rPr>
        <w:rFonts w:hint="default"/>
        <w:lang w:val="en-US" w:eastAsia="en-US" w:bidi="ar-SA"/>
      </w:rPr>
    </w:lvl>
    <w:lvl w:ilvl="5" w:tplc="2410BC0A">
      <w:numFmt w:val="bullet"/>
      <w:lvlText w:val="•"/>
      <w:lvlJc w:val="left"/>
      <w:pPr>
        <w:ind w:left="2621" w:hanging="358"/>
      </w:pPr>
      <w:rPr>
        <w:rFonts w:hint="default"/>
        <w:lang w:val="en-US" w:eastAsia="en-US" w:bidi="ar-SA"/>
      </w:rPr>
    </w:lvl>
    <w:lvl w:ilvl="6" w:tplc="5CFEE752">
      <w:numFmt w:val="bullet"/>
      <w:lvlText w:val="•"/>
      <w:lvlJc w:val="left"/>
      <w:pPr>
        <w:ind w:left="2981" w:hanging="358"/>
      </w:pPr>
      <w:rPr>
        <w:rFonts w:hint="default"/>
        <w:lang w:val="en-US" w:eastAsia="en-US" w:bidi="ar-SA"/>
      </w:rPr>
    </w:lvl>
    <w:lvl w:ilvl="7" w:tplc="BD02911C">
      <w:numFmt w:val="bullet"/>
      <w:lvlText w:val="•"/>
      <w:lvlJc w:val="left"/>
      <w:pPr>
        <w:ind w:left="3341" w:hanging="358"/>
      </w:pPr>
      <w:rPr>
        <w:rFonts w:hint="default"/>
        <w:lang w:val="en-US" w:eastAsia="en-US" w:bidi="ar-SA"/>
      </w:rPr>
    </w:lvl>
    <w:lvl w:ilvl="8" w:tplc="6D560516">
      <w:numFmt w:val="bullet"/>
      <w:lvlText w:val="•"/>
      <w:lvlJc w:val="left"/>
      <w:pPr>
        <w:ind w:left="3701" w:hanging="358"/>
      </w:pPr>
      <w:rPr>
        <w:rFonts w:hint="default"/>
        <w:lang w:val="en-US" w:eastAsia="en-US" w:bidi="ar-SA"/>
      </w:rPr>
    </w:lvl>
  </w:abstractNum>
  <w:abstractNum w:abstractNumId="2" w15:restartNumberingAfterBreak="0">
    <w:nsid w:val="2E5E1833"/>
    <w:multiLevelType w:val="multilevel"/>
    <w:tmpl w:val="06F429D8"/>
    <w:lvl w:ilvl="0">
      <w:start w:val="6"/>
      <w:numFmt w:val="decimal"/>
      <w:lvlText w:val="%1."/>
      <w:lvlJc w:val="left"/>
      <w:pPr>
        <w:ind w:left="677"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677"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405" w:hanging="567"/>
      </w:pPr>
      <w:rPr>
        <w:rFonts w:hint="default"/>
        <w:lang w:val="en-US" w:eastAsia="en-US" w:bidi="ar-SA"/>
      </w:rPr>
    </w:lvl>
    <w:lvl w:ilvl="3">
      <w:numFmt w:val="bullet"/>
      <w:lvlText w:val="•"/>
      <w:lvlJc w:val="left"/>
      <w:pPr>
        <w:ind w:left="3268" w:hanging="567"/>
      </w:pPr>
      <w:rPr>
        <w:rFonts w:hint="default"/>
        <w:lang w:val="en-US" w:eastAsia="en-US" w:bidi="ar-SA"/>
      </w:rPr>
    </w:lvl>
    <w:lvl w:ilvl="4">
      <w:numFmt w:val="bullet"/>
      <w:lvlText w:val="•"/>
      <w:lvlJc w:val="left"/>
      <w:pPr>
        <w:ind w:left="4130" w:hanging="567"/>
      </w:pPr>
      <w:rPr>
        <w:rFonts w:hint="default"/>
        <w:lang w:val="en-US" w:eastAsia="en-US" w:bidi="ar-SA"/>
      </w:rPr>
    </w:lvl>
    <w:lvl w:ilvl="5">
      <w:numFmt w:val="bullet"/>
      <w:lvlText w:val="•"/>
      <w:lvlJc w:val="left"/>
      <w:pPr>
        <w:ind w:left="4993" w:hanging="567"/>
      </w:pPr>
      <w:rPr>
        <w:rFonts w:hint="default"/>
        <w:lang w:val="en-US" w:eastAsia="en-US" w:bidi="ar-SA"/>
      </w:rPr>
    </w:lvl>
    <w:lvl w:ilvl="6">
      <w:numFmt w:val="bullet"/>
      <w:lvlText w:val="•"/>
      <w:lvlJc w:val="left"/>
      <w:pPr>
        <w:ind w:left="5856" w:hanging="567"/>
      </w:pPr>
      <w:rPr>
        <w:rFonts w:hint="default"/>
        <w:lang w:val="en-US" w:eastAsia="en-US" w:bidi="ar-SA"/>
      </w:rPr>
    </w:lvl>
    <w:lvl w:ilvl="7">
      <w:numFmt w:val="bullet"/>
      <w:lvlText w:val="•"/>
      <w:lvlJc w:val="left"/>
      <w:pPr>
        <w:ind w:left="6718" w:hanging="567"/>
      </w:pPr>
      <w:rPr>
        <w:rFonts w:hint="default"/>
        <w:lang w:val="en-US" w:eastAsia="en-US" w:bidi="ar-SA"/>
      </w:rPr>
    </w:lvl>
    <w:lvl w:ilvl="8">
      <w:numFmt w:val="bullet"/>
      <w:lvlText w:val="•"/>
      <w:lvlJc w:val="left"/>
      <w:pPr>
        <w:ind w:left="7581" w:hanging="567"/>
      </w:pPr>
      <w:rPr>
        <w:rFonts w:hint="default"/>
        <w:lang w:val="en-US" w:eastAsia="en-US" w:bidi="ar-SA"/>
      </w:rPr>
    </w:lvl>
  </w:abstractNum>
  <w:abstractNum w:abstractNumId="3" w15:restartNumberingAfterBreak="0">
    <w:nsid w:val="3B2236DB"/>
    <w:multiLevelType w:val="hybridMultilevel"/>
    <w:tmpl w:val="527CB2EA"/>
    <w:lvl w:ilvl="0" w:tplc="2F7AB176">
      <w:numFmt w:val="bullet"/>
      <w:lvlText w:val=""/>
      <w:lvlJc w:val="left"/>
      <w:pPr>
        <w:ind w:left="814" w:hanging="358"/>
      </w:pPr>
      <w:rPr>
        <w:rFonts w:ascii="Symbol" w:eastAsia="Symbol" w:hAnsi="Symbol" w:cs="Symbol" w:hint="default"/>
        <w:w w:val="100"/>
        <w:sz w:val="24"/>
        <w:szCs w:val="24"/>
        <w:lang w:val="en-US" w:eastAsia="en-US" w:bidi="ar-SA"/>
      </w:rPr>
    </w:lvl>
    <w:lvl w:ilvl="1" w:tplc="89EA71F4">
      <w:numFmt w:val="bullet"/>
      <w:lvlText w:val="•"/>
      <w:lvlJc w:val="left"/>
      <w:pPr>
        <w:ind w:left="1180" w:hanging="358"/>
      </w:pPr>
      <w:rPr>
        <w:rFonts w:hint="default"/>
        <w:lang w:val="en-US" w:eastAsia="en-US" w:bidi="ar-SA"/>
      </w:rPr>
    </w:lvl>
    <w:lvl w:ilvl="2" w:tplc="407C4BB8">
      <w:numFmt w:val="bullet"/>
      <w:lvlText w:val="•"/>
      <w:lvlJc w:val="left"/>
      <w:pPr>
        <w:ind w:left="1540" w:hanging="358"/>
      </w:pPr>
      <w:rPr>
        <w:rFonts w:hint="default"/>
        <w:lang w:val="en-US" w:eastAsia="en-US" w:bidi="ar-SA"/>
      </w:rPr>
    </w:lvl>
    <w:lvl w:ilvl="3" w:tplc="27207E0C">
      <w:numFmt w:val="bullet"/>
      <w:lvlText w:val="•"/>
      <w:lvlJc w:val="left"/>
      <w:pPr>
        <w:ind w:left="1900" w:hanging="358"/>
      </w:pPr>
      <w:rPr>
        <w:rFonts w:hint="default"/>
        <w:lang w:val="en-US" w:eastAsia="en-US" w:bidi="ar-SA"/>
      </w:rPr>
    </w:lvl>
    <w:lvl w:ilvl="4" w:tplc="388EF8AA">
      <w:numFmt w:val="bullet"/>
      <w:lvlText w:val="•"/>
      <w:lvlJc w:val="left"/>
      <w:pPr>
        <w:ind w:left="2260" w:hanging="358"/>
      </w:pPr>
      <w:rPr>
        <w:rFonts w:hint="default"/>
        <w:lang w:val="en-US" w:eastAsia="en-US" w:bidi="ar-SA"/>
      </w:rPr>
    </w:lvl>
    <w:lvl w:ilvl="5" w:tplc="1DCC6FCA">
      <w:numFmt w:val="bullet"/>
      <w:lvlText w:val="•"/>
      <w:lvlJc w:val="left"/>
      <w:pPr>
        <w:ind w:left="2621" w:hanging="358"/>
      </w:pPr>
      <w:rPr>
        <w:rFonts w:hint="default"/>
        <w:lang w:val="en-US" w:eastAsia="en-US" w:bidi="ar-SA"/>
      </w:rPr>
    </w:lvl>
    <w:lvl w:ilvl="6" w:tplc="FCAAB11A">
      <w:numFmt w:val="bullet"/>
      <w:lvlText w:val="•"/>
      <w:lvlJc w:val="left"/>
      <w:pPr>
        <w:ind w:left="2981" w:hanging="358"/>
      </w:pPr>
      <w:rPr>
        <w:rFonts w:hint="default"/>
        <w:lang w:val="en-US" w:eastAsia="en-US" w:bidi="ar-SA"/>
      </w:rPr>
    </w:lvl>
    <w:lvl w:ilvl="7" w:tplc="A1782734">
      <w:numFmt w:val="bullet"/>
      <w:lvlText w:val="•"/>
      <w:lvlJc w:val="left"/>
      <w:pPr>
        <w:ind w:left="3341" w:hanging="358"/>
      </w:pPr>
      <w:rPr>
        <w:rFonts w:hint="default"/>
        <w:lang w:val="en-US" w:eastAsia="en-US" w:bidi="ar-SA"/>
      </w:rPr>
    </w:lvl>
    <w:lvl w:ilvl="8" w:tplc="7C8C7280">
      <w:numFmt w:val="bullet"/>
      <w:lvlText w:val="•"/>
      <w:lvlJc w:val="left"/>
      <w:pPr>
        <w:ind w:left="3701" w:hanging="358"/>
      </w:pPr>
      <w:rPr>
        <w:rFonts w:hint="default"/>
        <w:lang w:val="en-US" w:eastAsia="en-US" w:bidi="ar-SA"/>
      </w:rPr>
    </w:lvl>
  </w:abstractNum>
  <w:abstractNum w:abstractNumId="4" w15:restartNumberingAfterBreak="0">
    <w:nsid w:val="40780B43"/>
    <w:multiLevelType w:val="hybridMultilevel"/>
    <w:tmpl w:val="82A09C72"/>
    <w:lvl w:ilvl="0" w:tplc="5E380202">
      <w:numFmt w:val="bullet"/>
      <w:lvlText w:val=""/>
      <w:lvlJc w:val="left"/>
      <w:pPr>
        <w:ind w:left="814" w:hanging="358"/>
      </w:pPr>
      <w:rPr>
        <w:rFonts w:ascii="Symbol" w:eastAsia="Symbol" w:hAnsi="Symbol" w:cs="Symbol" w:hint="default"/>
        <w:w w:val="100"/>
        <w:sz w:val="24"/>
        <w:szCs w:val="24"/>
        <w:lang w:val="en-US" w:eastAsia="en-US" w:bidi="ar-SA"/>
      </w:rPr>
    </w:lvl>
    <w:lvl w:ilvl="1" w:tplc="42DA223A">
      <w:numFmt w:val="bullet"/>
      <w:lvlText w:val="•"/>
      <w:lvlJc w:val="left"/>
      <w:pPr>
        <w:ind w:left="1180" w:hanging="358"/>
      </w:pPr>
      <w:rPr>
        <w:rFonts w:hint="default"/>
        <w:lang w:val="en-US" w:eastAsia="en-US" w:bidi="ar-SA"/>
      </w:rPr>
    </w:lvl>
    <w:lvl w:ilvl="2" w:tplc="8634D8AC">
      <w:numFmt w:val="bullet"/>
      <w:lvlText w:val="•"/>
      <w:lvlJc w:val="left"/>
      <w:pPr>
        <w:ind w:left="1540" w:hanging="358"/>
      </w:pPr>
      <w:rPr>
        <w:rFonts w:hint="default"/>
        <w:lang w:val="en-US" w:eastAsia="en-US" w:bidi="ar-SA"/>
      </w:rPr>
    </w:lvl>
    <w:lvl w:ilvl="3" w:tplc="E534A1C4">
      <w:numFmt w:val="bullet"/>
      <w:lvlText w:val="•"/>
      <w:lvlJc w:val="left"/>
      <w:pPr>
        <w:ind w:left="1900" w:hanging="358"/>
      </w:pPr>
      <w:rPr>
        <w:rFonts w:hint="default"/>
        <w:lang w:val="en-US" w:eastAsia="en-US" w:bidi="ar-SA"/>
      </w:rPr>
    </w:lvl>
    <w:lvl w:ilvl="4" w:tplc="72442838">
      <w:numFmt w:val="bullet"/>
      <w:lvlText w:val="•"/>
      <w:lvlJc w:val="left"/>
      <w:pPr>
        <w:ind w:left="2260" w:hanging="358"/>
      </w:pPr>
      <w:rPr>
        <w:rFonts w:hint="default"/>
        <w:lang w:val="en-US" w:eastAsia="en-US" w:bidi="ar-SA"/>
      </w:rPr>
    </w:lvl>
    <w:lvl w:ilvl="5" w:tplc="3550A62A">
      <w:numFmt w:val="bullet"/>
      <w:lvlText w:val="•"/>
      <w:lvlJc w:val="left"/>
      <w:pPr>
        <w:ind w:left="2621" w:hanging="358"/>
      </w:pPr>
      <w:rPr>
        <w:rFonts w:hint="default"/>
        <w:lang w:val="en-US" w:eastAsia="en-US" w:bidi="ar-SA"/>
      </w:rPr>
    </w:lvl>
    <w:lvl w:ilvl="6" w:tplc="18F4C88E">
      <w:numFmt w:val="bullet"/>
      <w:lvlText w:val="•"/>
      <w:lvlJc w:val="left"/>
      <w:pPr>
        <w:ind w:left="2981" w:hanging="358"/>
      </w:pPr>
      <w:rPr>
        <w:rFonts w:hint="default"/>
        <w:lang w:val="en-US" w:eastAsia="en-US" w:bidi="ar-SA"/>
      </w:rPr>
    </w:lvl>
    <w:lvl w:ilvl="7" w:tplc="9EA0D4A2">
      <w:numFmt w:val="bullet"/>
      <w:lvlText w:val="•"/>
      <w:lvlJc w:val="left"/>
      <w:pPr>
        <w:ind w:left="3341" w:hanging="358"/>
      </w:pPr>
      <w:rPr>
        <w:rFonts w:hint="default"/>
        <w:lang w:val="en-US" w:eastAsia="en-US" w:bidi="ar-SA"/>
      </w:rPr>
    </w:lvl>
    <w:lvl w:ilvl="8" w:tplc="D19CF0EC">
      <w:numFmt w:val="bullet"/>
      <w:lvlText w:val="•"/>
      <w:lvlJc w:val="left"/>
      <w:pPr>
        <w:ind w:left="3701" w:hanging="358"/>
      </w:pPr>
      <w:rPr>
        <w:rFonts w:hint="default"/>
        <w:lang w:val="en-US" w:eastAsia="en-US" w:bidi="ar-SA"/>
      </w:rPr>
    </w:lvl>
  </w:abstractNum>
  <w:abstractNum w:abstractNumId="5" w15:restartNumberingAfterBreak="0">
    <w:nsid w:val="451923AC"/>
    <w:multiLevelType w:val="hybridMultilevel"/>
    <w:tmpl w:val="6A7689B6"/>
    <w:lvl w:ilvl="0" w:tplc="A488A85C">
      <w:numFmt w:val="bullet"/>
      <w:lvlText w:val=""/>
      <w:lvlJc w:val="left"/>
      <w:pPr>
        <w:ind w:left="814" w:hanging="358"/>
      </w:pPr>
      <w:rPr>
        <w:rFonts w:ascii="Symbol" w:eastAsia="Symbol" w:hAnsi="Symbol" w:cs="Symbol" w:hint="default"/>
        <w:w w:val="100"/>
        <w:sz w:val="24"/>
        <w:szCs w:val="24"/>
        <w:lang w:val="en-US" w:eastAsia="en-US" w:bidi="ar-SA"/>
      </w:rPr>
    </w:lvl>
    <w:lvl w:ilvl="1" w:tplc="6D4EB486">
      <w:numFmt w:val="bullet"/>
      <w:lvlText w:val="•"/>
      <w:lvlJc w:val="left"/>
      <w:pPr>
        <w:ind w:left="1180" w:hanging="358"/>
      </w:pPr>
      <w:rPr>
        <w:rFonts w:hint="default"/>
        <w:lang w:val="en-US" w:eastAsia="en-US" w:bidi="ar-SA"/>
      </w:rPr>
    </w:lvl>
    <w:lvl w:ilvl="2" w:tplc="10B8C0F2">
      <w:numFmt w:val="bullet"/>
      <w:lvlText w:val="•"/>
      <w:lvlJc w:val="left"/>
      <w:pPr>
        <w:ind w:left="1540" w:hanging="358"/>
      </w:pPr>
      <w:rPr>
        <w:rFonts w:hint="default"/>
        <w:lang w:val="en-US" w:eastAsia="en-US" w:bidi="ar-SA"/>
      </w:rPr>
    </w:lvl>
    <w:lvl w:ilvl="3" w:tplc="ADE8192E">
      <w:numFmt w:val="bullet"/>
      <w:lvlText w:val="•"/>
      <w:lvlJc w:val="left"/>
      <w:pPr>
        <w:ind w:left="1900" w:hanging="358"/>
      </w:pPr>
      <w:rPr>
        <w:rFonts w:hint="default"/>
        <w:lang w:val="en-US" w:eastAsia="en-US" w:bidi="ar-SA"/>
      </w:rPr>
    </w:lvl>
    <w:lvl w:ilvl="4" w:tplc="433CCEB0">
      <w:numFmt w:val="bullet"/>
      <w:lvlText w:val="•"/>
      <w:lvlJc w:val="left"/>
      <w:pPr>
        <w:ind w:left="2260" w:hanging="358"/>
      </w:pPr>
      <w:rPr>
        <w:rFonts w:hint="default"/>
        <w:lang w:val="en-US" w:eastAsia="en-US" w:bidi="ar-SA"/>
      </w:rPr>
    </w:lvl>
    <w:lvl w:ilvl="5" w:tplc="E9BA469A">
      <w:numFmt w:val="bullet"/>
      <w:lvlText w:val="•"/>
      <w:lvlJc w:val="left"/>
      <w:pPr>
        <w:ind w:left="2621" w:hanging="358"/>
      </w:pPr>
      <w:rPr>
        <w:rFonts w:hint="default"/>
        <w:lang w:val="en-US" w:eastAsia="en-US" w:bidi="ar-SA"/>
      </w:rPr>
    </w:lvl>
    <w:lvl w:ilvl="6" w:tplc="F3AEEDDC">
      <w:numFmt w:val="bullet"/>
      <w:lvlText w:val="•"/>
      <w:lvlJc w:val="left"/>
      <w:pPr>
        <w:ind w:left="2981" w:hanging="358"/>
      </w:pPr>
      <w:rPr>
        <w:rFonts w:hint="default"/>
        <w:lang w:val="en-US" w:eastAsia="en-US" w:bidi="ar-SA"/>
      </w:rPr>
    </w:lvl>
    <w:lvl w:ilvl="7" w:tplc="CC36B096">
      <w:numFmt w:val="bullet"/>
      <w:lvlText w:val="•"/>
      <w:lvlJc w:val="left"/>
      <w:pPr>
        <w:ind w:left="3341" w:hanging="358"/>
      </w:pPr>
      <w:rPr>
        <w:rFonts w:hint="default"/>
        <w:lang w:val="en-US" w:eastAsia="en-US" w:bidi="ar-SA"/>
      </w:rPr>
    </w:lvl>
    <w:lvl w:ilvl="8" w:tplc="DA2ED7F4">
      <w:numFmt w:val="bullet"/>
      <w:lvlText w:val="•"/>
      <w:lvlJc w:val="left"/>
      <w:pPr>
        <w:ind w:left="3701" w:hanging="358"/>
      </w:pPr>
      <w:rPr>
        <w:rFonts w:hint="default"/>
        <w:lang w:val="en-US" w:eastAsia="en-US" w:bidi="ar-SA"/>
      </w:rPr>
    </w:lvl>
  </w:abstractNum>
  <w:abstractNum w:abstractNumId="6" w15:restartNumberingAfterBreak="0">
    <w:nsid w:val="48CA24EE"/>
    <w:multiLevelType w:val="hybridMultilevel"/>
    <w:tmpl w:val="1512A80C"/>
    <w:lvl w:ilvl="0" w:tplc="52621322">
      <w:numFmt w:val="bullet"/>
      <w:lvlText w:val=""/>
      <w:lvlJc w:val="left"/>
      <w:pPr>
        <w:ind w:left="814" w:hanging="358"/>
      </w:pPr>
      <w:rPr>
        <w:rFonts w:ascii="Symbol" w:eastAsia="Symbol" w:hAnsi="Symbol" w:cs="Symbol" w:hint="default"/>
        <w:w w:val="100"/>
        <w:sz w:val="24"/>
        <w:szCs w:val="24"/>
        <w:lang w:val="en-US" w:eastAsia="en-US" w:bidi="ar-SA"/>
      </w:rPr>
    </w:lvl>
    <w:lvl w:ilvl="1" w:tplc="77AC84BE">
      <w:numFmt w:val="bullet"/>
      <w:lvlText w:val="•"/>
      <w:lvlJc w:val="left"/>
      <w:pPr>
        <w:ind w:left="1461" w:hanging="358"/>
      </w:pPr>
      <w:rPr>
        <w:rFonts w:hint="default"/>
        <w:lang w:val="en-US" w:eastAsia="en-US" w:bidi="ar-SA"/>
      </w:rPr>
    </w:lvl>
    <w:lvl w:ilvl="2" w:tplc="F6CECD20">
      <w:numFmt w:val="bullet"/>
      <w:lvlText w:val="•"/>
      <w:lvlJc w:val="left"/>
      <w:pPr>
        <w:ind w:left="2102" w:hanging="358"/>
      </w:pPr>
      <w:rPr>
        <w:rFonts w:hint="default"/>
        <w:lang w:val="en-US" w:eastAsia="en-US" w:bidi="ar-SA"/>
      </w:rPr>
    </w:lvl>
    <w:lvl w:ilvl="3" w:tplc="C37618F8">
      <w:numFmt w:val="bullet"/>
      <w:lvlText w:val="•"/>
      <w:lvlJc w:val="left"/>
      <w:pPr>
        <w:ind w:left="2743" w:hanging="358"/>
      </w:pPr>
      <w:rPr>
        <w:rFonts w:hint="default"/>
        <w:lang w:val="en-US" w:eastAsia="en-US" w:bidi="ar-SA"/>
      </w:rPr>
    </w:lvl>
    <w:lvl w:ilvl="4" w:tplc="3EE2F010">
      <w:numFmt w:val="bullet"/>
      <w:lvlText w:val="•"/>
      <w:lvlJc w:val="left"/>
      <w:pPr>
        <w:ind w:left="3384" w:hanging="358"/>
      </w:pPr>
      <w:rPr>
        <w:rFonts w:hint="default"/>
        <w:lang w:val="en-US" w:eastAsia="en-US" w:bidi="ar-SA"/>
      </w:rPr>
    </w:lvl>
    <w:lvl w:ilvl="5" w:tplc="2FD6AB82">
      <w:numFmt w:val="bullet"/>
      <w:lvlText w:val="•"/>
      <w:lvlJc w:val="left"/>
      <w:pPr>
        <w:ind w:left="4026" w:hanging="358"/>
      </w:pPr>
      <w:rPr>
        <w:rFonts w:hint="default"/>
        <w:lang w:val="en-US" w:eastAsia="en-US" w:bidi="ar-SA"/>
      </w:rPr>
    </w:lvl>
    <w:lvl w:ilvl="6" w:tplc="0F1E3EEA">
      <w:numFmt w:val="bullet"/>
      <w:lvlText w:val="•"/>
      <w:lvlJc w:val="left"/>
      <w:pPr>
        <w:ind w:left="4667" w:hanging="358"/>
      </w:pPr>
      <w:rPr>
        <w:rFonts w:hint="default"/>
        <w:lang w:val="en-US" w:eastAsia="en-US" w:bidi="ar-SA"/>
      </w:rPr>
    </w:lvl>
    <w:lvl w:ilvl="7" w:tplc="1200E410">
      <w:numFmt w:val="bullet"/>
      <w:lvlText w:val="•"/>
      <w:lvlJc w:val="left"/>
      <w:pPr>
        <w:ind w:left="5308" w:hanging="358"/>
      </w:pPr>
      <w:rPr>
        <w:rFonts w:hint="default"/>
        <w:lang w:val="en-US" w:eastAsia="en-US" w:bidi="ar-SA"/>
      </w:rPr>
    </w:lvl>
    <w:lvl w:ilvl="8" w:tplc="D7A43328">
      <w:numFmt w:val="bullet"/>
      <w:lvlText w:val="•"/>
      <w:lvlJc w:val="left"/>
      <w:pPr>
        <w:ind w:left="5949" w:hanging="358"/>
      </w:pPr>
      <w:rPr>
        <w:rFonts w:hint="default"/>
        <w:lang w:val="en-US" w:eastAsia="en-US" w:bidi="ar-SA"/>
      </w:rPr>
    </w:lvl>
  </w:abstractNum>
  <w:abstractNum w:abstractNumId="7" w15:restartNumberingAfterBreak="0">
    <w:nsid w:val="4C8C6AFD"/>
    <w:multiLevelType w:val="hybridMultilevel"/>
    <w:tmpl w:val="02A60CCC"/>
    <w:lvl w:ilvl="0" w:tplc="359C09D8">
      <w:start w:val="1"/>
      <w:numFmt w:val="decimal"/>
      <w:lvlText w:val="%1."/>
      <w:lvlJc w:val="left"/>
      <w:pPr>
        <w:ind w:left="678" w:hanging="567"/>
      </w:pPr>
      <w:rPr>
        <w:rFonts w:ascii="Times New Roman" w:eastAsia="Times New Roman" w:hAnsi="Times New Roman" w:cs="Times New Roman" w:hint="default"/>
        <w:i w:val="0"/>
        <w:w w:val="100"/>
        <w:sz w:val="22"/>
        <w:szCs w:val="22"/>
        <w:lang w:val="en-US" w:eastAsia="en-US" w:bidi="ar-SA"/>
      </w:rPr>
    </w:lvl>
    <w:lvl w:ilvl="1" w:tplc="2CECE67E">
      <w:numFmt w:val="bullet"/>
      <w:lvlText w:val="•"/>
      <w:lvlJc w:val="left"/>
      <w:pPr>
        <w:ind w:left="1542" w:hanging="567"/>
      </w:pPr>
      <w:rPr>
        <w:rFonts w:hint="default"/>
        <w:lang w:val="en-US" w:eastAsia="en-US" w:bidi="ar-SA"/>
      </w:rPr>
    </w:lvl>
    <w:lvl w:ilvl="2" w:tplc="0B088C3C">
      <w:numFmt w:val="bullet"/>
      <w:lvlText w:val="•"/>
      <w:lvlJc w:val="left"/>
      <w:pPr>
        <w:ind w:left="2405" w:hanging="567"/>
      </w:pPr>
      <w:rPr>
        <w:rFonts w:hint="default"/>
        <w:lang w:val="en-US" w:eastAsia="en-US" w:bidi="ar-SA"/>
      </w:rPr>
    </w:lvl>
    <w:lvl w:ilvl="3" w:tplc="3EC2FE04">
      <w:numFmt w:val="bullet"/>
      <w:lvlText w:val="•"/>
      <w:lvlJc w:val="left"/>
      <w:pPr>
        <w:ind w:left="3268" w:hanging="567"/>
      </w:pPr>
      <w:rPr>
        <w:rFonts w:hint="default"/>
        <w:lang w:val="en-US" w:eastAsia="en-US" w:bidi="ar-SA"/>
      </w:rPr>
    </w:lvl>
    <w:lvl w:ilvl="4" w:tplc="6DD6116E">
      <w:numFmt w:val="bullet"/>
      <w:lvlText w:val="•"/>
      <w:lvlJc w:val="left"/>
      <w:pPr>
        <w:ind w:left="4130" w:hanging="567"/>
      </w:pPr>
      <w:rPr>
        <w:rFonts w:hint="default"/>
        <w:lang w:val="en-US" w:eastAsia="en-US" w:bidi="ar-SA"/>
      </w:rPr>
    </w:lvl>
    <w:lvl w:ilvl="5" w:tplc="10C2413E">
      <w:numFmt w:val="bullet"/>
      <w:lvlText w:val="•"/>
      <w:lvlJc w:val="left"/>
      <w:pPr>
        <w:ind w:left="4993" w:hanging="567"/>
      </w:pPr>
      <w:rPr>
        <w:rFonts w:hint="default"/>
        <w:lang w:val="en-US" w:eastAsia="en-US" w:bidi="ar-SA"/>
      </w:rPr>
    </w:lvl>
    <w:lvl w:ilvl="6" w:tplc="32184CF4">
      <w:numFmt w:val="bullet"/>
      <w:lvlText w:val="•"/>
      <w:lvlJc w:val="left"/>
      <w:pPr>
        <w:ind w:left="5856" w:hanging="567"/>
      </w:pPr>
      <w:rPr>
        <w:rFonts w:hint="default"/>
        <w:lang w:val="en-US" w:eastAsia="en-US" w:bidi="ar-SA"/>
      </w:rPr>
    </w:lvl>
    <w:lvl w:ilvl="7" w:tplc="AE7EA742">
      <w:numFmt w:val="bullet"/>
      <w:lvlText w:val="•"/>
      <w:lvlJc w:val="left"/>
      <w:pPr>
        <w:ind w:left="6718" w:hanging="567"/>
      </w:pPr>
      <w:rPr>
        <w:rFonts w:hint="default"/>
        <w:lang w:val="en-US" w:eastAsia="en-US" w:bidi="ar-SA"/>
      </w:rPr>
    </w:lvl>
    <w:lvl w:ilvl="8" w:tplc="36586050">
      <w:numFmt w:val="bullet"/>
      <w:lvlText w:val="•"/>
      <w:lvlJc w:val="left"/>
      <w:pPr>
        <w:ind w:left="7581" w:hanging="567"/>
      </w:pPr>
      <w:rPr>
        <w:rFonts w:hint="default"/>
        <w:lang w:val="en-US" w:eastAsia="en-US" w:bidi="ar-SA"/>
      </w:rPr>
    </w:lvl>
  </w:abstractNum>
  <w:abstractNum w:abstractNumId="8" w15:restartNumberingAfterBreak="0">
    <w:nsid w:val="58004870"/>
    <w:multiLevelType w:val="multilevel"/>
    <w:tmpl w:val="7AD6D91A"/>
    <w:lvl w:ilvl="0">
      <w:start w:val="1"/>
      <w:numFmt w:val="decimal"/>
      <w:lvlText w:val="%1."/>
      <w:lvlJc w:val="left"/>
      <w:pPr>
        <w:ind w:left="677"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677"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405" w:hanging="567"/>
      </w:pPr>
      <w:rPr>
        <w:rFonts w:hint="default"/>
        <w:lang w:val="en-US" w:eastAsia="en-US" w:bidi="ar-SA"/>
      </w:rPr>
    </w:lvl>
    <w:lvl w:ilvl="3">
      <w:numFmt w:val="bullet"/>
      <w:lvlText w:val="•"/>
      <w:lvlJc w:val="left"/>
      <w:pPr>
        <w:ind w:left="3268" w:hanging="567"/>
      </w:pPr>
      <w:rPr>
        <w:rFonts w:hint="default"/>
        <w:lang w:val="en-US" w:eastAsia="en-US" w:bidi="ar-SA"/>
      </w:rPr>
    </w:lvl>
    <w:lvl w:ilvl="4">
      <w:numFmt w:val="bullet"/>
      <w:lvlText w:val="•"/>
      <w:lvlJc w:val="left"/>
      <w:pPr>
        <w:ind w:left="4130" w:hanging="567"/>
      </w:pPr>
      <w:rPr>
        <w:rFonts w:hint="default"/>
        <w:lang w:val="en-US" w:eastAsia="en-US" w:bidi="ar-SA"/>
      </w:rPr>
    </w:lvl>
    <w:lvl w:ilvl="5">
      <w:numFmt w:val="bullet"/>
      <w:lvlText w:val="•"/>
      <w:lvlJc w:val="left"/>
      <w:pPr>
        <w:ind w:left="4993" w:hanging="567"/>
      </w:pPr>
      <w:rPr>
        <w:rFonts w:hint="default"/>
        <w:lang w:val="en-US" w:eastAsia="en-US" w:bidi="ar-SA"/>
      </w:rPr>
    </w:lvl>
    <w:lvl w:ilvl="6">
      <w:numFmt w:val="bullet"/>
      <w:lvlText w:val="•"/>
      <w:lvlJc w:val="left"/>
      <w:pPr>
        <w:ind w:left="5856" w:hanging="567"/>
      </w:pPr>
      <w:rPr>
        <w:rFonts w:hint="default"/>
        <w:lang w:val="en-US" w:eastAsia="en-US" w:bidi="ar-SA"/>
      </w:rPr>
    </w:lvl>
    <w:lvl w:ilvl="7">
      <w:numFmt w:val="bullet"/>
      <w:lvlText w:val="•"/>
      <w:lvlJc w:val="left"/>
      <w:pPr>
        <w:ind w:left="6718" w:hanging="567"/>
      </w:pPr>
      <w:rPr>
        <w:rFonts w:hint="default"/>
        <w:lang w:val="en-US" w:eastAsia="en-US" w:bidi="ar-SA"/>
      </w:rPr>
    </w:lvl>
    <w:lvl w:ilvl="8">
      <w:numFmt w:val="bullet"/>
      <w:lvlText w:val="•"/>
      <w:lvlJc w:val="left"/>
      <w:pPr>
        <w:ind w:left="7581" w:hanging="567"/>
      </w:pPr>
      <w:rPr>
        <w:rFonts w:hint="default"/>
        <w:lang w:val="en-US" w:eastAsia="en-US" w:bidi="ar-SA"/>
      </w:rPr>
    </w:lvl>
  </w:abstractNum>
  <w:abstractNum w:abstractNumId="9" w15:restartNumberingAfterBreak="0">
    <w:nsid w:val="5FEA6032"/>
    <w:multiLevelType w:val="hybridMultilevel"/>
    <w:tmpl w:val="44E2087C"/>
    <w:lvl w:ilvl="0" w:tplc="DA709976">
      <w:start w:val="7"/>
      <w:numFmt w:val="decimal"/>
      <w:lvlText w:val="%1."/>
      <w:lvlJc w:val="left"/>
      <w:pPr>
        <w:ind w:left="677" w:hanging="567"/>
      </w:pPr>
      <w:rPr>
        <w:rFonts w:ascii="Times New Roman" w:eastAsia="Times New Roman" w:hAnsi="Times New Roman" w:cs="Times New Roman" w:hint="default"/>
        <w:b/>
        <w:bCs/>
        <w:w w:val="100"/>
        <w:sz w:val="22"/>
        <w:szCs w:val="22"/>
        <w:lang w:val="en-US" w:eastAsia="en-US" w:bidi="ar-SA"/>
      </w:rPr>
    </w:lvl>
    <w:lvl w:ilvl="1" w:tplc="EB547C5C">
      <w:numFmt w:val="bullet"/>
      <w:lvlText w:val="•"/>
      <w:lvlJc w:val="left"/>
      <w:pPr>
        <w:ind w:left="1542" w:hanging="567"/>
      </w:pPr>
      <w:rPr>
        <w:rFonts w:hint="default"/>
        <w:lang w:val="en-US" w:eastAsia="en-US" w:bidi="ar-SA"/>
      </w:rPr>
    </w:lvl>
    <w:lvl w:ilvl="2" w:tplc="39E4653C">
      <w:numFmt w:val="bullet"/>
      <w:lvlText w:val="•"/>
      <w:lvlJc w:val="left"/>
      <w:pPr>
        <w:ind w:left="2405" w:hanging="567"/>
      </w:pPr>
      <w:rPr>
        <w:rFonts w:hint="default"/>
        <w:lang w:val="en-US" w:eastAsia="en-US" w:bidi="ar-SA"/>
      </w:rPr>
    </w:lvl>
    <w:lvl w:ilvl="3" w:tplc="0ED66E68">
      <w:numFmt w:val="bullet"/>
      <w:lvlText w:val="•"/>
      <w:lvlJc w:val="left"/>
      <w:pPr>
        <w:ind w:left="3268" w:hanging="567"/>
      </w:pPr>
      <w:rPr>
        <w:rFonts w:hint="default"/>
        <w:lang w:val="en-US" w:eastAsia="en-US" w:bidi="ar-SA"/>
      </w:rPr>
    </w:lvl>
    <w:lvl w:ilvl="4" w:tplc="293EB660">
      <w:numFmt w:val="bullet"/>
      <w:lvlText w:val="•"/>
      <w:lvlJc w:val="left"/>
      <w:pPr>
        <w:ind w:left="4130" w:hanging="567"/>
      </w:pPr>
      <w:rPr>
        <w:rFonts w:hint="default"/>
        <w:lang w:val="en-US" w:eastAsia="en-US" w:bidi="ar-SA"/>
      </w:rPr>
    </w:lvl>
    <w:lvl w:ilvl="5" w:tplc="FA58C4D2">
      <w:numFmt w:val="bullet"/>
      <w:lvlText w:val="•"/>
      <w:lvlJc w:val="left"/>
      <w:pPr>
        <w:ind w:left="4993" w:hanging="567"/>
      </w:pPr>
      <w:rPr>
        <w:rFonts w:hint="default"/>
        <w:lang w:val="en-US" w:eastAsia="en-US" w:bidi="ar-SA"/>
      </w:rPr>
    </w:lvl>
    <w:lvl w:ilvl="6" w:tplc="2A6CE774">
      <w:numFmt w:val="bullet"/>
      <w:lvlText w:val="•"/>
      <w:lvlJc w:val="left"/>
      <w:pPr>
        <w:ind w:left="5856" w:hanging="567"/>
      </w:pPr>
      <w:rPr>
        <w:rFonts w:hint="default"/>
        <w:lang w:val="en-US" w:eastAsia="en-US" w:bidi="ar-SA"/>
      </w:rPr>
    </w:lvl>
    <w:lvl w:ilvl="7" w:tplc="CF76A07E">
      <w:numFmt w:val="bullet"/>
      <w:lvlText w:val="•"/>
      <w:lvlJc w:val="left"/>
      <w:pPr>
        <w:ind w:left="6718" w:hanging="567"/>
      </w:pPr>
      <w:rPr>
        <w:rFonts w:hint="default"/>
        <w:lang w:val="en-US" w:eastAsia="en-US" w:bidi="ar-SA"/>
      </w:rPr>
    </w:lvl>
    <w:lvl w:ilvl="8" w:tplc="832EF6E6">
      <w:numFmt w:val="bullet"/>
      <w:lvlText w:val="•"/>
      <w:lvlJc w:val="left"/>
      <w:pPr>
        <w:ind w:left="7581" w:hanging="567"/>
      </w:pPr>
      <w:rPr>
        <w:rFonts w:hint="default"/>
        <w:lang w:val="en-US" w:eastAsia="en-US" w:bidi="ar-SA"/>
      </w:rPr>
    </w:lvl>
  </w:abstractNum>
  <w:abstractNum w:abstractNumId="10" w15:restartNumberingAfterBreak="0">
    <w:nsid w:val="64532337"/>
    <w:multiLevelType w:val="hybridMultilevel"/>
    <w:tmpl w:val="5DD64DBC"/>
    <w:lvl w:ilvl="0" w:tplc="989E8AFA">
      <w:numFmt w:val="bullet"/>
      <w:lvlText w:val=""/>
      <w:lvlJc w:val="left"/>
      <w:pPr>
        <w:ind w:left="678" w:hanging="567"/>
      </w:pPr>
      <w:rPr>
        <w:rFonts w:ascii="Symbol" w:eastAsia="Symbol" w:hAnsi="Symbol" w:cs="Symbol" w:hint="default"/>
        <w:w w:val="100"/>
        <w:sz w:val="22"/>
        <w:szCs w:val="22"/>
        <w:lang w:val="en-US" w:eastAsia="en-US" w:bidi="ar-SA"/>
      </w:rPr>
    </w:lvl>
    <w:lvl w:ilvl="1" w:tplc="18408DE0">
      <w:numFmt w:val="bullet"/>
      <w:lvlText w:val="•"/>
      <w:lvlJc w:val="left"/>
      <w:pPr>
        <w:ind w:left="1542" w:hanging="567"/>
      </w:pPr>
      <w:rPr>
        <w:rFonts w:hint="default"/>
        <w:lang w:val="en-US" w:eastAsia="en-US" w:bidi="ar-SA"/>
      </w:rPr>
    </w:lvl>
    <w:lvl w:ilvl="2" w:tplc="38684402">
      <w:numFmt w:val="bullet"/>
      <w:lvlText w:val="•"/>
      <w:lvlJc w:val="left"/>
      <w:pPr>
        <w:ind w:left="2405" w:hanging="567"/>
      </w:pPr>
      <w:rPr>
        <w:rFonts w:hint="default"/>
        <w:lang w:val="en-US" w:eastAsia="en-US" w:bidi="ar-SA"/>
      </w:rPr>
    </w:lvl>
    <w:lvl w:ilvl="3" w:tplc="6F92B09C">
      <w:numFmt w:val="bullet"/>
      <w:lvlText w:val="•"/>
      <w:lvlJc w:val="left"/>
      <w:pPr>
        <w:ind w:left="3268" w:hanging="567"/>
      </w:pPr>
      <w:rPr>
        <w:rFonts w:hint="default"/>
        <w:lang w:val="en-US" w:eastAsia="en-US" w:bidi="ar-SA"/>
      </w:rPr>
    </w:lvl>
    <w:lvl w:ilvl="4" w:tplc="DCF68B2E">
      <w:numFmt w:val="bullet"/>
      <w:lvlText w:val="•"/>
      <w:lvlJc w:val="left"/>
      <w:pPr>
        <w:ind w:left="4130" w:hanging="567"/>
      </w:pPr>
      <w:rPr>
        <w:rFonts w:hint="default"/>
        <w:lang w:val="en-US" w:eastAsia="en-US" w:bidi="ar-SA"/>
      </w:rPr>
    </w:lvl>
    <w:lvl w:ilvl="5" w:tplc="E990CCF8">
      <w:numFmt w:val="bullet"/>
      <w:lvlText w:val="•"/>
      <w:lvlJc w:val="left"/>
      <w:pPr>
        <w:ind w:left="4993" w:hanging="567"/>
      </w:pPr>
      <w:rPr>
        <w:rFonts w:hint="default"/>
        <w:lang w:val="en-US" w:eastAsia="en-US" w:bidi="ar-SA"/>
      </w:rPr>
    </w:lvl>
    <w:lvl w:ilvl="6" w:tplc="CC987074">
      <w:numFmt w:val="bullet"/>
      <w:lvlText w:val="•"/>
      <w:lvlJc w:val="left"/>
      <w:pPr>
        <w:ind w:left="5856" w:hanging="567"/>
      </w:pPr>
      <w:rPr>
        <w:rFonts w:hint="default"/>
        <w:lang w:val="en-US" w:eastAsia="en-US" w:bidi="ar-SA"/>
      </w:rPr>
    </w:lvl>
    <w:lvl w:ilvl="7" w:tplc="B652D654">
      <w:numFmt w:val="bullet"/>
      <w:lvlText w:val="•"/>
      <w:lvlJc w:val="left"/>
      <w:pPr>
        <w:ind w:left="6718" w:hanging="567"/>
      </w:pPr>
      <w:rPr>
        <w:rFonts w:hint="default"/>
        <w:lang w:val="en-US" w:eastAsia="en-US" w:bidi="ar-SA"/>
      </w:rPr>
    </w:lvl>
    <w:lvl w:ilvl="8" w:tplc="162E2C9E">
      <w:numFmt w:val="bullet"/>
      <w:lvlText w:val="•"/>
      <w:lvlJc w:val="left"/>
      <w:pPr>
        <w:ind w:left="7581" w:hanging="567"/>
      </w:pPr>
      <w:rPr>
        <w:rFonts w:hint="default"/>
        <w:lang w:val="en-US" w:eastAsia="en-US" w:bidi="ar-SA"/>
      </w:rPr>
    </w:lvl>
  </w:abstractNum>
  <w:abstractNum w:abstractNumId="11" w15:restartNumberingAfterBreak="0">
    <w:nsid w:val="724631FC"/>
    <w:multiLevelType w:val="hybridMultilevel"/>
    <w:tmpl w:val="8646C91E"/>
    <w:lvl w:ilvl="0" w:tplc="01B831A6">
      <w:numFmt w:val="bullet"/>
      <w:lvlText w:val=""/>
      <w:lvlJc w:val="left"/>
      <w:pPr>
        <w:ind w:left="814" w:hanging="358"/>
      </w:pPr>
      <w:rPr>
        <w:rFonts w:ascii="Symbol" w:eastAsia="Symbol" w:hAnsi="Symbol" w:cs="Symbol" w:hint="default"/>
        <w:w w:val="100"/>
        <w:sz w:val="22"/>
        <w:szCs w:val="22"/>
        <w:lang w:val="en-US" w:eastAsia="en-US" w:bidi="ar-SA"/>
      </w:rPr>
    </w:lvl>
    <w:lvl w:ilvl="1" w:tplc="2D403C44">
      <w:numFmt w:val="bullet"/>
      <w:lvlText w:val="•"/>
      <w:lvlJc w:val="left"/>
      <w:pPr>
        <w:ind w:left="1180" w:hanging="358"/>
      </w:pPr>
      <w:rPr>
        <w:rFonts w:hint="default"/>
        <w:lang w:val="en-US" w:eastAsia="en-US" w:bidi="ar-SA"/>
      </w:rPr>
    </w:lvl>
    <w:lvl w:ilvl="2" w:tplc="83E45C60">
      <w:numFmt w:val="bullet"/>
      <w:lvlText w:val="•"/>
      <w:lvlJc w:val="left"/>
      <w:pPr>
        <w:ind w:left="1540" w:hanging="358"/>
      </w:pPr>
      <w:rPr>
        <w:rFonts w:hint="default"/>
        <w:lang w:val="en-US" w:eastAsia="en-US" w:bidi="ar-SA"/>
      </w:rPr>
    </w:lvl>
    <w:lvl w:ilvl="3" w:tplc="5652FEFA">
      <w:numFmt w:val="bullet"/>
      <w:lvlText w:val="•"/>
      <w:lvlJc w:val="left"/>
      <w:pPr>
        <w:ind w:left="1900" w:hanging="358"/>
      </w:pPr>
      <w:rPr>
        <w:rFonts w:hint="default"/>
        <w:lang w:val="en-US" w:eastAsia="en-US" w:bidi="ar-SA"/>
      </w:rPr>
    </w:lvl>
    <w:lvl w:ilvl="4" w:tplc="7622843A">
      <w:numFmt w:val="bullet"/>
      <w:lvlText w:val="•"/>
      <w:lvlJc w:val="left"/>
      <w:pPr>
        <w:ind w:left="2260" w:hanging="358"/>
      </w:pPr>
      <w:rPr>
        <w:rFonts w:hint="default"/>
        <w:lang w:val="en-US" w:eastAsia="en-US" w:bidi="ar-SA"/>
      </w:rPr>
    </w:lvl>
    <w:lvl w:ilvl="5" w:tplc="21E6F4A2">
      <w:numFmt w:val="bullet"/>
      <w:lvlText w:val="•"/>
      <w:lvlJc w:val="left"/>
      <w:pPr>
        <w:ind w:left="2621" w:hanging="358"/>
      </w:pPr>
      <w:rPr>
        <w:rFonts w:hint="default"/>
        <w:lang w:val="en-US" w:eastAsia="en-US" w:bidi="ar-SA"/>
      </w:rPr>
    </w:lvl>
    <w:lvl w:ilvl="6" w:tplc="9E9C767A">
      <w:numFmt w:val="bullet"/>
      <w:lvlText w:val="•"/>
      <w:lvlJc w:val="left"/>
      <w:pPr>
        <w:ind w:left="2981" w:hanging="358"/>
      </w:pPr>
      <w:rPr>
        <w:rFonts w:hint="default"/>
        <w:lang w:val="en-US" w:eastAsia="en-US" w:bidi="ar-SA"/>
      </w:rPr>
    </w:lvl>
    <w:lvl w:ilvl="7" w:tplc="9CF63AAA">
      <w:numFmt w:val="bullet"/>
      <w:lvlText w:val="•"/>
      <w:lvlJc w:val="left"/>
      <w:pPr>
        <w:ind w:left="3341" w:hanging="358"/>
      </w:pPr>
      <w:rPr>
        <w:rFonts w:hint="default"/>
        <w:lang w:val="en-US" w:eastAsia="en-US" w:bidi="ar-SA"/>
      </w:rPr>
    </w:lvl>
    <w:lvl w:ilvl="8" w:tplc="100CEFE6">
      <w:numFmt w:val="bullet"/>
      <w:lvlText w:val="•"/>
      <w:lvlJc w:val="left"/>
      <w:pPr>
        <w:ind w:left="3701" w:hanging="358"/>
      </w:pPr>
      <w:rPr>
        <w:rFonts w:hint="default"/>
        <w:lang w:val="en-US" w:eastAsia="en-US" w:bidi="ar-SA"/>
      </w:rPr>
    </w:lvl>
  </w:abstractNum>
  <w:abstractNum w:abstractNumId="12" w15:restartNumberingAfterBreak="0">
    <w:nsid w:val="7D324850"/>
    <w:multiLevelType w:val="hybridMultilevel"/>
    <w:tmpl w:val="BDF03EF2"/>
    <w:lvl w:ilvl="0" w:tplc="2FB22DEC">
      <w:numFmt w:val="bullet"/>
      <w:lvlText w:val=""/>
      <w:lvlJc w:val="left"/>
      <w:pPr>
        <w:ind w:left="814" w:hanging="358"/>
      </w:pPr>
      <w:rPr>
        <w:rFonts w:ascii="Symbol" w:eastAsia="Symbol" w:hAnsi="Symbol" w:cs="Symbol" w:hint="default"/>
        <w:w w:val="100"/>
        <w:sz w:val="24"/>
        <w:szCs w:val="24"/>
        <w:lang w:val="en-US" w:eastAsia="en-US" w:bidi="ar-SA"/>
      </w:rPr>
    </w:lvl>
    <w:lvl w:ilvl="1" w:tplc="07B2B50C">
      <w:numFmt w:val="bullet"/>
      <w:lvlText w:val="•"/>
      <w:lvlJc w:val="left"/>
      <w:pPr>
        <w:ind w:left="1180" w:hanging="358"/>
      </w:pPr>
      <w:rPr>
        <w:rFonts w:hint="default"/>
        <w:lang w:val="en-US" w:eastAsia="en-US" w:bidi="ar-SA"/>
      </w:rPr>
    </w:lvl>
    <w:lvl w:ilvl="2" w:tplc="396688CE">
      <w:numFmt w:val="bullet"/>
      <w:lvlText w:val="•"/>
      <w:lvlJc w:val="left"/>
      <w:pPr>
        <w:ind w:left="1540" w:hanging="358"/>
      </w:pPr>
      <w:rPr>
        <w:rFonts w:hint="default"/>
        <w:lang w:val="en-US" w:eastAsia="en-US" w:bidi="ar-SA"/>
      </w:rPr>
    </w:lvl>
    <w:lvl w:ilvl="3" w:tplc="E3386048">
      <w:numFmt w:val="bullet"/>
      <w:lvlText w:val="•"/>
      <w:lvlJc w:val="left"/>
      <w:pPr>
        <w:ind w:left="1900" w:hanging="358"/>
      </w:pPr>
      <w:rPr>
        <w:rFonts w:hint="default"/>
        <w:lang w:val="en-US" w:eastAsia="en-US" w:bidi="ar-SA"/>
      </w:rPr>
    </w:lvl>
    <w:lvl w:ilvl="4" w:tplc="35508BAA">
      <w:numFmt w:val="bullet"/>
      <w:lvlText w:val="•"/>
      <w:lvlJc w:val="left"/>
      <w:pPr>
        <w:ind w:left="2260" w:hanging="358"/>
      </w:pPr>
      <w:rPr>
        <w:rFonts w:hint="default"/>
        <w:lang w:val="en-US" w:eastAsia="en-US" w:bidi="ar-SA"/>
      </w:rPr>
    </w:lvl>
    <w:lvl w:ilvl="5" w:tplc="62803A9C">
      <w:numFmt w:val="bullet"/>
      <w:lvlText w:val="•"/>
      <w:lvlJc w:val="left"/>
      <w:pPr>
        <w:ind w:left="2621" w:hanging="358"/>
      </w:pPr>
      <w:rPr>
        <w:rFonts w:hint="default"/>
        <w:lang w:val="en-US" w:eastAsia="en-US" w:bidi="ar-SA"/>
      </w:rPr>
    </w:lvl>
    <w:lvl w:ilvl="6" w:tplc="DD3CC4D4">
      <w:numFmt w:val="bullet"/>
      <w:lvlText w:val="•"/>
      <w:lvlJc w:val="left"/>
      <w:pPr>
        <w:ind w:left="2981" w:hanging="358"/>
      </w:pPr>
      <w:rPr>
        <w:rFonts w:hint="default"/>
        <w:lang w:val="en-US" w:eastAsia="en-US" w:bidi="ar-SA"/>
      </w:rPr>
    </w:lvl>
    <w:lvl w:ilvl="7" w:tplc="76EE28BE">
      <w:numFmt w:val="bullet"/>
      <w:lvlText w:val="•"/>
      <w:lvlJc w:val="left"/>
      <w:pPr>
        <w:ind w:left="3341" w:hanging="358"/>
      </w:pPr>
      <w:rPr>
        <w:rFonts w:hint="default"/>
        <w:lang w:val="en-US" w:eastAsia="en-US" w:bidi="ar-SA"/>
      </w:rPr>
    </w:lvl>
    <w:lvl w:ilvl="8" w:tplc="53EAC18E">
      <w:numFmt w:val="bullet"/>
      <w:lvlText w:val="•"/>
      <w:lvlJc w:val="left"/>
      <w:pPr>
        <w:ind w:left="3701" w:hanging="358"/>
      </w:pPr>
      <w:rPr>
        <w:rFonts w:hint="default"/>
        <w:lang w:val="en-US" w:eastAsia="en-US" w:bidi="ar-SA"/>
      </w:rPr>
    </w:lvl>
  </w:abstractNum>
  <w:num w:numId="1">
    <w:abstractNumId w:val="9"/>
  </w:num>
  <w:num w:numId="2">
    <w:abstractNumId w:val="7"/>
  </w:num>
  <w:num w:numId="3">
    <w:abstractNumId w:val="2"/>
  </w:num>
  <w:num w:numId="4">
    <w:abstractNumId w:val="10"/>
  </w:num>
  <w:num w:numId="5">
    <w:abstractNumId w:val="6"/>
  </w:num>
  <w:num w:numId="6">
    <w:abstractNumId w:val="5"/>
  </w:num>
  <w:num w:numId="7">
    <w:abstractNumId w:val="0"/>
  </w:num>
  <w:num w:numId="8">
    <w:abstractNumId w:val="4"/>
  </w:num>
  <w:num w:numId="9">
    <w:abstractNumId w:val="1"/>
  </w:num>
  <w:num w:numId="10">
    <w:abstractNumId w:val="11"/>
  </w:num>
  <w:num w:numId="11">
    <w:abstractNumId w:val="1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AC6"/>
    <w:rsid w:val="00003A70"/>
    <w:rsid w:val="000112A0"/>
    <w:rsid w:val="00024C2F"/>
    <w:rsid w:val="0002681C"/>
    <w:rsid w:val="00071D86"/>
    <w:rsid w:val="000A096A"/>
    <w:rsid w:val="000D3CDE"/>
    <w:rsid w:val="000F4644"/>
    <w:rsid w:val="00105C28"/>
    <w:rsid w:val="0016499B"/>
    <w:rsid w:val="00180657"/>
    <w:rsid w:val="00187D78"/>
    <w:rsid w:val="001A17B5"/>
    <w:rsid w:val="001C6277"/>
    <w:rsid w:val="001E4A08"/>
    <w:rsid w:val="001E7653"/>
    <w:rsid w:val="001F310A"/>
    <w:rsid w:val="001F67EA"/>
    <w:rsid w:val="00230860"/>
    <w:rsid w:val="002525D8"/>
    <w:rsid w:val="00283FC3"/>
    <w:rsid w:val="00296252"/>
    <w:rsid w:val="002E4084"/>
    <w:rsid w:val="002F6840"/>
    <w:rsid w:val="00301A9B"/>
    <w:rsid w:val="00314AC9"/>
    <w:rsid w:val="0031555D"/>
    <w:rsid w:val="00326B04"/>
    <w:rsid w:val="003332C0"/>
    <w:rsid w:val="003436E0"/>
    <w:rsid w:val="003565FE"/>
    <w:rsid w:val="00377066"/>
    <w:rsid w:val="003965CB"/>
    <w:rsid w:val="003B6CC7"/>
    <w:rsid w:val="003D517A"/>
    <w:rsid w:val="003F7E21"/>
    <w:rsid w:val="00424347"/>
    <w:rsid w:val="004362C0"/>
    <w:rsid w:val="004460DB"/>
    <w:rsid w:val="00470B1D"/>
    <w:rsid w:val="004722B4"/>
    <w:rsid w:val="0048185B"/>
    <w:rsid w:val="00485247"/>
    <w:rsid w:val="004855EC"/>
    <w:rsid w:val="00494B1E"/>
    <w:rsid w:val="0049504A"/>
    <w:rsid w:val="00495640"/>
    <w:rsid w:val="00504139"/>
    <w:rsid w:val="005060F3"/>
    <w:rsid w:val="00506CC6"/>
    <w:rsid w:val="00520824"/>
    <w:rsid w:val="005477CF"/>
    <w:rsid w:val="005763DC"/>
    <w:rsid w:val="00580C63"/>
    <w:rsid w:val="0059036D"/>
    <w:rsid w:val="00596AC6"/>
    <w:rsid w:val="005B737B"/>
    <w:rsid w:val="005B7E97"/>
    <w:rsid w:val="005C7FDC"/>
    <w:rsid w:val="006009AE"/>
    <w:rsid w:val="00624C40"/>
    <w:rsid w:val="00627AC6"/>
    <w:rsid w:val="00634DCC"/>
    <w:rsid w:val="00641AC8"/>
    <w:rsid w:val="006558A4"/>
    <w:rsid w:val="006658F1"/>
    <w:rsid w:val="006844C6"/>
    <w:rsid w:val="00693722"/>
    <w:rsid w:val="006C6216"/>
    <w:rsid w:val="00714C6B"/>
    <w:rsid w:val="0072364B"/>
    <w:rsid w:val="007240FC"/>
    <w:rsid w:val="007251DA"/>
    <w:rsid w:val="0073308C"/>
    <w:rsid w:val="00754D84"/>
    <w:rsid w:val="007568FB"/>
    <w:rsid w:val="0077100B"/>
    <w:rsid w:val="00773218"/>
    <w:rsid w:val="00783A5B"/>
    <w:rsid w:val="00792ABF"/>
    <w:rsid w:val="007B263E"/>
    <w:rsid w:val="007B2E76"/>
    <w:rsid w:val="007B40F8"/>
    <w:rsid w:val="007D4A33"/>
    <w:rsid w:val="007E55BB"/>
    <w:rsid w:val="008060FB"/>
    <w:rsid w:val="00806921"/>
    <w:rsid w:val="00832C37"/>
    <w:rsid w:val="00833B31"/>
    <w:rsid w:val="0083711F"/>
    <w:rsid w:val="0083787E"/>
    <w:rsid w:val="008452BA"/>
    <w:rsid w:val="0085710F"/>
    <w:rsid w:val="00867174"/>
    <w:rsid w:val="008712B1"/>
    <w:rsid w:val="008775C3"/>
    <w:rsid w:val="00881FF4"/>
    <w:rsid w:val="008868CF"/>
    <w:rsid w:val="008C5044"/>
    <w:rsid w:val="008E0BD4"/>
    <w:rsid w:val="00900E50"/>
    <w:rsid w:val="00904D7F"/>
    <w:rsid w:val="00916165"/>
    <w:rsid w:val="00923F74"/>
    <w:rsid w:val="00960EC5"/>
    <w:rsid w:val="0096273D"/>
    <w:rsid w:val="00970E63"/>
    <w:rsid w:val="009762DA"/>
    <w:rsid w:val="00981576"/>
    <w:rsid w:val="00985BF3"/>
    <w:rsid w:val="00990100"/>
    <w:rsid w:val="009E488D"/>
    <w:rsid w:val="009F0494"/>
    <w:rsid w:val="00A01A48"/>
    <w:rsid w:val="00A02FAE"/>
    <w:rsid w:val="00A13470"/>
    <w:rsid w:val="00A318CD"/>
    <w:rsid w:val="00A441B5"/>
    <w:rsid w:val="00A5402D"/>
    <w:rsid w:val="00A56A28"/>
    <w:rsid w:val="00A84209"/>
    <w:rsid w:val="00A901FE"/>
    <w:rsid w:val="00A9555D"/>
    <w:rsid w:val="00AB0EB6"/>
    <w:rsid w:val="00AB4252"/>
    <w:rsid w:val="00AC7B20"/>
    <w:rsid w:val="00AD54E3"/>
    <w:rsid w:val="00AE5391"/>
    <w:rsid w:val="00B072DF"/>
    <w:rsid w:val="00B176AF"/>
    <w:rsid w:val="00B24A53"/>
    <w:rsid w:val="00B2723A"/>
    <w:rsid w:val="00B41900"/>
    <w:rsid w:val="00B45216"/>
    <w:rsid w:val="00B867A5"/>
    <w:rsid w:val="00B938FD"/>
    <w:rsid w:val="00BA78B0"/>
    <w:rsid w:val="00BC05FE"/>
    <w:rsid w:val="00BD105B"/>
    <w:rsid w:val="00BE7914"/>
    <w:rsid w:val="00BF42A5"/>
    <w:rsid w:val="00C2055B"/>
    <w:rsid w:val="00C36B12"/>
    <w:rsid w:val="00C43828"/>
    <w:rsid w:val="00C93BEA"/>
    <w:rsid w:val="00CA017B"/>
    <w:rsid w:val="00CA7089"/>
    <w:rsid w:val="00CB303D"/>
    <w:rsid w:val="00CB7959"/>
    <w:rsid w:val="00CC069E"/>
    <w:rsid w:val="00CD3D99"/>
    <w:rsid w:val="00CE1A75"/>
    <w:rsid w:val="00CE293A"/>
    <w:rsid w:val="00D051AD"/>
    <w:rsid w:val="00D05768"/>
    <w:rsid w:val="00D070FA"/>
    <w:rsid w:val="00D34F0C"/>
    <w:rsid w:val="00D60978"/>
    <w:rsid w:val="00D74A81"/>
    <w:rsid w:val="00DA67BE"/>
    <w:rsid w:val="00DC76BF"/>
    <w:rsid w:val="00DD17D6"/>
    <w:rsid w:val="00DF2B0E"/>
    <w:rsid w:val="00DF4040"/>
    <w:rsid w:val="00E008A9"/>
    <w:rsid w:val="00E01318"/>
    <w:rsid w:val="00E13E79"/>
    <w:rsid w:val="00E45B08"/>
    <w:rsid w:val="00E67857"/>
    <w:rsid w:val="00E805E6"/>
    <w:rsid w:val="00E83893"/>
    <w:rsid w:val="00EB442B"/>
    <w:rsid w:val="00EB674F"/>
    <w:rsid w:val="00EF6A67"/>
    <w:rsid w:val="00F74823"/>
    <w:rsid w:val="00F87D86"/>
    <w:rsid w:val="00FB3236"/>
    <w:rsid w:val="00FC2FD5"/>
    <w:rsid w:val="00FC4880"/>
    <w:rsid w:val="00FD557E"/>
    <w:rsid w:val="00FE0B2D"/>
    <w:rsid w:val="00FE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BFA98"/>
  <w15:docId w15:val="{2AE18245-0336-4A8E-93A7-E720AA67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77"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ind w:left="677" w:hanging="567"/>
    </w:pPr>
  </w:style>
  <w:style w:type="paragraph" w:customStyle="1" w:styleId="TableParagraph">
    <w:name w:val="Table Paragraph"/>
    <w:basedOn w:val="Normal"/>
    <w:uiPriority w:val="1"/>
    <w:qFormat/>
    <w:pPr>
      <w:ind w:left="100"/>
    </w:pPr>
  </w:style>
  <w:style w:type="character" w:styleId="Hyperlink">
    <w:name w:val="Hyperlink"/>
    <w:basedOn w:val="DefaultParagraphFont"/>
    <w:rsid w:val="006844C6"/>
    <w:rPr>
      <w:color w:val="0000FF" w:themeColor="hyperlink"/>
      <w:u w:val="single"/>
    </w:rPr>
  </w:style>
  <w:style w:type="paragraph" w:styleId="NoSpacing">
    <w:name w:val="No Spacing"/>
    <w:uiPriority w:val="1"/>
    <w:qFormat/>
    <w:rsid w:val="00833B31"/>
    <w:pPr>
      <w:widowControl/>
      <w:autoSpaceDE/>
      <w:autoSpaceDN/>
    </w:pPr>
    <w:rPr>
      <w:rFonts w:ascii="Times New Roman" w:eastAsia="Times New Roman" w:hAnsi="Times New Roman" w:cs="Times New Roman"/>
      <w:sz w:val="24"/>
      <w:szCs w:val="24"/>
    </w:rPr>
  </w:style>
  <w:style w:type="paragraph" w:styleId="Revision">
    <w:name w:val="Revision"/>
    <w:hidden/>
    <w:uiPriority w:val="99"/>
    <w:semiHidden/>
    <w:rsid w:val="00D34F0C"/>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34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F0C"/>
    <w:rPr>
      <w:rFonts w:ascii="Segoe UI" w:eastAsia="Times New Roman" w:hAnsi="Segoe UI" w:cs="Segoe UI"/>
      <w:sz w:val="18"/>
      <w:szCs w:val="18"/>
    </w:rPr>
  </w:style>
  <w:style w:type="paragraph" w:styleId="Header">
    <w:name w:val="header"/>
    <w:basedOn w:val="Normal"/>
    <w:link w:val="HeaderChar"/>
    <w:uiPriority w:val="99"/>
    <w:unhideWhenUsed/>
    <w:rsid w:val="009F0494"/>
    <w:pPr>
      <w:tabs>
        <w:tab w:val="center" w:pos="4680"/>
        <w:tab w:val="right" w:pos="9360"/>
      </w:tabs>
    </w:pPr>
  </w:style>
  <w:style w:type="character" w:customStyle="1" w:styleId="HeaderChar">
    <w:name w:val="Header Char"/>
    <w:basedOn w:val="DefaultParagraphFont"/>
    <w:link w:val="Header"/>
    <w:uiPriority w:val="99"/>
    <w:rsid w:val="009F0494"/>
    <w:rPr>
      <w:rFonts w:ascii="Times New Roman" w:eastAsia="Times New Roman" w:hAnsi="Times New Roman" w:cs="Times New Roman"/>
    </w:rPr>
  </w:style>
  <w:style w:type="paragraph" w:styleId="Footer">
    <w:name w:val="footer"/>
    <w:basedOn w:val="Normal"/>
    <w:link w:val="FooterChar"/>
    <w:uiPriority w:val="99"/>
    <w:unhideWhenUsed/>
    <w:rsid w:val="009F0494"/>
    <w:pPr>
      <w:tabs>
        <w:tab w:val="center" w:pos="4680"/>
        <w:tab w:val="right" w:pos="9360"/>
      </w:tabs>
    </w:pPr>
  </w:style>
  <w:style w:type="character" w:customStyle="1" w:styleId="FooterChar">
    <w:name w:val="Footer Char"/>
    <w:basedOn w:val="DefaultParagraphFont"/>
    <w:link w:val="Footer"/>
    <w:uiPriority w:val="99"/>
    <w:rsid w:val="009F0494"/>
    <w:rPr>
      <w:rFonts w:ascii="Times New Roman" w:eastAsia="Times New Roman" w:hAnsi="Times New Roman" w:cs="Times New Roman"/>
    </w:rPr>
  </w:style>
  <w:style w:type="paragraph" w:customStyle="1" w:styleId="Default">
    <w:name w:val="Default"/>
    <w:rsid w:val="00BC05FE"/>
    <w:pPr>
      <w:widowControl/>
      <w:adjustRightInd w:val="0"/>
    </w:pPr>
    <w:rPr>
      <w:rFonts w:ascii="Times New Roman" w:hAnsi="Times New Roman" w:cs="Times New Roman"/>
      <w:color w:val="000000"/>
      <w:sz w:val="24"/>
      <w:szCs w:val="24"/>
      <w:lang w:val="sr-Latn-CS"/>
    </w:rPr>
  </w:style>
  <w:style w:type="character" w:styleId="CommentReference">
    <w:name w:val="annotation reference"/>
    <w:basedOn w:val="DefaultParagraphFont"/>
    <w:uiPriority w:val="99"/>
    <w:semiHidden/>
    <w:unhideWhenUsed/>
    <w:rsid w:val="00E45B08"/>
    <w:rPr>
      <w:sz w:val="16"/>
      <w:szCs w:val="16"/>
    </w:rPr>
  </w:style>
  <w:style w:type="paragraph" w:styleId="CommentText">
    <w:name w:val="annotation text"/>
    <w:basedOn w:val="Normal"/>
    <w:link w:val="CommentTextChar"/>
    <w:uiPriority w:val="99"/>
    <w:semiHidden/>
    <w:unhideWhenUsed/>
    <w:rsid w:val="00E45B08"/>
    <w:rPr>
      <w:sz w:val="20"/>
      <w:szCs w:val="20"/>
    </w:rPr>
  </w:style>
  <w:style w:type="character" w:customStyle="1" w:styleId="CommentTextChar">
    <w:name w:val="Comment Text Char"/>
    <w:basedOn w:val="DefaultParagraphFont"/>
    <w:link w:val="CommentText"/>
    <w:uiPriority w:val="99"/>
    <w:semiHidden/>
    <w:rsid w:val="00E45B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B08"/>
    <w:rPr>
      <w:b/>
      <w:bCs/>
    </w:rPr>
  </w:style>
  <w:style w:type="character" w:customStyle="1" w:styleId="CommentSubjectChar">
    <w:name w:val="Comment Subject Char"/>
    <w:basedOn w:val="CommentTextChar"/>
    <w:link w:val="CommentSubject"/>
    <w:uiPriority w:val="99"/>
    <w:semiHidden/>
    <w:rsid w:val="00E45B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FE906-26A8-435F-981B-0520CA54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18</Pages>
  <Words>7023</Words>
  <Characters>40033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Campar, Danica {MWJF~BELGRADE}</dc:creator>
  <cp:lastModifiedBy>Tamara Nikezić</cp:lastModifiedBy>
  <cp:revision>48</cp:revision>
  <cp:lastPrinted>2024-06-19T21:10:00Z</cp:lastPrinted>
  <dcterms:created xsi:type="dcterms:W3CDTF">2023-11-06T13:10:00Z</dcterms:created>
  <dcterms:modified xsi:type="dcterms:W3CDTF">2024-09-03T11:03:00Z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PDF-XChange Editor 9.2.358</vt:lpwstr>
  </property>
  <property fmtid="{D5CDD505-2E9C-101B-9397-08002B2CF9AE}" pid="4" name="LastSaved">
    <vt:filetime>2022-08-04T00:00:00Z</vt:filetime>
  </property>
</Properties>
</file>