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8D" w:rsidRPr="00CC438D" w:rsidRDefault="00CC438D" w:rsidP="00CC438D">
      <w:pPr>
        <w:spacing w:after="0"/>
        <w:jc w:val="both"/>
        <w:rPr>
          <w:rFonts w:ascii="Times New Roman" w:hAnsi="Times New Roman" w:cs="Times New Roman"/>
          <w:b/>
          <w:bCs/>
          <w:i/>
          <w:iCs/>
          <w:u w:val="single"/>
        </w:rPr>
      </w:pPr>
    </w:p>
    <w:p w:rsidR="00CC438D" w:rsidRPr="00CC438D" w:rsidRDefault="00CC438D" w:rsidP="00CC438D">
      <w:pPr>
        <w:spacing w:after="0"/>
        <w:jc w:val="center"/>
        <w:rPr>
          <w:rFonts w:ascii="Times New Roman" w:hAnsi="Times New Roman" w:cs="Times New Roman"/>
          <w:b/>
          <w:bCs/>
          <w:iCs/>
          <w:u w:val="single"/>
        </w:rPr>
      </w:pPr>
      <w:r w:rsidRPr="00CC438D">
        <w:rPr>
          <w:rFonts w:ascii="Times New Roman" w:hAnsi="Times New Roman" w:cs="Times New Roman"/>
          <w:b/>
          <w:bCs/>
          <w:iCs/>
          <w:u w:val="single"/>
        </w:rPr>
        <w:t>SAŽETAK KARAKTERISTIKA LIJEKA</w:t>
      </w:r>
    </w:p>
    <w:p w:rsidR="00CC438D" w:rsidRPr="00CC438D" w:rsidRDefault="00CC438D" w:rsidP="00CC438D">
      <w:pPr>
        <w:spacing w:after="0"/>
        <w:jc w:val="both"/>
        <w:rPr>
          <w:rFonts w:ascii="Times New Roman" w:hAnsi="Times New Roman" w:cs="Times New Roman"/>
          <w:b/>
          <w:bCs/>
          <w:i/>
          <w:iCs/>
          <w:u w:val="single"/>
        </w:rPr>
      </w:pP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1.</w:t>
      </w:r>
      <w:r w:rsidRPr="00CC438D">
        <w:rPr>
          <w:rFonts w:ascii="Times New Roman" w:hAnsi="Times New Roman" w:cs="Times New Roman"/>
          <w:b/>
          <w:bCs/>
        </w:rPr>
        <w:tab/>
        <w:t>NAZIV LIJEKA</w:t>
      </w:r>
    </w:p>
    <w:p w:rsidR="00CC438D" w:rsidRPr="00CC438D" w:rsidRDefault="00CC438D" w:rsidP="00CC438D">
      <w:pPr>
        <w:spacing w:after="0"/>
        <w:jc w:val="both"/>
        <w:rPr>
          <w:rFonts w:ascii="Times New Roman" w:hAnsi="Times New Roman" w:cs="Times New Roman"/>
          <w:lang w:val="pl-PL"/>
        </w:rPr>
      </w:pPr>
    </w:p>
    <w:p w:rsidR="00CC438D" w:rsidRPr="00CC438D" w:rsidRDefault="00CC438D" w:rsidP="00CC438D">
      <w:pPr>
        <w:spacing w:after="0"/>
        <w:jc w:val="both"/>
        <w:rPr>
          <w:rFonts w:ascii="Times New Roman" w:hAnsi="Times New Roman" w:cs="Times New Roman"/>
          <w:iCs/>
          <w:color w:val="000000" w:themeColor="text1"/>
          <w:lang w:val="sr-Latn-ME"/>
        </w:rPr>
      </w:pPr>
      <w:r w:rsidRPr="00CC438D">
        <w:rPr>
          <w:rFonts w:ascii="Times New Roman" w:hAnsi="Times New Roman" w:cs="Times New Roman"/>
          <w:iCs/>
          <w:color w:val="000000" w:themeColor="text1"/>
          <w:lang w:val="sr-Latn-ME"/>
        </w:rPr>
        <w:t xml:space="preserve">Paclitaxel Ebewe, 30 mg/5 ml, koncentrat za rastvor za infuziju </w:t>
      </w:r>
    </w:p>
    <w:p w:rsidR="00CC438D" w:rsidRPr="00CC438D" w:rsidRDefault="00CC438D" w:rsidP="00CC438D">
      <w:pPr>
        <w:spacing w:after="0"/>
        <w:jc w:val="both"/>
        <w:rPr>
          <w:rFonts w:ascii="Times New Roman" w:hAnsi="Times New Roman" w:cs="Times New Roman"/>
          <w:iCs/>
          <w:color w:val="000000" w:themeColor="text1"/>
          <w:lang w:val="sr-Latn-ME"/>
        </w:rPr>
      </w:pPr>
      <w:r w:rsidRPr="00CC438D">
        <w:rPr>
          <w:rFonts w:ascii="Times New Roman" w:hAnsi="Times New Roman" w:cs="Times New Roman"/>
          <w:iCs/>
          <w:color w:val="000000" w:themeColor="text1"/>
          <w:lang w:val="sr-Latn-ME"/>
        </w:rPr>
        <w:t>Paclitaxel Ebewe, 100 mg/16,7 ml, koncentrat za rastvor za infuziju</w:t>
      </w:r>
    </w:p>
    <w:p w:rsidR="00CC438D" w:rsidRPr="00CC438D" w:rsidRDefault="00CC438D" w:rsidP="00CC438D">
      <w:pPr>
        <w:spacing w:after="0"/>
        <w:jc w:val="both"/>
        <w:rPr>
          <w:rFonts w:ascii="Times New Roman" w:hAnsi="Times New Roman" w:cs="Times New Roman"/>
          <w:iCs/>
          <w:color w:val="000000" w:themeColor="text1"/>
          <w:lang w:val="sr-Latn-ME"/>
        </w:rPr>
      </w:pPr>
    </w:p>
    <w:p w:rsidR="00CC438D" w:rsidRPr="00CC438D" w:rsidRDefault="00CC438D" w:rsidP="00CC438D">
      <w:pPr>
        <w:spacing w:after="0"/>
        <w:jc w:val="both"/>
        <w:rPr>
          <w:rFonts w:ascii="Times New Roman" w:hAnsi="Times New Roman" w:cs="Times New Roman"/>
          <w:iCs/>
          <w:color w:val="000000" w:themeColor="text1"/>
          <w:lang w:val="sr-Latn-ME"/>
        </w:rPr>
      </w:pPr>
      <w:r w:rsidRPr="00CC438D">
        <w:rPr>
          <w:rFonts w:ascii="Times New Roman" w:hAnsi="Times New Roman" w:cs="Times New Roman"/>
          <w:iCs/>
          <w:color w:val="000000" w:themeColor="text1"/>
          <w:lang w:val="sr-Latn-ME"/>
        </w:rPr>
        <w:t>INN: paklitaksel</w:t>
      </w:r>
    </w:p>
    <w:p w:rsidR="00CC438D" w:rsidRPr="00CC438D" w:rsidRDefault="00CC438D" w:rsidP="00CC438D">
      <w:pPr>
        <w:spacing w:after="0"/>
        <w:jc w:val="both"/>
        <w:rPr>
          <w:rFonts w:ascii="Times New Roman" w:hAnsi="Times New Roman" w:cs="Times New Roman"/>
          <w:bCs/>
          <w:lang w:val="sv-SE"/>
        </w:rPr>
      </w:pPr>
    </w:p>
    <w:p w:rsidR="00CC438D" w:rsidRPr="00CC438D" w:rsidRDefault="00CC438D" w:rsidP="00CC438D">
      <w:pPr>
        <w:spacing w:after="0"/>
        <w:jc w:val="both"/>
        <w:rPr>
          <w:rFonts w:ascii="Times New Roman" w:hAnsi="Times New Roman" w:cs="Times New Roman"/>
          <w:bCs/>
          <w:lang w:val="sv-SE"/>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2. </w:t>
      </w:r>
      <w:r w:rsidRPr="00CC438D">
        <w:rPr>
          <w:rFonts w:ascii="Times New Roman" w:hAnsi="Times New Roman" w:cs="Times New Roman"/>
          <w:b/>
          <w:bCs/>
        </w:rPr>
        <w:tab/>
        <w:t>KVALITATIVNI I KVANTITATIVNI SASTAV</w:t>
      </w:r>
    </w:p>
    <w:p w:rsidR="00CC438D" w:rsidRPr="00CC438D" w:rsidRDefault="00CC438D" w:rsidP="00CC438D">
      <w:pPr>
        <w:spacing w:after="0"/>
        <w:jc w:val="both"/>
        <w:rPr>
          <w:rFonts w:ascii="Times New Roman" w:hAnsi="Times New Roman" w:cs="Times New Roman"/>
          <w:lang w:val="sr-Latn-CS"/>
        </w:rPr>
      </w:pPr>
    </w:p>
    <w:p w:rsidR="00CC438D" w:rsidRPr="00CC438D" w:rsidRDefault="00CC438D" w:rsidP="00CC438D">
      <w:pPr>
        <w:spacing w:after="0"/>
        <w:jc w:val="both"/>
        <w:rPr>
          <w:rFonts w:ascii="Times New Roman" w:hAnsi="Times New Roman" w:cs="Times New Roman"/>
          <w:lang w:val="sr-Latn-CS"/>
        </w:rPr>
      </w:pPr>
      <w:r w:rsidRPr="00CC438D">
        <w:rPr>
          <w:rFonts w:ascii="Times New Roman" w:hAnsi="Times New Roman" w:cs="Times New Roman"/>
          <w:lang w:val="sr-Latn-CS"/>
        </w:rPr>
        <w:t xml:space="preserve">1 ml koncentrata za rastvor za infuziju sadrži 6 mg paklitaksela. </w:t>
      </w:r>
    </w:p>
    <w:p w:rsidR="00CC438D" w:rsidRPr="00CC438D" w:rsidRDefault="00CC438D" w:rsidP="00CC438D">
      <w:pPr>
        <w:spacing w:after="0"/>
        <w:jc w:val="both"/>
        <w:rPr>
          <w:rFonts w:ascii="Times New Roman" w:hAnsi="Times New Roman" w:cs="Times New Roman"/>
          <w:lang w:val="sr-Latn-CS"/>
        </w:rPr>
      </w:pPr>
    </w:p>
    <w:p w:rsidR="00CC438D" w:rsidRPr="00CC438D" w:rsidRDefault="00CC438D" w:rsidP="00CC438D">
      <w:pPr>
        <w:spacing w:after="0"/>
        <w:jc w:val="both"/>
        <w:rPr>
          <w:rFonts w:ascii="Times New Roman" w:hAnsi="Times New Roman" w:cs="Times New Roman"/>
          <w:lang w:val="sr-Latn-CS"/>
        </w:rPr>
      </w:pPr>
      <w:r w:rsidRPr="00CC438D">
        <w:rPr>
          <w:rFonts w:ascii="Times New Roman" w:hAnsi="Times New Roman" w:cs="Times New Roman"/>
          <w:lang w:val="sr-Latn-CS"/>
        </w:rPr>
        <w:t>Jedna bočica od 5 ml sadrži 30 mg paklitaksela.</w:t>
      </w:r>
    </w:p>
    <w:p w:rsidR="00CC438D" w:rsidRPr="00CC438D" w:rsidRDefault="00CC438D" w:rsidP="00CC438D">
      <w:pPr>
        <w:spacing w:after="0"/>
        <w:jc w:val="both"/>
        <w:rPr>
          <w:rFonts w:ascii="Times New Roman" w:hAnsi="Times New Roman" w:cs="Times New Roman"/>
          <w:lang w:val="sr-Latn-CS"/>
        </w:rPr>
      </w:pPr>
      <w:r w:rsidRPr="00CC438D">
        <w:rPr>
          <w:rFonts w:ascii="Times New Roman" w:hAnsi="Times New Roman" w:cs="Times New Roman"/>
          <w:lang w:val="sr-Latn-CS"/>
        </w:rPr>
        <w:t>Jedna bočica od 16,7 ml sadrži 100 mg paklitaksela.</w:t>
      </w:r>
    </w:p>
    <w:p w:rsidR="00CC438D" w:rsidRPr="00CC438D" w:rsidRDefault="00CC438D" w:rsidP="00CC438D">
      <w:pPr>
        <w:spacing w:after="0"/>
        <w:jc w:val="both"/>
        <w:rPr>
          <w:rFonts w:ascii="Times New Roman" w:hAnsi="Times New Roman" w:cs="Times New Roman"/>
          <w:lang w:val="sr-Latn-CS"/>
        </w:rPr>
      </w:pPr>
    </w:p>
    <w:p w:rsidR="00CC438D" w:rsidRPr="00CC438D" w:rsidRDefault="00CC438D" w:rsidP="00CC438D">
      <w:pPr>
        <w:spacing w:after="0"/>
        <w:jc w:val="both"/>
        <w:rPr>
          <w:rFonts w:ascii="Times New Roman" w:hAnsi="Times New Roman" w:cs="Times New Roman"/>
          <w:lang w:val="sr-Latn-CS"/>
        </w:rPr>
      </w:pPr>
      <w:r w:rsidRPr="00CC438D">
        <w:rPr>
          <w:rFonts w:ascii="Times New Roman" w:hAnsi="Times New Roman" w:cs="Times New Roman"/>
          <w:lang w:val="sr-Latn-CS"/>
        </w:rPr>
        <w:t xml:space="preserve">Pomoćne supstance sa potvrđenim dejstvom: </w:t>
      </w:r>
    </w:p>
    <w:p w:rsidR="00945AD9" w:rsidRPr="00945AD9" w:rsidRDefault="00945AD9" w:rsidP="00945AD9">
      <w:pPr>
        <w:spacing w:after="0"/>
        <w:jc w:val="both"/>
        <w:rPr>
          <w:rFonts w:ascii="Times New Roman" w:hAnsi="Times New Roman" w:cs="Times New Roman"/>
        </w:rPr>
      </w:pPr>
      <w:r w:rsidRPr="00945AD9">
        <w:rPr>
          <w:rFonts w:ascii="Times New Roman" w:hAnsi="Times New Roman" w:cs="Times New Roman"/>
        </w:rPr>
        <w:t>Ricinusovo ulje, polioksil</w:t>
      </w:r>
    </w:p>
    <w:p w:rsidR="00CC438D" w:rsidRDefault="00945AD9" w:rsidP="00945AD9">
      <w:pPr>
        <w:spacing w:after="0"/>
        <w:jc w:val="both"/>
        <w:rPr>
          <w:rFonts w:ascii="Times New Roman" w:hAnsi="Times New Roman" w:cs="Times New Roman"/>
        </w:rPr>
      </w:pPr>
      <w:r w:rsidRPr="00945AD9">
        <w:rPr>
          <w:rFonts w:ascii="Times New Roman" w:hAnsi="Times New Roman" w:cs="Times New Roman"/>
        </w:rPr>
        <w:t>Etanol, bezvodni.</w:t>
      </w:r>
    </w:p>
    <w:p w:rsidR="00945AD9" w:rsidRPr="00CC438D" w:rsidRDefault="00945AD9" w:rsidP="00945AD9">
      <w:pPr>
        <w:spacing w:after="0"/>
        <w:jc w:val="both"/>
        <w:rPr>
          <w:rFonts w:ascii="Times New Roman" w:hAnsi="Times New Roman" w:cs="Times New Roman"/>
          <w:lang w:val="sr-Latn-CS"/>
        </w:rPr>
      </w:pPr>
    </w:p>
    <w:p w:rsidR="00CC438D" w:rsidRPr="00CC438D" w:rsidRDefault="00CC438D" w:rsidP="00CC438D">
      <w:pPr>
        <w:spacing w:after="0"/>
        <w:jc w:val="both"/>
        <w:rPr>
          <w:rFonts w:ascii="Times New Roman" w:hAnsi="Times New Roman" w:cs="Times New Roman"/>
          <w:lang w:val="sr-Latn-CS"/>
        </w:rPr>
      </w:pPr>
      <w:r w:rsidRPr="00CC438D">
        <w:rPr>
          <w:rFonts w:ascii="Times New Roman" w:hAnsi="Times New Roman" w:cs="Times New Roman"/>
          <w:lang w:val="sr-Latn-CS"/>
        </w:rPr>
        <w:t>Za spisak svih ekscipijenasa, pogledati dio 6.1.</w:t>
      </w:r>
    </w:p>
    <w:p w:rsidR="00CC438D" w:rsidRPr="00CC438D" w:rsidRDefault="00CC438D" w:rsidP="00CC438D">
      <w:pPr>
        <w:spacing w:after="0"/>
        <w:jc w:val="both"/>
        <w:rPr>
          <w:rFonts w:ascii="Times New Roman" w:hAnsi="Times New Roman" w:cs="Times New Roman"/>
          <w:lang w:val="sr-Latn-CS"/>
        </w:rPr>
      </w:pPr>
    </w:p>
    <w:p w:rsidR="00CC438D" w:rsidRPr="00CC438D" w:rsidRDefault="00CC438D" w:rsidP="00CC438D">
      <w:pPr>
        <w:spacing w:after="0"/>
        <w:jc w:val="both"/>
        <w:rPr>
          <w:rFonts w:ascii="Times New Roman" w:hAnsi="Times New Roman" w:cs="Times New Roman"/>
          <w:lang w:val="sr-Latn-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3. </w:t>
      </w:r>
      <w:r w:rsidRPr="00CC438D">
        <w:rPr>
          <w:rFonts w:ascii="Times New Roman" w:hAnsi="Times New Roman" w:cs="Times New Roman"/>
          <w:b/>
          <w:bCs/>
        </w:rPr>
        <w:tab/>
        <w:t xml:space="preserve">FARMACEUTSKI OBLIK </w:t>
      </w:r>
    </w:p>
    <w:p w:rsidR="00CC438D" w:rsidRPr="00CC438D" w:rsidRDefault="00CC438D" w:rsidP="00CC438D">
      <w:pPr>
        <w:spacing w:after="0"/>
        <w:jc w:val="both"/>
        <w:rPr>
          <w:rFonts w:ascii="Times New Roman" w:hAnsi="Times New Roman" w:cs="Times New Roman"/>
          <w:bCs/>
          <w:lang w:val="sr-Latn-CS"/>
        </w:rPr>
      </w:pPr>
    </w:p>
    <w:p w:rsidR="00CC438D" w:rsidRPr="00CC438D" w:rsidRDefault="00CC438D" w:rsidP="00CC438D">
      <w:pPr>
        <w:spacing w:after="0"/>
        <w:jc w:val="both"/>
        <w:rPr>
          <w:rFonts w:ascii="Times New Roman" w:hAnsi="Times New Roman" w:cs="Times New Roman"/>
          <w:bCs/>
          <w:lang w:val="sr-Latn-CS"/>
        </w:rPr>
      </w:pPr>
      <w:r w:rsidRPr="00CC438D">
        <w:rPr>
          <w:rFonts w:ascii="Times New Roman" w:hAnsi="Times New Roman" w:cs="Times New Roman"/>
          <w:bCs/>
          <w:lang w:val="sr-Latn-CS"/>
        </w:rPr>
        <w:t>Koncentrat za rastvor za infuziju.</w:t>
      </w:r>
    </w:p>
    <w:p w:rsidR="00CC438D" w:rsidRPr="00CC438D" w:rsidRDefault="00CC438D" w:rsidP="00CC438D">
      <w:pPr>
        <w:spacing w:after="0"/>
        <w:jc w:val="both"/>
        <w:rPr>
          <w:rFonts w:ascii="Times New Roman" w:hAnsi="Times New Roman" w:cs="Times New Roman"/>
          <w:bCs/>
          <w:lang w:val="sr-Latn-CS"/>
        </w:rPr>
      </w:pPr>
    </w:p>
    <w:p w:rsidR="00CC438D" w:rsidRPr="00CC438D" w:rsidRDefault="00CC438D" w:rsidP="00CC438D">
      <w:pPr>
        <w:spacing w:after="0"/>
        <w:jc w:val="both"/>
        <w:rPr>
          <w:rFonts w:ascii="Times New Roman" w:hAnsi="Times New Roman" w:cs="Times New Roman"/>
          <w:bCs/>
          <w:lang w:val="sr-Latn-CS"/>
        </w:rPr>
      </w:pPr>
      <w:r w:rsidRPr="00CC438D">
        <w:rPr>
          <w:rFonts w:ascii="Times New Roman" w:hAnsi="Times New Roman" w:cs="Times New Roman"/>
          <w:bCs/>
          <w:lang w:val="sr-Latn-CS"/>
        </w:rPr>
        <w:t>Bistar, bezbojan do slabo žut rastvor.</w:t>
      </w:r>
    </w:p>
    <w:p w:rsidR="00CC438D" w:rsidRPr="00CC438D" w:rsidRDefault="00CC438D" w:rsidP="00CC438D">
      <w:pPr>
        <w:spacing w:after="0"/>
        <w:jc w:val="both"/>
        <w:rPr>
          <w:rFonts w:ascii="Times New Roman" w:hAnsi="Times New Roman" w:cs="Times New Roman"/>
          <w:bCs/>
          <w:lang w:val="sr-Latn-CS"/>
        </w:rPr>
      </w:pPr>
    </w:p>
    <w:p w:rsidR="00CC438D" w:rsidRPr="00CC438D" w:rsidRDefault="00CC438D" w:rsidP="00CC438D">
      <w:pPr>
        <w:spacing w:after="0"/>
        <w:jc w:val="both"/>
        <w:rPr>
          <w:rFonts w:ascii="Times New Roman" w:hAnsi="Times New Roman" w:cs="Times New Roman"/>
          <w:bCs/>
          <w:lang w:val="sr-Latn-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4. </w:t>
      </w:r>
      <w:r w:rsidRPr="00CC438D">
        <w:rPr>
          <w:rFonts w:ascii="Times New Roman" w:hAnsi="Times New Roman" w:cs="Times New Roman"/>
          <w:b/>
          <w:bCs/>
        </w:rPr>
        <w:tab/>
        <w:t>KLINIČKI PODACI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4.1. </w:t>
      </w:r>
      <w:r w:rsidRPr="00CC438D">
        <w:rPr>
          <w:rFonts w:ascii="Times New Roman" w:hAnsi="Times New Roman" w:cs="Times New Roman"/>
          <w:b/>
          <w:bCs/>
        </w:rPr>
        <w:tab/>
        <w:t>Terapijske indikacije</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Karcinom ovarijuma: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U  prvoj  liniji  hemioterapije karcinoma  ovarijuma,  paklitaksel  je  indikovan  za  liječenje  pacijentkinja  sa uznapredovalim karcinomom ovarijuma ili rezidualnim oboljenjem (&gt; 1cm) poslije incijalne laparotomije, u kombinaciji sa cisplatinom.</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U drugoj liniji hemioterapije karcinoma ovarijuma, paklitaksel je indikovan u terapiji metastatskog karcinoma ovarijuma nakon neuspjele standardne terapije ljekovima koji sadrže platinu.</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Karcinom dojke:</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lastRenderedPageBreak/>
        <w:t xml:space="preserve">Kao adjuvantna terapija, paklitaksel je indikovan za liječenje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nodus–pozitivnim karcinomom dojke nakon prethodne terapije antraciklinom i ciklofosfamidom (AC terapija). Adjuvantna terapija paklitakselom je alternativa produžetku AC terapije.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Paklitaksel je indikovan kao inicijalna terapija lokalno uznapredovanog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metastatskog karcinoma dojke, bilo u kombinaciji sa antraciklinom, kod pacijenata kod kojih je terapija antraciklinom odgovarajuća ili u kombinaciji sa trastuzumabom, kod pacijenata sa prekomjernom ekspresijom HER 2 receptora (na osnovu rezultata imunohistohemijske analize 3+) i kod kojih terapija antraciklinima nije odgovarajuća (vidjeti odjeljke 4.4 i 5.1).</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Kao monoterapija, paklitaksel je indikovan za liječenje metastatskog karcinoma dojke kod </w:t>
      </w:r>
      <w:proofErr w:type="gramStart"/>
      <w:r w:rsidRPr="00CC438D">
        <w:rPr>
          <w:rFonts w:ascii="Times New Roman" w:hAnsi="Times New Roman" w:cs="Times New Roman"/>
          <w:bCs/>
        </w:rPr>
        <w:t>pacijenata  kod</w:t>
      </w:r>
      <w:proofErr w:type="gramEnd"/>
      <w:r w:rsidRPr="00CC438D">
        <w:rPr>
          <w:rFonts w:ascii="Times New Roman" w:hAnsi="Times New Roman" w:cs="Times New Roman"/>
          <w:bCs/>
        </w:rPr>
        <w:t xml:space="preserve"> kojih je standardna terapija antraciklinom bila neuspješna ili kod pacijenata kod kojih terapija antraciklinom ne bi bila odgovarajuća.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Uznapredovali nemikrocelularni karcinom pluća (NSCLC):</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Lijek Paclitaxel Ebewe je, u kombinaciji sa cisplatinom, indikovan za </w:t>
      </w:r>
      <w:proofErr w:type="gramStart"/>
      <w:r w:rsidRPr="00CC438D">
        <w:rPr>
          <w:rFonts w:ascii="Times New Roman" w:hAnsi="Times New Roman" w:cs="Times New Roman"/>
          <w:bCs/>
        </w:rPr>
        <w:t>liječenje  nemikrocelularnog</w:t>
      </w:r>
      <w:proofErr w:type="gramEnd"/>
      <w:r w:rsidRPr="00CC438D">
        <w:rPr>
          <w:rFonts w:ascii="Times New Roman" w:hAnsi="Times New Roman" w:cs="Times New Roman"/>
          <w:bCs/>
        </w:rPr>
        <w:t xml:space="preserve"> karcinoma pluća (NSCLC) kod pacijenata koji nijesu kandidati za potencijalnu kurativnu hiruršku intervenciju i/ili terapiju zračenjem.</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Kapošijev sarkom povezan </w:t>
      </w:r>
      <w:proofErr w:type="gramStart"/>
      <w:r w:rsidRPr="00CC438D">
        <w:rPr>
          <w:rFonts w:ascii="Times New Roman" w:hAnsi="Times New Roman" w:cs="Times New Roman"/>
          <w:b/>
          <w:bCs/>
        </w:rPr>
        <w:t>sa</w:t>
      </w:r>
      <w:proofErr w:type="gramEnd"/>
      <w:r w:rsidRPr="00CC438D">
        <w:rPr>
          <w:rFonts w:ascii="Times New Roman" w:hAnsi="Times New Roman" w:cs="Times New Roman"/>
          <w:b/>
          <w:bCs/>
        </w:rPr>
        <w:t xml:space="preserve"> AIDS-om:</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Paklitaksel je indikovan za liječenje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uznapredovalim Kapošijevim sarkomom (KS) povezanim sa AIDS-om kod kojih prethodna terapija lipozomalnim antraciklinom nije bila uspješna. Ograničeni podaci o efikasnosti podržavaju ovu indikaciju, a pregled relevantnih studija je prikazan u odjeljku 5.1.</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4.2. </w:t>
      </w:r>
      <w:r w:rsidRPr="00CC438D">
        <w:rPr>
          <w:rFonts w:ascii="Times New Roman" w:hAnsi="Times New Roman" w:cs="Times New Roman"/>
          <w:b/>
          <w:bCs/>
        </w:rPr>
        <w:tab/>
        <w:t>Doziranje i način primjene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Premedikacija: Prije primjene paklitaksela kod svih pacijenata neophodna je premedikacija kortikosteroidima, antihistaminicima i H2 antagonistima, u cilju prevencije ozbiljne hipersenzitivne reakcije. Ova premedikacija može biti sačinjena </w:t>
      </w:r>
      <w:proofErr w:type="gramStart"/>
      <w:r w:rsidRPr="00CC438D">
        <w:rPr>
          <w:rFonts w:ascii="Times New Roman" w:hAnsi="Times New Roman" w:cs="Times New Roman"/>
          <w:bCs/>
        </w:rPr>
        <w:t>od</w:t>
      </w:r>
      <w:proofErr w:type="gramEnd"/>
      <w:r w:rsidRPr="00CC438D">
        <w:rPr>
          <w:rFonts w:ascii="Times New Roman" w:hAnsi="Times New Roman" w:cs="Times New Roman"/>
          <w:bCs/>
        </w:rPr>
        <w:t>:</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Tabela 1. Shema premedikacije</w:t>
      </w:r>
    </w:p>
    <w:p w:rsidR="00CC438D" w:rsidRPr="00CC438D" w:rsidRDefault="00CC438D" w:rsidP="00CC438D">
      <w:pPr>
        <w:tabs>
          <w:tab w:val="left" w:pos="540"/>
          <w:tab w:val="left" w:pos="569"/>
        </w:tabs>
        <w:spacing w:after="0"/>
        <w:jc w:val="both"/>
        <w:rPr>
          <w:rFonts w:ascii="Times New Roman" w:hAnsi="Times New Roman" w:cs="Times New Roman"/>
          <w:bCs/>
        </w:rPr>
      </w:pPr>
    </w:p>
    <w:tbl>
      <w:tblPr>
        <w:tblW w:w="0" w:type="auto"/>
        <w:tblInd w:w="229" w:type="dxa"/>
        <w:tblLayout w:type="fixed"/>
        <w:tblCellMar>
          <w:left w:w="0" w:type="dxa"/>
          <w:right w:w="0" w:type="dxa"/>
        </w:tblCellMar>
        <w:tblLook w:val="01E0" w:firstRow="1" w:lastRow="1" w:firstColumn="1" w:lastColumn="1" w:noHBand="0" w:noVBand="0"/>
      </w:tblPr>
      <w:tblGrid>
        <w:gridCol w:w="2606"/>
        <w:gridCol w:w="2971"/>
        <w:gridCol w:w="3062"/>
      </w:tblGrid>
      <w:tr w:rsidR="00CC438D" w:rsidRPr="00CC438D" w:rsidTr="00A51C33">
        <w:trPr>
          <w:trHeight w:hRule="exact" w:val="259"/>
        </w:trPr>
        <w:tc>
          <w:tcPr>
            <w:tcW w:w="2606"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0"/>
              <w:jc w:val="both"/>
              <w:rPr>
                <w:rFonts w:ascii="Times New Roman" w:hAnsi="Times New Roman" w:cs="Times New Roman"/>
              </w:rPr>
            </w:pPr>
            <w:r w:rsidRPr="00CC438D">
              <w:rPr>
                <w:rFonts w:ascii="Times New Roman" w:eastAsia="Calibri" w:hAnsi="Times New Roman" w:cs="Times New Roman"/>
                <w:spacing w:val="-2"/>
              </w:rPr>
              <w:t>Lijek</w:t>
            </w:r>
          </w:p>
        </w:tc>
        <w:tc>
          <w:tcPr>
            <w:tcW w:w="2971"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5"/>
              <w:jc w:val="both"/>
              <w:rPr>
                <w:rFonts w:ascii="Times New Roman" w:hAnsi="Times New Roman" w:cs="Times New Roman"/>
              </w:rPr>
            </w:pPr>
            <w:r w:rsidRPr="00CC438D">
              <w:rPr>
                <w:rFonts w:ascii="Times New Roman" w:eastAsia="Calibri" w:hAnsi="Times New Roman" w:cs="Times New Roman"/>
                <w:spacing w:val="-3"/>
              </w:rPr>
              <w:t>Doza</w:t>
            </w:r>
          </w:p>
        </w:tc>
        <w:tc>
          <w:tcPr>
            <w:tcW w:w="3062"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0"/>
              <w:jc w:val="both"/>
              <w:rPr>
                <w:rFonts w:ascii="Times New Roman" w:hAnsi="Times New Roman" w:cs="Times New Roman"/>
              </w:rPr>
            </w:pPr>
            <w:r w:rsidRPr="00CC438D">
              <w:rPr>
                <w:rFonts w:ascii="Times New Roman" w:eastAsia="Calibri" w:hAnsi="Times New Roman" w:cs="Times New Roman"/>
              </w:rPr>
              <w:t>Primjena prije paklitaksela</w:t>
            </w:r>
          </w:p>
        </w:tc>
      </w:tr>
      <w:tr w:rsidR="00CC438D" w:rsidRPr="00CC438D" w:rsidTr="00A51C33">
        <w:trPr>
          <w:trHeight w:hRule="exact" w:val="1022"/>
        </w:trPr>
        <w:tc>
          <w:tcPr>
            <w:tcW w:w="2606"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9" w:lineRule="exact"/>
              <w:ind w:left="100"/>
              <w:jc w:val="both"/>
              <w:rPr>
                <w:rFonts w:ascii="Times New Roman" w:hAnsi="Times New Roman" w:cs="Times New Roman"/>
              </w:rPr>
            </w:pPr>
            <w:r w:rsidRPr="00CC438D">
              <w:rPr>
                <w:rFonts w:ascii="Times New Roman" w:eastAsia="Calibri" w:hAnsi="Times New Roman" w:cs="Times New Roman"/>
              </w:rPr>
              <w:t>Deksametazon</w:t>
            </w:r>
          </w:p>
        </w:tc>
        <w:tc>
          <w:tcPr>
            <w:tcW w:w="2971"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9" w:lineRule="exact"/>
              <w:ind w:left="105"/>
              <w:jc w:val="both"/>
              <w:rPr>
                <w:rFonts w:ascii="Times New Roman" w:hAnsi="Times New Roman" w:cs="Times New Roman"/>
              </w:rPr>
            </w:pPr>
            <w:r w:rsidRPr="00CC438D">
              <w:rPr>
                <w:rFonts w:ascii="Times New Roman" w:eastAsia="Calibri" w:hAnsi="Times New Roman" w:cs="Times New Roman"/>
              </w:rPr>
              <w:t>20 mg oralno* ili I.V.</w:t>
            </w:r>
            <w:r w:rsidRPr="00CC438D">
              <w:rPr>
                <w:rFonts w:ascii="Times New Roman" w:eastAsia="Calibri" w:hAnsi="Times New Roman" w:cs="Times New Roman"/>
                <w:spacing w:val="-9"/>
              </w:rPr>
              <w:t xml:space="preserve"> </w:t>
            </w:r>
            <w:r w:rsidRPr="00CC438D">
              <w:rPr>
                <w:rFonts w:ascii="Times New Roman" w:eastAsia="Calibri" w:hAnsi="Times New Roman" w:cs="Times New Roman"/>
                <w:vertAlign w:val="superscript"/>
              </w:rPr>
              <w:t>**</w:t>
            </w:r>
          </w:p>
        </w:tc>
        <w:tc>
          <w:tcPr>
            <w:tcW w:w="3062"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before="1" w:after="0" w:line="250" w:lineRule="exact"/>
              <w:ind w:left="100" w:right="1005"/>
              <w:jc w:val="both"/>
              <w:rPr>
                <w:rFonts w:ascii="Times New Roman" w:hAnsi="Times New Roman" w:cs="Times New Roman"/>
              </w:rPr>
            </w:pPr>
            <w:r w:rsidRPr="00CC438D">
              <w:rPr>
                <w:rFonts w:ascii="Times New Roman" w:eastAsia="Calibri" w:hAnsi="Times New Roman" w:cs="Times New Roman"/>
              </w:rPr>
              <w:t>Za oralnu</w:t>
            </w:r>
            <w:r w:rsidRPr="00CC438D">
              <w:rPr>
                <w:rFonts w:ascii="Times New Roman" w:eastAsia="Calibri" w:hAnsi="Times New Roman" w:cs="Times New Roman"/>
                <w:spacing w:val="-5"/>
              </w:rPr>
              <w:t xml:space="preserve"> </w:t>
            </w:r>
            <w:r w:rsidRPr="00CC438D">
              <w:rPr>
                <w:rFonts w:ascii="Times New Roman" w:eastAsia="Calibri" w:hAnsi="Times New Roman" w:cs="Times New Roman"/>
              </w:rPr>
              <w:t>primjenu:</w:t>
            </w:r>
            <w:r w:rsidRPr="00CC438D">
              <w:rPr>
                <w:rFonts w:ascii="Times New Roman" w:eastAsia="Calibri" w:hAnsi="Times New Roman" w:cs="Times New Roman"/>
                <w:spacing w:val="-1"/>
              </w:rPr>
              <w:t xml:space="preserve"> </w:t>
            </w:r>
            <w:r w:rsidRPr="00CC438D">
              <w:rPr>
                <w:rFonts w:ascii="Times New Roman" w:eastAsia="Calibri" w:hAnsi="Times New Roman" w:cs="Times New Roman"/>
              </w:rPr>
              <w:t>približno 12 i 6 sati</w:t>
            </w:r>
            <w:r w:rsidRPr="00CC438D">
              <w:rPr>
                <w:rFonts w:ascii="Times New Roman" w:eastAsia="Calibri" w:hAnsi="Times New Roman" w:cs="Times New Roman"/>
                <w:spacing w:val="-1"/>
              </w:rPr>
              <w:t xml:space="preserve"> </w:t>
            </w:r>
            <w:r w:rsidRPr="00CC438D">
              <w:rPr>
                <w:rFonts w:ascii="Times New Roman" w:eastAsia="Calibri" w:hAnsi="Times New Roman" w:cs="Times New Roman"/>
                <w:spacing w:val="-4"/>
              </w:rPr>
              <w:t>ili</w:t>
            </w:r>
          </w:p>
          <w:p w:rsidR="00CC438D" w:rsidRPr="00CC438D" w:rsidRDefault="00CC438D" w:rsidP="00CC438D">
            <w:pPr>
              <w:widowControl w:val="0"/>
              <w:spacing w:after="0"/>
              <w:ind w:left="100" w:right="17"/>
              <w:jc w:val="both"/>
              <w:rPr>
                <w:rFonts w:ascii="Times New Roman" w:hAnsi="Times New Roman" w:cs="Times New Roman"/>
              </w:rPr>
            </w:pPr>
            <w:r w:rsidRPr="00CC438D">
              <w:rPr>
                <w:rFonts w:ascii="Times New Roman" w:eastAsia="Calibri" w:hAnsi="Times New Roman" w:cs="Times New Roman"/>
              </w:rPr>
              <w:t>kod I.V. približno: 30 do</w:t>
            </w:r>
            <w:r w:rsidRPr="00CC438D">
              <w:rPr>
                <w:rFonts w:ascii="Times New Roman" w:eastAsia="Calibri" w:hAnsi="Times New Roman" w:cs="Times New Roman"/>
                <w:spacing w:val="17"/>
              </w:rPr>
              <w:t xml:space="preserve"> </w:t>
            </w:r>
            <w:r w:rsidRPr="00CC438D">
              <w:rPr>
                <w:rFonts w:ascii="Times New Roman" w:eastAsia="Calibri" w:hAnsi="Times New Roman" w:cs="Times New Roman"/>
              </w:rPr>
              <w:t>60</w:t>
            </w:r>
            <w:r w:rsidRPr="00CC438D">
              <w:rPr>
                <w:rFonts w:ascii="Times New Roman" w:eastAsia="Calibri" w:hAnsi="Times New Roman" w:cs="Times New Roman"/>
                <w:spacing w:val="2"/>
              </w:rPr>
              <w:t xml:space="preserve"> </w:t>
            </w:r>
            <w:r w:rsidRPr="00CC438D">
              <w:rPr>
                <w:rFonts w:ascii="Times New Roman" w:eastAsia="Calibri" w:hAnsi="Times New Roman" w:cs="Times New Roman"/>
                <w:spacing w:val="-2"/>
              </w:rPr>
              <w:t>minuta</w:t>
            </w:r>
          </w:p>
        </w:tc>
      </w:tr>
      <w:tr w:rsidR="00CC438D" w:rsidRPr="00CC438D" w:rsidTr="00A51C33">
        <w:trPr>
          <w:trHeight w:hRule="exact" w:val="264"/>
        </w:trPr>
        <w:tc>
          <w:tcPr>
            <w:tcW w:w="2606"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0"/>
              <w:jc w:val="both"/>
              <w:rPr>
                <w:rFonts w:ascii="Times New Roman" w:hAnsi="Times New Roman" w:cs="Times New Roman"/>
              </w:rPr>
            </w:pPr>
            <w:r w:rsidRPr="00CC438D">
              <w:rPr>
                <w:rFonts w:ascii="Times New Roman" w:eastAsia="Calibri" w:hAnsi="Times New Roman" w:cs="Times New Roman"/>
              </w:rPr>
              <w:t>Difenhidramin</w:t>
            </w:r>
            <w:r w:rsidRPr="00CC438D">
              <w:rPr>
                <w:rFonts w:ascii="Times New Roman" w:eastAsia="Calibri" w:hAnsi="Times New Roman" w:cs="Times New Roman"/>
                <w:vertAlign w:val="superscript"/>
              </w:rPr>
              <w:t>***</w:t>
            </w:r>
          </w:p>
        </w:tc>
        <w:tc>
          <w:tcPr>
            <w:tcW w:w="2971"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5"/>
              <w:jc w:val="both"/>
              <w:rPr>
                <w:rFonts w:ascii="Times New Roman" w:hAnsi="Times New Roman" w:cs="Times New Roman"/>
              </w:rPr>
            </w:pPr>
            <w:r w:rsidRPr="00CC438D">
              <w:rPr>
                <w:rFonts w:ascii="Times New Roman" w:eastAsia="Calibri" w:hAnsi="Times New Roman" w:cs="Times New Roman"/>
              </w:rPr>
              <w:t>50 mg</w:t>
            </w:r>
            <w:r w:rsidRPr="00CC438D">
              <w:rPr>
                <w:rFonts w:ascii="Times New Roman" w:eastAsia="Calibri" w:hAnsi="Times New Roman" w:cs="Times New Roman"/>
                <w:spacing w:val="-9"/>
              </w:rPr>
              <w:t xml:space="preserve"> </w:t>
            </w:r>
            <w:r w:rsidRPr="00CC438D">
              <w:rPr>
                <w:rFonts w:ascii="Times New Roman" w:eastAsia="Calibri" w:hAnsi="Times New Roman" w:cs="Times New Roman"/>
              </w:rPr>
              <w:t>I.V.</w:t>
            </w:r>
          </w:p>
        </w:tc>
        <w:tc>
          <w:tcPr>
            <w:tcW w:w="3062"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0"/>
              <w:jc w:val="both"/>
              <w:rPr>
                <w:rFonts w:ascii="Times New Roman" w:hAnsi="Times New Roman" w:cs="Times New Roman"/>
              </w:rPr>
            </w:pPr>
            <w:r w:rsidRPr="00CC438D">
              <w:rPr>
                <w:rFonts w:ascii="Times New Roman" w:eastAsia="Calibri" w:hAnsi="Times New Roman" w:cs="Times New Roman"/>
              </w:rPr>
              <w:t>30 do 60</w:t>
            </w:r>
            <w:r w:rsidRPr="00CC438D">
              <w:rPr>
                <w:rFonts w:ascii="Times New Roman" w:eastAsia="Calibri" w:hAnsi="Times New Roman" w:cs="Times New Roman"/>
                <w:spacing w:val="-11"/>
              </w:rPr>
              <w:t xml:space="preserve"> </w:t>
            </w:r>
            <w:r w:rsidRPr="00CC438D">
              <w:rPr>
                <w:rFonts w:ascii="Times New Roman" w:eastAsia="Calibri" w:hAnsi="Times New Roman" w:cs="Times New Roman"/>
              </w:rPr>
              <w:t>minuta</w:t>
            </w:r>
          </w:p>
        </w:tc>
      </w:tr>
      <w:tr w:rsidR="00CC438D" w:rsidRPr="00CC438D" w:rsidTr="00A51C33">
        <w:trPr>
          <w:trHeight w:hRule="exact" w:val="518"/>
        </w:trPr>
        <w:tc>
          <w:tcPr>
            <w:tcW w:w="2606"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2" w:lineRule="auto"/>
              <w:ind w:left="100" w:right="1376"/>
              <w:jc w:val="both"/>
              <w:rPr>
                <w:rFonts w:ascii="Times New Roman" w:hAnsi="Times New Roman" w:cs="Times New Roman"/>
              </w:rPr>
            </w:pPr>
            <w:r w:rsidRPr="00CC438D">
              <w:rPr>
                <w:rFonts w:ascii="Times New Roman" w:eastAsia="Calibri" w:hAnsi="Times New Roman" w:cs="Times New Roman"/>
              </w:rPr>
              <w:t>Cimetidin</w:t>
            </w:r>
            <w:r w:rsidRPr="00CC438D">
              <w:rPr>
                <w:rFonts w:ascii="Times New Roman" w:eastAsia="Calibri" w:hAnsi="Times New Roman" w:cs="Times New Roman"/>
                <w:spacing w:val="-5"/>
              </w:rPr>
              <w:t xml:space="preserve"> </w:t>
            </w:r>
            <w:r w:rsidRPr="00CC438D">
              <w:rPr>
                <w:rFonts w:ascii="Times New Roman" w:eastAsia="Calibri" w:hAnsi="Times New Roman" w:cs="Times New Roman"/>
              </w:rPr>
              <w:t>ili</w:t>
            </w:r>
            <w:r w:rsidRPr="00CC438D">
              <w:rPr>
                <w:rFonts w:ascii="Times New Roman" w:eastAsia="Calibri" w:hAnsi="Times New Roman" w:cs="Times New Roman"/>
                <w:spacing w:val="-1"/>
              </w:rPr>
              <w:t xml:space="preserve"> </w:t>
            </w:r>
            <w:r w:rsidRPr="00CC438D">
              <w:rPr>
                <w:rFonts w:ascii="Times New Roman" w:eastAsia="Calibri" w:hAnsi="Times New Roman" w:cs="Times New Roman"/>
              </w:rPr>
              <w:t>ranitidin</w:t>
            </w:r>
          </w:p>
        </w:tc>
        <w:tc>
          <w:tcPr>
            <w:tcW w:w="2971"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5"/>
              <w:jc w:val="both"/>
              <w:rPr>
                <w:rFonts w:ascii="Times New Roman" w:hAnsi="Times New Roman" w:cs="Times New Roman"/>
              </w:rPr>
            </w:pPr>
            <w:r w:rsidRPr="00CC438D">
              <w:rPr>
                <w:rFonts w:ascii="Times New Roman" w:eastAsia="Calibri" w:hAnsi="Times New Roman" w:cs="Times New Roman"/>
              </w:rPr>
              <w:t>300 mg</w:t>
            </w:r>
            <w:r w:rsidRPr="00CC438D">
              <w:rPr>
                <w:rFonts w:ascii="Times New Roman" w:eastAsia="Calibri" w:hAnsi="Times New Roman" w:cs="Times New Roman"/>
                <w:spacing w:val="-7"/>
              </w:rPr>
              <w:t xml:space="preserve"> </w:t>
            </w:r>
            <w:r w:rsidRPr="00CC438D">
              <w:rPr>
                <w:rFonts w:ascii="Times New Roman" w:eastAsia="Calibri" w:hAnsi="Times New Roman" w:cs="Times New Roman"/>
              </w:rPr>
              <w:t>I.V.</w:t>
            </w:r>
          </w:p>
          <w:p w:rsidR="00CC438D" w:rsidRPr="00CC438D" w:rsidRDefault="00CC438D" w:rsidP="00CC438D">
            <w:pPr>
              <w:widowControl w:val="0"/>
              <w:spacing w:before="1" w:after="0"/>
              <w:ind w:left="105"/>
              <w:jc w:val="both"/>
              <w:rPr>
                <w:rFonts w:ascii="Times New Roman" w:hAnsi="Times New Roman" w:cs="Times New Roman"/>
              </w:rPr>
            </w:pPr>
            <w:r w:rsidRPr="00CC438D">
              <w:rPr>
                <w:rFonts w:ascii="Times New Roman" w:eastAsia="Calibri" w:hAnsi="Times New Roman" w:cs="Times New Roman"/>
              </w:rPr>
              <w:t>50 mg</w:t>
            </w:r>
            <w:r w:rsidRPr="00CC438D">
              <w:rPr>
                <w:rFonts w:ascii="Times New Roman" w:eastAsia="Calibri" w:hAnsi="Times New Roman" w:cs="Times New Roman"/>
                <w:spacing w:val="-9"/>
              </w:rPr>
              <w:t xml:space="preserve"> </w:t>
            </w:r>
            <w:r w:rsidRPr="00CC438D">
              <w:rPr>
                <w:rFonts w:ascii="Times New Roman" w:eastAsia="Calibri" w:hAnsi="Times New Roman" w:cs="Times New Roman"/>
              </w:rPr>
              <w:t>I.V.</w:t>
            </w:r>
          </w:p>
        </w:tc>
        <w:tc>
          <w:tcPr>
            <w:tcW w:w="3062" w:type="dxa"/>
            <w:tcBorders>
              <w:top w:val="single" w:sz="4" w:space="0" w:color="000000"/>
              <w:left w:val="single" w:sz="4" w:space="0" w:color="000000"/>
              <w:bottom w:val="single" w:sz="4" w:space="0" w:color="000000"/>
              <w:right w:val="single" w:sz="4" w:space="0" w:color="000000"/>
            </w:tcBorders>
          </w:tcPr>
          <w:p w:rsidR="00CC438D" w:rsidRPr="00CC438D" w:rsidRDefault="00CC438D" w:rsidP="00CC438D">
            <w:pPr>
              <w:widowControl w:val="0"/>
              <w:spacing w:after="0" w:line="244" w:lineRule="exact"/>
              <w:ind w:left="100"/>
              <w:jc w:val="both"/>
              <w:rPr>
                <w:rFonts w:ascii="Times New Roman" w:hAnsi="Times New Roman" w:cs="Times New Roman"/>
              </w:rPr>
            </w:pPr>
            <w:r w:rsidRPr="00CC438D">
              <w:rPr>
                <w:rFonts w:ascii="Times New Roman" w:eastAsia="Calibri" w:hAnsi="Times New Roman" w:cs="Times New Roman"/>
              </w:rPr>
              <w:t>30 do 60</w:t>
            </w:r>
            <w:r w:rsidRPr="00CC438D">
              <w:rPr>
                <w:rFonts w:ascii="Times New Roman" w:eastAsia="Calibri" w:hAnsi="Times New Roman" w:cs="Times New Roman"/>
                <w:spacing w:val="-11"/>
              </w:rPr>
              <w:t xml:space="preserve"> </w:t>
            </w:r>
            <w:r w:rsidRPr="00CC438D">
              <w:rPr>
                <w:rFonts w:ascii="Times New Roman" w:eastAsia="Calibri" w:hAnsi="Times New Roman" w:cs="Times New Roman"/>
              </w:rPr>
              <w:t>minuta</w:t>
            </w:r>
          </w:p>
        </w:tc>
      </w:tr>
    </w:tbl>
    <w:p w:rsidR="00CC438D" w:rsidRPr="00CC438D" w:rsidRDefault="00CC438D" w:rsidP="00CC438D">
      <w:pPr>
        <w:tabs>
          <w:tab w:val="left" w:pos="540"/>
          <w:tab w:val="left" w:pos="569"/>
        </w:tabs>
        <w:spacing w:after="0"/>
        <w:jc w:val="both"/>
        <w:rPr>
          <w:rFonts w:ascii="Times New Roman" w:hAnsi="Times New Roman" w:cs="Times New Roman"/>
          <w:bCs/>
          <w:vertAlign w:val="superscript"/>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vertAlign w:val="superscript"/>
        </w:rPr>
        <w:t>*</w:t>
      </w:r>
      <w:r w:rsidRPr="00CC438D">
        <w:rPr>
          <w:rFonts w:ascii="Times New Roman" w:hAnsi="Times New Roman" w:cs="Times New Roman"/>
          <w:bCs/>
        </w:rPr>
        <w:t xml:space="preserve"> 8-20 mg za pacijente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Kapošijevim sarkomom</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vertAlign w:val="superscript"/>
        </w:rPr>
        <w:t>**</w:t>
      </w:r>
      <w:r w:rsidRPr="00CC438D">
        <w:rPr>
          <w:rFonts w:ascii="Times New Roman" w:hAnsi="Times New Roman" w:cs="Times New Roman"/>
          <w:bCs/>
        </w:rPr>
        <w:t>I.V</w:t>
      </w:r>
      <w:proofErr w:type="gramStart"/>
      <w:r w:rsidRPr="00CC438D">
        <w:rPr>
          <w:rFonts w:ascii="Times New Roman" w:hAnsi="Times New Roman" w:cs="Times New Roman"/>
          <w:bCs/>
        </w:rPr>
        <w:t>.-</w:t>
      </w:r>
      <w:proofErr w:type="gramEnd"/>
      <w:r w:rsidRPr="00CC438D">
        <w:rPr>
          <w:rFonts w:ascii="Times New Roman" w:hAnsi="Times New Roman" w:cs="Times New Roman"/>
          <w:bCs/>
        </w:rPr>
        <w:t xml:space="preserve"> intravenski</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vertAlign w:val="superscript"/>
        </w:rPr>
        <w:t xml:space="preserv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ekvivalentni antihistaminik, npr. </w:t>
      </w:r>
      <w:proofErr w:type="gramStart"/>
      <w:r w:rsidRPr="00CC438D">
        <w:rPr>
          <w:rFonts w:ascii="Times New Roman" w:hAnsi="Times New Roman" w:cs="Times New Roman"/>
          <w:bCs/>
        </w:rPr>
        <w:t>hloramfeniramin</w:t>
      </w:r>
      <w:proofErr w:type="gramEnd"/>
      <w:r w:rsidRPr="00CC438D">
        <w:rPr>
          <w:rFonts w:ascii="Times New Roman" w:hAnsi="Times New Roman" w:cs="Times New Roman"/>
          <w:bCs/>
        </w:rPr>
        <w:t xml:space="preserve"> 10 mg I.V., primijenjen 30-60 min  prije paklitaksela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Paklitaksel treba primijeniti kroz sistemski filter sa mikroporoznom membranom, veličine pora ≤0</w:t>
      </w:r>
      <w:proofErr w:type="gramStart"/>
      <w:r w:rsidRPr="00CC438D">
        <w:rPr>
          <w:rFonts w:ascii="Times New Roman" w:hAnsi="Times New Roman" w:cs="Times New Roman"/>
          <w:bCs/>
        </w:rPr>
        <w:t>,22</w:t>
      </w:r>
      <w:proofErr w:type="gramEnd"/>
      <w:r w:rsidRPr="00CC438D">
        <w:rPr>
          <w:rFonts w:ascii="Times New Roman" w:hAnsi="Times New Roman" w:cs="Times New Roman"/>
          <w:bCs/>
        </w:rPr>
        <w:t xml:space="preserve"> mikrometra.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Zbog moguće ekstravazacije, savjetuje se pažljivo praćenje infuzionog mjesta zbog moguće infiltracije tokom davanja lijeka.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lastRenderedPageBreak/>
        <w:t>Prva linija hemioterapije za liječenje karcinoma ovarijuma:</w:t>
      </w:r>
      <w:r w:rsidRPr="00CC438D">
        <w:rPr>
          <w:rFonts w:ascii="Times New Roman" w:hAnsi="Times New Roman" w:cs="Times New Roman"/>
          <w:bCs/>
        </w:rPr>
        <w:t xml:space="preserve"> Iako se ispituju i drugi režimi doziranja, preporučuje se kombinovani režim doziranja paklitaksela i cisplatina.</w:t>
      </w: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Prema trajanju infuzije, preporučuju se dva dozna režima paklitaksela: paklitaksel 175 mg/m</w:t>
      </w:r>
      <w:r w:rsidRPr="00CC438D">
        <w:rPr>
          <w:rFonts w:ascii="Times New Roman" w:hAnsi="Times New Roman" w:cs="Times New Roman"/>
          <w:bCs/>
          <w:vertAlign w:val="superscript"/>
        </w:rPr>
        <w:t>2</w:t>
      </w:r>
      <w:r w:rsidRPr="00CC438D">
        <w:rPr>
          <w:rFonts w:ascii="Times New Roman" w:hAnsi="Times New Roman" w:cs="Times New Roman"/>
          <w:bCs/>
        </w:rPr>
        <w:t xml:space="preserve"> koji se daje intravenski u trajanju od 3 sata, nakon čega se daje cisplatin u dozi od 75 mg/m</w:t>
      </w:r>
      <w:r w:rsidRPr="00CC438D">
        <w:rPr>
          <w:rFonts w:ascii="Times New Roman" w:hAnsi="Times New Roman" w:cs="Times New Roman"/>
          <w:bCs/>
          <w:vertAlign w:val="superscript"/>
        </w:rPr>
        <w:t xml:space="preserve">2 </w:t>
      </w:r>
      <w:r w:rsidRPr="00CC438D">
        <w:rPr>
          <w:rFonts w:ascii="Times New Roman" w:hAnsi="Times New Roman" w:cs="Times New Roman"/>
          <w:bCs/>
        </w:rPr>
        <w:t>i terapija se ponavlja svake treće nedjelje, ili paklitaksel od 135 mg/m², koji se daje infuzijom u trajanju od 24 sata, nakon čega se primjenjuje cisplatin u dozi od 75 mg/m², sa pauzom od tri nedjelje između ciklusa (vidjeti odjeljak 5.1).</w:t>
      </w:r>
      <w:proofErr w:type="gramEnd"/>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Druga linija hemioterapije karcinoma ovarijuma:</w:t>
      </w:r>
      <w:r w:rsidRPr="00CC438D">
        <w:rPr>
          <w:rFonts w:ascii="Times New Roman" w:hAnsi="Times New Roman" w:cs="Times New Roman"/>
          <w:bCs/>
        </w:rPr>
        <w:t xml:space="preserve"> Preporučena doza paklitaksela je 175 mg/m² koja se daje u trajanju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3 sata, sa pauzom od tri nedjelje između ciklusa.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Adjuvantna hemioterapija karcinoma dojke:</w:t>
      </w:r>
      <w:r w:rsidRPr="00CC438D">
        <w:rPr>
          <w:rFonts w:ascii="Times New Roman" w:hAnsi="Times New Roman" w:cs="Times New Roman"/>
          <w:bCs/>
        </w:rPr>
        <w:t xml:space="preserve"> Preporučena doza paklitaksela je 175 mg/m² putem infuzije utrajanju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3 sata, svake treće nedjelje tokom četiri ciklusa, nakon AC terapije.</w:t>
      </w:r>
    </w:p>
    <w:p w:rsid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Prva linija hemioterapije karcinoma dojke:</w:t>
      </w:r>
      <w:r w:rsidRPr="00CC438D">
        <w:rPr>
          <w:rFonts w:ascii="Times New Roman" w:hAnsi="Times New Roman" w:cs="Times New Roman"/>
          <w:bCs/>
        </w:rPr>
        <w:t xml:space="preserve"> Kada se koristi u kombinaciji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doksorubicinom (50 mg/m²), paklitaksel treba primijeniti 24 sata nakon doksorubicina. Preporučena doza paklitaksela je 220 mg/m² koja se daje intravenski u trajanju od 3 sata, sa pauzom između ciklusa terapije od tri nedjelje (vidjeti odjeljke 4.5 i 5.1).</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Kada se primjenjuje u kombinaciji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trastuzumabom, preporučena doza paklitaksela je 175 mg/m² koja se primjenjuje intravenski u trajanju od 3 sata, sa pauzom od tri nedjelje između ciklusa. Infuzija paklitaksela može se započeti jedan dan poslije prve doze trastuzumaba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neposredno poslije primjene narednih doza trastuzumaba ukoliko je pacijent prethodnu dozu dobro podnio.</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Druga linija hemoterapije karcinoma dojke:</w:t>
      </w:r>
      <w:r w:rsidRPr="00CC438D">
        <w:rPr>
          <w:rFonts w:ascii="Times New Roman" w:hAnsi="Times New Roman" w:cs="Times New Roman"/>
          <w:bCs/>
        </w:rPr>
        <w:t xml:space="preserve"> Preporučena doza paklitaksela je 175 mg/m² koja se primjenjuje u trajanju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3 sata, sa pauzom od tri nedjelje između ciklusa.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Terapija uzapredovalog nemikrocelularnog karcinoma pluća (NSCLC):</w:t>
      </w:r>
      <w:r w:rsidRPr="00CC438D">
        <w:rPr>
          <w:rFonts w:ascii="Times New Roman" w:hAnsi="Times New Roman" w:cs="Times New Roman"/>
          <w:bCs/>
        </w:rPr>
        <w:t xml:space="preserve"> Preporučena doza paklitaksela je 175 mg/m² koja se primjenjuje u trajanju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3 sata, nakon čega se primjenjuje cisplatin 80 mg/m², sa pauzom od tri nedjelje između ciklusa.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 xml:space="preserve">Terapija Kapošijevog sarkoma povezanog </w:t>
      </w:r>
      <w:proofErr w:type="gramStart"/>
      <w:r w:rsidRPr="00CC438D">
        <w:rPr>
          <w:rFonts w:ascii="Times New Roman" w:hAnsi="Times New Roman" w:cs="Times New Roman"/>
          <w:b/>
          <w:bCs/>
        </w:rPr>
        <w:t>sa</w:t>
      </w:r>
      <w:proofErr w:type="gramEnd"/>
      <w:r w:rsidRPr="00CC438D">
        <w:rPr>
          <w:rFonts w:ascii="Times New Roman" w:hAnsi="Times New Roman" w:cs="Times New Roman"/>
          <w:b/>
          <w:bCs/>
        </w:rPr>
        <w:t xml:space="preserve"> AIDS-om:</w:t>
      </w:r>
      <w:r w:rsidRPr="00CC438D">
        <w:rPr>
          <w:rFonts w:ascii="Times New Roman" w:hAnsi="Times New Roman" w:cs="Times New Roman"/>
          <w:bCs/>
        </w:rPr>
        <w:t xml:space="preserve"> Preporučena doza paklitaksela je 100mg/m² koja se primjenjuje intravenskom infuzijom tokom 3 sata svake dve nedelje.</w:t>
      </w:r>
    </w:p>
    <w:p w:rsid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 </w:t>
      </w:r>
    </w:p>
    <w:p w:rsidR="00CC438D" w:rsidRPr="00CC438D" w:rsidRDefault="00CC438D" w:rsidP="00CC438D">
      <w:pPr>
        <w:tabs>
          <w:tab w:val="left" w:pos="540"/>
          <w:tab w:val="left" w:pos="569"/>
        </w:tabs>
        <w:spacing w:after="0"/>
        <w:jc w:val="both"/>
        <w:rPr>
          <w:rFonts w:ascii="Times New Roman" w:hAnsi="Times New Roman" w:cs="Times New Roman"/>
          <w:bCs/>
        </w:rPr>
      </w:pPr>
    </w:p>
    <w:p w:rsidR="00075BC5" w:rsidRDefault="00075BC5"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Prilagođavanje doze:</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Naredne doze paklitaksela treba da se primjenjuju u zavisnosti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individualne tolerancije pacijenta. Ponovna primjena paklitaksela se ne preporučuje sve dok broj neutrofila ne bude ≥ 1,5x10</w:t>
      </w:r>
      <w:r w:rsidRPr="00CC438D">
        <w:rPr>
          <w:rFonts w:ascii="Times New Roman" w:hAnsi="Times New Roman" w:cs="Times New Roman"/>
          <w:bCs/>
          <w:vertAlign w:val="superscript"/>
        </w:rPr>
        <w:t>9</w:t>
      </w:r>
      <w:r w:rsidRPr="00CC438D">
        <w:rPr>
          <w:rFonts w:ascii="Times New Roman" w:hAnsi="Times New Roman" w:cs="Times New Roman"/>
          <w:bCs/>
        </w:rPr>
        <w:t xml:space="preserve"> /l (≥1x10</w:t>
      </w:r>
      <w:r w:rsidRPr="00CC438D">
        <w:rPr>
          <w:rFonts w:ascii="Times New Roman" w:hAnsi="Times New Roman" w:cs="Times New Roman"/>
          <w:bCs/>
          <w:vertAlign w:val="superscript"/>
        </w:rPr>
        <w:t>9</w:t>
      </w:r>
      <w:r w:rsidRPr="00CC438D">
        <w:rPr>
          <w:rFonts w:ascii="Times New Roman" w:hAnsi="Times New Roman" w:cs="Times New Roman"/>
          <w:bCs/>
        </w:rPr>
        <w:t xml:space="preserve">/l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Kapošijevim sarkomom) i dok broj trombocita ne bude ≥ 100x10</w:t>
      </w:r>
      <w:r w:rsidRPr="00CC438D">
        <w:rPr>
          <w:rFonts w:ascii="Times New Roman" w:hAnsi="Times New Roman" w:cs="Times New Roman"/>
          <w:bCs/>
          <w:vertAlign w:val="superscript"/>
        </w:rPr>
        <w:t>9</w:t>
      </w:r>
      <w:r w:rsidRPr="00CC438D">
        <w:rPr>
          <w:rFonts w:ascii="Times New Roman" w:hAnsi="Times New Roman" w:cs="Times New Roman"/>
          <w:bCs/>
        </w:rPr>
        <w:t xml:space="preserve"> /l (≥75x10</w:t>
      </w:r>
      <w:r w:rsidRPr="00CC438D">
        <w:rPr>
          <w:rFonts w:ascii="Times New Roman" w:hAnsi="Times New Roman" w:cs="Times New Roman"/>
          <w:bCs/>
          <w:vertAlign w:val="superscript"/>
        </w:rPr>
        <w:t>9</w:t>
      </w:r>
      <w:r w:rsidRPr="00CC438D">
        <w:rPr>
          <w:rFonts w:ascii="Times New Roman" w:hAnsi="Times New Roman" w:cs="Times New Roman"/>
          <w:bCs/>
        </w:rPr>
        <w:t>/l kod pacijenata sa Kapošijevim sarkomom).</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Pacijenti koji imaju tešku neutropeniju (broj neutrofila &lt; 0,5x10</w:t>
      </w:r>
      <w:r w:rsidRPr="00CC438D">
        <w:rPr>
          <w:rFonts w:ascii="Times New Roman" w:hAnsi="Times New Roman" w:cs="Times New Roman"/>
          <w:bCs/>
          <w:vertAlign w:val="superscript"/>
        </w:rPr>
        <w:t>9</w:t>
      </w:r>
      <w:r w:rsidRPr="00CC438D">
        <w:rPr>
          <w:rFonts w:ascii="Times New Roman" w:hAnsi="Times New Roman" w:cs="Times New Roman"/>
          <w:bCs/>
        </w:rPr>
        <w:t>/l tokom ≥ 7 dana) ili tešku perifernu neuropatiju  treba  da  prime  20%  manju  dozu  u  narednim  ciklusima  terapije  (25%  za  pacijenate    sa Kapošijevim sarkomom) (vidjeti odjeljak 4.4).</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Pacijenti </w:t>
      </w:r>
      <w:proofErr w:type="gramStart"/>
      <w:r w:rsidRPr="00CC438D">
        <w:rPr>
          <w:rFonts w:ascii="Times New Roman" w:hAnsi="Times New Roman" w:cs="Times New Roman"/>
          <w:b/>
          <w:bCs/>
        </w:rPr>
        <w:t>sa</w:t>
      </w:r>
      <w:proofErr w:type="gramEnd"/>
      <w:r w:rsidRPr="00CC438D">
        <w:rPr>
          <w:rFonts w:ascii="Times New Roman" w:hAnsi="Times New Roman" w:cs="Times New Roman"/>
          <w:b/>
          <w:bCs/>
        </w:rPr>
        <w:t xml:space="preserve"> oštećenjem jetre:</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Nema adekvatnih podataka o prilagođavanju doze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blagim do umjerenim oštećenjem jetre (vidjeti odjeljak 4.4 i 5.2). Paklitaksel ne treba primjenjivati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teškim oštećenjem jetre.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Pedijatrijski pacijenti:</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Primjena paklitaksela se ne preporučuje kod djece mlađe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18 godina zbog nedostatka podataka o efikasnosti i bezbjednosti.</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4.3. </w:t>
      </w:r>
      <w:r w:rsidRPr="00CC438D">
        <w:rPr>
          <w:rFonts w:ascii="Times New Roman" w:hAnsi="Times New Roman" w:cs="Times New Roman"/>
          <w:b/>
          <w:bCs/>
        </w:rPr>
        <w:tab/>
        <w:t>Kontraindikacije</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Lijek Paclitaxel Ebewe je kontraindikovan kod pacijenata koji ispoljavaju teške reakcije preosjetljivosti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paklitaksel, makrogolglicerol ricinoleat (polioksilno ricinusovo ulje) (vidjeti odjeljak 4.4) ili na bilo koju pomoćnu supstancu navedenu u odjeljku 6.1.</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Primjena lijeka Paclitaxel </w:t>
      </w:r>
      <w:proofErr w:type="gramStart"/>
      <w:r w:rsidRPr="00CC438D">
        <w:rPr>
          <w:rFonts w:ascii="Times New Roman" w:hAnsi="Times New Roman" w:cs="Times New Roman"/>
          <w:bCs/>
        </w:rPr>
        <w:t>Ebewe  je</w:t>
      </w:r>
      <w:proofErr w:type="gramEnd"/>
      <w:r w:rsidRPr="00CC438D">
        <w:rPr>
          <w:rFonts w:ascii="Times New Roman" w:hAnsi="Times New Roman" w:cs="Times New Roman"/>
          <w:bCs/>
        </w:rPr>
        <w:t xml:space="preserve"> kontraindikovana tokom dojenja (vidjeti odjeljak 4.6).</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Paklitaksel se ne smije primjenjivati kod pacijenata čiji je broj neutrofila prije početka terapije &lt; 1</w:t>
      </w:r>
      <w:proofErr w:type="gramStart"/>
      <w:r w:rsidRPr="00CC438D">
        <w:rPr>
          <w:rFonts w:ascii="Times New Roman" w:hAnsi="Times New Roman" w:cs="Times New Roman"/>
          <w:bCs/>
        </w:rPr>
        <w:t>,5</w:t>
      </w:r>
      <w:proofErr w:type="gramEnd"/>
      <w:r w:rsidRPr="00CC438D">
        <w:rPr>
          <w:rFonts w:ascii="Times New Roman" w:hAnsi="Times New Roman" w:cs="Times New Roman"/>
          <w:bCs/>
        </w:rPr>
        <w:t xml:space="preserve"> x 10</w:t>
      </w:r>
      <w:r w:rsidRPr="00CC438D">
        <w:rPr>
          <w:rFonts w:ascii="Times New Roman" w:hAnsi="Times New Roman" w:cs="Times New Roman"/>
          <w:bCs/>
          <w:vertAlign w:val="superscript"/>
        </w:rPr>
        <w:t>9</w:t>
      </w:r>
      <w:r w:rsidRPr="00CC438D">
        <w:rPr>
          <w:rFonts w:ascii="Times New Roman" w:hAnsi="Times New Roman" w:cs="Times New Roman"/>
          <w:bCs/>
        </w:rPr>
        <w:t>/l (&lt; 1x 10</w:t>
      </w:r>
      <w:r w:rsidRPr="00CC438D">
        <w:rPr>
          <w:rFonts w:ascii="Times New Roman" w:hAnsi="Times New Roman" w:cs="Times New Roman"/>
          <w:bCs/>
          <w:vertAlign w:val="superscript"/>
        </w:rPr>
        <w:t>9</w:t>
      </w:r>
      <w:r w:rsidRPr="00CC438D">
        <w:rPr>
          <w:rFonts w:ascii="Times New Roman" w:hAnsi="Times New Roman" w:cs="Times New Roman"/>
          <w:bCs/>
        </w:rPr>
        <w:t>/l kod pacijenata sa Kapošijevim sarkomom) ili broj trombocita &lt;100 x 10</w:t>
      </w:r>
      <w:r w:rsidRPr="00CC438D">
        <w:rPr>
          <w:rFonts w:ascii="Times New Roman" w:hAnsi="Times New Roman" w:cs="Times New Roman"/>
          <w:bCs/>
          <w:vertAlign w:val="superscript"/>
        </w:rPr>
        <w:t>9</w:t>
      </w:r>
      <w:r w:rsidRPr="00CC438D">
        <w:rPr>
          <w:rFonts w:ascii="Times New Roman" w:hAnsi="Times New Roman" w:cs="Times New Roman"/>
          <w:bCs/>
        </w:rPr>
        <w:t>/l (&lt;75 x 10</w:t>
      </w:r>
      <w:r w:rsidRPr="00CC438D">
        <w:rPr>
          <w:rFonts w:ascii="Times New Roman" w:hAnsi="Times New Roman" w:cs="Times New Roman"/>
          <w:bCs/>
          <w:vertAlign w:val="superscript"/>
        </w:rPr>
        <w:t>9</w:t>
      </w:r>
      <w:r w:rsidRPr="00CC438D">
        <w:rPr>
          <w:rFonts w:ascii="Times New Roman" w:hAnsi="Times New Roman" w:cs="Times New Roman"/>
          <w:bCs/>
        </w:rPr>
        <w:t>/l kod pacijenata sa Kapošijevim sarkomom).</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Kapošijevim sarkomom, sa istovremeno prisutnim teškim, nekontrolisanim infekcijama lijek Paclitaxel Ebewe je takođe kontraindikovan.</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Paklitaksel ne treba primjenjivati kod pacijentata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teškim oštećenjem jetre.</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4.4. </w:t>
      </w:r>
      <w:r w:rsidRPr="00CC438D">
        <w:rPr>
          <w:rFonts w:ascii="Times New Roman" w:hAnsi="Times New Roman" w:cs="Times New Roman"/>
          <w:b/>
          <w:bCs/>
        </w:rPr>
        <w:tab/>
        <w:t>Posebna upozorenja i mjere opreza pri upotrebi lijeka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Lijek Paclitaxel Ebewe treba primjenjivati pod nadzorom ljekara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iskustvom u primjeni citostatika. Pošto se mogu javiti značajne reakcije preosjetljivosti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lijek, treba da bude dostupna i odgovarajuća oprema za reagovanje u tim situacijama.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Zbog moguće ekstravazacije, savjetuje se pažljivo praćenje mjesta primjene infuzije </w:t>
      </w:r>
      <w:proofErr w:type="gramStart"/>
      <w:r w:rsidRPr="00CC438D">
        <w:rPr>
          <w:rFonts w:ascii="Times New Roman" w:hAnsi="Times New Roman" w:cs="Times New Roman"/>
          <w:bCs/>
        </w:rPr>
        <w:t>zbog  moguće</w:t>
      </w:r>
      <w:proofErr w:type="gramEnd"/>
      <w:r w:rsidRPr="00CC438D">
        <w:rPr>
          <w:rFonts w:ascii="Times New Roman" w:hAnsi="Times New Roman" w:cs="Times New Roman"/>
          <w:bCs/>
        </w:rPr>
        <w:t xml:space="preserve"> infiltracije tokom davanja lijeka.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 </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Prije upotrebe paklitaksela kod svih pacijenata mora da se sprovede premedikacija kortikosteroidima, antihistaminicima i H2-receptor antagonistima (vidjeti odjeljak 4.2). Paklitaksel treba primijeniti prije cisplatina kada se koristi u kombinovanoj terapiji (vidjeti odjeljak 4.5).</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 xml:space="preserve">Značajne reakcije preosjetljivosti </w:t>
      </w:r>
      <w:proofErr w:type="gramStart"/>
      <w:r w:rsidRPr="00CC438D">
        <w:rPr>
          <w:rFonts w:ascii="Times New Roman" w:hAnsi="Times New Roman" w:cs="Times New Roman"/>
          <w:b/>
          <w:bCs/>
        </w:rPr>
        <w:t>na</w:t>
      </w:r>
      <w:proofErr w:type="gramEnd"/>
      <w:r w:rsidRPr="00CC438D">
        <w:rPr>
          <w:rFonts w:ascii="Times New Roman" w:hAnsi="Times New Roman" w:cs="Times New Roman"/>
          <w:b/>
          <w:bCs/>
        </w:rPr>
        <w:t xml:space="preserve"> lijek</w:t>
      </w:r>
      <w:r w:rsidRPr="00CC438D">
        <w:rPr>
          <w:rFonts w:ascii="Times New Roman" w:hAnsi="Times New Roman" w:cs="Times New Roman"/>
          <w:bCs/>
        </w:rPr>
        <w:t xml:space="preserve">, koje se karakterišu dispneom i hipotenzijom koje zahtijevaju liječenje, angioedemom i generalizovanom urtikarijom, javile su se kod &lt; 1% pacijenata koji su primali paklitaksel nakon odgovarajuće premedikacije. Do ovih reakcija vjerovatno je došlo posredstvom histamina. U slučaju teških reakcija preosjetljivosti, infuziju paklitaksela treba odmah prekinuti, započeti simptomatsku terapiju, a pacijentu ne treba ponovo davati lijek. Makrogolglicerol ricinoleat (polioksilno ricinusovo ulje), pomoćna supstanca </w:t>
      </w:r>
      <w:proofErr w:type="gramStart"/>
      <w:r w:rsidRPr="00CC438D">
        <w:rPr>
          <w:rFonts w:ascii="Times New Roman" w:hAnsi="Times New Roman" w:cs="Times New Roman"/>
          <w:bCs/>
        </w:rPr>
        <w:t>u  lijeku</w:t>
      </w:r>
      <w:proofErr w:type="gramEnd"/>
      <w:r w:rsidRPr="00CC438D">
        <w:rPr>
          <w:rFonts w:ascii="Times New Roman" w:hAnsi="Times New Roman" w:cs="Times New Roman"/>
          <w:bCs/>
        </w:rPr>
        <w:t xml:space="preserve"> Paclitaxel Ebewe, može da izazove navedene reakcije.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Supresija koštane srži</w:t>
      </w:r>
      <w:r w:rsidRPr="00CC438D">
        <w:rPr>
          <w:rFonts w:ascii="Times New Roman" w:hAnsi="Times New Roman" w:cs="Times New Roman"/>
          <w:bCs/>
        </w:rPr>
        <w:t xml:space="preserve">, primarno neutropenija, predstavlja dozno zavisan toksični efekat. Tokom primjene treba često pratiti krvnu sliku pacijenta. Kod pacijenata ne treba ponovo započinjati primjenu lijeka Paclitaxel Ebewe sve dok se broj neutrofila ne vrati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 1,5x10</w:t>
      </w:r>
      <w:r w:rsidRPr="00CC438D">
        <w:rPr>
          <w:rFonts w:ascii="Times New Roman" w:hAnsi="Times New Roman" w:cs="Times New Roman"/>
          <w:bCs/>
          <w:vertAlign w:val="superscript"/>
        </w:rPr>
        <w:t>9</w:t>
      </w:r>
      <w:r w:rsidRPr="00CC438D">
        <w:rPr>
          <w:rFonts w:ascii="Times New Roman" w:hAnsi="Times New Roman" w:cs="Times New Roman"/>
          <w:bCs/>
        </w:rPr>
        <w:t>/l (≥ 1,0x10</w:t>
      </w:r>
      <w:r w:rsidRPr="00CC438D">
        <w:rPr>
          <w:rFonts w:ascii="Times New Roman" w:hAnsi="Times New Roman" w:cs="Times New Roman"/>
          <w:bCs/>
          <w:vertAlign w:val="superscript"/>
        </w:rPr>
        <w:t>9</w:t>
      </w:r>
      <w:r w:rsidRPr="00CC438D">
        <w:rPr>
          <w:rFonts w:ascii="Times New Roman" w:hAnsi="Times New Roman" w:cs="Times New Roman"/>
          <w:bCs/>
        </w:rPr>
        <w:t>/l kod pacijenata sa Kapošijevim sarkomom) i dok se broj trombocita ne vrati na ≥ 100x10</w:t>
      </w:r>
      <w:r w:rsidRPr="00CC438D">
        <w:rPr>
          <w:rFonts w:ascii="Times New Roman" w:hAnsi="Times New Roman" w:cs="Times New Roman"/>
          <w:bCs/>
          <w:vertAlign w:val="superscript"/>
        </w:rPr>
        <w:t>9</w:t>
      </w:r>
      <w:r w:rsidRPr="00CC438D">
        <w:rPr>
          <w:rFonts w:ascii="Times New Roman" w:hAnsi="Times New Roman" w:cs="Times New Roman"/>
          <w:bCs/>
        </w:rPr>
        <w:t>/l (≥ 75x10</w:t>
      </w:r>
      <w:r w:rsidRPr="00CC438D">
        <w:rPr>
          <w:rFonts w:ascii="Times New Roman" w:hAnsi="Times New Roman" w:cs="Times New Roman"/>
          <w:bCs/>
          <w:vertAlign w:val="superscript"/>
        </w:rPr>
        <w:t>9</w:t>
      </w:r>
      <w:r w:rsidRPr="00CC438D">
        <w:rPr>
          <w:rFonts w:ascii="Times New Roman" w:hAnsi="Times New Roman" w:cs="Times New Roman"/>
          <w:bCs/>
        </w:rPr>
        <w:t xml:space="preserve">/l kod pacijenata sa Kapošijevim sarkomom). U kliničkim studijama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Kapošijevim sarkomom, većina pacijenata je primala faktor stimulacije granulocitne loze (G-CSF).</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lastRenderedPageBreak/>
        <w:t>Teški poremećaji u srčanoj sprovodljivosti</w:t>
      </w:r>
      <w:r w:rsidRPr="00CC438D">
        <w:rPr>
          <w:rFonts w:ascii="Times New Roman" w:hAnsi="Times New Roman" w:cs="Times New Roman"/>
          <w:bCs/>
        </w:rPr>
        <w:t xml:space="preserve"> zabilježeni su rijetko kada se paklitaksel primjenjuje samostalno. Ukoliko se kod pacijenta razvije značajni poremećaj u sprovodljivosti srca u toku primjene paklitaksela, treba primijeniti odgovarajuću terapiju i neprekidno pratiti rad srca tokom dalje primjene paklitaksela.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Tokom primjene paklitaksela, uočene su hipotenzija, hipertenzija i bradikardija, koje su često asimptomatske i uglavnom ne zahtijevaju liječenje. Preporučuje se često praćenje vitalnih znakova, posebno tokom prvog sata primjene infuzije paklitaksela. Teški kardiovaskularni događaji uočeni su češće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nemikrocelularnim karcinomom pluća (NSCLC) nego kod pacijenata sa karcinomom dojke ili jajnika. Samo jedan slučaj srčane insuficijencije je zabilježen kao posljedica davanja paklitaksela u AIDS- KS kliničkoj studiji.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Kada se paklitaksel primjenjuje u kombinovanoj terapiji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doksorubicinom ili trastuzumabom u inicijalnoj terapiji metastatskog karcinoma dojke, treba obratiti pažnju na praćenje funkcija srca. Kod kandidata za terapiju paklitakselom u navedenim kombinovanim terapijama, prije početka terapije mora se izvršiti kardiološki pregled, uključujući anamnezu, fizikalni pregled, elektrokardiogram (EKG), ehokardiogram, i/ili MUGA scan (</w:t>
      </w:r>
      <w:r w:rsidRPr="00CC438D">
        <w:rPr>
          <w:rFonts w:ascii="Times New Roman" w:hAnsi="Times New Roman" w:cs="Times New Roman"/>
          <w:bCs/>
          <w:i/>
        </w:rPr>
        <w:t>Multiple Gated Acquisition scan</w:t>
      </w:r>
      <w:r w:rsidRPr="00CC438D">
        <w:rPr>
          <w:rFonts w:ascii="Times New Roman" w:hAnsi="Times New Roman" w:cs="Times New Roman"/>
          <w:bCs/>
        </w:rPr>
        <w:t xml:space="preserve">). Srčanu funkciju treba dalje pratiti tokom terapije (npr. svaka tri mjeseca). Praćenje može pomoći da se pravovremeno otkriju pacijenti kod kojih je nastala srčana disfunkcija. Ordinirajući </w:t>
      </w:r>
      <w:proofErr w:type="gramStart"/>
      <w:r w:rsidRPr="00CC438D">
        <w:rPr>
          <w:rFonts w:ascii="Times New Roman" w:hAnsi="Times New Roman" w:cs="Times New Roman"/>
          <w:bCs/>
        </w:rPr>
        <w:t>ljekar  na</w:t>
      </w:r>
      <w:proofErr w:type="gramEnd"/>
      <w:r w:rsidRPr="00CC438D">
        <w:rPr>
          <w:rFonts w:ascii="Times New Roman" w:hAnsi="Times New Roman" w:cs="Times New Roman"/>
          <w:bCs/>
        </w:rPr>
        <w:t xml:space="preserve"> osnovu pažljive procjene kumulativne doze primljenog (mg/m</w:t>
      </w:r>
      <w:r w:rsidRPr="00CC438D">
        <w:rPr>
          <w:rFonts w:ascii="Times New Roman" w:hAnsi="Times New Roman" w:cs="Times New Roman"/>
          <w:bCs/>
          <w:vertAlign w:val="superscript"/>
        </w:rPr>
        <w:t>2</w:t>
      </w:r>
      <w:r w:rsidRPr="00CC438D">
        <w:rPr>
          <w:rFonts w:ascii="Times New Roman" w:hAnsi="Times New Roman" w:cs="Times New Roman"/>
          <w:bCs/>
        </w:rPr>
        <w:t xml:space="preserve">) antraciklina, donosi odluku o učestalosti procjene ventrikularne funkcije.  Kada testovi  pokazuju  pogoršanje  srčane  funkcije,  čak  iako  je  to  pogoršanje  asimptomatsko,  ljekar  mora pažljivo da razmotri kliničku korist dalje terapije u odnosu na mogući rizik od oštećenja srca uključujući i mogućnost ireverzibilnog oštećenja. Ukoliko se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terapijom nastavlja, kontrola srčane funkcije treba da bude češće (npr. na svaka 1-2 ciklusa). Za detaljnije informacije pogledati Sažetke karakteristika lijeka za trastuzumab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doksorubicina.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Periferna neuropatija:</w:t>
      </w:r>
      <w:r w:rsidRPr="00CC438D">
        <w:rPr>
          <w:rFonts w:ascii="Times New Roman" w:hAnsi="Times New Roman" w:cs="Times New Roman"/>
          <w:bCs/>
        </w:rPr>
        <w:t xml:space="preserve"> Mada se periferna neuropatija često javlja, teški simptomi se rijetko razvijaju. U teškim slučajevima, preporučuje se smanjenje doze za 20% (25%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Kapošijevim sarkomom) kod svih narednih ciklusa terapije paklitakselom.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nemikrocelularnim karcinomom pluća primjena paklitaksela u kombinaciji sa cisplatinom češće je dovodila do pojave teške neurotoksičnosti nego primjena paklitaksela kao monoterapije. Kod pacijentkinja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karcinomom ovarijuma, u prvoj liniji hemioterapije primjena tročasovne infuzije paklitaksela u kombinaciji sa cisplatinom, češće je dovodila do pojave teške neurotoksičnosti nego primjena kombinacije ciklofosfamida i cisplatina.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 xml:space="preserve">Pacijenti </w:t>
      </w:r>
      <w:proofErr w:type="gramStart"/>
      <w:r w:rsidRPr="00CC438D">
        <w:rPr>
          <w:rFonts w:ascii="Times New Roman" w:hAnsi="Times New Roman" w:cs="Times New Roman"/>
          <w:b/>
          <w:bCs/>
        </w:rPr>
        <w:t>sa</w:t>
      </w:r>
      <w:proofErr w:type="gramEnd"/>
      <w:r w:rsidRPr="00CC438D">
        <w:rPr>
          <w:rFonts w:ascii="Times New Roman" w:hAnsi="Times New Roman" w:cs="Times New Roman"/>
          <w:b/>
          <w:bCs/>
        </w:rPr>
        <w:t xml:space="preserve"> oštećenjem jetre</w:t>
      </w:r>
      <w:r w:rsidRPr="00CC438D">
        <w:rPr>
          <w:rFonts w:ascii="Times New Roman" w:hAnsi="Times New Roman" w:cs="Times New Roman"/>
          <w:bCs/>
        </w:rPr>
        <w:t xml:space="preserve"> mogu da budu izloženi većem riziku od pojave toksičnosti, posebno mijelosupresije stepen III-IV. Nema podataka da je toksičnost paklitaksela povećana kada se primjenjuje kao 3-časovna infuzija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blagim poremećajem funkcije jetre. Nema podataka o primjeni paklitaksela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teškom holestazom. Kada se paklitaksel primjenjuje kao infuzija koja traje duže, može se uočiti povećana mijelosupresija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umjerenim do teškim oštećenjem jetre. Pacijente treba pažljivo pratiti zbog mogućeg razvoja teške mijelosupresije (vidjeti odjeljak 4.2). Ne postoje adekvatni podaci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osnovu kojih bi se preporučilo prilagođavanje doze kod pacijenata sa blagim do umjerenim oštećenjem jetre (vidjeti odjeljak 5.2).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teškim oštećenjem jetre ne treba primjenjivati paklitaksel.</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Etanol:</w:t>
      </w:r>
      <w:r w:rsidRPr="00CC438D">
        <w:rPr>
          <w:rFonts w:ascii="Times New Roman" w:hAnsi="Times New Roman" w:cs="Times New Roman"/>
          <w:bCs/>
        </w:rPr>
        <w:t xml:space="preserve"> Ovaj lijek sadrži 50% (zapreminski procenat) etanola (alkohol), to jest do 20 g po dozi, što odgovara 520 ml piva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210 ml vina po dozi. Ova količina može biti rizična kod alkoholičara. Ovo se takođe mora uzeti u obzir prilikom razmatranja primjene ovog lijeka kod djece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visokorizičnih grupa kao što su oni koji imaju oboljenje jetre ili epilepsiju. Količina alkohola koja se nalazi u ovom lijeku može da promijeni dejstva drugih ljekova.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Intraarterijska primjena lijeka:</w:t>
      </w:r>
      <w:r w:rsidRPr="00CC438D">
        <w:rPr>
          <w:rFonts w:ascii="Times New Roman" w:hAnsi="Times New Roman" w:cs="Times New Roman"/>
          <w:bCs/>
        </w:rPr>
        <w:t xml:space="preserve"> Treba posebno voditi računa da ne dođe do intraarterijske primjena paklitaksela, pošto su u studijama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životinjama koje su ispitivane na lokalnu podnošljivost uočene teške reakcije tkiva nakon intraarterijske primene.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Pseudomembranozni kolitis</w:t>
      </w:r>
      <w:r w:rsidRPr="00CC438D">
        <w:rPr>
          <w:rFonts w:ascii="Times New Roman" w:hAnsi="Times New Roman" w:cs="Times New Roman"/>
          <w:bCs/>
        </w:rPr>
        <w:t xml:space="preserve"> je zabilježen rijetko, uključujući slučajeve kod pacijenata </w:t>
      </w:r>
      <w:proofErr w:type="gramStart"/>
      <w:r w:rsidRPr="00CC438D">
        <w:rPr>
          <w:rFonts w:ascii="Times New Roman" w:hAnsi="Times New Roman" w:cs="Times New Roman"/>
          <w:bCs/>
        </w:rPr>
        <w:t>koji  nijesu</w:t>
      </w:r>
      <w:proofErr w:type="gramEnd"/>
      <w:r w:rsidRPr="00CC438D">
        <w:rPr>
          <w:rFonts w:ascii="Times New Roman" w:hAnsi="Times New Roman" w:cs="Times New Roman"/>
          <w:bCs/>
        </w:rPr>
        <w:t xml:space="preserve"> istovremeno bili liječeni antibioticima. Ovo neželjeno dejstvo treba uzeti u obzir kod diferencijalne dijagnoze teške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uporne dijareje koja se javlja tokom ili ubrzo nakon liječenja paklitakselom.</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Lijek Paclitaxel Ebewe u kombinaciji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radioterapijom pluća, bez obzira na njihov hronološki slijed, može doprineti razvoju intersticijalnog pneumonitisa.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Paklitaksel se pokazao kao teratogen, embriotoksičan i mutagen u mnogim eksperimentima. Žene i muškarci u reproduktivnoj dobi, kao i njihovi partneri, bi trebalo da primjenjuju kontraceptivna sredstva najmanje 6 mjeseci nakon prestanka primjene paklitaksela (vidjeti odjeljak 4.6). Pacijentima muškog pola se savjetuje da zatraže savjet o kriokonzervaciji sperme prije terapije, zbog mogućeg irevezibilnog steriliteta uzrokovanog terapijom paklitaksela.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Kapošijevim sarkomom, teški mukozitis se rijetko javlja. Ako se jave teške reakcije, dozu paklitaksela treba smanjiti za 25%.</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Ovaj lijek sadrži polioksil ricinusovo ulje koje može izazvati teške alergijske reakcije.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proofErr w:type="gramStart"/>
      <w:r w:rsidRPr="00CC438D">
        <w:rPr>
          <w:rFonts w:ascii="Times New Roman" w:hAnsi="Times New Roman" w:cs="Times New Roman"/>
          <w:b/>
          <w:bCs/>
        </w:rPr>
        <w:t>4.5.</w:t>
      </w:r>
      <w:r w:rsidRPr="00CC438D">
        <w:rPr>
          <w:rFonts w:ascii="Times New Roman" w:hAnsi="Times New Roman" w:cs="Times New Roman"/>
          <w:b/>
          <w:bCs/>
        </w:rPr>
        <w:tab/>
        <w:t>Interakcije sa</w:t>
      </w:r>
      <w:proofErr w:type="gramEnd"/>
      <w:r w:rsidRPr="00CC438D">
        <w:rPr>
          <w:rFonts w:ascii="Times New Roman" w:hAnsi="Times New Roman" w:cs="Times New Roman"/>
          <w:b/>
          <w:bCs/>
        </w:rPr>
        <w:t xml:space="preserve"> drugim ljekovima i druge vrste interakcija</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autoSpaceDE w:val="0"/>
        <w:autoSpaceDN w:val="0"/>
        <w:adjustRightInd w:val="0"/>
        <w:spacing w:after="0"/>
        <w:jc w:val="both"/>
        <w:rPr>
          <w:rFonts w:ascii="Times New Roman" w:hAnsi="Times New Roman" w:cs="Times New Roman"/>
          <w:lang w:eastAsia="sr-Latn-ME"/>
        </w:rPr>
      </w:pPr>
      <w:r w:rsidRPr="00CC438D">
        <w:rPr>
          <w:rFonts w:ascii="Times New Roman" w:hAnsi="Times New Roman" w:cs="Times New Roman"/>
          <w:lang w:eastAsia="sr-Latn-ME"/>
        </w:rPr>
        <w:t>Na klirens paklitaksela ne utiče premedikacija cimetidinom.</w:t>
      </w:r>
    </w:p>
    <w:p w:rsidR="00CC438D" w:rsidRPr="00CC438D" w:rsidRDefault="00CC438D" w:rsidP="00CC438D">
      <w:pPr>
        <w:autoSpaceDE w:val="0"/>
        <w:autoSpaceDN w:val="0"/>
        <w:adjustRightInd w:val="0"/>
        <w:spacing w:after="0"/>
        <w:jc w:val="both"/>
        <w:rPr>
          <w:rFonts w:ascii="Times New Roman" w:hAnsi="Times New Roman" w:cs="Times New Roman"/>
          <w:lang w:eastAsia="sr-Latn-ME"/>
        </w:rPr>
      </w:pPr>
      <w:r w:rsidRPr="00CC438D">
        <w:rPr>
          <w:rFonts w:ascii="Times New Roman" w:hAnsi="Times New Roman" w:cs="Times New Roman"/>
          <w:i/>
          <w:iCs/>
          <w:lang w:eastAsia="sr-Latn-ME"/>
        </w:rPr>
        <w:t xml:space="preserve">Cisplatin: </w:t>
      </w:r>
      <w:r w:rsidRPr="00CC438D">
        <w:rPr>
          <w:rFonts w:ascii="Times New Roman" w:hAnsi="Times New Roman" w:cs="Times New Roman"/>
          <w:lang w:eastAsia="sr-Latn-ME"/>
        </w:rPr>
        <w:t xml:space="preserve">Preporučuje se da se paklitaksel primjenjuje </w:t>
      </w:r>
      <w:r w:rsidRPr="00CC438D">
        <w:rPr>
          <w:rFonts w:ascii="Times New Roman" w:hAnsi="Times New Roman" w:cs="Times New Roman"/>
          <w:i/>
          <w:iCs/>
          <w:lang w:eastAsia="sr-Latn-ME"/>
        </w:rPr>
        <w:t xml:space="preserve">prije </w:t>
      </w:r>
      <w:r w:rsidRPr="00CC438D">
        <w:rPr>
          <w:rFonts w:ascii="Times New Roman" w:hAnsi="Times New Roman" w:cs="Times New Roman"/>
          <w:lang w:eastAsia="sr-Latn-ME"/>
        </w:rPr>
        <w:t xml:space="preserve">cisplatina. Kada se paklitaksel primijeni prije cisplatina, bezbjednosni profil paklitaksela odgovara zabilježenom bezbjednosnom profilu kada se lijek primjenjuje kao monoterapija. Primjena paklitaksela </w:t>
      </w:r>
      <w:r w:rsidRPr="00CC438D">
        <w:rPr>
          <w:rFonts w:ascii="Times New Roman" w:hAnsi="Times New Roman" w:cs="Times New Roman"/>
          <w:i/>
          <w:iCs/>
          <w:lang w:eastAsia="sr-Latn-ME"/>
        </w:rPr>
        <w:t xml:space="preserve">poslije </w:t>
      </w:r>
      <w:r w:rsidRPr="00CC438D">
        <w:rPr>
          <w:rFonts w:ascii="Times New Roman" w:hAnsi="Times New Roman" w:cs="Times New Roman"/>
          <w:lang w:eastAsia="sr-Latn-ME"/>
        </w:rPr>
        <w:t xml:space="preserve">cisplatina dovodi do veće mijelosupresije i do smanjenja klirensa paklitaksela oko 20%. Pacijenti koji se liječe paklitakselom i cisplatinom mogu biti izloženi većem riziku </w:t>
      </w:r>
      <w:proofErr w:type="gramStart"/>
      <w:r w:rsidRPr="00CC438D">
        <w:rPr>
          <w:rFonts w:ascii="Times New Roman" w:hAnsi="Times New Roman" w:cs="Times New Roman"/>
          <w:lang w:eastAsia="sr-Latn-ME"/>
        </w:rPr>
        <w:t>od</w:t>
      </w:r>
      <w:proofErr w:type="gramEnd"/>
      <w:r w:rsidRPr="00CC438D">
        <w:rPr>
          <w:rFonts w:ascii="Times New Roman" w:hAnsi="Times New Roman" w:cs="Times New Roman"/>
          <w:lang w:eastAsia="sr-Latn-ME"/>
        </w:rPr>
        <w:t xml:space="preserve"> razvoja bubrežne insuficijencije u odnosu na primjenu samo cisplatina kod ginekoloških karcinoma.</w:t>
      </w:r>
    </w:p>
    <w:p w:rsidR="00CC438D" w:rsidRPr="00CC438D" w:rsidRDefault="00CC438D" w:rsidP="00CC438D">
      <w:pPr>
        <w:autoSpaceDE w:val="0"/>
        <w:autoSpaceDN w:val="0"/>
        <w:adjustRightInd w:val="0"/>
        <w:spacing w:after="0"/>
        <w:jc w:val="both"/>
        <w:rPr>
          <w:rFonts w:ascii="Times New Roman" w:hAnsi="Times New Roman" w:cs="Times New Roman"/>
          <w:lang w:eastAsia="sr-Latn-ME"/>
        </w:rPr>
      </w:pPr>
    </w:p>
    <w:p w:rsidR="00CC438D" w:rsidRPr="00CC438D" w:rsidRDefault="00CC438D" w:rsidP="00CC438D">
      <w:pPr>
        <w:autoSpaceDE w:val="0"/>
        <w:autoSpaceDN w:val="0"/>
        <w:adjustRightInd w:val="0"/>
        <w:spacing w:after="0"/>
        <w:jc w:val="both"/>
        <w:rPr>
          <w:rFonts w:ascii="Times New Roman" w:hAnsi="Times New Roman" w:cs="Times New Roman"/>
          <w:lang w:eastAsia="sr-Latn-ME"/>
        </w:rPr>
      </w:pPr>
      <w:r w:rsidRPr="00CC438D">
        <w:rPr>
          <w:rFonts w:ascii="Times New Roman" w:hAnsi="Times New Roman" w:cs="Times New Roman"/>
          <w:i/>
          <w:iCs/>
          <w:lang w:eastAsia="sr-Latn-ME"/>
        </w:rPr>
        <w:t xml:space="preserve">Doksorubicin: </w:t>
      </w:r>
      <w:r w:rsidRPr="00CC438D">
        <w:rPr>
          <w:rFonts w:ascii="Times New Roman" w:hAnsi="Times New Roman" w:cs="Times New Roman"/>
          <w:lang w:eastAsia="sr-Latn-ME"/>
        </w:rPr>
        <w:t>S obzirom da se eliminacija doksorubicina i njegovih aktivnih metabolita može smanjiti</w:t>
      </w:r>
      <w:r w:rsidR="00075BC5">
        <w:rPr>
          <w:rFonts w:ascii="Times New Roman" w:hAnsi="Times New Roman" w:cs="Times New Roman"/>
          <w:lang w:eastAsia="sr-Latn-ME"/>
        </w:rPr>
        <w:t xml:space="preserve"> </w:t>
      </w:r>
      <w:r w:rsidRPr="00CC438D">
        <w:rPr>
          <w:rFonts w:ascii="Times New Roman" w:hAnsi="Times New Roman" w:cs="Times New Roman"/>
          <w:lang w:eastAsia="sr-Latn-ME"/>
        </w:rPr>
        <w:t>kada se paklitaksel i doksorubicin daju u kraćem vremenskom razmaku, kod započinjanja liječenja</w:t>
      </w:r>
      <w:r w:rsidR="00075BC5">
        <w:rPr>
          <w:rFonts w:ascii="Times New Roman" w:hAnsi="Times New Roman" w:cs="Times New Roman"/>
          <w:lang w:eastAsia="sr-Latn-ME"/>
        </w:rPr>
        <w:t xml:space="preserve"> </w:t>
      </w:r>
      <w:r w:rsidRPr="00CC438D">
        <w:rPr>
          <w:rFonts w:ascii="Times New Roman" w:hAnsi="Times New Roman" w:cs="Times New Roman"/>
          <w:lang w:eastAsia="sr-Latn-ME"/>
        </w:rPr>
        <w:t>metastatskog karcinoma dojke, paklitaksel treba primijeniti 24 sata poslije doksorubicina (vidjeti odjeljak 5.2).</w:t>
      </w:r>
    </w:p>
    <w:p w:rsidR="00CC438D" w:rsidRPr="00CC438D" w:rsidRDefault="00CC438D" w:rsidP="00CC438D">
      <w:pPr>
        <w:autoSpaceDE w:val="0"/>
        <w:autoSpaceDN w:val="0"/>
        <w:adjustRightInd w:val="0"/>
        <w:spacing w:after="0"/>
        <w:jc w:val="both"/>
        <w:rPr>
          <w:rFonts w:ascii="Times New Roman" w:hAnsi="Times New Roman" w:cs="Times New Roman"/>
          <w:i/>
          <w:iCs/>
          <w:lang w:eastAsia="sr-Latn-ME"/>
        </w:rPr>
      </w:pPr>
    </w:p>
    <w:p w:rsidR="00CC438D" w:rsidRPr="00CC438D" w:rsidRDefault="00CC438D" w:rsidP="00CC438D">
      <w:pPr>
        <w:autoSpaceDE w:val="0"/>
        <w:autoSpaceDN w:val="0"/>
        <w:adjustRightInd w:val="0"/>
        <w:spacing w:after="0"/>
        <w:jc w:val="both"/>
        <w:rPr>
          <w:rFonts w:ascii="Times New Roman" w:hAnsi="Times New Roman" w:cs="Times New Roman"/>
          <w:lang w:eastAsia="sr-Latn-ME"/>
        </w:rPr>
      </w:pPr>
      <w:r w:rsidRPr="00CC438D">
        <w:rPr>
          <w:rFonts w:ascii="Times New Roman" w:hAnsi="Times New Roman" w:cs="Times New Roman"/>
          <w:i/>
          <w:iCs/>
          <w:lang w:eastAsia="sr-Latn-ME"/>
        </w:rPr>
        <w:t xml:space="preserve">Aktivne supstance koje se metabolišu u jetri: </w:t>
      </w:r>
      <w:r w:rsidRPr="00CC438D">
        <w:rPr>
          <w:rFonts w:ascii="Times New Roman" w:hAnsi="Times New Roman" w:cs="Times New Roman"/>
          <w:lang w:eastAsia="sr-Latn-ME"/>
        </w:rPr>
        <w:t>Potreban je oprez prilikom istovremene primjene ljekova koji se metabolišu u jetri, jer ove supstance mogu da inhibiraju metabolizam paklitaksela. Citohrom P450 (CYP450) izoenzimi CYP2C8 i 3A4 katabolišu, djelimično, metabolizam paklitaksela (vidjeti odjeljak 5.2).</w:t>
      </w:r>
    </w:p>
    <w:p w:rsidR="00CC438D" w:rsidRPr="00CC438D" w:rsidRDefault="00CC438D" w:rsidP="00CC438D">
      <w:pPr>
        <w:autoSpaceDE w:val="0"/>
        <w:autoSpaceDN w:val="0"/>
        <w:adjustRightInd w:val="0"/>
        <w:spacing w:after="0"/>
        <w:jc w:val="both"/>
        <w:rPr>
          <w:rFonts w:ascii="Times New Roman" w:hAnsi="Times New Roman" w:cs="Times New Roman"/>
          <w:lang w:eastAsia="sr-Latn-ME"/>
        </w:rPr>
      </w:pPr>
      <w:r w:rsidRPr="00CC438D">
        <w:rPr>
          <w:rFonts w:ascii="Times New Roman" w:hAnsi="Times New Roman" w:cs="Times New Roman"/>
          <w:lang w:eastAsia="sr-Latn-ME"/>
        </w:rPr>
        <w:t>Kliničke studije su pokazale da je metabolizam paklitaksela posredstvom CYP2C8, (</w:t>
      </w:r>
      <w:proofErr w:type="gramStart"/>
      <w:r w:rsidRPr="00CC438D">
        <w:rPr>
          <w:rFonts w:ascii="Times New Roman" w:hAnsi="Times New Roman" w:cs="Times New Roman"/>
          <w:lang w:eastAsia="sr-Latn-ME"/>
        </w:rPr>
        <w:t>na</w:t>
      </w:r>
      <w:proofErr w:type="gramEnd"/>
      <w:r w:rsidRPr="00CC438D">
        <w:rPr>
          <w:rFonts w:ascii="Times New Roman" w:hAnsi="Times New Roman" w:cs="Times New Roman"/>
          <w:lang w:eastAsia="sr-Latn-ME"/>
        </w:rPr>
        <w:t xml:space="preserve"> 6α-</w:t>
      </w:r>
      <w:r w:rsidR="00075BC5">
        <w:rPr>
          <w:rFonts w:ascii="Times New Roman" w:hAnsi="Times New Roman" w:cs="Times New Roman"/>
          <w:lang w:eastAsia="sr-Latn-ME"/>
        </w:rPr>
        <w:t xml:space="preserve"> </w:t>
      </w:r>
      <w:r w:rsidRPr="00CC438D">
        <w:rPr>
          <w:rFonts w:ascii="Times New Roman" w:hAnsi="Times New Roman" w:cs="Times New Roman"/>
          <w:lang w:eastAsia="sr-Latn-ME"/>
        </w:rPr>
        <w:t xml:space="preserve">hidroksipaklitaksel), glavni metabolički put kod ljudi. Na osnovu sadašnjih saznanja, klinički relevantne interakcije između paklitaksela i drugih supstrata CYP2C8 nijesu očekivane. Istovremena primjena ketokonazola, poznati (potentni inhibitor enzima CYP3A4), ne inhibira eliminaciju paklitaksela kod pacijenata, </w:t>
      </w:r>
      <w:proofErr w:type="gramStart"/>
      <w:r w:rsidRPr="00CC438D">
        <w:rPr>
          <w:rFonts w:ascii="Times New Roman" w:hAnsi="Times New Roman" w:cs="Times New Roman"/>
          <w:lang w:eastAsia="sr-Latn-ME"/>
        </w:rPr>
        <w:t>te</w:t>
      </w:r>
      <w:proofErr w:type="gramEnd"/>
      <w:r w:rsidRPr="00CC438D">
        <w:rPr>
          <w:rFonts w:ascii="Times New Roman" w:hAnsi="Times New Roman" w:cs="Times New Roman"/>
          <w:lang w:eastAsia="sr-Latn-ME"/>
        </w:rPr>
        <w:t xml:space="preserve"> se oba lijeka mogu primjenjivati zajedno bez podešavanja doze. Dalji podaci o mogućim interakcijama između paklitaksela i drugih CYP3A4 supstrata/inhibitora su ograničeni. Zbog toga treba biti oprezan kod primjene paklitaksela istovremeno </w:t>
      </w:r>
      <w:proofErr w:type="gramStart"/>
      <w:r w:rsidRPr="00CC438D">
        <w:rPr>
          <w:rFonts w:ascii="Times New Roman" w:hAnsi="Times New Roman" w:cs="Times New Roman"/>
          <w:lang w:eastAsia="sr-Latn-ME"/>
        </w:rPr>
        <w:t>sa</w:t>
      </w:r>
      <w:proofErr w:type="gramEnd"/>
      <w:r w:rsidRPr="00CC438D">
        <w:rPr>
          <w:rFonts w:ascii="Times New Roman" w:hAnsi="Times New Roman" w:cs="Times New Roman"/>
          <w:lang w:eastAsia="sr-Latn-ME"/>
        </w:rPr>
        <w:t xml:space="preserve"> ljekovima za koje se zna da inhibiraju (npr. eritromicin, </w:t>
      </w:r>
      <w:r w:rsidRPr="00CC438D">
        <w:rPr>
          <w:rFonts w:ascii="Times New Roman" w:hAnsi="Times New Roman" w:cs="Times New Roman"/>
          <w:lang w:eastAsia="sr-Latn-ME"/>
        </w:rPr>
        <w:lastRenderedPageBreak/>
        <w:t>fluoksetin, gemfibrozil) ili indukuju (npr. rifampicin, karbamazepin, fenitoin, fenobarbiton, efavirenz, nevirapin) bilo CYP2C8 ili 3A4.</w:t>
      </w:r>
    </w:p>
    <w:p w:rsidR="00CC438D" w:rsidRPr="00CC438D" w:rsidRDefault="00CC438D" w:rsidP="00CC438D">
      <w:pPr>
        <w:autoSpaceDE w:val="0"/>
        <w:autoSpaceDN w:val="0"/>
        <w:adjustRightInd w:val="0"/>
        <w:spacing w:after="0"/>
        <w:jc w:val="both"/>
        <w:rPr>
          <w:rFonts w:ascii="Times New Roman" w:hAnsi="Times New Roman" w:cs="Times New Roman"/>
          <w:lang w:eastAsia="sr-Latn-ME"/>
        </w:rPr>
      </w:pPr>
      <w:r w:rsidRPr="00CC438D">
        <w:rPr>
          <w:rFonts w:ascii="Times New Roman" w:hAnsi="Times New Roman" w:cs="Times New Roman"/>
          <w:lang w:eastAsia="sr-Latn-ME"/>
        </w:rPr>
        <w:t xml:space="preserve">Studije kod pacijenata </w:t>
      </w:r>
      <w:proofErr w:type="gramStart"/>
      <w:r w:rsidRPr="00CC438D">
        <w:rPr>
          <w:rFonts w:ascii="Times New Roman" w:hAnsi="Times New Roman" w:cs="Times New Roman"/>
          <w:lang w:eastAsia="sr-Latn-ME"/>
        </w:rPr>
        <w:t>sa</w:t>
      </w:r>
      <w:proofErr w:type="gramEnd"/>
      <w:r w:rsidRPr="00CC438D">
        <w:rPr>
          <w:rFonts w:ascii="Times New Roman" w:hAnsi="Times New Roman" w:cs="Times New Roman"/>
          <w:lang w:eastAsia="sr-Latn-ME"/>
        </w:rPr>
        <w:t xml:space="preserve"> Kapošijevim sarkomom, koji su primali više ljekova istovremeno, pokazuju da je sistemski klirens paklitaksela bio znatno niži u prisustvu nelfinavira i ritonavira, ali ne i u prisustvu indinavira. Nema dovoljno podataka o interakcijama </w:t>
      </w:r>
      <w:proofErr w:type="gramStart"/>
      <w:r w:rsidRPr="00CC438D">
        <w:rPr>
          <w:rFonts w:ascii="Times New Roman" w:hAnsi="Times New Roman" w:cs="Times New Roman"/>
          <w:lang w:eastAsia="sr-Latn-ME"/>
        </w:rPr>
        <w:t>sa</w:t>
      </w:r>
      <w:proofErr w:type="gramEnd"/>
      <w:r w:rsidRPr="00CC438D">
        <w:rPr>
          <w:rFonts w:ascii="Times New Roman" w:hAnsi="Times New Roman" w:cs="Times New Roman"/>
          <w:lang w:eastAsia="sr-Latn-ME"/>
        </w:rPr>
        <w:t xml:space="preserve"> drugim proteaznim inhibitorima. Zbog toga paklitaksel treba primjenjivati uz oprez kod pacijenata koji istovremeno primaju inhibitore proteaza.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lang w:val="sr-Latn-CS"/>
        </w:rPr>
      </w:pPr>
      <w:r w:rsidRPr="00CC438D">
        <w:rPr>
          <w:rFonts w:ascii="Times New Roman" w:hAnsi="Times New Roman" w:cs="Times New Roman"/>
          <w:b/>
          <w:bCs/>
        </w:rPr>
        <w:t xml:space="preserve">4.6. </w:t>
      </w:r>
      <w:r w:rsidRPr="00CC438D">
        <w:rPr>
          <w:rFonts w:ascii="Times New Roman" w:hAnsi="Times New Roman" w:cs="Times New Roman"/>
          <w:b/>
          <w:bCs/>
        </w:rPr>
        <w:tab/>
      </w:r>
      <w:r w:rsidRPr="00CC438D">
        <w:rPr>
          <w:rFonts w:ascii="Times New Roman" w:hAnsi="Times New Roman" w:cs="Times New Roman"/>
          <w:b/>
          <w:lang w:val="sr-Latn-CS"/>
        </w:rPr>
        <w:t>Plodnost, trudnoća i dojenje</w:t>
      </w:r>
    </w:p>
    <w:p w:rsidR="00CC438D" w:rsidRPr="00CC438D" w:rsidRDefault="00CC438D" w:rsidP="00CC438D">
      <w:pPr>
        <w:tabs>
          <w:tab w:val="left" w:pos="540"/>
          <w:tab w:val="left" w:pos="569"/>
        </w:tabs>
        <w:spacing w:after="0"/>
        <w:jc w:val="both"/>
        <w:rPr>
          <w:rFonts w:ascii="Times New Roman" w:hAnsi="Times New Roman" w:cs="Times New Roman"/>
          <w:b/>
          <w:lang w:val="sr-Latn-CS"/>
        </w:rPr>
      </w:pPr>
    </w:p>
    <w:p w:rsidR="00CC438D" w:rsidRPr="00CC438D" w:rsidRDefault="00CC438D" w:rsidP="00CC438D">
      <w:pPr>
        <w:tabs>
          <w:tab w:val="left" w:pos="540"/>
          <w:tab w:val="left" w:pos="569"/>
        </w:tabs>
        <w:spacing w:after="0"/>
        <w:jc w:val="both"/>
        <w:rPr>
          <w:rFonts w:ascii="Times New Roman" w:hAnsi="Times New Roman" w:cs="Times New Roman"/>
          <w:u w:val="single"/>
        </w:rPr>
      </w:pPr>
      <w:r w:rsidRPr="00CC438D">
        <w:rPr>
          <w:rFonts w:ascii="Times New Roman" w:hAnsi="Times New Roman" w:cs="Times New Roman"/>
          <w:u w:val="single"/>
        </w:rPr>
        <w:t>Trudnoća</w:t>
      </w:r>
    </w:p>
    <w:p w:rsidR="00CC438D" w:rsidRPr="00CC438D" w:rsidRDefault="00CC438D" w:rsidP="00CC438D">
      <w:pPr>
        <w:tabs>
          <w:tab w:val="left" w:pos="540"/>
          <w:tab w:val="left" w:pos="569"/>
        </w:tabs>
        <w:spacing w:after="0"/>
        <w:jc w:val="both"/>
        <w:rPr>
          <w:rFonts w:ascii="Times New Roman" w:hAnsi="Times New Roman" w:cs="Times New Roman"/>
        </w:rPr>
      </w:pPr>
      <w:r w:rsidRPr="00CC438D">
        <w:rPr>
          <w:rFonts w:ascii="Times New Roman" w:hAnsi="Times New Roman" w:cs="Times New Roman"/>
        </w:rPr>
        <w:t>Paklitaksel se pokazao kao embriotoksičan i fetotoksičnost kod kunića (vidjeti odjeljak 5.3).</w:t>
      </w:r>
    </w:p>
    <w:p w:rsidR="00CC438D" w:rsidRPr="00CC438D" w:rsidRDefault="00CC438D" w:rsidP="00CC438D">
      <w:pPr>
        <w:tabs>
          <w:tab w:val="left" w:pos="540"/>
          <w:tab w:val="left" w:pos="569"/>
        </w:tabs>
        <w:spacing w:after="0"/>
        <w:jc w:val="both"/>
        <w:rPr>
          <w:rFonts w:ascii="Times New Roman" w:hAnsi="Times New Roman" w:cs="Times New Roman"/>
        </w:rPr>
      </w:pPr>
    </w:p>
    <w:p w:rsidR="00CC438D" w:rsidRPr="00CC438D" w:rsidRDefault="00CC438D" w:rsidP="00CC438D">
      <w:pPr>
        <w:tabs>
          <w:tab w:val="left" w:pos="540"/>
          <w:tab w:val="left" w:pos="569"/>
        </w:tabs>
        <w:spacing w:after="0"/>
        <w:jc w:val="both"/>
        <w:rPr>
          <w:rFonts w:ascii="Times New Roman" w:hAnsi="Times New Roman" w:cs="Times New Roman"/>
        </w:rPr>
      </w:pPr>
      <w:r w:rsidRPr="00CC438D">
        <w:rPr>
          <w:rFonts w:ascii="Times New Roman" w:hAnsi="Times New Roman" w:cs="Times New Roman"/>
        </w:rPr>
        <w:t>Nema podataka o primjeni paklitaksela kod trudnica. Ako se primjenjuje kod trudnica, paklitaksel kao i ostali citotoksični ljekovi može dovesti do oštećenja fetusa.</w:t>
      </w:r>
    </w:p>
    <w:p w:rsidR="00CC438D" w:rsidRPr="00CC438D" w:rsidRDefault="00CC438D" w:rsidP="00CC438D">
      <w:pPr>
        <w:tabs>
          <w:tab w:val="left" w:pos="540"/>
          <w:tab w:val="left" w:pos="569"/>
        </w:tabs>
        <w:spacing w:after="0"/>
        <w:jc w:val="both"/>
        <w:rPr>
          <w:rFonts w:ascii="Times New Roman" w:hAnsi="Times New Roman" w:cs="Times New Roman"/>
        </w:rPr>
      </w:pPr>
    </w:p>
    <w:p w:rsidR="00CC438D" w:rsidRPr="00CC438D" w:rsidRDefault="00CC438D" w:rsidP="00CC438D">
      <w:pPr>
        <w:tabs>
          <w:tab w:val="left" w:pos="540"/>
          <w:tab w:val="left" w:pos="569"/>
        </w:tabs>
        <w:spacing w:after="0"/>
        <w:jc w:val="both"/>
        <w:rPr>
          <w:rFonts w:ascii="Times New Roman" w:hAnsi="Times New Roman" w:cs="Times New Roman"/>
        </w:rPr>
      </w:pPr>
      <w:r w:rsidRPr="00CC438D">
        <w:rPr>
          <w:rFonts w:ascii="Times New Roman" w:hAnsi="Times New Roman" w:cs="Times New Roman"/>
        </w:rPr>
        <w:t>Paklitaksel ne treba primjenjivati u trudnoći, osim ako klinička slika ne zahtijeva liječenje paklitakselom.</w:t>
      </w:r>
    </w:p>
    <w:p w:rsidR="00CC438D" w:rsidRPr="00CC438D" w:rsidRDefault="00CC438D" w:rsidP="00CC438D">
      <w:pPr>
        <w:tabs>
          <w:tab w:val="left" w:pos="540"/>
          <w:tab w:val="left" w:pos="569"/>
        </w:tabs>
        <w:spacing w:after="0"/>
        <w:jc w:val="both"/>
        <w:rPr>
          <w:rFonts w:ascii="Times New Roman" w:hAnsi="Times New Roman" w:cs="Times New Roman"/>
        </w:rPr>
      </w:pPr>
      <w:r w:rsidRPr="00CC438D">
        <w:rPr>
          <w:rFonts w:ascii="Times New Roman" w:hAnsi="Times New Roman" w:cs="Times New Roman"/>
        </w:rPr>
        <w:t xml:space="preserve">Ženama treba savjetovati da tokom terapije paklitakselom izbjegavaju da zatrudne, </w:t>
      </w:r>
      <w:proofErr w:type="gramStart"/>
      <w:r w:rsidRPr="00CC438D">
        <w:rPr>
          <w:rFonts w:ascii="Times New Roman" w:hAnsi="Times New Roman" w:cs="Times New Roman"/>
        </w:rPr>
        <w:t>a</w:t>
      </w:r>
      <w:proofErr w:type="gramEnd"/>
      <w:r w:rsidRPr="00CC438D">
        <w:rPr>
          <w:rFonts w:ascii="Times New Roman" w:hAnsi="Times New Roman" w:cs="Times New Roman"/>
        </w:rPr>
        <w:t xml:space="preserve"> ukoliko pacijentkinja zatrudni za vrijeme terapije paklitakselom treba odmah obavijestiti ljekara. Muškarci i žene koji su u reproduktivnom periodu, kao i njihovi partneri, treba da koriste kontraceptivna sredstva tokom terapije i najmanje 6 mjeseci nakon terapije paklitakselom.</w:t>
      </w:r>
    </w:p>
    <w:p w:rsidR="00CC438D" w:rsidRPr="00CC438D" w:rsidRDefault="00CC438D" w:rsidP="00CC438D">
      <w:pPr>
        <w:tabs>
          <w:tab w:val="left" w:pos="540"/>
          <w:tab w:val="left" w:pos="569"/>
        </w:tabs>
        <w:spacing w:after="0"/>
        <w:jc w:val="both"/>
        <w:rPr>
          <w:rFonts w:ascii="Times New Roman" w:hAnsi="Times New Roman" w:cs="Times New Roman"/>
        </w:rPr>
      </w:pPr>
    </w:p>
    <w:p w:rsidR="00CC438D" w:rsidRPr="00CC438D" w:rsidRDefault="00CC438D" w:rsidP="00CC438D">
      <w:pPr>
        <w:tabs>
          <w:tab w:val="left" w:pos="540"/>
          <w:tab w:val="left" w:pos="569"/>
        </w:tabs>
        <w:spacing w:after="0"/>
        <w:jc w:val="both"/>
        <w:rPr>
          <w:rFonts w:ascii="Times New Roman" w:hAnsi="Times New Roman" w:cs="Times New Roman"/>
          <w:u w:val="single"/>
        </w:rPr>
      </w:pPr>
      <w:r w:rsidRPr="00CC438D">
        <w:rPr>
          <w:rFonts w:ascii="Times New Roman" w:hAnsi="Times New Roman" w:cs="Times New Roman"/>
          <w:u w:val="single"/>
        </w:rPr>
        <w:t>Dojenje</w:t>
      </w:r>
    </w:p>
    <w:p w:rsidR="00CC438D" w:rsidRPr="00CC438D" w:rsidRDefault="00CC438D" w:rsidP="00CC438D">
      <w:pPr>
        <w:tabs>
          <w:tab w:val="left" w:pos="540"/>
          <w:tab w:val="left" w:pos="569"/>
        </w:tabs>
        <w:spacing w:after="0"/>
        <w:jc w:val="both"/>
        <w:rPr>
          <w:rFonts w:ascii="Times New Roman" w:hAnsi="Times New Roman" w:cs="Times New Roman"/>
        </w:rPr>
      </w:pPr>
      <w:r w:rsidRPr="00CC438D">
        <w:rPr>
          <w:rFonts w:ascii="Times New Roman" w:hAnsi="Times New Roman" w:cs="Times New Roman"/>
        </w:rPr>
        <w:t>Nije poznato da li se paklitaksel izlučuje u majčino mlijeko. Upotreba paklitaksela je kontraindikovana tokom dojenja. Za vrijeme terapije lijekom Paclitaxel Ebewe, dojenje treba prekinuti (vidjeti odjeljak 4.3).</w:t>
      </w:r>
    </w:p>
    <w:p w:rsidR="00075BC5" w:rsidRDefault="00075BC5" w:rsidP="00CC438D">
      <w:pPr>
        <w:tabs>
          <w:tab w:val="left" w:pos="540"/>
          <w:tab w:val="left" w:pos="569"/>
        </w:tabs>
        <w:spacing w:after="0"/>
        <w:jc w:val="both"/>
        <w:rPr>
          <w:rFonts w:ascii="Times New Roman" w:hAnsi="Times New Roman" w:cs="Times New Roman"/>
          <w:u w:val="single"/>
        </w:rPr>
      </w:pPr>
    </w:p>
    <w:p w:rsidR="00CC438D" w:rsidRPr="00CC438D" w:rsidRDefault="00CC438D" w:rsidP="00CC438D">
      <w:pPr>
        <w:tabs>
          <w:tab w:val="left" w:pos="540"/>
          <w:tab w:val="left" w:pos="569"/>
        </w:tabs>
        <w:spacing w:after="0"/>
        <w:jc w:val="both"/>
        <w:rPr>
          <w:rFonts w:ascii="Times New Roman" w:hAnsi="Times New Roman" w:cs="Times New Roman"/>
          <w:u w:val="single"/>
        </w:rPr>
      </w:pPr>
      <w:r w:rsidRPr="00CC438D">
        <w:rPr>
          <w:rFonts w:ascii="Times New Roman" w:hAnsi="Times New Roman" w:cs="Times New Roman"/>
          <w:u w:val="single"/>
        </w:rPr>
        <w:t>Fertilitet</w:t>
      </w:r>
    </w:p>
    <w:p w:rsidR="00CC438D" w:rsidRPr="00CC438D" w:rsidRDefault="00CC438D" w:rsidP="00CC438D">
      <w:pPr>
        <w:tabs>
          <w:tab w:val="left" w:pos="540"/>
          <w:tab w:val="left" w:pos="569"/>
        </w:tabs>
        <w:spacing w:after="0"/>
        <w:jc w:val="both"/>
        <w:rPr>
          <w:rFonts w:ascii="Times New Roman" w:hAnsi="Times New Roman" w:cs="Times New Roman"/>
        </w:rPr>
      </w:pPr>
      <w:r w:rsidRPr="00CC438D">
        <w:rPr>
          <w:rFonts w:ascii="Times New Roman" w:hAnsi="Times New Roman" w:cs="Times New Roman"/>
        </w:rPr>
        <w:t xml:space="preserve">Paklitaksel je kod pacova uzrokovao smanjenje fertiliteta (vidjeti odjeljak 5.3). Muškarcima treba preporučiti da potraže savjet u vezi </w:t>
      </w:r>
      <w:proofErr w:type="gramStart"/>
      <w:r w:rsidRPr="00CC438D">
        <w:rPr>
          <w:rFonts w:ascii="Times New Roman" w:hAnsi="Times New Roman" w:cs="Times New Roman"/>
        </w:rPr>
        <w:t>sa</w:t>
      </w:r>
      <w:proofErr w:type="gramEnd"/>
      <w:r w:rsidRPr="00CC438D">
        <w:rPr>
          <w:rFonts w:ascii="Times New Roman" w:hAnsi="Times New Roman" w:cs="Times New Roman"/>
        </w:rPr>
        <w:t xml:space="preserve"> kriokonzervacijom sperme prije započinjanja terapije paklitakselom, zbog mogućnosti infertiliteta.</w:t>
      </w:r>
    </w:p>
    <w:p w:rsidR="00CC438D" w:rsidRPr="00CC438D" w:rsidRDefault="00CC438D" w:rsidP="00CC438D">
      <w:pPr>
        <w:tabs>
          <w:tab w:val="left" w:pos="540"/>
          <w:tab w:val="left" w:pos="569"/>
        </w:tabs>
        <w:spacing w:after="0"/>
        <w:ind w:left="540" w:hanging="540"/>
        <w:jc w:val="both"/>
        <w:rPr>
          <w:rFonts w:ascii="Times New Roman" w:hAnsi="Times New Roman" w:cs="Times New Roman"/>
          <w:b/>
          <w:bCs/>
        </w:rPr>
      </w:pPr>
    </w:p>
    <w:p w:rsidR="00CC438D" w:rsidRPr="00CC438D" w:rsidRDefault="00CC438D" w:rsidP="00CC438D">
      <w:pPr>
        <w:tabs>
          <w:tab w:val="left" w:pos="540"/>
          <w:tab w:val="left" w:pos="569"/>
        </w:tabs>
        <w:spacing w:after="0"/>
        <w:ind w:left="540" w:hanging="540"/>
        <w:jc w:val="both"/>
        <w:rPr>
          <w:rFonts w:ascii="Times New Roman" w:hAnsi="Times New Roman" w:cs="Times New Roman"/>
          <w:b/>
          <w:bCs/>
        </w:rPr>
      </w:pPr>
      <w:r w:rsidRPr="00CC438D">
        <w:rPr>
          <w:rFonts w:ascii="Times New Roman" w:hAnsi="Times New Roman" w:cs="Times New Roman"/>
          <w:b/>
          <w:bCs/>
        </w:rPr>
        <w:t xml:space="preserve">4.7. </w:t>
      </w:r>
      <w:r w:rsidRPr="00CC438D">
        <w:rPr>
          <w:rFonts w:ascii="Times New Roman" w:hAnsi="Times New Roman" w:cs="Times New Roman"/>
          <w:b/>
          <w:bCs/>
        </w:rPr>
        <w:tab/>
        <w:t xml:space="preserve">Uticaj </w:t>
      </w:r>
      <w:proofErr w:type="gramStart"/>
      <w:r w:rsidRPr="00CC438D">
        <w:rPr>
          <w:rFonts w:ascii="Times New Roman" w:hAnsi="Times New Roman" w:cs="Times New Roman"/>
          <w:b/>
          <w:bCs/>
        </w:rPr>
        <w:t>na</w:t>
      </w:r>
      <w:proofErr w:type="gramEnd"/>
      <w:r w:rsidRPr="00CC438D">
        <w:rPr>
          <w:rFonts w:ascii="Times New Roman" w:hAnsi="Times New Roman" w:cs="Times New Roman"/>
          <w:b/>
          <w:bCs/>
        </w:rPr>
        <w:t xml:space="preserve"> sposobnost upravljanja vozilima i rukovanje mašinama</w:t>
      </w:r>
    </w:p>
    <w:p w:rsidR="00CC438D" w:rsidRPr="00CC438D" w:rsidRDefault="00CC438D" w:rsidP="00CC438D">
      <w:pPr>
        <w:tabs>
          <w:tab w:val="left" w:pos="540"/>
          <w:tab w:val="left" w:pos="569"/>
        </w:tabs>
        <w:spacing w:after="0"/>
        <w:ind w:left="540" w:hanging="54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Sposobnost za upravljanje vozilom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rukovanje mašinama može biti smanjena zbog sadržaja alkohola u ovom lijeku.</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4.8. </w:t>
      </w:r>
      <w:r w:rsidRPr="00CC438D">
        <w:rPr>
          <w:rFonts w:ascii="Times New Roman" w:hAnsi="Times New Roman" w:cs="Times New Roman"/>
          <w:b/>
          <w:bCs/>
        </w:rPr>
        <w:tab/>
        <w:t>Neželjena dejstva</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Osim ukoliko drugačije nije navedeno, sledeća razmatranja odnose se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sveukupnu bazu bezbjednosnih podataka za 812 pacijenata sa solidnim tumorom koji su dobijali monoterapiju paklitaksela u kliničkim studijama. Pošto je populacija oboljelih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Kapošijevog sarkoma vrlo specifična, na kraju ovog odjeljka predstavljeno je posebno poglavlje koje se zasniva na kliničkim studijama u koje je bilo uključeno 107 pacijenata.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 </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Učestalost i težina neželjenih dejstava, osim ako drugačije nije navedeno, generalno je slična kod pacijenata koji primaju paklitaksel u liječenju karcinoma jajnika, karcinoma dojke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nemikrocelularnog karcinoma pluća (NSCLC). Starosna </w:t>
      </w:r>
      <w:proofErr w:type="gramStart"/>
      <w:r w:rsidRPr="00CC438D">
        <w:rPr>
          <w:rFonts w:ascii="Times New Roman" w:hAnsi="Times New Roman" w:cs="Times New Roman"/>
          <w:bCs/>
        </w:rPr>
        <w:t>dob</w:t>
      </w:r>
      <w:proofErr w:type="gramEnd"/>
      <w:r w:rsidRPr="00CC438D">
        <w:rPr>
          <w:rFonts w:ascii="Times New Roman" w:hAnsi="Times New Roman" w:cs="Times New Roman"/>
          <w:bCs/>
        </w:rPr>
        <w:t xml:space="preserve"> nije imala jasan uticaj ni na jednu uočenu toksičnost.</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lastRenderedPageBreak/>
        <w:t xml:space="preserve">Najučestalije značajno neželjeno djejstvo bilo je </w:t>
      </w:r>
      <w:r w:rsidRPr="00CC438D">
        <w:rPr>
          <w:rFonts w:ascii="Times New Roman" w:hAnsi="Times New Roman" w:cs="Times New Roman"/>
          <w:b/>
          <w:bCs/>
        </w:rPr>
        <w:t>supresija koštane srži</w:t>
      </w:r>
      <w:r w:rsidRPr="00CC438D">
        <w:rPr>
          <w:rFonts w:ascii="Times New Roman" w:hAnsi="Times New Roman" w:cs="Times New Roman"/>
          <w:bCs/>
        </w:rPr>
        <w:t>. Teška neutropenija (&lt;0</w:t>
      </w:r>
      <w:proofErr w:type="gramStart"/>
      <w:r w:rsidRPr="00CC438D">
        <w:rPr>
          <w:rFonts w:ascii="Times New Roman" w:hAnsi="Times New Roman" w:cs="Times New Roman"/>
          <w:bCs/>
        </w:rPr>
        <w:t>,5</w:t>
      </w:r>
      <w:proofErr w:type="gramEnd"/>
      <w:r w:rsidRPr="00CC438D">
        <w:rPr>
          <w:rFonts w:ascii="Times New Roman" w:hAnsi="Times New Roman" w:cs="Times New Roman"/>
          <w:bCs/>
        </w:rPr>
        <w:t xml:space="preserve"> x 10</w:t>
      </w:r>
      <w:r w:rsidRPr="00CC438D">
        <w:rPr>
          <w:rFonts w:ascii="Times New Roman" w:hAnsi="Times New Roman" w:cs="Times New Roman"/>
          <w:bCs/>
          <w:vertAlign w:val="superscript"/>
        </w:rPr>
        <w:t>9</w:t>
      </w:r>
      <w:r w:rsidRPr="00CC438D">
        <w:rPr>
          <w:rFonts w:ascii="Times New Roman" w:hAnsi="Times New Roman" w:cs="Times New Roman"/>
          <w:bCs/>
        </w:rPr>
        <w:t xml:space="preserve">/L) javila se kod 28% pacijenata, ali nije bila povezana sa febrilnim epizodama. Samo 1% pacijenata imalo je tešku neutropeniju ≥ 7 </w:t>
      </w:r>
      <w:proofErr w:type="gramStart"/>
      <w:r w:rsidRPr="00CC438D">
        <w:rPr>
          <w:rFonts w:ascii="Times New Roman" w:hAnsi="Times New Roman" w:cs="Times New Roman"/>
          <w:bCs/>
        </w:rPr>
        <w:t>dana</w:t>
      </w:r>
      <w:proofErr w:type="gramEnd"/>
      <w:r w:rsidRPr="00CC438D">
        <w:rPr>
          <w:rFonts w:ascii="Times New Roman" w:hAnsi="Times New Roman" w:cs="Times New Roman"/>
          <w:bCs/>
        </w:rPr>
        <w:t xml:space="preserve">. Trombocitopenija je zabilježena kod 11% pacijenata. </w:t>
      </w:r>
      <w:proofErr w:type="gramStart"/>
      <w:r w:rsidRPr="00CC438D">
        <w:rPr>
          <w:rFonts w:ascii="Times New Roman" w:hAnsi="Times New Roman" w:cs="Times New Roman"/>
          <w:bCs/>
        </w:rPr>
        <w:t>3</w:t>
      </w:r>
      <w:proofErr w:type="gramEnd"/>
      <w:r w:rsidRPr="00CC438D">
        <w:rPr>
          <w:rFonts w:ascii="Times New Roman" w:hAnsi="Times New Roman" w:cs="Times New Roman"/>
          <w:bCs/>
        </w:rPr>
        <w:t>% pacijenata imalo je najniži broj trombocita &lt;50 x 10</w:t>
      </w:r>
      <w:r w:rsidRPr="00CC438D">
        <w:rPr>
          <w:rFonts w:ascii="Times New Roman" w:hAnsi="Times New Roman" w:cs="Times New Roman"/>
          <w:bCs/>
          <w:vertAlign w:val="superscript"/>
        </w:rPr>
        <w:t>9</w:t>
      </w:r>
      <w:r w:rsidRPr="00CC438D">
        <w:rPr>
          <w:rFonts w:ascii="Times New Roman" w:hAnsi="Times New Roman" w:cs="Times New Roman"/>
          <w:bCs/>
        </w:rPr>
        <w:t>/L barem jednom u toku studije. Anemija je uočena kod 64% pacijenata, ali se u teškom obliku (Hb &lt;8</w:t>
      </w:r>
      <w:proofErr w:type="gramStart"/>
      <w:r w:rsidRPr="00CC438D">
        <w:rPr>
          <w:rFonts w:ascii="Times New Roman" w:hAnsi="Times New Roman" w:cs="Times New Roman"/>
          <w:bCs/>
        </w:rPr>
        <w:t>,1</w:t>
      </w:r>
      <w:proofErr w:type="gramEnd"/>
      <w:r w:rsidRPr="00CC438D">
        <w:rPr>
          <w:rFonts w:ascii="Times New Roman" w:hAnsi="Times New Roman" w:cs="Times New Roman"/>
          <w:bCs/>
        </w:rPr>
        <w:t xml:space="preserve"> g/dL) javila samo kod 6% pacijenata. Incidenca i težina anemije su bile u vezi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početnim vrijednostima hemoglobina prije početka studije.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Neurotoksičnost</w:t>
      </w:r>
      <w:r w:rsidRPr="00CC438D">
        <w:rPr>
          <w:rFonts w:ascii="Times New Roman" w:hAnsi="Times New Roman" w:cs="Times New Roman"/>
          <w:bCs/>
        </w:rPr>
        <w:t xml:space="preserve">, uglavnom </w:t>
      </w:r>
      <w:r w:rsidRPr="00CC438D">
        <w:rPr>
          <w:rFonts w:ascii="Times New Roman" w:hAnsi="Times New Roman" w:cs="Times New Roman"/>
          <w:b/>
          <w:bCs/>
        </w:rPr>
        <w:t>periferna neuropatija</w:t>
      </w:r>
      <w:r w:rsidRPr="00CC438D">
        <w:rPr>
          <w:rFonts w:ascii="Times New Roman" w:hAnsi="Times New Roman" w:cs="Times New Roman"/>
          <w:bCs/>
        </w:rPr>
        <w:t xml:space="preserve">, javljala se češće i u težem obliku kod 3-časovne infuzije od 175 mg/m2 (85% neurotoksičnost, 15% teška) nego kod 24-časovne infuzije od 135 mg/m2 (25% periferna neuropatija, 3% teška) kada se paklitaksel primjenjivao u kombinaciji sa cisplatinom. Kod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nemikrocelularnim karcinomom pluća (NSCLC) i kod pacijentkinja sa karcinomom jajnika koji su liječeni paklitakselom u trajanju od 3 sata posle koga je primijenjen cisplatin, došlo je do očigledno veće incidence teške neurotoksičnosti. Periferna neuropatija može da se javi posle prvog ciklusa terapije i može da se pogorša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povećanjem izloženosti paklitakselu. Pojava periferne neuropatije rezultirala je prekidom primjene paklitaksela u nekoliko slučajeva. Senzorni simptomi obično su se ublažili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povukli u roku od nekoliko mjeseci posle prekida primjene paklitaksela. Prethodno postojanje neuropatije koje su </w:t>
      </w:r>
      <w:proofErr w:type="gramStart"/>
      <w:r w:rsidRPr="00CC438D">
        <w:rPr>
          <w:rFonts w:ascii="Times New Roman" w:hAnsi="Times New Roman" w:cs="Times New Roman"/>
          <w:bCs/>
        </w:rPr>
        <w:t>bile  rezultat</w:t>
      </w:r>
      <w:proofErr w:type="gramEnd"/>
      <w:r w:rsidRPr="00CC438D">
        <w:rPr>
          <w:rFonts w:ascii="Times New Roman" w:hAnsi="Times New Roman" w:cs="Times New Roman"/>
          <w:bCs/>
        </w:rPr>
        <w:t xml:space="preserve"> prethodnih terapija nisu kontraindikacija za terapiju paklitakselom.</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Artralgija</w:t>
      </w:r>
      <w:r w:rsidRPr="00CC438D">
        <w:rPr>
          <w:rFonts w:ascii="Times New Roman" w:hAnsi="Times New Roman" w:cs="Times New Roman"/>
          <w:bCs/>
        </w:rPr>
        <w:t xml:space="preserv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w:t>
      </w:r>
      <w:r w:rsidRPr="00CC438D">
        <w:rPr>
          <w:rFonts w:ascii="Times New Roman" w:hAnsi="Times New Roman" w:cs="Times New Roman"/>
          <w:b/>
          <w:bCs/>
        </w:rPr>
        <w:t>mialgija</w:t>
      </w:r>
      <w:r w:rsidRPr="00CC438D">
        <w:rPr>
          <w:rFonts w:ascii="Times New Roman" w:hAnsi="Times New Roman" w:cs="Times New Roman"/>
          <w:bCs/>
        </w:rPr>
        <w:t xml:space="preserve"> javila se kod 60% pacijenata, a u teškom obliku kod 13% pacijenata.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Teška reakcija preosjetljivosti</w:t>
      </w:r>
      <w:r w:rsidRPr="00CC438D">
        <w:rPr>
          <w:rFonts w:ascii="Times New Roman" w:hAnsi="Times New Roman" w:cs="Times New Roman"/>
          <w:bCs/>
        </w:rPr>
        <w:t xml:space="preserve"> sa mogućim fatalnim ishodom (koja se definiše kao hipotenzija koja zahtijeva terapiju, angioedem, respiratorni distres sindrom koji zahtijeva terapiju bronhodilatatorima ili generalizovana urtikarija) javila se kod dva (&lt; 1%) pacijenta. 34% pacijenata (17% u svim ciklusima terapije) imalo je blage reakcije preosjetljivosti. Ove blage reakcije, uglavnom crvenilo i osip</w:t>
      </w:r>
      <w:proofErr w:type="gramStart"/>
      <w:r w:rsidRPr="00CC438D">
        <w:rPr>
          <w:rFonts w:ascii="Times New Roman" w:hAnsi="Times New Roman" w:cs="Times New Roman"/>
          <w:bCs/>
        </w:rPr>
        <w:t>,  nisu</w:t>
      </w:r>
      <w:proofErr w:type="gramEnd"/>
      <w:r w:rsidRPr="00CC438D">
        <w:rPr>
          <w:rFonts w:ascii="Times New Roman" w:hAnsi="Times New Roman" w:cs="Times New Roman"/>
          <w:bCs/>
        </w:rPr>
        <w:t xml:space="preserve"> zahtijevale terapijsku intervenciju niti su spriječile nastavak terapije paklitakselom.</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 xml:space="preserve">Reakcije </w:t>
      </w:r>
      <w:proofErr w:type="gramStart"/>
      <w:r w:rsidRPr="00CC438D">
        <w:rPr>
          <w:rFonts w:ascii="Times New Roman" w:hAnsi="Times New Roman" w:cs="Times New Roman"/>
          <w:b/>
          <w:bCs/>
        </w:rPr>
        <w:t>na</w:t>
      </w:r>
      <w:proofErr w:type="gramEnd"/>
      <w:r w:rsidRPr="00CC438D">
        <w:rPr>
          <w:rFonts w:ascii="Times New Roman" w:hAnsi="Times New Roman" w:cs="Times New Roman"/>
          <w:b/>
          <w:bCs/>
        </w:rPr>
        <w:t xml:space="preserve"> mjestu primjene injekcije -</w:t>
      </w:r>
      <w:r w:rsidRPr="00CC438D">
        <w:rPr>
          <w:rFonts w:ascii="Times New Roman" w:hAnsi="Times New Roman" w:cs="Times New Roman"/>
          <w:bCs/>
        </w:rPr>
        <w:t xml:space="preserve"> prilikom intravenske primjene može doći do pojave lokalizovanog edema, bola, eritema i induracije, a ekstravazacija može povremeno uzrokovati celulitis. Zabilježeno je stvaranje krasta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koži i/ili ljuštenje kože, ponekad povezano sa ekstravazacijom. Može doći i do promjene boje kože. Ponovna pojava kožnih reakcija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mjestu prethodne ekstravazacije poslje primjene paklitaksela na različitim mjestima, tj. </w:t>
      </w:r>
      <w:proofErr w:type="gramStart"/>
      <w:r w:rsidRPr="00CC438D">
        <w:rPr>
          <w:rFonts w:ascii="Times New Roman" w:hAnsi="Times New Roman" w:cs="Times New Roman"/>
          <w:bCs/>
        </w:rPr>
        <w:t>ponovljena</w:t>
      </w:r>
      <w:proofErr w:type="gramEnd"/>
      <w:r w:rsidRPr="00CC438D">
        <w:rPr>
          <w:rFonts w:ascii="Times New Roman" w:hAnsi="Times New Roman" w:cs="Times New Roman"/>
          <w:bCs/>
        </w:rPr>
        <w:t xml:space="preserve"> reakcija, rijetko je zabilježena. Specifično </w:t>
      </w:r>
      <w:proofErr w:type="gramStart"/>
      <w:r w:rsidRPr="00CC438D">
        <w:rPr>
          <w:rFonts w:ascii="Times New Roman" w:hAnsi="Times New Roman" w:cs="Times New Roman"/>
          <w:bCs/>
        </w:rPr>
        <w:t>liječenje  reakcija</w:t>
      </w:r>
      <w:proofErr w:type="gramEnd"/>
      <w:r w:rsidRPr="00CC438D">
        <w:rPr>
          <w:rFonts w:ascii="Times New Roman" w:hAnsi="Times New Roman" w:cs="Times New Roman"/>
          <w:bCs/>
        </w:rPr>
        <w:t xml:space="preserve"> ekstravazacije za sada nije poznato.</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U nekim slučajevima se dogodi izbijanje reakcije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mjestu uboda injekcije, odnosno na mjestu ubrizgavanja ili se reakcija pojavi tokom produžene infuzije, ili se pojava te reakcije odloži za nedelju ili 10 dana.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 </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U daljem tekstu navode se neželjena dejstva bez obzira na težinu povezanu sa primjenom samo paklitaksela koji se daje kao tročasovna infuzija u terapiji metastaza (</w:t>
      </w:r>
      <w:proofErr w:type="gramStart"/>
      <w:r w:rsidRPr="00CC438D">
        <w:rPr>
          <w:rFonts w:ascii="Times New Roman" w:hAnsi="Times New Roman" w:cs="Times New Roman"/>
          <w:bCs/>
        </w:rPr>
        <w:t>812 pacijenata</w:t>
      </w:r>
      <w:proofErr w:type="gramEnd"/>
      <w:r w:rsidRPr="00CC438D">
        <w:rPr>
          <w:rFonts w:ascii="Times New Roman" w:hAnsi="Times New Roman" w:cs="Times New Roman"/>
          <w:bCs/>
        </w:rPr>
        <w:t xml:space="preserve"> iz kliničkih studija). Neželjena dejstva su zabilježena u postmarketiškom praćenju lijeka*.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Učestalost neželjenih dejstava navedena u daljem tekstu utvrđena je korišćenjem sledećih konvencija: Veoma česta (≥ 1/10); česta (≥ 1/100 i &lt; 1/10); povremena (≥ 1/1000 i &lt; 1/100); rijetka (≥1/10000 i &lt; 1/1000); veoma rijetka (&lt; 1/10000); nepoznata učestalost: ne može se procijeniti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osnovu dostupnih podataka.</w:t>
      </w:r>
    </w:p>
    <w:p w:rsidR="00CC438D" w:rsidRPr="00CC438D" w:rsidRDefault="00CC438D" w:rsidP="00CC438D">
      <w:pPr>
        <w:tabs>
          <w:tab w:val="left" w:pos="540"/>
          <w:tab w:val="left" w:pos="569"/>
        </w:tabs>
        <w:spacing w:after="0"/>
        <w:jc w:val="both"/>
        <w:rPr>
          <w:rFonts w:ascii="Times New Roman" w:hAnsi="Times New Roman" w:cs="Times New Roman"/>
          <w:bCs/>
        </w:rPr>
      </w:pPr>
    </w:p>
    <w:tbl>
      <w:tblPr>
        <w:tblW w:w="9724" w:type="dxa"/>
        <w:jc w:val="center"/>
        <w:tblLayout w:type="fixed"/>
        <w:tblCellMar>
          <w:left w:w="0" w:type="dxa"/>
          <w:right w:w="0" w:type="dxa"/>
        </w:tblCellMar>
        <w:tblLook w:val="01E0" w:firstRow="1" w:lastRow="1" w:firstColumn="1" w:lastColumn="1" w:noHBand="0" w:noVBand="0"/>
      </w:tblPr>
      <w:tblGrid>
        <w:gridCol w:w="5280"/>
        <w:gridCol w:w="4428"/>
        <w:gridCol w:w="16"/>
      </w:tblGrid>
      <w:tr w:rsidR="00CC438D" w:rsidRPr="00CC438D" w:rsidTr="00A51C33">
        <w:trPr>
          <w:gridAfter w:val="1"/>
          <w:wAfter w:w="16" w:type="dxa"/>
          <w:trHeight w:hRule="exact" w:val="1792"/>
          <w:jc w:val="center"/>
        </w:trPr>
        <w:tc>
          <w:tcPr>
            <w:tcW w:w="5280" w:type="dxa"/>
            <w:tcBorders>
              <w:top w:val="single" w:sz="4" w:space="0" w:color="000000"/>
              <w:left w:val="single" w:sz="4" w:space="0" w:color="000000"/>
              <w:bottom w:val="single" w:sz="4" w:space="0" w:color="000000"/>
              <w:right w:val="single" w:sz="4" w:space="0" w:color="000000"/>
            </w:tcBorders>
            <w:vAlign w:val="center"/>
          </w:tcPr>
          <w:p w:rsidR="00CC438D" w:rsidRPr="00CC438D" w:rsidRDefault="00CC438D" w:rsidP="00CC438D">
            <w:pPr>
              <w:widowControl w:val="0"/>
              <w:spacing w:after="0" w:line="249" w:lineRule="exact"/>
              <w:ind w:left="100"/>
              <w:jc w:val="both"/>
              <w:rPr>
                <w:rFonts w:ascii="Times New Roman" w:hAnsi="Times New Roman" w:cs="Times New Roman"/>
              </w:rPr>
            </w:pPr>
            <w:r w:rsidRPr="00CC438D">
              <w:rPr>
                <w:rFonts w:ascii="Times New Roman" w:eastAsia="Calibri" w:hAnsi="Times New Roman" w:cs="Times New Roman"/>
                <w:b/>
              </w:rPr>
              <w:lastRenderedPageBreak/>
              <w:t>Infekcije i</w:t>
            </w:r>
            <w:r w:rsidRPr="00CC438D">
              <w:rPr>
                <w:rFonts w:ascii="Times New Roman" w:eastAsia="Calibri" w:hAnsi="Times New Roman" w:cs="Times New Roman"/>
                <w:b/>
                <w:spacing w:val="-15"/>
              </w:rPr>
              <w:t xml:space="preserve"> </w:t>
            </w:r>
            <w:r w:rsidRPr="00CC438D">
              <w:rPr>
                <w:rFonts w:ascii="Times New Roman" w:eastAsia="Calibri" w:hAnsi="Times New Roman" w:cs="Times New Roman"/>
                <w:b/>
              </w:rPr>
              <w:t>infestacije</w:t>
            </w:r>
          </w:p>
        </w:tc>
        <w:tc>
          <w:tcPr>
            <w:tcW w:w="4428" w:type="dxa"/>
            <w:tcBorders>
              <w:top w:val="single" w:sz="4" w:space="0" w:color="000000"/>
              <w:left w:val="single" w:sz="4" w:space="0" w:color="000000"/>
              <w:bottom w:val="single" w:sz="4" w:space="0" w:color="000000"/>
              <w:right w:val="single" w:sz="4" w:space="0" w:color="000000"/>
            </w:tcBorders>
            <w:vAlign w:val="center"/>
          </w:tcPr>
          <w:p w:rsidR="00CC438D" w:rsidRPr="00CC438D" w:rsidRDefault="00CC438D" w:rsidP="00075BC5">
            <w:pPr>
              <w:widowControl w:val="0"/>
              <w:tabs>
                <w:tab w:val="left" w:pos="1065"/>
                <w:tab w:val="left" w:pos="1531"/>
                <w:tab w:val="left" w:pos="1891"/>
                <w:tab w:val="left" w:pos="2428"/>
                <w:tab w:val="left" w:pos="2870"/>
              </w:tabs>
              <w:spacing w:after="0"/>
              <w:ind w:left="105" w:right="11"/>
              <w:rPr>
                <w:rFonts w:ascii="Times New Roman" w:eastAsia="Calibri" w:hAnsi="Times New Roman" w:cs="Times New Roman"/>
                <w:spacing w:val="-1"/>
              </w:rPr>
            </w:pPr>
            <w:r w:rsidRPr="00CC438D">
              <w:rPr>
                <w:rFonts w:ascii="Times New Roman" w:eastAsia="Calibri" w:hAnsi="Times New Roman" w:cs="Times New Roman"/>
                <w:spacing w:val="-2"/>
              </w:rPr>
              <w:t xml:space="preserve">Veoma </w:t>
            </w:r>
            <w:r w:rsidRPr="00CC438D">
              <w:rPr>
                <w:rFonts w:ascii="Times New Roman" w:eastAsia="Calibri" w:hAnsi="Times New Roman" w:cs="Times New Roman"/>
                <w:spacing w:val="-1"/>
              </w:rPr>
              <w:t xml:space="preserve">česta: infekcije (uglavnom </w:t>
            </w:r>
            <w:r w:rsidRPr="00CC438D">
              <w:rPr>
                <w:rFonts w:ascii="Times New Roman" w:eastAsia="Calibri" w:hAnsi="Times New Roman" w:cs="Times New Roman"/>
                <w:spacing w:val="-52"/>
              </w:rPr>
              <w:t xml:space="preserve"> </w:t>
            </w:r>
            <w:r w:rsidRPr="00CC438D">
              <w:rPr>
                <w:rFonts w:ascii="Times New Roman" w:eastAsia="Calibri" w:hAnsi="Times New Roman" w:cs="Times New Roman"/>
              </w:rPr>
              <w:t>infekcije urinarnog trakta i i gornjih</w:t>
            </w:r>
            <w:r w:rsidRPr="00CC438D">
              <w:rPr>
                <w:rFonts w:ascii="Times New Roman" w:eastAsia="Calibri" w:hAnsi="Times New Roman" w:cs="Times New Roman"/>
                <w:spacing w:val="43"/>
              </w:rPr>
              <w:t xml:space="preserve"> </w:t>
            </w:r>
            <w:r w:rsidRPr="00CC438D">
              <w:rPr>
                <w:rFonts w:ascii="Times New Roman" w:eastAsia="Calibri" w:hAnsi="Times New Roman" w:cs="Times New Roman"/>
              </w:rPr>
              <w:t>partija</w:t>
            </w:r>
            <w:r w:rsidRPr="00CC438D">
              <w:rPr>
                <w:rFonts w:ascii="Times New Roman" w:eastAsia="Calibri" w:hAnsi="Times New Roman" w:cs="Times New Roman"/>
                <w:spacing w:val="-1"/>
              </w:rPr>
              <w:t xml:space="preserve"> </w:t>
            </w:r>
            <w:r w:rsidRPr="00CC438D">
              <w:rPr>
                <w:rFonts w:ascii="Times New Roman" w:eastAsia="Calibri" w:hAnsi="Times New Roman" w:cs="Times New Roman"/>
                <w:spacing w:val="-2"/>
              </w:rPr>
              <w:t xml:space="preserve">respiratornog </w:t>
            </w:r>
            <w:r w:rsidRPr="00CC438D">
              <w:rPr>
                <w:rFonts w:ascii="Times New Roman" w:eastAsia="Calibri" w:hAnsi="Times New Roman" w:cs="Times New Roman"/>
              </w:rPr>
              <w:t xml:space="preserve">trakta), </w:t>
            </w:r>
            <w:r w:rsidRPr="00CC438D">
              <w:rPr>
                <w:rFonts w:ascii="Times New Roman" w:eastAsia="Calibri" w:hAnsi="Times New Roman" w:cs="Times New Roman"/>
                <w:spacing w:val="-1"/>
              </w:rPr>
              <w:t>sa prijavljenim</w:t>
            </w:r>
            <w:r w:rsidRPr="00CC438D">
              <w:rPr>
                <w:rFonts w:ascii="Times New Roman" w:eastAsia="Calibri" w:hAnsi="Times New Roman" w:cs="Times New Roman"/>
                <w:spacing w:val="-52"/>
              </w:rPr>
              <w:t xml:space="preserve">  </w:t>
            </w:r>
            <w:r w:rsidRPr="00CC438D">
              <w:rPr>
                <w:rFonts w:ascii="Times New Roman" w:eastAsia="Calibri" w:hAnsi="Times New Roman" w:cs="Times New Roman"/>
              </w:rPr>
              <w:t>slučajevima sa fatalnim</w:t>
            </w:r>
            <w:r w:rsidRPr="00CC438D">
              <w:rPr>
                <w:rFonts w:ascii="Times New Roman" w:eastAsia="Calibri" w:hAnsi="Times New Roman" w:cs="Times New Roman"/>
                <w:spacing w:val="-6"/>
              </w:rPr>
              <w:t xml:space="preserve"> </w:t>
            </w:r>
            <w:r w:rsidRPr="00CC438D">
              <w:rPr>
                <w:rFonts w:ascii="Times New Roman" w:eastAsia="Calibri" w:hAnsi="Times New Roman" w:cs="Times New Roman"/>
              </w:rPr>
              <w:t>ishodom</w:t>
            </w:r>
            <w:r w:rsidRPr="00CC438D">
              <w:rPr>
                <w:rFonts w:ascii="Times New Roman" w:eastAsia="Calibri" w:hAnsi="Times New Roman" w:cs="Times New Roman"/>
                <w:spacing w:val="-1"/>
              </w:rPr>
              <w:t xml:space="preserve"> </w:t>
            </w:r>
          </w:p>
          <w:p w:rsidR="00CC438D" w:rsidRPr="00CC438D" w:rsidRDefault="00CC438D" w:rsidP="00075BC5">
            <w:pPr>
              <w:widowControl w:val="0"/>
              <w:tabs>
                <w:tab w:val="left" w:pos="1065"/>
                <w:tab w:val="left" w:pos="1531"/>
                <w:tab w:val="left" w:pos="1891"/>
                <w:tab w:val="left" w:pos="2428"/>
                <w:tab w:val="left" w:pos="2870"/>
              </w:tabs>
              <w:spacing w:after="0"/>
              <w:ind w:left="105" w:right="11"/>
              <w:rPr>
                <w:rFonts w:ascii="Times New Roman" w:hAnsi="Times New Roman" w:cs="Times New Roman"/>
              </w:rPr>
            </w:pPr>
            <w:r w:rsidRPr="00CC438D">
              <w:rPr>
                <w:rFonts w:ascii="Times New Roman" w:eastAsia="Calibri" w:hAnsi="Times New Roman" w:cs="Times New Roman"/>
              </w:rPr>
              <w:t>Povremena: septički</w:t>
            </w:r>
            <w:r w:rsidRPr="00CC438D">
              <w:rPr>
                <w:rFonts w:ascii="Times New Roman" w:eastAsia="Calibri" w:hAnsi="Times New Roman" w:cs="Times New Roman"/>
                <w:spacing w:val="-15"/>
              </w:rPr>
              <w:t xml:space="preserve"> </w:t>
            </w:r>
            <w:r w:rsidRPr="00CC438D">
              <w:rPr>
                <w:rFonts w:ascii="Times New Roman" w:eastAsia="Calibri" w:hAnsi="Times New Roman" w:cs="Times New Roman"/>
              </w:rPr>
              <w:t>šok</w:t>
            </w:r>
          </w:p>
          <w:p w:rsidR="00CC438D" w:rsidRPr="00CC438D" w:rsidRDefault="00CC438D" w:rsidP="00075BC5">
            <w:pPr>
              <w:widowControl w:val="0"/>
              <w:spacing w:before="1" w:after="0"/>
              <w:ind w:left="105"/>
              <w:rPr>
                <w:rFonts w:ascii="Times New Roman" w:hAnsi="Times New Roman" w:cs="Times New Roman"/>
              </w:rPr>
            </w:pPr>
            <w:r w:rsidRPr="00CC438D">
              <w:rPr>
                <w:rFonts w:ascii="Times New Roman" w:eastAsia="Calibri" w:hAnsi="Times New Roman" w:cs="Times New Roman"/>
              </w:rPr>
              <w:t>Rijetka*: pneumonija, sepsa,</w:t>
            </w:r>
            <w:r w:rsidRPr="00CC438D">
              <w:rPr>
                <w:rFonts w:ascii="Times New Roman" w:eastAsia="Calibri" w:hAnsi="Times New Roman" w:cs="Times New Roman"/>
                <w:spacing w:val="-38"/>
              </w:rPr>
              <w:t xml:space="preserve"> </w:t>
            </w:r>
            <w:r w:rsidRPr="00CC438D">
              <w:rPr>
                <w:rFonts w:ascii="Times New Roman" w:eastAsia="Calibri" w:hAnsi="Times New Roman" w:cs="Times New Roman"/>
              </w:rPr>
              <w:t>peritonitis</w:t>
            </w:r>
          </w:p>
        </w:tc>
      </w:tr>
      <w:tr w:rsidR="00CC438D" w:rsidRPr="00CC438D" w:rsidTr="00A51C33">
        <w:trPr>
          <w:gridAfter w:val="1"/>
          <w:wAfter w:w="16" w:type="dxa"/>
          <w:trHeight w:hRule="exact" w:val="2464"/>
          <w:jc w:val="center"/>
        </w:trPr>
        <w:tc>
          <w:tcPr>
            <w:tcW w:w="5280" w:type="dxa"/>
            <w:tcBorders>
              <w:top w:val="single" w:sz="4" w:space="0" w:color="000000"/>
              <w:left w:val="single" w:sz="4" w:space="0" w:color="000000"/>
              <w:bottom w:val="single" w:sz="4" w:space="0" w:color="000000"/>
              <w:right w:val="single" w:sz="4" w:space="0" w:color="000000"/>
            </w:tcBorders>
            <w:vAlign w:val="center"/>
          </w:tcPr>
          <w:p w:rsidR="00CC438D" w:rsidRPr="00CC438D" w:rsidRDefault="00CC438D" w:rsidP="00CC438D">
            <w:pPr>
              <w:widowControl w:val="0"/>
              <w:spacing w:after="0" w:line="249" w:lineRule="exact"/>
              <w:ind w:left="100"/>
              <w:jc w:val="both"/>
              <w:rPr>
                <w:rFonts w:ascii="Times New Roman" w:hAnsi="Times New Roman" w:cs="Times New Roman"/>
              </w:rPr>
            </w:pPr>
            <w:r w:rsidRPr="00CC438D">
              <w:rPr>
                <w:rFonts w:ascii="Times New Roman" w:eastAsia="Calibri" w:hAnsi="Times New Roman" w:cs="Times New Roman"/>
                <w:b/>
              </w:rPr>
              <w:t>Poremećaji krvi i limfnog</w:t>
            </w:r>
            <w:r w:rsidRPr="00CC438D">
              <w:rPr>
                <w:rFonts w:ascii="Times New Roman" w:eastAsia="Calibri" w:hAnsi="Times New Roman" w:cs="Times New Roman"/>
                <w:b/>
                <w:spacing w:val="-17"/>
              </w:rPr>
              <w:t xml:space="preserve"> </w:t>
            </w:r>
            <w:r w:rsidRPr="00CC438D">
              <w:rPr>
                <w:rFonts w:ascii="Times New Roman" w:eastAsia="Calibri" w:hAnsi="Times New Roman" w:cs="Times New Roman"/>
                <w:b/>
              </w:rPr>
              <w:t>sistema</w:t>
            </w:r>
          </w:p>
        </w:tc>
        <w:tc>
          <w:tcPr>
            <w:tcW w:w="4428" w:type="dxa"/>
            <w:tcBorders>
              <w:top w:val="single" w:sz="4" w:space="0" w:color="000000"/>
              <w:left w:val="single" w:sz="4" w:space="0" w:color="000000"/>
              <w:bottom w:val="single" w:sz="4" w:space="0" w:color="000000"/>
              <w:right w:val="single" w:sz="4" w:space="0" w:color="000000"/>
            </w:tcBorders>
            <w:vAlign w:val="center"/>
          </w:tcPr>
          <w:p w:rsidR="00CC438D" w:rsidRPr="00CC438D" w:rsidRDefault="00CC438D" w:rsidP="00075BC5">
            <w:pPr>
              <w:widowControl w:val="0"/>
              <w:tabs>
                <w:tab w:val="left" w:pos="1387"/>
                <w:tab w:val="left" w:pos="2543"/>
              </w:tabs>
              <w:spacing w:after="0" w:line="242" w:lineRule="auto"/>
              <w:ind w:left="105" w:right="11"/>
              <w:rPr>
                <w:rFonts w:ascii="Times New Roman" w:hAnsi="Times New Roman" w:cs="Times New Roman"/>
              </w:rPr>
            </w:pPr>
            <w:r w:rsidRPr="00CC438D">
              <w:rPr>
                <w:rFonts w:ascii="Times New Roman" w:eastAsia="Calibri" w:hAnsi="Times New Roman" w:cs="Times New Roman"/>
                <w:spacing w:val="-2"/>
              </w:rPr>
              <w:t xml:space="preserve">Veoma </w:t>
            </w:r>
            <w:r w:rsidRPr="00CC438D">
              <w:rPr>
                <w:rFonts w:ascii="Times New Roman" w:eastAsia="Calibri" w:hAnsi="Times New Roman" w:cs="Times New Roman"/>
                <w:spacing w:val="-1"/>
              </w:rPr>
              <w:t xml:space="preserve">česta: mijelosupresija, </w:t>
            </w:r>
            <w:r w:rsidRPr="00CC438D">
              <w:rPr>
                <w:rFonts w:ascii="Times New Roman" w:eastAsia="Calibri" w:hAnsi="Times New Roman" w:cs="Times New Roman"/>
                <w:spacing w:val="-50"/>
              </w:rPr>
              <w:t xml:space="preserve"> </w:t>
            </w:r>
            <w:r w:rsidRPr="00CC438D">
              <w:rPr>
                <w:rFonts w:ascii="Times New Roman" w:eastAsia="Calibri" w:hAnsi="Times New Roman" w:cs="Times New Roman"/>
              </w:rPr>
              <w:t>neutropenija, anemija,</w:t>
            </w:r>
            <w:r w:rsidRPr="00CC438D">
              <w:rPr>
                <w:rFonts w:ascii="Times New Roman" w:eastAsia="Calibri" w:hAnsi="Times New Roman" w:cs="Times New Roman"/>
                <w:spacing w:val="20"/>
              </w:rPr>
              <w:t xml:space="preserve"> </w:t>
            </w:r>
            <w:r w:rsidRPr="00CC438D">
              <w:rPr>
                <w:rFonts w:ascii="Times New Roman" w:eastAsia="Calibri" w:hAnsi="Times New Roman" w:cs="Times New Roman"/>
              </w:rPr>
              <w:t>trombocitopenija,</w:t>
            </w:r>
            <w:r w:rsidRPr="00CC438D">
              <w:rPr>
                <w:rFonts w:ascii="Times New Roman" w:eastAsia="Calibri" w:hAnsi="Times New Roman" w:cs="Times New Roman"/>
                <w:spacing w:val="-1"/>
              </w:rPr>
              <w:t xml:space="preserve"> </w:t>
            </w:r>
            <w:r w:rsidRPr="00CC438D">
              <w:rPr>
                <w:rFonts w:ascii="Times New Roman" w:eastAsia="Calibri" w:hAnsi="Times New Roman" w:cs="Times New Roman"/>
              </w:rPr>
              <w:t>leukopenija,</w:t>
            </w:r>
            <w:r w:rsidRPr="00CC438D">
              <w:rPr>
                <w:rFonts w:ascii="Times New Roman" w:eastAsia="Calibri" w:hAnsi="Times New Roman" w:cs="Times New Roman"/>
                <w:spacing w:val="-21"/>
              </w:rPr>
              <w:t xml:space="preserve"> </w:t>
            </w:r>
            <w:r w:rsidRPr="00CC438D">
              <w:rPr>
                <w:rFonts w:ascii="Times New Roman" w:eastAsia="Calibri" w:hAnsi="Times New Roman" w:cs="Times New Roman"/>
              </w:rPr>
              <w:t>krvarenje</w:t>
            </w:r>
          </w:p>
          <w:p w:rsidR="00CC438D" w:rsidRPr="00CC438D" w:rsidRDefault="00CC438D" w:rsidP="00075BC5">
            <w:pPr>
              <w:widowControl w:val="0"/>
              <w:spacing w:after="0" w:line="247" w:lineRule="exact"/>
              <w:ind w:left="105"/>
              <w:rPr>
                <w:rFonts w:ascii="Times New Roman" w:hAnsi="Times New Roman" w:cs="Times New Roman"/>
              </w:rPr>
            </w:pPr>
            <w:r w:rsidRPr="00CC438D">
              <w:rPr>
                <w:rFonts w:ascii="Times New Roman" w:eastAsia="Calibri" w:hAnsi="Times New Roman" w:cs="Times New Roman"/>
              </w:rPr>
              <w:t>Rijetka*: febrilna</w:t>
            </w:r>
            <w:r w:rsidRPr="00CC438D">
              <w:rPr>
                <w:rFonts w:ascii="Times New Roman" w:eastAsia="Calibri" w:hAnsi="Times New Roman" w:cs="Times New Roman"/>
                <w:spacing w:val="-18"/>
              </w:rPr>
              <w:t xml:space="preserve"> </w:t>
            </w:r>
            <w:r w:rsidRPr="00CC438D">
              <w:rPr>
                <w:rFonts w:ascii="Times New Roman" w:eastAsia="Calibri" w:hAnsi="Times New Roman" w:cs="Times New Roman"/>
              </w:rPr>
              <w:t>neutropenija</w:t>
            </w:r>
          </w:p>
          <w:p w:rsidR="00CC438D" w:rsidRPr="00CC438D" w:rsidRDefault="00CC438D" w:rsidP="00075BC5">
            <w:pPr>
              <w:widowControl w:val="0"/>
              <w:spacing w:before="1" w:after="0"/>
              <w:ind w:left="105" w:right="12"/>
              <w:rPr>
                <w:rFonts w:ascii="Times New Roman" w:hAnsi="Times New Roman" w:cs="Times New Roman"/>
              </w:rPr>
            </w:pPr>
            <w:r w:rsidRPr="00CC438D">
              <w:rPr>
                <w:rFonts w:ascii="Times New Roman" w:eastAsia="Calibri" w:hAnsi="Times New Roman" w:cs="Times New Roman"/>
              </w:rPr>
              <w:t>Veoma rijetka*: akutna</w:t>
            </w:r>
            <w:r w:rsidRPr="00CC438D">
              <w:rPr>
                <w:rFonts w:ascii="Times New Roman" w:eastAsia="Calibri" w:hAnsi="Times New Roman" w:cs="Times New Roman"/>
                <w:spacing w:val="7"/>
              </w:rPr>
              <w:t xml:space="preserve"> </w:t>
            </w:r>
            <w:r w:rsidRPr="00CC438D">
              <w:rPr>
                <w:rFonts w:ascii="Times New Roman" w:eastAsia="Calibri" w:hAnsi="Times New Roman" w:cs="Times New Roman"/>
              </w:rPr>
              <w:t>mijeloidna</w:t>
            </w:r>
            <w:r w:rsidRPr="00CC438D">
              <w:rPr>
                <w:rFonts w:ascii="Times New Roman" w:eastAsia="Calibri" w:hAnsi="Times New Roman" w:cs="Times New Roman"/>
                <w:spacing w:val="-1"/>
              </w:rPr>
              <w:t xml:space="preserve"> </w:t>
            </w:r>
            <w:r w:rsidRPr="00CC438D">
              <w:rPr>
                <w:rFonts w:ascii="Times New Roman" w:eastAsia="Calibri" w:hAnsi="Times New Roman" w:cs="Times New Roman"/>
              </w:rPr>
              <w:t>leukemija, mijelodisplastični</w:t>
            </w:r>
            <w:r w:rsidRPr="00CC438D">
              <w:rPr>
                <w:rFonts w:ascii="Times New Roman" w:eastAsia="Calibri" w:hAnsi="Times New Roman" w:cs="Times New Roman"/>
                <w:spacing w:val="-24"/>
              </w:rPr>
              <w:t xml:space="preserve"> </w:t>
            </w:r>
            <w:r w:rsidRPr="00CC438D">
              <w:rPr>
                <w:rFonts w:ascii="Times New Roman" w:eastAsia="Calibri" w:hAnsi="Times New Roman" w:cs="Times New Roman"/>
              </w:rPr>
              <w:t>sindrom</w:t>
            </w:r>
          </w:p>
          <w:p w:rsidR="00CC438D" w:rsidRPr="00CC438D" w:rsidRDefault="00CC438D" w:rsidP="00075BC5">
            <w:pPr>
              <w:widowControl w:val="0"/>
              <w:spacing w:before="88" w:after="0" w:line="250" w:lineRule="exact"/>
              <w:ind w:left="105" w:right="98"/>
              <w:rPr>
                <w:rFonts w:ascii="Times New Roman" w:hAnsi="Times New Roman" w:cs="Times New Roman"/>
              </w:rPr>
            </w:pPr>
            <w:r w:rsidRPr="00CC438D">
              <w:rPr>
                <w:rFonts w:ascii="Times New Roman" w:eastAsia="Calibri" w:hAnsi="Times New Roman" w:cs="Times New Roman"/>
              </w:rPr>
              <w:t>Nepoznata: diseminovana</w:t>
            </w:r>
            <w:r w:rsidRPr="00CC438D">
              <w:rPr>
                <w:rFonts w:ascii="Times New Roman" w:eastAsia="Calibri" w:hAnsi="Times New Roman" w:cs="Times New Roman"/>
                <w:spacing w:val="49"/>
              </w:rPr>
              <w:t xml:space="preserve"> </w:t>
            </w:r>
            <w:r w:rsidRPr="00CC438D">
              <w:rPr>
                <w:rFonts w:ascii="Times New Roman" w:eastAsia="Calibri" w:hAnsi="Times New Roman" w:cs="Times New Roman"/>
              </w:rPr>
              <w:t>intravaskularna koagulacija</w:t>
            </w:r>
            <w:r w:rsidRPr="00CC438D">
              <w:rPr>
                <w:rFonts w:ascii="Times New Roman" w:eastAsia="Calibri" w:hAnsi="Times New Roman" w:cs="Times New Roman"/>
                <w:spacing w:val="-11"/>
              </w:rPr>
              <w:t xml:space="preserve"> </w:t>
            </w:r>
            <w:r w:rsidRPr="00CC438D">
              <w:rPr>
                <w:rFonts w:ascii="Times New Roman" w:eastAsia="Calibri" w:hAnsi="Times New Roman" w:cs="Times New Roman"/>
              </w:rPr>
              <w:t>(DIK)</w:t>
            </w:r>
          </w:p>
        </w:tc>
      </w:tr>
      <w:tr w:rsidR="00CC438D" w:rsidRPr="00CC438D" w:rsidTr="00A51C33">
        <w:trPr>
          <w:gridAfter w:val="1"/>
          <w:wAfter w:w="16" w:type="dxa"/>
          <w:trHeight w:hRule="exact" w:val="3068"/>
          <w:jc w:val="center"/>
        </w:trPr>
        <w:tc>
          <w:tcPr>
            <w:tcW w:w="5280" w:type="dxa"/>
            <w:tcBorders>
              <w:top w:val="single" w:sz="4" w:space="0" w:color="000000"/>
              <w:left w:val="single" w:sz="4" w:space="0" w:color="000000"/>
              <w:bottom w:val="single" w:sz="4" w:space="0" w:color="000000"/>
              <w:right w:val="single" w:sz="4" w:space="0" w:color="000000"/>
            </w:tcBorders>
            <w:vAlign w:val="center"/>
          </w:tcPr>
          <w:p w:rsidR="00CC438D" w:rsidRPr="00CC438D" w:rsidRDefault="00CC438D" w:rsidP="00CC438D">
            <w:pPr>
              <w:widowControl w:val="0"/>
              <w:spacing w:after="0" w:line="249" w:lineRule="exact"/>
              <w:ind w:left="100"/>
              <w:jc w:val="both"/>
              <w:rPr>
                <w:rFonts w:ascii="Times New Roman" w:hAnsi="Times New Roman" w:cs="Times New Roman"/>
              </w:rPr>
            </w:pPr>
            <w:r w:rsidRPr="00CC438D">
              <w:rPr>
                <w:rFonts w:ascii="Times New Roman" w:eastAsia="Calibri" w:hAnsi="Times New Roman" w:cs="Times New Roman"/>
                <w:b/>
              </w:rPr>
              <w:t>Imunološki</w:t>
            </w:r>
            <w:r w:rsidRPr="00CC438D">
              <w:rPr>
                <w:rFonts w:ascii="Times New Roman" w:eastAsia="Calibri" w:hAnsi="Times New Roman" w:cs="Times New Roman"/>
                <w:b/>
                <w:spacing w:val="-13"/>
              </w:rPr>
              <w:t xml:space="preserve"> </w:t>
            </w:r>
            <w:r w:rsidRPr="00CC438D">
              <w:rPr>
                <w:rFonts w:ascii="Times New Roman" w:eastAsia="Calibri" w:hAnsi="Times New Roman" w:cs="Times New Roman"/>
                <w:b/>
              </w:rPr>
              <w:t>poremećaji</w:t>
            </w:r>
          </w:p>
        </w:tc>
        <w:tc>
          <w:tcPr>
            <w:tcW w:w="4428" w:type="dxa"/>
            <w:tcBorders>
              <w:top w:val="single" w:sz="4" w:space="0" w:color="000000"/>
              <w:left w:val="single" w:sz="4" w:space="0" w:color="000000"/>
              <w:bottom w:val="single" w:sz="4" w:space="0" w:color="000000"/>
              <w:right w:val="single" w:sz="4" w:space="0" w:color="000000"/>
            </w:tcBorders>
            <w:vAlign w:val="center"/>
          </w:tcPr>
          <w:p w:rsidR="00CC438D" w:rsidRPr="00CC438D" w:rsidRDefault="00CC438D" w:rsidP="00075BC5">
            <w:pPr>
              <w:widowControl w:val="0"/>
              <w:tabs>
                <w:tab w:val="left" w:pos="945"/>
                <w:tab w:val="left" w:pos="1007"/>
                <w:tab w:val="left" w:pos="1487"/>
                <w:tab w:val="left" w:pos="1622"/>
                <w:tab w:val="left" w:pos="2581"/>
                <w:tab w:val="left" w:pos="2611"/>
                <w:tab w:val="left" w:pos="3412"/>
              </w:tabs>
              <w:spacing w:after="0"/>
              <w:ind w:left="105" w:right="10"/>
              <w:rPr>
                <w:rFonts w:ascii="Times New Roman" w:eastAsia="Calibri" w:hAnsi="Times New Roman" w:cs="Times New Roman"/>
                <w:spacing w:val="-1"/>
              </w:rPr>
            </w:pPr>
            <w:r w:rsidRPr="00CC438D">
              <w:rPr>
                <w:rFonts w:ascii="Times New Roman" w:eastAsia="Calibri" w:hAnsi="Times New Roman" w:cs="Times New Roman"/>
                <w:spacing w:val="-3"/>
              </w:rPr>
              <w:t xml:space="preserve">Veoma </w:t>
            </w:r>
            <w:r w:rsidRPr="00CC438D">
              <w:rPr>
                <w:rFonts w:ascii="Times New Roman" w:eastAsia="Calibri" w:hAnsi="Times New Roman" w:cs="Times New Roman"/>
                <w:spacing w:val="-1"/>
              </w:rPr>
              <w:t xml:space="preserve">česta: minorne hipersenzitivne </w:t>
            </w:r>
            <w:r w:rsidRPr="00CC438D">
              <w:rPr>
                <w:rFonts w:ascii="Times New Roman" w:eastAsia="Calibri" w:hAnsi="Times New Roman" w:cs="Times New Roman"/>
                <w:spacing w:val="-51"/>
              </w:rPr>
              <w:t xml:space="preserve"> </w:t>
            </w:r>
            <w:r w:rsidRPr="00CC438D">
              <w:rPr>
                <w:rFonts w:ascii="Times New Roman" w:eastAsia="Calibri" w:hAnsi="Times New Roman" w:cs="Times New Roman"/>
              </w:rPr>
              <w:t>reakcije (uglavnom crvenilo lica i</w:t>
            </w:r>
            <w:r w:rsidRPr="00CC438D">
              <w:rPr>
                <w:rFonts w:ascii="Times New Roman" w:eastAsia="Calibri" w:hAnsi="Times New Roman" w:cs="Times New Roman"/>
                <w:spacing w:val="-14"/>
              </w:rPr>
              <w:t xml:space="preserve"> </w:t>
            </w:r>
            <w:r w:rsidRPr="00CC438D">
              <w:rPr>
                <w:rFonts w:ascii="Times New Roman" w:eastAsia="Calibri" w:hAnsi="Times New Roman" w:cs="Times New Roman"/>
              </w:rPr>
              <w:t>osip)</w:t>
            </w:r>
            <w:r w:rsidRPr="00CC438D">
              <w:rPr>
                <w:rFonts w:ascii="Times New Roman" w:eastAsia="Calibri" w:hAnsi="Times New Roman" w:cs="Times New Roman"/>
                <w:spacing w:val="-1"/>
              </w:rPr>
              <w:t xml:space="preserve"> </w:t>
            </w:r>
          </w:p>
          <w:p w:rsidR="00CC438D" w:rsidRPr="00CC438D" w:rsidRDefault="00CC438D" w:rsidP="00075BC5">
            <w:pPr>
              <w:widowControl w:val="0"/>
              <w:tabs>
                <w:tab w:val="left" w:pos="945"/>
                <w:tab w:val="left" w:pos="1007"/>
                <w:tab w:val="left" w:pos="1487"/>
                <w:tab w:val="left" w:pos="1622"/>
                <w:tab w:val="left" w:pos="2581"/>
                <w:tab w:val="left" w:pos="2611"/>
                <w:tab w:val="left" w:pos="3412"/>
              </w:tabs>
              <w:spacing w:after="0"/>
              <w:ind w:left="105" w:right="10"/>
              <w:rPr>
                <w:rFonts w:ascii="Times New Roman" w:eastAsia="Calibri" w:hAnsi="Times New Roman" w:cs="Times New Roman"/>
              </w:rPr>
            </w:pPr>
            <w:r w:rsidRPr="00CC438D">
              <w:rPr>
                <w:rFonts w:ascii="Times New Roman" w:eastAsia="Calibri" w:hAnsi="Times New Roman" w:cs="Times New Roman"/>
                <w:spacing w:val="-1"/>
              </w:rPr>
              <w:t xml:space="preserve">Povremena: značajne hipersenzitivne </w:t>
            </w:r>
            <w:r w:rsidRPr="00CC438D">
              <w:rPr>
                <w:rFonts w:ascii="Times New Roman" w:eastAsia="Calibri" w:hAnsi="Times New Roman" w:cs="Times New Roman"/>
                <w:spacing w:val="-51"/>
              </w:rPr>
              <w:t xml:space="preserve"> </w:t>
            </w:r>
            <w:r w:rsidRPr="00CC438D">
              <w:rPr>
                <w:rFonts w:ascii="Times New Roman" w:eastAsia="Calibri" w:hAnsi="Times New Roman" w:cs="Times New Roman"/>
                <w:spacing w:val="-2"/>
              </w:rPr>
              <w:t xml:space="preserve">reakcije koje </w:t>
            </w:r>
            <w:r w:rsidRPr="00CC438D">
              <w:rPr>
                <w:rFonts w:ascii="Times New Roman" w:eastAsia="Calibri" w:hAnsi="Times New Roman" w:cs="Times New Roman"/>
                <w:spacing w:val="-1"/>
              </w:rPr>
              <w:t>zahtijevaju</w:t>
            </w:r>
            <w:r w:rsidRPr="00CC438D">
              <w:rPr>
                <w:rFonts w:ascii="Times New Roman" w:eastAsia="Calibri" w:hAnsi="Times New Roman" w:cs="Times New Roman"/>
                <w:spacing w:val="-1"/>
              </w:rPr>
              <w:tab/>
              <w:t xml:space="preserve"> terapiju (npr. hipotenzija, angioneurotski</w:t>
            </w:r>
            <w:r w:rsidRPr="00CC438D">
              <w:rPr>
                <w:rFonts w:ascii="Times New Roman" w:eastAsia="Calibri" w:hAnsi="Times New Roman" w:cs="Times New Roman"/>
                <w:spacing w:val="-1"/>
              </w:rPr>
              <w:tab/>
            </w:r>
            <w:r w:rsidRPr="00CC438D">
              <w:rPr>
                <w:rFonts w:ascii="Times New Roman" w:eastAsia="Calibri" w:hAnsi="Times New Roman" w:cs="Times New Roman"/>
                <w:spacing w:val="-4"/>
              </w:rPr>
              <w:t>edem,</w:t>
            </w:r>
            <w:r w:rsidRPr="00CC438D">
              <w:rPr>
                <w:rFonts w:ascii="Times New Roman" w:eastAsia="Calibri" w:hAnsi="Times New Roman" w:cs="Times New Roman"/>
                <w:spacing w:val="-53"/>
              </w:rPr>
              <w:t xml:space="preserve">   </w:t>
            </w:r>
            <w:r w:rsidRPr="00CC438D">
              <w:rPr>
                <w:rFonts w:ascii="Times New Roman" w:eastAsia="Calibri" w:hAnsi="Times New Roman" w:cs="Times New Roman"/>
                <w:spacing w:val="-2"/>
              </w:rPr>
              <w:t xml:space="preserve">respiratorni, </w:t>
            </w:r>
            <w:r w:rsidRPr="00CC438D">
              <w:rPr>
                <w:rFonts w:ascii="Times New Roman" w:eastAsia="Calibri" w:hAnsi="Times New Roman" w:cs="Times New Roman"/>
                <w:spacing w:val="-1"/>
              </w:rPr>
              <w:t>distres, generalizovana</w:t>
            </w:r>
            <w:r w:rsidRPr="00CC438D">
              <w:rPr>
                <w:rFonts w:ascii="Times New Roman" w:eastAsia="Calibri" w:hAnsi="Times New Roman" w:cs="Times New Roman"/>
                <w:spacing w:val="-51"/>
              </w:rPr>
              <w:t xml:space="preserve">      </w:t>
            </w:r>
            <w:r w:rsidRPr="00CC438D">
              <w:rPr>
                <w:rFonts w:ascii="Times New Roman" w:eastAsia="Calibri" w:hAnsi="Times New Roman" w:cs="Times New Roman"/>
              </w:rPr>
              <w:t>urtikarija, drhtavica i bol u leđima, bol</w:t>
            </w:r>
            <w:r w:rsidRPr="00CC438D">
              <w:rPr>
                <w:rFonts w:ascii="Times New Roman" w:eastAsia="Calibri" w:hAnsi="Times New Roman" w:cs="Times New Roman"/>
                <w:spacing w:val="29"/>
              </w:rPr>
              <w:t xml:space="preserve"> </w:t>
            </w:r>
            <w:r w:rsidRPr="00CC438D">
              <w:rPr>
                <w:rFonts w:ascii="Times New Roman" w:eastAsia="Calibri" w:hAnsi="Times New Roman" w:cs="Times New Roman"/>
              </w:rPr>
              <w:t>u grudima, tahikardija, abdominalni bol,</w:t>
            </w:r>
            <w:r w:rsidRPr="00CC438D">
              <w:rPr>
                <w:rFonts w:ascii="Times New Roman" w:eastAsia="Calibri" w:hAnsi="Times New Roman" w:cs="Times New Roman"/>
                <w:spacing w:val="48"/>
              </w:rPr>
              <w:t xml:space="preserve"> </w:t>
            </w:r>
            <w:r w:rsidRPr="00CC438D">
              <w:rPr>
                <w:rFonts w:ascii="Times New Roman" w:eastAsia="Calibri" w:hAnsi="Times New Roman" w:cs="Times New Roman"/>
                <w:spacing w:val="-2"/>
              </w:rPr>
              <w:t xml:space="preserve">bol </w:t>
            </w:r>
            <w:r w:rsidRPr="00CC438D">
              <w:rPr>
                <w:rFonts w:ascii="Times New Roman" w:eastAsia="Calibri" w:hAnsi="Times New Roman" w:cs="Times New Roman"/>
              </w:rPr>
              <w:t>u ekstremitetima, dijaforeza i</w:t>
            </w:r>
            <w:r w:rsidRPr="00CC438D">
              <w:rPr>
                <w:rFonts w:ascii="Times New Roman" w:eastAsia="Calibri" w:hAnsi="Times New Roman" w:cs="Times New Roman"/>
                <w:spacing w:val="-16"/>
              </w:rPr>
              <w:t xml:space="preserve"> </w:t>
            </w:r>
            <w:r w:rsidRPr="00CC438D">
              <w:rPr>
                <w:rFonts w:ascii="Times New Roman" w:eastAsia="Calibri" w:hAnsi="Times New Roman" w:cs="Times New Roman"/>
              </w:rPr>
              <w:t xml:space="preserve">hipertenzija) </w:t>
            </w:r>
          </w:p>
          <w:p w:rsidR="00CC438D" w:rsidRPr="00CC438D" w:rsidRDefault="00CC438D" w:rsidP="00075BC5">
            <w:pPr>
              <w:widowControl w:val="0"/>
              <w:tabs>
                <w:tab w:val="left" w:pos="945"/>
                <w:tab w:val="left" w:pos="1007"/>
                <w:tab w:val="left" w:pos="1487"/>
                <w:tab w:val="left" w:pos="1622"/>
                <w:tab w:val="left" w:pos="2581"/>
                <w:tab w:val="left" w:pos="2611"/>
                <w:tab w:val="left" w:pos="3412"/>
              </w:tabs>
              <w:spacing w:after="0"/>
              <w:ind w:left="105" w:right="10"/>
              <w:rPr>
                <w:rFonts w:ascii="Times New Roman" w:eastAsia="Calibri" w:hAnsi="Times New Roman" w:cs="Times New Roman"/>
                <w:spacing w:val="-51"/>
              </w:rPr>
            </w:pPr>
            <w:r w:rsidRPr="00CC438D">
              <w:rPr>
                <w:rFonts w:ascii="Times New Roman" w:eastAsia="Calibri" w:hAnsi="Times New Roman" w:cs="Times New Roman"/>
              </w:rPr>
              <w:t>Rijetka*: anafilaktičke</w:t>
            </w:r>
            <w:r w:rsidRPr="00CC438D">
              <w:rPr>
                <w:rFonts w:ascii="Times New Roman" w:eastAsia="Calibri" w:hAnsi="Times New Roman" w:cs="Times New Roman"/>
                <w:spacing w:val="-15"/>
              </w:rPr>
              <w:t xml:space="preserve"> </w:t>
            </w:r>
            <w:r w:rsidRPr="00CC438D">
              <w:rPr>
                <w:rFonts w:ascii="Times New Roman" w:eastAsia="Calibri" w:hAnsi="Times New Roman" w:cs="Times New Roman"/>
              </w:rPr>
              <w:t>reakcije</w:t>
            </w:r>
          </w:p>
          <w:p w:rsidR="00CC438D" w:rsidRPr="00CC438D" w:rsidRDefault="00CC438D" w:rsidP="00075BC5">
            <w:pPr>
              <w:widowControl w:val="0"/>
              <w:spacing w:before="1" w:after="0"/>
              <w:rPr>
                <w:rFonts w:ascii="Times New Roman" w:hAnsi="Times New Roman" w:cs="Times New Roman"/>
              </w:rPr>
            </w:pPr>
            <w:r w:rsidRPr="00CC438D">
              <w:rPr>
                <w:rFonts w:ascii="Times New Roman" w:eastAsia="Calibri" w:hAnsi="Times New Roman" w:cs="Times New Roman"/>
              </w:rPr>
              <w:t>Veoma rijetka*: anafilaktički</w:t>
            </w:r>
            <w:r w:rsidRPr="00CC438D">
              <w:rPr>
                <w:rFonts w:ascii="Times New Roman" w:eastAsia="Calibri" w:hAnsi="Times New Roman" w:cs="Times New Roman"/>
                <w:spacing w:val="-14"/>
              </w:rPr>
              <w:t xml:space="preserve"> </w:t>
            </w:r>
            <w:r w:rsidRPr="00CC438D">
              <w:rPr>
                <w:rFonts w:ascii="Times New Roman" w:eastAsia="Calibri" w:hAnsi="Times New Roman" w:cs="Times New Roman"/>
              </w:rPr>
              <w:t>šok</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511"/>
        </w:trPr>
        <w:tc>
          <w:tcPr>
            <w:tcW w:w="5280" w:type="dxa"/>
          </w:tcPr>
          <w:p w:rsidR="00CC438D" w:rsidRPr="00CC438D" w:rsidRDefault="00CC438D" w:rsidP="00CC438D">
            <w:pPr>
              <w:pStyle w:val="TableParagraph"/>
              <w:spacing w:line="249" w:lineRule="exact"/>
              <w:ind w:left="105"/>
              <w:jc w:val="both"/>
              <w:rPr>
                <w:b/>
              </w:rPr>
            </w:pPr>
            <w:r w:rsidRPr="00CC438D">
              <w:rPr>
                <w:b/>
              </w:rPr>
              <w:t>Poremećaji metabolizma i ishrane</w:t>
            </w:r>
          </w:p>
        </w:tc>
        <w:tc>
          <w:tcPr>
            <w:tcW w:w="4428" w:type="dxa"/>
          </w:tcPr>
          <w:p w:rsidR="00CC438D" w:rsidRPr="00CC438D" w:rsidRDefault="00CC438D" w:rsidP="00075BC5">
            <w:pPr>
              <w:pStyle w:val="TableParagraph"/>
              <w:spacing w:line="244" w:lineRule="exact"/>
            </w:pPr>
            <w:r w:rsidRPr="00CC438D">
              <w:t xml:space="preserve">Veoma </w:t>
            </w:r>
            <w:r w:rsidRPr="00CC438D">
              <w:rPr>
                <w:rFonts w:eastAsia="Calibri"/>
              </w:rPr>
              <w:t>rijetka</w:t>
            </w:r>
            <w:r w:rsidRPr="00CC438D">
              <w:t xml:space="preserve"> *: anoreksija</w:t>
            </w:r>
          </w:p>
          <w:p w:rsidR="00CC438D" w:rsidRPr="00CC438D" w:rsidRDefault="00CC438D" w:rsidP="00075BC5">
            <w:pPr>
              <w:pStyle w:val="TableParagraph"/>
              <w:spacing w:before="1" w:line="243" w:lineRule="exact"/>
            </w:pPr>
            <w:r w:rsidRPr="00CC438D">
              <w:t>Nepoznata*: sindrom lize tumora</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50"/>
        </w:trPr>
        <w:tc>
          <w:tcPr>
            <w:tcW w:w="5280" w:type="dxa"/>
          </w:tcPr>
          <w:p w:rsidR="00CC438D" w:rsidRPr="00CC438D" w:rsidRDefault="00CC438D" w:rsidP="00CC438D">
            <w:pPr>
              <w:pStyle w:val="TableParagraph"/>
              <w:spacing w:line="229" w:lineRule="exact"/>
              <w:ind w:left="105"/>
              <w:jc w:val="both"/>
              <w:rPr>
                <w:b/>
              </w:rPr>
            </w:pPr>
            <w:r w:rsidRPr="00CC438D">
              <w:rPr>
                <w:b/>
              </w:rPr>
              <w:t>Psihijatrijski poremećaji</w:t>
            </w:r>
          </w:p>
        </w:tc>
        <w:tc>
          <w:tcPr>
            <w:tcW w:w="4428" w:type="dxa"/>
          </w:tcPr>
          <w:p w:rsidR="00CC438D" w:rsidRPr="00CC438D" w:rsidRDefault="00CC438D" w:rsidP="00CC438D">
            <w:pPr>
              <w:pStyle w:val="TableParagraph"/>
              <w:spacing w:line="229" w:lineRule="exact"/>
              <w:jc w:val="both"/>
            </w:pPr>
            <w:r w:rsidRPr="00CC438D">
              <w:t>Veoma rijetka*: konfuzno stanje</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545"/>
        </w:trPr>
        <w:tc>
          <w:tcPr>
            <w:tcW w:w="5280" w:type="dxa"/>
          </w:tcPr>
          <w:p w:rsidR="00CC438D" w:rsidRPr="00CC438D" w:rsidRDefault="00CC438D" w:rsidP="00CC438D">
            <w:pPr>
              <w:pStyle w:val="TableParagraph"/>
              <w:spacing w:line="249" w:lineRule="exact"/>
              <w:ind w:left="105"/>
              <w:jc w:val="both"/>
              <w:rPr>
                <w:b/>
              </w:rPr>
            </w:pPr>
            <w:r w:rsidRPr="00CC438D">
              <w:rPr>
                <w:b/>
              </w:rPr>
              <w:t>Poremećaji nervnog sistema</w:t>
            </w:r>
          </w:p>
        </w:tc>
        <w:tc>
          <w:tcPr>
            <w:tcW w:w="4428" w:type="dxa"/>
          </w:tcPr>
          <w:p w:rsidR="00CC438D" w:rsidRPr="00CC438D" w:rsidRDefault="00CC438D" w:rsidP="00075BC5">
            <w:pPr>
              <w:pStyle w:val="TableParagraph"/>
              <w:spacing w:line="242" w:lineRule="auto"/>
              <w:ind w:right="136"/>
            </w:pPr>
            <w:r w:rsidRPr="00CC438D">
              <w:t>Veoma česta: neurotoksičnost (uglavnom: periferna neuropatrija)</w:t>
            </w:r>
          </w:p>
          <w:p w:rsidR="00CC438D" w:rsidRPr="00CC438D" w:rsidRDefault="00CC438D" w:rsidP="00075BC5">
            <w:pPr>
              <w:pStyle w:val="TableParagraph"/>
              <w:ind w:right="136"/>
            </w:pPr>
            <w:r w:rsidRPr="00CC438D">
              <w:t>Rijetka*: motorna neuropatija (sa posledičnom distalnom slabošću slabijeg inteziteta)</w:t>
            </w:r>
          </w:p>
          <w:p w:rsidR="00CC438D" w:rsidRPr="00CC438D" w:rsidRDefault="00CC438D" w:rsidP="00075BC5">
            <w:pPr>
              <w:pStyle w:val="TableParagraph"/>
              <w:ind w:right="136"/>
            </w:pPr>
            <w:r w:rsidRPr="00CC438D">
              <w:rPr>
                <w:spacing w:val="-3"/>
              </w:rPr>
              <w:t xml:space="preserve">Veoma </w:t>
            </w:r>
            <w:r w:rsidRPr="00CC438D">
              <w:t>rijetka*: autonomna neuropatija (koja dovodi do paralitičkog ileusa i ortostatske hipotenzije), grand mal</w:t>
            </w:r>
            <w:r w:rsidRPr="00CC438D">
              <w:rPr>
                <w:spacing w:val="13"/>
              </w:rPr>
              <w:t xml:space="preserve"> </w:t>
            </w:r>
            <w:r w:rsidRPr="00CC438D">
              <w:t>napadi,</w:t>
            </w:r>
          </w:p>
          <w:p w:rsidR="00CC438D" w:rsidRPr="00CC438D" w:rsidRDefault="00CC438D" w:rsidP="00075BC5">
            <w:pPr>
              <w:pStyle w:val="TableParagraph"/>
              <w:spacing w:line="254" w:lineRule="exact"/>
              <w:ind w:right="136"/>
            </w:pPr>
            <w:r w:rsidRPr="00CC438D">
              <w:t>konvulzije, encefalopatija, ošamućenost, glavobolja, ataksija</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793"/>
        </w:trPr>
        <w:tc>
          <w:tcPr>
            <w:tcW w:w="5280" w:type="dxa"/>
          </w:tcPr>
          <w:p w:rsidR="00CC438D" w:rsidRPr="00CC438D" w:rsidRDefault="00CC438D" w:rsidP="00CC438D">
            <w:pPr>
              <w:pStyle w:val="TableParagraph"/>
              <w:spacing w:line="246" w:lineRule="exact"/>
              <w:ind w:left="105"/>
              <w:jc w:val="both"/>
              <w:rPr>
                <w:b/>
              </w:rPr>
            </w:pPr>
            <w:r w:rsidRPr="00CC438D">
              <w:rPr>
                <w:b/>
              </w:rPr>
              <w:t>Poremećaji oka</w:t>
            </w:r>
          </w:p>
        </w:tc>
        <w:tc>
          <w:tcPr>
            <w:tcW w:w="4428" w:type="dxa"/>
          </w:tcPr>
          <w:p w:rsidR="00CC438D" w:rsidRPr="00CC438D" w:rsidRDefault="00CC438D" w:rsidP="00075BC5">
            <w:pPr>
              <w:pStyle w:val="TableParagraph"/>
              <w:ind w:right="6"/>
            </w:pPr>
            <w:r w:rsidRPr="00CC438D">
              <w:rPr>
                <w:spacing w:val="-3"/>
              </w:rPr>
              <w:t>Veoma r</w:t>
            </w:r>
            <w:r w:rsidRPr="00CC438D">
              <w:t>ijetka*: poremećaji optičkog nerva i/ili poremećaji vida (scintilirajući</w:t>
            </w:r>
            <w:r w:rsidRPr="00CC438D">
              <w:rPr>
                <w:spacing w:val="-28"/>
              </w:rPr>
              <w:t xml:space="preserve"> </w:t>
            </w:r>
            <w:r w:rsidRPr="00CC438D">
              <w:t xml:space="preserve">skotomi), naročito </w:t>
            </w:r>
            <w:r w:rsidRPr="00CC438D">
              <w:rPr>
                <w:spacing w:val="-3"/>
              </w:rPr>
              <w:t xml:space="preserve">kod </w:t>
            </w:r>
            <w:r w:rsidRPr="00CC438D">
              <w:t xml:space="preserve">pacijenata </w:t>
            </w:r>
            <w:r w:rsidRPr="00CC438D">
              <w:rPr>
                <w:spacing w:val="-3"/>
              </w:rPr>
              <w:t xml:space="preserve">koji </w:t>
            </w:r>
            <w:r w:rsidRPr="00CC438D">
              <w:t>su dobijali veće doze od</w:t>
            </w:r>
            <w:r w:rsidRPr="00CC438D">
              <w:rPr>
                <w:spacing w:val="-5"/>
              </w:rPr>
              <w:t xml:space="preserve"> </w:t>
            </w:r>
            <w:r w:rsidRPr="00CC438D">
              <w:t>preporučenih</w:t>
            </w:r>
          </w:p>
          <w:p w:rsidR="00CC438D" w:rsidRPr="00CC438D" w:rsidRDefault="00CC438D" w:rsidP="00075BC5">
            <w:pPr>
              <w:pStyle w:val="TableParagraph"/>
              <w:spacing w:line="242" w:lineRule="auto"/>
              <w:ind w:right="6"/>
            </w:pPr>
            <w:r w:rsidRPr="00CC438D">
              <w:t>Nepoznata*: makularni edem, fotopsija, flotirajuća zamućenja staklastog tijela</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511"/>
        </w:trPr>
        <w:tc>
          <w:tcPr>
            <w:tcW w:w="5280" w:type="dxa"/>
          </w:tcPr>
          <w:p w:rsidR="00CC438D" w:rsidRPr="00CC438D" w:rsidRDefault="00CC438D" w:rsidP="00CC438D">
            <w:pPr>
              <w:pStyle w:val="TableParagraph"/>
              <w:spacing w:before="1"/>
              <w:ind w:left="105"/>
              <w:jc w:val="both"/>
              <w:rPr>
                <w:b/>
              </w:rPr>
            </w:pPr>
            <w:r w:rsidRPr="00CC438D">
              <w:rPr>
                <w:b/>
              </w:rPr>
              <w:lastRenderedPageBreak/>
              <w:t>Poremećaji uha i centra za ravnotežu</w:t>
            </w:r>
          </w:p>
        </w:tc>
        <w:tc>
          <w:tcPr>
            <w:tcW w:w="4428" w:type="dxa"/>
          </w:tcPr>
          <w:p w:rsidR="00CC438D" w:rsidRPr="00CC438D" w:rsidRDefault="00CC438D" w:rsidP="00CC438D">
            <w:pPr>
              <w:pStyle w:val="TableParagraph"/>
              <w:tabs>
                <w:tab w:val="left" w:pos="974"/>
                <w:tab w:val="left" w:pos="1824"/>
                <w:tab w:val="left" w:pos="3288"/>
              </w:tabs>
              <w:spacing w:before="1" w:line="250" w:lineRule="exact"/>
              <w:ind w:right="6"/>
              <w:jc w:val="both"/>
            </w:pPr>
            <w:r w:rsidRPr="00CC438D">
              <w:t xml:space="preserve">Veoma rijetka*: ototoksičnost, </w:t>
            </w:r>
            <w:r w:rsidRPr="00CC438D">
              <w:rPr>
                <w:spacing w:val="-4"/>
              </w:rPr>
              <w:t xml:space="preserve">gubitak </w:t>
            </w:r>
            <w:r w:rsidRPr="00CC438D">
              <w:t>sluha, tinitus,</w:t>
            </w:r>
            <w:r w:rsidRPr="00CC438D">
              <w:rPr>
                <w:spacing w:val="-3"/>
              </w:rPr>
              <w:t xml:space="preserve"> </w:t>
            </w:r>
            <w:r w:rsidRPr="00CC438D">
              <w:t>vertigo</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2038"/>
        </w:trPr>
        <w:tc>
          <w:tcPr>
            <w:tcW w:w="5280" w:type="dxa"/>
          </w:tcPr>
          <w:p w:rsidR="00CC438D" w:rsidRPr="00CC438D" w:rsidRDefault="00CC438D" w:rsidP="00CC438D">
            <w:pPr>
              <w:pStyle w:val="TableParagraph"/>
              <w:spacing w:line="249" w:lineRule="exact"/>
              <w:ind w:left="105"/>
              <w:jc w:val="both"/>
              <w:rPr>
                <w:b/>
              </w:rPr>
            </w:pPr>
            <w:r w:rsidRPr="00CC438D">
              <w:rPr>
                <w:b/>
              </w:rPr>
              <w:t>Kardiološki poremećaji</w:t>
            </w:r>
          </w:p>
        </w:tc>
        <w:tc>
          <w:tcPr>
            <w:tcW w:w="4428" w:type="dxa"/>
          </w:tcPr>
          <w:p w:rsidR="00CC438D" w:rsidRPr="00CC438D" w:rsidRDefault="00CC438D" w:rsidP="00075BC5">
            <w:pPr>
              <w:pStyle w:val="TableParagraph"/>
              <w:spacing w:line="244" w:lineRule="exact"/>
            </w:pPr>
            <w:r w:rsidRPr="00CC438D">
              <w:t>Česta: bradikardija</w:t>
            </w:r>
          </w:p>
          <w:p w:rsidR="00CC438D" w:rsidRPr="00CC438D" w:rsidRDefault="00CC438D" w:rsidP="00075BC5">
            <w:pPr>
              <w:pStyle w:val="TableParagraph"/>
              <w:tabs>
                <w:tab w:val="left" w:pos="1828"/>
              </w:tabs>
              <w:spacing w:before="1"/>
              <w:ind w:left="136" w:right="136"/>
            </w:pPr>
            <w:r w:rsidRPr="00CC438D">
              <w:t>Povremena: kardiomiopatija</w:t>
            </w:r>
            <w:r w:rsidRPr="00CC438D">
              <w:rPr>
                <w:spacing w:val="-16"/>
              </w:rPr>
              <w:t xml:space="preserve">, </w:t>
            </w:r>
            <w:r w:rsidRPr="00CC438D">
              <w:t>asimtomatska ventrikularna tahikardija, tahikardija sa bigemijom, AV blok i sinkopa, infarkt</w:t>
            </w:r>
            <w:r w:rsidRPr="00CC438D">
              <w:rPr>
                <w:spacing w:val="1"/>
              </w:rPr>
              <w:t xml:space="preserve"> </w:t>
            </w:r>
            <w:r w:rsidRPr="00CC438D">
              <w:t>miokarda</w:t>
            </w:r>
          </w:p>
          <w:p w:rsidR="00CC438D" w:rsidRPr="00CC438D" w:rsidRDefault="00CC438D" w:rsidP="00075BC5">
            <w:pPr>
              <w:pStyle w:val="TableParagraph"/>
              <w:spacing w:before="1" w:line="251" w:lineRule="exact"/>
              <w:ind w:left="136" w:right="136"/>
            </w:pPr>
            <w:r w:rsidRPr="00CC438D">
              <w:t>Rijetka: srčana insuficijencija</w:t>
            </w:r>
          </w:p>
          <w:p w:rsidR="00CC438D" w:rsidRPr="00CC438D" w:rsidRDefault="00CC438D" w:rsidP="00075BC5">
            <w:pPr>
              <w:pStyle w:val="TableParagraph"/>
              <w:spacing w:before="1" w:line="254" w:lineRule="exact"/>
              <w:ind w:left="136" w:right="136"/>
            </w:pPr>
            <w:r w:rsidRPr="00CC438D">
              <w:t>Veoma rijetka*: atrijalna fibrilacija, supravetrikularna tahikardija</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269"/>
        </w:trPr>
        <w:tc>
          <w:tcPr>
            <w:tcW w:w="5280" w:type="dxa"/>
          </w:tcPr>
          <w:p w:rsidR="00CC438D" w:rsidRPr="00CC438D" w:rsidRDefault="00CC438D" w:rsidP="00CC438D">
            <w:pPr>
              <w:pStyle w:val="TableParagraph"/>
              <w:spacing w:line="249" w:lineRule="exact"/>
              <w:ind w:left="105"/>
              <w:jc w:val="both"/>
              <w:rPr>
                <w:b/>
              </w:rPr>
            </w:pPr>
            <w:r w:rsidRPr="00CC438D">
              <w:rPr>
                <w:b/>
              </w:rPr>
              <w:t>Vaskularni poremećaji</w:t>
            </w:r>
          </w:p>
        </w:tc>
        <w:tc>
          <w:tcPr>
            <w:tcW w:w="4428" w:type="dxa"/>
          </w:tcPr>
          <w:p w:rsidR="00CC438D" w:rsidRPr="00CC438D" w:rsidRDefault="00CC438D" w:rsidP="00075BC5">
            <w:pPr>
              <w:pStyle w:val="TableParagraph"/>
              <w:spacing w:line="242" w:lineRule="exact"/>
            </w:pPr>
            <w:r w:rsidRPr="00CC438D">
              <w:t>Veoma česta: hipotenzija</w:t>
            </w:r>
          </w:p>
          <w:p w:rsidR="00CC438D" w:rsidRPr="00CC438D" w:rsidRDefault="00CC438D" w:rsidP="00075BC5">
            <w:pPr>
              <w:pStyle w:val="TableParagraph"/>
              <w:tabs>
                <w:tab w:val="left" w:pos="1564"/>
                <w:tab w:val="left" w:pos="3062"/>
              </w:tabs>
              <w:ind w:right="5"/>
            </w:pPr>
            <w:r w:rsidRPr="00CC438D">
              <w:t xml:space="preserve">Povremena: hipertenzija, </w:t>
            </w:r>
            <w:r w:rsidRPr="00CC438D">
              <w:rPr>
                <w:spacing w:val="-3"/>
              </w:rPr>
              <w:t xml:space="preserve">tromboza, </w:t>
            </w:r>
            <w:r w:rsidRPr="00CC438D">
              <w:t>tromboflebitis</w:t>
            </w:r>
          </w:p>
          <w:p w:rsidR="00CC438D" w:rsidRPr="00CC438D" w:rsidRDefault="00CC438D" w:rsidP="00075BC5">
            <w:pPr>
              <w:pStyle w:val="TableParagraph"/>
              <w:spacing w:before="1" w:line="250" w:lineRule="atLeast"/>
              <w:ind w:right="1823"/>
            </w:pPr>
            <w:r w:rsidRPr="00CC438D">
              <w:t xml:space="preserve">Veoma rijetka*: šok </w:t>
            </w:r>
          </w:p>
          <w:p w:rsidR="00CC438D" w:rsidRPr="00CC438D" w:rsidRDefault="00CC438D" w:rsidP="00075BC5">
            <w:pPr>
              <w:pStyle w:val="TableParagraph"/>
              <w:spacing w:before="1" w:line="250" w:lineRule="atLeast"/>
              <w:ind w:right="1823"/>
            </w:pPr>
            <w:r w:rsidRPr="00CC438D">
              <w:t>Nepoznata*: flebitis</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018"/>
        </w:trPr>
        <w:tc>
          <w:tcPr>
            <w:tcW w:w="5280" w:type="dxa"/>
          </w:tcPr>
          <w:p w:rsidR="00CC438D" w:rsidRPr="00CC438D" w:rsidRDefault="00CC438D" w:rsidP="00CC438D">
            <w:pPr>
              <w:pStyle w:val="TableParagraph"/>
              <w:spacing w:line="249" w:lineRule="exact"/>
              <w:ind w:left="105"/>
              <w:jc w:val="both"/>
              <w:rPr>
                <w:b/>
              </w:rPr>
            </w:pPr>
            <w:r w:rsidRPr="00CC438D">
              <w:rPr>
                <w:b/>
              </w:rPr>
              <w:t>Respiratorni, torakalni i medijastinalni poremećaji</w:t>
            </w:r>
          </w:p>
        </w:tc>
        <w:tc>
          <w:tcPr>
            <w:tcW w:w="4428" w:type="dxa"/>
          </w:tcPr>
          <w:p w:rsidR="00CC438D" w:rsidRPr="00CC438D" w:rsidRDefault="00CC438D" w:rsidP="00075BC5">
            <w:pPr>
              <w:pStyle w:val="TableParagraph"/>
              <w:tabs>
                <w:tab w:val="left" w:pos="1195"/>
                <w:tab w:val="left" w:pos="2318"/>
                <w:tab w:val="left" w:pos="3499"/>
              </w:tabs>
              <w:spacing w:line="242" w:lineRule="auto"/>
              <w:ind w:right="5"/>
            </w:pPr>
            <w:r w:rsidRPr="00CC438D">
              <w:t xml:space="preserve">Rijetka*: dispnea, pleuralni </w:t>
            </w:r>
            <w:r w:rsidRPr="00CC438D">
              <w:rPr>
                <w:spacing w:val="-3"/>
              </w:rPr>
              <w:t xml:space="preserve">izliv, </w:t>
            </w:r>
            <w:r w:rsidRPr="00CC438D">
              <w:t>intersticijalna pneumonija, fibroza</w:t>
            </w:r>
            <w:r w:rsidRPr="00CC438D">
              <w:rPr>
                <w:spacing w:val="41"/>
              </w:rPr>
              <w:t xml:space="preserve"> </w:t>
            </w:r>
            <w:r w:rsidRPr="00CC438D">
              <w:t>pluća,</w:t>
            </w:r>
          </w:p>
          <w:p w:rsidR="00CC438D" w:rsidRPr="00CC438D" w:rsidRDefault="00CC438D" w:rsidP="00075BC5">
            <w:pPr>
              <w:pStyle w:val="TableParagraph"/>
              <w:spacing w:line="250" w:lineRule="exact"/>
            </w:pPr>
            <w:r w:rsidRPr="00CC438D">
              <w:t>embolija pluća, respiratorna insuficijencija Veoma rijetka*: kašalj</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81"/>
        </w:trPr>
        <w:tc>
          <w:tcPr>
            <w:tcW w:w="5280" w:type="dxa"/>
          </w:tcPr>
          <w:p w:rsidR="00CC438D" w:rsidRPr="00CC438D" w:rsidRDefault="00CC438D" w:rsidP="00CC438D">
            <w:pPr>
              <w:pStyle w:val="TableParagraph"/>
              <w:spacing w:line="249" w:lineRule="exact"/>
              <w:ind w:left="105"/>
              <w:jc w:val="both"/>
              <w:rPr>
                <w:b/>
              </w:rPr>
            </w:pPr>
            <w:r w:rsidRPr="00CC438D">
              <w:rPr>
                <w:b/>
              </w:rPr>
              <w:t>Gastrointestinalni poremećaji</w:t>
            </w:r>
          </w:p>
        </w:tc>
        <w:tc>
          <w:tcPr>
            <w:tcW w:w="4444" w:type="dxa"/>
            <w:gridSpan w:val="2"/>
          </w:tcPr>
          <w:p w:rsidR="00CC438D" w:rsidRPr="00CC438D" w:rsidRDefault="00CC438D" w:rsidP="00075BC5">
            <w:pPr>
              <w:pStyle w:val="TableParagraph"/>
              <w:tabs>
                <w:tab w:val="left" w:pos="1032"/>
                <w:tab w:val="left" w:pos="1824"/>
                <w:tab w:val="left" w:pos="2928"/>
              </w:tabs>
              <w:spacing w:line="242" w:lineRule="auto"/>
              <w:ind w:right="6"/>
            </w:pPr>
            <w:r w:rsidRPr="00CC438D">
              <w:rPr>
                <w:spacing w:val="-3"/>
              </w:rPr>
              <w:t xml:space="preserve">Veoma </w:t>
            </w:r>
            <w:r w:rsidRPr="00CC438D">
              <w:t xml:space="preserve">česta: mučnina, </w:t>
            </w:r>
            <w:r w:rsidRPr="00CC438D">
              <w:rPr>
                <w:spacing w:val="-3"/>
              </w:rPr>
              <w:t xml:space="preserve">povraćanje, </w:t>
            </w:r>
            <w:r w:rsidRPr="00CC438D">
              <w:t>dijareja, mukozne</w:t>
            </w:r>
            <w:r w:rsidRPr="00CC438D">
              <w:rPr>
                <w:spacing w:val="2"/>
              </w:rPr>
              <w:t xml:space="preserve"> </w:t>
            </w:r>
            <w:r w:rsidRPr="00CC438D">
              <w:t>upale</w:t>
            </w:r>
          </w:p>
          <w:p w:rsidR="00CC438D" w:rsidRPr="00CC438D" w:rsidRDefault="00CC438D" w:rsidP="00075BC5">
            <w:pPr>
              <w:pStyle w:val="TableParagraph"/>
              <w:tabs>
                <w:tab w:val="left" w:pos="1022"/>
                <w:tab w:val="left" w:pos="2232"/>
                <w:tab w:val="left" w:pos="2995"/>
              </w:tabs>
              <w:spacing w:line="237" w:lineRule="auto"/>
              <w:ind w:right="6"/>
            </w:pPr>
            <w:r w:rsidRPr="00CC438D">
              <w:t xml:space="preserve">Rijetka*: opstrukcija crijeva, </w:t>
            </w:r>
            <w:r w:rsidRPr="00CC438D">
              <w:rPr>
                <w:spacing w:val="-3"/>
              </w:rPr>
              <w:t xml:space="preserve">perforacija </w:t>
            </w:r>
            <w:r w:rsidRPr="00CC438D">
              <w:t>crijeva, ishemijski kolitis,</w:t>
            </w:r>
            <w:r w:rsidRPr="00CC438D">
              <w:rPr>
                <w:spacing w:val="-7"/>
              </w:rPr>
              <w:t xml:space="preserve"> </w:t>
            </w:r>
            <w:r w:rsidRPr="00CC438D">
              <w:t>pankretitis</w:t>
            </w:r>
          </w:p>
          <w:p w:rsidR="00CC438D" w:rsidRPr="00CC438D" w:rsidRDefault="00CC438D" w:rsidP="00075BC5">
            <w:pPr>
              <w:pStyle w:val="TableParagraph"/>
            </w:pPr>
            <w:r w:rsidRPr="00CC438D">
              <w:t>Veoma rijetka*: mezenterijalna tromboza,</w:t>
            </w:r>
          </w:p>
          <w:p w:rsidR="00CC438D" w:rsidRPr="00CC438D" w:rsidRDefault="00CC438D" w:rsidP="00075BC5">
            <w:pPr>
              <w:pStyle w:val="TableParagraph"/>
              <w:spacing w:line="250" w:lineRule="exact"/>
            </w:pPr>
            <w:r w:rsidRPr="00CC438D">
              <w:t>pseudomembranozni kolitis, neutropenijski kolitis, ezofagitis, konstipacija, ascites</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2"/>
        </w:trPr>
        <w:tc>
          <w:tcPr>
            <w:tcW w:w="5280" w:type="dxa"/>
          </w:tcPr>
          <w:p w:rsidR="00CC438D" w:rsidRPr="00CC438D" w:rsidRDefault="00CC438D" w:rsidP="00CC438D">
            <w:pPr>
              <w:pStyle w:val="TableParagraph"/>
              <w:spacing w:line="249" w:lineRule="exact"/>
              <w:ind w:left="105"/>
              <w:jc w:val="both"/>
              <w:rPr>
                <w:b/>
              </w:rPr>
            </w:pPr>
            <w:r w:rsidRPr="00CC438D">
              <w:rPr>
                <w:b/>
              </w:rPr>
              <w:t>Hepatobilijarni poremećaji</w:t>
            </w:r>
          </w:p>
        </w:tc>
        <w:tc>
          <w:tcPr>
            <w:tcW w:w="4444" w:type="dxa"/>
            <w:gridSpan w:val="2"/>
          </w:tcPr>
          <w:p w:rsidR="00CC438D" w:rsidRPr="00CC438D" w:rsidRDefault="00CC438D" w:rsidP="00075BC5">
            <w:pPr>
              <w:pStyle w:val="TableParagraph"/>
              <w:tabs>
                <w:tab w:val="left" w:pos="1075"/>
                <w:tab w:val="left" w:pos="2020"/>
                <w:tab w:val="left" w:pos="3196"/>
              </w:tabs>
              <w:spacing w:line="242" w:lineRule="auto"/>
              <w:ind w:right="6"/>
            </w:pPr>
            <w:r w:rsidRPr="00CC438D">
              <w:rPr>
                <w:spacing w:val="-3"/>
              </w:rPr>
              <w:t xml:space="preserve">Veoma </w:t>
            </w:r>
            <w:r w:rsidRPr="00CC438D">
              <w:t xml:space="preserve">rijetka*: hepatična </w:t>
            </w:r>
            <w:r w:rsidRPr="00CC438D">
              <w:rPr>
                <w:spacing w:val="-3"/>
              </w:rPr>
              <w:t xml:space="preserve">nekroza, </w:t>
            </w:r>
            <w:r w:rsidRPr="00CC438D">
              <w:t>hepatična encefalopatija (sa</w:t>
            </w:r>
            <w:r w:rsidRPr="00CC438D">
              <w:rPr>
                <w:spacing w:val="31"/>
              </w:rPr>
              <w:t xml:space="preserve"> </w:t>
            </w:r>
            <w:r w:rsidRPr="00CC438D">
              <w:t>prijavljenim</w:t>
            </w:r>
          </w:p>
          <w:p w:rsidR="00CC438D" w:rsidRPr="00CC438D" w:rsidRDefault="00CC438D" w:rsidP="00075BC5">
            <w:pPr>
              <w:pStyle w:val="TableParagraph"/>
              <w:spacing w:line="236" w:lineRule="exact"/>
            </w:pPr>
            <w:r w:rsidRPr="00CC438D">
              <w:t>slučajevima sa fatalnim ishodom)</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5"/>
        </w:trPr>
        <w:tc>
          <w:tcPr>
            <w:tcW w:w="5280" w:type="dxa"/>
          </w:tcPr>
          <w:p w:rsidR="00CC438D" w:rsidRPr="00CC438D" w:rsidRDefault="00CC438D" w:rsidP="00CC438D">
            <w:pPr>
              <w:pStyle w:val="TableParagraph"/>
              <w:spacing w:line="249" w:lineRule="exact"/>
              <w:ind w:left="105"/>
              <w:jc w:val="both"/>
              <w:rPr>
                <w:b/>
              </w:rPr>
            </w:pPr>
            <w:r w:rsidRPr="00CC438D">
              <w:rPr>
                <w:b/>
              </w:rPr>
              <w:t>Poremećaji kože i potkožnog tkiva</w:t>
            </w:r>
          </w:p>
        </w:tc>
        <w:tc>
          <w:tcPr>
            <w:tcW w:w="4444" w:type="dxa"/>
            <w:gridSpan w:val="2"/>
          </w:tcPr>
          <w:p w:rsidR="00CC438D" w:rsidRPr="00CC438D" w:rsidRDefault="00CC438D" w:rsidP="00075BC5">
            <w:pPr>
              <w:pStyle w:val="TableParagraph"/>
              <w:spacing w:line="244" w:lineRule="exact"/>
            </w:pPr>
            <w:r w:rsidRPr="00CC438D">
              <w:t>Veoma česta: alopecija</w:t>
            </w:r>
          </w:p>
          <w:p w:rsidR="00CC438D" w:rsidRPr="00CC438D" w:rsidRDefault="00CC438D" w:rsidP="00075BC5">
            <w:pPr>
              <w:pStyle w:val="TableParagraph"/>
              <w:spacing w:before="1"/>
              <w:ind w:right="7"/>
            </w:pPr>
            <w:r w:rsidRPr="00CC438D">
              <w:t>Česta: prolazne i blage promjene noktiju i kože</w:t>
            </w:r>
          </w:p>
          <w:p w:rsidR="00CC438D" w:rsidRPr="00CC438D" w:rsidRDefault="00CC438D" w:rsidP="00075BC5">
            <w:pPr>
              <w:pStyle w:val="TableParagraph"/>
              <w:spacing w:line="251" w:lineRule="exact"/>
            </w:pPr>
            <w:r w:rsidRPr="00CC438D">
              <w:t>Rijetka*: svrab, osip, eritem</w:t>
            </w:r>
          </w:p>
          <w:p w:rsidR="00CC438D" w:rsidRPr="00CC438D" w:rsidRDefault="00CC438D" w:rsidP="00075BC5">
            <w:pPr>
              <w:pStyle w:val="TableParagraph"/>
              <w:spacing w:before="2"/>
              <w:ind w:right="4"/>
            </w:pPr>
            <w:r w:rsidRPr="00CC438D">
              <w:t xml:space="preserve">Veoma rijetka*: </w:t>
            </w:r>
            <w:r w:rsidRPr="00CC438D">
              <w:rPr>
                <w:i/>
              </w:rPr>
              <w:t xml:space="preserve">Stevens-Johnson </w:t>
            </w:r>
            <w:r w:rsidRPr="00CC438D">
              <w:t>sindrom, epidermalna nekroliza, eritema multiforme, eksfolijativni dermatitis, urtikarija, oniholiza (pacijenti na terapiji trebalo bi da zaštite šake i stopala od sunčeve svjetlosti)</w:t>
            </w:r>
          </w:p>
          <w:p w:rsidR="00CC438D" w:rsidRPr="00CC438D" w:rsidRDefault="00CC438D" w:rsidP="00075BC5">
            <w:pPr>
              <w:pStyle w:val="TableParagraph"/>
              <w:spacing w:before="2" w:line="238" w:lineRule="exact"/>
            </w:pPr>
            <w:r w:rsidRPr="00CC438D">
              <w:t>Nepoznata: sklerodermija</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7"/>
        </w:trPr>
        <w:tc>
          <w:tcPr>
            <w:tcW w:w="5280" w:type="dxa"/>
          </w:tcPr>
          <w:p w:rsidR="00CC438D" w:rsidRPr="00CC438D" w:rsidRDefault="00CC438D" w:rsidP="00CC438D">
            <w:pPr>
              <w:pStyle w:val="TableParagraph"/>
              <w:spacing w:line="249" w:lineRule="exact"/>
              <w:ind w:left="105"/>
              <w:jc w:val="both"/>
              <w:rPr>
                <w:b/>
              </w:rPr>
            </w:pPr>
            <w:r w:rsidRPr="00CC438D">
              <w:rPr>
                <w:b/>
              </w:rPr>
              <w:t>Poremećaji mišićno-skeletnog, vezivnog i koštanog tkiva</w:t>
            </w:r>
          </w:p>
        </w:tc>
        <w:tc>
          <w:tcPr>
            <w:tcW w:w="4444" w:type="dxa"/>
            <w:gridSpan w:val="2"/>
          </w:tcPr>
          <w:p w:rsidR="00CC438D" w:rsidRPr="00CC438D" w:rsidRDefault="00CC438D" w:rsidP="00075BC5">
            <w:pPr>
              <w:pStyle w:val="TableParagraph"/>
              <w:spacing w:line="244" w:lineRule="exact"/>
            </w:pPr>
            <w:r w:rsidRPr="00CC438D">
              <w:t>Veoma česta: artalgija, mialgija</w:t>
            </w:r>
          </w:p>
          <w:p w:rsidR="00CC438D" w:rsidRPr="00CC438D" w:rsidRDefault="00CC438D" w:rsidP="00075BC5">
            <w:pPr>
              <w:pStyle w:val="TableParagraph"/>
              <w:tabs>
                <w:tab w:val="left" w:pos="921"/>
                <w:tab w:val="left" w:pos="2212"/>
                <w:tab w:val="left" w:pos="3470"/>
              </w:tabs>
              <w:spacing w:before="1" w:line="250" w:lineRule="atLeast"/>
              <w:ind w:right="5"/>
            </w:pPr>
            <w:r w:rsidRPr="00CC438D">
              <w:t>Nepoznata*: sistemski</w:t>
            </w:r>
            <w:r w:rsidRPr="00CC438D">
              <w:tab/>
            </w:r>
            <w:r w:rsidRPr="00CC438D">
              <w:rPr>
                <w:spacing w:val="-4"/>
              </w:rPr>
              <w:t xml:space="preserve">lupus </w:t>
            </w:r>
            <w:r w:rsidRPr="00CC438D">
              <w:t>eritematozus</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81"/>
        </w:trPr>
        <w:tc>
          <w:tcPr>
            <w:tcW w:w="5280" w:type="dxa"/>
          </w:tcPr>
          <w:p w:rsidR="00CC438D" w:rsidRPr="00CC438D" w:rsidRDefault="00CC438D" w:rsidP="00CC438D">
            <w:pPr>
              <w:pStyle w:val="TableParagraph"/>
              <w:spacing w:line="249" w:lineRule="exact"/>
              <w:ind w:left="105"/>
              <w:jc w:val="both"/>
              <w:rPr>
                <w:b/>
              </w:rPr>
            </w:pPr>
            <w:r w:rsidRPr="00CC438D">
              <w:rPr>
                <w:b/>
              </w:rPr>
              <w:t>Opšti poremećaji i reakcije na mjestu primjene</w:t>
            </w:r>
          </w:p>
        </w:tc>
        <w:tc>
          <w:tcPr>
            <w:tcW w:w="4444" w:type="dxa"/>
            <w:gridSpan w:val="2"/>
          </w:tcPr>
          <w:p w:rsidR="00CC438D" w:rsidRPr="00CC438D" w:rsidRDefault="00CC438D" w:rsidP="00075BC5">
            <w:pPr>
              <w:pStyle w:val="TableParagraph"/>
              <w:tabs>
                <w:tab w:val="left" w:pos="1372"/>
                <w:tab w:val="left" w:pos="2956"/>
              </w:tabs>
              <w:ind w:right="3"/>
            </w:pPr>
            <w:r w:rsidRPr="00CC438D">
              <w:t>Česta: reakcije na mjestu primjene lijeka (uključujući lokalizovani edem, bol, eritem, induracija,</w:t>
            </w:r>
            <w:r w:rsidRPr="00CC438D">
              <w:rPr>
                <w:spacing w:val="-1"/>
              </w:rPr>
              <w:t xml:space="preserve"> povremeno </w:t>
            </w:r>
            <w:r w:rsidRPr="00CC438D">
              <w:t>ekstravazacija može dovesti do celulitisa, fibroza kože i nekroza</w:t>
            </w:r>
            <w:r w:rsidRPr="00CC438D">
              <w:rPr>
                <w:spacing w:val="-6"/>
              </w:rPr>
              <w:t xml:space="preserve"> </w:t>
            </w:r>
            <w:r w:rsidRPr="00CC438D">
              <w:t>kože)</w:t>
            </w:r>
          </w:p>
          <w:p w:rsidR="00CC438D" w:rsidRPr="00CC438D" w:rsidRDefault="00CC438D" w:rsidP="00075BC5">
            <w:pPr>
              <w:pStyle w:val="TableParagraph"/>
              <w:tabs>
                <w:tab w:val="left" w:pos="1152"/>
                <w:tab w:val="left" w:pos="2241"/>
                <w:tab w:val="left" w:pos="3417"/>
              </w:tabs>
              <w:spacing w:line="250" w:lineRule="exact"/>
            </w:pPr>
            <w:r w:rsidRPr="00CC438D">
              <w:t xml:space="preserve">Rijetka*: astenija, pireksija, </w:t>
            </w:r>
            <w:r w:rsidRPr="00CC438D">
              <w:rPr>
                <w:spacing w:val="-3"/>
              </w:rPr>
              <w:t>edem,</w:t>
            </w:r>
          </w:p>
          <w:p w:rsidR="00CC438D" w:rsidRPr="00CC438D" w:rsidRDefault="00CC438D" w:rsidP="00075BC5">
            <w:pPr>
              <w:pStyle w:val="TableParagraph"/>
              <w:spacing w:line="243" w:lineRule="exact"/>
            </w:pPr>
            <w:r w:rsidRPr="00CC438D">
              <w:t>malaksalost</w:t>
            </w:r>
          </w:p>
        </w:tc>
      </w:tr>
      <w:tr w:rsidR="00CC438D" w:rsidRPr="00CC438D" w:rsidTr="00A51C3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8"/>
        </w:trPr>
        <w:tc>
          <w:tcPr>
            <w:tcW w:w="5280" w:type="dxa"/>
          </w:tcPr>
          <w:p w:rsidR="00CC438D" w:rsidRPr="00CC438D" w:rsidRDefault="00CC438D" w:rsidP="00CC438D">
            <w:pPr>
              <w:pStyle w:val="TableParagraph"/>
              <w:spacing w:line="249" w:lineRule="exact"/>
              <w:ind w:left="105"/>
              <w:jc w:val="both"/>
              <w:rPr>
                <w:b/>
              </w:rPr>
            </w:pPr>
            <w:r w:rsidRPr="00CC438D">
              <w:rPr>
                <w:b/>
              </w:rPr>
              <w:lastRenderedPageBreak/>
              <w:t>Laboratorijska ispitivanja</w:t>
            </w:r>
          </w:p>
        </w:tc>
        <w:tc>
          <w:tcPr>
            <w:tcW w:w="4444" w:type="dxa"/>
            <w:gridSpan w:val="2"/>
          </w:tcPr>
          <w:p w:rsidR="00CC438D" w:rsidRPr="00CC438D" w:rsidRDefault="00CC438D" w:rsidP="00075BC5">
            <w:pPr>
              <w:pStyle w:val="TableParagraph"/>
            </w:pPr>
            <w:r w:rsidRPr="00CC438D">
              <w:t xml:space="preserve">Česta: značajan porast AST (SGOT), značajan porast alkalne fosfataze </w:t>
            </w:r>
          </w:p>
          <w:p w:rsidR="00CC438D" w:rsidRPr="00CC438D" w:rsidRDefault="00CC438D" w:rsidP="00075BC5">
            <w:pPr>
              <w:pStyle w:val="TableParagraph"/>
            </w:pPr>
            <w:r w:rsidRPr="00CC438D">
              <w:t>Povremena: značajan porast bilirubina</w:t>
            </w:r>
          </w:p>
          <w:p w:rsidR="00CC438D" w:rsidRPr="00CC438D" w:rsidRDefault="00CC438D" w:rsidP="00075BC5">
            <w:pPr>
              <w:pStyle w:val="TableParagraph"/>
              <w:spacing w:line="242" w:lineRule="exact"/>
            </w:pPr>
            <w:r w:rsidRPr="00CC438D">
              <w:t>Rijetka*: porast kreatinina u krvi</w:t>
            </w:r>
          </w:p>
        </w:tc>
      </w:tr>
    </w:tbl>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Pacijenti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karcinomom dojke koji su primali paklitaksel u adjuvantnoj terapiji posle AC terapije imaju veću učestalost: neurosenzorne toksičnosti, reakcija preosjetljivosti, artralgija/mialgija, anemije, infekcija, groznice, mučnina / povraćanja i proliva od pacijenata koji su primali samo AC terapiju. Međutim, učestalost ovih slučajeva odgovarala je primjeni terapije samo paklitakselom, kao što je navedeno ranije.</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 </w:t>
      </w:r>
    </w:p>
    <w:p w:rsidR="00CC438D" w:rsidRPr="00CC438D" w:rsidRDefault="00CC438D" w:rsidP="00CC438D">
      <w:pPr>
        <w:tabs>
          <w:tab w:val="left" w:pos="540"/>
          <w:tab w:val="left" w:pos="569"/>
        </w:tabs>
        <w:spacing w:after="0"/>
        <w:jc w:val="both"/>
        <w:rPr>
          <w:rFonts w:ascii="Times New Roman" w:hAnsi="Times New Roman" w:cs="Times New Roman"/>
          <w:bCs/>
          <w:u w:val="single"/>
        </w:rPr>
      </w:pPr>
      <w:r w:rsidRPr="00CC438D">
        <w:rPr>
          <w:rFonts w:ascii="Times New Roman" w:hAnsi="Times New Roman" w:cs="Times New Roman"/>
          <w:bCs/>
          <w:u w:val="single"/>
        </w:rPr>
        <w:t>Kombinovana terapija</w:t>
      </w: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Sledeći tekst se odnosi na dva velika ispitivanja prve linije hemioterapije kod karcinoma ovarijuma (paklitaksel + cisplatin: preko 1050 pacijenata); dva klinička ispitivanja faze III prve linije terapije metastatskog karcinoma dojke: u jednom se ispituje kombinovana terapija sa doksorubicinom (paklitaksel + doksorubicin: 267 pacijenata), a u drugom kombinovana terapija sa trastuzumabom (planirana analiza podgrupa paklitaksel + trastuzumab: 188 pacijenata) i dva klinička ispitivanja faze III za liječenje uznapredovalog nemikrocelularnog karcinoma pluća (paklitaksel + cisplatin: preko 360 pacijenata) (vidjeti odjeljak 5.1).</w:t>
      </w:r>
      <w:proofErr w:type="gramEnd"/>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Kada se daje kao tročasovna infuzija u prvoj liniji hemioterapije karcinoma jajnika, neurotoksičnost, artralgija/mialgija i preosjetljivost zabilježene su kao učestalije i teže kod pacijentkinja koje su liječene paklitakselom posle kog je primijenjena terapija cisplatinom, nego kod pacijetkinja koje su liječene ciklofosfamidom nakon koje je primijenjena terapija cisplatinom. Mijelosupresija je bila rjeđa i blaža kada se paklitaksel </w:t>
      </w:r>
      <w:proofErr w:type="gramStart"/>
      <w:r w:rsidRPr="00CC438D">
        <w:rPr>
          <w:rFonts w:ascii="Times New Roman" w:hAnsi="Times New Roman" w:cs="Times New Roman"/>
          <w:bCs/>
        </w:rPr>
        <w:t>davao</w:t>
      </w:r>
      <w:proofErr w:type="gramEnd"/>
      <w:r w:rsidRPr="00CC438D">
        <w:rPr>
          <w:rFonts w:ascii="Times New Roman" w:hAnsi="Times New Roman" w:cs="Times New Roman"/>
          <w:bCs/>
        </w:rPr>
        <w:t xml:space="preserve"> kao 3-časovna infuzija nakon koje je primijenjena terapija cisplatinom u poređenju sa ciklofosfamidom posle koga je slijedila terapija cisplatinom.</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Kod prve linije hemioterapije metastatskog karcinoma dojke, neutropenija, anemija, periferna neuropatija, artralgija/mialgija, astenija, groznica i dijareja su bile češće i u težem obliku kada je paklitaksel (220 mg/m</w:t>
      </w:r>
      <w:r w:rsidRPr="00CC438D">
        <w:rPr>
          <w:rFonts w:ascii="Times New Roman" w:hAnsi="Times New Roman" w:cs="Times New Roman"/>
          <w:bCs/>
          <w:vertAlign w:val="superscript"/>
        </w:rPr>
        <w:t>2</w:t>
      </w:r>
      <w:r w:rsidRPr="00CC438D">
        <w:rPr>
          <w:rFonts w:ascii="Times New Roman" w:hAnsi="Times New Roman" w:cs="Times New Roman"/>
          <w:bCs/>
        </w:rPr>
        <w:t>) primjenjivan u vidu 3 časovne infuzije 24 sata nakon primjene doksorubicina (50mg/m</w:t>
      </w:r>
      <w:r w:rsidRPr="00CC438D">
        <w:rPr>
          <w:rFonts w:ascii="Times New Roman" w:hAnsi="Times New Roman" w:cs="Times New Roman"/>
          <w:bCs/>
          <w:vertAlign w:val="superscript"/>
        </w:rPr>
        <w:t>2</w:t>
      </w:r>
      <w:r w:rsidRPr="00CC438D">
        <w:rPr>
          <w:rFonts w:ascii="Times New Roman" w:hAnsi="Times New Roman" w:cs="Times New Roman"/>
          <w:bCs/>
        </w:rPr>
        <w:t>) u poređenju sa standardnom FAC terapijom (5-FU 500 mg/m</w:t>
      </w:r>
      <w:r w:rsidRPr="00CC438D">
        <w:rPr>
          <w:rFonts w:ascii="Times New Roman" w:hAnsi="Times New Roman" w:cs="Times New Roman"/>
          <w:bCs/>
          <w:vertAlign w:val="superscript"/>
        </w:rPr>
        <w:t>2</w:t>
      </w:r>
      <w:r w:rsidRPr="00CC438D">
        <w:rPr>
          <w:rFonts w:ascii="Times New Roman" w:hAnsi="Times New Roman" w:cs="Times New Roman"/>
          <w:bCs/>
        </w:rPr>
        <w:t>, doksorubicin 50 mg/m</w:t>
      </w:r>
      <w:r w:rsidRPr="00CC438D">
        <w:rPr>
          <w:rFonts w:ascii="Times New Roman" w:hAnsi="Times New Roman" w:cs="Times New Roman"/>
          <w:bCs/>
          <w:vertAlign w:val="superscript"/>
        </w:rPr>
        <w:t>2</w:t>
      </w:r>
      <w:r w:rsidRPr="00CC438D">
        <w:rPr>
          <w:rFonts w:ascii="Times New Roman" w:hAnsi="Times New Roman" w:cs="Times New Roman"/>
          <w:bCs/>
        </w:rPr>
        <w:t>, ciklofosfamid 500 mg/m</w:t>
      </w:r>
      <w:r w:rsidRPr="00CC438D">
        <w:rPr>
          <w:rFonts w:ascii="Times New Roman" w:hAnsi="Times New Roman" w:cs="Times New Roman"/>
          <w:bCs/>
          <w:vertAlign w:val="superscript"/>
        </w:rPr>
        <w:t>2</w:t>
      </w:r>
      <w:r w:rsidRPr="00CC438D">
        <w:rPr>
          <w:rFonts w:ascii="Times New Roman" w:hAnsi="Times New Roman" w:cs="Times New Roman"/>
          <w:bCs/>
        </w:rPr>
        <w:t>).</w:t>
      </w:r>
      <w:proofErr w:type="gramEnd"/>
      <w:r w:rsidRPr="00CC438D">
        <w:rPr>
          <w:rFonts w:ascii="Times New Roman" w:hAnsi="Times New Roman" w:cs="Times New Roman"/>
          <w:bCs/>
        </w:rPr>
        <w:t xml:space="preserve"> Mučnina i povraćanje su se javljali ređe i u blažem obliku kod terapijskog režima paklitaksel (220 mg/m</w:t>
      </w:r>
      <w:r w:rsidRPr="00CC438D">
        <w:rPr>
          <w:rFonts w:ascii="Times New Roman" w:hAnsi="Times New Roman" w:cs="Times New Roman"/>
          <w:bCs/>
          <w:vertAlign w:val="superscript"/>
        </w:rPr>
        <w:t>2</w:t>
      </w:r>
      <w:r w:rsidRPr="00CC438D">
        <w:rPr>
          <w:rFonts w:ascii="Times New Roman" w:hAnsi="Times New Roman" w:cs="Times New Roman"/>
          <w:bCs/>
        </w:rPr>
        <w:t>)/doksorubicin (50 mg/m</w:t>
      </w:r>
      <w:r w:rsidRPr="00CC438D">
        <w:rPr>
          <w:rFonts w:ascii="Times New Roman" w:hAnsi="Times New Roman" w:cs="Times New Roman"/>
          <w:bCs/>
          <w:vertAlign w:val="superscript"/>
        </w:rPr>
        <w:t>2</w:t>
      </w:r>
      <w:r w:rsidRPr="00CC438D">
        <w:rPr>
          <w:rFonts w:ascii="Times New Roman" w:hAnsi="Times New Roman" w:cs="Times New Roman"/>
          <w:bCs/>
        </w:rPr>
        <w:t>) u poređenju sa standardnom FAC terapijom. Moguće je da je primjena kortikosteroida doprinijela manjoj učestalosti i manjoj težini mučnine i povraćanja u grupi koja je primala kombinaciju paklitaksel /doksorubicin.</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Kada se paklitaksel davao kao 3-časovna infuzija u kombinaciji sa trastuzumabom u prvoj liniji hemioterapije kod pacijenata sa metastatskim karcinomom dojke, sledeći događaji (bez obzira na njihovu povezanost sa paklitakselom ili trastuzumabom) zabilježeni su češće nego kod terapije samo paklitakselom: srčana insuficijencija (8% u odnosu na 1%), infekcije (46% u odnosu na 27%), drhtavica (42% u odnosu na 4%), visoka temperatura (47% u odnosu na 23%), kašalj (42%u odnosu na 22%), osip (39% u odnosu na 18%), artralgija (37% u odnosu na 21%), tahikardija (12% u odnosu na 4%), dijareja (45% u odnosu na 30%), hipertonija (11% u odnosu na 3%), krvarenje iz nosa (18% u odnosu na 4%), akne (11% u odnosu na 3%), herpes simplijeks (12% u odnosu na 3%), slučajne povrede (13% u odnosu na 3%), insomnija (25% u odnosu na 13%), rinitis (22% u odnosu na 5%), sinusitis (21% u odnosu na 7%) i reakcije na mjestu injekcije (7% u odnosu na 1%).</w:t>
      </w:r>
      <w:proofErr w:type="gramEnd"/>
      <w:r w:rsidRPr="00CC438D">
        <w:rPr>
          <w:rFonts w:ascii="Times New Roman" w:hAnsi="Times New Roman" w:cs="Times New Roman"/>
          <w:bCs/>
        </w:rPr>
        <w:t xml:space="preserve"> Neke razlike u učestalosti mogu biti zbog povećanog broja i trajanja kombinovane terapije paklitakselom/trastuzumabom u odnosu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terapiju samo paklitakselom. Teški oblici neželjenih dejstava zabilježeni su sa sličnom stopom učestalosti kod </w:t>
      </w:r>
      <w:proofErr w:type="gramStart"/>
      <w:r w:rsidRPr="00CC438D">
        <w:rPr>
          <w:rFonts w:ascii="Times New Roman" w:hAnsi="Times New Roman" w:cs="Times New Roman"/>
          <w:bCs/>
        </w:rPr>
        <w:t>terapije  paklitakselom</w:t>
      </w:r>
      <w:proofErr w:type="gramEnd"/>
      <w:r w:rsidRPr="00CC438D">
        <w:rPr>
          <w:rFonts w:ascii="Times New Roman" w:hAnsi="Times New Roman" w:cs="Times New Roman"/>
          <w:bCs/>
        </w:rPr>
        <w:t>/trastuzumabom i terapije samo paklitakselom.</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lastRenderedPageBreak/>
        <w:t xml:space="preserve"> </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Kada se primjenjivao doksorubicin u kombinaciji sa paklitakselom kod metastatskog karcinoma dojke, </w:t>
      </w:r>
      <w:r w:rsidRPr="00CC438D">
        <w:rPr>
          <w:rFonts w:ascii="Times New Roman" w:hAnsi="Times New Roman" w:cs="Times New Roman"/>
          <w:b/>
          <w:bCs/>
        </w:rPr>
        <w:t>poremećaj kontraktilnosti srca</w:t>
      </w:r>
      <w:r w:rsidRPr="00CC438D">
        <w:rPr>
          <w:rFonts w:ascii="Times New Roman" w:hAnsi="Times New Roman" w:cs="Times New Roman"/>
          <w:bCs/>
        </w:rPr>
        <w:t xml:space="preserve"> (≥ 20% smanjenje ejekcione frakcije lijeve komore) uočena je kod 15% pacijenata u odnosu na 10% pacijenata liječenih standradnim FAC režimom. Kongestivna srčana insuficijencija je uočena kod &lt;1% u grupi koja je primala kombinovanu terapiju paklitaksel/doksorubicin i u grupi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standardnoj FAC terapiji. </w:t>
      </w:r>
      <w:proofErr w:type="gramStart"/>
      <w:r w:rsidRPr="00CC438D">
        <w:rPr>
          <w:rFonts w:ascii="Times New Roman" w:hAnsi="Times New Roman" w:cs="Times New Roman"/>
          <w:bCs/>
        </w:rPr>
        <w:t>Primjena trastuzumaba u kombinaciji sa paklitakselom kod pacijenata koji su prethodno liječeni antraciklinima dovela je do povećane učestalosti i težih oblika srčane disfunkcije u odnosu na pacijente koji su liječeni samo paklitakselom (NYHA klasa I/II 10% u odnosu na 0%; NYHA klasa III/IV 2% u odnosu na 1%), a rijetko je bila povezana sa smrtnim ishodom (vidjeti Sažetak karakteristika lijeka trastuzumab).</w:t>
      </w:r>
      <w:proofErr w:type="gramEnd"/>
      <w:r w:rsidRPr="00CC438D">
        <w:rPr>
          <w:rFonts w:ascii="Times New Roman" w:hAnsi="Times New Roman" w:cs="Times New Roman"/>
          <w:bCs/>
        </w:rPr>
        <w:t xml:space="preserve"> U svim ovim, </w:t>
      </w:r>
      <w:proofErr w:type="gramStart"/>
      <w:r w:rsidRPr="00CC438D">
        <w:rPr>
          <w:rFonts w:ascii="Times New Roman" w:hAnsi="Times New Roman" w:cs="Times New Roman"/>
          <w:bCs/>
        </w:rPr>
        <w:t>ali</w:t>
      </w:r>
      <w:proofErr w:type="gramEnd"/>
      <w:r w:rsidRPr="00CC438D">
        <w:rPr>
          <w:rFonts w:ascii="Times New Roman" w:hAnsi="Times New Roman" w:cs="Times New Roman"/>
          <w:bCs/>
        </w:rPr>
        <w:t xml:space="preserve"> rijetkim, slučajevima, pacijenti su reagovali na odgovarajuću medicinsku terapiju.</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Radiacioni pneumonitis</w:t>
      </w:r>
      <w:r w:rsidRPr="00CC438D">
        <w:rPr>
          <w:rFonts w:ascii="Times New Roman" w:hAnsi="Times New Roman" w:cs="Times New Roman"/>
          <w:bCs/>
        </w:rPr>
        <w:t xml:space="preserve"> zabilježen je kod pacijenata koji su istovremeno primali radioterapiju. </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u w:val="single"/>
        </w:rPr>
      </w:pPr>
      <w:r w:rsidRPr="00CC438D">
        <w:rPr>
          <w:rFonts w:ascii="Times New Roman" w:hAnsi="Times New Roman" w:cs="Times New Roman"/>
          <w:bCs/>
          <w:u w:val="single"/>
        </w:rPr>
        <w:t xml:space="preserve">Kapošijev sarkom povezan </w:t>
      </w:r>
      <w:proofErr w:type="gramStart"/>
      <w:r w:rsidRPr="00CC438D">
        <w:rPr>
          <w:rFonts w:ascii="Times New Roman" w:hAnsi="Times New Roman" w:cs="Times New Roman"/>
          <w:bCs/>
          <w:u w:val="single"/>
        </w:rPr>
        <w:t>na</w:t>
      </w:r>
      <w:proofErr w:type="gramEnd"/>
      <w:r w:rsidRPr="00CC438D">
        <w:rPr>
          <w:rFonts w:ascii="Times New Roman" w:hAnsi="Times New Roman" w:cs="Times New Roman"/>
          <w:bCs/>
          <w:u w:val="single"/>
        </w:rPr>
        <w:t xml:space="preserve"> AIDS-om</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izuzetkom hematoloških i hepatičnih neželjenih dejstava (vidjeti dalje), učestalost i težina neželjenih dejstava su generalno bile slične kod pacijenata sa Kapošijevim sarkomom i kod pacijenata sa drugim solidnim tumorima, a koji su liječeni monoterapijom paklitaksela. Podaci se baziraju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kliničkoj studiji u koju je bilo uključeno 107 pacijenata.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Poremećaji krvi i limfnog sistema</w:t>
      </w:r>
      <w:r w:rsidRPr="00CC438D">
        <w:rPr>
          <w:rFonts w:ascii="Times New Roman" w:hAnsi="Times New Roman" w:cs="Times New Roman"/>
          <w:bCs/>
        </w:rPr>
        <w:t>: supresija koštane srži je bila najveća dozno zavisna toksična reakcija. Neutropenija je bila bila najveća dozno zavisna toksična reakcija. Tokom prvog ciklusa terapije, javila se teška neutropenija (&lt; 0,5x10</w:t>
      </w:r>
      <w:r w:rsidRPr="00CC438D">
        <w:rPr>
          <w:rFonts w:ascii="Times New Roman" w:hAnsi="Times New Roman" w:cs="Times New Roman"/>
          <w:bCs/>
          <w:vertAlign w:val="superscript"/>
        </w:rPr>
        <w:t>9</w:t>
      </w:r>
      <w:r w:rsidRPr="00CC438D">
        <w:rPr>
          <w:rFonts w:ascii="Times New Roman" w:hAnsi="Times New Roman" w:cs="Times New Roman"/>
          <w:bCs/>
        </w:rPr>
        <w:t xml:space="preserve">ćelija/L) kod 20% pacijenata. U toku cijelog perioda terapije, uočena je teška neutropenija kod 39% pacijenata. Neutropenija je trajala &gt; 7dana kod 41% pacijenata i 30-35 </w:t>
      </w:r>
      <w:proofErr w:type="gramStart"/>
      <w:r w:rsidRPr="00CC438D">
        <w:rPr>
          <w:rFonts w:ascii="Times New Roman" w:hAnsi="Times New Roman" w:cs="Times New Roman"/>
          <w:bCs/>
        </w:rPr>
        <w:t>dana</w:t>
      </w:r>
      <w:proofErr w:type="gramEnd"/>
      <w:r w:rsidRPr="00CC438D">
        <w:rPr>
          <w:rFonts w:ascii="Times New Roman" w:hAnsi="Times New Roman" w:cs="Times New Roman"/>
          <w:bCs/>
        </w:rPr>
        <w:t xml:space="preserve"> kod 8% pacijenata. Ona se povukla nakon 35 </w:t>
      </w:r>
      <w:proofErr w:type="gramStart"/>
      <w:r w:rsidRPr="00CC438D">
        <w:rPr>
          <w:rFonts w:ascii="Times New Roman" w:hAnsi="Times New Roman" w:cs="Times New Roman"/>
          <w:bCs/>
        </w:rPr>
        <w:t>dana</w:t>
      </w:r>
      <w:proofErr w:type="gramEnd"/>
      <w:r w:rsidRPr="00CC438D">
        <w:rPr>
          <w:rFonts w:ascii="Times New Roman" w:hAnsi="Times New Roman" w:cs="Times New Roman"/>
          <w:bCs/>
        </w:rPr>
        <w:t xml:space="preserve"> kod svih pacijenata koji su praćeni. Incidenca neutropenije stepena 4 koja je trajala ≥ 7 </w:t>
      </w:r>
      <w:proofErr w:type="gramStart"/>
      <w:r w:rsidRPr="00CC438D">
        <w:rPr>
          <w:rFonts w:ascii="Times New Roman" w:hAnsi="Times New Roman" w:cs="Times New Roman"/>
          <w:bCs/>
        </w:rPr>
        <w:t>dana</w:t>
      </w:r>
      <w:proofErr w:type="gramEnd"/>
      <w:r w:rsidRPr="00CC438D">
        <w:rPr>
          <w:rFonts w:ascii="Times New Roman" w:hAnsi="Times New Roman" w:cs="Times New Roman"/>
          <w:bCs/>
        </w:rPr>
        <w:t xml:space="preserve"> bila je 22%.</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Neutropenijska groznica koja je bila povezana sa paklitakselom zabilježena je kod 14% pacijenata i u 1</w:t>
      </w:r>
      <w:proofErr w:type="gramStart"/>
      <w:r w:rsidRPr="00CC438D">
        <w:rPr>
          <w:rFonts w:ascii="Times New Roman" w:hAnsi="Times New Roman" w:cs="Times New Roman"/>
          <w:bCs/>
        </w:rPr>
        <w:t>,3</w:t>
      </w:r>
      <w:proofErr w:type="gramEnd"/>
      <w:r w:rsidRPr="00CC438D">
        <w:rPr>
          <w:rFonts w:ascii="Times New Roman" w:hAnsi="Times New Roman" w:cs="Times New Roman"/>
          <w:bCs/>
        </w:rPr>
        <w:t>% ciklusa terapije. Zabilježene su 3 septičke epizode (2</w:t>
      </w:r>
      <w:proofErr w:type="gramStart"/>
      <w:r w:rsidRPr="00CC438D">
        <w:rPr>
          <w:rFonts w:ascii="Times New Roman" w:hAnsi="Times New Roman" w:cs="Times New Roman"/>
          <w:bCs/>
        </w:rPr>
        <w:t>,8</w:t>
      </w:r>
      <w:proofErr w:type="gramEnd"/>
      <w:r w:rsidRPr="00CC438D">
        <w:rPr>
          <w:rFonts w:ascii="Times New Roman" w:hAnsi="Times New Roman" w:cs="Times New Roman"/>
          <w:bCs/>
        </w:rPr>
        <w:t>%) tokom terapije paklitakselom, povezane sa primjenom lijeka koje su imali fatalan ishod.</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Trobocitopenija je bila zabilježena kod 50% pacijenata, a kod 9% se javila u teškom obliku (&lt;50x10</w:t>
      </w:r>
      <w:r w:rsidRPr="00CC438D">
        <w:rPr>
          <w:rFonts w:ascii="Times New Roman" w:hAnsi="Times New Roman" w:cs="Times New Roman"/>
          <w:bCs/>
          <w:vertAlign w:val="superscript"/>
        </w:rPr>
        <w:t>9</w:t>
      </w:r>
      <w:r w:rsidRPr="00CC438D">
        <w:rPr>
          <w:rFonts w:ascii="Times New Roman" w:hAnsi="Times New Roman" w:cs="Times New Roman"/>
          <w:bCs/>
        </w:rPr>
        <w:t xml:space="preserve">ćelija/L). Kod samo 14% pacijenata došlo je do pada broja trombocita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&lt; 75x10</w:t>
      </w:r>
      <w:r w:rsidRPr="00CC438D">
        <w:rPr>
          <w:rFonts w:ascii="Times New Roman" w:hAnsi="Times New Roman" w:cs="Times New Roman"/>
          <w:bCs/>
          <w:vertAlign w:val="superscript"/>
        </w:rPr>
        <w:t>9</w:t>
      </w:r>
      <w:r w:rsidRPr="00CC438D">
        <w:rPr>
          <w:rFonts w:ascii="Times New Roman" w:hAnsi="Times New Roman" w:cs="Times New Roman"/>
          <w:bCs/>
        </w:rPr>
        <w:t xml:space="preserve">ćelija/L, najmanje jednom u toku terapije. Epizode krvarenja povezane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paklitakselom zabilježene su kod &lt; 3% pacijenata, ali su hemoragične epizode bile lokalizovane.</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Anemija (Hb &lt; 11 g/dL) je bila zablježena kod 61% pacijenata i javila se u teškom obliku (Hb &lt; 8 g/dL) kod 10% pacijenata. Kod 21% pacijenata bila je neophodna transfuzija crvenih krvnih zrnaca.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Hepatobilijarni poremećaji</w:t>
      </w:r>
      <w:r w:rsidRPr="00CC438D">
        <w:rPr>
          <w:rFonts w:ascii="Times New Roman" w:hAnsi="Times New Roman" w:cs="Times New Roman"/>
          <w:bCs/>
        </w:rPr>
        <w:t xml:space="preserve">: među pacijentima (&gt;50%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terapiji inhibitorima proteaze) sa normalnom funkcijom jetre, 28%, 43% i 44% imalo je povišeni bilirubin, alkalnu fosfatazu, odnosno AST (SGOT). Kod svakog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ovih parametara, do velikog povećanja došlo je u 1% slučajeva.</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spacing w:after="0" w:line="276" w:lineRule="auto"/>
        <w:jc w:val="both"/>
        <w:rPr>
          <w:rFonts w:ascii="Times New Roman" w:eastAsia="Calibri" w:hAnsi="Times New Roman" w:cs="Times New Roman"/>
          <w:u w:val="single"/>
          <w:lang w:val="sr-Latn-RS"/>
        </w:rPr>
      </w:pPr>
      <w:r w:rsidRPr="00CC438D">
        <w:rPr>
          <w:rFonts w:ascii="Times New Roman" w:eastAsia="Calibri" w:hAnsi="Times New Roman" w:cs="Times New Roman"/>
          <w:u w:val="single"/>
          <w:lang w:val="sr-Latn-RS"/>
        </w:rPr>
        <w:t>Prijavljivanje sumnji na neželjena dejstva</w:t>
      </w:r>
    </w:p>
    <w:p w:rsidR="00CC438D" w:rsidRPr="00CC438D" w:rsidRDefault="00CC438D" w:rsidP="00CC438D">
      <w:pPr>
        <w:spacing w:after="0"/>
        <w:jc w:val="both"/>
        <w:rPr>
          <w:rFonts w:ascii="Times New Roman" w:eastAsia="Calibri" w:hAnsi="Times New Roman" w:cs="Times New Roman"/>
          <w:lang w:val="sr-Latn-RS"/>
        </w:rPr>
      </w:pPr>
      <w:r w:rsidRPr="00CC438D">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C438D" w:rsidRPr="00CC438D" w:rsidRDefault="00CC438D" w:rsidP="00CC438D">
      <w:pPr>
        <w:pStyle w:val="NoSpacing"/>
        <w:jc w:val="both"/>
        <w:rPr>
          <w:rFonts w:eastAsia="Calibri"/>
          <w:sz w:val="22"/>
          <w:szCs w:val="22"/>
          <w:lang w:val="sr-Latn-RS"/>
        </w:rPr>
      </w:pPr>
      <w:r w:rsidRPr="00CC438D">
        <w:rPr>
          <w:rFonts w:eastAsia="Calibri"/>
          <w:sz w:val="22"/>
          <w:szCs w:val="22"/>
          <w:lang w:val="sr-Latn-RS"/>
        </w:rPr>
        <w:t>Agencija za ljekove i medicinska sredstva Crne Gore</w:t>
      </w:r>
    </w:p>
    <w:p w:rsidR="00CC438D" w:rsidRPr="00CC438D" w:rsidRDefault="00CC438D" w:rsidP="00CC438D">
      <w:pPr>
        <w:pStyle w:val="NoSpacing"/>
        <w:jc w:val="both"/>
        <w:rPr>
          <w:rFonts w:eastAsia="Calibri"/>
          <w:sz w:val="22"/>
          <w:szCs w:val="22"/>
          <w:lang w:val="sr-Latn-RS"/>
        </w:rPr>
      </w:pPr>
      <w:r w:rsidRPr="00CC438D">
        <w:rPr>
          <w:rFonts w:eastAsia="Calibri"/>
          <w:sz w:val="22"/>
          <w:szCs w:val="22"/>
          <w:lang w:val="sr-Latn-RS"/>
        </w:rPr>
        <w:t>Odjeljenje za farmakovigilancu</w:t>
      </w:r>
    </w:p>
    <w:p w:rsidR="00CC438D" w:rsidRPr="00CC438D" w:rsidRDefault="00CC438D" w:rsidP="00CC438D">
      <w:pPr>
        <w:pStyle w:val="NoSpacing"/>
        <w:jc w:val="both"/>
        <w:rPr>
          <w:rFonts w:eastAsia="Calibri"/>
          <w:sz w:val="22"/>
          <w:szCs w:val="22"/>
          <w:lang w:val="sr-Latn-RS"/>
        </w:rPr>
      </w:pPr>
      <w:r w:rsidRPr="00CC438D">
        <w:rPr>
          <w:rFonts w:eastAsia="Calibri"/>
          <w:sz w:val="22"/>
          <w:szCs w:val="22"/>
          <w:lang w:val="sr-Latn-RS"/>
        </w:rPr>
        <w:t>Bulevar Ivana Crnojevića 64a, 81000 Podgorica</w:t>
      </w:r>
    </w:p>
    <w:p w:rsidR="00CC438D" w:rsidRPr="00CC438D" w:rsidRDefault="00CC438D" w:rsidP="00CC438D">
      <w:pPr>
        <w:pStyle w:val="NoSpacing"/>
        <w:jc w:val="both"/>
        <w:rPr>
          <w:rFonts w:eastAsia="Calibri"/>
          <w:sz w:val="22"/>
          <w:szCs w:val="22"/>
          <w:lang w:val="sr-Latn-RS"/>
        </w:rPr>
      </w:pPr>
    </w:p>
    <w:p w:rsidR="00CC438D" w:rsidRPr="00CC438D" w:rsidRDefault="00CC438D" w:rsidP="00CC438D">
      <w:pPr>
        <w:pStyle w:val="NoSpacing"/>
        <w:jc w:val="both"/>
        <w:rPr>
          <w:rFonts w:eastAsia="Calibri"/>
          <w:sz w:val="22"/>
          <w:szCs w:val="22"/>
          <w:lang w:val="sr-Latn-RS"/>
        </w:rPr>
      </w:pPr>
      <w:r w:rsidRPr="00CC438D">
        <w:rPr>
          <w:rFonts w:eastAsia="Calibri"/>
          <w:sz w:val="22"/>
          <w:szCs w:val="22"/>
          <w:lang w:val="sr-Latn-RS"/>
        </w:rPr>
        <w:t>tel: +382 (0) 20 310 280</w:t>
      </w:r>
    </w:p>
    <w:p w:rsidR="00CC438D" w:rsidRPr="00CC438D" w:rsidRDefault="00CC438D" w:rsidP="00CC438D">
      <w:pPr>
        <w:pStyle w:val="NoSpacing"/>
        <w:jc w:val="both"/>
        <w:rPr>
          <w:rFonts w:eastAsia="Calibri"/>
          <w:sz w:val="22"/>
          <w:szCs w:val="22"/>
          <w:lang w:val="sr-Latn-RS"/>
        </w:rPr>
      </w:pPr>
      <w:r w:rsidRPr="00CC438D">
        <w:rPr>
          <w:rFonts w:eastAsia="Calibri"/>
          <w:sz w:val="22"/>
          <w:szCs w:val="22"/>
          <w:lang w:val="sr-Latn-RS"/>
        </w:rPr>
        <w:t>fax: +382 (0) 20 310 581</w:t>
      </w:r>
    </w:p>
    <w:p w:rsidR="00CC438D" w:rsidRPr="00CC438D" w:rsidRDefault="00AA24DD" w:rsidP="00CC438D">
      <w:pPr>
        <w:pStyle w:val="NoSpacing"/>
        <w:jc w:val="both"/>
        <w:rPr>
          <w:rFonts w:eastAsia="Calibri"/>
          <w:sz w:val="22"/>
          <w:szCs w:val="22"/>
          <w:lang w:val="sr-Latn-RS"/>
        </w:rPr>
      </w:pPr>
      <w:hyperlink r:id="rId8" w:history="1">
        <w:r w:rsidR="00CC438D" w:rsidRPr="00CC438D">
          <w:rPr>
            <w:rFonts w:eastAsia="Calibri"/>
            <w:color w:val="0000FF"/>
            <w:sz w:val="22"/>
            <w:szCs w:val="22"/>
            <w:u w:val="single"/>
            <w:lang w:val="sr-Latn-RS"/>
          </w:rPr>
          <w:t>www.calims.me</w:t>
        </w:r>
      </w:hyperlink>
    </w:p>
    <w:p w:rsidR="00CC438D" w:rsidRPr="00CC438D" w:rsidRDefault="00AA24DD" w:rsidP="00CC438D">
      <w:pPr>
        <w:pStyle w:val="NoSpacing"/>
        <w:jc w:val="both"/>
        <w:rPr>
          <w:rFonts w:eastAsia="Calibri"/>
          <w:color w:val="0000FF"/>
          <w:sz w:val="22"/>
          <w:szCs w:val="22"/>
          <w:u w:val="single"/>
          <w:lang w:val="sr-Latn-RS"/>
        </w:rPr>
      </w:pPr>
      <w:hyperlink r:id="rId9" w:history="1">
        <w:r w:rsidR="00CC438D" w:rsidRPr="00CC438D">
          <w:rPr>
            <w:rFonts w:eastAsia="Calibri"/>
            <w:color w:val="0000FF"/>
            <w:sz w:val="22"/>
            <w:szCs w:val="22"/>
            <w:u w:val="single"/>
            <w:lang w:val="sr-Latn-RS"/>
          </w:rPr>
          <w:t>nezeljenadejstva@calims.me</w:t>
        </w:r>
      </w:hyperlink>
    </w:p>
    <w:p w:rsidR="00CC438D" w:rsidRPr="00CC438D" w:rsidRDefault="00CC438D" w:rsidP="00CC438D">
      <w:pPr>
        <w:pStyle w:val="NoSpacing"/>
        <w:jc w:val="both"/>
        <w:rPr>
          <w:rFonts w:eastAsia="Calibri"/>
          <w:sz w:val="22"/>
          <w:szCs w:val="22"/>
          <w:lang w:val="sr-Latn-RS"/>
        </w:rPr>
      </w:pPr>
      <w:r w:rsidRPr="00CC438D">
        <w:rPr>
          <w:rFonts w:eastAsia="Calibri"/>
          <w:sz w:val="22"/>
          <w:szCs w:val="22"/>
          <w:lang w:val="sr-Latn-RS"/>
        </w:rPr>
        <w:t>putem IS zdravstvene zaštite</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4.9. </w:t>
      </w:r>
      <w:r w:rsidRPr="00CC438D">
        <w:rPr>
          <w:rFonts w:ascii="Times New Roman" w:hAnsi="Times New Roman" w:cs="Times New Roman"/>
          <w:b/>
          <w:bCs/>
        </w:rPr>
        <w:tab/>
        <w:t xml:space="preserve">Predoziranje </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Kod predoziranja paklitakselom </w:t>
      </w:r>
      <w:proofErr w:type="gramStart"/>
      <w:r w:rsidRPr="00CC438D">
        <w:rPr>
          <w:rFonts w:ascii="Times New Roman" w:hAnsi="Times New Roman" w:cs="Times New Roman"/>
          <w:bCs/>
        </w:rPr>
        <w:t>nema</w:t>
      </w:r>
      <w:proofErr w:type="gramEnd"/>
      <w:r w:rsidRPr="00CC438D">
        <w:rPr>
          <w:rFonts w:ascii="Times New Roman" w:hAnsi="Times New Roman" w:cs="Times New Roman"/>
          <w:bCs/>
        </w:rPr>
        <w:t xml:space="preserve"> poznatog antidota.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U slučaju predoziranja, stanje pacijenta treba pažljivo pratiti. Terapiju bi trebalo usmjeriti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prve očekivane komplikacije predoziranja kao što su supresija kostne srži, periferna neuropatija i mukozitis.</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Predoziranje kod pedijatrijske populacije može biti povezano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akutnom toksičnošću koja je izazvana etanolom.</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u w:val="single"/>
        </w:rPr>
      </w:pPr>
      <w:r w:rsidRPr="00CC438D">
        <w:rPr>
          <w:rFonts w:ascii="Times New Roman" w:hAnsi="Times New Roman" w:cs="Times New Roman"/>
          <w:bCs/>
          <w:u w:val="single"/>
        </w:rPr>
        <w:t>Pedijatrijska populacija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Predoziranje kod pedijatrijske populacije može biti povezano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akutnom toksičnošću koja je izazvana etanolom.</w:t>
      </w:r>
    </w:p>
    <w:p w:rsid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5. </w:t>
      </w:r>
      <w:r w:rsidRPr="00CC438D">
        <w:rPr>
          <w:rFonts w:ascii="Times New Roman" w:hAnsi="Times New Roman" w:cs="Times New Roman"/>
          <w:b/>
          <w:bCs/>
        </w:rPr>
        <w:tab/>
        <w:t>FARMAKOLOŠKI PODACI</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5.1. </w:t>
      </w:r>
      <w:r w:rsidRPr="00CC438D">
        <w:rPr>
          <w:rFonts w:ascii="Times New Roman" w:hAnsi="Times New Roman" w:cs="Times New Roman"/>
          <w:b/>
          <w:bCs/>
        </w:rPr>
        <w:tab/>
        <w:t xml:space="preserve">Farmakodinamski podaci </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Farmakoterapijska grupa:</w:t>
      </w:r>
      <w:r w:rsidRPr="00CC438D">
        <w:rPr>
          <w:rFonts w:ascii="Times New Roman" w:hAnsi="Times New Roman" w:cs="Times New Roman"/>
        </w:rPr>
        <w:t xml:space="preserve"> </w:t>
      </w:r>
      <w:r w:rsidRPr="00CC438D">
        <w:rPr>
          <w:rFonts w:ascii="Times New Roman" w:hAnsi="Times New Roman" w:cs="Times New Roman"/>
          <w:bCs/>
        </w:rPr>
        <w:t>Antineoplastični agensi/taksani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ATC kod:</w:t>
      </w:r>
      <w:r w:rsidRPr="00CC438D">
        <w:rPr>
          <w:rFonts w:ascii="Times New Roman" w:hAnsi="Times New Roman" w:cs="Times New Roman"/>
        </w:rPr>
        <w:t xml:space="preserve"> </w:t>
      </w:r>
      <w:r w:rsidRPr="00CC438D">
        <w:rPr>
          <w:rFonts w:ascii="Times New Roman" w:hAnsi="Times New Roman" w:cs="Times New Roman"/>
          <w:bCs/>
        </w:rPr>
        <w:t>L01CD01</w:t>
      </w:r>
    </w:p>
    <w:p w:rsid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Mehanizam delovanja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Paklitaksel je antimikrotubularni lijek koji podstiče spajanje (polimerizaciju) mikrotubula iz dimera tubulina i stabilizuje mikrotubule činjeći ih otpornim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depolimerizaciju. Ova stabilnost rezultira inhibicijom normalne dinamičke reorganizacije mreže mikrotubula, koja je neophodna za vitalnu međufazu i mitotsku ćelijsku funkciju. Dodatno, paklitaksel indukuje abnormalne redove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snopove mikrotubula tokom ćelijskog ciklusa i višestruke astre mikrotubula tokom mitoze.</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 </w:t>
      </w: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Klinička efikasnost i bezbjednost</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Kod primjene u prvoj liniji hemioterapije kod karcinoma ovarijuma, bezbjednost i efikasnost paklitaksela su ocjenjivani u dvije velike randomizovane kontrolisane kliničke studije (u poređenju sa ciklofosfamid 750 mg/m</w:t>
      </w:r>
      <w:r w:rsidRPr="00CC438D">
        <w:rPr>
          <w:rFonts w:ascii="Times New Roman" w:hAnsi="Times New Roman" w:cs="Times New Roman"/>
          <w:bCs/>
          <w:vertAlign w:val="superscript"/>
        </w:rPr>
        <w:t>2</w:t>
      </w:r>
      <w:r w:rsidRPr="00CC438D">
        <w:rPr>
          <w:rFonts w:ascii="Times New Roman" w:hAnsi="Times New Roman" w:cs="Times New Roman"/>
          <w:bCs/>
        </w:rPr>
        <w:t>+ cisplatin 75 mg/m</w:t>
      </w:r>
      <w:r w:rsidRPr="00CC438D">
        <w:rPr>
          <w:rFonts w:ascii="Times New Roman" w:hAnsi="Times New Roman" w:cs="Times New Roman"/>
          <w:bCs/>
          <w:vertAlign w:val="superscript"/>
        </w:rPr>
        <w:t>2</w:t>
      </w:r>
      <w:r w:rsidRPr="00CC438D">
        <w:rPr>
          <w:rFonts w:ascii="Times New Roman" w:hAnsi="Times New Roman" w:cs="Times New Roman"/>
          <w:bCs/>
        </w:rPr>
        <w:t>).</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Tokom studija (BMS CA139-209) preko 650 pacijentkinja sa stadijumom IIb-c, III ili IV primarnog karcinoma ovarijuma je primilo najviše 9 ciklusa terapije paklitaksela (175 mg/m</w:t>
      </w:r>
      <w:r w:rsidRPr="00CC438D">
        <w:rPr>
          <w:rFonts w:ascii="Times New Roman" w:hAnsi="Times New Roman" w:cs="Times New Roman"/>
          <w:bCs/>
          <w:vertAlign w:val="superscript"/>
        </w:rPr>
        <w:t xml:space="preserve">2 </w:t>
      </w:r>
      <w:r w:rsidRPr="00CC438D">
        <w:rPr>
          <w:rFonts w:ascii="Times New Roman" w:hAnsi="Times New Roman" w:cs="Times New Roman"/>
          <w:bCs/>
        </w:rPr>
        <w:t>u trajanju od 3 sata), nakon koga je uslijedila terapija cisplatinom (75 mg/m</w:t>
      </w:r>
      <w:r w:rsidRPr="00CC438D">
        <w:rPr>
          <w:rFonts w:ascii="Times New Roman" w:hAnsi="Times New Roman" w:cs="Times New Roman"/>
          <w:bCs/>
          <w:vertAlign w:val="superscript"/>
        </w:rPr>
        <w:t>2</w:t>
      </w:r>
      <w:r w:rsidRPr="00CC438D">
        <w:rPr>
          <w:rFonts w:ascii="Times New Roman" w:hAnsi="Times New Roman" w:cs="Times New Roman"/>
          <w:bCs/>
        </w:rPr>
        <w:t>) ili kontrola. U drugoj velikoj studiji (GOG-</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111/BMS CA139-022), ocjenjivano je maksimalno 6 ciklusa terapije ili paklitakselom (135 mg/m² u trajanju od 24 sata) nakon koga je primijenjena terapija cisplatinom (75 mg/m²) ili kontrola, kod preko 400 pacijentkinja sa stadijumom III/IV primarnog karcinoma ovarijuma sa &gt;1 cm rezidualnog oboljenja nakon </w:t>
      </w:r>
      <w:r w:rsidRPr="00CC438D">
        <w:rPr>
          <w:rFonts w:ascii="Times New Roman" w:hAnsi="Times New Roman" w:cs="Times New Roman"/>
          <w:bCs/>
        </w:rPr>
        <w:lastRenderedPageBreak/>
        <w:t xml:space="preserve">izvođenja laparotomije ili sa udaljenim metastazama. Iako dva različita režima doziranja paklitaksela nijesu poređeni jedan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drugim direktno, u obje studije pacijentkinje liječene paklitakselom u kombinaciji sa cisplatinom imali su značajno veći stepen odgovora, duže vrijeme do progresije bolesti i duže vrijeme preživljavanja u poređenju sa pacijentkinjama koje su primale standardnu terapiju. </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Povećana neurotoksičnost, artralgija/mialgija, ali </w:t>
      </w:r>
      <w:proofErr w:type="gramStart"/>
      <w:r w:rsidRPr="00CC438D">
        <w:rPr>
          <w:rFonts w:ascii="Times New Roman" w:hAnsi="Times New Roman" w:cs="Times New Roman"/>
          <w:bCs/>
        </w:rPr>
        <w:t>smanjena  mijelosupresija</w:t>
      </w:r>
      <w:proofErr w:type="gramEnd"/>
      <w:r w:rsidRPr="00CC438D">
        <w:rPr>
          <w:rFonts w:ascii="Times New Roman" w:hAnsi="Times New Roman" w:cs="Times New Roman"/>
          <w:bCs/>
        </w:rPr>
        <w:t xml:space="preserve"> su uočeni kod pacijentkinja sa uznapredovalim karcinomom ovarijuma, koji su liječeni 3-časovnom infuzijom paklitaksel/cisplatin u poređenju sa pacijentkinjama koje su primale ciklofosfamid/cisplatin.</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Kod adjuvantne terapije karcinoma dojke, 3121 pacijent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nodus-pozitivnim karcinomom dojke bili su liječeni adjuvantnom terapijom paklitakselom ili su bili bez hemioterapije, nakon davanja četiri ciklusa terapije doksorubicinom i ciklofosfamidom (CALGB 9344, BMS CA 139-223). Medijana praćenja pacijenata bila je 69 mjeseci. Uopšte, pacijenti liječeni paklitakselom su imali značajno smanjenje od 18% rizika od povratka bolesti u odnosu na pacijente koji su primali samo AC terapiju (p = 0,0014) i značajno smanjenje od 19% rizika od smrti (p = 0,0044) u odnosu na pacijente koji su primali samo AC terapiju. Retrospektivne analize pokazuju korist kod svih podgrupa pacijenata. Kod pacijenata sa hormon-receptor negativnim/ nepoznatim tumorima, smanjenje rizika od povratka bolesti iznosilo je 28% (95% CI</w:t>
      </w:r>
      <w:proofErr w:type="gramStart"/>
      <w:r w:rsidRPr="00CC438D">
        <w:rPr>
          <w:rFonts w:ascii="Times New Roman" w:hAnsi="Times New Roman" w:cs="Times New Roman"/>
          <w:bCs/>
        </w:rPr>
        <w:t>:0,59</w:t>
      </w:r>
      <w:proofErr w:type="gramEnd"/>
      <w:r w:rsidRPr="00CC438D">
        <w:rPr>
          <w:rFonts w:ascii="Times New Roman" w:hAnsi="Times New Roman" w:cs="Times New Roman"/>
          <w:bCs/>
        </w:rPr>
        <w:t>-0,86). Kod pacijenata sa hormon- receptor pozitivnim tumorima, rizik od ponovne pojave bolesti smanjen je za 9% (95% CI: 0</w:t>
      </w:r>
      <w:proofErr w:type="gramStart"/>
      <w:r w:rsidRPr="00CC438D">
        <w:rPr>
          <w:rFonts w:ascii="Times New Roman" w:hAnsi="Times New Roman" w:cs="Times New Roman"/>
          <w:bCs/>
        </w:rPr>
        <w:t>,78</w:t>
      </w:r>
      <w:proofErr w:type="gramEnd"/>
      <w:r w:rsidRPr="00CC438D">
        <w:rPr>
          <w:rFonts w:ascii="Times New Roman" w:hAnsi="Times New Roman" w:cs="Times New Roman"/>
          <w:bCs/>
        </w:rPr>
        <w:t xml:space="preserve">- 1,07). Međutim, studija nije bila dizajnirana za ispitivanje efekata AC terapije duže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4 ciklusa. Ne može se samo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osnovu ove studije isključiti mogućnost da su se uočeni efekti mogli javiti djelimično zbog razlike u trajanju hemioterapije između ove dvije grupe (AC - 4 ciklusa; AC + paklitaksel 8 ciklusa). Prema tome, adjuvantnu terapiju paklitakselom treba smatrati kao alternativu produženoj AC terapiji.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U drugoj velikoj studiji, slično dizajniranoj, kod adjuvantnog nodus-pozitivnog karcinoma dojke 3060 pacijenata su nasumično primali ili ne, 4 ciklusa paklitaksela u većoj dozi od 225 mg/m</w:t>
      </w:r>
      <w:r w:rsidRPr="00CC438D">
        <w:rPr>
          <w:rFonts w:ascii="Times New Roman" w:hAnsi="Times New Roman" w:cs="Times New Roman"/>
          <w:bCs/>
          <w:vertAlign w:val="superscript"/>
        </w:rPr>
        <w:t>2</w:t>
      </w:r>
      <w:r w:rsidRPr="00CC438D">
        <w:rPr>
          <w:rFonts w:ascii="Times New Roman" w:hAnsi="Times New Roman" w:cs="Times New Roman"/>
          <w:bCs/>
        </w:rPr>
        <w:t xml:space="preserve"> koga su pratila 4 ciklusa AC (NSABP B-28, BMS CA 139-270). Prilikom medijane praćenja od 64 mjeseca, pacijenti liječeni sa paklitakselom su imali značajno smanjenje od 17% rizika od recidiva bolesti u odnosu na pacijente koji su liječeni samo sa AC (p=0,006). Liječenje sa paklitakselom je povezano sa smanjenjem rizika od smrtnog ishoda za 7% (95% CI: 0</w:t>
      </w:r>
      <w:proofErr w:type="gramStart"/>
      <w:r w:rsidRPr="00CC438D">
        <w:rPr>
          <w:rFonts w:ascii="Times New Roman" w:hAnsi="Times New Roman" w:cs="Times New Roman"/>
          <w:bCs/>
        </w:rPr>
        <w:t>,78</w:t>
      </w:r>
      <w:proofErr w:type="gramEnd"/>
      <w:r w:rsidRPr="00CC438D">
        <w:rPr>
          <w:rFonts w:ascii="Times New Roman" w:hAnsi="Times New Roman" w:cs="Times New Roman"/>
          <w:bCs/>
        </w:rPr>
        <w:t xml:space="preserve">- 1,12). Sve analize podgrupa su favorizovali grupu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paklitakselom. U ovoj studiji pacijenti sa karcinomom sa pozitivnim hormonskim receptorima su imali smanjenje od rizika od povratka bolesti od 23% (95% CI: 0</w:t>
      </w:r>
      <w:proofErr w:type="gramStart"/>
      <w:r w:rsidRPr="00CC438D">
        <w:rPr>
          <w:rFonts w:ascii="Times New Roman" w:hAnsi="Times New Roman" w:cs="Times New Roman"/>
          <w:bCs/>
        </w:rPr>
        <w:t>,6</w:t>
      </w:r>
      <w:proofErr w:type="gramEnd"/>
      <w:r w:rsidRPr="00CC438D">
        <w:rPr>
          <w:rFonts w:ascii="Times New Roman" w:hAnsi="Times New Roman" w:cs="Times New Roman"/>
          <w:bCs/>
        </w:rPr>
        <w:t>-0,92). U podgrupi pacijenata sa hormonskim receptor negativnim karcinomom smanjenje rizika od povratka bolesti je bilo 10% (95% CI: 0</w:t>
      </w:r>
      <w:proofErr w:type="gramStart"/>
      <w:r w:rsidRPr="00CC438D">
        <w:rPr>
          <w:rFonts w:ascii="Times New Roman" w:hAnsi="Times New Roman" w:cs="Times New Roman"/>
          <w:bCs/>
        </w:rPr>
        <w:t>,7</w:t>
      </w:r>
      <w:proofErr w:type="gramEnd"/>
      <w:r w:rsidRPr="00CC438D">
        <w:rPr>
          <w:rFonts w:ascii="Times New Roman" w:hAnsi="Times New Roman" w:cs="Times New Roman"/>
          <w:bCs/>
        </w:rPr>
        <w:t>-1,11).</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U prvoj liniji terapije metastatskog karcinoma dojke, evaluacija efikasnosti i bezbjednosti paklitaksela izvršena je u dvije pivotalne, randomizovane, kontrolisane, otvorene studije III faze kliničkog ispitivanja.</w:t>
      </w: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U prvoj studiji (BMS CA139-278), kombinacija bolus primjene doksorubicina (50 mg/m²) nakon čega je poslije 24 sata primjenjena terapija paklitakselom (220 mg/m² kao 3-časovna infuzija) (AT), upoređena je sa standardnim FAC režimom terapije (5-FU 500 mg/m², doksorubicin 50 mg/m², ciklofosfamid 500 mg/m²), gdje su obje terapije bile primijenjene svake tri nedjelje u osam ciklusa.</w:t>
      </w:r>
      <w:proofErr w:type="gramEnd"/>
      <w:r w:rsidRPr="00CC438D">
        <w:rPr>
          <w:rFonts w:ascii="Times New Roman" w:hAnsi="Times New Roman" w:cs="Times New Roman"/>
          <w:bCs/>
        </w:rPr>
        <w:t xml:space="preserve"> U ovu randomizovanu studiju bilo je uključeno 267 pacijenata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metastatskim karcinomom dojke od kojih nijedan nije primio prethodnu hemioterapiju ili je primio samo adjuvatnu hemioterapiju bez antraciklina. Rezultati su pokazali značajnu razliku u vremenu progresije bolesti kod pacijenata koji su primali AT terapiju u odnosu na pacijente koji su primali FAC terapiju (8</w:t>
      </w:r>
      <w:proofErr w:type="gramStart"/>
      <w:r w:rsidRPr="00CC438D">
        <w:rPr>
          <w:rFonts w:ascii="Times New Roman" w:hAnsi="Times New Roman" w:cs="Times New Roman"/>
          <w:bCs/>
        </w:rPr>
        <w:t>,2</w:t>
      </w:r>
      <w:proofErr w:type="gramEnd"/>
      <w:r w:rsidRPr="00CC438D">
        <w:rPr>
          <w:rFonts w:ascii="Times New Roman" w:hAnsi="Times New Roman" w:cs="Times New Roman"/>
          <w:bCs/>
        </w:rPr>
        <w:t xml:space="preserve"> u odnosu na 6,2 mjeseci; p= 0,029). Medijana preživljavanja bila je u korist terapije paklitakselom/doksorubicinom u odnosu na FAC terapiju (23</w:t>
      </w:r>
      <w:proofErr w:type="gramStart"/>
      <w:r w:rsidRPr="00CC438D">
        <w:rPr>
          <w:rFonts w:ascii="Times New Roman" w:hAnsi="Times New Roman" w:cs="Times New Roman"/>
          <w:bCs/>
        </w:rPr>
        <w:t>,0</w:t>
      </w:r>
      <w:proofErr w:type="gramEnd"/>
      <w:r w:rsidRPr="00CC438D">
        <w:rPr>
          <w:rFonts w:ascii="Times New Roman" w:hAnsi="Times New Roman" w:cs="Times New Roman"/>
          <w:bCs/>
        </w:rPr>
        <w:t xml:space="preserve"> u odnosu na 18,3 mjeseci; p=0,004). U grupi na AT i FAC terapiji, 44%, odnosno 48% pacijenata kasnije je primilo hemioterapiju koja je uključivala taksane kod 7%, odnosno 50% pacijenata. U cjelini, stepen odgovora bio je znatno </w:t>
      </w:r>
      <w:proofErr w:type="gramStart"/>
      <w:r w:rsidRPr="00CC438D">
        <w:rPr>
          <w:rFonts w:ascii="Times New Roman" w:hAnsi="Times New Roman" w:cs="Times New Roman"/>
          <w:bCs/>
        </w:rPr>
        <w:t>veći  kod</w:t>
      </w:r>
      <w:proofErr w:type="gramEnd"/>
      <w:r w:rsidRPr="00CC438D">
        <w:rPr>
          <w:rFonts w:ascii="Times New Roman" w:hAnsi="Times New Roman" w:cs="Times New Roman"/>
          <w:bCs/>
        </w:rPr>
        <w:t xml:space="preserve"> grupe koja je primala AT terapiju u odnosu na grupu koja je primila FAC terapiju (68% u odnosu na 55%). Potpuni odgovori </w:t>
      </w:r>
      <w:r w:rsidRPr="00CC438D">
        <w:rPr>
          <w:rFonts w:ascii="Times New Roman" w:hAnsi="Times New Roman" w:cs="Times New Roman"/>
          <w:bCs/>
        </w:rPr>
        <w:lastRenderedPageBreak/>
        <w:t xml:space="preserve">viđeni su kod 19% pacijenata u grupi koja je primala paklitaksel/doksorubicin u odnosu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8% pacijenata u grupi koja je primila FAC terapiju. Svi rezultati efikasnosti bili su kasnije potvđeni u nezavisnoj slijepoj studiji.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U drugoj pivotalnoj kliničkoj studiji, efikasnosti i bezbjednosti kombinacije paklitaksela i trastuzumaba je bila ocjenjivana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osnovu analize planirane podgrupe (pacijenti sa metastatskim karcinomom dojke koji su ranije primili adjuvantnu terapiju antraciklinom) iz studije HO648g. Efikasnost lijeka trastuzumab u kombinaciji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paklitakselom kod pacijenata koji nijesu primili prethodnu adjuvantnu terapiju antraciklinom nije dokazana. </w:t>
      </w:r>
      <w:proofErr w:type="gramStart"/>
      <w:r w:rsidRPr="00CC438D">
        <w:rPr>
          <w:rFonts w:ascii="Times New Roman" w:hAnsi="Times New Roman" w:cs="Times New Roman"/>
          <w:bCs/>
        </w:rPr>
        <w:t>Kombinacija trastuzumaba (početna doza 4mg/kg, potom 2 mg/kg nedjeljno) i paklitaksela (175 mg/m²) koja je data kao 3-časovna infuzija, svake tri nedjelje, upoređena je sa terapijom samo paklitakselom (175 mg/m²) koji je dat kao 3-časovna infuzija, svake tri nedjelje kod 188 pacijenata sa metastatskim karcinomom dojke sa prekomjernom ekspresijom HER 2 receptora (2+ ili 3+ izmjereni putem imunohistohemije), koji su prethodno bili liječeni antraciklinima.</w:t>
      </w:r>
      <w:proofErr w:type="gramEnd"/>
      <w:r w:rsidRPr="00CC438D">
        <w:rPr>
          <w:rFonts w:ascii="Times New Roman" w:hAnsi="Times New Roman" w:cs="Times New Roman"/>
          <w:bCs/>
        </w:rPr>
        <w:t xml:space="preserve"> Paklitaksel je bio </w:t>
      </w:r>
      <w:proofErr w:type="gramStart"/>
      <w:r w:rsidRPr="00CC438D">
        <w:rPr>
          <w:rFonts w:ascii="Times New Roman" w:hAnsi="Times New Roman" w:cs="Times New Roman"/>
          <w:bCs/>
        </w:rPr>
        <w:t>primijenjen  svake</w:t>
      </w:r>
      <w:proofErr w:type="gramEnd"/>
      <w:r w:rsidRPr="00CC438D">
        <w:rPr>
          <w:rFonts w:ascii="Times New Roman" w:hAnsi="Times New Roman" w:cs="Times New Roman"/>
          <w:bCs/>
        </w:rPr>
        <w:t xml:space="preserve"> tri nedjelje u najmanje šest ciklusa, dok je terapija trastuzumabom primijenjena nedjeljno sve  do progresije bolesti. Studija je pokazala znatne koristi kod kombinacije paklitaksel/trastuzumab u pogledu vremena do progresije (6,9 u odnosu na 3,0 mjeseca), stepena odgovora (41% u odnosu na 17%) i trajanja odgovora (10,5 u odnosu na 4,5 mjeseca) u odnosu na terapiju samo paklitakselom. Najznačajnija toksičnost koja je uočena kod kombinacije paklitaksel/trastuzumab bila je srčana disfunkcija (vidjeti odjeljak 4.8).</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U terapiji uznapredovalog nemikrocelularnog karcinoma pluća rađena su dva klinička ispitivanja III faze u kojima su pacijenti primali paklitaksel u dozi od 175 mg/m</w:t>
      </w:r>
      <w:r w:rsidRPr="00CC438D">
        <w:rPr>
          <w:rFonts w:ascii="Times New Roman" w:hAnsi="Times New Roman" w:cs="Times New Roman"/>
          <w:bCs/>
          <w:vertAlign w:val="superscript"/>
        </w:rPr>
        <w:t>2</w:t>
      </w:r>
      <w:r w:rsidRPr="00CC438D">
        <w:rPr>
          <w:rFonts w:ascii="Times New Roman" w:hAnsi="Times New Roman" w:cs="Times New Roman"/>
          <w:bCs/>
        </w:rPr>
        <w:t>, a nakon njega cisplatin u dozi od 80 mg/m</w:t>
      </w:r>
      <w:r w:rsidRPr="00CC438D">
        <w:rPr>
          <w:rFonts w:ascii="Times New Roman" w:hAnsi="Times New Roman" w:cs="Times New Roman"/>
          <w:bCs/>
          <w:vertAlign w:val="superscript"/>
        </w:rPr>
        <w:t>2</w:t>
      </w:r>
      <w:r w:rsidRPr="00CC438D">
        <w:rPr>
          <w:rFonts w:ascii="Times New Roman" w:hAnsi="Times New Roman" w:cs="Times New Roman"/>
          <w:bCs/>
        </w:rPr>
        <w:t xml:space="preserve"> (367 pacijenata su primali terapijski režim koji je uključivao paklitaksel). Obje studije bile  su randomizovane, u jednoj od studija kontrolna grupa je liječena cisplatinom 100 mg/m², a u drugoj tenipozidom  100  mg/m²  praćen  cisplatinom  80  mg/m²  kao  komparatora  (367  pacijenata  na      terapiji komparatorom). Rezultati obje studije bili su slični. Kod primarnog ishoda smrtnosti nije bilo značajne razlike između režima terapije koji je sadržao paklitaksel i kontrolnu terapiju (medijana vremena preživljavanja bila je 8</w:t>
      </w:r>
      <w:proofErr w:type="gramStart"/>
      <w:r w:rsidRPr="00CC438D">
        <w:rPr>
          <w:rFonts w:ascii="Times New Roman" w:hAnsi="Times New Roman" w:cs="Times New Roman"/>
          <w:bCs/>
        </w:rPr>
        <w:t>,1</w:t>
      </w:r>
      <w:proofErr w:type="gramEnd"/>
      <w:r w:rsidRPr="00CC438D">
        <w:rPr>
          <w:rFonts w:ascii="Times New Roman" w:hAnsi="Times New Roman" w:cs="Times New Roman"/>
          <w:bCs/>
        </w:rPr>
        <w:t xml:space="preserve"> i 9,5 mjeseci na režimu terapije koji je sadržao paklitaksel, 8,6 i 9,9 mjeseci na režimu terapije komparatorom). Slično tome, kod preživljavanja bez progresije bolesti, nije bilo značajne razlike između terapija. Bilo je značajnih prednosti u pogledu stepena kliničkog odgovora. Rezultati kvaliteta života sugerišu da postoje prednosti kod primjene režima terapije koji je sadržao paklitaksel u pogledu gubitka apetita, </w:t>
      </w:r>
      <w:proofErr w:type="gramStart"/>
      <w:r w:rsidRPr="00CC438D">
        <w:rPr>
          <w:rFonts w:ascii="Times New Roman" w:hAnsi="Times New Roman" w:cs="Times New Roman"/>
          <w:bCs/>
        </w:rPr>
        <w:t>a</w:t>
      </w:r>
      <w:proofErr w:type="gramEnd"/>
      <w:r w:rsidRPr="00CC438D">
        <w:rPr>
          <w:rFonts w:ascii="Times New Roman" w:hAnsi="Times New Roman" w:cs="Times New Roman"/>
          <w:bCs/>
        </w:rPr>
        <w:t xml:space="preserve"> ovi rezultati pružaju jasan dokaz o inferiornosti režima terapije koji je sadržao paklitaksel u pogledu periferne neuropatije (p &lt; 0,008).</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Kod liječenja Kapošijevog sarkoma povezanog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AIDS-om, ispitivane su efikasnost i bezbjednost paklitaksela u nekomparativnim studijama kod pacijenata sa uznapredovanim Kapošijevim sarkomom, koji su prethodno bili liječeni sistemskom hemioterapijom. Glavni ishod bio je bolji odgovor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terapiju. Od 107 pacijenata, za 63 se smatralo da su otporni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lipozomske antracikline. Smatra se da ova podgrupa čini ključnu populaciju pacijenata u pogledu efikasnosti. Sveukupan stepen uspeha (potpun/djelimičan odgovor) poslije 15 ciklusa terapije bio je 57% (CI 44 - 70%) kod pacijenata otpornih na </w:t>
      </w:r>
      <w:proofErr w:type="gramStart"/>
      <w:r w:rsidRPr="00CC438D">
        <w:rPr>
          <w:rFonts w:ascii="Times New Roman" w:hAnsi="Times New Roman" w:cs="Times New Roman"/>
          <w:bCs/>
        </w:rPr>
        <w:t>lipozomske  antracikline</w:t>
      </w:r>
      <w:proofErr w:type="gramEnd"/>
      <w:r w:rsidRPr="00CC438D">
        <w:rPr>
          <w:rFonts w:ascii="Times New Roman" w:hAnsi="Times New Roman" w:cs="Times New Roman"/>
          <w:bCs/>
        </w:rPr>
        <w:t>. Preko 50% ovih odgovora bilo je vidljivo nakon prva 3 ciklusa. Kod pacijenata otpornih na lipozomske antracikline, mogli su da se uporede stepeni odgovora kod pacijenata koji nikada nijesu primili proteazni inhibitor (55</w:t>
      </w:r>
      <w:proofErr w:type="gramStart"/>
      <w:r w:rsidRPr="00CC438D">
        <w:rPr>
          <w:rFonts w:ascii="Times New Roman" w:hAnsi="Times New Roman" w:cs="Times New Roman"/>
          <w:bCs/>
        </w:rPr>
        <w:t>,6</w:t>
      </w:r>
      <w:proofErr w:type="gramEnd"/>
      <w:r w:rsidRPr="00CC438D">
        <w:rPr>
          <w:rFonts w:ascii="Times New Roman" w:hAnsi="Times New Roman" w:cs="Times New Roman"/>
          <w:bCs/>
        </w:rPr>
        <w:t xml:space="preserve">%) i stepeni odgovora kod pacijenata koji su primili jedan proteazni inhibitor najmanje 2 mjeseca prije terapije paklitakselom (60,9%). Medijana vremena do progresije u ključnoj populaciji bilo je 468 </w:t>
      </w:r>
      <w:proofErr w:type="gramStart"/>
      <w:r w:rsidRPr="00CC438D">
        <w:rPr>
          <w:rFonts w:ascii="Times New Roman" w:hAnsi="Times New Roman" w:cs="Times New Roman"/>
          <w:bCs/>
        </w:rPr>
        <w:t>dana</w:t>
      </w:r>
      <w:proofErr w:type="gramEnd"/>
      <w:r w:rsidRPr="00CC438D">
        <w:rPr>
          <w:rFonts w:ascii="Times New Roman" w:hAnsi="Times New Roman" w:cs="Times New Roman"/>
          <w:bCs/>
        </w:rPr>
        <w:t xml:space="preserve"> (95% CI 257-nije procijenjivo). Medijana vremena preživljavanja nije se mogla izračunati, </w:t>
      </w:r>
      <w:proofErr w:type="gramStart"/>
      <w:r w:rsidRPr="00CC438D">
        <w:rPr>
          <w:rFonts w:ascii="Times New Roman" w:hAnsi="Times New Roman" w:cs="Times New Roman"/>
          <w:bCs/>
        </w:rPr>
        <w:t>ali</w:t>
      </w:r>
      <w:proofErr w:type="gramEnd"/>
      <w:r w:rsidRPr="00CC438D">
        <w:rPr>
          <w:rFonts w:ascii="Times New Roman" w:hAnsi="Times New Roman" w:cs="Times New Roman"/>
          <w:bCs/>
        </w:rPr>
        <w:t xml:space="preserve"> najniža granica od 95% bila je 617 dana kod ključne populacije pacijenata.</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5.2. </w:t>
      </w:r>
      <w:r w:rsidRPr="00CC438D">
        <w:rPr>
          <w:rFonts w:ascii="Times New Roman" w:hAnsi="Times New Roman" w:cs="Times New Roman"/>
          <w:b/>
          <w:bCs/>
        </w:rPr>
        <w:tab/>
        <w:t xml:space="preserve">Farmakokinetički podaci </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Resorpcija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lastRenderedPageBreak/>
        <w:t xml:space="preserve">Nakon intravenske primjene, paklitaksel pokazuje bifazno smanjenje koncentracije u plazmi.  Farmakokinetika paklitaksela ustanovljena je nakon infuzija tokom 3 i 24 sata u dozama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135 i 175 mg/m2. Srednja vrijednost poluvremena eliminacije kretala se između 3</w:t>
      </w:r>
      <w:proofErr w:type="gramStart"/>
      <w:r w:rsidRPr="00CC438D">
        <w:rPr>
          <w:rFonts w:ascii="Times New Roman" w:hAnsi="Times New Roman" w:cs="Times New Roman"/>
          <w:bCs/>
        </w:rPr>
        <w:t>,0</w:t>
      </w:r>
      <w:proofErr w:type="gramEnd"/>
      <w:r w:rsidRPr="00CC438D">
        <w:rPr>
          <w:rFonts w:ascii="Times New Roman" w:hAnsi="Times New Roman" w:cs="Times New Roman"/>
          <w:bCs/>
        </w:rPr>
        <w:t xml:space="preserve"> i 52,7 sati, a srednje vrijednosti ukupnog tjelesnog klirensa iznosile su od 11,6 do 24,0 l/sat/m</w:t>
      </w:r>
      <w:r w:rsidRPr="00CC438D">
        <w:rPr>
          <w:rFonts w:ascii="Times New Roman" w:hAnsi="Times New Roman" w:cs="Times New Roman"/>
          <w:bCs/>
          <w:vertAlign w:val="superscript"/>
        </w:rPr>
        <w:t>2</w:t>
      </w:r>
      <w:r w:rsidRPr="00CC438D">
        <w:rPr>
          <w:rFonts w:ascii="Times New Roman" w:hAnsi="Times New Roman" w:cs="Times New Roman"/>
          <w:bCs/>
        </w:rPr>
        <w:t xml:space="preserve">. Ukupni tjelesni klirens se smanjuje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povećanjem koncentracije paklitaksela u plazmi. Srednja vrijednost volumena distribucije u stanju ravnoteže (steady state) je u opsegu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198 do 688 l/m</w:t>
      </w:r>
      <w:r w:rsidRPr="00CC438D">
        <w:rPr>
          <w:rFonts w:ascii="Times New Roman" w:hAnsi="Times New Roman" w:cs="Times New Roman"/>
          <w:bCs/>
          <w:vertAlign w:val="superscript"/>
        </w:rPr>
        <w:t>2</w:t>
      </w:r>
      <w:r w:rsidRPr="00CC438D">
        <w:rPr>
          <w:rFonts w:ascii="Times New Roman" w:hAnsi="Times New Roman" w:cs="Times New Roman"/>
          <w:bCs/>
        </w:rPr>
        <w:t>, što ukazuje na ekstenzivnu ekstravaskularnu distribuciju i/ili vezivanje paklitaksela za tkivo. Kod 3-časovne infuzije, povećanje doze ima za posljedicu nelinearnu farmakokinetiku. Povećanje doze za 30%, sa 135 mg/m</w:t>
      </w:r>
      <w:r w:rsidRPr="00CC438D">
        <w:rPr>
          <w:rFonts w:ascii="Times New Roman" w:hAnsi="Times New Roman" w:cs="Times New Roman"/>
          <w:bCs/>
          <w:vertAlign w:val="superscript"/>
        </w:rPr>
        <w:t>2</w:t>
      </w:r>
      <w:r w:rsidRPr="00CC438D">
        <w:rPr>
          <w:rFonts w:ascii="Times New Roman" w:hAnsi="Times New Roman" w:cs="Times New Roman"/>
          <w:bCs/>
        </w:rPr>
        <w:t xml:space="preserve"> na 175 mg/m</w:t>
      </w:r>
      <w:r w:rsidRPr="00CC438D">
        <w:rPr>
          <w:rFonts w:ascii="Times New Roman" w:hAnsi="Times New Roman" w:cs="Times New Roman"/>
          <w:bCs/>
          <w:vertAlign w:val="superscript"/>
        </w:rPr>
        <w:t>2</w:t>
      </w:r>
      <w:r w:rsidRPr="00CC438D">
        <w:rPr>
          <w:rFonts w:ascii="Times New Roman" w:hAnsi="Times New Roman" w:cs="Times New Roman"/>
          <w:bCs/>
        </w:rPr>
        <w:t>, prati odgovarajuće povećanje Cmax za 75% i PIK</w:t>
      </w:r>
      <w:r w:rsidRPr="00CC438D">
        <w:rPr>
          <w:rFonts w:ascii="Times New Roman" w:hAnsi="Times New Roman" w:cs="Times New Roman"/>
          <w:bCs/>
          <w:vertAlign w:val="subscript"/>
        </w:rPr>
        <w:t>0→∞</w:t>
      </w:r>
      <w:r w:rsidRPr="00CC438D">
        <w:rPr>
          <w:rFonts w:ascii="Times New Roman" w:hAnsi="Times New Roman" w:cs="Times New Roman"/>
          <w:bCs/>
        </w:rPr>
        <w:t xml:space="preserve"> vrijednosti za 81%.</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Varijabilnost u sistemskom izlaganju paklitakselu je među pacijentima bila minimalna. Ne postoje dokazi o akumulaciji paklitaksela kod višestrukih terapijskih ciklusa.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Distribucija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i/>
        </w:rPr>
        <w:t>In vitro</w:t>
      </w:r>
      <w:r w:rsidRPr="00CC438D">
        <w:rPr>
          <w:rFonts w:ascii="Times New Roman" w:hAnsi="Times New Roman" w:cs="Times New Roman"/>
          <w:bCs/>
        </w:rPr>
        <w:t xml:space="preserve"> studije o vezivanju za humane serumske proteine ukazuju da je, prosječno, 89-98% lijeka vezano. Prisustvo cimetidina, ranitidina, deksametazona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difenhidramina ne utiče na vezivanje paklitaksela.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 </w:t>
      </w:r>
    </w:p>
    <w:p w:rsidR="00CC438D" w:rsidRDefault="00CC438D" w:rsidP="00CC438D">
      <w:pPr>
        <w:tabs>
          <w:tab w:val="left" w:pos="540"/>
          <w:tab w:val="left" w:pos="569"/>
        </w:tabs>
        <w:spacing w:after="0"/>
        <w:jc w:val="both"/>
        <w:rPr>
          <w:rFonts w:ascii="Times New Roman" w:hAnsi="Times New Roman" w:cs="Times New Roman"/>
          <w:b/>
          <w:bCs/>
        </w:rPr>
      </w:pPr>
    </w:p>
    <w:p w:rsid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Biotransformacija i eliminacija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Distribucija i metabolizam paklitaksela kod ljudi niijsu u potpunosti objašnjeni. Srednje kumulative vrijednosti nepromenjenog lijeka u urinu kreću se od 1</w:t>
      </w:r>
      <w:proofErr w:type="gramStart"/>
      <w:r w:rsidRPr="00CC438D">
        <w:rPr>
          <w:rFonts w:ascii="Times New Roman" w:hAnsi="Times New Roman" w:cs="Times New Roman"/>
          <w:bCs/>
        </w:rPr>
        <w:t>,3</w:t>
      </w:r>
      <w:proofErr w:type="gramEnd"/>
      <w:r w:rsidRPr="00CC438D">
        <w:rPr>
          <w:rFonts w:ascii="Times New Roman" w:hAnsi="Times New Roman" w:cs="Times New Roman"/>
          <w:bCs/>
        </w:rPr>
        <w:t xml:space="preserve"> do 12,6% doze, što ukazuje na intenzivni nebubrežni klirens. Metabolizam putem jetre i žučni klirens mogu biti glavni mehanizam eliminacije paklitaksela. Paklitaksel se, kako se čini, uglavnom metaboliše preko enzima citohroma P450. Prosječno 26%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radioaktivno obilježene doze paklitaksela je eliminisano fecesom kao 6α-hidroksipaklitaksel, 2% kao 3’-p-hidroksipaklitakseli, a 6% kao 6α- 3’-p-dihidroksi-paklitaksel. 6α-hidroksipaklitaksel nastaje pod uticajem CYP2C8, 3’-p- hidroksipaklitaksel pod uticajem CYP3A4 i 6% kao 6α-3’-p-dihidroksi-paklitaksel pod uticajem CYP2C8 i CYP3A4. Efekti poremećaja bubrežne funkcije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poremećaja funkcije jetre na eliminaciju paklitaksela poslije 3-časovne infuzije nijesu zvanično ispitivani. Farmakokinetički parametri dobijeni od jednog pacijenta, koji je bio na hemodijalizi i koji je primio 3-časovnu infuziju paklitaksela od 135 mg/m</w:t>
      </w:r>
      <w:r w:rsidRPr="00CC438D">
        <w:rPr>
          <w:rFonts w:ascii="Times New Roman" w:hAnsi="Times New Roman" w:cs="Times New Roman"/>
          <w:bCs/>
          <w:vertAlign w:val="superscript"/>
        </w:rPr>
        <w:t>2</w:t>
      </w:r>
      <w:r w:rsidRPr="00CC438D">
        <w:rPr>
          <w:rFonts w:ascii="Times New Roman" w:hAnsi="Times New Roman" w:cs="Times New Roman"/>
          <w:bCs/>
        </w:rPr>
        <w:t>, bili su u opsegu parametara dobijenih kod pacijenata koji nijesu na dijalizi.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Posmatrajući intravensku dozu od 100 mg/m</w:t>
      </w:r>
      <w:r w:rsidRPr="00CC438D">
        <w:rPr>
          <w:rFonts w:ascii="Times New Roman" w:hAnsi="Times New Roman" w:cs="Times New Roman"/>
          <w:bCs/>
          <w:vertAlign w:val="superscript"/>
        </w:rPr>
        <w:t>2</w:t>
      </w:r>
      <w:r w:rsidRPr="00CC438D">
        <w:rPr>
          <w:rFonts w:ascii="Times New Roman" w:hAnsi="Times New Roman" w:cs="Times New Roman"/>
          <w:bCs/>
        </w:rPr>
        <w:t>, primijenjenu u obliku 3-časovne infuzije kod 19 pacijenata sa KS, srednja vrijednost Cmax bila je 1530 nanogram/ml (opseg od 761-2860 nanograma/ml), a srednja vrijednost AUC bila je 5619 nanograma·čas/ml (opseg od 2609-9428 nanograma·čas/ml). Klirens je bio 20</w:t>
      </w:r>
      <w:proofErr w:type="gramStart"/>
      <w:r w:rsidRPr="00CC438D">
        <w:rPr>
          <w:rFonts w:ascii="Times New Roman" w:hAnsi="Times New Roman" w:cs="Times New Roman"/>
          <w:bCs/>
        </w:rPr>
        <w:t>,6</w:t>
      </w:r>
      <w:proofErr w:type="gramEnd"/>
      <w:r w:rsidRPr="00CC438D">
        <w:rPr>
          <w:rFonts w:ascii="Times New Roman" w:hAnsi="Times New Roman" w:cs="Times New Roman"/>
          <w:bCs/>
        </w:rPr>
        <w:t xml:space="preserve"> l/h/m</w:t>
      </w:r>
      <w:r w:rsidRPr="00CC438D">
        <w:rPr>
          <w:rFonts w:ascii="Times New Roman" w:hAnsi="Times New Roman" w:cs="Times New Roman"/>
          <w:bCs/>
          <w:vertAlign w:val="superscript"/>
        </w:rPr>
        <w:t>2</w:t>
      </w:r>
      <w:r w:rsidRPr="00CC438D">
        <w:rPr>
          <w:rFonts w:ascii="Times New Roman" w:hAnsi="Times New Roman" w:cs="Times New Roman"/>
          <w:bCs/>
        </w:rPr>
        <w:t xml:space="preserve"> (opseg od 11-38) i volumen distribucije 291 l/m</w:t>
      </w:r>
      <w:r w:rsidRPr="00CC438D">
        <w:rPr>
          <w:rFonts w:ascii="Times New Roman" w:hAnsi="Times New Roman" w:cs="Times New Roman"/>
          <w:bCs/>
          <w:vertAlign w:val="superscript"/>
        </w:rPr>
        <w:t xml:space="preserve">2 </w:t>
      </w:r>
      <w:r w:rsidRPr="00CC438D">
        <w:rPr>
          <w:rFonts w:ascii="Times New Roman" w:hAnsi="Times New Roman" w:cs="Times New Roman"/>
          <w:bCs/>
        </w:rPr>
        <w:t>(opseg 121-638). Terminalno poluvreme eliminacije je prosječno 23</w:t>
      </w:r>
      <w:proofErr w:type="gramStart"/>
      <w:r w:rsidRPr="00CC438D">
        <w:rPr>
          <w:rFonts w:ascii="Times New Roman" w:hAnsi="Times New Roman" w:cs="Times New Roman"/>
          <w:bCs/>
        </w:rPr>
        <w:t>,7</w:t>
      </w:r>
      <w:proofErr w:type="gramEnd"/>
      <w:r w:rsidRPr="00CC438D">
        <w:rPr>
          <w:rFonts w:ascii="Times New Roman" w:hAnsi="Times New Roman" w:cs="Times New Roman"/>
          <w:bCs/>
        </w:rPr>
        <w:t xml:space="preserve"> časova (u opsegu od 12-33).</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U kliničkim studijama gdje su paklitaksel i doksorubicin primjenjivani prateći jedan drugog, distribucija i eliminacija doksorubicina i njegovih metabolita je bila produžena. Ukupna izloženost plazme doksorubicinu je bila 30% veća kada se paklitaksel </w:t>
      </w:r>
      <w:proofErr w:type="gramStart"/>
      <w:r w:rsidRPr="00CC438D">
        <w:rPr>
          <w:rFonts w:ascii="Times New Roman" w:hAnsi="Times New Roman" w:cs="Times New Roman"/>
          <w:bCs/>
        </w:rPr>
        <w:t>davao</w:t>
      </w:r>
      <w:proofErr w:type="gramEnd"/>
      <w:r w:rsidRPr="00CC438D">
        <w:rPr>
          <w:rFonts w:ascii="Times New Roman" w:hAnsi="Times New Roman" w:cs="Times New Roman"/>
          <w:bCs/>
        </w:rPr>
        <w:t xml:space="preserve"> odmah nakon doksorubicina, nego kad je postojala 24-časovna pauza između davanja ovih ljekova.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Primjena paklitaksela u kombinaciji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drugim ljekovima prikazana je u Sažetku karakteristika lijeka cisplatina, doksorubicina ili trastuzumaba, kao i podaci o primjeni ovih ljekova.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5.3. </w:t>
      </w:r>
      <w:r w:rsidRPr="00CC438D">
        <w:rPr>
          <w:rFonts w:ascii="Times New Roman" w:hAnsi="Times New Roman" w:cs="Times New Roman"/>
          <w:b/>
          <w:bCs/>
        </w:rPr>
        <w:tab/>
        <w:t xml:space="preserve">Pretklinički podaci o bezbjednosti </w:t>
      </w: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lastRenderedPageBreak/>
        <w:t xml:space="preserve">Primjena lijeka prije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tokom parenja dovodi do poremećaja fertiliteta kod mužjaka i ženki pacova. Pored toga, paklitaksel uzrokuje smanjenje indeksa plodnosti i reprodukcije i povećava embrio- i fetotoksičnost.</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Kancerogeni potencijal paklitaksela nije proučavan. Međutim, paklitaksel je prema svom farmakodinamskom mehanizmu potencijalno kancerogen i genotoksičan. </w:t>
      </w:r>
      <w:proofErr w:type="gramStart"/>
      <w:r w:rsidRPr="00CC438D">
        <w:rPr>
          <w:rFonts w:ascii="Times New Roman" w:hAnsi="Times New Roman" w:cs="Times New Roman"/>
          <w:bCs/>
          <w:i/>
        </w:rPr>
        <w:t>in</w:t>
      </w:r>
      <w:proofErr w:type="gramEnd"/>
      <w:r w:rsidRPr="00CC438D">
        <w:rPr>
          <w:rFonts w:ascii="Times New Roman" w:hAnsi="Times New Roman" w:cs="Times New Roman"/>
          <w:bCs/>
          <w:i/>
        </w:rPr>
        <w:t xml:space="preserve"> vitro</w:t>
      </w:r>
      <w:r w:rsidRPr="00CC438D">
        <w:rPr>
          <w:rFonts w:ascii="Times New Roman" w:hAnsi="Times New Roman" w:cs="Times New Roman"/>
          <w:bCs/>
        </w:rPr>
        <w:t xml:space="preserve"> i </w:t>
      </w:r>
      <w:r w:rsidRPr="00CC438D">
        <w:rPr>
          <w:rFonts w:ascii="Times New Roman" w:hAnsi="Times New Roman" w:cs="Times New Roman"/>
          <w:bCs/>
          <w:i/>
        </w:rPr>
        <w:t xml:space="preserve">in vivo </w:t>
      </w:r>
      <w:r w:rsidRPr="00CC438D">
        <w:rPr>
          <w:rFonts w:ascii="Times New Roman" w:hAnsi="Times New Roman" w:cs="Times New Roman"/>
          <w:bCs/>
        </w:rPr>
        <w:t>testovi u eksperimentalnim modelima sisara pokazali su da paklitaksel ima mutageni potencijal.</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6. </w:t>
      </w:r>
      <w:r w:rsidRPr="00CC438D">
        <w:rPr>
          <w:rFonts w:ascii="Times New Roman" w:hAnsi="Times New Roman" w:cs="Times New Roman"/>
          <w:b/>
          <w:bCs/>
        </w:rPr>
        <w:tab/>
        <w:t>FARMACEUTSKI PODACI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6.1. </w:t>
      </w:r>
      <w:r w:rsidRPr="00CC438D">
        <w:rPr>
          <w:rFonts w:ascii="Times New Roman" w:hAnsi="Times New Roman" w:cs="Times New Roman"/>
          <w:b/>
          <w:bCs/>
        </w:rPr>
        <w:tab/>
        <w:t>Lista pomoćnih supstanci (ekscipijenasa)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makrogolglicerol</w:t>
      </w:r>
      <w:proofErr w:type="gramEnd"/>
      <w:r w:rsidRPr="00CC438D">
        <w:rPr>
          <w:rFonts w:ascii="Times New Roman" w:hAnsi="Times New Roman" w:cs="Times New Roman"/>
          <w:bCs/>
        </w:rPr>
        <w:t xml:space="preserve"> ricinoleat (polioksil ricinusovo ulje); </w:t>
      </w: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etanol</w:t>
      </w:r>
      <w:proofErr w:type="gramEnd"/>
      <w:r w:rsidRPr="00CC438D">
        <w:rPr>
          <w:rFonts w:ascii="Times New Roman" w:hAnsi="Times New Roman" w:cs="Times New Roman"/>
          <w:bCs/>
        </w:rPr>
        <w:t>, anhidrovani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6.2. </w:t>
      </w:r>
      <w:r w:rsidRPr="00CC438D">
        <w:rPr>
          <w:rFonts w:ascii="Times New Roman" w:hAnsi="Times New Roman" w:cs="Times New Roman"/>
          <w:b/>
          <w:bCs/>
        </w:rPr>
        <w:tab/>
        <w:t>Inkompatibilnosti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Poli etoksilirano ricinusovo ulje može dovesti do curenja DEHP-a [</w:t>
      </w:r>
      <w:proofErr w:type="gramStart"/>
      <w:r w:rsidRPr="00CC438D">
        <w:rPr>
          <w:rFonts w:ascii="Times New Roman" w:hAnsi="Times New Roman" w:cs="Times New Roman"/>
          <w:bCs/>
        </w:rPr>
        <w:t>di(</w:t>
      </w:r>
      <w:proofErr w:type="gramEnd"/>
      <w:r w:rsidRPr="00CC438D">
        <w:rPr>
          <w:rFonts w:ascii="Times New Roman" w:hAnsi="Times New Roman" w:cs="Times New Roman"/>
          <w:bCs/>
        </w:rPr>
        <w:t>2-etilheksil)ftalata] iz plastificiranih pakovanja od polivinil-hlorida (PVC) u obimu koji raste sa vremenom i sa koncentracijom. Iz tog razloga se priprema, čuvanje i primjena razblaženog paklitaksela vrši uz upotrebu opreme koja ne sadrži PVC.</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6.3. </w:t>
      </w:r>
      <w:r w:rsidRPr="00CC438D">
        <w:rPr>
          <w:rFonts w:ascii="Times New Roman" w:hAnsi="Times New Roman" w:cs="Times New Roman"/>
          <w:b/>
          <w:bCs/>
        </w:rPr>
        <w:tab/>
        <w:t>Rok upotrebe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3</w:t>
      </w:r>
      <w:proofErr w:type="gramEnd"/>
      <w:r w:rsidRPr="00CC438D">
        <w:rPr>
          <w:rFonts w:ascii="Times New Roman" w:hAnsi="Times New Roman" w:cs="Times New Roman"/>
          <w:bCs/>
        </w:rPr>
        <w:t xml:space="preserve"> godine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Poslije otvaranja, a prije razblaživanja: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Hemijska i fizička stabilnost tokom upotrebe dokazana je za 28 </w:t>
      </w:r>
      <w:proofErr w:type="gramStart"/>
      <w:r w:rsidRPr="00CC438D">
        <w:rPr>
          <w:rFonts w:ascii="Times New Roman" w:hAnsi="Times New Roman" w:cs="Times New Roman"/>
          <w:bCs/>
        </w:rPr>
        <w:t>dana</w:t>
      </w:r>
      <w:proofErr w:type="gramEnd"/>
      <w:r w:rsidRPr="00CC438D">
        <w:rPr>
          <w:rFonts w:ascii="Times New Roman" w:hAnsi="Times New Roman" w:cs="Times New Roman"/>
          <w:bCs/>
        </w:rPr>
        <w:t xml:space="preserve"> na 25°C, nakon što je lijek više puta izvlačen pomoću različitih igala.</w:t>
      </w: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mikrobiološke tačke gledišta, kada se proizvod jednom otvori, može da se čuva najduže 28 dana na 25°C. Za vrijeme i uslove čuvanja tokom upotrebe odgovoran je korisnik.</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Poslije razblaživanja: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Hemijska i fizička stabilnost poslije razblaživanja dokazana je za 48 sati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25 ºC i 2-8 ºC.</w:t>
      </w:r>
    </w:p>
    <w:p w:rsidR="00CC438D" w:rsidRPr="00CC438D" w:rsidRDefault="00CC438D" w:rsidP="00CC438D">
      <w:pPr>
        <w:tabs>
          <w:tab w:val="left" w:pos="540"/>
          <w:tab w:val="left" w:pos="569"/>
        </w:tabs>
        <w:spacing w:after="0"/>
        <w:jc w:val="both"/>
        <w:rPr>
          <w:rFonts w:ascii="Times New Roman" w:hAnsi="Times New Roman" w:cs="Times New Roman"/>
          <w:bCs/>
        </w:rPr>
      </w:pP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mikrobiološke tačke gledišta, lijek treba odmah upotrijebiti, nakon pripreme za upotrebu. Ako  se ne upotrijebi odmah, za vrijeme i uslove čuvanja tokom upotrebe odgovoran je korisnik, a ono ne bi trebalo da je duže od 24 sata na temperaturi od 2 do 8°C, osim ako je razblaženje izvršeno u kontrolisanim i validiranim aseptičnim uslovima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6.4. </w:t>
      </w:r>
      <w:r w:rsidRPr="00CC438D">
        <w:rPr>
          <w:rFonts w:ascii="Times New Roman" w:hAnsi="Times New Roman" w:cs="Times New Roman"/>
          <w:b/>
          <w:bCs/>
        </w:rPr>
        <w:tab/>
        <w:t>Posebne mjere upozorenja pri čuvanju lijeka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Čuvati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temperaturi do 25°C, u originalnom pakovanju radi zaštite od svjetlosti.</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6.5. </w:t>
      </w:r>
      <w:r w:rsidRPr="00CC438D">
        <w:rPr>
          <w:rFonts w:ascii="Times New Roman" w:hAnsi="Times New Roman" w:cs="Times New Roman"/>
          <w:b/>
          <w:bCs/>
        </w:rPr>
        <w:tab/>
        <w:t xml:space="preserve">Vrsta i sadržaj pakovanja </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Lijek se pakuje u unutrašnje pakovanje koje je je bočica od bezbojnog stakla hidrolitičke otpornosti tip I prema </w:t>
      </w:r>
      <w:proofErr w:type="gramStart"/>
      <w:r w:rsidRPr="00CC438D">
        <w:rPr>
          <w:rFonts w:ascii="Times New Roman" w:hAnsi="Times New Roman" w:cs="Times New Roman"/>
          <w:bCs/>
        </w:rPr>
        <w:t>Ph.Eur.,</w:t>
      </w:r>
      <w:proofErr w:type="gramEnd"/>
      <w:r w:rsidRPr="00CC438D">
        <w:rPr>
          <w:rFonts w:ascii="Times New Roman" w:hAnsi="Times New Roman" w:cs="Times New Roman"/>
          <w:bCs/>
        </w:rPr>
        <w:t xml:space="preserve"> sa čepom od halobutil gume i aluminijumskim zatvaračem.</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Spoljašnje pakovanje lijeka je složiva kartonska kutija u kojoj se nalazi 1 staklena bočica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ili bez zaštitnog plastičnog omotača (ONCO-SAFE) i Uputstvo za lijek.</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6.6. </w:t>
      </w:r>
      <w:r w:rsidRPr="00CC438D">
        <w:rPr>
          <w:rFonts w:ascii="Times New Roman" w:hAnsi="Times New Roman" w:cs="Times New Roman"/>
          <w:b/>
          <w:bCs/>
        </w:rPr>
        <w:tab/>
      </w:r>
      <w:r w:rsidRPr="00CC438D">
        <w:rPr>
          <w:rFonts w:ascii="Times New Roman" w:hAnsi="Times New Roman" w:cs="Times New Roman"/>
          <w:b/>
          <w:bCs/>
          <w:color w:val="000000"/>
        </w:rPr>
        <w:t>Posebne mjere opreza pri odlaganju materijala koji treba odbaciti nakon primjene lijeka</w:t>
      </w:r>
      <w:r w:rsidRPr="00CC438D">
        <w:rPr>
          <w:rFonts w:ascii="Times New Roman" w:hAnsi="Times New Roman" w:cs="Times New Roman"/>
          <w:b/>
          <w:bCs/>
        </w:rPr>
        <w:t xml:space="preserve"> (i druga uputsva za rukovanje lijekom) </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Rukovanje:</w:t>
      </w:r>
      <w:r w:rsidRPr="00CC438D">
        <w:rPr>
          <w:rFonts w:ascii="Times New Roman" w:hAnsi="Times New Roman" w:cs="Times New Roman"/>
          <w:bCs/>
        </w:rPr>
        <w:t xml:space="preserve"> paklitakselom treba rukovati pažljivo kao 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svim drugim antineoplastičkim ljekovima. Razblaživanje se izvodi u aseptičnim uslovima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strane posebno obučenog kadra i u za to posebno namijenjenim prostorijama. Neophodno je nositi odgovarajuće zaštitne rukavice. Izbjegavati kontakte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kožom i sluzokožom. U slučaju kontakta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kožom, zahvaćenu površinu isprati vodom i sapunom. Na mjestu kontakta je primijećeno bockanje, pečenje i crvenilo. U slučaju kontakta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sluzokožom, istu treba obilno isprati vodom. U slučaju inhalacije prijavljeni su dispnea, bol u grudima, pečenje u grlu i mučnina.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Ukoliko se neotvorene bočice drže u frižideru, mogu se javiti precipitacije koje se rastvaraju kada se boca blago protrese nakon što dostigne sobnu temperaturu. Kvalitet proizvoda nije umanjen. Ukoliko rastvor ostane zamućen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ukoliko se uoče nerastvorljive precipitacije, bočicu treba baciti.</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Nakon višekratnog uvođenja igle i izvlačenja lijeka, bočice zadržavaju mikrobiološku, hemijsku i fizičku stabilnost do 28 </w:t>
      </w:r>
      <w:proofErr w:type="gramStart"/>
      <w:r w:rsidRPr="00CC438D">
        <w:rPr>
          <w:rFonts w:ascii="Times New Roman" w:hAnsi="Times New Roman" w:cs="Times New Roman"/>
          <w:bCs/>
        </w:rPr>
        <w:t>dana</w:t>
      </w:r>
      <w:proofErr w:type="gramEnd"/>
      <w:r w:rsidRPr="00CC438D">
        <w:rPr>
          <w:rFonts w:ascii="Times New Roman" w:hAnsi="Times New Roman" w:cs="Times New Roman"/>
          <w:bCs/>
        </w:rPr>
        <w:t xml:space="preserve"> na 25°C. Za svako naredno vrijeme i uslove korišćenja prije upotrebe biće odgovoran korisnik.</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Priprema za I.V. primjenu:</w:t>
      </w:r>
      <w:r w:rsidRPr="00CC438D">
        <w:rPr>
          <w:rFonts w:ascii="Times New Roman" w:hAnsi="Times New Roman" w:cs="Times New Roman"/>
          <w:bCs/>
        </w:rPr>
        <w:t xml:space="preserve"> prije infuzije neophodno je razblažiti paklitaksel u aseptičnim uslovima, injekcijom 0,9% NaCl ili injekcijom 5% glukoze, ili kombinacijom 5% glukoze i injekcije 0,9% NaCl, ili kombinacijom 5% glukoze i injekcije Ringer-a, tako da konačna koncentracija lijeka iznosi 0,3 do 1,2 mg/ml.</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Hemijska i fizička stabilnost prilikom upotrebe rastvora pripremljenog za infuziju dokazana je </w:t>
      </w:r>
      <w:proofErr w:type="gramStart"/>
      <w:r w:rsidRPr="00CC438D">
        <w:rPr>
          <w:rFonts w:ascii="Times New Roman" w:hAnsi="Times New Roman" w:cs="Times New Roman"/>
          <w:bCs/>
        </w:rPr>
        <w:t>na</w:t>
      </w:r>
      <w:proofErr w:type="gramEnd"/>
      <w:r w:rsidRPr="00CC438D">
        <w:rPr>
          <w:rFonts w:ascii="Times New Roman" w:hAnsi="Times New Roman" w:cs="Times New Roman"/>
          <w:bCs/>
        </w:rPr>
        <w:t xml:space="preserve"> 5°C i na 25°C tokom 48 sati.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mikrobiološkog stanovišta proizvod treba koristiti odmah. Ukoliko se ne iskoristi odmah, za svako naredno vrijeme i uslove korišćenja prije upotrebe biće odgovoran korisnik, a oni neće biti duži od 24 časa na temperaturi od 2 do 8°C, osim ako do razblaživanja nije došlo u kontrolisanim i validiranim aseptičnim uslovima.</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Poslije razblaživanja rastvor je samo za jednokratnu upotrebu.</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Poslije pripreme rastvor se može zamutiti što se pripisuje nosaču lijeka, koji se ne može ukloniti filtriranjem. Paklitaksel se aplikuje kroz sistemski filter sa mikroporoznom membranom od ≤ 0</w:t>
      </w:r>
      <w:proofErr w:type="gramStart"/>
      <w:r w:rsidRPr="00CC438D">
        <w:rPr>
          <w:rFonts w:ascii="Times New Roman" w:hAnsi="Times New Roman" w:cs="Times New Roman"/>
          <w:bCs/>
        </w:rPr>
        <w:t>,22</w:t>
      </w:r>
      <w:proofErr w:type="gramEnd"/>
      <w:r w:rsidRPr="00CC438D">
        <w:rPr>
          <w:rFonts w:ascii="Times New Roman" w:hAnsi="Times New Roman" w:cs="Times New Roman"/>
          <w:bCs/>
        </w:rPr>
        <w:t xml:space="preserve"> mikrometra. Nije zapaženo značajno smanjenje dejstva lijeka poslije simuliranog davanja rastvora kroz I.V. sistem koji ima filter.</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Rijetko je prijavljivana pojava precipitacija tokom infuzije paklitaksela, obično pred kraj 24-časovne infuzije. Iako uzroci ovih precipitacija nijesu razjašnjeni, oni su najvjerovatnije povezani </w:t>
      </w:r>
      <w:proofErr w:type="gramStart"/>
      <w:r w:rsidRPr="00CC438D">
        <w:rPr>
          <w:rFonts w:ascii="Times New Roman" w:hAnsi="Times New Roman" w:cs="Times New Roman"/>
          <w:bCs/>
        </w:rPr>
        <w:t>sa</w:t>
      </w:r>
      <w:proofErr w:type="gramEnd"/>
      <w:r w:rsidRPr="00CC438D">
        <w:rPr>
          <w:rFonts w:ascii="Times New Roman" w:hAnsi="Times New Roman" w:cs="Times New Roman"/>
          <w:bCs/>
        </w:rPr>
        <w:t xml:space="preserve"> prezasićenošću razblaženog rastvora. Da bi se smanjio rizik </w:t>
      </w:r>
      <w:proofErr w:type="gramStart"/>
      <w:r w:rsidRPr="00CC438D">
        <w:rPr>
          <w:rFonts w:ascii="Times New Roman" w:hAnsi="Times New Roman" w:cs="Times New Roman"/>
          <w:bCs/>
        </w:rPr>
        <w:t>od</w:t>
      </w:r>
      <w:proofErr w:type="gramEnd"/>
      <w:r w:rsidRPr="00CC438D">
        <w:rPr>
          <w:rFonts w:ascii="Times New Roman" w:hAnsi="Times New Roman" w:cs="Times New Roman"/>
          <w:bCs/>
        </w:rPr>
        <w:t xml:space="preserve"> stvaranja precipitacija, paklitaksel nakon razblaživanja treba što prije iskoristiti i treba izbjegavati da se bočica previše trese, mućka ili da vibrira. Prije upotrebe treba </w:t>
      </w:r>
      <w:proofErr w:type="gramStart"/>
      <w:r w:rsidRPr="00CC438D">
        <w:rPr>
          <w:rFonts w:ascii="Times New Roman" w:hAnsi="Times New Roman" w:cs="Times New Roman"/>
          <w:bCs/>
        </w:rPr>
        <w:t>dobro</w:t>
      </w:r>
      <w:proofErr w:type="gramEnd"/>
      <w:r w:rsidRPr="00CC438D">
        <w:rPr>
          <w:rFonts w:ascii="Times New Roman" w:hAnsi="Times New Roman" w:cs="Times New Roman"/>
          <w:bCs/>
        </w:rPr>
        <w:t xml:space="preserve"> isprati sistem za infuziju. Izgled rastvora treba redovno provjeravati u toku infuzije, </w:t>
      </w:r>
      <w:proofErr w:type="gramStart"/>
      <w:r w:rsidRPr="00CC438D">
        <w:rPr>
          <w:rFonts w:ascii="Times New Roman" w:hAnsi="Times New Roman" w:cs="Times New Roman"/>
          <w:bCs/>
        </w:rPr>
        <w:t>a</w:t>
      </w:r>
      <w:proofErr w:type="gramEnd"/>
      <w:r w:rsidRPr="00CC438D">
        <w:rPr>
          <w:rFonts w:ascii="Times New Roman" w:hAnsi="Times New Roman" w:cs="Times New Roman"/>
          <w:bCs/>
        </w:rPr>
        <w:t xml:space="preserve"> infuziju treba prekinuti ako se primijete precipitacije.</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 xml:space="preserve">Da bi se smanjilo izlaganje pacijenta DEHP-u, koji može da curi iz plastificiranih PVC infuzionih kesa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drugih medicinskih instrumenata, razblaženi rastvor paklitaksela treba čuvati isključivo u ambalaži koja nije od PVC-a, odnosno u bocama (od stakla ili polipropilena) ili u plastičnim kesama (od polipropilena, poliolefina), a aplicirati isključivo kroz sistem za infuziju obložen polietilenom. Upotreba filtera koji imaju kratki ulazni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izlazni dio od PVC cjevčice nije doveo do značajnog curenja DEHP.</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
          <w:bCs/>
        </w:rPr>
        <w:t>Uklanjanje:</w:t>
      </w:r>
      <w:r w:rsidRPr="00CC438D">
        <w:rPr>
          <w:rFonts w:ascii="Times New Roman" w:hAnsi="Times New Roman" w:cs="Times New Roman"/>
          <w:bCs/>
        </w:rPr>
        <w:t xml:space="preserve"> Svi predmeti korišćeni za pripremu </w:t>
      </w:r>
      <w:proofErr w:type="gramStart"/>
      <w:r w:rsidRPr="00CC438D">
        <w:rPr>
          <w:rFonts w:ascii="Times New Roman" w:hAnsi="Times New Roman" w:cs="Times New Roman"/>
          <w:bCs/>
        </w:rPr>
        <w:t>ili</w:t>
      </w:r>
      <w:proofErr w:type="gramEnd"/>
      <w:r w:rsidRPr="00CC438D">
        <w:rPr>
          <w:rFonts w:ascii="Times New Roman" w:hAnsi="Times New Roman" w:cs="Times New Roman"/>
          <w:bCs/>
        </w:rPr>
        <w:t xml:space="preserve"> primjenu rastvora paklitaksela ili su na drugi način došli u kontakt sa istim, moraju se ukloniti u skladu sa važećim uputstvima za rukovanje citotoksičnim jedinjenjima.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lastRenderedPageBreak/>
        <w:t xml:space="preserve">7. </w:t>
      </w:r>
      <w:r w:rsidRPr="00CC438D">
        <w:rPr>
          <w:rFonts w:ascii="Times New Roman" w:hAnsi="Times New Roman" w:cs="Times New Roman"/>
          <w:b/>
          <w:bCs/>
        </w:rPr>
        <w:tab/>
        <w:t xml:space="preserve">NOSILAC DOZVOLE </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Glosarij d.o.o.</w:t>
      </w:r>
    </w:p>
    <w:p w:rsidR="00CC438D" w:rsidRPr="00CC438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Ul. Vojislavljevića 76, Podgorica, Crna Gora</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8. </w:t>
      </w:r>
      <w:r w:rsidRPr="00CC438D">
        <w:rPr>
          <w:rFonts w:ascii="Times New Roman" w:hAnsi="Times New Roman" w:cs="Times New Roman"/>
          <w:b/>
          <w:bCs/>
        </w:rPr>
        <w:tab/>
        <w:t>BROJ DOZVOLE ZA STAVLJANJE LIJEKA U PROMET</w:t>
      </w:r>
    </w:p>
    <w:p w:rsidR="00CC438D" w:rsidRPr="00CC438D" w:rsidRDefault="00CC438D" w:rsidP="00CC438D">
      <w:pPr>
        <w:tabs>
          <w:tab w:val="left" w:pos="540"/>
          <w:tab w:val="left" w:pos="569"/>
        </w:tabs>
        <w:spacing w:after="0"/>
        <w:jc w:val="both"/>
        <w:rPr>
          <w:rFonts w:ascii="Times New Roman" w:hAnsi="Times New Roman" w:cs="Times New Roman"/>
          <w:bCs/>
        </w:rPr>
      </w:pPr>
    </w:p>
    <w:p w:rsidR="005D360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Paclitaxel Ebewe, koncentrat za rastvor za infuziju, 30mg/5ml, bočica, staklena, 1x5ml:</w:t>
      </w:r>
      <w:r w:rsidR="005D360D">
        <w:rPr>
          <w:rFonts w:ascii="Times New Roman" w:hAnsi="Times New Roman" w:cs="Times New Roman"/>
          <w:bCs/>
        </w:rPr>
        <w:t xml:space="preserve"> </w:t>
      </w:r>
    </w:p>
    <w:p w:rsidR="005D360D" w:rsidRDefault="005D360D" w:rsidP="00CC438D">
      <w:pPr>
        <w:tabs>
          <w:tab w:val="left" w:pos="540"/>
          <w:tab w:val="left" w:pos="569"/>
        </w:tabs>
        <w:spacing w:after="0"/>
        <w:jc w:val="both"/>
        <w:rPr>
          <w:rFonts w:ascii="Times New Roman" w:hAnsi="Times New Roman" w:cs="Times New Roman"/>
          <w:bCs/>
        </w:rPr>
      </w:pPr>
      <w:r w:rsidRPr="005D360D">
        <w:rPr>
          <w:rFonts w:ascii="Times New Roman" w:hAnsi="Times New Roman" w:cs="Times New Roman"/>
          <w:bCs/>
        </w:rPr>
        <w:t xml:space="preserve">2030/20/81 - 2815 </w:t>
      </w:r>
    </w:p>
    <w:p w:rsidR="005D360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Paclitaxel Ebewe, koncen</w:t>
      </w:r>
      <w:bookmarkStart w:id="0" w:name="_GoBack"/>
      <w:bookmarkEnd w:id="0"/>
      <w:r w:rsidRPr="00CC438D">
        <w:rPr>
          <w:rFonts w:ascii="Times New Roman" w:hAnsi="Times New Roman" w:cs="Times New Roman"/>
          <w:bCs/>
        </w:rPr>
        <w:t>trat z</w:t>
      </w:r>
      <w:r w:rsidR="00D45B74">
        <w:rPr>
          <w:rFonts w:ascii="Times New Roman" w:hAnsi="Times New Roman" w:cs="Times New Roman"/>
          <w:bCs/>
        </w:rPr>
        <w:t>a rastvor za infuziju, 100mg/16,7ml, bočica, staklena, 1x16,</w:t>
      </w:r>
      <w:r w:rsidRPr="00CC438D">
        <w:rPr>
          <w:rFonts w:ascii="Times New Roman" w:hAnsi="Times New Roman" w:cs="Times New Roman"/>
          <w:bCs/>
        </w:rPr>
        <w:t>7ml:</w:t>
      </w:r>
      <w:r w:rsidR="005D360D">
        <w:rPr>
          <w:rFonts w:ascii="Times New Roman" w:hAnsi="Times New Roman" w:cs="Times New Roman"/>
          <w:bCs/>
        </w:rPr>
        <w:t xml:space="preserve"> </w:t>
      </w:r>
    </w:p>
    <w:p w:rsidR="00CC438D" w:rsidRDefault="005D360D" w:rsidP="00CC438D">
      <w:pPr>
        <w:tabs>
          <w:tab w:val="left" w:pos="540"/>
          <w:tab w:val="left" w:pos="569"/>
        </w:tabs>
        <w:spacing w:after="0"/>
        <w:jc w:val="both"/>
        <w:rPr>
          <w:rFonts w:ascii="Times New Roman" w:hAnsi="Times New Roman" w:cs="Times New Roman"/>
          <w:bCs/>
        </w:rPr>
      </w:pPr>
      <w:r w:rsidRPr="005D360D">
        <w:rPr>
          <w:rFonts w:ascii="Times New Roman" w:hAnsi="Times New Roman" w:cs="Times New Roman"/>
          <w:bCs/>
        </w:rPr>
        <w:t xml:space="preserve">2030/20/80 </w:t>
      </w:r>
      <w:r>
        <w:rPr>
          <w:rFonts w:ascii="Times New Roman" w:hAnsi="Times New Roman" w:cs="Times New Roman"/>
          <w:bCs/>
        </w:rPr>
        <w:t>–</w:t>
      </w:r>
      <w:r w:rsidRPr="005D360D">
        <w:rPr>
          <w:rFonts w:ascii="Times New Roman" w:hAnsi="Times New Roman" w:cs="Times New Roman"/>
          <w:bCs/>
        </w:rPr>
        <w:t xml:space="preserve"> 2814</w:t>
      </w:r>
    </w:p>
    <w:p w:rsidR="005D360D" w:rsidRPr="00CC438D" w:rsidRDefault="005D360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
          <w:bCs/>
        </w:rPr>
      </w:pPr>
      <w:r w:rsidRPr="00CC438D">
        <w:rPr>
          <w:rFonts w:ascii="Times New Roman" w:hAnsi="Times New Roman" w:cs="Times New Roman"/>
          <w:b/>
          <w:bCs/>
        </w:rPr>
        <w:t xml:space="preserve">9. </w:t>
      </w:r>
      <w:r w:rsidRPr="00CC438D">
        <w:rPr>
          <w:rFonts w:ascii="Times New Roman" w:hAnsi="Times New Roman" w:cs="Times New Roman"/>
          <w:b/>
          <w:bCs/>
        </w:rPr>
        <w:tab/>
        <w:t>DATUM PRVE DOZVOLE/OBNOVE DOZVOLE ZA STAVLJANJE LIJEKA U PROMET</w:t>
      </w:r>
    </w:p>
    <w:p w:rsidR="00CC438D" w:rsidRPr="00CC438D" w:rsidRDefault="00CC438D" w:rsidP="00CC438D">
      <w:pPr>
        <w:tabs>
          <w:tab w:val="left" w:pos="540"/>
          <w:tab w:val="left" w:pos="569"/>
        </w:tabs>
        <w:spacing w:after="0"/>
        <w:jc w:val="both"/>
        <w:rPr>
          <w:rFonts w:ascii="Times New Roman" w:hAnsi="Times New Roman" w:cs="Times New Roman"/>
          <w:bCs/>
        </w:rPr>
      </w:pPr>
    </w:p>
    <w:p w:rsidR="005D360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Paclitaxel Ebewe, koncentrat za rastvor za infuziju, 30mg/5ml, bočica, staklena, 1x5ml:</w:t>
      </w:r>
      <w:r w:rsidR="005D360D">
        <w:rPr>
          <w:rFonts w:ascii="Times New Roman" w:hAnsi="Times New Roman" w:cs="Times New Roman"/>
          <w:bCs/>
        </w:rPr>
        <w:t xml:space="preserve"> </w:t>
      </w:r>
    </w:p>
    <w:p w:rsidR="00CC438D" w:rsidRPr="00CC438D" w:rsidRDefault="005D360D" w:rsidP="00CC438D">
      <w:pPr>
        <w:tabs>
          <w:tab w:val="left" w:pos="540"/>
          <w:tab w:val="left" w:pos="569"/>
        </w:tabs>
        <w:spacing w:after="0"/>
        <w:jc w:val="both"/>
        <w:rPr>
          <w:rFonts w:ascii="Times New Roman" w:hAnsi="Times New Roman" w:cs="Times New Roman"/>
          <w:bCs/>
        </w:rPr>
      </w:pPr>
      <w:r>
        <w:rPr>
          <w:rFonts w:ascii="Times New Roman" w:hAnsi="Times New Roman" w:cs="Times New Roman"/>
          <w:bCs/>
        </w:rPr>
        <w:t>24.01.2020</w:t>
      </w:r>
      <w:r w:rsidRPr="005D360D">
        <w:rPr>
          <w:rFonts w:ascii="Times New Roman" w:hAnsi="Times New Roman" w:cs="Times New Roman"/>
          <w:bCs/>
        </w:rPr>
        <w:t xml:space="preserve">. </w:t>
      </w:r>
      <w:proofErr w:type="gramStart"/>
      <w:r w:rsidRPr="005D360D">
        <w:rPr>
          <w:rFonts w:ascii="Times New Roman" w:hAnsi="Times New Roman" w:cs="Times New Roman"/>
          <w:bCs/>
        </w:rPr>
        <w:t>godine</w:t>
      </w:r>
      <w:proofErr w:type="gramEnd"/>
    </w:p>
    <w:p w:rsidR="005D360D" w:rsidRDefault="00CC438D" w:rsidP="00CC438D">
      <w:pPr>
        <w:tabs>
          <w:tab w:val="left" w:pos="540"/>
          <w:tab w:val="left" w:pos="569"/>
        </w:tabs>
        <w:spacing w:after="0"/>
        <w:jc w:val="both"/>
        <w:rPr>
          <w:rFonts w:ascii="Times New Roman" w:hAnsi="Times New Roman" w:cs="Times New Roman"/>
          <w:bCs/>
        </w:rPr>
      </w:pPr>
      <w:r w:rsidRPr="00CC438D">
        <w:rPr>
          <w:rFonts w:ascii="Times New Roman" w:hAnsi="Times New Roman" w:cs="Times New Roman"/>
          <w:bCs/>
        </w:rPr>
        <w:t>Paclitaxel Ebewe, koncentrat z</w:t>
      </w:r>
      <w:r w:rsidR="00D45B74">
        <w:rPr>
          <w:rFonts w:ascii="Times New Roman" w:hAnsi="Times New Roman" w:cs="Times New Roman"/>
          <w:bCs/>
        </w:rPr>
        <w:t>a rastvor za infuziju, 100mg/16,7ml, bočica, staklena, 1x16,</w:t>
      </w:r>
      <w:r w:rsidRPr="00CC438D">
        <w:rPr>
          <w:rFonts w:ascii="Times New Roman" w:hAnsi="Times New Roman" w:cs="Times New Roman"/>
          <w:bCs/>
        </w:rPr>
        <w:t>7ml:</w:t>
      </w:r>
      <w:r w:rsidR="005D360D">
        <w:rPr>
          <w:rFonts w:ascii="Times New Roman" w:hAnsi="Times New Roman" w:cs="Times New Roman"/>
          <w:bCs/>
        </w:rPr>
        <w:t xml:space="preserve"> </w:t>
      </w:r>
    </w:p>
    <w:p w:rsidR="00CC438D" w:rsidRPr="00CC438D" w:rsidRDefault="005D360D" w:rsidP="00CC438D">
      <w:pPr>
        <w:tabs>
          <w:tab w:val="left" w:pos="540"/>
          <w:tab w:val="left" w:pos="569"/>
        </w:tabs>
        <w:spacing w:after="0"/>
        <w:jc w:val="both"/>
        <w:rPr>
          <w:rFonts w:ascii="Times New Roman" w:hAnsi="Times New Roman" w:cs="Times New Roman"/>
          <w:bCs/>
        </w:rPr>
      </w:pPr>
      <w:r>
        <w:rPr>
          <w:rFonts w:ascii="Times New Roman" w:hAnsi="Times New Roman" w:cs="Times New Roman"/>
          <w:bCs/>
        </w:rPr>
        <w:t>24.01.2020</w:t>
      </w:r>
      <w:r w:rsidRPr="005D360D">
        <w:rPr>
          <w:rFonts w:ascii="Times New Roman" w:hAnsi="Times New Roman" w:cs="Times New Roman"/>
          <w:bCs/>
        </w:rPr>
        <w:t xml:space="preserve">. </w:t>
      </w:r>
      <w:proofErr w:type="gramStart"/>
      <w:r w:rsidRPr="005D360D">
        <w:rPr>
          <w:rFonts w:ascii="Times New Roman" w:hAnsi="Times New Roman" w:cs="Times New Roman"/>
          <w:bCs/>
        </w:rPr>
        <w:t>godine</w:t>
      </w:r>
      <w:proofErr w:type="gramEnd"/>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CC438D" w:rsidP="00CC438D">
      <w:pPr>
        <w:tabs>
          <w:tab w:val="left" w:pos="540"/>
          <w:tab w:val="left" w:pos="569"/>
        </w:tabs>
        <w:spacing w:after="0"/>
        <w:ind w:left="540" w:hanging="540"/>
        <w:jc w:val="both"/>
        <w:rPr>
          <w:rFonts w:ascii="Times New Roman" w:hAnsi="Times New Roman" w:cs="Times New Roman"/>
          <w:bCs/>
        </w:rPr>
      </w:pPr>
      <w:r w:rsidRPr="00CC438D">
        <w:rPr>
          <w:rFonts w:ascii="Times New Roman" w:hAnsi="Times New Roman" w:cs="Times New Roman"/>
          <w:b/>
          <w:bCs/>
        </w:rPr>
        <w:t xml:space="preserve">10. </w:t>
      </w:r>
      <w:r w:rsidRPr="00CC438D">
        <w:rPr>
          <w:rFonts w:ascii="Times New Roman" w:hAnsi="Times New Roman" w:cs="Times New Roman"/>
          <w:b/>
          <w:bCs/>
        </w:rPr>
        <w:tab/>
        <w:t xml:space="preserve">DATUM REVIZIJE TEKSTA </w:t>
      </w:r>
    </w:p>
    <w:p w:rsidR="00CC438D" w:rsidRPr="00CC438D" w:rsidRDefault="00CC438D" w:rsidP="00CC438D">
      <w:pPr>
        <w:tabs>
          <w:tab w:val="left" w:pos="540"/>
          <w:tab w:val="left" w:pos="569"/>
        </w:tabs>
        <w:spacing w:after="0"/>
        <w:jc w:val="both"/>
        <w:rPr>
          <w:rFonts w:ascii="Times New Roman" w:hAnsi="Times New Roman" w:cs="Times New Roman"/>
          <w:bCs/>
        </w:rPr>
      </w:pPr>
    </w:p>
    <w:p w:rsidR="00CC438D" w:rsidRPr="00CC438D" w:rsidRDefault="005D360D" w:rsidP="00CC438D">
      <w:pPr>
        <w:spacing w:after="0"/>
        <w:jc w:val="both"/>
        <w:rPr>
          <w:rFonts w:ascii="Times New Roman" w:hAnsi="Times New Roman" w:cs="Times New Roman"/>
          <w:lang w:val="pl-PL"/>
        </w:rPr>
      </w:pPr>
      <w:r>
        <w:rPr>
          <w:rFonts w:ascii="Times New Roman" w:hAnsi="Times New Roman" w:cs="Times New Roman"/>
          <w:lang w:val="pl-PL"/>
        </w:rPr>
        <w:t>Januar, 2020. godine</w:t>
      </w:r>
    </w:p>
    <w:p w:rsidR="009318B4" w:rsidRPr="00CC438D" w:rsidRDefault="009318B4" w:rsidP="00CC438D">
      <w:pPr>
        <w:spacing w:after="0"/>
        <w:jc w:val="both"/>
        <w:rPr>
          <w:rFonts w:ascii="Times New Roman" w:hAnsi="Times New Roman" w:cs="Times New Roman"/>
        </w:rPr>
      </w:pPr>
    </w:p>
    <w:p w:rsidR="009318B4" w:rsidRPr="00CC438D" w:rsidRDefault="00747C4B" w:rsidP="00CC438D">
      <w:pPr>
        <w:tabs>
          <w:tab w:val="left" w:pos="6150"/>
        </w:tabs>
        <w:spacing w:after="0"/>
        <w:jc w:val="both"/>
        <w:rPr>
          <w:rFonts w:ascii="Times New Roman" w:hAnsi="Times New Roman" w:cs="Times New Roman"/>
        </w:rPr>
      </w:pPr>
      <w:r w:rsidRPr="00CC438D">
        <w:rPr>
          <w:rFonts w:ascii="Times New Roman" w:hAnsi="Times New Roman" w:cs="Times New Roman"/>
        </w:rPr>
        <w:tab/>
      </w:r>
    </w:p>
    <w:p w:rsidR="009318B4" w:rsidRPr="00CC438D" w:rsidRDefault="009318B4"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spacing w:after="0"/>
        <w:jc w:val="both"/>
        <w:rPr>
          <w:rFonts w:ascii="Times New Roman" w:hAnsi="Times New Roman" w:cs="Times New Roman"/>
        </w:rPr>
      </w:pPr>
    </w:p>
    <w:p w:rsidR="00F1527C" w:rsidRPr="00CC438D" w:rsidRDefault="00F1527C" w:rsidP="00CC438D">
      <w:pPr>
        <w:tabs>
          <w:tab w:val="left" w:pos="2751"/>
        </w:tabs>
        <w:spacing w:after="0"/>
        <w:jc w:val="both"/>
        <w:rPr>
          <w:rFonts w:ascii="Times New Roman" w:hAnsi="Times New Roman" w:cs="Times New Roman"/>
        </w:rPr>
      </w:pPr>
    </w:p>
    <w:p w:rsidR="00F1527C" w:rsidRPr="00CC438D" w:rsidRDefault="00F1527C" w:rsidP="00CC438D">
      <w:pPr>
        <w:tabs>
          <w:tab w:val="left" w:pos="2751"/>
        </w:tabs>
        <w:spacing w:after="0"/>
        <w:jc w:val="both"/>
        <w:rPr>
          <w:rFonts w:ascii="Times New Roman" w:hAnsi="Times New Roman" w:cs="Times New Roman"/>
        </w:rPr>
      </w:pPr>
    </w:p>
    <w:p w:rsidR="00F1527C" w:rsidRPr="00CC438D" w:rsidRDefault="00F1527C" w:rsidP="00CC438D">
      <w:pPr>
        <w:tabs>
          <w:tab w:val="left" w:pos="2751"/>
        </w:tabs>
        <w:spacing w:after="0"/>
        <w:jc w:val="both"/>
        <w:rPr>
          <w:rFonts w:ascii="Times New Roman" w:hAnsi="Times New Roman" w:cs="Times New Roman"/>
        </w:rPr>
      </w:pPr>
    </w:p>
    <w:p w:rsidR="009318B4" w:rsidRPr="00CC438D" w:rsidRDefault="00F1527C" w:rsidP="00CC438D">
      <w:pPr>
        <w:tabs>
          <w:tab w:val="left" w:pos="2751"/>
        </w:tabs>
        <w:spacing w:after="0"/>
        <w:jc w:val="both"/>
        <w:rPr>
          <w:rFonts w:ascii="Times New Roman" w:hAnsi="Times New Roman" w:cs="Times New Roman"/>
        </w:rPr>
      </w:pPr>
      <w:r w:rsidRPr="00CC438D">
        <w:rPr>
          <w:rFonts w:ascii="Times New Roman" w:hAnsi="Times New Roman" w:cs="Times New Roman"/>
        </w:rPr>
        <w:tab/>
      </w:r>
    </w:p>
    <w:sectPr w:rsidR="009318B4" w:rsidRPr="00CC438D" w:rsidSect="00B34AF2">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DD" w:rsidRDefault="00AA24DD" w:rsidP="00FF2B5A">
      <w:pPr>
        <w:spacing w:after="0" w:line="240" w:lineRule="auto"/>
      </w:pPr>
      <w:r>
        <w:separator/>
      </w:r>
    </w:p>
  </w:endnote>
  <w:endnote w:type="continuationSeparator" w:id="0">
    <w:p w:rsidR="00AA24DD" w:rsidRDefault="00AA24D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B32C3">
      <w:rPr>
        <w:rFonts w:ascii="Times New Roman" w:eastAsia="Times New Roman" w:hAnsi="Times New Roman" w:cs="Times New Roman"/>
        <w:noProof/>
        <w:sz w:val="20"/>
        <w:szCs w:val="20"/>
        <w:lang w:val="sr-Latn-ME"/>
      </w:rPr>
      <w:t>19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B32C3">
      <w:rPr>
        <w:rFonts w:ascii="Times New Roman" w:eastAsia="Times New Roman" w:hAnsi="Times New Roman" w:cs="Times New Roman"/>
        <w:noProof/>
        <w:sz w:val="20"/>
        <w:szCs w:val="20"/>
        <w:lang w:val="sr-Latn-ME"/>
      </w:rPr>
      <w:t>19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DD" w:rsidRDefault="00AA24DD" w:rsidP="00FF2B5A">
      <w:pPr>
        <w:spacing w:after="0" w:line="240" w:lineRule="auto"/>
      </w:pPr>
      <w:r>
        <w:separator/>
      </w:r>
    </w:p>
  </w:footnote>
  <w:footnote w:type="continuationSeparator" w:id="0">
    <w:p w:rsidR="00AA24DD" w:rsidRDefault="00AA24DD"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2CD5"/>
    <w:rsid w:val="00064587"/>
    <w:rsid w:val="00075BC5"/>
    <w:rsid w:val="000B5AD6"/>
    <w:rsid w:val="00116FE6"/>
    <w:rsid w:val="00461135"/>
    <w:rsid w:val="004B32C3"/>
    <w:rsid w:val="005D360D"/>
    <w:rsid w:val="006565A1"/>
    <w:rsid w:val="006C5875"/>
    <w:rsid w:val="00747C4B"/>
    <w:rsid w:val="00883AF2"/>
    <w:rsid w:val="009318B4"/>
    <w:rsid w:val="00934541"/>
    <w:rsid w:val="00945AD9"/>
    <w:rsid w:val="009E1348"/>
    <w:rsid w:val="00A06058"/>
    <w:rsid w:val="00A60486"/>
    <w:rsid w:val="00AA24DD"/>
    <w:rsid w:val="00B234CE"/>
    <w:rsid w:val="00B34AF2"/>
    <w:rsid w:val="00C4240B"/>
    <w:rsid w:val="00CC438D"/>
    <w:rsid w:val="00D45AFE"/>
    <w:rsid w:val="00D45B74"/>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C438D"/>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CC438D"/>
    <w:rPr>
      <w:rFonts w:ascii="Arial" w:eastAsia="Times New Roman" w:hAnsi="Arial" w:cs="Arial"/>
      <w:i/>
      <w:iCs/>
      <w:color w:val="999999"/>
      <w:sz w:val="18"/>
      <w:szCs w:val="24"/>
    </w:rPr>
  </w:style>
  <w:style w:type="character" w:styleId="PageNumber">
    <w:name w:val="page number"/>
    <w:basedOn w:val="DefaultParagraphFont"/>
    <w:rsid w:val="00CC438D"/>
  </w:style>
  <w:style w:type="numbering" w:styleId="111111">
    <w:name w:val="Outline List 2"/>
    <w:basedOn w:val="NoList"/>
    <w:rsid w:val="00CC438D"/>
    <w:pPr>
      <w:numPr>
        <w:numId w:val="3"/>
      </w:numPr>
    </w:pPr>
  </w:style>
  <w:style w:type="character" w:styleId="CommentReference">
    <w:name w:val="annotation reference"/>
    <w:semiHidden/>
    <w:rsid w:val="00CC438D"/>
    <w:rPr>
      <w:sz w:val="16"/>
      <w:szCs w:val="16"/>
    </w:rPr>
  </w:style>
  <w:style w:type="paragraph" w:styleId="CommentText">
    <w:name w:val="annotation text"/>
    <w:basedOn w:val="Normal"/>
    <w:link w:val="CommentTextChar"/>
    <w:semiHidden/>
    <w:rsid w:val="00CC438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C43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438D"/>
    <w:rPr>
      <w:b/>
      <w:bCs/>
    </w:rPr>
  </w:style>
  <w:style w:type="character" w:customStyle="1" w:styleId="CommentSubjectChar">
    <w:name w:val="Comment Subject Char"/>
    <w:basedOn w:val="CommentTextChar"/>
    <w:link w:val="CommentSubject"/>
    <w:semiHidden/>
    <w:rsid w:val="00CC438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C43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C438D"/>
    <w:rPr>
      <w:rFonts w:ascii="Tahoma" w:eastAsia="Times New Roman" w:hAnsi="Tahoma" w:cs="Tahoma"/>
      <w:sz w:val="16"/>
      <w:szCs w:val="16"/>
    </w:rPr>
  </w:style>
  <w:style w:type="paragraph" w:styleId="NoSpacing">
    <w:name w:val="No Spacing"/>
    <w:uiPriority w:val="1"/>
    <w:qFormat/>
    <w:rsid w:val="00CC438D"/>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C438D"/>
    <w:pPr>
      <w:widowControl w:val="0"/>
      <w:autoSpaceDE w:val="0"/>
      <w:autoSpaceDN w:val="0"/>
      <w:spacing w:after="0" w:line="240" w:lineRule="auto"/>
      <w:ind w:left="110"/>
    </w:pPr>
    <w:rPr>
      <w:rFonts w:ascii="Times New Roman" w:eastAsia="Times New Roman" w:hAnsi="Times New Roman" w:cs="Times New Roman"/>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56491-E296-44F7-88AD-6DD64C4E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8343</Words>
  <Characters>47557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14</cp:revision>
  <dcterms:created xsi:type="dcterms:W3CDTF">2017-06-23T08:04:00Z</dcterms:created>
  <dcterms:modified xsi:type="dcterms:W3CDTF">2024-09-06T08:59:00Z</dcterms:modified>
</cp:coreProperties>
</file>