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B0D3F" w14:textId="4ECD9D3B" w:rsidR="00CE09F3" w:rsidRPr="0051150C" w:rsidRDefault="00CE09F3" w:rsidP="00923865">
      <w:pPr>
        <w:jc w:val="center"/>
        <w:rPr>
          <w:b/>
          <w:bCs/>
          <w:iCs/>
          <w:noProof/>
          <w:szCs w:val="22"/>
          <w:u w:val="single"/>
          <w:lang w:val="sr-Latn-BA"/>
        </w:rPr>
      </w:pPr>
      <w:r w:rsidRPr="0051150C">
        <w:rPr>
          <w:b/>
          <w:bCs/>
          <w:iCs/>
          <w:noProof/>
          <w:szCs w:val="22"/>
          <w:u w:val="single"/>
          <w:lang w:val="sr-Latn-BA"/>
        </w:rPr>
        <w:t xml:space="preserve">SAŽETAK KARAKTERISTIKA </w:t>
      </w:r>
      <w:r w:rsidR="00096FAA" w:rsidRPr="0051150C">
        <w:rPr>
          <w:b/>
          <w:bCs/>
          <w:iCs/>
          <w:noProof/>
          <w:szCs w:val="22"/>
          <w:u w:val="single"/>
          <w:lang w:val="sr-Latn-BA"/>
        </w:rPr>
        <w:t>LIJEK</w:t>
      </w:r>
      <w:r w:rsidRPr="0051150C">
        <w:rPr>
          <w:b/>
          <w:bCs/>
          <w:iCs/>
          <w:noProof/>
          <w:szCs w:val="22"/>
          <w:u w:val="single"/>
          <w:lang w:val="sr-Latn-BA"/>
        </w:rPr>
        <w:t>A</w:t>
      </w:r>
    </w:p>
    <w:p w14:paraId="584B0D40" w14:textId="77777777" w:rsidR="00383195" w:rsidRPr="0051150C" w:rsidRDefault="003E3EC7" w:rsidP="00923865">
      <w:pPr>
        <w:rPr>
          <w:noProof/>
          <w:szCs w:val="22"/>
          <w:lang w:val="sr-Latn-BA"/>
        </w:rPr>
      </w:pPr>
      <w:r w:rsidRPr="0051150C">
        <w:rPr>
          <w:noProof/>
          <w:szCs w:val="22"/>
          <w:lang w:val="sr-Latn-BA"/>
        </w:rPr>
        <w:t xml:space="preserve"> </w:t>
      </w:r>
    </w:p>
    <w:p w14:paraId="584B0D41" w14:textId="77777777" w:rsidR="00383195" w:rsidRPr="0051150C" w:rsidRDefault="00383195" w:rsidP="009173F4">
      <w:pPr>
        <w:rPr>
          <w:noProof/>
          <w:szCs w:val="22"/>
          <w:lang w:val="sr-Latn-BA"/>
        </w:rPr>
      </w:pPr>
    </w:p>
    <w:p w14:paraId="584B0D47" w14:textId="4EBA4F8E" w:rsidR="00CE09F3" w:rsidRPr="0051150C" w:rsidRDefault="00CE09F3" w:rsidP="009173F4">
      <w:pPr>
        <w:pStyle w:val="NASLOV123"/>
        <w:rPr>
          <w:noProof/>
          <w:lang w:val="sr-Latn-BA"/>
        </w:rPr>
      </w:pPr>
      <w:r w:rsidRPr="0051150C">
        <w:rPr>
          <w:noProof/>
          <w:lang w:val="sr-Latn-BA"/>
        </w:rPr>
        <w:t xml:space="preserve">1. </w:t>
      </w:r>
      <w:r w:rsidR="00CE4670">
        <w:rPr>
          <w:noProof/>
          <w:lang w:val="sr-Latn-BA"/>
        </w:rPr>
        <w:t>NAZIV</w:t>
      </w:r>
      <w:r w:rsidRPr="0051150C">
        <w:rPr>
          <w:noProof/>
          <w:lang w:val="sr-Latn-BA"/>
        </w:rPr>
        <w:t xml:space="preserve"> </w:t>
      </w:r>
      <w:r w:rsidR="00096FAA" w:rsidRPr="0051150C">
        <w:rPr>
          <w:noProof/>
          <w:lang w:val="sr-Latn-BA"/>
        </w:rPr>
        <w:t>LIJEK</w:t>
      </w:r>
      <w:r w:rsidRPr="0051150C">
        <w:rPr>
          <w:noProof/>
          <w:lang w:val="sr-Latn-BA"/>
        </w:rPr>
        <w:t>A</w:t>
      </w:r>
    </w:p>
    <w:p w14:paraId="3E3E72E2" w14:textId="1DD0BBB8" w:rsidR="00E43C68" w:rsidRDefault="00F36A33" w:rsidP="00E43C68">
      <w:pPr>
        <w:rPr>
          <w:bCs/>
          <w:iCs/>
          <w:szCs w:val="22"/>
          <w:lang w:val="sr-Latn-CS"/>
        </w:rPr>
      </w:pPr>
      <w:r w:rsidRPr="001022E6">
        <w:rPr>
          <w:color w:val="000000" w:themeColor="text1"/>
          <w:szCs w:val="22"/>
          <w:lang w:val="pl-PL"/>
        </w:rPr>
        <w:t>Jonosol</w:t>
      </w:r>
      <w:r w:rsidR="00E43C68">
        <w:rPr>
          <w:bCs/>
          <w:iCs/>
          <w:szCs w:val="22"/>
          <w:lang w:val="sr-Latn-CS"/>
        </w:rPr>
        <w:t>, 250 mg, film tablete</w:t>
      </w:r>
    </w:p>
    <w:p w14:paraId="734DF7A8" w14:textId="77777777" w:rsidR="00E43C68" w:rsidRPr="00C92AC3" w:rsidRDefault="00E43C68" w:rsidP="00E43C68">
      <w:pPr>
        <w:rPr>
          <w:bCs/>
          <w:iCs/>
          <w:color w:val="000000" w:themeColor="text1"/>
          <w:szCs w:val="22"/>
          <w:lang w:val="sr-Latn-CS"/>
        </w:rPr>
      </w:pPr>
    </w:p>
    <w:p w14:paraId="1122E4CA" w14:textId="77777777" w:rsidR="00E43C68" w:rsidRPr="00383195" w:rsidRDefault="00E43C68" w:rsidP="00E43C68">
      <w:pPr>
        <w:rPr>
          <w:szCs w:val="22"/>
        </w:rPr>
      </w:pPr>
      <w:r w:rsidRPr="00383195">
        <w:rPr>
          <w:szCs w:val="22"/>
        </w:rPr>
        <w:t>INN:</w:t>
      </w:r>
      <w:r>
        <w:rPr>
          <w:szCs w:val="22"/>
        </w:rPr>
        <w:t xml:space="preserve"> abirateron</w:t>
      </w:r>
    </w:p>
    <w:p w14:paraId="584B0D51" w14:textId="0F1A7CDD" w:rsidR="00CE09F3" w:rsidRPr="0051150C" w:rsidRDefault="00CE09F3" w:rsidP="009173F4">
      <w:pPr>
        <w:rPr>
          <w:b/>
          <w:bCs/>
          <w:noProof/>
          <w:szCs w:val="22"/>
          <w:lang w:val="sr-Latn-BA"/>
        </w:rPr>
      </w:pPr>
    </w:p>
    <w:p w14:paraId="584B0D52" w14:textId="77777777" w:rsidR="00CE09F3" w:rsidRPr="0051150C" w:rsidRDefault="00CE09F3" w:rsidP="009173F4">
      <w:pPr>
        <w:pStyle w:val="NASLOV123"/>
        <w:rPr>
          <w:noProof/>
        </w:rPr>
      </w:pPr>
      <w:r w:rsidRPr="0051150C">
        <w:rPr>
          <w:noProof/>
          <w:lang w:val="sr-Latn-BA"/>
        </w:rPr>
        <w:t>2. KVALITATIVNI I KVANTITATIVNI SASTAV</w:t>
      </w:r>
    </w:p>
    <w:p w14:paraId="1E5762FB" w14:textId="7C638D32" w:rsidR="007E4198" w:rsidRPr="0051150C" w:rsidRDefault="00F36A33" w:rsidP="009173F4">
      <w:pPr>
        <w:rPr>
          <w:bCs/>
          <w:i/>
          <w:iCs/>
          <w:noProof/>
          <w:szCs w:val="22"/>
          <w:lang w:val="sr-Latn-BA"/>
        </w:rPr>
      </w:pPr>
      <w:r w:rsidRPr="0051150C">
        <w:rPr>
          <w:i/>
          <w:noProof/>
          <w:color w:val="000000" w:themeColor="text1"/>
          <w:szCs w:val="22"/>
          <w:lang w:val="sr-Latn-BA"/>
        </w:rPr>
        <w:t>Jonosol</w:t>
      </w:r>
      <w:r w:rsidR="00044234" w:rsidRPr="0051150C">
        <w:rPr>
          <w:i/>
          <w:noProof/>
          <w:color w:val="000000" w:themeColor="text1"/>
          <w:szCs w:val="22"/>
          <w:lang w:val="sr-Latn-BA"/>
        </w:rPr>
        <w:t>,</w:t>
      </w:r>
      <w:r w:rsidR="007E4198" w:rsidRPr="0051150C">
        <w:rPr>
          <w:bCs/>
          <w:i/>
          <w:iCs/>
          <w:noProof/>
          <w:szCs w:val="22"/>
          <w:lang w:val="sr-Latn-BA"/>
        </w:rPr>
        <w:t xml:space="preserve"> 250 mg,</w:t>
      </w:r>
      <w:r w:rsidR="002241FD" w:rsidRPr="0051150C">
        <w:rPr>
          <w:bCs/>
          <w:i/>
          <w:iCs/>
          <w:noProof/>
          <w:szCs w:val="22"/>
          <w:lang w:val="sr-Latn-BA"/>
        </w:rPr>
        <w:t xml:space="preserve"> film</w:t>
      </w:r>
      <w:r w:rsidR="007E4198" w:rsidRPr="0051150C">
        <w:rPr>
          <w:bCs/>
          <w:i/>
          <w:iCs/>
          <w:noProof/>
          <w:szCs w:val="22"/>
          <w:lang w:val="sr-Latn-BA"/>
        </w:rPr>
        <w:t xml:space="preserve"> tablete</w:t>
      </w:r>
    </w:p>
    <w:p w14:paraId="692D3A34" w14:textId="5BD18D8A" w:rsidR="007E4198" w:rsidRPr="0051150C" w:rsidRDefault="002241FD" w:rsidP="009173F4">
      <w:pPr>
        <w:rPr>
          <w:bCs/>
          <w:iCs/>
          <w:noProof/>
          <w:szCs w:val="22"/>
          <w:lang w:val="sr-Latn-BA"/>
        </w:rPr>
      </w:pPr>
      <w:r w:rsidRPr="0051150C">
        <w:rPr>
          <w:bCs/>
          <w:iCs/>
          <w:noProof/>
          <w:szCs w:val="22"/>
          <w:lang w:val="sr-Latn-BA"/>
        </w:rPr>
        <w:t>Jedna film</w:t>
      </w:r>
      <w:r w:rsidR="00214A5D" w:rsidRPr="0051150C">
        <w:rPr>
          <w:bCs/>
          <w:iCs/>
          <w:noProof/>
          <w:szCs w:val="22"/>
          <w:lang w:val="sr-Latn-BA"/>
        </w:rPr>
        <w:t xml:space="preserve"> </w:t>
      </w:r>
      <w:r w:rsidR="007E4198" w:rsidRPr="0051150C">
        <w:rPr>
          <w:bCs/>
          <w:iCs/>
          <w:noProof/>
          <w:szCs w:val="22"/>
          <w:lang w:val="sr-Latn-BA"/>
        </w:rPr>
        <w:t>tableta sadrži</w:t>
      </w:r>
      <w:r w:rsidR="00214A5D" w:rsidRPr="0051150C">
        <w:rPr>
          <w:bCs/>
          <w:iCs/>
          <w:noProof/>
          <w:szCs w:val="22"/>
          <w:lang w:val="sr-Latn-BA"/>
        </w:rPr>
        <w:t xml:space="preserve"> 250 mg abirateron acetata.</w:t>
      </w:r>
    </w:p>
    <w:p w14:paraId="66837F38" w14:textId="32DE2D86" w:rsidR="00214A5D" w:rsidRPr="0051150C" w:rsidRDefault="00214A5D" w:rsidP="009173F4">
      <w:pPr>
        <w:rPr>
          <w:bCs/>
          <w:iCs/>
          <w:noProof/>
          <w:szCs w:val="22"/>
          <w:lang w:val="sr-Latn-BA"/>
        </w:rPr>
      </w:pPr>
      <w:r w:rsidRPr="0051150C">
        <w:rPr>
          <w:bCs/>
          <w:iCs/>
          <w:noProof/>
          <w:szCs w:val="22"/>
          <w:lang w:val="sr-Latn-BA"/>
        </w:rPr>
        <w:t>Pomoćne supstance sa potvrđenim dejstvom:</w:t>
      </w:r>
    </w:p>
    <w:p w14:paraId="1085298D" w14:textId="23BB48BC" w:rsidR="00214A5D" w:rsidRPr="0051150C" w:rsidRDefault="00214A5D" w:rsidP="009173F4">
      <w:pPr>
        <w:rPr>
          <w:bCs/>
          <w:iCs/>
          <w:noProof/>
          <w:szCs w:val="22"/>
          <w:lang w:val="sr-Latn-BA"/>
        </w:rPr>
      </w:pPr>
      <w:r w:rsidRPr="0051150C">
        <w:rPr>
          <w:bCs/>
          <w:iCs/>
          <w:noProof/>
          <w:szCs w:val="22"/>
          <w:lang w:val="sr-Latn-BA"/>
        </w:rPr>
        <w:t xml:space="preserve">Jedna film tableta sadrži </w:t>
      </w:r>
      <w:r w:rsidR="001522E0" w:rsidRPr="001522E0">
        <w:rPr>
          <w:bCs/>
          <w:iCs/>
          <w:noProof/>
          <w:szCs w:val="22"/>
        </w:rPr>
        <w:t xml:space="preserve">32.3 mg </w:t>
      </w:r>
      <w:r w:rsidR="00012654" w:rsidRPr="0051150C">
        <w:rPr>
          <w:bCs/>
          <w:iCs/>
          <w:noProof/>
          <w:szCs w:val="22"/>
          <w:lang w:val="sr-Latn-BA"/>
        </w:rPr>
        <w:t>laktoze</w:t>
      </w:r>
      <w:r w:rsidR="00C33CE7">
        <w:rPr>
          <w:bCs/>
          <w:iCs/>
          <w:noProof/>
          <w:szCs w:val="22"/>
          <w:lang w:val="sr-Latn-BA"/>
        </w:rPr>
        <w:t xml:space="preserve"> </w:t>
      </w:r>
      <w:r w:rsidR="001522E0">
        <w:rPr>
          <w:bCs/>
          <w:iCs/>
          <w:noProof/>
          <w:szCs w:val="22"/>
          <w:lang w:val="sr-Latn-BA"/>
        </w:rPr>
        <w:t>(34</w:t>
      </w:r>
      <w:r w:rsidR="00C33CE7">
        <w:rPr>
          <w:bCs/>
          <w:iCs/>
          <w:noProof/>
          <w:szCs w:val="22"/>
          <w:lang w:val="sr-Latn-BA"/>
        </w:rPr>
        <w:t xml:space="preserve"> </w:t>
      </w:r>
      <w:r w:rsidR="001522E0">
        <w:rPr>
          <w:bCs/>
          <w:iCs/>
          <w:noProof/>
          <w:szCs w:val="22"/>
          <w:lang w:val="sr-Latn-BA"/>
        </w:rPr>
        <w:t xml:space="preserve">mg u obliku </w:t>
      </w:r>
      <w:r w:rsidR="00C33CE7">
        <w:rPr>
          <w:bCs/>
          <w:iCs/>
          <w:noProof/>
          <w:szCs w:val="22"/>
          <w:lang w:val="sr-Latn-BA"/>
        </w:rPr>
        <w:t xml:space="preserve">laktoze </w:t>
      </w:r>
      <w:r w:rsidR="00012654" w:rsidRPr="0051150C">
        <w:rPr>
          <w:bCs/>
          <w:iCs/>
          <w:noProof/>
          <w:szCs w:val="22"/>
          <w:lang w:val="sr-Latn-BA"/>
        </w:rPr>
        <w:t>monohidrata</w:t>
      </w:r>
      <w:r w:rsidR="001522E0">
        <w:rPr>
          <w:bCs/>
          <w:iCs/>
          <w:noProof/>
          <w:szCs w:val="22"/>
          <w:lang w:val="sr-Latn-BA"/>
        </w:rPr>
        <w:t>).</w:t>
      </w:r>
    </w:p>
    <w:p w14:paraId="73E6B806" w14:textId="22606801" w:rsidR="00C84184" w:rsidRPr="0051150C" w:rsidRDefault="00C84184" w:rsidP="009173F4">
      <w:pPr>
        <w:rPr>
          <w:bCs/>
          <w:iCs/>
          <w:noProof/>
          <w:szCs w:val="22"/>
          <w:lang w:val="sr-Latn-BA"/>
        </w:rPr>
      </w:pPr>
    </w:p>
    <w:p w14:paraId="2A1310CF" w14:textId="7BF09424" w:rsidR="00B2336C" w:rsidRDefault="00B2336C" w:rsidP="00B2336C">
      <w:pPr>
        <w:tabs>
          <w:tab w:val="clear" w:pos="284"/>
        </w:tabs>
        <w:jc w:val="left"/>
        <w:rPr>
          <w:szCs w:val="22"/>
          <w:lang w:val="sr-Latn-CS"/>
        </w:rPr>
      </w:pPr>
      <w:r w:rsidRPr="00B2336C">
        <w:rPr>
          <w:szCs w:val="22"/>
          <w:lang w:val="sr-Latn-CS"/>
        </w:rPr>
        <w:t>Za spisak svih ekscipijenasa, pogledati dio 6.1.</w:t>
      </w:r>
    </w:p>
    <w:p w14:paraId="5770187F" w14:textId="77777777" w:rsidR="00CC263B" w:rsidRPr="00B2336C" w:rsidRDefault="00CC263B" w:rsidP="00B2336C">
      <w:pPr>
        <w:tabs>
          <w:tab w:val="clear" w:pos="284"/>
        </w:tabs>
        <w:jc w:val="left"/>
        <w:rPr>
          <w:szCs w:val="22"/>
          <w:lang w:val="sr-Latn-CS"/>
        </w:rPr>
      </w:pPr>
    </w:p>
    <w:p w14:paraId="584B0D55" w14:textId="77777777" w:rsidR="00CE09F3" w:rsidRPr="0051150C" w:rsidRDefault="00CE09F3" w:rsidP="009173F4">
      <w:pPr>
        <w:pStyle w:val="NASLOV123"/>
        <w:rPr>
          <w:noProof/>
          <w:lang w:val="sr-Latn-BA"/>
        </w:rPr>
      </w:pPr>
      <w:r w:rsidRPr="0051150C">
        <w:rPr>
          <w:noProof/>
          <w:lang w:val="sr-Latn-BA"/>
        </w:rPr>
        <w:t>3. FARMACEUTSKI OBLIK</w:t>
      </w:r>
    </w:p>
    <w:p w14:paraId="06C54264" w14:textId="5A4F4E34" w:rsidR="002241FD" w:rsidRPr="0051150C" w:rsidRDefault="00F36A33" w:rsidP="002241FD">
      <w:pPr>
        <w:rPr>
          <w:bCs/>
          <w:i/>
          <w:iCs/>
          <w:noProof/>
          <w:szCs w:val="22"/>
          <w:lang w:val="sr-Latn-BA"/>
        </w:rPr>
      </w:pPr>
      <w:r w:rsidRPr="0051150C">
        <w:rPr>
          <w:i/>
          <w:noProof/>
          <w:color w:val="000000" w:themeColor="text1"/>
          <w:szCs w:val="22"/>
          <w:lang w:val="sr-Latn-BA"/>
        </w:rPr>
        <w:t>Jonosol</w:t>
      </w:r>
      <w:r w:rsidR="002241FD" w:rsidRPr="0051150C">
        <w:rPr>
          <w:bCs/>
          <w:i/>
          <w:iCs/>
          <w:noProof/>
          <w:szCs w:val="22"/>
          <w:lang w:val="sr-Latn-BA"/>
        </w:rPr>
        <w:t>, 250 mg, film tablete</w:t>
      </w:r>
    </w:p>
    <w:p w14:paraId="7E00D99D" w14:textId="77777777" w:rsidR="00156F1E" w:rsidRDefault="002241FD" w:rsidP="005A6546">
      <w:pPr>
        <w:pStyle w:val="Default"/>
        <w:rPr>
          <w:bCs/>
          <w:iCs/>
          <w:noProof/>
          <w:sz w:val="22"/>
          <w:szCs w:val="22"/>
          <w:lang w:val="sr-Latn-BA"/>
        </w:rPr>
      </w:pPr>
      <w:r w:rsidRPr="0051150C">
        <w:rPr>
          <w:bCs/>
          <w:iCs/>
          <w:noProof/>
          <w:sz w:val="22"/>
          <w:szCs w:val="22"/>
          <w:lang w:val="sr-Latn-BA"/>
        </w:rPr>
        <w:t>B</w:t>
      </w:r>
      <w:r w:rsidR="005D0C31">
        <w:rPr>
          <w:bCs/>
          <w:iCs/>
          <w:noProof/>
          <w:sz w:val="22"/>
          <w:szCs w:val="22"/>
          <w:lang w:val="sr-Latn-BA"/>
        </w:rPr>
        <w:t>ij</w:t>
      </w:r>
      <w:r w:rsidRPr="0051150C">
        <w:rPr>
          <w:bCs/>
          <w:iCs/>
          <w:noProof/>
          <w:sz w:val="22"/>
          <w:szCs w:val="22"/>
          <w:lang w:val="sr-Latn-BA"/>
        </w:rPr>
        <w:t>ele do skoro b</w:t>
      </w:r>
      <w:r w:rsidR="005D0C31">
        <w:rPr>
          <w:bCs/>
          <w:iCs/>
          <w:noProof/>
          <w:sz w:val="22"/>
          <w:szCs w:val="22"/>
          <w:lang w:val="sr-Latn-BA"/>
        </w:rPr>
        <w:t>ij</w:t>
      </w:r>
      <w:r w:rsidRPr="0051150C">
        <w:rPr>
          <w:bCs/>
          <w:iCs/>
          <w:noProof/>
          <w:sz w:val="22"/>
          <w:szCs w:val="22"/>
          <w:lang w:val="sr-Latn-BA"/>
        </w:rPr>
        <w:t>ele, ovalne film tablete</w:t>
      </w:r>
      <w:r w:rsidR="00F559B9" w:rsidRPr="0051150C">
        <w:rPr>
          <w:bCs/>
          <w:iCs/>
          <w:noProof/>
          <w:sz w:val="22"/>
          <w:szCs w:val="22"/>
          <w:lang w:val="sr-Latn-BA"/>
        </w:rPr>
        <w:t xml:space="preserve"> </w:t>
      </w:r>
      <w:r w:rsidRPr="0051150C">
        <w:rPr>
          <w:bCs/>
          <w:iCs/>
          <w:noProof/>
          <w:sz w:val="22"/>
          <w:szCs w:val="22"/>
          <w:lang w:val="sr-Latn-BA"/>
        </w:rPr>
        <w:t>sa utisnutim “250“ na jednoj strani</w:t>
      </w:r>
      <w:r w:rsidR="00A63A82">
        <w:rPr>
          <w:bCs/>
          <w:iCs/>
          <w:noProof/>
          <w:sz w:val="22"/>
          <w:szCs w:val="22"/>
          <w:lang w:val="sr-Latn-BA"/>
        </w:rPr>
        <w:t xml:space="preserve"> </w:t>
      </w:r>
      <w:r w:rsidR="00A63A82" w:rsidRPr="00A63A82">
        <w:rPr>
          <w:bCs/>
          <w:iCs/>
          <w:noProof/>
          <w:sz w:val="22"/>
          <w:szCs w:val="22"/>
          <w:lang w:val="sr-Latn-BA"/>
        </w:rPr>
        <w:t xml:space="preserve">sa dimenzijama </w:t>
      </w:r>
    </w:p>
    <w:p w14:paraId="742E1704" w14:textId="5B94FED3" w:rsidR="002241FD" w:rsidRPr="0051150C" w:rsidRDefault="00A63A82" w:rsidP="005A6546">
      <w:pPr>
        <w:pStyle w:val="Default"/>
        <w:rPr>
          <w:bCs/>
          <w:iCs/>
          <w:noProof/>
          <w:sz w:val="22"/>
          <w:szCs w:val="22"/>
          <w:lang w:val="sr-Latn-BA"/>
        </w:rPr>
      </w:pPr>
      <w:r w:rsidRPr="00A63A82">
        <w:rPr>
          <w:bCs/>
          <w:iCs/>
          <w:noProof/>
          <w:sz w:val="22"/>
          <w:szCs w:val="22"/>
          <w:lang w:val="sr-Latn-BA"/>
        </w:rPr>
        <w:t xml:space="preserve">14,2 mm </w:t>
      </w:r>
      <w:r w:rsidR="005D0C31">
        <w:rPr>
          <w:bCs/>
          <w:iCs/>
          <w:noProof/>
          <w:sz w:val="22"/>
          <w:szCs w:val="22"/>
          <w:lang w:val="sr-Latn-BA"/>
        </w:rPr>
        <w:t xml:space="preserve">x </w:t>
      </w:r>
      <w:r w:rsidRPr="00A63A82">
        <w:rPr>
          <w:bCs/>
          <w:iCs/>
          <w:noProof/>
          <w:sz w:val="22"/>
          <w:szCs w:val="22"/>
          <w:lang w:val="sr-Latn-BA"/>
        </w:rPr>
        <w:t>7,2 mm.</w:t>
      </w:r>
    </w:p>
    <w:p w14:paraId="7AFE5EF5" w14:textId="7271387C" w:rsidR="002241FD" w:rsidRPr="0051150C" w:rsidRDefault="002241FD" w:rsidP="009173F4">
      <w:pPr>
        <w:rPr>
          <w:noProof/>
          <w:szCs w:val="22"/>
          <w:lang w:val="sr-Latn-BA"/>
        </w:rPr>
      </w:pPr>
    </w:p>
    <w:p w14:paraId="584B0D58" w14:textId="77777777" w:rsidR="00CE09F3" w:rsidRPr="0051150C" w:rsidRDefault="00CE09F3" w:rsidP="009173F4">
      <w:pPr>
        <w:pStyle w:val="NASLOV123"/>
        <w:rPr>
          <w:noProof/>
          <w:lang w:val="sr-Latn-BA"/>
        </w:rPr>
      </w:pPr>
      <w:r w:rsidRPr="0051150C">
        <w:rPr>
          <w:noProof/>
          <w:lang w:val="sr-Latn-BA"/>
        </w:rPr>
        <w:t>4. KLINIČKI PODACI</w:t>
      </w:r>
    </w:p>
    <w:p w14:paraId="584B0D59" w14:textId="77777777" w:rsidR="00CE09F3" w:rsidRPr="0051150C" w:rsidRDefault="00CE09F3" w:rsidP="009173F4">
      <w:pPr>
        <w:rPr>
          <w:b/>
          <w:bCs/>
          <w:noProof/>
          <w:szCs w:val="22"/>
          <w:lang w:val="sr-Latn-BA"/>
        </w:rPr>
      </w:pPr>
      <w:r w:rsidRPr="0051150C">
        <w:rPr>
          <w:b/>
          <w:bCs/>
          <w:noProof/>
          <w:szCs w:val="22"/>
          <w:lang w:val="sr-Latn-BA"/>
        </w:rPr>
        <w:t>4.1. Terapijske indikacije</w:t>
      </w:r>
    </w:p>
    <w:p w14:paraId="584B0D5A" w14:textId="77777777" w:rsidR="00CE09F3" w:rsidRPr="0051150C" w:rsidRDefault="00CE09F3" w:rsidP="009173F4">
      <w:pPr>
        <w:rPr>
          <w:noProof/>
          <w:szCs w:val="22"/>
          <w:lang w:val="sr-Latn-BA"/>
        </w:rPr>
      </w:pPr>
    </w:p>
    <w:p w14:paraId="77699685" w14:textId="6BD9812A" w:rsidR="00C92AC3" w:rsidRPr="0051150C" w:rsidRDefault="00096FAA" w:rsidP="009173F4">
      <w:pPr>
        <w:tabs>
          <w:tab w:val="clear" w:pos="284"/>
        </w:tabs>
        <w:autoSpaceDE w:val="0"/>
        <w:autoSpaceDN w:val="0"/>
        <w:adjustRightInd w:val="0"/>
        <w:rPr>
          <w:rFonts w:eastAsia="TimesNewRoman"/>
          <w:noProof/>
          <w:szCs w:val="22"/>
          <w:lang w:val="sr-Latn-BA"/>
        </w:rPr>
      </w:pPr>
      <w:r w:rsidRPr="0051150C">
        <w:rPr>
          <w:rFonts w:eastAsia="TimesNewRoman"/>
          <w:noProof/>
          <w:szCs w:val="22"/>
          <w:lang w:val="sr-Latn-BA"/>
        </w:rPr>
        <w:t>Lijek</w:t>
      </w:r>
      <w:r w:rsidR="00C92AC3" w:rsidRPr="0051150C">
        <w:rPr>
          <w:rFonts w:eastAsia="TimesNewRoman"/>
          <w:noProof/>
          <w:szCs w:val="22"/>
          <w:lang w:val="sr-Latn-BA"/>
        </w:rPr>
        <w:t xml:space="preserve"> </w:t>
      </w:r>
      <w:r w:rsidR="00C315BF" w:rsidRPr="0051150C">
        <w:rPr>
          <w:rFonts w:eastAsia="TimesNewRoman"/>
          <w:noProof/>
          <w:szCs w:val="22"/>
          <w:lang w:val="sr-Latn-BA"/>
        </w:rPr>
        <w:t xml:space="preserve">Jonosol </w:t>
      </w:r>
      <w:r w:rsidR="00C65DB1" w:rsidRPr="0051150C">
        <w:rPr>
          <w:rFonts w:eastAsia="TimesNewRoman"/>
          <w:noProof/>
          <w:szCs w:val="22"/>
          <w:lang w:val="sr-Latn-BA"/>
        </w:rPr>
        <w:t>je indikovan</w:t>
      </w:r>
      <w:r w:rsidR="004F6B34">
        <w:rPr>
          <w:rFonts w:eastAsia="TimesNewRoman"/>
          <w:noProof/>
          <w:szCs w:val="22"/>
          <w:lang w:val="sr-Latn-BA"/>
        </w:rPr>
        <w:t xml:space="preserve"> u kombinaciji</w:t>
      </w:r>
      <w:r w:rsidR="00C65DB1" w:rsidRPr="0051150C">
        <w:rPr>
          <w:rFonts w:eastAsia="TimesNewRoman"/>
          <w:noProof/>
          <w:szCs w:val="22"/>
          <w:lang w:val="sr-Latn-BA"/>
        </w:rPr>
        <w:t xml:space="preserve"> sa</w:t>
      </w:r>
      <w:r w:rsidR="00C92AC3" w:rsidRPr="0051150C">
        <w:rPr>
          <w:rFonts w:eastAsia="TimesNewRoman"/>
          <w:noProof/>
          <w:szCs w:val="22"/>
          <w:lang w:val="sr-Latn-BA"/>
        </w:rPr>
        <w:t xml:space="preserve"> prednizonom ili prednizolonom za:</w:t>
      </w:r>
    </w:p>
    <w:p w14:paraId="7BB6034B" w14:textId="7626002A" w:rsidR="004A1C16" w:rsidRPr="0051150C" w:rsidRDefault="00C92AC3" w:rsidP="009173F4">
      <w:pPr>
        <w:pStyle w:val="ListParagraph"/>
        <w:numPr>
          <w:ilvl w:val="0"/>
          <w:numId w:val="4"/>
        </w:numPr>
        <w:tabs>
          <w:tab w:val="clear" w:pos="284"/>
        </w:tabs>
        <w:autoSpaceDE w:val="0"/>
        <w:autoSpaceDN w:val="0"/>
        <w:adjustRightInd w:val="0"/>
        <w:rPr>
          <w:rFonts w:eastAsia="TimesNewRoman"/>
          <w:noProof/>
          <w:szCs w:val="22"/>
          <w:lang w:val="sr-Latn-BA"/>
        </w:rPr>
      </w:pPr>
      <w:r w:rsidRPr="0051150C">
        <w:rPr>
          <w:rFonts w:eastAsia="TimesNewRoman"/>
          <w:noProof/>
          <w:szCs w:val="22"/>
          <w:lang w:val="sr-Latn-BA"/>
        </w:rPr>
        <w:t xml:space="preserve">terapiju novodijagnostikovanog visokorizičnog metastatskog hormon-senzitivnog </w:t>
      </w:r>
      <w:r w:rsidR="00C65DB1" w:rsidRPr="0051150C">
        <w:rPr>
          <w:rFonts w:eastAsia="TimesNewRoman"/>
          <w:noProof/>
          <w:szCs w:val="22"/>
          <w:lang w:val="sr-Latn-BA"/>
        </w:rPr>
        <w:t>karcinoma</w:t>
      </w:r>
      <w:r w:rsidRPr="0051150C">
        <w:rPr>
          <w:rFonts w:eastAsia="TimesNewRoman"/>
          <w:noProof/>
          <w:szCs w:val="22"/>
          <w:lang w:val="sr-Latn-BA"/>
        </w:rPr>
        <w:t xml:space="preserve"> prostate (</w:t>
      </w:r>
      <w:r w:rsidRPr="00410EF6">
        <w:rPr>
          <w:rFonts w:eastAsia="TimesNewRoman"/>
          <w:noProof/>
          <w:szCs w:val="22"/>
          <w:lang w:val="sr-Latn-BA"/>
        </w:rPr>
        <w:t>eng</w:t>
      </w:r>
      <w:r w:rsidR="00992DF7" w:rsidRPr="00410EF6">
        <w:rPr>
          <w:rFonts w:eastAsia="TimesNewRoman"/>
          <w:noProof/>
          <w:szCs w:val="22"/>
          <w:lang w:val="sr-Latn-BA"/>
        </w:rPr>
        <w:t>l</w:t>
      </w:r>
      <w:r w:rsidRPr="0051150C">
        <w:rPr>
          <w:rFonts w:eastAsia="TimesNewRoman"/>
          <w:i/>
          <w:noProof/>
          <w:color w:val="000000" w:themeColor="text1"/>
          <w:szCs w:val="22"/>
          <w:lang w:val="sr-Latn-BA"/>
        </w:rPr>
        <w:t xml:space="preserve">. </w:t>
      </w:r>
      <w:r w:rsidRPr="0051150C">
        <w:rPr>
          <w:i/>
          <w:noProof/>
          <w:color w:val="000000" w:themeColor="text1"/>
          <w:szCs w:val="22"/>
          <w:shd w:val="clear" w:color="auto" w:fill="FFFFFF"/>
          <w:lang w:val="sr-Latn-BA"/>
        </w:rPr>
        <w:t xml:space="preserve">metastatic </w:t>
      </w:r>
      <w:r w:rsidR="004A1C16" w:rsidRPr="0051150C">
        <w:rPr>
          <w:i/>
          <w:noProof/>
          <w:color w:val="000000" w:themeColor="text1"/>
          <w:szCs w:val="22"/>
          <w:shd w:val="clear" w:color="auto" w:fill="FFFFFF"/>
          <w:lang w:val="sr-Latn-BA"/>
        </w:rPr>
        <w:t>Hormone-Sensitive P</w:t>
      </w:r>
      <w:r w:rsidRPr="0051150C">
        <w:rPr>
          <w:i/>
          <w:noProof/>
          <w:color w:val="000000" w:themeColor="text1"/>
          <w:szCs w:val="22"/>
          <w:shd w:val="clear" w:color="auto" w:fill="FFFFFF"/>
          <w:lang w:val="sr-Latn-BA"/>
        </w:rPr>
        <w:t xml:space="preserve">rostate </w:t>
      </w:r>
      <w:r w:rsidR="004A1C16" w:rsidRPr="0051150C">
        <w:rPr>
          <w:i/>
          <w:noProof/>
          <w:color w:val="000000" w:themeColor="text1"/>
          <w:szCs w:val="22"/>
          <w:shd w:val="clear" w:color="auto" w:fill="FFFFFF"/>
          <w:lang w:val="sr-Latn-BA"/>
        </w:rPr>
        <w:t>C</w:t>
      </w:r>
      <w:r w:rsidRPr="0051150C">
        <w:rPr>
          <w:i/>
          <w:noProof/>
          <w:color w:val="000000" w:themeColor="text1"/>
          <w:szCs w:val="22"/>
          <w:shd w:val="clear" w:color="auto" w:fill="FFFFFF"/>
          <w:lang w:val="sr-Latn-BA"/>
        </w:rPr>
        <w:t>ancer</w:t>
      </w:r>
      <w:r w:rsidR="00C8558A" w:rsidRPr="0051150C">
        <w:rPr>
          <w:i/>
          <w:noProof/>
          <w:color w:val="000000" w:themeColor="text1"/>
          <w:szCs w:val="22"/>
          <w:shd w:val="clear" w:color="auto" w:fill="FFFFFF"/>
          <w:lang w:val="sr-Latn-BA"/>
        </w:rPr>
        <w:t>,</w:t>
      </w:r>
      <w:r w:rsidRPr="0051150C">
        <w:rPr>
          <w:i/>
          <w:noProof/>
          <w:color w:val="000000" w:themeColor="text1"/>
          <w:szCs w:val="22"/>
          <w:shd w:val="clear" w:color="auto" w:fill="FFFFFF"/>
          <w:lang w:val="sr-Latn-BA"/>
        </w:rPr>
        <w:t xml:space="preserve"> mHSPC</w:t>
      </w:r>
      <w:r w:rsidRPr="0051150C">
        <w:rPr>
          <w:rFonts w:eastAsia="TimesNewRoman"/>
          <w:noProof/>
          <w:color w:val="000000" w:themeColor="text1"/>
          <w:szCs w:val="22"/>
          <w:lang w:val="sr-Latn-BA"/>
        </w:rPr>
        <w:t xml:space="preserve">) kod </w:t>
      </w:r>
      <w:r w:rsidR="000F386E" w:rsidRPr="0051150C">
        <w:rPr>
          <w:rFonts w:eastAsia="TimesNewRoman"/>
          <w:noProof/>
          <w:color w:val="000000" w:themeColor="text1"/>
          <w:szCs w:val="22"/>
          <w:lang w:val="sr-Latn-BA"/>
        </w:rPr>
        <w:t xml:space="preserve">odraslih </w:t>
      </w:r>
      <w:r w:rsidRPr="0051150C">
        <w:rPr>
          <w:rFonts w:eastAsia="TimesNewRoman"/>
          <w:noProof/>
          <w:color w:val="000000" w:themeColor="text1"/>
          <w:szCs w:val="22"/>
          <w:lang w:val="sr-Latn-BA"/>
        </w:rPr>
        <w:t>muškaraca u komb</w:t>
      </w:r>
      <w:r w:rsidR="00E51ED5" w:rsidRPr="0051150C">
        <w:rPr>
          <w:rFonts w:eastAsia="TimesNewRoman"/>
          <w:noProof/>
          <w:color w:val="000000" w:themeColor="text1"/>
          <w:szCs w:val="22"/>
          <w:lang w:val="sr-Latn-BA"/>
        </w:rPr>
        <w:t>inaciji sa androgen deprivacionom terapijom</w:t>
      </w:r>
      <w:r w:rsidRPr="0051150C">
        <w:rPr>
          <w:rFonts w:eastAsia="TimesNewRoman"/>
          <w:noProof/>
          <w:color w:val="000000" w:themeColor="text1"/>
          <w:szCs w:val="22"/>
          <w:lang w:val="sr-Latn-BA"/>
        </w:rPr>
        <w:t xml:space="preserve"> (</w:t>
      </w:r>
      <w:r w:rsidRPr="00410EF6">
        <w:rPr>
          <w:rFonts w:eastAsia="TimesNewRoman"/>
          <w:noProof/>
          <w:color w:val="000000" w:themeColor="text1"/>
          <w:szCs w:val="22"/>
          <w:lang w:val="sr-Latn-BA"/>
        </w:rPr>
        <w:t>eng</w:t>
      </w:r>
      <w:r w:rsidR="00992DF7" w:rsidRPr="00410EF6">
        <w:rPr>
          <w:rFonts w:eastAsia="TimesNewRoman"/>
          <w:noProof/>
          <w:color w:val="000000" w:themeColor="text1"/>
          <w:szCs w:val="22"/>
          <w:lang w:val="sr-Latn-BA"/>
        </w:rPr>
        <w:t>l</w:t>
      </w:r>
      <w:r w:rsidRPr="0051150C">
        <w:rPr>
          <w:rFonts w:eastAsia="TimesNewRoman"/>
          <w:i/>
          <w:noProof/>
          <w:color w:val="000000" w:themeColor="text1"/>
          <w:szCs w:val="22"/>
          <w:lang w:val="sr-Latn-BA"/>
        </w:rPr>
        <w:t xml:space="preserve">. </w:t>
      </w:r>
      <w:r w:rsidR="004A1C16" w:rsidRPr="0051150C">
        <w:rPr>
          <w:rFonts w:eastAsia="TimesNewRoman"/>
          <w:i/>
          <w:noProof/>
          <w:color w:val="000000" w:themeColor="text1"/>
          <w:szCs w:val="22"/>
          <w:lang w:val="sr-Latn-BA"/>
        </w:rPr>
        <w:t>a</w:t>
      </w:r>
      <w:r w:rsidRPr="0051150C">
        <w:rPr>
          <w:rFonts w:eastAsia="TimesNewRoman"/>
          <w:i/>
          <w:noProof/>
          <w:color w:val="000000" w:themeColor="text1"/>
          <w:szCs w:val="22"/>
          <w:lang w:val="sr-Latn-BA"/>
        </w:rPr>
        <w:t>ndrogen deprivation therapy</w:t>
      </w:r>
      <w:r w:rsidR="00C8558A" w:rsidRPr="0051150C">
        <w:rPr>
          <w:rFonts w:eastAsia="TimesNewRoman"/>
          <w:i/>
          <w:noProof/>
          <w:color w:val="000000" w:themeColor="text1"/>
          <w:szCs w:val="22"/>
          <w:lang w:val="sr-Latn-BA"/>
        </w:rPr>
        <w:t>,</w:t>
      </w:r>
      <w:r w:rsidR="004A1C16" w:rsidRPr="0051150C">
        <w:rPr>
          <w:rFonts w:eastAsia="TimesNewRoman"/>
          <w:i/>
          <w:noProof/>
          <w:color w:val="000000" w:themeColor="text1"/>
          <w:szCs w:val="22"/>
          <w:lang w:val="sr-Latn-BA"/>
        </w:rPr>
        <w:t xml:space="preserve"> ADT</w:t>
      </w:r>
      <w:r w:rsidRPr="0051150C">
        <w:rPr>
          <w:rFonts w:eastAsia="TimesNewRoman"/>
          <w:noProof/>
          <w:color w:val="000000" w:themeColor="text1"/>
          <w:szCs w:val="22"/>
          <w:lang w:val="sr-Latn-BA"/>
        </w:rPr>
        <w:t>)</w:t>
      </w:r>
      <w:r w:rsidR="004A1C16" w:rsidRPr="0051150C">
        <w:rPr>
          <w:rFonts w:eastAsia="TimesNewRoman"/>
          <w:noProof/>
          <w:color w:val="000000" w:themeColor="text1"/>
          <w:szCs w:val="22"/>
          <w:lang w:val="sr-Latn-BA"/>
        </w:rPr>
        <w:t xml:space="preserve"> (</w:t>
      </w:r>
      <w:r w:rsidR="00F43B54" w:rsidRPr="00992DF7">
        <w:rPr>
          <w:rFonts w:eastAsia="TimesNewRoman"/>
          <w:noProof/>
          <w:color w:val="000000" w:themeColor="text1"/>
          <w:szCs w:val="22"/>
          <w:lang w:val="sr-Latn-BA"/>
        </w:rPr>
        <w:t>vidjeti dio</w:t>
      </w:r>
      <w:r w:rsidR="004F6B34">
        <w:rPr>
          <w:rFonts w:eastAsia="TimesNewRoman"/>
          <w:noProof/>
          <w:color w:val="000000" w:themeColor="text1"/>
          <w:szCs w:val="22"/>
          <w:lang w:val="sr-Latn-BA"/>
        </w:rPr>
        <w:t xml:space="preserve"> </w:t>
      </w:r>
      <w:r w:rsidR="004A1C16" w:rsidRPr="0051150C">
        <w:rPr>
          <w:rFonts w:eastAsia="TimesNewRoman"/>
          <w:noProof/>
          <w:color w:val="000000" w:themeColor="text1"/>
          <w:szCs w:val="22"/>
          <w:lang w:val="sr-Latn-BA"/>
        </w:rPr>
        <w:t>5.1)</w:t>
      </w:r>
      <w:r w:rsidR="00D53958">
        <w:rPr>
          <w:rFonts w:eastAsia="TimesNewRoman"/>
          <w:noProof/>
          <w:color w:val="000000" w:themeColor="text1"/>
          <w:szCs w:val="22"/>
          <w:lang w:val="sr-Latn-BA"/>
        </w:rPr>
        <w:t>;</w:t>
      </w:r>
    </w:p>
    <w:p w14:paraId="7376980A" w14:textId="28C0CAC5" w:rsidR="00992DF7" w:rsidRPr="0051150C" w:rsidRDefault="004A1C16" w:rsidP="009173F4">
      <w:pPr>
        <w:pStyle w:val="ListParagraph"/>
        <w:numPr>
          <w:ilvl w:val="0"/>
          <w:numId w:val="4"/>
        </w:numPr>
        <w:tabs>
          <w:tab w:val="clear" w:pos="284"/>
        </w:tabs>
        <w:autoSpaceDE w:val="0"/>
        <w:autoSpaceDN w:val="0"/>
        <w:adjustRightInd w:val="0"/>
        <w:spacing w:after="240"/>
        <w:rPr>
          <w:rFonts w:eastAsia="TimesNewRoman"/>
          <w:noProof/>
          <w:szCs w:val="22"/>
          <w:lang w:val="sr-Latn-BA"/>
        </w:rPr>
      </w:pPr>
      <w:r w:rsidRPr="0051150C">
        <w:rPr>
          <w:rFonts w:eastAsia="TimesNewRoman"/>
          <w:noProof/>
          <w:color w:val="000000" w:themeColor="text1"/>
          <w:szCs w:val="22"/>
          <w:lang w:val="sr-Latn-BA"/>
        </w:rPr>
        <w:t xml:space="preserve">terapiju </w:t>
      </w:r>
      <w:r w:rsidR="00C92AC3" w:rsidRPr="0051150C">
        <w:rPr>
          <w:rFonts w:eastAsia="TimesNewRoman"/>
          <w:noProof/>
          <w:color w:val="000000" w:themeColor="text1"/>
          <w:szCs w:val="22"/>
          <w:lang w:val="sr-Latn-BA"/>
        </w:rPr>
        <w:t xml:space="preserve">metastatskog karcinoma prostate </w:t>
      </w:r>
      <w:r w:rsidRPr="0051150C">
        <w:rPr>
          <w:rFonts w:eastAsia="TimesNewRoman"/>
          <w:noProof/>
          <w:color w:val="000000" w:themeColor="text1"/>
          <w:szCs w:val="22"/>
          <w:lang w:val="sr-Latn-BA"/>
        </w:rPr>
        <w:t>rezistentnog na kastraciju (eng</w:t>
      </w:r>
      <w:r w:rsidR="00992DF7">
        <w:rPr>
          <w:rFonts w:eastAsia="TimesNewRoman"/>
          <w:noProof/>
          <w:color w:val="000000" w:themeColor="text1"/>
          <w:szCs w:val="22"/>
          <w:lang w:val="sr-Latn-BA"/>
        </w:rPr>
        <w:t>l</w:t>
      </w:r>
      <w:r w:rsidRPr="0051150C">
        <w:rPr>
          <w:rFonts w:eastAsia="TimesNewRoman"/>
          <w:noProof/>
          <w:color w:val="000000" w:themeColor="text1"/>
          <w:szCs w:val="22"/>
          <w:lang w:val="sr-Latn-BA"/>
        </w:rPr>
        <w:t xml:space="preserve">. </w:t>
      </w:r>
      <w:r w:rsidRPr="0051150C">
        <w:rPr>
          <w:rFonts w:eastAsia="TimesNewRoman"/>
          <w:i/>
          <w:noProof/>
          <w:color w:val="000000" w:themeColor="text1"/>
          <w:szCs w:val="22"/>
          <w:lang w:val="sr-Latn-BA"/>
        </w:rPr>
        <w:t>metastatic Castration-Resistant Prostate Cancer</w:t>
      </w:r>
      <w:r w:rsidR="00C8558A" w:rsidRPr="0051150C">
        <w:rPr>
          <w:rFonts w:eastAsia="TimesNewRoman"/>
          <w:noProof/>
          <w:color w:val="000000" w:themeColor="text1"/>
          <w:szCs w:val="22"/>
          <w:lang w:val="sr-Latn-BA"/>
        </w:rPr>
        <w:t>,</w:t>
      </w:r>
      <w:r w:rsidRPr="0051150C">
        <w:rPr>
          <w:rFonts w:eastAsia="TimesNewRoman"/>
          <w:noProof/>
          <w:color w:val="000000" w:themeColor="text1"/>
          <w:szCs w:val="22"/>
          <w:lang w:val="sr-Latn-BA"/>
        </w:rPr>
        <w:t xml:space="preserve"> </w:t>
      </w:r>
      <w:r w:rsidRPr="0051150C">
        <w:rPr>
          <w:rFonts w:eastAsia="TimesNewRoman"/>
          <w:i/>
          <w:noProof/>
          <w:color w:val="000000" w:themeColor="text1"/>
          <w:szCs w:val="22"/>
          <w:lang w:val="sr-Latn-BA"/>
        </w:rPr>
        <w:t>mCRPC</w:t>
      </w:r>
      <w:r w:rsidRPr="0051150C">
        <w:rPr>
          <w:rFonts w:eastAsia="TimesNewRoman"/>
          <w:noProof/>
          <w:color w:val="000000" w:themeColor="text1"/>
          <w:szCs w:val="22"/>
          <w:lang w:val="sr-Latn-BA"/>
        </w:rPr>
        <w:t>)</w:t>
      </w:r>
      <w:r w:rsidR="000C12C1" w:rsidRPr="0051150C">
        <w:rPr>
          <w:rFonts w:eastAsia="TimesNewRoman"/>
          <w:noProof/>
          <w:color w:val="000000" w:themeColor="text1"/>
          <w:szCs w:val="22"/>
          <w:lang w:val="sr-Latn-BA"/>
        </w:rPr>
        <w:t>,</w:t>
      </w:r>
      <w:r w:rsidRPr="0051150C">
        <w:rPr>
          <w:rFonts w:eastAsia="TimesNewRoman"/>
          <w:noProof/>
          <w:color w:val="000000" w:themeColor="text1"/>
          <w:szCs w:val="22"/>
          <w:lang w:val="sr-Latn-BA"/>
        </w:rPr>
        <w:t xml:space="preserve"> kod </w:t>
      </w:r>
      <w:r w:rsidR="00C8558A" w:rsidRPr="0051150C">
        <w:rPr>
          <w:rFonts w:eastAsia="TimesNewRoman"/>
          <w:noProof/>
          <w:color w:val="000000" w:themeColor="text1"/>
          <w:szCs w:val="22"/>
          <w:lang w:val="sr-Latn-BA"/>
        </w:rPr>
        <w:t>a</w:t>
      </w:r>
      <w:r w:rsidRPr="0051150C">
        <w:rPr>
          <w:rFonts w:eastAsia="TimesNewRoman"/>
          <w:noProof/>
          <w:color w:val="000000" w:themeColor="text1"/>
          <w:szCs w:val="22"/>
          <w:lang w:val="sr-Latn-BA"/>
        </w:rPr>
        <w:t xml:space="preserve">simpotmatskih ili blago simptomatskih </w:t>
      </w:r>
      <w:r w:rsidR="000F386E" w:rsidRPr="0051150C">
        <w:rPr>
          <w:rFonts w:eastAsia="TimesNewRoman"/>
          <w:noProof/>
          <w:color w:val="000000" w:themeColor="text1"/>
          <w:szCs w:val="22"/>
          <w:lang w:val="sr-Latn-BA"/>
        </w:rPr>
        <w:t xml:space="preserve">odraslih </w:t>
      </w:r>
      <w:r w:rsidRPr="0051150C">
        <w:rPr>
          <w:rFonts w:eastAsia="TimesNewRoman"/>
          <w:noProof/>
          <w:color w:val="000000" w:themeColor="text1"/>
          <w:szCs w:val="22"/>
          <w:lang w:val="sr-Latn-BA"/>
        </w:rPr>
        <w:t>muškaraca nako</w:t>
      </w:r>
      <w:r w:rsidR="00E51ED5" w:rsidRPr="0051150C">
        <w:rPr>
          <w:rFonts w:eastAsia="TimesNewRoman"/>
          <w:noProof/>
          <w:color w:val="000000" w:themeColor="text1"/>
          <w:szCs w:val="22"/>
          <w:lang w:val="sr-Latn-BA"/>
        </w:rPr>
        <w:t>n neusp</w:t>
      </w:r>
      <w:r w:rsidR="00A60654" w:rsidRPr="0051150C">
        <w:rPr>
          <w:rFonts w:eastAsia="TimesNewRoman"/>
          <w:noProof/>
          <w:color w:val="000000" w:themeColor="text1"/>
          <w:szCs w:val="22"/>
          <w:lang w:val="sr-Latn-BA"/>
        </w:rPr>
        <w:t>j</w:t>
      </w:r>
      <w:r w:rsidR="00E51ED5" w:rsidRPr="0051150C">
        <w:rPr>
          <w:rFonts w:eastAsia="TimesNewRoman"/>
          <w:noProof/>
          <w:color w:val="000000" w:themeColor="text1"/>
          <w:szCs w:val="22"/>
          <w:lang w:val="sr-Latn-BA"/>
        </w:rPr>
        <w:t>ešne androgen deprivacione terapije</w:t>
      </w:r>
      <w:r w:rsidRPr="0051150C">
        <w:rPr>
          <w:rFonts w:eastAsia="TimesNewRoman"/>
          <w:noProof/>
          <w:color w:val="000000" w:themeColor="text1"/>
          <w:szCs w:val="22"/>
          <w:lang w:val="sr-Latn-BA"/>
        </w:rPr>
        <w:t xml:space="preserve"> </w:t>
      </w:r>
      <w:r w:rsidR="000C12C1" w:rsidRPr="0051150C">
        <w:rPr>
          <w:rFonts w:eastAsia="TimesNewRoman"/>
          <w:noProof/>
          <w:color w:val="000000" w:themeColor="text1"/>
          <w:szCs w:val="22"/>
          <w:lang w:val="sr-Latn-BA"/>
        </w:rPr>
        <w:t xml:space="preserve">i </w:t>
      </w:r>
      <w:r w:rsidRPr="0051150C">
        <w:rPr>
          <w:rFonts w:eastAsia="TimesNewRoman"/>
          <w:noProof/>
          <w:color w:val="000000" w:themeColor="text1"/>
          <w:szCs w:val="22"/>
          <w:lang w:val="sr-Latn-BA"/>
        </w:rPr>
        <w:t>kod kojih hem</w:t>
      </w:r>
      <w:r w:rsidR="00C8558A" w:rsidRPr="0051150C">
        <w:rPr>
          <w:rFonts w:eastAsia="TimesNewRoman"/>
          <w:noProof/>
          <w:color w:val="000000" w:themeColor="text1"/>
          <w:szCs w:val="22"/>
          <w:lang w:val="sr-Latn-BA"/>
        </w:rPr>
        <w:t>i</w:t>
      </w:r>
      <w:r w:rsidRPr="0051150C">
        <w:rPr>
          <w:rFonts w:eastAsia="TimesNewRoman"/>
          <w:noProof/>
          <w:color w:val="000000" w:themeColor="text1"/>
          <w:szCs w:val="22"/>
          <w:lang w:val="sr-Latn-BA"/>
        </w:rPr>
        <w:t>oterapija i dalje nije klinički indikovana (</w:t>
      </w:r>
      <w:r w:rsidR="00F43B54" w:rsidRPr="00992DF7">
        <w:rPr>
          <w:rFonts w:eastAsia="TimesNewRoman"/>
          <w:noProof/>
          <w:color w:val="000000" w:themeColor="text1"/>
          <w:szCs w:val="22"/>
          <w:lang w:val="sr-Latn-BA"/>
        </w:rPr>
        <w:t>vidjeti dio</w:t>
      </w:r>
      <w:r w:rsidR="004F6B34">
        <w:rPr>
          <w:rFonts w:eastAsia="TimesNewRoman"/>
          <w:noProof/>
          <w:color w:val="000000" w:themeColor="text1"/>
          <w:szCs w:val="22"/>
          <w:lang w:val="sr-Latn-BA"/>
        </w:rPr>
        <w:t xml:space="preserve"> </w:t>
      </w:r>
      <w:r w:rsidRPr="0051150C">
        <w:rPr>
          <w:rFonts w:eastAsia="TimesNewRoman"/>
          <w:noProof/>
          <w:color w:val="000000" w:themeColor="text1"/>
          <w:szCs w:val="22"/>
          <w:lang w:val="sr-Latn-BA"/>
        </w:rPr>
        <w:t>5.1)</w:t>
      </w:r>
      <w:r w:rsidR="00D53958">
        <w:rPr>
          <w:rFonts w:eastAsia="TimesNewRoman"/>
          <w:noProof/>
          <w:color w:val="000000" w:themeColor="text1"/>
          <w:szCs w:val="22"/>
          <w:lang w:val="sr-Latn-BA"/>
        </w:rPr>
        <w:t>;</w:t>
      </w:r>
      <w:r w:rsidRPr="0051150C">
        <w:rPr>
          <w:rFonts w:eastAsia="TimesNewRoman"/>
          <w:noProof/>
          <w:color w:val="000000" w:themeColor="text1"/>
          <w:szCs w:val="22"/>
          <w:lang w:val="sr-Latn-BA"/>
        </w:rPr>
        <w:t xml:space="preserve"> </w:t>
      </w:r>
    </w:p>
    <w:p w14:paraId="7A997EDA" w14:textId="73D8CB1B" w:rsidR="00992DF7" w:rsidRPr="00DE144C" w:rsidRDefault="004A1C16" w:rsidP="00410EF6">
      <w:pPr>
        <w:pStyle w:val="ListParagraph"/>
        <w:numPr>
          <w:ilvl w:val="0"/>
          <w:numId w:val="4"/>
        </w:numPr>
        <w:tabs>
          <w:tab w:val="clear" w:pos="284"/>
        </w:tabs>
        <w:autoSpaceDE w:val="0"/>
        <w:autoSpaceDN w:val="0"/>
        <w:adjustRightInd w:val="0"/>
        <w:spacing w:after="240"/>
        <w:rPr>
          <w:rFonts w:eastAsia="TimesNewRoman"/>
          <w:noProof/>
          <w:lang w:val="sr-Latn-BA"/>
        </w:rPr>
      </w:pPr>
      <w:r w:rsidRPr="00992DF7">
        <w:rPr>
          <w:rFonts w:eastAsia="TimesNewRoman"/>
          <w:noProof/>
          <w:color w:val="000000" w:themeColor="text1"/>
          <w:szCs w:val="22"/>
          <w:lang w:val="sr-Latn-BA"/>
        </w:rPr>
        <w:t>terapiju</w:t>
      </w:r>
      <w:r w:rsidRPr="00992DF7">
        <w:rPr>
          <w:rFonts w:eastAsia="TimesNewRoman"/>
          <w:noProof/>
          <w:szCs w:val="22"/>
          <w:lang w:val="sr-Latn-BA"/>
        </w:rPr>
        <w:t xml:space="preserve"> </w:t>
      </w:r>
      <w:r w:rsidRPr="00992DF7">
        <w:rPr>
          <w:rFonts w:eastAsia="TimesNewRoman"/>
          <w:noProof/>
          <w:color w:val="000000" w:themeColor="text1"/>
          <w:szCs w:val="22"/>
          <w:lang w:val="sr-Latn-BA"/>
        </w:rPr>
        <w:t>metastatskog karcinoma prostate rezistentnog na kastraciju</w:t>
      </w:r>
      <w:r w:rsidR="00C8558A" w:rsidRPr="00992DF7">
        <w:rPr>
          <w:rFonts w:eastAsia="TimesNewRoman"/>
          <w:noProof/>
          <w:color w:val="000000" w:themeColor="text1"/>
          <w:szCs w:val="22"/>
          <w:lang w:val="sr-Latn-BA"/>
        </w:rPr>
        <w:t xml:space="preserve"> (</w:t>
      </w:r>
      <w:r w:rsidR="00C8558A" w:rsidRPr="00992DF7">
        <w:rPr>
          <w:rFonts w:eastAsia="TimesNewRoman"/>
          <w:i/>
          <w:noProof/>
          <w:color w:val="000000" w:themeColor="text1"/>
          <w:szCs w:val="22"/>
          <w:lang w:val="sr-Latn-BA"/>
        </w:rPr>
        <w:t>mCRPC</w:t>
      </w:r>
      <w:r w:rsidR="00C8558A" w:rsidRPr="00992DF7">
        <w:rPr>
          <w:rFonts w:eastAsia="TimesNewRoman"/>
          <w:noProof/>
          <w:color w:val="000000" w:themeColor="text1"/>
          <w:szCs w:val="22"/>
          <w:lang w:val="sr-Latn-BA"/>
        </w:rPr>
        <w:t>)</w:t>
      </w:r>
      <w:r w:rsidRPr="00992DF7">
        <w:rPr>
          <w:rFonts w:eastAsia="TimesNewRoman"/>
          <w:noProof/>
          <w:color w:val="000000" w:themeColor="text1"/>
          <w:szCs w:val="22"/>
          <w:lang w:val="sr-Latn-BA"/>
        </w:rPr>
        <w:t>, kod o</w:t>
      </w:r>
      <w:r w:rsidR="000C12C1" w:rsidRPr="00992DF7">
        <w:rPr>
          <w:rFonts w:eastAsia="TimesNewRoman"/>
          <w:noProof/>
          <w:color w:val="000000" w:themeColor="text1"/>
          <w:szCs w:val="22"/>
          <w:lang w:val="sr-Latn-BA"/>
        </w:rPr>
        <w:t>draslih muškaraca kod kojih je</w:t>
      </w:r>
      <w:r w:rsidRPr="00992DF7">
        <w:rPr>
          <w:rFonts w:eastAsia="TimesNewRoman"/>
          <w:noProof/>
          <w:color w:val="000000" w:themeColor="text1"/>
          <w:szCs w:val="22"/>
          <w:lang w:val="sr-Latn-BA"/>
        </w:rPr>
        <w:t xml:space="preserve"> bolest </w:t>
      </w:r>
      <w:r w:rsidR="000C12C1" w:rsidRPr="00992DF7">
        <w:rPr>
          <w:rFonts w:eastAsia="TimesNewRoman"/>
          <w:noProof/>
          <w:szCs w:val="22"/>
          <w:lang w:val="sr-Latn-BA"/>
        </w:rPr>
        <w:t xml:space="preserve">progredirala </w:t>
      </w:r>
      <w:r w:rsidRPr="00992DF7">
        <w:rPr>
          <w:rFonts w:eastAsia="TimesNewRoman"/>
          <w:noProof/>
          <w:color w:val="000000" w:themeColor="text1"/>
          <w:szCs w:val="22"/>
          <w:lang w:val="sr-Latn-BA"/>
        </w:rPr>
        <w:t xml:space="preserve">tokom ili nakon hemioterapijskog protokola zasnovanog na </w:t>
      </w:r>
      <w:r w:rsidR="00C65DB1" w:rsidRPr="00992DF7">
        <w:rPr>
          <w:rFonts w:eastAsia="TimesNewRoman"/>
          <w:noProof/>
          <w:color w:val="000000" w:themeColor="text1"/>
          <w:szCs w:val="22"/>
          <w:lang w:val="sr-Latn-BA"/>
        </w:rPr>
        <w:t>docetakselu</w:t>
      </w:r>
      <w:r w:rsidR="00A60654" w:rsidRPr="00992DF7">
        <w:rPr>
          <w:rFonts w:eastAsia="TimesNewRoman"/>
          <w:noProof/>
          <w:color w:val="000000" w:themeColor="text1"/>
          <w:szCs w:val="22"/>
          <w:lang w:val="sr-Latn-BA"/>
        </w:rPr>
        <w:t>.</w:t>
      </w:r>
    </w:p>
    <w:p w14:paraId="584B0D5C" w14:textId="2F7CA721" w:rsidR="00CE09F3" w:rsidRPr="00410EF6" w:rsidRDefault="00CE09F3" w:rsidP="00992DF7">
      <w:pPr>
        <w:rPr>
          <w:b/>
          <w:bCs/>
          <w:noProof/>
          <w:lang w:val="sr-Latn-BA"/>
        </w:rPr>
      </w:pPr>
      <w:r w:rsidRPr="00410EF6">
        <w:rPr>
          <w:b/>
          <w:bCs/>
          <w:noProof/>
          <w:lang w:val="sr-Latn-BA"/>
        </w:rPr>
        <w:t xml:space="preserve">4.2. Doziranje i način </w:t>
      </w:r>
      <w:r w:rsidR="00096FAA" w:rsidRPr="00410EF6">
        <w:rPr>
          <w:b/>
          <w:bCs/>
          <w:noProof/>
          <w:lang w:val="sr-Latn-BA"/>
        </w:rPr>
        <w:t>primjen</w:t>
      </w:r>
      <w:r w:rsidRPr="00410EF6">
        <w:rPr>
          <w:b/>
          <w:bCs/>
          <w:noProof/>
          <w:lang w:val="sr-Latn-BA"/>
        </w:rPr>
        <w:t>e</w:t>
      </w:r>
    </w:p>
    <w:p w14:paraId="584B0D5D" w14:textId="77777777" w:rsidR="00CE09F3" w:rsidRPr="0051150C" w:rsidRDefault="00CE09F3" w:rsidP="009173F4">
      <w:pPr>
        <w:rPr>
          <w:noProof/>
          <w:szCs w:val="22"/>
          <w:lang w:val="sr-Latn-BA"/>
        </w:rPr>
      </w:pPr>
    </w:p>
    <w:p w14:paraId="0BEF104B" w14:textId="34CC2BF2"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 xml:space="preserve">Ovaj </w:t>
      </w:r>
      <w:r w:rsidR="00096FAA" w:rsidRPr="0051150C">
        <w:rPr>
          <w:noProof/>
          <w:szCs w:val="22"/>
          <w:lang w:val="sr-Latn-BA"/>
        </w:rPr>
        <w:t>lijek</w:t>
      </w:r>
      <w:r w:rsidRPr="0051150C">
        <w:rPr>
          <w:noProof/>
          <w:szCs w:val="22"/>
          <w:lang w:val="sr-Latn-BA"/>
        </w:rPr>
        <w:t xml:space="preserve"> treba da propiše odgovarajući zdravstveni radnik.</w:t>
      </w:r>
    </w:p>
    <w:p w14:paraId="58598558" w14:textId="77777777" w:rsidR="00C65DB1" w:rsidRPr="0051150C" w:rsidRDefault="00C65DB1" w:rsidP="009173F4">
      <w:pPr>
        <w:tabs>
          <w:tab w:val="clear" w:pos="284"/>
        </w:tabs>
        <w:autoSpaceDE w:val="0"/>
        <w:autoSpaceDN w:val="0"/>
        <w:adjustRightInd w:val="0"/>
        <w:rPr>
          <w:noProof/>
          <w:szCs w:val="22"/>
          <w:lang w:val="sr-Latn-BA"/>
        </w:rPr>
      </w:pPr>
    </w:p>
    <w:p w14:paraId="6D50CA4F" w14:textId="77777777" w:rsidR="00C65DB1" w:rsidRPr="0051150C" w:rsidRDefault="00C65DB1" w:rsidP="009173F4">
      <w:pPr>
        <w:tabs>
          <w:tab w:val="clear" w:pos="284"/>
        </w:tabs>
        <w:autoSpaceDE w:val="0"/>
        <w:autoSpaceDN w:val="0"/>
        <w:adjustRightInd w:val="0"/>
        <w:rPr>
          <w:noProof/>
          <w:szCs w:val="22"/>
          <w:u w:val="single"/>
          <w:lang w:val="sr-Latn-BA"/>
        </w:rPr>
      </w:pPr>
      <w:r w:rsidRPr="0051150C">
        <w:rPr>
          <w:noProof/>
          <w:szCs w:val="22"/>
          <w:u w:val="single"/>
          <w:lang w:val="sr-Latn-BA"/>
        </w:rPr>
        <w:t>Doziranje</w:t>
      </w:r>
    </w:p>
    <w:p w14:paraId="7F9027C8" w14:textId="2861AC0C" w:rsidR="00672F0B"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Preporučena doza je 1000 mg (četiri tablete od 250 mg</w:t>
      </w:r>
      <w:r w:rsidR="00DC1424">
        <w:rPr>
          <w:noProof/>
          <w:szCs w:val="22"/>
          <w:lang w:val="sr-Latn-BA"/>
        </w:rPr>
        <w:t xml:space="preserve"> ili dvije tablete od 500</w:t>
      </w:r>
      <w:r w:rsidR="00D53958">
        <w:rPr>
          <w:noProof/>
          <w:szCs w:val="22"/>
          <w:lang w:val="sr-Latn-BA"/>
        </w:rPr>
        <w:t xml:space="preserve"> </w:t>
      </w:r>
      <w:r w:rsidR="00DC1424">
        <w:rPr>
          <w:noProof/>
          <w:szCs w:val="22"/>
          <w:lang w:val="sr-Latn-BA"/>
        </w:rPr>
        <w:t>mg</w:t>
      </w:r>
      <w:r w:rsidR="00E6050A">
        <w:rPr>
          <w:noProof/>
          <w:szCs w:val="22"/>
          <w:lang w:val="sr-Latn-BA"/>
        </w:rPr>
        <w:t>)</w:t>
      </w:r>
      <w:r w:rsidR="00561587">
        <w:rPr>
          <w:noProof/>
          <w:szCs w:val="22"/>
          <w:lang w:val="sr-Latn-BA"/>
        </w:rPr>
        <w:t xml:space="preserve"> </w:t>
      </w:r>
      <w:r w:rsidRPr="0051150C">
        <w:rPr>
          <w:noProof/>
          <w:szCs w:val="22"/>
          <w:lang w:val="sr-Latn-BA"/>
        </w:rPr>
        <w:t>kao pojedinačna dnevna doza koja se ne sm</w:t>
      </w:r>
      <w:r w:rsidR="00A60654" w:rsidRPr="0051150C">
        <w:rPr>
          <w:noProof/>
          <w:szCs w:val="22"/>
          <w:lang w:val="sr-Latn-BA"/>
        </w:rPr>
        <w:t>ij</w:t>
      </w:r>
      <w:r w:rsidRPr="0051150C">
        <w:rPr>
          <w:noProof/>
          <w:szCs w:val="22"/>
          <w:lang w:val="sr-Latn-BA"/>
        </w:rPr>
        <w:t>e</w:t>
      </w:r>
      <w:r w:rsidR="00672F0B" w:rsidRPr="0051150C">
        <w:rPr>
          <w:noProof/>
          <w:szCs w:val="22"/>
          <w:lang w:val="sr-Latn-BA"/>
        </w:rPr>
        <w:t xml:space="preserve"> </w:t>
      </w:r>
      <w:r w:rsidRPr="0051150C">
        <w:rPr>
          <w:noProof/>
          <w:szCs w:val="22"/>
          <w:lang w:val="sr-Latn-BA"/>
        </w:rPr>
        <w:t>uzimati sa hranom (</w:t>
      </w:r>
      <w:r w:rsidR="00F43B54" w:rsidRPr="00410EF6">
        <w:rPr>
          <w:noProof/>
          <w:szCs w:val="22"/>
          <w:lang w:val="sr-Latn-BA"/>
        </w:rPr>
        <w:t xml:space="preserve">vidjeti dio </w:t>
      </w:r>
      <w:r w:rsidR="00D53958" w:rsidRPr="00410EF6">
        <w:rPr>
          <w:noProof/>
          <w:szCs w:val="22"/>
          <w:lang w:val="sr-Latn-BA"/>
        </w:rPr>
        <w:t>„</w:t>
      </w:r>
      <w:r w:rsidRPr="00410EF6">
        <w:rPr>
          <w:iCs/>
          <w:noProof/>
          <w:szCs w:val="22"/>
          <w:lang w:val="sr-Latn-BA"/>
        </w:rPr>
        <w:t xml:space="preserve">Način </w:t>
      </w:r>
      <w:r w:rsidR="00096FAA" w:rsidRPr="00410EF6">
        <w:rPr>
          <w:iCs/>
          <w:noProof/>
          <w:szCs w:val="22"/>
          <w:lang w:val="sr-Latn-BA"/>
        </w:rPr>
        <w:t>primjen</w:t>
      </w:r>
      <w:r w:rsidRPr="00410EF6">
        <w:rPr>
          <w:iCs/>
          <w:noProof/>
          <w:szCs w:val="22"/>
          <w:lang w:val="sr-Latn-BA"/>
        </w:rPr>
        <w:t>e</w:t>
      </w:r>
      <w:r w:rsidR="00D53958" w:rsidRPr="00410EF6">
        <w:rPr>
          <w:iCs/>
          <w:noProof/>
          <w:szCs w:val="22"/>
          <w:lang w:val="sr-Latn-BA"/>
        </w:rPr>
        <w:t>“</w:t>
      </w:r>
      <w:r w:rsidRPr="0051150C">
        <w:rPr>
          <w:noProof/>
          <w:szCs w:val="22"/>
          <w:lang w:val="sr-Latn-BA"/>
        </w:rPr>
        <w:t>). Uzimanje ovih tableta sa hranom povećava</w:t>
      </w:r>
      <w:r w:rsidR="00672F0B" w:rsidRPr="0051150C">
        <w:rPr>
          <w:noProof/>
          <w:szCs w:val="22"/>
          <w:lang w:val="sr-Latn-BA"/>
        </w:rPr>
        <w:t xml:space="preserve"> </w:t>
      </w:r>
      <w:r w:rsidRPr="0051150C">
        <w:rPr>
          <w:noProof/>
          <w:szCs w:val="22"/>
          <w:lang w:val="sr-Latn-BA"/>
        </w:rPr>
        <w:t>sistemsku izloženost abirateronu (</w:t>
      </w:r>
      <w:r w:rsidR="00096FAA" w:rsidRPr="00410EF6">
        <w:rPr>
          <w:noProof/>
          <w:szCs w:val="22"/>
          <w:lang w:val="sr-Latn-BA"/>
        </w:rPr>
        <w:t>vidjeti</w:t>
      </w:r>
      <w:r w:rsidRPr="00410EF6">
        <w:rPr>
          <w:noProof/>
          <w:szCs w:val="22"/>
          <w:lang w:val="sr-Latn-BA"/>
        </w:rPr>
        <w:t xml:space="preserve"> </w:t>
      </w:r>
      <w:r w:rsidR="00F43B54" w:rsidRPr="00410EF6">
        <w:rPr>
          <w:noProof/>
          <w:szCs w:val="22"/>
          <w:lang w:val="sr-Latn-BA"/>
        </w:rPr>
        <w:t>d</w:t>
      </w:r>
      <w:r w:rsidR="004F6B34" w:rsidRPr="00410EF6">
        <w:rPr>
          <w:noProof/>
          <w:szCs w:val="22"/>
          <w:lang w:val="sr-Latn-BA"/>
        </w:rPr>
        <w:t>jelove</w:t>
      </w:r>
      <w:r w:rsidR="00F43B54" w:rsidRPr="00410EF6">
        <w:rPr>
          <w:noProof/>
          <w:szCs w:val="22"/>
          <w:lang w:val="sr-Latn-BA"/>
        </w:rPr>
        <w:t xml:space="preserve"> </w:t>
      </w:r>
      <w:r w:rsidRPr="00410EF6">
        <w:rPr>
          <w:noProof/>
          <w:szCs w:val="22"/>
          <w:lang w:val="sr-Latn-BA"/>
        </w:rPr>
        <w:t xml:space="preserve"> 4.5 i 5.2</w:t>
      </w:r>
      <w:r w:rsidRPr="0051150C">
        <w:rPr>
          <w:noProof/>
          <w:szCs w:val="22"/>
          <w:lang w:val="sr-Latn-BA"/>
        </w:rPr>
        <w:t>).</w:t>
      </w:r>
    </w:p>
    <w:p w14:paraId="3005B6D9" w14:textId="77777777" w:rsidR="00672F0B" w:rsidRPr="0051150C" w:rsidRDefault="00672F0B" w:rsidP="009173F4">
      <w:pPr>
        <w:tabs>
          <w:tab w:val="clear" w:pos="284"/>
        </w:tabs>
        <w:autoSpaceDE w:val="0"/>
        <w:autoSpaceDN w:val="0"/>
        <w:adjustRightInd w:val="0"/>
        <w:rPr>
          <w:noProof/>
          <w:szCs w:val="22"/>
          <w:lang w:val="sr-Latn-BA"/>
        </w:rPr>
      </w:pPr>
    </w:p>
    <w:p w14:paraId="556497BF" w14:textId="77777777" w:rsidR="00C65DB1" w:rsidRPr="0051150C" w:rsidRDefault="00C65DB1" w:rsidP="009173F4">
      <w:pPr>
        <w:tabs>
          <w:tab w:val="clear" w:pos="284"/>
        </w:tabs>
        <w:autoSpaceDE w:val="0"/>
        <w:autoSpaceDN w:val="0"/>
        <w:adjustRightInd w:val="0"/>
        <w:rPr>
          <w:i/>
          <w:iCs/>
          <w:noProof/>
          <w:szCs w:val="22"/>
          <w:lang w:val="sr-Latn-BA"/>
        </w:rPr>
      </w:pPr>
      <w:r w:rsidRPr="0051150C">
        <w:rPr>
          <w:i/>
          <w:iCs/>
          <w:noProof/>
          <w:szCs w:val="22"/>
          <w:lang w:val="sr-Latn-BA"/>
        </w:rPr>
        <w:t>Doziranje prednizona ili prednizolona</w:t>
      </w:r>
    </w:p>
    <w:p w14:paraId="0F1E50B5" w14:textId="0B8FC776"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 xml:space="preserve">Za mHSPC, </w:t>
      </w:r>
      <w:r w:rsidR="00096FAA" w:rsidRPr="0051150C">
        <w:rPr>
          <w:noProof/>
          <w:szCs w:val="22"/>
          <w:lang w:val="sr-Latn-BA"/>
        </w:rPr>
        <w:t>lijek</w:t>
      </w:r>
      <w:r w:rsidRPr="0051150C">
        <w:rPr>
          <w:noProof/>
          <w:szCs w:val="22"/>
          <w:lang w:val="sr-Latn-BA"/>
        </w:rPr>
        <w:t xml:space="preserve"> </w:t>
      </w:r>
      <w:r w:rsidR="00C315BF" w:rsidRPr="0051150C">
        <w:rPr>
          <w:noProof/>
          <w:szCs w:val="22"/>
          <w:lang w:val="sr-Latn-BA"/>
        </w:rPr>
        <w:t xml:space="preserve">Jonosol </w:t>
      </w:r>
      <w:r w:rsidRPr="0051150C">
        <w:rPr>
          <w:noProof/>
          <w:szCs w:val="22"/>
          <w:lang w:val="sr-Latn-BA"/>
        </w:rPr>
        <w:t>se uzima sa 5 mg prednizona ili prednizolona jednom dnevno.</w:t>
      </w:r>
    </w:p>
    <w:p w14:paraId="584B0D5E" w14:textId="2ACE5705" w:rsidR="00CE09F3" w:rsidRPr="0051150C" w:rsidRDefault="00C65DB1" w:rsidP="009173F4">
      <w:pPr>
        <w:rPr>
          <w:noProof/>
          <w:szCs w:val="22"/>
          <w:lang w:val="sr-Latn-BA"/>
        </w:rPr>
      </w:pPr>
      <w:r w:rsidRPr="0051150C">
        <w:rPr>
          <w:noProof/>
          <w:szCs w:val="22"/>
          <w:lang w:val="sr-Latn-BA"/>
        </w:rPr>
        <w:lastRenderedPageBreak/>
        <w:t xml:space="preserve">Za mCRPC, </w:t>
      </w:r>
      <w:r w:rsidR="00096FAA" w:rsidRPr="0051150C">
        <w:rPr>
          <w:noProof/>
          <w:szCs w:val="22"/>
          <w:lang w:val="sr-Latn-BA"/>
        </w:rPr>
        <w:t>lijek</w:t>
      </w:r>
      <w:r w:rsidRPr="0051150C">
        <w:rPr>
          <w:noProof/>
          <w:szCs w:val="22"/>
          <w:lang w:val="sr-Latn-BA"/>
        </w:rPr>
        <w:t xml:space="preserve"> </w:t>
      </w:r>
      <w:r w:rsidR="00C315BF" w:rsidRPr="0051150C">
        <w:rPr>
          <w:noProof/>
          <w:szCs w:val="22"/>
          <w:lang w:val="sr-Latn-BA"/>
        </w:rPr>
        <w:t xml:space="preserve">Jonosol </w:t>
      </w:r>
      <w:r w:rsidRPr="0051150C">
        <w:rPr>
          <w:noProof/>
          <w:szCs w:val="22"/>
          <w:lang w:val="sr-Latn-BA"/>
        </w:rPr>
        <w:t>se uzima sa 10 mg prednizona ili prednizolona jednom dnevno</w:t>
      </w:r>
      <w:r w:rsidR="00672F0B" w:rsidRPr="0051150C">
        <w:rPr>
          <w:noProof/>
          <w:szCs w:val="22"/>
          <w:lang w:val="sr-Latn-BA"/>
        </w:rPr>
        <w:t>.</w:t>
      </w:r>
    </w:p>
    <w:p w14:paraId="6A80F6B4" w14:textId="0E6D4904" w:rsidR="00C65DB1" w:rsidRPr="0051150C" w:rsidRDefault="00C65DB1" w:rsidP="009173F4">
      <w:pPr>
        <w:rPr>
          <w:noProof/>
          <w:szCs w:val="22"/>
          <w:lang w:val="sr-Latn-BA"/>
        </w:rPr>
      </w:pPr>
    </w:p>
    <w:p w14:paraId="1531CC91" w14:textId="721A5F6F"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Medicinsk</w:t>
      </w:r>
      <w:r w:rsidR="004F6B34">
        <w:rPr>
          <w:noProof/>
          <w:szCs w:val="22"/>
          <w:lang w:val="sr-Latn-BA"/>
        </w:rPr>
        <w:t>u</w:t>
      </w:r>
      <w:r w:rsidRPr="0051150C">
        <w:rPr>
          <w:noProof/>
          <w:szCs w:val="22"/>
          <w:lang w:val="sr-Latn-BA"/>
        </w:rPr>
        <w:t xml:space="preserve"> kastracij</w:t>
      </w:r>
      <w:r w:rsidR="004F6B34">
        <w:rPr>
          <w:noProof/>
          <w:szCs w:val="22"/>
          <w:lang w:val="sr-Latn-BA"/>
        </w:rPr>
        <w:t>u</w:t>
      </w:r>
      <w:r w:rsidRPr="0051150C">
        <w:rPr>
          <w:noProof/>
          <w:szCs w:val="22"/>
          <w:lang w:val="sr-Latn-BA"/>
        </w:rPr>
        <w:t xml:space="preserve"> sa analozima</w:t>
      </w:r>
      <w:r w:rsidR="00672F0B" w:rsidRPr="0051150C">
        <w:rPr>
          <w:noProof/>
          <w:szCs w:val="22"/>
          <w:lang w:val="sr-Latn-BA"/>
        </w:rPr>
        <w:t xml:space="preserve"> </w:t>
      </w:r>
      <w:r w:rsidRPr="0051150C">
        <w:rPr>
          <w:noProof/>
          <w:szCs w:val="22"/>
          <w:lang w:val="sr-Latn-BA"/>
        </w:rPr>
        <w:t>LHRH</w:t>
      </w:r>
      <w:r w:rsidR="00672F0B" w:rsidRPr="0051150C">
        <w:rPr>
          <w:noProof/>
          <w:szCs w:val="22"/>
          <w:lang w:val="sr-Latn-BA"/>
        </w:rPr>
        <w:t xml:space="preserve"> (eng</w:t>
      </w:r>
      <w:r w:rsidR="00D53958">
        <w:rPr>
          <w:noProof/>
          <w:szCs w:val="22"/>
          <w:lang w:val="sr-Latn-BA"/>
        </w:rPr>
        <w:t>l</w:t>
      </w:r>
      <w:r w:rsidR="00672F0B" w:rsidRPr="0051150C">
        <w:rPr>
          <w:noProof/>
          <w:szCs w:val="22"/>
          <w:lang w:val="sr-Latn-BA"/>
        </w:rPr>
        <w:t xml:space="preserve">. </w:t>
      </w:r>
      <w:r w:rsidR="00672F0B" w:rsidRPr="0051150C">
        <w:rPr>
          <w:i/>
          <w:iCs/>
          <w:noProof/>
          <w:szCs w:val="22"/>
          <w:lang w:val="sr-Latn-BA"/>
        </w:rPr>
        <w:t>luteinising hormone releasing hormone</w:t>
      </w:r>
      <w:r w:rsidR="00672F0B" w:rsidRPr="0051150C">
        <w:rPr>
          <w:noProof/>
          <w:szCs w:val="22"/>
          <w:lang w:val="sr-Latn-BA"/>
        </w:rPr>
        <w:t>)</w:t>
      </w:r>
      <w:r w:rsidRPr="0051150C">
        <w:rPr>
          <w:noProof/>
          <w:szCs w:val="22"/>
          <w:lang w:val="sr-Latn-BA"/>
        </w:rPr>
        <w:t xml:space="preserve"> treba nastaviti tokom terapije kod</w:t>
      </w:r>
      <w:r w:rsidR="00672F0B" w:rsidRPr="0051150C">
        <w:rPr>
          <w:noProof/>
          <w:szCs w:val="22"/>
          <w:lang w:val="sr-Latn-BA"/>
        </w:rPr>
        <w:t xml:space="preserve"> </w:t>
      </w:r>
      <w:r w:rsidRPr="0051150C">
        <w:rPr>
          <w:noProof/>
          <w:szCs w:val="22"/>
          <w:lang w:val="sr-Latn-BA"/>
        </w:rPr>
        <w:t>pacijenata koji kojih nije izvršena hirurška kastacija.</w:t>
      </w:r>
    </w:p>
    <w:p w14:paraId="7A10BED0" w14:textId="77777777" w:rsidR="00672F0B" w:rsidRPr="0051150C" w:rsidRDefault="00672F0B" w:rsidP="009173F4">
      <w:pPr>
        <w:tabs>
          <w:tab w:val="clear" w:pos="284"/>
        </w:tabs>
        <w:autoSpaceDE w:val="0"/>
        <w:autoSpaceDN w:val="0"/>
        <w:adjustRightInd w:val="0"/>
        <w:rPr>
          <w:noProof/>
          <w:szCs w:val="22"/>
          <w:lang w:val="sr-Latn-BA"/>
        </w:rPr>
      </w:pPr>
    </w:p>
    <w:p w14:paraId="32819757" w14:textId="77777777" w:rsidR="00C65DB1" w:rsidRPr="0051150C" w:rsidRDefault="00C65DB1" w:rsidP="009173F4">
      <w:pPr>
        <w:tabs>
          <w:tab w:val="clear" w:pos="284"/>
        </w:tabs>
        <w:autoSpaceDE w:val="0"/>
        <w:autoSpaceDN w:val="0"/>
        <w:adjustRightInd w:val="0"/>
        <w:rPr>
          <w:i/>
          <w:iCs/>
          <w:noProof/>
          <w:szCs w:val="22"/>
          <w:lang w:val="sr-Latn-BA"/>
        </w:rPr>
      </w:pPr>
      <w:r w:rsidRPr="0051150C">
        <w:rPr>
          <w:i/>
          <w:iCs/>
          <w:noProof/>
          <w:szCs w:val="22"/>
          <w:lang w:val="sr-Latn-BA"/>
        </w:rPr>
        <w:t>Preporučeno praćenje</w:t>
      </w:r>
    </w:p>
    <w:p w14:paraId="5B365D81" w14:textId="684C54B4" w:rsidR="00672F0B"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Pr</w:t>
      </w:r>
      <w:r w:rsidR="00A60654" w:rsidRPr="0051150C">
        <w:rPr>
          <w:noProof/>
          <w:szCs w:val="22"/>
          <w:lang w:val="sr-Latn-BA"/>
        </w:rPr>
        <w:t>ij</w:t>
      </w:r>
      <w:r w:rsidRPr="0051150C">
        <w:rPr>
          <w:noProof/>
          <w:szCs w:val="22"/>
          <w:lang w:val="sr-Latn-BA"/>
        </w:rPr>
        <w:t>e započinjanja t</w:t>
      </w:r>
      <w:r w:rsidR="00E84575" w:rsidRPr="0051150C">
        <w:rPr>
          <w:noProof/>
          <w:szCs w:val="22"/>
          <w:lang w:val="sr-Latn-BA"/>
        </w:rPr>
        <w:t>erapije treba izm</w:t>
      </w:r>
      <w:r w:rsidR="00A60654" w:rsidRPr="0051150C">
        <w:rPr>
          <w:noProof/>
          <w:szCs w:val="22"/>
          <w:lang w:val="sr-Latn-BA"/>
        </w:rPr>
        <w:t>j</w:t>
      </w:r>
      <w:r w:rsidR="00E84575" w:rsidRPr="0051150C">
        <w:rPr>
          <w:noProof/>
          <w:szCs w:val="22"/>
          <w:lang w:val="sr-Latn-BA"/>
        </w:rPr>
        <w:t xml:space="preserve">eriti </w:t>
      </w:r>
      <w:r w:rsidR="00096FAA" w:rsidRPr="0051150C">
        <w:rPr>
          <w:noProof/>
          <w:szCs w:val="22"/>
          <w:lang w:val="sr-Latn-BA"/>
        </w:rPr>
        <w:t>vrijednost</w:t>
      </w:r>
      <w:r w:rsidRPr="0051150C">
        <w:rPr>
          <w:noProof/>
          <w:szCs w:val="22"/>
          <w:lang w:val="sr-Latn-BA"/>
        </w:rPr>
        <w:t xml:space="preserve"> tra</w:t>
      </w:r>
      <w:r w:rsidR="00E84575" w:rsidRPr="0051150C">
        <w:rPr>
          <w:noProof/>
          <w:szCs w:val="22"/>
          <w:lang w:val="sr-Latn-BA"/>
        </w:rPr>
        <w:t>nsaminaza u serumu, zatim m</w:t>
      </w:r>
      <w:r w:rsidR="00A60654" w:rsidRPr="0051150C">
        <w:rPr>
          <w:noProof/>
          <w:szCs w:val="22"/>
          <w:lang w:val="sr-Latn-BA"/>
        </w:rPr>
        <w:t>j</w:t>
      </w:r>
      <w:r w:rsidR="00E84575" w:rsidRPr="0051150C">
        <w:rPr>
          <w:noProof/>
          <w:szCs w:val="22"/>
          <w:lang w:val="sr-Latn-BA"/>
        </w:rPr>
        <w:t>erenja</w:t>
      </w:r>
      <w:r w:rsidRPr="0051150C">
        <w:rPr>
          <w:noProof/>
          <w:szCs w:val="22"/>
          <w:lang w:val="sr-Latn-BA"/>
        </w:rPr>
        <w:t xml:space="preserve"> ponavljati</w:t>
      </w:r>
      <w:r w:rsidR="00672F0B" w:rsidRPr="0051150C">
        <w:rPr>
          <w:noProof/>
          <w:szCs w:val="22"/>
          <w:lang w:val="sr-Latn-BA"/>
        </w:rPr>
        <w:t xml:space="preserve"> svake dv</w:t>
      </w:r>
      <w:r w:rsidR="00A60654" w:rsidRPr="0051150C">
        <w:rPr>
          <w:noProof/>
          <w:szCs w:val="22"/>
          <w:lang w:val="sr-Latn-BA"/>
        </w:rPr>
        <w:t>ij</w:t>
      </w:r>
      <w:r w:rsidR="00672F0B" w:rsidRPr="0051150C">
        <w:rPr>
          <w:noProof/>
          <w:szCs w:val="22"/>
          <w:lang w:val="sr-Latn-BA"/>
        </w:rPr>
        <w:t>e ned</w:t>
      </w:r>
      <w:r w:rsidR="00A60654" w:rsidRPr="0051150C">
        <w:rPr>
          <w:noProof/>
          <w:szCs w:val="22"/>
          <w:lang w:val="sr-Latn-BA"/>
        </w:rPr>
        <w:t>j</w:t>
      </w:r>
      <w:r w:rsidR="00672F0B" w:rsidRPr="0051150C">
        <w:rPr>
          <w:noProof/>
          <w:szCs w:val="22"/>
          <w:lang w:val="sr-Latn-BA"/>
        </w:rPr>
        <w:t>elje tokom</w:t>
      </w:r>
      <w:r w:rsidRPr="0051150C">
        <w:rPr>
          <w:noProof/>
          <w:szCs w:val="22"/>
          <w:lang w:val="sr-Latn-BA"/>
        </w:rPr>
        <w:t xml:space="preserve"> prva tri m</w:t>
      </w:r>
      <w:r w:rsidR="00A60654" w:rsidRPr="0051150C">
        <w:rPr>
          <w:noProof/>
          <w:szCs w:val="22"/>
          <w:lang w:val="sr-Latn-BA"/>
        </w:rPr>
        <w:t>j</w:t>
      </w:r>
      <w:r w:rsidRPr="0051150C">
        <w:rPr>
          <w:noProof/>
          <w:szCs w:val="22"/>
          <w:lang w:val="sr-Latn-BA"/>
        </w:rPr>
        <w:t>eseca terapije, a potom jednom m</w:t>
      </w:r>
      <w:r w:rsidR="00A60654" w:rsidRPr="0051150C">
        <w:rPr>
          <w:noProof/>
          <w:szCs w:val="22"/>
          <w:lang w:val="sr-Latn-BA"/>
        </w:rPr>
        <w:t>j</w:t>
      </w:r>
      <w:r w:rsidRPr="0051150C">
        <w:rPr>
          <w:noProof/>
          <w:szCs w:val="22"/>
          <w:lang w:val="sr-Latn-BA"/>
        </w:rPr>
        <w:t>esečno. Krvni pritisak,</w:t>
      </w:r>
      <w:r w:rsidR="00672F0B" w:rsidRPr="0051150C">
        <w:rPr>
          <w:noProof/>
          <w:szCs w:val="22"/>
          <w:lang w:val="sr-Latn-BA"/>
        </w:rPr>
        <w:t xml:space="preserve"> </w:t>
      </w:r>
      <w:r w:rsidRPr="0051150C">
        <w:rPr>
          <w:noProof/>
          <w:szCs w:val="22"/>
          <w:lang w:val="sr-Latn-BA"/>
        </w:rPr>
        <w:t xml:space="preserve">koncentraciju kalijuma u serumu i retenciju tečnosti treba </w:t>
      </w:r>
      <w:r w:rsidR="00672F0B" w:rsidRPr="0051150C">
        <w:rPr>
          <w:noProof/>
          <w:szCs w:val="22"/>
          <w:lang w:val="sr-Latn-BA"/>
        </w:rPr>
        <w:t>m</w:t>
      </w:r>
      <w:r w:rsidR="00A60654" w:rsidRPr="0051150C">
        <w:rPr>
          <w:noProof/>
          <w:szCs w:val="22"/>
          <w:lang w:val="sr-Latn-BA"/>
        </w:rPr>
        <w:t>j</w:t>
      </w:r>
      <w:r w:rsidR="00672F0B" w:rsidRPr="0051150C">
        <w:rPr>
          <w:noProof/>
          <w:szCs w:val="22"/>
          <w:lang w:val="sr-Latn-BA"/>
        </w:rPr>
        <w:t xml:space="preserve">esečno </w:t>
      </w:r>
      <w:r w:rsidRPr="0051150C">
        <w:rPr>
          <w:noProof/>
          <w:szCs w:val="22"/>
          <w:lang w:val="sr-Latn-BA"/>
        </w:rPr>
        <w:t>kontrolisati. Ipak,</w:t>
      </w:r>
      <w:r w:rsidR="00672F0B" w:rsidRPr="0051150C">
        <w:rPr>
          <w:noProof/>
          <w:szCs w:val="22"/>
          <w:lang w:val="sr-Latn-BA"/>
        </w:rPr>
        <w:t xml:space="preserve"> </w:t>
      </w:r>
      <w:r w:rsidRPr="0051150C">
        <w:rPr>
          <w:noProof/>
          <w:szCs w:val="22"/>
          <w:lang w:val="sr-Latn-BA"/>
        </w:rPr>
        <w:t>pacijente sa značajnim rizikom od kongestivne srčane insuficijencije treba pratiti na svake 2 ned</w:t>
      </w:r>
      <w:r w:rsidR="00A60654" w:rsidRPr="0051150C">
        <w:rPr>
          <w:noProof/>
          <w:szCs w:val="22"/>
          <w:lang w:val="sr-Latn-BA"/>
        </w:rPr>
        <w:t>j</w:t>
      </w:r>
      <w:r w:rsidRPr="0051150C">
        <w:rPr>
          <w:noProof/>
          <w:szCs w:val="22"/>
          <w:lang w:val="sr-Latn-BA"/>
        </w:rPr>
        <w:t xml:space="preserve">elje </w:t>
      </w:r>
      <w:r w:rsidR="00672F0B" w:rsidRPr="0051150C">
        <w:rPr>
          <w:noProof/>
          <w:szCs w:val="22"/>
          <w:lang w:val="sr-Latn-BA"/>
        </w:rPr>
        <w:t>tokom</w:t>
      </w:r>
      <w:r w:rsidRPr="0051150C">
        <w:rPr>
          <w:noProof/>
          <w:szCs w:val="22"/>
          <w:lang w:val="sr-Latn-BA"/>
        </w:rPr>
        <w:t xml:space="preserve"> prva tri m</w:t>
      </w:r>
      <w:r w:rsidR="00A60654" w:rsidRPr="0051150C">
        <w:rPr>
          <w:noProof/>
          <w:szCs w:val="22"/>
          <w:lang w:val="sr-Latn-BA"/>
        </w:rPr>
        <w:t>j</w:t>
      </w:r>
      <w:r w:rsidRPr="0051150C">
        <w:rPr>
          <w:noProof/>
          <w:szCs w:val="22"/>
          <w:lang w:val="sr-Latn-BA"/>
        </w:rPr>
        <w:t>eseca terapije i jednom m</w:t>
      </w:r>
      <w:r w:rsidR="00A60654" w:rsidRPr="0051150C">
        <w:rPr>
          <w:noProof/>
          <w:szCs w:val="22"/>
          <w:lang w:val="sr-Latn-BA"/>
        </w:rPr>
        <w:t>j</w:t>
      </w:r>
      <w:r w:rsidRPr="0051150C">
        <w:rPr>
          <w:noProof/>
          <w:szCs w:val="22"/>
          <w:lang w:val="sr-Latn-BA"/>
        </w:rPr>
        <w:t>esečno nakon toga (</w:t>
      </w:r>
      <w:r w:rsidR="00F43B54" w:rsidRPr="00410EF6">
        <w:rPr>
          <w:noProof/>
          <w:szCs w:val="22"/>
          <w:lang w:val="sr-Latn-BA"/>
        </w:rPr>
        <w:t xml:space="preserve">vidjeti dio </w:t>
      </w:r>
      <w:r w:rsidRPr="00410EF6">
        <w:rPr>
          <w:noProof/>
          <w:szCs w:val="22"/>
          <w:lang w:val="sr-Latn-BA"/>
        </w:rPr>
        <w:t>4.4</w:t>
      </w:r>
      <w:r w:rsidRPr="0051150C">
        <w:rPr>
          <w:noProof/>
          <w:szCs w:val="22"/>
          <w:lang w:val="sr-Latn-BA"/>
        </w:rPr>
        <w:t>).</w:t>
      </w:r>
      <w:r w:rsidR="00672F0B" w:rsidRPr="0051150C">
        <w:rPr>
          <w:noProof/>
          <w:szCs w:val="22"/>
          <w:lang w:val="sr-Latn-BA"/>
        </w:rPr>
        <w:t xml:space="preserve"> </w:t>
      </w:r>
    </w:p>
    <w:p w14:paraId="349F1AA2" w14:textId="77777777" w:rsidR="00672F0B" w:rsidRPr="0051150C" w:rsidRDefault="00672F0B" w:rsidP="009173F4">
      <w:pPr>
        <w:tabs>
          <w:tab w:val="clear" w:pos="284"/>
        </w:tabs>
        <w:autoSpaceDE w:val="0"/>
        <w:autoSpaceDN w:val="0"/>
        <w:adjustRightInd w:val="0"/>
        <w:rPr>
          <w:noProof/>
          <w:szCs w:val="22"/>
          <w:lang w:val="sr-Latn-BA"/>
        </w:rPr>
      </w:pPr>
    </w:p>
    <w:p w14:paraId="734B15D8" w14:textId="567B8B93" w:rsidR="006E1407" w:rsidRDefault="00C65DB1" w:rsidP="009173F4">
      <w:pPr>
        <w:tabs>
          <w:tab w:val="clear" w:pos="284"/>
        </w:tabs>
        <w:autoSpaceDE w:val="0"/>
        <w:autoSpaceDN w:val="0"/>
        <w:adjustRightInd w:val="0"/>
        <w:rPr>
          <w:noProof/>
          <w:szCs w:val="22"/>
          <w:lang w:val="sr-Latn-BA"/>
        </w:rPr>
      </w:pPr>
      <w:r w:rsidRPr="0051150C">
        <w:rPr>
          <w:noProof/>
          <w:szCs w:val="22"/>
          <w:lang w:val="sr-Latn-BA"/>
        </w:rPr>
        <w:t>Kod pacijenata sa već postojećom hipokal</w:t>
      </w:r>
      <w:r w:rsidR="00D53958">
        <w:rPr>
          <w:noProof/>
          <w:szCs w:val="22"/>
          <w:lang w:val="sr-Latn-BA"/>
        </w:rPr>
        <w:t>ij</w:t>
      </w:r>
      <w:r w:rsidRPr="0051150C">
        <w:rPr>
          <w:noProof/>
          <w:szCs w:val="22"/>
          <w:lang w:val="sr-Latn-BA"/>
        </w:rPr>
        <w:t>emijom ili kod kojih se hipokal</w:t>
      </w:r>
      <w:r w:rsidR="00D53958">
        <w:rPr>
          <w:noProof/>
          <w:szCs w:val="22"/>
          <w:lang w:val="sr-Latn-BA"/>
        </w:rPr>
        <w:t>ij</w:t>
      </w:r>
      <w:r w:rsidRPr="0051150C">
        <w:rPr>
          <w:noProof/>
          <w:szCs w:val="22"/>
          <w:lang w:val="sr-Latn-BA"/>
        </w:rPr>
        <w:t>emija</w:t>
      </w:r>
      <w:r w:rsidR="00E84575" w:rsidRPr="0051150C">
        <w:rPr>
          <w:noProof/>
          <w:szCs w:val="22"/>
          <w:lang w:val="sr-Latn-BA"/>
        </w:rPr>
        <w:t xml:space="preserve"> razvije</w:t>
      </w:r>
      <w:r w:rsidRPr="0051150C">
        <w:rPr>
          <w:noProof/>
          <w:szCs w:val="22"/>
          <w:lang w:val="sr-Latn-BA"/>
        </w:rPr>
        <w:t xml:space="preserve"> tokom terapije</w:t>
      </w:r>
      <w:r w:rsidR="00672F0B" w:rsidRPr="0051150C">
        <w:rPr>
          <w:noProof/>
          <w:szCs w:val="22"/>
          <w:lang w:val="sr-Latn-BA"/>
        </w:rPr>
        <w:t xml:space="preserve"> </w:t>
      </w:r>
      <w:r w:rsidR="00096FAA" w:rsidRPr="0051150C">
        <w:rPr>
          <w:noProof/>
          <w:szCs w:val="22"/>
          <w:lang w:val="sr-Latn-BA"/>
        </w:rPr>
        <w:t>lijek</w:t>
      </w:r>
      <w:r w:rsidRPr="0051150C">
        <w:rPr>
          <w:noProof/>
          <w:szCs w:val="22"/>
          <w:lang w:val="sr-Latn-BA"/>
        </w:rPr>
        <w:t xml:space="preserve">om </w:t>
      </w:r>
      <w:r w:rsidR="00C315BF" w:rsidRPr="0051150C">
        <w:rPr>
          <w:noProof/>
          <w:szCs w:val="22"/>
          <w:lang w:val="sr-Latn-BA"/>
        </w:rPr>
        <w:t>Jonosol</w:t>
      </w:r>
      <w:r w:rsidRPr="0051150C">
        <w:rPr>
          <w:noProof/>
          <w:szCs w:val="22"/>
          <w:lang w:val="sr-Latn-BA"/>
        </w:rPr>
        <w:t>, razmotriti održavanje koncentracije kalijuma na ≥ 4,0 mM.</w:t>
      </w:r>
      <w:r w:rsidR="00672F0B" w:rsidRPr="0051150C">
        <w:rPr>
          <w:noProof/>
          <w:szCs w:val="22"/>
          <w:lang w:val="sr-Latn-BA"/>
        </w:rPr>
        <w:t xml:space="preserve"> </w:t>
      </w:r>
    </w:p>
    <w:p w14:paraId="5577A1C0" w14:textId="77777777" w:rsidR="006E1407" w:rsidRDefault="006E1407" w:rsidP="009173F4">
      <w:pPr>
        <w:tabs>
          <w:tab w:val="clear" w:pos="284"/>
        </w:tabs>
        <w:autoSpaceDE w:val="0"/>
        <w:autoSpaceDN w:val="0"/>
        <w:adjustRightInd w:val="0"/>
        <w:rPr>
          <w:noProof/>
          <w:szCs w:val="22"/>
          <w:lang w:val="sr-Latn-BA"/>
        </w:rPr>
      </w:pPr>
    </w:p>
    <w:p w14:paraId="070206E9" w14:textId="7D937B6A" w:rsidR="00EF5DA5"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 xml:space="preserve">Kod pacijenata kod kojih se razvije toksičnost ≥ 3 </w:t>
      </w:r>
      <w:r w:rsidR="00EF5DA5" w:rsidRPr="0051150C">
        <w:rPr>
          <w:noProof/>
          <w:szCs w:val="22"/>
          <w:lang w:val="sr-Latn-BA"/>
        </w:rPr>
        <w:t xml:space="preserve">stepena </w:t>
      </w:r>
      <w:r w:rsidRPr="0051150C">
        <w:rPr>
          <w:noProof/>
          <w:szCs w:val="22"/>
          <w:lang w:val="sr-Latn-BA"/>
        </w:rPr>
        <w:t>uključujući hipertenziju, hipokal</w:t>
      </w:r>
      <w:r w:rsidR="00D53958">
        <w:rPr>
          <w:noProof/>
          <w:szCs w:val="22"/>
          <w:lang w:val="sr-Latn-BA"/>
        </w:rPr>
        <w:t>ij</w:t>
      </w:r>
      <w:r w:rsidRPr="0051150C">
        <w:rPr>
          <w:noProof/>
          <w:szCs w:val="22"/>
          <w:lang w:val="sr-Latn-BA"/>
        </w:rPr>
        <w:t>emiju,</w:t>
      </w:r>
      <w:r w:rsidR="00672F0B" w:rsidRPr="0051150C">
        <w:rPr>
          <w:noProof/>
          <w:szCs w:val="22"/>
          <w:lang w:val="sr-Latn-BA"/>
        </w:rPr>
        <w:t xml:space="preserve"> </w:t>
      </w:r>
      <w:r w:rsidRPr="0051150C">
        <w:rPr>
          <w:noProof/>
          <w:szCs w:val="22"/>
          <w:lang w:val="sr-Latn-BA"/>
        </w:rPr>
        <w:t>edeme i druge toksičnosti koje ni</w:t>
      </w:r>
      <w:r w:rsidR="004F6B34">
        <w:rPr>
          <w:noProof/>
          <w:szCs w:val="22"/>
          <w:lang w:val="sr-Latn-BA"/>
        </w:rPr>
        <w:t>je</w:t>
      </w:r>
      <w:r w:rsidRPr="0051150C">
        <w:rPr>
          <w:noProof/>
          <w:szCs w:val="22"/>
          <w:lang w:val="sr-Latn-BA"/>
        </w:rPr>
        <w:t xml:space="preserve">su izazvane mineralokortikoidima, </w:t>
      </w:r>
      <w:r w:rsidR="00D47802" w:rsidRPr="0051150C">
        <w:rPr>
          <w:noProof/>
          <w:szCs w:val="22"/>
          <w:lang w:val="sr-Latn-BA"/>
        </w:rPr>
        <w:t xml:space="preserve">terapiju </w:t>
      </w:r>
      <w:r w:rsidR="00EF5DA5" w:rsidRPr="0051150C">
        <w:rPr>
          <w:noProof/>
          <w:szCs w:val="22"/>
          <w:lang w:val="sr-Latn-BA"/>
        </w:rPr>
        <w:t xml:space="preserve">treba </w:t>
      </w:r>
      <w:r w:rsidR="00E84575" w:rsidRPr="0051150C">
        <w:rPr>
          <w:noProof/>
          <w:szCs w:val="22"/>
          <w:lang w:val="sr-Latn-BA"/>
        </w:rPr>
        <w:t>obustaviti i</w:t>
      </w:r>
      <w:r w:rsidRPr="0051150C">
        <w:rPr>
          <w:noProof/>
          <w:szCs w:val="22"/>
          <w:lang w:val="sr-Latn-BA"/>
        </w:rPr>
        <w:t xml:space="preserve"> započeti</w:t>
      </w:r>
      <w:r w:rsidR="00672F0B" w:rsidRPr="0051150C">
        <w:rPr>
          <w:noProof/>
          <w:szCs w:val="22"/>
          <w:lang w:val="sr-Latn-BA"/>
        </w:rPr>
        <w:t xml:space="preserve"> </w:t>
      </w:r>
      <w:r w:rsidRPr="0051150C">
        <w:rPr>
          <w:noProof/>
          <w:szCs w:val="22"/>
          <w:lang w:val="sr-Latn-BA"/>
        </w:rPr>
        <w:t xml:space="preserve">odgovarajuću medicinsku pomoć. Terapiju </w:t>
      </w:r>
      <w:r w:rsidR="00096FAA" w:rsidRPr="0051150C">
        <w:rPr>
          <w:noProof/>
          <w:szCs w:val="22"/>
          <w:lang w:val="sr-Latn-BA"/>
        </w:rPr>
        <w:t>lijek</w:t>
      </w:r>
      <w:r w:rsidRPr="0051150C">
        <w:rPr>
          <w:noProof/>
          <w:szCs w:val="22"/>
          <w:lang w:val="sr-Latn-BA"/>
        </w:rPr>
        <w:t xml:space="preserve">om </w:t>
      </w:r>
      <w:r w:rsidR="00C315BF" w:rsidRPr="0051150C">
        <w:rPr>
          <w:noProof/>
          <w:szCs w:val="22"/>
          <w:lang w:val="sr-Latn-BA"/>
        </w:rPr>
        <w:t xml:space="preserve">Jonosol </w:t>
      </w:r>
      <w:r w:rsidRPr="0051150C">
        <w:rPr>
          <w:noProof/>
          <w:szCs w:val="22"/>
          <w:lang w:val="sr-Latn-BA"/>
        </w:rPr>
        <w:t>ne treba ponovo započinjati dok se</w:t>
      </w:r>
      <w:r w:rsidR="00672F0B" w:rsidRPr="0051150C">
        <w:rPr>
          <w:noProof/>
          <w:szCs w:val="22"/>
          <w:lang w:val="sr-Latn-BA"/>
        </w:rPr>
        <w:t xml:space="preserve"> </w:t>
      </w:r>
      <w:r w:rsidRPr="0051150C">
        <w:rPr>
          <w:noProof/>
          <w:szCs w:val="22"/>
          <w:lang w:val="sr-Latn-BA"/>
        </w:rPr>
        <w:t xml:space="preserve">simptomi toksičnosti ne povuku na stepen 1 ili na početne </w:t>
      </w:r>
      <w:r w:rsidR="00096FAA" w:rsidRPr="0051150C">
        <w:rPr>
          <w:noProof/>
          <w:szCs w:val="22"/>
          <w:lang w:val="sr-Latn-BA"/>
        </w:rPr>
        <w:t>vrijednost</w:t>
      </w:r>
      <w:r w:rsidRPr="0051150C">
        <w:rPr>
          <w:noProof/>
          <w:szCs w:val="22"/>
          <w:lang w:val="sr-Latn-BA"/>
        </w:rPr>
        <w:t>i.</w:t>
      </w:r>
      <w:r w:rsidR="00672F0B" w:rsidRPr="0051150C">
        <w:rPr>
          <w:noProof/>
          <w:szCs w:val="22"/>
          <w:lang w:val="sr-Latn-BA"/>
        </w:rPr>
        <w:t xml:space="preserve"> </w:t>
      </w:r>
    </w:p>
    <w:p w14:paraId="1F729B0F" w14:textId="77777777" w:rsidR="00EF5DA5" w:rsidRPr="0051150C" w:rsidRDefault="00EF5DA5" w:rsidP="009173F4">
      <w:pPr>
        <w:tabs>
          <w:tab w:val="clear" w:pos="284"/>
        </w:tabs>
        <w:autoSpaceDE w:val="0"/>
        <w:autoSpaceDN w:val="0"/>
        <w:adjustRightInd w:val="0"/>
        <w:rPr>
          <w:noProof/>
          <w:szCs w:val="22"/>
          <w:lang w:val="sr-Latn-BA"/>
        </w:rPr>
      </w:pPr>
    </w:p>
    <w:p w14:paraId="1196E411" w14:textId="6F18726E"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 xml:space="preserve">U slučaju da se propusti dnevna doza bilo </w:t>
      </w:r>
      <w:r w:rsidR="00096FAA" w:rsidRPr="0051150C">
        <w:rPr>
          <w:noProof/>
          <w:szCs w:val="22"/>
          <w:lang w:val="sr-Latn-BA"/>
        </w:rPr>
        <w:t>lijek</w:t>
      </w:r>
      <w:r w:rsidRPr="0051150C">
        <w:rPr>
          <w:noProof/>
          <w:szCs w:val="22"/>
          <w:lang w:val="sr-Latn-BA"/>
        </w:rPr>
        <w:t xml:space="preserve">a </w:t>
      </w:r>
      <w:r w:rsidR="00C315BF" w:rsidRPr="0051150C">
        <w:rPr>
          <w:noProof/>
          <w:szCs w:val="22"/>
          <w:lang w:val="sr-Latn-BA"/>
        </w:rPr>
        <w:t>Jonosol</w:t>
      </w:r>
      <w:r w:rsidRPr="0051150C">
        <w:rPr>
          <w:noProof/>
          <w:szCs w:val="22"/>
          <w:lang w:val="sr-Latn-BA"/>
        </w:rPr>
        <w:t xml:space="preserve">, </w:t>
      </w:r>
      <w:r w:rsidR="00D53958">
        <w:rPr>
          <w:noProof/>
          <w:szCs w:val="22"/>
          <w:lang w:val="sr-Latn-BA"/>
        </w:rPr>
        <w:t xml:space="preserve">bilo </w:t>
      </w:r>
      <w:r w:rsidRPr="0051150C">
        <w:rPr>
          <w:noProof/>
          <w:szCs w:val="22"/>
          <w:lang w:val="sr-Latn-BA"/>
        </w:rPr>
        <w:t>prednizona ili prednizolona, terapiju treba</w:t>
      </w:r>
      <w:r w:rsidR="00672F0B" w:rsidRPr="0051150C">
        <w:rPr>
          <w:noProof/>
          <w:szCs w:val="22"/>
          <w:lang w:val="sr-Latn-BA"/>
        </w:rPr>
        <w:t xml:space="preserve"> </w:t>
      </w:r>
      <w:r w:rsidRPr="0051150C">
        <w:rPr>
          <w:noProof/>
          <w:szCs w:val="22"/>
          <w:lang w:val="sr-Latn-BA"/>
        </w:rPr>
        <w:t>nastaviti s</w:t>
      </w:r>
      <w:r w:rsidR="004F6B34">
        <w:rPr>
          <w:noProof/>
          <w:szCs w:val="22"/>
          <w:lang w:val="sr-Latn-BA"/>
        </w:rPr>
        <w:t>j</w:t>
      </w:r>
      <w:r w:rsidRPr="0051150C">
        <w:rPr>
          <w:noProof/>
          <w:szCs w:val="22"/>
          <w:lang w:val="sr-Latn-BA"/>
        </w:rPr>
        <w:t>utradan uobičajenom dnevnom dozom.</w:t>
      </w:r>
    </w:p>
    <w:p w14:paraId="15784597" w14:textId="4B1F458A" w:rsidR="00C65DB1" w:rsidRPr="0051150C" w:rsidRDefault="00C65DB1" w:rsidP="009173F4">
      <w:pPr>
        <w:rPr>
          <w:noProof/>
          <w:szCs w:val="22"/>
          <w:lang w:val="sr-Latn-BA"/>
        </w:rPr>
      </w:pPr>
    </w:p>
    <w:p w14:paraId="5F7AC9B7" w14:textId="77777777" w:rsidR="00C65DB1" w:rsidRPr="0051150C" w:rsidRDefault="00C65DB1" w:rsidP="009173F4">
      <w:pPr>
        <w:tabs>
          <w:tab w:val="clear" w:pos="284"/>
        </w:tabs>
        <w:autoSpaceDE w:val="0"/>
        <w:autoSpaceDN w:val="0"/>
        <w:adjustRightInd w:val="0"/>
        <w:rPr>
          <w:i/>
          <w:iCs/>
          <w:noProof/>
          <w:szCs w:val="22"/>
          <w:lang w:val="sr-Latn-BA"/>
        </w:rPr>
      </w:pPr>
      <w:r w:rsidRPr="0051150C">
        <w:rPr>
          <w:i/>
          <w:iCs/>
          <w:noProof/>
          <w:szCs w:val="22"/>
          <w:lang w:val="sr-Latn-BA"/>
        </w:rPr>
        <w:t>Hepatotoksičnost</w:t>
      </w:r>
    </w:p>
    <w:p w14:paraId="13A2CD73" w14:textId="5AA85613"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Za pacijente kod kojih se tokom terapije razvije hepatotoksičnost (</w:t>
      </w:r>
      <w:r w:rsidR="004F6B34">
        <w:rPr>
          <w:noProof/>
          <w:szCs w:val="22"/>
          <w:lang w:val="sr-Latn-BA"/>
        </w:rPr>
        <w:t xml:space="preserve">nivoi </w:t>
      </w:r>
      <w:r w:rsidRPr="0051150C">
        <w:rPr>
          <w:noProof/>
          <w:szCs w:val="22"/>
          <w:lang w:val="sr-Latn-BA"/>
        </w:rPr>
        <w:t>alanin aminotransferaza [ALT] ili</w:t>
      </w:r>
      <w:r w:rsidR="00EF5DA5" w:rsidRPr="0051150C">
        <w:rPr>
          <w:noProof/>
          <w:szCs w:val="22"/>
          <w:lang w:val="sr-Latn-BA"/>
        </w:rPr>
        <w:t xml:space="preserve"> </w:t>
      </w:r>
      <w:r w:rsidRPr="0051150C">
        <w:rPr>
          <w:noProof/>
          <w:szCs w:val="22"/>
          <w:lang w:val="sr-Latn-BA"/>
        </w:rPr>
        <w:t>aspartat aminotransferaza [AST] pređ</w:t>
      </w:r>
      <w:r w:rsidR="004F6B34">
        <w:rPr>
          <w:noProof/>
          <w:szCs w:val="22"/>
          <w:lang w:val="sr-Latn-BA"/>
        </w:rPr>
        <w:t>u</w:t>
      </w:r>
      <w:r w:rsidRPr="0051150C">
        <w:rPr>
          <w:noProof/>
          <w:szCs w:val="22"/>
          <w:lang w:val="sr-Latn-BA"/>
        </w:rPr>
        <w:t xml:space="preserve"> </w:t>
      </w:r>
      <w:r w:rsidR="00096FAA" w:rsidRPr="0051150C">
        <w:rPr>
          <w:noProof/>
          <w:szCs w:val="22"/>
          <w:lang w:val="sr-Latn-BA"/>
        </w:rPr>
        <w:t>vrijednost</w:t>
      </w:r>
      <w:r w:rsidRPr="0051150C">
        <w:rPr>
          <w:noProof/>
          <w:szCs w:val="22"/>
          <w:lang w:val="sr-Latn-BA"/>
        </w:rPr>
        <w:t xml:space="preserve"> 5 puta veću od gornje granice normale [GGN]),</w:t>
      </w:r>
      <w:r w:rsidR="00EF5DA5" w:rsidRPr="0051150C">
        <w:rPr>
          <w:noProof/>
          <w:szCs w:val="22"/>
          <w:lang w:val="sr-Latn-BA"/>
        </w:rPr>
        <w:t xml:space="preserve"> </w:t>
      </w:r>
      <w:r w:rsidRPr="0051150C">
        <w:rPr>
          <w:noProof/>
          <w:szCs w:val="22"/>
          <w:lang w:val="sr-Latn-BA"/>
        </w:rPr>
        <w:t>terapiju treba odmah obustaviti (</w:t>
      </w:r>
      <w:r w:rsidR="00F43B54" w:rsidRPr="00410EF6">
        <w:rPr>
          <w:noProof/>
          <w:szCs w:val="22"/>
          <w:lang w:val="sr-Latn-BA"/>
        </w:rPr>
        <w:t xml:space="preserve">vidjeti dio </w:t>
      </w:r>
      <w:r w:rsidRPr="00410EF6">
        <w:rPr>
          <w:noProof/>
          <w:szCs w:val="22"/>
          <w:lang w:val="sr-Latn-BA"/>
        </w:rPr>
        <w:t>4.4</w:t>
      </w:r>
      <w:r w:rsidRPr="0051150C">
        <w:rPr>
          <w:noProof/>
          <w:szCs w:val="22"/>
          <w:lang w:val="sr-Latn-BA"/>
        </w:rPr>
        <w:t xml:space="preserve">). Kada se </w:t>
      </w:r>
      <w:r w:rsidR="00096FAA" w:rsidRPr="0051150C">
        <w:rPr>
          <w:noProof/>
          <w:szCs w:val="22"/>
          <w:lang w:val="sr-Latn-BA"/>
        </w:rPr>
        <w:t>vrijednost</w:t>
      </w:r>
      <w:r w:rsidRPr="0051150C">
        <w:rPr>
          <w:noProof/>
          <w:szCs w:val="22"/>
          <w:lang w:val="sr-Latn-BA"/>
        </w:rPr>
        <w:t>i funkcionalnih testova jetre</w:t>
      </w:r>
      <w:r w:rsidR="00EF5DA5" w:rsidRPr="0051150C">
        <w:rPr>
          <w:noProof/>
          <w:szCs w:val="22"/>
          <w:lang w:val="sr-Latn-BA"/>
        </w:rPr>
        <w:t xml:space="preserve"> </w:t>
      </w:r>
      <w:r w:rsidRPr="0051150C">
        <w:rPr>
          <w:noProof/>
          <w:szCs w:val="22"/>
          <w:lang w:val="sr-Latn-BA"/>
        </w:rPr>
        <w:t>pacijenta vrate na početni nivo, može se ponovo uvesti terapija, ali smanjenom dozom od 500 mg</w:t>
      </w:r>
      <w:r w:rsidR="00EF5DA5" w:rsidRPr="0051150C">
        <w:rPr>
          <w:noProof/>
          <w:szCs w:val="22"/>
          <w:lang w:val="sr-Latn-BA"/>
        </w:rPr>
        <w:t xml:space="preserve"> </w:t>
      </w:r>
      <w:r w:rsidR="00B30522" w:rsidRPr="0051150C">
        <w:rPr>
          <w:noProof/>
          <w:szCs w:val="22"/>
          <w:lang w:val="sr-Latn-BA"/>
        </w:rPr>
        <w:t xml:space="preserve">jednom dnevno. </w:t>
      </w:r>
      <w:r w:rsidR="004F6B34">
        <w:rPr>
          <w:noProof/>
          <w:szCs w:val="22"/>
          <w:lang w:val="sr-Latn-BA"/>
        </w:rPr>
        <w:t>Kod p</w:t>
      </w:r>
      <w:r w:rsidRPr="0051150C">
        <w:rPr>
          <w:noProof/>
          <w:szCs w:val="22"/>
          <w:lang w:val="sr-Latn-BA"/>
        </w:rPr>
        <w:t>acijen</w:t>
      </w:r>
      <w:r w:rsidR="004F6B34">
        <w:rPr>
          <w:noProof/>
          <w:szCs w:val="22"/>
          <w:lang w:val="sr-Latn-BA"/>
        </w:rPr>
        <w:t>a</w:t>
      </w:r>
      <w:r w:rsidRPr="0051150C">
        <w:rPr>
          <w:noProof/>
          <w:szCs w:val="22"/>
          <w:lang w:val="sr-Latn-BA"/>
        </w:rPr>
        <w:t>t</w:t>
      </w:r>
      <w:r w:rsidR="004F6B34">
        <w:rPr>
          <w:noProof/>
          <w:szCs w:val="22"/>
          <w:lang w:val="sr-Latn-BA"/>
        </w:rPr>
        <w:t>a</w:t>
      </w:r>
      <w:r w:rsidR="00B30522" w:rsidRPr="0051150C">
        <w:rPr>
          <w:noProof/>
          <w:szCs w:val="22"/>
          <w:lang w:val="sr-Latn-BA"/>
        </w:rPr>
        <w:t xml:space="preserve"> kojima s</w:t>
      </w:r>
      <w:r w:rsidRPr="0051150C">
        <w:rPr>
          <w:noProof/>
          <w:szCs w:val="22"/>
          <w:lang w:val="sr-Latn-BA"/>
        </w:rPr>
        <w:t xml:space="preserve">e ponovo </w:t>
      </w:r>
      <w:r w:rsidR="00B30522" w:rsidRPr="0051150C">
        <w:rPr>
          <w:noProof/>
          <w:szCs w:val="22"/>
          <w:lang w:val="sr-Latn-BA"/>
        </w:rPr>
        <w:t>uvodi terapija</w:t>
      </w:r>
      <w:r w:rsidRPr="0051150C">
        <w:rPr>
          <w:noProof/>
          <w:szCs w:val="22"/>
          <w:lang w:val="sr-Latn-BA"/>
        </w:rPr>
        <w:t xml:space="preserve">, </w:t>
      </w:r>
      <w:r w:rsidR="00096FAA" w:rsidRPr="0051150C">
        <w:rPr>
          <w:noProof/>
          <w:szCs w:val="22"/>
          <w:lang w:val="sr-Latn-BA"/>
        </w:rPr>
        <w:t>vrijednost</w:t>
      </w:r>
      <w:r w:rsidR="004F6B34">
        <w:rPr>
          <w:noProof/>
          <w:szCs w:val="22"/>
          <w:lang w:val="sr-Latn-BA"/>
        </w:rPr>
        <w:t>i</w:t>
      </w:r>
      <w:r w:rsidR="00EF5DA5" w:rsidRPr="0051150C">
        <w:rPr>
          <w:noProof/>
          <w:szCs w:val="22"/>
          <w:lang w:val="sr-Latn-BA"/>
        </w:rPr>
        <w:t xml:space="preserve"> </w:t>
      </w:r>
      <w:r w:rsidRPr="0051150C">
        <w:rPr>
          <w:noProof/>
          <w:szCs w:val="22"/>
          <w:lang w:val="sr-Latn-BA"/>
        </w:rPr>
        <w:t>transaminaza u serumu treba kontrolisati najmanje jednom u dv</w:t>
      </w:r>
      <w:r w:rsidR="001714E7" w:rsidRPr="0051150C">
        <w:rPr>
          <w:noProof/>
          <w:szCs w:val="22"/>
          <w:lang w:val="sr-Latn-BA"/>
        </w:rPr>
        <w:t>ij</w:t>
      </w:r>
      <w:r w:rsidRPr="0051150C">
        <w:rPr>
          <w:noProof/>
          <w:szCs w:val="22"/>
          <w:lang w:val="sr-Latn-BA"/>
        </w:rPr>
        <w:t>e ned</w:t>
      </w:r>
      <w:r w:rsidR="001714E7" w:rsidRPr="0051150C">
        <w:rPr>
          <w:noProof/>
          <w:szCs w:val="22"/>
          <w:lang w:val="sr-Latn-BA"/>
        </w:rPr>
        <w:t>j</w:t>
      </w:r>
      <w:r w:rsidRPr="0051150C">
        <w:rPr>
          <w:noProof/>
          <w:szCs w:val="22"/>
          <w:lang w:val="sr-Latn-BA"/>
        </w:rPr>
        <w:t xml:space="preserve">elje tokom </w:t>
      </w:r>
      <w:r w:rsidR="004F6B34">
        <w:rPr>
          <w:noProof/>
          <w:szCs w:val="22"/>
          <w:lang w:val="sr-Latn-BA"/>
        </w:rPr>
        <w:t xml:space="preserve">prva </w:t>
      </w:r>
      <w:r w:rsidRPr="0051150C">
        <w:rPr>
          <w:noProof/>
          <w:szCs w:val="22"/>
          <w:lang w:val="sr-Latn-BA"/>
        </w:rPr>
        <w:t>tri m</w:t>
      </w:r>
      <w:r w:rsidR="001714E7" w:rsidRPr="0051150C">
        <w:rPr>
          <w:noProof/>
          <w:szCs w:val="22"/>
          <w:lang w:val="sr-Latn-BA"/>
        </w:rPr>
        <w:t>j</w:t>
      </w:r>
      <w:r w:rsidRPr="0051150C">
        <w:rPr>
          <w:noProof/>
          <w:szCs w:val="22"/>
          <w:lang w:val="sr-Latn-BA"/>
        </w:rPr>
        <w:t>eseca, a potom</w:t>
      </w:r>
      <w:r w:rsidR="00EF5DA5" w:rsidRPr="0051150C">
        <w:rPr>
          <w:noProof/>
          <w:szCs w:val="22"/>
          <w:lang w:val="sr-Latn-BA"/>
        </w:rPr>
        <w:t xml:space="preserve"> </w:t>
      </w:r>
      <w:r w:rsidRPr="0051150C">
        <w:rPr>
          <w:noProof/>
          <w:szCs w:val="22"/>
          <w:lang w:val="sr-Latn-BA"/>
        </w:rPr>
        <w:t>jednom m</w:t>
      </w:r>
      <w:r w:rsidR="001714E7" w:rsidRPr="0051150C">
        <w:rPr>
          <w:noProof/>
          <w:szCs w:val="22"/>
          <w:lang w:val="sr-Latn-BA"/>
        </w:rPr>
        <w:t>j</w:t>
      </w:r>
      <w:r w:rsidRPr="0051150C">
        <w:rPr>
          <w:noProof/>
          <w:szCs w:val="22"/>
          <w:lang w:val="sr-Latn-BA"/>
        </w:rPr>
        <w:t xml:space="preserve">esečno. </w:t>
      </w:r>
      <w:r w:rsidR="00B30522" w:rsidRPr="0051150C">
        <w:rPr>
          <w:noProof/>
          <w:szCs w:val="22"/>
          <w:lang w:val="sr-Latn-BA"/>
        </w:rPr>
        <w:t xml:space="preserve">Ako se hepatotoksičnost javi </w:t>
      </w:r>
      <w:r w:rsidRPr="0051150C">
        <w:rPr>
          <w:noProof/>
          <w:szCs w:val="22"/>
          <w:lang w:val="sr-Latn-BA"/>
        </w:rPr>
        <w:t xml:space="preserve">i sa </w:t>
      </w:r>
      <w:r w:rsidR="00B30522" w:rsidRPr="0051150C">
        <w:rPr>
          <w:noProof/>
          <w:szCs w:val="22"/>
          <w:lang w:val="sr-Latn-BA"/>
        </w:rPr>
        <w:t>redukovanom</w:t>
      </w:r>
      <w:r w:rsidRPr="0051150C">
        <w:rPr>
          <w:noProof/>
          <w:szCs w:val="22"/>
          <w:lang w:val="sr-Latn-BA"/>
        </w:rPr>
        <w:t xml:space="preserve"> dozom od 500 mg dnevno,</w:t>
      </w:r>
      <w:r w:rsidR="00EF5DA5" w:rsidRPr="0051150C">
        <w:rPr>
          <w:noProof/>
          <w:szCs w:val="22"/>
          <w:lang w:val="sr-Latn-BA"/>
        </w:rPr>
        <w:t xml:space="preserve"> </w:t>
      </w:r>
      <w:r w:rsidRPr="0051150C">
        <w:rPr>
          <w:noProof/>
          <w:szCs w:val="22"/>
          <w:lang w:val="sr-Latn-BA"/>
        </w:rPr>
        <w:t>terapiju treba prekinuti.</w:t>
      </w:r>
    </w:p>
    <w:p w14:paraId="2D6F5BAB" w14:textId="77777777" w:rsidR="00EF5DA5" w:rsidRPr="0051150C" w:rsidRDefault="00EF5DA5" w:rsidP="009173F4">
      <w:pPr>
        <w:tabs>
          <w:tab w:val="clear" w:pos="284"/>
        </w:tabs>
        <w:autoSpaceDE w:val="0"/>
        <w:autoSpaceDN w:val="0"/>
        <w:adjustRightInd w:val="0"/>
        <w:rPr>
          <w:noProof/>
          <w:szCs w:val="22"/>
          <w:lang w:val="sr-Latn-BA"/>
        </w:rPr>
      </w:pPr>
    </w:p>
    <w:p w14:paraId="775CC31B" w14:textId="75EF13EA"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Ako se kod pacijenta u bilo kom trenutku razvije teška hepatotoksičnost (</w:t>
      </w:r>
      <w:r w:rsidR="00096FAA" w:rsidRPr="0051150C">
        <w:rPr>
          <w:noProof/>
          <w:szCs w:val="22"/>
          <w:lang w:val="sr-Latn-BA"/>
        </w:rPr>
        <w:t>vrijednost</w:t>
      </w:r>
      <w:r w:rsidRPr="0051150C">
        <w:rPr>
          <w:noProof/>
          <w:szCs w:val="22"/>
          <w:lang w:val="sr-Latn-BA"/>
        </w:rPr>
        <w:t xml:space="preserve"> ALT ili AST</w:t>
      </w:r>
      <w:r w:rsidR="00EF5DA5" w:rsidRPr="0051150C">
        <w:rPr>
          <w:noProof/>
          <w:szCs w:val="22"/>
          <w:lang w:val="sr-Latn-BA"/>
        </w:rPr>
        <w:t xml:space="preserve"> </w:t>
      </w:r>
      <w:r w:rsidRPr="0051150C">
        <w:rPr>
          <w:noProof/>
          <w:szCs w:val="22"/>
          <w:lang w:val="sr-Latn-BA"/>
        </w:rPr>
        <w:t>20 puta veća od gornje granice normale), terapiju treba prekinuti i više je ne započinjati.</w:t>
      </w:r>
      <w:r w:rsidR="00EF5DA5" w:rsidRPr="0051150C">
        <w:rPr>
          <w:noProof/>
          <w:szCs w:val="22"/>
          <w:lang w:val="sr-Latn-BA"/>
        </w:rPr>
        <w:t xml:space="preserve"> </w:t>
      </w:r>
    </w:p>
    <w:p w14:paraId="11DD1F6F" w14:textId="77777777" w:rsidR="00EF5DA5" w:rsidRPr="0051150C" w:rsidRDefault="00EF5DA5" w:rsidP="009173F4">
      <w:pPr>
        <w:tabs>
          <w:tab w:val="clear" w:pos="284"/>
        </w:tabs>
        <w:autoSpaceDE w:val="0"/>
        <w:autoSpaceDN w:val="0"/>
        <w:adjustRightInd w:val="0"/>
        <w:rPr>
          <w:noProof/>
          <w:szCs w:val="22"/>
          <w:lang w:val="sr-Latn-BA"/>
        </w:rPr>
      </w:pPr>
    </w:p>
    <w:p w14:paraId="3CB5EBDA" w14:textId="77777777" w:rsidR="00C65DB1" w:rsidRPr="0051150C" w:rsidRDefault="00C65DB1" w:rsidP="009173F4">
      <w:pPr>
        <w:tabs>
          <w:tab w:val="clear" w:pos="284"/>
        </w:tabs>
        <w:autoSpaceDE w:val="0"/>
        <w:autoSpaceDN w:val="0"/>
        <w:adjustRightInd w:val="0"/>
        <w:rPr>
          <w:i/>
          <w:iCs/>
          <w:noProof/>
          <w:szCs w:val="22"/>
          <w:lang w:val="sr-Latn-BA"/>
        </w:rPr>
      </w:pPr>
      <w:r w:rsidRPr="0051150C">
        <w:rPr>
          <w:i/>
          <w:iCs/>
          <w:noProof/>
          <w:szCs w:val="22"/>
          <w:lang w:val="sr-Latn-BA"/>
        </w:rPr>
        <w:t>Oštećenje funkcije jetre</w:t>
      </w:r>
    </w:p>
    <w:p w14:paraId="0BF1B034" w14:textId="128B51DB"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Nije potrebno prilagođavati dozu kod pacijenata sa postojećim blagim oštećenjem funkcije jetre,</w:t>
      </w:r>
      <w:r w:rsidR="00EF5DA5" w:rsidRPr="0051150C">
        <w:rPr>
          <w:noProof/>
          <w:szCs w:val="22"/>
          <w:lang w:val="sr-Latn-BA"/>
        </w:rPr>
        <w:t xml:space="preserve"> </w:t>
      </w:r>
      <w:r w:rsidRPr="0051150C">
        <w:rPr>
          <w:i/>
          <w:iCs/>
          <w:noProof/>
          <w:szCs w:val="22"/>
          <w:lang w:val="sr-Latn-BA"/>
        </w:rPr>
        <w:t xml:space="preserve">Child-Pugh </w:t>
      </w:r>
      <w:r w:rsidRPr="0051150C">
        <w:rPr>
          <w:noProof/>
          <w:szCs w:val="22"/>
          <w:lang w:val="sr-Latn-BA"/>
        </w:rPr>
        <w:t>klase A.</w:t>
      </w:r>
    </w:p>
    <w:p w14:paraId="284DFEA8" w14:textId="77777777" w:rsidR="00EF5DA5" w:rsidRPr="0051150C" w:rsidRDefault="00EF5DA5" w:rsidP="009173F4">
      <w:pPr>
        <w:tabs>
          <w:tab w:val="clear" w:pos="284"/>
        </w:tabs>
        <w:autoSpaceDE w:val="0"/>
        <w:autoSpaceDN w:val="0"/>
        <w:adjustRightInd w:val="0"/>
        <w:rPr>
          <w:noProof/>
          <w:szCs w:val="22"/>
          <w:lang w:val="sr-Latn-BA"/>
        </w:rPr>
      </w:pPr>
    </w:p>
    <w:p w14:paraId="0E081345" w14:textId="4F8DAF8D" w:rsidR="00C65DB1" w:rsidRPr="0051150C" w:rsidRDefault="00EF5DA5" w:rsidP="009173F4">
      <w:pPr>
        <w:tabs>
          <w:tab w:val="clear" w:pos="284"/>
        </w:tabs>
        <w:autoSpaceDE w:val="0"/>
        <w:autoSpaceDN w:val="0"/>
        <w:adjustRightInd w:val="0"/>
        <w:rPr>
          <w:noProof/>
          <w:szCs w:val="22"/>
          <w:lang w:val="sr-Latn-BA"/>
        </w:rPr>
      </w:pPr>
      <w:r w:rsidRPr="0051150C">
        <w:rPr>
          <w:noProof/>
          <w:szCs w:val="22"/>
          <w:lang w:val="sr-Latn-BA"/>
        </w:rPr>
        <w:t>Dokazano</w:t>
      </w:r>
      <w:r w:rsidR="00C65DB1" w:rsidRPr="0051150C">
        <w:rPr>
          <w:noProof/>
          <w:szCs w:val="22"/>
          <w:lang w:val="sr-Latn-BA"/>
        </w:rPr>
        <w:t xml:space="preserve"> je da um</w:t>
      </w:r>
      <w:r w:rsidR="00FC3A20" w:rsidRPr="0051150C">
        <w:rPr>
          <w:noProof/>
          <w:szCs w:val="22"/>
          <w:lang w:val="sr-Latn-BA"/>
        </w:rPr>
        <w:t>j</w:t>
      </w:r>
      <w:r w:rsidR="00C65DB1" w:rsidRPr="0051150C">
        <w:rPr>
          <w:noProof/>
          <w:szCs w:val="22"/>
          <w:lang w:val="sr-Latn-BA"/>
        </w:rPr>
        <w:t>ereno oštećenje funkcije jetre (</w:t>
      </w:r>
      <w:r w:rsidR="00C65DB1" w:rsidRPr="0051150C">
        <w:rPr>
          <w:i/>
          <w:iCs/>
          <w:noProof/>
          <w:szCs w:val="22"/>
          <w:lang w:val="sr-Latn-BA"/>
        </w:rPr>
        <w:t xml:space="preserve">Child-Pugh </w:t>
      </w:r>
      <w:r w:rsidR="00C65DB1" w:rsidRPr="0051150C">
        <w:rPr>
          <w:noProof/>
          <w:szCs w:val="22"/>
          <w:lang w:val="sr-Latn-BA"/>
        </w:rPr>
        <w:t>klase B) povećava sistemsku izloženost</w:t>
      </w:r>
      <w:r w:rsidRPr="0051150C">
        <w:rPr>
          <w:noProof/>
          <w:szCs w:val="22"/>
          <w:lang w:val="sr-Latn-BA"/>
        </w:rPr>
        <w:t xml:space="preserve"> </w:t>
      </w:r>
      <w:r w:rsidR="00C65DB1" w:rsidRPr="0051150C">
        <w:rPr>
          <w:noProof/>
          <w:szCs w:val="22"/>
          <w:lang w:val="sr-Latn-BA"/>
        </w:rPr>
        <w:t xml:space="preserve">abirateronu za približno četiri puta nakon </w:t>
      </w:r>
      <w:r w:rsidR="00096FAA" w:rsidRPr="0051150C">
        <w:rPr>
          <w:noProof/>
          <w:szCs w:val="22"/>
          <w:lang w:val="sr-Latn-BA"/>
        </w:rPr>
        <w:t>primjen</w:t>
      </w:r>
      <w:r w:rsidR="00C65DB1" w:rsidRPr="0051150C">
        <w:rPr>
          <w:noProof/>
          <w:szCs w:val="22"/>
          <w:lang w:val="sr-Latn-BA"/>
        </w:rPr>
        <w:t>e pojed</w:t>
      </w:r>
      <w:r w:rsidR="00D47802" w:rsidRPr="0051150C">
        <w:rPr>
          <w:noProof/>
          <w:szCs w:val="22"/>
          <w:lang w:val="sr-Latn-BA"/>
        </w:rPr>
        <w:t>inačnih oralnih doza abirateron</w:t>
      </w:r>
      <w:r w:rsidR="00FC3A20" w:rsidRPr="0051150C">
        <w:rPr>
          <w:noProof/>
          <w:szCs w:val="22"/>
          <w:lang w:val="sr-Latn-BA"/>
        </w:rPr>
        <w:t>-</w:t>
      </w:r>
      <w:r w:rsidR="00C65DB1" w:rsidRPr="0051150C">
        <w:rPr>
          <w:noProof/>
          <w:szCs w:val="22"/>
          <w:lang w:val="sr-Latn-BA"/>
        </w:rPr>
        <w:t>acetata od</w:t>
      </w:r>
      <w:r w:rsidRPr="0051150C">
        <w:rPr>
          <w:noProof/>
          <w:szCs w:val="22"/>
          <w:lang w:val="sr-Latn-BA"/>
        </w:rPr>
        <w:t xml:space="preserve"> </w:t>
      </w:r>
      <w:r w:rsidR="00C65DB1" w:rsidRPr="0051150C">
        <w:rPr>
          <w:noProof/>
          <w:szCs w:val="22"/>
          <w:lang w:val="sr-Latn-BA"/>
        </w:rPr>
        <w:t>1000 mg (</w:t>
      </w:r>
      <w:r w:rsidR="00F43B54" w:rsidRPr="00410EF6">
        <w:rPr>
          <w:noProof/>
          <w:szCs w:val="22"/>
          <w:lang w:val="sr-Latn-BA"/>
        </w:rPr>
        <w:t>vidjeti dio</w:t>
      </w:r>
      <w:r w:rsidR="004F6B34" w:rsidRPr="00410EF6">
        <w:rPr>
          <w:noProof/>
          <w:szCs w:val="22"/>
          <w:lang w:val="sr-Latn-BA"/>
        </w:rPr>
        <w:t xml:space="preserve"> </w:t>
      </w:r>
      <w:r w:rsidR="00C65DB1" w:rsidRPr="00410EF6">
        <w:rPr>
          <w:noProof/>
          <w:szCs w:val="22"/>
          <w:lang w:val="sr-Latn-BA"/>
        </w:rPr>
        <w:t>5.2</w:t>
      </w:r>
      <w:r w:rsidR="00C65DB1" w:rsidRPr="0051150C">
        <w:rPr>
          <w:noProof/>
          <w:szCs w:val="22"/>
          <w:lang w:val="sr-Latn-BA"/>
        </w:rPr>
        <w:t>). Nema podataka o kliničkoj bezb</w:t>
      </w:r>
      <w:r w:rsidR="00B23113" w:rsidRPr="0051150C">
        <w:rPr>
          <w:noProof/>
          <w:szCs w:val="22"/>
          <w:lang w:val="sr-Latn-BA"/>
        </w:rPr>
        <w:t>j</w:t>
      </w:r>
      <w:r w:rsidR="00C65DB1" w:rsidRPr="0051150C">
        <w:rPr>
          <w:noProof/>
          <w:szCs w:val="22"/>
          <w:lang w:val="sr-Latn-BA"/>
        </w:rPr>
        <w:t xml:space="preserve">ednosti i efikasnosti </w:t>
      </w:r>
      <w:r w:rsidR="004F6B34">
        <w:rPr>
          <w:noProof/>
          <w:szCs w:val="22"/>
          <w:lang w:val="sr-Latn-BA"/>
        </w:rPr>
        <w:t xml:space="preserve">primjene </w:t>
      </w:r>
      <w:r w:rsidR="00C65DB1" w:rsidRPr="0051150C">
        <w:rPr>
          <w:noProof/>
          <w:szCs w:val="22"/>
          <w:lang w:val="sr-Latn-BA"/>
        </w:rPr>
        <w:t>višestrukih doza</w:t>
      </w:r>
      <w:r w:rsidRPr="0051150C">
        <w:rPr>
          <w:noProof/>
          <w:szCs w:val="22"/>
          <w:lang w:val="sr-Latn-BA"/>
        </w:rPr>
        <w:t xml:space="preserve"> </w:t>
      </w:r>
      <w:r w:rsidR="00D47802" w:rsidRPr="0051150C">
        <w:rPr>
          <w:noProof/>
          <w:szCs w:val="22"/>
          <w:lang w:val="sr-Latn-BA"/>
        </w:rPr>
        <w:t>abirateron</w:t>
      </w:r>
      <w:r w:rsidR="00845DDD">
        <w:rPr>
          <w:noProof/>
          <w:szCs w:val="22"/>
          <w:lang w:val="sr-Latn-BA"/>
        </w:rPr>
        <w:t xml:space="preserve"> </w:t>
      </w:r>
      <w:r w:rsidR="00C65DB1" w:rsidRPr="0051150C">
        <w:rPr>
          <w:noProof/>
          <w:szCs w:val="22"/>
          <w:lang w:val="sr-Latn-BA"/>
        </w:rPr>
        <w:t xml:space="preserve">acetata </w:t>
      </w:r>
      <w:r w:rsidRPr="0051150C">
        <w:rPr>
          <w:noProof/>
          <w:szCs w:val="22"/>
          <w:lang w:val="sr-Latn-BA"/>
        </w:rPr>
        <w:t xml:space="preserve">kod pacijenata </w:t>
      </w:r>
      <w:r w:rsidR="00C65DB1" w:rsidRPr="0051150C">
        <w:rPr>
          <w:noProof/>
          <w:szCs w:val="22"/>
          <w:lang w:val="sr-Latn-BA"/>
        </w:rPr>
        <w:t>sa um</w:t>
      </w:r>
      <w:r w:rsidR="00B23113" w:rsidRPr="0051150C">
        <w:rPr>
          <w:noProof/>
          <w:szCs w:val="22"/>
          <w:lang w:val="sr-Latn-BA"/>
        </w:rPr>
        <w:t>j</w:t>
      </w:r>
      <w:r w:rsidR="00C65DB1" w:rsidRPr="0051150C">
        <w:rPr>
          <w:noProof/>
          <w:szCs w:val="22"/>
          <w:lang w:val="sr-Latn-BA"/>
        </w:rPr>
        <w:t>erenim ili teškim oštećenjem funkcije jetre (</w:t>
      </w:r>
      <w:r w:rsidR="00C65DB1" w:rsidRPr="0051150C">
        <w:rPr>
          <w:i/>
          <w:iCs/>
          <w:noProof/>
          <w:szCs w:val="22"/>
          <w:lang w:val="sr-Latn-BA"/>
        </w:rPr>
        <w:t xml:space="preserve">Child-Pugh </w:t>
      </w:r>
      <w:r w:rsidR="00C65DB1" w:rsidRPr="0051150C">
        <w:rPr>
          <w:noProof/>
          <w:szCs w:val="22"/>
          <w:lang w:val="sr-Latn-BA"/>
        </w:rPr>
        <w:t xml:space="preserve">klase B ili C). </w:t>
      </w:r>
      <w:r w:rsidR="00AC5F8D">
        <w:rPr>
          <w:noProof/>
          <w:szCs w:val="22"/>
          <w:lang w:val="sr-Latn-BA"/>
        </w:rPr>
        <w:t xml:space="preserve">Prilagođavanje doze se ne može predvidjeti. </w:t>
      </w:r>
      <w:r w:rsidR="00096FAA" w:rsidRPr="0051150C">
        <w:rPr>
          <w:noProof/>
          <w:szCs w:val="22"/>
          <w:lang w:val="sr-Latn-BA"/>
        </w:rPr>
        <w:t>Primjen</w:t>
      </w:r>
      <w:r w:rsidR="00D47802" w:rsidRPr="0051150C">
        <w:rPr>
          <w:noProof/>
          <w:szCs w:val="22"/>
          <w:lang w:val="sr-Latn-BA"/>
        </w:rPr>
        <w:t>i</w:t>
      </w:r>
      <w:r w:rsidR="00C65DB1" w:rsidRPr="0051150C">
        <w:rPr>
          <w:noProof/>
          <w:szCs w:val="22"/>
          <w:lang w:val="sr-Latn-BA"/>
        </w:rPr>
        <w:t xml:space="preserve"> </w:t>
      </w:r>
      <w:r w:rsidR="00096FAA" w:rsidRPr="0051150C">
        <w:rPr>
          <w:noProof/>
          <w:szCs w:val="22"/>
          <w:lang w:val="sr-Latn-BA"/>
        </w:rPr>
        <w:t>lijek</w:t>
      </w:r>
      <w:r w:rsidR="00C65DB1" w:rsidRPr="0051150C">
        <w:rPr>
          <w:noProof/>
          <w:szCs w:val="22"/>
          <w:lang w:val="sr-Latn-BA"/>
        </w:rPr>
        <w:t xml:space="preserve">a </w:t>
      </w:r>
      <w:r w:rsidR="00C315BF" w:rsidRPr="0051150C">
        <w:rPr>
          <w:noProof/>
          <w:szCs w:val="22"/>
          <w:lang w:val="sr-Latn-BA"/>
        </w:rPr>
        <w:t xml:space="preserve">Jonosol </w:t>
      </w:r>
      <w:r w:rsidR="00C65DB1" w:rsidRPr="0051150C">
        <w:rPr>
          <w:noProof/>
          <w:szCs w:val="22"/>
          <w:lang w:val="sr-Latn-BA"/>
        </w:rPr>
        <w:t>treba pažljivo</w:t>
      </w:r>
      <w:r w:rsidRPr="0051150C">
        <w:rPr>
          <w:noProof/>
          <w:szCs w:val="22"/>
          <w:lang w:val="sr-Latn-BA"/>
        </w:rPr>
        <w:t xml:space="preserve"> </w:t>
      </w:r>
      <w:r w:rsidR="00D47802" w:rsidRPr="0051150C">
        <w:rPr>
          <w:noProof/>
          <w:szCs w:val="22"/>
          <w:lang w:val="sr-Latn-BA"/>
        </w:rPr>
        <w:t>pristupiti</w:t>
      </w:r>
      <w:r w:rsidR="00C65DB1" w:rsidRPr="0051150C">
        <w:rPr>
          <w:noProof/>
          <w:szCs w:val="22"/>
          <w:lang w:val="sr-Latn-BA"/>
        </w:rPr>
        <w:t xml:space="preserve"> kod pacijenata sa um</w:t>
      </w:r>
      <w:r w:rsidR="00B23113" w:rsidRPr="0051150C">
        <w:rPr>
          <w:noProof/>
          <w:szCs w:val="22"/>
          <w:lang w:val="sr-Latn-BA"/>
        </w:rPr>
        <w:t>j</w:t>
      </w:r>
      <w:r w:rsidR="00C65DB1" w:rsidRPr="0051150C">
        <w:rPr>
          <w:noProof/>
          <w:szCs w:val="22"/>
          <w:lang w:val="sr-Latn-BA"/>
        </w:rPr>
        <w:t xml:space="preserve">erenim oštećenjem funkcije jetre, kod kojih korist </w:t>
      </w:r>
      <w:r w:rsidR="00096FAA" w:rsidRPr="0051150C">
        <w:rPr>
          <w:noProof/>
          <w:szCs w:val="22"/>
          <w:lang w:val="sr-Latn-BA"/>
        </w:rPr>
        <w:t>primjen</w:t>
      </w:r>
      <w:r w:rsidR="00C65DB1" w:rsidRPr="0051150C">
        <w:rPr>
          <w:noProof/>
          <w:szCs w:val="22"/>
          <w:lang w:val="sr-Latn-BA"/>
        </w:rPr>
        <w:t xml:space="preserve">e treba jasno </w:t>
      </w:r>
      <w:r w:rsidRPr="0051150C">
        <w:rPr>
          <w:noProof/>
          <w:szCs w:val="22"/>
          <w:lang w:val="sr-Latn-BA"/>
        </w:rPr>
        <w:t xml:space="preserve">da </w:t>
      </w:r>
      <w:r w:rsidR="00C65DB1" w:rsidRPr="0051150C">
        <w:rPr>
          <w:noProof/>
          <w:szCs w:val="22"/>
          <w:lang w:val="sr-Latn-BA"/>
        </w:rPr>
        <w:t>prevazilazi mogući rizik (</w:t>
      </w:r>
      <w:r w:rsidR="00096FAA" w:rsidRPr="00410EF6">
        <w:rPr>
          <w:noProof/>
          <w:szCs w:val="22"/>
          <w:lang w:val="sr-Latn-BA"/>
        </w:rPr>
        <w:t>vidjeti</w:t>
      </w:r>
      <w:r w:rsidR="00C65DB1" w:rsidRPr="00410EF6">
        <w:rPr>
          <w:noProof/>
          <w:szCs w:val="22"/>
          <w:lang w:val="sr-Latn-BA"/>
        </w:rPr>
        <w:t xml:space="preserve"> </w:t>
      </w:r>
      <w:r w:rsidR="004F6B34" w:rsidRPr="00410EF6">
        <w:rPr>
          <w:noProof/>
          <w:szCs w:val="22"/>
          <w:lang w:val="sr-Latn-BA"/>
        </w:rPr>
        <w:t>djelove</w:t>
      </w:r>
      <w:r w:rsidR="00C65DB1" w:rsidRPr="00410EF6">
        <w:rPr>
          <w:noProof/>
          <w:szCs w:val="22"/>
          <w:lang w:val="sr-Latn-BA"/>
        </w:rPr>
        <w:t xml:space="preserve"> 4.2 i 5.2</w:t>
      </w:r>
      <w:r w:rsidR="00C65DB1" w:rsidRPr="0051150C">
        <w:rPr>
          <w:noProof/>
          <w:szCs w:val="22"/>
          <w:lang w:val="sr-Latn-BA"/>
        </w:rPr>
        <w:t xml:space="preserve">). </w:t>
      </w:r>
      <w:r w:rsidR="00096FAA" w:rsidRPr="0051150C">
        <w:rPr>
          <w:noProof/>
          <w:szCs w:val="22"/>
          <w:lang w:val="sr-Latn-BA"/>
        </w:rPr>
        <w:t>Lijek</w:t>
      </w:r>
      <w:r w:rsidR="00C65DB1" w:rsidRPr="0051150C">
        <w:rPr>
          <w:noProof/>
          <w:szCs w:val="22"/>
          <w:lang w:val="sr-Latn-BA"/>
        </w:rPr>
        <w:t xml:space="preserve"> </w:t>
      </w:r>
      <w:r w:rsidR="00C315BF" w:rsidRPr="0051150C">
        <w:rPr>
          <w:noProof/>
          <w:szCs w:val="22"/>
          <w:lang w:val="sr-Latn-BA"/>
        </w:rPr>
        <w:t xml:space="preserve">Jonosol </w:t>
      </w:r>
      <w:r w:rsidR="00C65DB1" w:rsidRPr="0051150C">
        <w:rPr>
          <w:noProof/>
          <w:szCs w:val="22"/>
          <w:lang w:val="sr-Latn-BA"/>
        </w:rPr>
        <w:t xml:space="preserve">ne treba </w:t>
      </w:r>
      <w:r w:rsidR="00096FAA" w:rsidRPr="0051150C">
        <w:rPr>
          <w:noProof/>
          <w:szCs w:val="22"/>
          <w:lang w:val="sr-Latn-BA"/>
        </w:rPr>
        <w:t>primjen</w:t>
      </w:r>
      <w:r w:rsidR="00C65DB1" w:rsidRPr="0051150C">
        <w:rPr>
          <w:noProof/>
          <w:szCs w:val="22"/>
          <w:lang w:val="sr-Latn-BA"/>
        </w:rPr>
        <w:t>jivati kod</w:t>
      </w:r>
      <w:r w:rsidRPr="0051150C">
        <w:rPr>
          <w:noProof/>
          <w:szCs w:val="22"/>
          <w:lang w:val="sr-Latn-BA"/>
        </w:rPr>
        <w:t xml:space="preserve"> </w:t>
      </w:r>
      <w:r w:rsidR="00C65DB1" w:rsidRPr="0051150C">
        <w:rPr>
          <w:noProof/>
          <w:szCs w:val="22"/>
          <w:lang w:val="sr-Latn-BA"/>
        </w:rPr>
        <w:t>pacijenata sa teškim oštećenjem funkcije jetre (</w:t>
      </w:r>
      <w:r w:rsidR="00096FAA" w:rsidRPr="00410EF6">
        <w:rPr>
          <w:noProof/>
          <w:szCs w:val="22"/>
          <w:lang w:val="sr-Latn-BA"/>
        </w:rPr>
        <w:t>vidjeti</w:t>
      </w:r>
      <w:r w:rsidR="00C65DB1" w:rsidRPr="00410EF6">
        <w:rPr>
          <w:noProof/>
          <w:szCs w:val="22"/>
          <w:lang w:val="sr-Latn-BA"/>
        </w:rPr>
        <w:t xml:space="preserve"> </w:t>
      </w:r>
      <w:r w:rsidR="004F6B34" w:rsidRPr="00410EF6">
        <w:rPr>
          <w:noProof/>
          <w:szCs w:val="22"/>
          <w:lang w:val="sr-Latn-BA"/>
        </w:rPr>
        <w:t>djelove</w:t>
      </w:r>
      <w:r w:rsidR="00C65DB1" w:rsidRPr="00410EF6">
        <w:rPr>
          <w:noProof/>
          <w:szCs w:val="22"/>
          <w:lang w:val="sr-Latn-BA"/>
        </w:rPr>
        <w:t xml:space="preserve"> 4.3, 4.4 i 5.2</w:t>
      </w:r>
      <w:r w:rsidR="00C65DB1" w:rsidRPr="0051150C">
        <w:rPr>
          <w:noProof/>
          <w:szCs w:val="22"/>
          <w:lang w:val="sr-Latn-BA"/>
        </w:rPr>
        <w:t>).</w:t>
      </w:r>
    </w:p>
    <w:p w14:paraId="2AA482C8" w14:textId="77777777" w:rsidR="00EF5DA5" w:rsidRPr="0051150C" w:rsidRDefault="00EF5DA5" w:rsidP="009173F4">
      <w:pPr>
        <w:tabs>
          <w:tab w:val="clear" w:pos="284"/>
        </w:tabs>
        <w:autoSpaceDE w:val="0"/>
        <w:autoSpaceDN w:val="0"/>
        <w:adjustRightInd w:val="0"/>
        <w:rPr>
          <w:noProof/>
          <w:szCs w:val="22"/>
          <w:lang w:val="sr-Latn-BA"/>
        </w:rPr>
      </w:pPr>
    </w:p>
    <w:p w14:paraId="66D8003A" w14:textId="77777777" w:rsidR="00C65DB1" w:rsidRPr="0051150C" w:rsidRDefault="00C65DB1" w:rsidP="009173F4">
      <w:pPr>
        <w:tabs>
          <w:tab w:val="clear" w:pos="284"/>
        </w:tabs>
        <w:autoSpaceDE w:val="0"/>
        <w:autoSpaceDN w:val="0"/>
        <w:adjustRightInd w:val="0"/>
        <w:rPr>
          <w:i/>
          <w:iCs/>
          <w:noProof/>
          <w:szCs w:val="22"/>
          <w:lang w:val="sr-Latn-BA"/>
        </w:rPr>
      </w:pPr>
      <w:r w:rsidRPr="0051150C">
        <w:rPr>
          <w:i/>
          <w:iCs/>
          <w:noProof/>
          <w:szCs w:val="22"/>
          <w:lang w:val="sr-Latn-BA"/>
        </w:rPr>
        <w:t>Oštećenje funkcije bubrega</w:t>
      </w:r>
    </w:p>
    <w:p w14:paraId="2D17F30F" w14:textId="5811AE64" w:rsidR="00C65DB1" w:rsidRPr="0051150C" w:rsidRDefault="00C65DB1" w:rsidP="009173F4">
      <w:pPr>
        <w:tabs>
          <w:tab w:val="clear" w:pos="284"/>
        </w:tabs>
        <w:autoSpaceDE w:val="0"/>
        <w:autoSpaceDN w:val="0"/>
        <w:adjustRightInd w:val="0"/>
        <w:rPr>
          <w:noProof/>
          <w:szCs w:val="22"/>
          <w:lang w:val="sr-Latn-BA"/>
        </w:rPr>
      </w:pPr>
      <w:r w:rsidRPr="0051150C">
        <w:rPr>
          <w:noProof/>
          <w:szCs w:val="22"/>
          <w:lang w:val="sr-Latn-BA"/>
        </w:rPr>
        <w:t>Nije neophodno prilagođavanje doze kod pacijenata sa oštećenjem bubrežne funkcije (</w:t>
      </w:r>
      <w:r w:rsidR="00F43B54" w:rsidRPr="00410EF6">
        <w:rPr>
          <w:noProof/>
          <w:szCs w:val="22"/>
          <w:lang w:val="sr-Latn-BA"/>
        </w:rPr>
        <w:t>vidjeti dio</w:t>
      </w:r>
      <w:r w:rsidR="004F6B34" w:rsidRPr="00410EF6">
        <w:rPr>
          <w:noProof/>
          <w:szCs w:val="22"/>
          <w:lang w:val="sr-Latn-BA"/>
        </w:rPr>
        <w:t xml:space="preserve"> </w:t>
      </w:r>
      <w:r w:rsidRPr="00410EF6">
        <w:rPr>
          <w:noProof/>
          <w:szCs w:val="22"/>
          <w:lang w:val="sr-Latn-BA"/>
        </w:rPr>
        <w:t>5.2</w:t>
      </w:r>
      <w:r w:rsidRPr="0051150C">
        <w:rPr>
          <w:noProof/>
          <w:szCs w:val="22"/>
          <w:lang w:val="sr-Latn-BA"/>
        </w:rPr>
        <w:t>)</w:t>
      </w:r>
      <w:r w:rsidRPr="0051150C">
        <w:rPr>
          <w:i/>
          <w:iCs/>
          <w:noProof/>
          <w:szCs w:val="22"/>
          <w:lang w:val="sr-Latn-BA"/>
        </w:rPr>
        <w:t xml:space="preserve">. </w:t>
      </w:r>
      <w:r w:rsidRPr="0051150C">
        <w:rPr>
          <w:noProof/>
          <w:szCs w:val="22"/>
          <w:lang w:val="sr-Latn-BA"/>
        </w:rPr>
        <w:t>Međutim, nema kliničk</w:t>
      </w:r>
      <w:r w:rsidR="004F6B34">
        <w:rPr>
          <w:noProof/>
          <w:szCs w:val="22"/>
          <w:lang w:val="sr-Latn-BA"/>
        </w:rPr>
        <w:t>og</w:t>
      </w:r>
      <w:r w:rsidRPr="0051150C">
        <w:rPr>
          <w:noProof/>
          <w:szCs w:val="22"/>
          <w:lang w:val="sr-Latn-BA"/>
        </w:rPr>
        <w:t xml:space="preserve"> iskustva sa pacijentima koji imaju </w:t>
      </w:r>
      <w:r w:rsidR="004F6B34">
        <w:rPr>
          <w:noProof/>
          <w:szCs w:val="22"/>
          <w:lang w:val="sr-Latn-BA"/>
        </w:rPr>
        <w:t>karcinom</w:t>
      </w:r>
      <w:r w:rsidRPr="0051150C">
        <w:rPr>
          <w:noProof/>
          <w:szCs w:val="22"/>
          <w:lang w:val="sr-Latn-BA"/>
        </w:rPr>
        <w:t xml:space="preserve"> prostate i teško oštećenje</w:t>
      </w:r>
      <w:r w:rsidR="00EF5DA5" w:rsidRPr="0051150C">
        <w:rPr>
          <w:noProof/>
          <w:szCs w:val="22"/>
          <w:lang w:val="sr-Latn-BA"/>
        </w:rPr>
        <w:t xml:space="preserve"> </w:t>
      </w:r>
      <w:r w:rsidRPr="0051150C">
        <w:rPr>
          <w:noProof/>
          <w:szCs w:val="22"/>
          <w:lang w:val="sr-Latn-BA"/>
        </w:rPr>
        <w:t>funkcije bubrega. Kod ovih pacijenata sav</w:t>
      </w:r>
      <w:r w:rsidR="00B23113" w:rsidRPr="0051150C">
        <w:rPr>
          <w:noProof/>
          <w:szCs w:val="22"/>
          <w:lang w:val="sr-Latn-BA"/>
        </w:rPr>
        <w:t>j</w:t>
      </w:r>
      <w:r w:rsidRPr="0051150C">
        <w:rPr>
          <w:noProof/>
          <w:szCs w:val="22"/>
          <w:lang w:val="sr-Latn-BA"/>
        </w:rPr>
        <w:t>etuje se oprez (</w:t>
      </w:r>
      <w:r w:rsidR="00F43B54" w:rsidRPr="00410EF6">
        <w:rPr>
          <w:noProof/>
          <w:szCs w:val="22"/>
          <w:lang w:val="sr-Latn-BA"/>
        </w:rPr>
        <w:t>vidjeti dio</w:t>
      </w:r>
      <w:r w:rsidR="004F6B34" w:rsidRPr="00410EF6">
        <w:rPr>
          <w:noProof/>
          <w:szCs w:val="22"/>
          <w:lang w:val="sr-Latn-BA"/>
        </w:rPr>
        <w:t xml:space="preserve"> </w:t>
      </w:r>
      <w:r w:rsidRPr="00410EF6">
        <w:rPr>
          <w:noProof/>
          <w:szCs w:val="22"/>
          <w:lang w:val="sr-Latn-BA"/>
        </w:rPr>
        <w:t>4.4</w:t>
      </w:r>
      <w:r w:rsidRPr="0051150C">
        <w:rPr>
          <w:noProof/>
          <w:szCs w:val="22"/>
          <w:lang w:val="sr-Latn-BA"/>
        </w:rPr>
        <w:t>).</w:t>
      </w:r>
      <w:r w:rsidR="00EF5DA5" w:rsidRPr="0051150C">
        <w:rPr>
          <w:noProof/>
          <w:szCs w:val="22"/>
          <w:lang w:val="sr-Latn-BA"/>
        </w:rPr>
        <w:t xml:space="preserve"> </w:t>
      </w:r>
    </w:p>
    <w:p w14:paraId="06282FAA" w14:textId="77777777" w:rsidR="00EF5DA5" w:rsidRPr="0051150C" w:rsidRDefault="00EF5DA5" w:rsidP="009173F4">
      <w:pPr>
        <w:tabs>
          <w:tab w:val="clear" w:pos="284"/>
        </w:tabs>
        <w:autoSpaceDE w:val="0"/>
        <w:autoSpaceDN w:val="0"/>
        <w:adjustRightInd w:val="0"/>
        <w:rPr>
          <w:noProof/>
          <w:szCs w:val="22"/>
          <w:lang w:val="sr-Latn-BA"/>
        </w:rPr>
      </w:pPr>
    </w:p>
    <w:p w14:paraId="0AD45281" w14:textId="77777777" w:rsidR="00C65DB1" w:rsidRPr="0051150C" w:rsidRDefault="00C65DB1" w:rsidP="009173F4">
      <w:pPr>
        <w:tabs>
          <w:tab w:val="clear" w:pos="284"/>
        </w:tabs>
        <w:autoSpaceDE w:val="0"/>
        <w:autoSpaceDN w:val="0"/>
        <w:adjustRightInd w:val="0"/>
        <w:rPr>
          <w:i/>
          <w:iCs/>
          <w:noProof/>
          <w:szCs w:val="22"/>
          <w:lang w:val="sr-Latn-BA"/>
        </w:rPr>
      </w:pPr>
      <w:r w:rsidRPr="0051150C">
        <w:rPr>
          <w:i/>
          <w:iCs/>
          <w:noProof/>
          <w:szCs w:val="22"/>
          <w:lang w:val="sr-Latn-BA"/>
        </w:rPr>
        <w:t>Pedijatrijska populacija</w:t>
      </w:r>
    </w:p>
    <w:p w14:paraId="09BB8BA3" w14:textId="2FA936F7" w:rsidR="00C65DB1" w:rsidRDefault="00C65DB1" w:rsidP="009173F4">
      <w:pPr>
        <w:rPr>
          <w:noProof/>
          <w:szCs w:val="22"/>
          <w:lang w:val="sr-Latn-BA"/>
        </w:rPr>
      </w:pPr>
      <w:r w:rsidRPr="0051150C">
        <w:rPr>
          <w:noProof/>
          <w:szCs w:val="22"/>
          <w:lang w:val="sr-Latn-BA"/>
        </w:rPr>
        <w:t xml:space="preserve">Nema relevantne </w:t>
      </w:r>
      <w:r w:rsidR="00096FAA" w:rsidRPr="0051150C">
        <w:rPr>
          <w:noProof/>
          <w:szCs w:val="22"/>
          <w:lang w:val="sr-Latn-BA"/>
        </w:rPr>
        <w:t>primjen</w:t>
      </w:r>
      <w:r w:rsidRPr="0051150C">
        <w:rPr>
          <w:noProof/>
          <w:szCs w:val="22"/>
          <w:lang w:val="sr-Latn-BA"/>
        </w:rPr>
        <w:t xml:space="preserve">e </w:t>
      </w:r>
      <w:r w:rsidR="00096FAA" w:rsidRPr="0051150C">
        <w:rPr>
          <w:noProof/>
          <w:szCs w:val="22"/>
          <w:lang w:val="sr-Latn-BA"/>
        </w:rPr>
        <w:t>lijek</w:t>
      </w:r>
      <w:r w:rsidRPr="0051150C">
        <w:rPr>
          <w:noProof/>
          <w:szCs w:val="22"/>
          <w:lang w:val="sr-Latn-BA"/>
        </w:rPr>
        <w:t xml:space="preserve">a </w:t>
      </w:r>
      <w:r w:rsidR="00C315BF" w:rsidRPr="0051150C">
        <w:rPr>
          <w:noProof/>
          <w:szCs w:val="22"/>
          <w:lang w:val="sr-Latn-BA"/>
        </w:rPr>
        <w:t xml:space="preserve">Jonosol </w:t>
      </w:r>
      <w:r w:rsidRPr="0051150C">
        <w:rPr>
          <w:noProof/>
          <w:szCs w:val="22"/>
          <w:lang w:val="sr-Latn-BA"/>
        </w:rPr>
        <w:t>u pedijatrijskoj populaciji.</w:t>
      </w:r>
    </w:p>
    <w:p w14:paraId="29895E7A" w14:textId="4A3DFE4F" w:rsidR="00C65DB1" w:rsidRPr="00410EF6" w:rsidRDefault="004F6B34" w:rsidP="009173F4">
      <w:pPr>
        <w:rPr>
          <w:noProof/>
          <w:szCs w:val="22"/>
          <w:u w:val="single"/>
          <w:lang w:val="sr-Latn-BA"/>
        </w:rPr>
      </w:pPr>
      <w:r w:rsidRPr="00410EF6">
        <w:rPr>
          <w:noProof/>
          <w:szCs w:val="22"/>
          <w:u w:val="single"/>
          <w:lang w:val="sr-Latn-BA"/>
        </w:rPr>
        <w:lastRenderedPageBreak/>
        <w:t>Način primjene</w:t>
      </w:r>
    </w:p>
    <w:p w14:paraId="30510890" w14:textId="41717258" w:rsidR="00C65DB1"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Lijek</w:t>
      </w:r>
      <w:r w:rsidR="00C65DB1" w:rsidRPr="0051150C">
        <w:rPr>
          <w:noProof/>
          <w:szCs w:val="22"/>
          <w:lang w:val="sr-Latn-BA"/>
        </w:rPr>
        <w:t xml:space="preserve"> </w:t>
      </w:r>
      <w:r w:rsidR="00C315BF" w:rsidRPr="0051150C">
        <w:rPr>
          <w:noProof/>
          <w:szCs w:val="22"/>
          <w:lang w:val="sr-Latn-BA"/>
        </w:rPr>
        <w:t xml:space="preserve">Jonosol </w:t>
      </w:r>
      <w:r w:rsidR="00C65DB1" w:rsidRPr="0051150C">
        <w:rPr>
          <w:noProof/>
          <w:szCs w:val="22"/>
          <w:lang w:val="sr-Latn-BA"/>
        </w:rPr>
        <w:t xml:space="preserve">je </w:t>
      </w:r>
      <w:r w:rsidRPr="0051150C">
        <w:rPr>
          <w:noProof/>
          <w:szCs w:val="22"/>
          <w:lang w:val="sr-Latn-BA"/>
        </w:rPr>
        <w:t>namijenjen</w:t>
      </w:r>
      <w:r w:rsidR="00C65DB1" w:rsidRPr="0051150C">
        <w:rPr>
          <w:noProof/>
          <w:szCs w:val="22"/>
          <w:lang w:val="sr-Latn-BA"/>
        </w:rPr>
        <w:t xml:space="preserve"> za oralnu upotrebu.</w:t>
      </w:r>
    </w:p>
    <w:p w14:paraId="08F67F41" w14:textId="1F39B208" w:rsidR="00C65DB1" w:rsidRDefault="00AA0D3F" w:rsidP="00AA0D3F">
      <w:pPr>
        <w:rPr>
          <w:noProof/>
          <w:szCs w:val="22"/>
        </w:rPr>
      </w:pPr>
      <w:r w:rsidRPr="00AA0D3F">
        <w:rPr>
          <w:noProof/>
          <w:szCs w:val="22"/>
        </w:rPr>
        <w:t xml:space="preserve">Tablete se moraju uzeti u jednoj dozi jedanput na dan na prazan želudac. </w:t>
      </w:r>
      <w:r w:rsidR="00845DDD">
        <w:rPr>
          <w:noProof/>
          <w:szCs w:val="22"/>
        </w:rPr>
        <w:t xml:space="preserve">Lijek </w:t>
      </w:r>
      <w:r w:rsidR="00512ABF">
        <w:rPr>
          <w:noProof/>
          <w:szCs w:val="22"/>
        </w:rPr>
        <w:t>Jonosol</w:t>
      </w:r>
      <w:r w:rsidRPr="00AA0D3F">
        <w:rPr>
          <w:noProof/>
          <w:szCs w:val="22"/>
        </w:rPr>
        <w:t xml:space="preserve"> se mora uzimati</w:t>
      </w:r>
      <w:r w:rsidR="00845DDD">
        <w:rPr>
          <w:noProof/>
          <w:szCs w:val="22"/>
        </w:rPr>
        <w:t xml:space="preserve"> </w:t>
      </w:r>
      <w:r w:rsidRPr="00AA0D3F">
        <w:rPr>
          <w:noProof/>
          <w:szCs w:val="22"/>
        </w:rPr>
        <w:t>najmanje dva sata nakon jela, a hrana se ne smije jesti barem jedan sat nakon uzimanja lijeka</w:t>
      </w:r>
      <w:r w:rsidR="00845DDD">
        <w:rPr>
          <w:noProof/>
          <w:szCs w:val="22"/>
        </w:rPr>
        <w:t xml:space="preserve"> </w:t>
      </w:r>
      <w:r w:rsidR="00512ABF">
        <w:rPr>
          <w:noProof/>
          <w:szCs w:val="22"/>
        </w:rPr>
        <w:t>Jonosol</w:t>
      </w:r>
      <w:r w:rsidRPr="00AA0D3F">
        <w:rPr>
          <w:noProof/>
          <w:szCs w:val="22"/>
        </w:rPr>
        <w:t xml:space="preserve">. Tablete lijeka </w:t>
      </w:r>
      <w:r w:rsidR="00512ABF">
        <w:rPr>
          <w:noProof/>
          <w:szCs w:val="22"/>
        </w:rPr>
        <w:t>Jonosol</w:t>
      </w:r>
      <w:r w:rsidRPr="00AA0D3F">
        <w:rPr>
          <w:noProof/>
          <w:szCs w:val="22"/>
        </w:rPr>
        <w:t xml:space="preserve"> se moraju progutati cijele s vodom.</w:t>
      </w:r>
    </w:p>
    <w:p w14:paraId="257AF3D4" w14:textId="77777777" w:rsidR="00512ABF" w:rsidRPr="0051150C" w:rsidRDefault="00512ABF" w:rsidP="00AA0D3F">
      <w:pPr>
        <w:rPr>
          <w:noProof/>
          <w:szCs w:val="22"/>
          <w:lang w:val="sr-Latn-BA"/>
        </w:rPr>
      </w:pPr>
    </w:p>
    <w:p w14:paraId="584B0D5F" w14:textId="77777777" w:rsidR="00CE09F3" w:rsidRPr="0051150C" w:rsidRDefault="00CE09F3" w:rsidP="009173F4">
      <w:pPr>
        <w:rPr>
          <w:b/>
          <w:bCs/>
          <w:noProof/>
          <w:szCs w:val="22"/>
          <w:lang w:val="sr-Latn-BA"/>
        </w:rPr>
      </w:pPr>
      <w:r w:rsidRPr="0051150C">
        <w:rPr>
          <w:b/>
          <w:bCs/>
          <w:noProof/>
          <w:szCs w:val="22"/>
          <w:lang w:val="sr-Latn-BA"/>
        </w:rPr>
        <w:t>4.3. Kontraindikacije</w:t>
      </w:r>
    </w:p>
    <w:p w14:paraId="584B0D60" w14:textId="77777777" w:rsidR="00CE09F3" w:rsidRPr="0051150C" w:rsidRDefault="00CE09F3" w:rsidP="009173F4">
      <w:pPr>
        <w:rPr>
          <w:noProof/>
          <w:szCs w:val="22"/>
          <w:lang w:val="sr-Latn-BA"/>
        </w:rPr>
      </w:pPr>
    </w:p>
    <w:p w14:paraId="5A1B56D3" w14:textId="3025FDF4" w:rsidR="00B30522" w:rsidRPr="0051150C" w:rsidRDefault="00B30522" w:rsidP="009173F4">
      <w:pPr>
        <w:pStyle w:val="ListParagraph"/>
        <w:numPr>
          <w:ilvl w:val="0"/>
          <w:numId w:val="5"/>
        </w:numPr>
        <w:tabs>
          <w:tab w:val="clear" w:pos="284"/>
        </w:tabs>
        <w:autoSpaceDE w:val="0"/>
        <w:autoSpaceDN w:val="0"/>
        <w:adjustRightInd w:val="0"/>
        <w:rPr>
          <w:noProof/>
          <w:szCs w:val="22"/>
          <w:lang w:val="sr-Latn-BA"/>
        </w:rPr>
      </w:pPr>
      <w:r w:rsidRPr="0051150C">
        <w:rPr>
          <w:noProof/>
          <w:szCs w:val="22"/>
          <w:lang w:val="sr-Latn-BA"/>
        </w:rPr>
        <w:t>Preos</w:t>
      </w:r>
      <w:r w:rsidR="00B23113" w:rsidRPr="0051150C">
        <w:rPr>
          <w:noProof/>
          <w:szCs w:val="22"/>
          <w:lang w:val="sr-Latn-BA"/>
        </w:rPr>
        <w:t>j</w:t>
      </w:r>
      <w:r w:rsidRPr="0051150C">
        <w:rPr>
          <w:noProof/>
          <w:szCs w:val="22"/>
          <w:lang w:val="sr-Latn-BA"/>
        </w:rPr>
        <w:t xml:space="preserve">etljivost na aktivnu supstancu ili na bilo koju od pomoćnih supstanci navedenih u </w:t>
      </w:r>
      <w:r w:rsidR="004F6B34">
        <w:rPr>
          <w:noProof/>
          <w:szCs w:val="22"/>
          <w:lang w:val="sr-Latn-BA"/>
        </w:rPr>
        <w:t>dijel</w:t>
      </w:r>
      <w:r w:rsidRPr="0051150C">
        <w:rPr>
          <w:noProof/>
          <w:szCs w:val="22"/>
          <w:lang w:val="sr-Latn-BA"/>
        </w:rPr>
        <w:t>u</w:t>
      </w:r>
      <w:r w:rsidR="00267578" w:rsidRPr="0051150C">
        <w:rPr>
          <w:noProof/>
          <w:szCs w:val="22"/>
          <w:lang w:val="sr-Latn-BA"/>
        </w:rPr>
        <w:t xml:space="preserve"> </w:t>
      </w:r>
      <w:r w:rsidRPr="0051150C">
        <w:rPr>
          <w:noProof/>
          <w:szCs w:val="22"/>
          <w:lang w:val="sr-Latn-BA"/>
        </w:rPr>
        <w:t>6.1.</w:t>
      </w:r>
    </w:p>
    <w:p w14:paraId="2ED84717" w14:textId="4D5B1263" w:rsidR="00B30522" w:rsidRPr="0051150C" w:rsidRDefault="00B30522" w:rsidP="009173F4">
      <w:pPr>
        <w:pStyle w:val="ListParagraph"/>
        <w:numPr>
          <w:ilvl w:val="0"/>
          <w:numId w:val="5"/>
        </w:numPr>
        <w:tabs>
          <w:tab w:val="clear" w:pos="284"/>
        </w:tabs>
        <w:autoSpaceDE w:val="0"/>
        <w:autoSpaceDN w:val="0"/>
        <w:adjustRightInd w:val="0"/>
        <w:rPr>
          <w:noProof/>
          <w:szCs w:val="22"/>
          <w:lang w:val="sr-Latn-BA"/>
        </w:rPr>
      </w:pPr>
      <w:r w:rsidRPr="0051150C">
        <w:rPr>
          <w:noProof/>
          <w:szCs w:val="22"/>
          <w:lang w:val="sr-Latn-BA"/>
        </w:rPr>
        <w:t>Žene koje su trudne ili bi mogle biti trudne (</w:t>
      </w:r>
      <w:r w:rsidR="00F43B54" w:rsidRPr="00410EF6">
        <w:rPr>
          <w:noProof/>
          <w:szCs w:val="22"/>
          <w:lang w:val="sr-Latn-BA"/>
        </w:rPr>
        <w:t xml:space="preserve">vidjeti dio </w:t>
      </w:r>
      <w:r w:rsidRPr="00410EF6">
        <w:rPr>
          <w:noProof/>
          <w:szCs w:val="22"/>
          <w:lang w:val="sr-Latn-BA"/>
        </w:rPr>
        <w:t>4.6</w:t>
      </w:r>
      <w:r w:rsidRPr="0051150C">
        <w:rPr>
          <w:noProof/>
          <w:szCs w:val="22"/>
          <w:lang w:val="sr-Latn-BA"/>
        </w:rPr>
        <w:t>).</w:t>
      </w:r>
    </w:p>
    <w:p w14:paraId="584B0D61" w14:textId="046F619F" w:rsidR="00CE09F3" w:rsidRPr="0051150C" w:rsidRDefault="00B30522" w:rsidP="009173F4">
      <w:pPr>
        <w:pStyle w:val="ListParagraph"/>
        <w:numPr>
          <w:ilvl w:val="0"/>
          <w:numId w:val="5"/>
        </w:numPr>
        <w:tabs>
          <w:tab w:val="clear" w:pos="284"/>
        </w:tabs>
        <w:autoSpaceDE w:val="0"/>
        <w:autoSpaceDN w:val="0"/>
        <w:adjustRightInd w:val="0"/>
        <w:rPr>
          <w:noProof/>
          <w:szCs w:val="22"/>
          <w:lang w:val="sr-Latn-BA"/>
        </w:rPr>
      </w:pPr>
      <w:r w:rsidRPr="0051150C">
        <w:rPr>
          <w:noProof/>
          <w:szCs w:val="22"/>
          <w:lang w:val="sr-Latn-BA"/>
        </w:rPr>
        <w:t>Teško oštećenje funkcije jetre (</w:t>
      </w:r>
      <w:r w:rsidRPr="0051150C">
        <w:rPr>
          <w:i/>
          <w:iCs/>
          <w:noProof/>
          <w:szCs w:val="22"/>
          <w:lang w:val="sr-Latn-BA"/>
        </w:rPr>
        <w:t xml:space="preserve">Child-Pugh </w:t>
      </w:r>
      <w:r w:rsidRPr="0051150C">
        <w:rPr>
          <w:noProof/>
          <w:szCs w:val="22"/>
          <w:lang w:val="sr-Latn-BA"/>
        </w:rPr>
        <w:t>klase C (</w:t>
      </w:r>
      <w:r w:rsidR="00096FAA" w:rsidRPr="00410EF6">
        <w:rPr>
          <w:noProof/>
          <w:szCs w:val="22"/>
          <w:lang w:val="sr-Latn-BA"/>
        </w:rPr>
        <w:t>vidjeti</w:t>
      </w:r>
      <w:r w:rsidRPr="00410EF6">
        <w:rPr>
          <w:noProof/>
          <w:szCs w:val="22"/>
          <w:lang w:val="sr-Latn-BA"/>
        </w:rPr>
        <w:t xml:space="preserve"> </w:t>
      </w:r>
      <w:r w:rsidR="00F43B54" w:rsidRPr="00410EF6">
        <w:rPr>
          <w:noProof/>
          <w:szCs w:val="22"/>
          <w:lang w:val="sr-Latn-BA"/>
        </w:rPr>
        <w:t>djelov</w:t>
      </w:r>
      <w:r w:rsidRPr="00410EF6">
        <w:rPr>
          <w:noProof/>
          <w:szCs w:val="22"/>
          <w:lang w:val="sr-Latn-BA"/>
        </w:rPr>
        <w:t>e 4.2, 4.4, i 5.2</w:t>
      </w:r>
      <w:r w:rsidRPr="0051150C">
        <w:rPr>
          <w:noProof/>
          <w:szCs w:val="22"/>
          <w:lang w:val="sr-Latn-BA"/>
        </w:rPr>
        <w:t>)).</w:t>
      </w:r>
    </w:p>
    <w:p w14:paraId="307E92BD" w14:textId="3C8C4625" w:rsidR="00267578" w:rsidRPr="0051150C" w:rsidRDefault="00A55820" w:rsidP="00C315BF">
      <w:pPr>
        <w:pStyle w:val="ListParagraph"/>
        <w:numPr>
          <w:ilvl w:val="0"/>
          <w:numId w:val="5"/>
        </w:numPr>
        <w:tabs>
          <w:tab w:val="clear" w:pos="284"/>
        </w:tabs>
        <w:autoSpaceDE w:val="0"/>
        <w:autoSpaceDN w:val="0"/>
        <w:adjustRightInd w:val="0"/>
        <w:rPr>
          <w:noProof/>
          <w:szCs w:val="22"/>
          <w:lang w:val="sr-Latn-BA"/>
        </w:rPr>
      </w:pPr>
      <w:r>
        <w:rPr>
          <w:noProof/>
          <w:szCs w:val="22"/>
          <w:lang w:val="sr-Latn-BA"/>
        </w:rPr>
        <w:t xml:space="preserve">Lijek </w:t>
      </w:r>
      <w:r w:rsidR="00C315BF" w:rsidRPr="0051150C">
        <w:rPr>
          <w:noProof/>
          <w:szCs w:val="22"/>
          <w:lang w:val="sr-Latn-BA"/>
        </w:rPr>
        <w:t xml:space="preserve">Jonosol </w:t>
      </w:r>
      <w:r w:rsidR="00267578" w:rsidRPr="0051150C">
        <w:rPr>
          <w:noProof/>
          <w:szCs w:val="22"/>
          <w:lang w:val="sr-Latn-BA"/>
        </w:rPr>
        <w:t xml:space="preserve">sa prednizonom ili prednizolom je kontraindikovan u kombinaciji sa </w:t>
      </w:r>
      <w:r>
        <w:rPr>
          <w:noProof/>
          <w:szCs w:val="22"/>
          <w:lang w:val="sr-Latn-BA"/>
        </w:rPr>
        <w:t>r</w:t>
      </w:r>
      <w:r w:rsidRPr="0051150C">
        <w:rPr>
          <w:noProof/>
          <w:szCs w:val="22"/>
          <w:lang w:val="sr-Latn-BA"/>
        </w:rPr>
        <w:t>adijumom</w:t>
      </w:r>
      <w:r w:rsidR="00267578" w:rsidRPr="0051150C">
        <w:rPr>
          <w:noProof/>
          <w:szCs w:val="22"/>
          <w:lang w:val="sr-Latn-BA"/>
        </w:rPr>
        <w:t>-223 (Ra-223)</w:t>
      </w:r>
    </w:p>
    <w:p w14:paraId="18EC7D9A" w14:textId="77777777" w:rsidR="00B30522" w:rsidRPr="0051150C" w:rsidRDefault="00B30522" w:rsidP="009173F4">
      <w:pPr>
        <w:rPr>
          <w:noProof/>
          <w:szCs w:val="22"/>
          <w:lang w:val="sr-Latn-BA"/>
        </w:rPr>
      </w:pPr>
    </w:p>
    <w:p w14:paraId="584B0D62" w14:textId="7EA6C7B3" w:rsidR="00CE09F3" w:rsidRPr="0051150C" w:rsidRDefault="00CE09F3" w:rsidP="009173F4">
      <w:pPr>
        <w:rPr>
          <w:b/>
          <w:bCs/>
          <w:noProof/>
          <w:szCs w:val="22"/>
          <w:lang w:val="sr-Latn-BA"/>
        </w:rPr>
      </w:pPr>
      <w:r w:rsidRPr="0051150C">
        <w:rPr>
          <w:b/>
          <w:bCs/>
          <w:noProof/>
          <w:szCs w:val="22"/>
          <w:lang w:val="sr-Latn-BA"/>
        </w:rPr>
        <w:t>4.4. Posebna upozorenja i m</w:t>
      </w:r>
      <w:r w:rsidR="00B23113" w:rsidRPr="0051150C">
        <w:rPr>
          <w:b/>
          <w:bCs/>
          <w:noProof/>
          <w:szCs w:val="22"/>
          <w:lang w:val="sr-Latn-BA"/>
        </w:rPr>
        <w:t>j</w:t>
      </w:r>
      <w:r w:rsidRPr="0051150C">
        <w:rPr>
          <w:b/>
          <w:bCs/>
          <w:noProof/>
          <w:szCs w:val="22"/>
          <w:lang w:val="sr-Latn-BA"/>
        </w:rPr>
        <w:t xml:space="preserve">ere opreza pri upotrebi </w:t>
      </w:r>
      <w:r w:rsidR="00096FAA" w:rsidRPr="0051150C">
        <w:rPr>
          <w:b/>
          <w:bCs/>
          <w:noProof/>
          <w:szCs w:val="22"/>
          <w:lang w:val="sr-Latn-BA"/>
        </w:rPr>
        <w:t>lijek</w:t>
      </w:r>
      <w:r w:rsidRPr="0051150C">
        <w:rPr>
          <w:b/>
          <w:bCs/>
          <w:noProof/>
          <w:szCs w:val="22"/>
          <w:lang w:val="sr-Latn-BA"/>
        </w:rPr>
        <w:t>a</w:t>
      </w:r>
    </w:p>
    <w:p w14:paraId="584B0D63" w14:textId="77777777" w:rsidR="00CE09F3" w:rsidRPr="0051150C" w:rsidRDefault="00CE09F3" w:rsidP="009173F4">
      <w:pPr>
        <w:rPr>
          <w:noProof/>
          <w:szCs w:val="22"/>
          <w:lang w:val="sr-Latn-BA"/>
        </w:rPr>
      </w:pPr>
    </w:p>
    <w:p w14:paraId="6581A219" w14:textId="6C6BBE60"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Hipertenzija, hipokal</w:t>
      </w:r>
      <w:r w:rsidR="00480CBB">
        <w:rPr>
          <w:noProof/>
          <w:szCs w:val="22"/>
          <w:u w:val="single"/>
          <w:lang w:val="sr-Latn-BA"/>
        </w:rPr>
        <w:t>ij</w:t>
      </w:r>
      <w:r w:rsidRPr="0051150C">
        <w:rPr>
          <w:noProof/>
          <w:szCs w:val="22"/>
          <w:u w:val="single"/>
          <w:lang w:val="sr-Latn-BA"/>
        </w:rPr>
        <w:t xml:space="preserve">emija, retencija tečnosti i srčana insuficijencija </w:t>
      </w:r>
      <w:r w:rsidR="00C57863" w:rsidRPr="0051150C">
        <w:rPr>
          <w:noProof/>
          <w:szCs w:val="22"/>
          <w:u w:val="single"/>
          <w:lang w:val="sr-Latn-BA"/>
        </w:rPr>
        <w:t>usl</w:t>
      </w:r>
      <w:r w:rsidR="00C060A5" w:rsidRPr="0051150C">
        <w:rPr>
          <w:noProof/>
          <w:szCs w:val="22"/>
          <w:u w:val="single"/>
          <w:lang w:val="sr-Latn-BA"/>
        </w:rPr>
        <w:t>j</w:t>
      </w:r>
      <w:r w:rsidR="00C57863" w:rsidRPr="0051150C">
        <w:rPr>
          <w:noProof/>
          <w:szCs w:val="22"/>
          <w:u w:val="single"/>
          <w:lang w:val="sr-Latn-BA"/>
        </w:rPr>
        <w:t xml:space="preserve">ed </w:t>
      </w:r>
      <w:r w:rsidR="00480CBB">
        <w:rPr>
          <w:noProof/>
          <w:szCs w:val="22"/>
          <w:u w:val="single"/>
          <w:lang w:val="sr-Latn-BA"/>
        </w:rPr>
        <w:t>porasta nivoa</w:t>
      </w:r>
      <w:r w:rsidR="00480CBB" w:rsidRPr="0051150C">
        <w:rPr>
          <w:noProof/>
          <w:szCs w:val="22"/>
          <w:u w:val="single"/>
          <w:lang w:val="sr-Latn-BA"/>
        </w:rPr>
        <w:t xml:space="preserve"> </w:t>
      </w:r>
      <w:r w:rsidRPr="0051150C">
        <w:rPr>
          <w:noProof/>
          <w:szCs w:val="22"/>
          <w:u w:val="single"/>
          <w:lang w:val="sr-Latn-BA"/>
        </w:rPr>
        <w:t>mineralokortikoida</w:t>
      </w:r>
    </w:p>
    <w:p w14:paraId="5456ACEC" w14:textId="7FCE6F3C" w:rsidR="00267578"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Lijek</w:t>
      </w:r>
      <w:r w:rsidR="00267578" w:rsidRPr="0051150C">
        <w:rPr>
          <w:noProof/>
          <w:szCs w:val="22"/>
          <w:lang w:val="sr-Latn-BA"/>
        </w:rPr>
        <w:t xml:space="preserve"> </w:t>
      </w:r>
      <w:r w:rsidR="00C315BF" w:rsidRPr="0051150C">
        <w:rPr>
          <w:noProof/>
          <w:szCs w:val="22"/>
          <w:lang w:val="sr-Latn-BA"/>
        </w:rPr>
        <w:t xml:space="preserve">Jonosol </w:t>
      </w:r>
      <w:r w:rsidR="00267578" w:rsidRPr="0051150C">
        <w:rPr>
          <w:noProof/>
          <w:szCs w:val="22"/>
          <w:lang w:val="sr-Latn-BA"/>
        </w:rPr>
        <w:t>može izazvati hipertenziju, hipokal</w:t>
      </w:r>
      <w:r w:rsidR="00480CBB">
        <w:rPr>
          <w:noProof/>
          <w:szCs w:val="22"/>
          <w:lang w:val="sr-Latn-BA"/>
        </w:rPr>
        <w:t>ij</w:t>
      </w:r>
      <w:r w:rsidR="00267578" w:rsidRPr="0051150C">
        <w:rPr>
          <w:noProof/>
          <w:szCs w:val="22"/>
          <w:lang w:val="sr-Latn-BA"/>
        </w:rPr>
        <w:t>emiju i retenciju tečnosti (</w:t>
      </w:r>
      <w:r w:rsidR="00F43B54" w:rsidRPr="00410EF6">
        <w:rPr>
          <w:noProof/>
          <w:szCs w:val="22"/>
          <w:lang w:val="sr-Latn-BA"/>
        </w:rPr>
        <w:t>vidjeti dio</w:t>
      </w:r>
      <w:r w:rsidR="004F6B34" w:rsidRPr="00410EF6">
        <w:rPr>
          <w:noProof/>
          <w:szCs w:val="22"/>
          <w:lang w:val="sr-Latn-BA"/>
        </w:rPr>
        <w:t xml:space="preserve"> </w:t>
      </w:r>
      <w:r w:rsidR="00267578" w:rsidRPr="00410EF6">
        <w:rPr>
          <w:noProof/>
          <w:szCs w:val="22"/>
          <w:lang w:val="sr-Latn-BA"/>
        </w:rPr>
        <w:t>4.8</w:t>
      </w:r>
      <w:r w:rsidR="00267578" w:rsidRPr="0051150C">
        <w:rPr>
          <w:noProof/>
          <w:szCs w:val="22"/>
          <w:lang w:val="sr-Latn-BA"/>
        </w:rPr>
        <w:t>) usl</w:t>
      </w:r>
      <w:r w:rsidR="00C060A5" w:rsidRPr="0051150C">
        <w:rPr>
          <w:noProof/>
          <w:szCs w:val="22"/>
          <w:lang w:val="sr-Latn-BA"/>
        </w:rPr>
        <w:t>j</w:t>
      </w:r>
      <w:r w:rsidR="00267578" w:rsidRPr="0051150C">
        <w:rPr>
          <w:noProof/>
          <w:szCs w:val="22"/>
          <w:lang w:val="sr-Latn-BA"/>
        </w:rPr>
        <w:t xml:space="preserve">ed inhibicije CYP17 </w:t>
      </w:r>
      <w:r w:rsidR="004A228D" w:rsidRPr="0051150C">
        <w:rPr>
          <w:noProof/>
          <w:szCs w:val="22"/>
          <w:lang w:val="sr-Latn-BA"/>
        </w:rPr>
        <w:t xml:space="preserve">i porasta nivoa mineralokortikoida </w:t>
      </w:r>
      <w:r w:rsidR="00267578" w:rsidRPr="0051150C">
        <w:rPr>
          <w:noProof/>
          <w:szCs w:val="22"/>
          <w:lang w:val="sr-Latn-BA"/>
        </w:rPr>
        <w:t>(</w:t>
      </w:r>
      <w:r w:rsidR="00F43B54" w:rsidRPr="00410EF6">
        <w:rPr>
          <w:noProof/>
          <w:szCs w:val="22"/>
          <w:lang w:val="sr-Latn-BA"/>
        </w:rPr>
        <w:t>vidjeti dio</w:t>
      </w:r>
      <w:r w:rsidR="004F6B34" w:rsidRPr="00410EF6">
        <w:rPr>
          <w:noProof/>
          <w:szCs w:val="22"/>
          <w:lang w:val="sr-Latn-BA"/>
        </w:rPr>
        <w:t xml:space="preserve"> </w:t>
      </w:r>
      <w:r w:rsidR="00267578" w:rsidRPr="00410EF6">
        <w:rPr>
          <w:noProof/>
          <w:szCs w:val="22"/>
          <w:lang w:val="sr-Latn-BA"/>
        </w:rPr>
        <w:t>5.1</w:t>
      </w:r>
      <w:r w:rsidR="00267578" w:rsidRPr="0051150C">
        <w:rPr>
          <w:noProof/>
          <w:szCs w:val="22"/>
          <w:lang w:val="sr-Latn-BA"/>
        </w:rPr>
        <w:t xml:space="preserve">). Istovremena </w:t>
      </w:r>
      <w:r w:rsidRPr="0051150C">
        <w:rPr>
          <w:noProof/>
          <w:szCs w:val="22"/>
          <w:lang w:val="sr-Latn-BA"/>
        </w:rPr>
        <w:t>primjen</w:t>
      </w:r>
      <w:r w:rsidR="00267578" w:rsidRPr="0051150C">
        <w:rPr>
          <w:noProof/>
          <w:szCs w:val="22"/>
          <w:lang w:val="sr-Latn-BA"/>
        </w:rPr>
        <w:t xml:space="preserve">a </w:t>
      </w:r>
      <w:r w:rsidR="004A228D" w:rsidRPr="0051150C">
        <w:rPr>
          <w:noProof/>
          <w:szCs w:val="22"/>
          <w:lang w:val="sr-Latn-BA"/>
        </w:rPr>
        <w:t>kortikosteroida</w:t>
      </w:r>
      <w:r w:rsidR="00267578" w:rsidRPr="0051150C">
        <w:rPr>
          <w:noProof/>
          <w:szCs w:val="22"/>
          <w:lang w:val="sr-Latn-BA"/>
        </w:rPr>
        <w:t xml:space="preserve"> suprimira oslobađanje adenokortikotropnog hormona (ACTH)</w:t>
      </w:r>
      <w:r w:rsidR="00480CBB">
        <w:rPr>
          <w:noProof/>
          <w:szCs w:val="22"/>
          <w:lang w:val="sr-Latn-BA"/>
        </w:rPr>
        <w:t>,</w:t>
      </w:r>
      <w:r w:rsidR="00267578" w:rsidRPr="0051150C">
        <w:rPr>
          <w:noProof/>
          <w:szCs w:val="22"/>
          <w:lang w:val="sr-Latn-BA"/>
        </w:rPr>
        <w:t xml:space="preserve"> što dovodi do smanjene incidence i težine ovih neželjenih reakcija. Potreban je oprez pri </w:t>
      </w:r>
      <w:r w:rsidRPr="0051150C">
        <w:rPr>
          <w:noProof/>
          <w:szCs w:val="22"/>
          <w:lang w:val="sr-Latn-BA"/>
        </w:rPr>
        <w:t>liječenj</w:t>
      </w:r>
      <w:r w:rsidR="00267578" w:rsidRPr="0051150C">
        <w:rPr>
          <w:noProof/>
          <w:szCs w:val="22"/>
          <w:lang w:val="sr-Latn-BA"/>
        </w:rPr>
        <w:t>u pacijenata čija već postojeća medicinska stanja mogu biti pogoršana povećanjem krvnog pritiska, hipokal</w:t>
      </w:r>
      <w:r w:rsidR="00480CBB">
        <w:rPr>
          <w:noProof/>
          <w:szCs w:val="22"/>
          <w:lang w:val="sr-Latn-BA"/>
        </w:rPr>
        <w:t>ij</w:t>
      </w:r>
      <w:r w:rsidR="00267578" w:rsidRPr="0051150C">
        <w:rPr>
          <w:noProof/>
          <w:szCs w:val="22"/>
          <w:lang w:val="sr-Latn-BA"/>
        </w:rPr>
        <w:t xml:space="preserve">emijom (npr. kod onih koji uzimaju kardiotonične glikozide), ili </w:t>
      </w:r>
      <w:r w:rsidR="00C57863" w:rsidRPr="0051150C">
        <w:rPr>
          <w:noProof/>
          <w:szCs w:val="22"/>
          <w:lang w:val="sr-Latn-BA"/>
        </w:rPr>
        <w:t>retencijom</w:t>
      </w:r>
      <w:r w:rsidR="00267578" w:rsidRPr="0051150C">
        <w:rPr>
          <w:noProof/>
          <w:szCs w:val="22"/>
          <w:lang w:val="sr-Latn-BA"/>
        </w:rPr>
        <w:t xml:space="preserve"> tečnosti (npr. kod onih sa srčanom insuficijencijom, teškom ili nestabilnom anginom pektoris, nedavnim infarktom miokarda ili ventrikularnom aritmijom</w:t>
      </w:r>
      <w:r w:rsidR="004A228D" w:rsidRPr="0051150C">
        <w:rPr>
          <w:noProof/>
          <w:szCs w:val="22"/>
          <w:lang w:val="sr-Latn-BA"/>
        </w:rPr>
        <w:t>, kao</w:t>
      </w:r>
      <w:r w:rsidR="00267578" w:rsidRPr="0051150C">
        <w:rPr>
          <w:noProof/>
          <w:szCs w:val="22"/>
          <w:lang w:val="sr-Latn-BA"/>
        </w:rPr>
        <w:t xml:space="preserve"> i kod </w:t>
      </w:r>
      <w:r w:rsidR="004A228D" w:rsidRPr="0051150C">
        <w:rPr>
          <w:noProof/>
          <w:szCs w:val="22"/>
          <w:lang w:val="sr-Latn-BA"/>
        </w:rPr>
        <w:t>osoba</w:t>
      </w:r>
      <w:r w:rsidR="00267578" w:rsidRPr="0051150C">
        <w:rPr>
          <w:noProof/>
          <w:szCs w:val="22"/>
          <w:lang w:val="sr-Latn-BA"/>
        </w:rPr>
        <w:t xml:space="preserve"> sa teškim oštećenjem bubrežne funkcije).</w:t>
      </w:r>
    </w:p>
    <w:p w14:paraId="69EAE936" w14:textId="77777777" w:rsidR="00267578" w:rsidRPr="0051150C" w:rsidRDefault="00267578" w:rsidP="009173F4">
      <w:pPr>
        <w:tabs>
          <w:tab w:val="clear" w:pos="284"/>
        </w:tabs>
        <w:autoSpaceDE w:val="0"/>
        <w:autoSpaceDN w:val="0"/>
        <w:adjustRightInd w:val="0"/>
        <w:rPr>
          <w:noProof/>
          <w:szCs w:val="22"/>
          <w:lang w:val="sr-Latn-BA"/>
        </w:rPr>
      </w:pPr>
    </w:p>
    <w:p w14:paraId="0CFBEC56" w14:textId="596A1DBA" w:rsidR="00267578"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Lijek</w:t>
      </w:r>
      <w:r w:rsidR="00267578" w:rsidRPr="0051150C">
        <w:rPr>
          <w:noProof/>
          <w:szCs w:val="22"/>
          <w:lang w:val="sr-Latn-BA"/>
        </w:rPr>
        <w:t xml:space="preserve"> </w:t>
      </w:r>
      <w:r w:rsidR="00C315BF" w:rsidRPr="0051150C">
        <w:rPr>
          <w:noProof/>
          <w:szCs w:val="22"/>
          <w:lang w:val="sr-Latn-BA"/>
        </w:rPr>
        <w:t xml:space="preserve">Jonosol </w:t>
      </w:r>
      <w:r w:rsidR="00267578" w:rsidRPr="0051150C">
        <w:rPr>
          <w:noProof/>
          <w:szCs w:val="22"/>
          <w:lang w:val="sr-Latn-BA"/>
        </w:rPr>
        <w:t xml:space="preserve">treba </w:t>
      </w:r>
      <w:r w:rsidRPr="0051150C">
        <w:rPr>
          <w:noProof/>
          <w:szCs w:val="22"/>
          <w:lang w:val="sr-Latn-BA"/>
        </w:rPr>
        <w:t>primjen</w:t>
      </w:r>
      <w:r w:rsidR="00267578" w:rsidRPr="0051150C">
        <w:rPr>
          <w:noProof/>
          <w:szCs w:val="22"/>
          <w:lang w:val="sr-Latn-BA"/>
        </w:rPr>
        <w:t>jivati</w:t>
      </w:r>
      <w:r w:rsidR="004A228D" w:rsidRPr="0051150C">
        <w:rPr>
          <w:noProof/>
          <w:szCs w:val="22"/>
          <w:lang w:val="sr-Latn-BA"/>
        </w:rPr>
        <w:t xml:space="preserve"> oprezno</w:t>
      </w:r>
      <w:r w:rsidR="00267578" w:rsidRPr="0051150C">
        <w:rPr>
          <w:noProof/>
          <w:szCs w:val="22"/>
          <w:lang w:val="sr-Latn-BA"/>
        </w:rPr>
        <w:t xml:space="preserve"> kod pacijenata sa kardiovaskularnim bolestima u anamnezi. Iz studija faze </w:t>
      </w:r>
      <w:r w:rsidR="00480CBB">
        <w:rPr>
          <w:noProof/>
          <w:szCs w:val="22"/>
          <w:lang w:val="sr-Latn-BA"/>
        </w:rPr>
        <w:t>III</w:t>
      </w:r>
      <w:r w:rsidR="00480CBB" w:rsidRPr="0051150C">
        <w:rPr>
          <w:noProof/>
          <w:szCs w:val="22"/>
          <w:lang w:val="sr-Latn-BA"/>
        </w:rPr>
        <w:t xml:space="preserve"> </w:t>
      </w:r>
      <w:r w:rsidR="00267578" w:rsidRPr="0051150C">
        <w:rPr>
          <w:noProof/>
          <w:szCs w:val="22"/>
          <w:lang w:val="sr-Latn-BA"/>
        </w:rPr>
        <w:t xml:space="preserve">sprovedenih sa </w:t>
      </w:r>
      <w:r w:rsidR="004A228D" w:rsidRPr="0051150C">
        <w:rPr>
          <w:noProof/>
          <w:szCs w:val="22"/>
          <w:lang w:val="sr-Latn-BA"/>
        </w:rPr>
        <w:t>abirateron</w:t>
      </w:r>
      <w:r w:rsidR="00C57863" w:rsidRPr="0051150C">
        <w:rPr>
          <w:noProof/>
          <w:szCs w:val="22"/>
          <w:lang w:val="sr-Latn-BA"/>
        </w:rPr>
        <w:t xml:space="preserve"> </w:t>
      </w:r>
      <w:r w:rsidR="004A228D" w:rsidRPr="0051150C">
        <w:rPr>
          <w:noProof/>
          <w:szCs w:val="22"/>
          <w:lang w:val="sr-Latn-BA"/>
        </w:rPr>
        <w:t xml:space="preserve">acetatom </w:t>
      </w:r>
      <w:r w:rsidR="00267578" w:rsidRPr="0051150C">
        <w:rPr>
          <w:noProof/>
          <w:szCs w:val="22"/>
          <w:lang w:val="sr-Latn-BA"/>
        </w:rPr>
        <w:t>isključeni su pacijenti sa</w:t>
      </w:r>
      <w:r w:rsidR="00C57863" w:rsidRPr="0051150C">
        <w:rPr>
          <w:noProof/>
          <w:szCs w:val="22"/>
          <w:lang w:val="sr-Latn-BA"/>
        </w:rPr>
        <w:t>:</w:t>
      </w:r>
      <w:r w:rsidR="00267578" w:rsidRPr="0051150C">
        <w:rPr>
          <w:noProof/>
          <w:szCs w:val="22"/>
          <w:lang w:val="sr-Latn-BA"/>
        </w:rPr>
        <w:t xml:space="preserve"> nekontrolisanom </w:t>
      </w:r>
      <w:r w:rsidR="004A228D" w:rsidRPr="0051150C">
        <w:rPr>
          <w:noProof/>
          <w:szCs w:val="22"/>
          <w:lang w:val="sr-Latn-BA"/>
        </w:rPr>
        <w:t>hipertenzijom;</w:t>
      </w:r>
      <w:r w:rsidR="00267578" w:rsidRPr="0051150C">
        <w:rPr>
          <w:noProof/>
          <w:szCs w:val="22"/>
          <w:lang w:val="sr-Latn-BA"/>
        </w:rPr>
        <w:t xml:space="preserve"> klinički značajnim oboljenjem srca što se manifestovalo infarktom miokarda, ili arterijskim trombotičkim </w:t>
      </w:r>
      <w:r w:rsidR="004A228D" w:rsidRPr="0051150C">
        <w:rPr>
          <w:noProof/>
          <w:szCs w:val="22"/>
          <w:lang w:val="sr-Latn-BA"/>
        </w:rPr>
        <w:t>događajem u prethodnih 6 m</w:t>
      </w:r>
      <w:r w:rsidR="00C060A5" w:rsidRPr="0051150C">
        <w:rPr>
          <w:noProof/>
          <w:szCs w:val="22"/>
          <w:lang w:val="sr-Latn-BA"/>
        </w:rPr>
        <w:t>j</w:t>
      </w:r>
      <w:r w:rsidR="004A228D" w:rsidRPr="0051150C">
        <w:rPr>
          <w:noProof/>
          <w:szCs w:val="22"/>
          <w:lang w:val="sr-Latn-BA"/>
        </w:rPr>
        <w:t>eseci;</w:t>
      </w:r>
      <w:r w:rsidR="00267578" w:rsidRPr="0051150C">
        <w:rPr>
          <w:noProof/>
          <w:szCs w:val="22"/>
          <w:lang w:val="sr-Latn-BA"/>
        </w:rPr>
        <w:t xml:space="preserve"> teškom ili nestabilnom </w:t>
      </w:r>
      <w:r w:rsidR="004A228D" w:rsidRPr="0051150C">
        <w:rPr>
          <w:noProof/>
          <w:szCs w:val="22"/>
          <w:lang w:val="sr-Latn-BA"/>
        </w:rPr>
        <w:t>anginom;</w:t>
      </w:r>
      <w:r w:rsidR="00C57863" w:rsidRPr="0051150C">
        <w:rPr>
          <w:noProof/>
          <w:szCs w:val="22"/>
          <w:lang w:val="sr-Latn-BA"/>
        </w:rPr>
        <w:t xml:space="preserve"> </w:t>
      </w:r>
      <w:r w:rsidR="00267578" w:rsidRPr="0051150C">
        <w:rPr>
          <w:noProof/>
          <w:szCs w:val="22"/>
          <w:lang w:val="sr-Latn-BA"/>
        </w:rPr>
        <w:t xml:space="preserve">srčanom insuficijencijom klase III ili IV (studija 301) ili klase II do IV (studije 3011 i 302) po NYHA klasifikaciji (engl. </w:t>
      </w:r>
      <w:r w:rsidR="00267578" w:rsidRPr="0051150C">
        <w:rPr>
          <w:i/>
          <w:iCs/>
          <w:noProof/>
          <w:szCs w:val="22"/>
          <w:lang w:val="sr-Latn-BA"/>
        </w:rPr>
        <w:t>New York Heart Association Class)</w:t>
      </w:r>
      <w:r w:rsidR="004A228D" w:rsidRPr="0051150C">
        <w:rPr>
          <w:iCs/>
          <w:noProof/>
          <w:szCs w:val="22"/>
          <w:lang w:val="sr-Latn-BA"/>
        </w:rPr>
        <w:t>;</w:t>
      </w:r>
      <w:r w:rsidR="00267578" w:rsidRPr="0051150C">
        <w:rPr>
          <w:i/>
          <w:iCs/>
          <w:noProof/>
          <w:szCs w:val="22"/>
          <w:lang w:val="sr-Latn-BA"/>
        </w:rPr>
        <w:t xml:space="preserve"> </w:t>
      </w:r>
      <w:r w:rsidR="00C57863" w:rsidRPr="0051150C">
        <w:rPr>
          <w:noProof/>
          <w:szCs w:val="22"/>
          <w:lang w:val="sr-Latn-BA"/>
        </w:rPr>
        <w:t>sa ejekcionom frakcijom srca</w:t>
      </w:r>
      <w:r w:rsidR="00267578" w:rsidRPr="0051150C">
        <w:rPr>
          <w:noProof/>
          <w:szCs w:val="22"/>
          <w:lang w:val="sr-Latn-BA"/>
        </w:rPr>
        <w:t xml:space="preserve"> &lt; 50%. </w:t>
      </w:r>
      <w:r w:rsidR="00FE69FA" w:rsidRPr="0051150C">
        <w:rPr>
          <w:noProof/>
          <w:szCs w:val="22"/>
          <w:lang w:val="sr-Latn-BA"/>
        </w:rPr>
        <w:t xml:space="preserve">Iz studija 3011 i 302 su bili isključeni pacijenti sa atrijalnom fibrilacijom ili drugim srčanim aritmijama </w:t>
      </w:r>
      <w:r w:rsidR="00480CBB" w:rsidRPr="0051150C">
        <w:rPr>
          <w:noProof/>
          <w:szCs w:val="22"/>
          <w:lang w:val="sr-Latn-BA"/>
        </w:rPr>
        <w:t>koj</w:t>
      </w:r>
      <w:r w:rsidR="00480CBB">
        <w:rPr>
          <w:noProof/>
          <w:szCs w:val="22"/>
          <w:lang w:val="sr-Latn-BA"/>
        </w:rPr>
        <w:t>e</w:t>
      </w:r>
      <w:r w:rsidR="00480CBB" w:rsidRPr="0051150C">
        <w:rPr>
          <w:noProof/>
          <w:szCs w:val="22"/>
          <w:lang w:val="sr-Latn-BA"/>
        </w:rPr>
        <w:t xml:space="preserve"> </w:t>
      </w:r>
      <w:r w:rsidR="00FE69FA" w:rsidRPr="0051150C">
        <w:rPr>
          <w:noProof/>
          <w:szCs w:val="22"/>
          <w:lang w:val="sr-Latn-BA"/>
        </w:rPr>
        <w:t>zaht</w:t>
      </w:r>
      <w:r w:rsidR="00C060A5" w:rsidRPr="0051150C">
        <w:rPr>
          <w:noProof/>
          <w:szCs w:val="22"/>
          <w:lang w:val="sr-Latn-BA"/>
        </w:rPr>
        <w:t>ij</w:t>
      </w:r>
      <w:r w:rsidR="00FE69FA" w:rsidRPr="0051150C">
        <w:rPr>
          <w:noProof/>
          <w:szCs w:val="22"/>
          <w:lang w:val="sr-Latn-BA"/>
        </w:rPr>
        <w:t xml:space="preserve">evaju medicinsku terapiju. </w:t>
      </w:r>
      <w:r w:rsidR="00267578" w:rsidRPr="0051150C">
        <w:rPr>
          <w:noProof/>
          <w:szCs w:val="22"/>
          <w:lang w:val="sr-Latn-BA"/>
        </w:rPr>
        <w:t>Nije utvrđena bezb</w:t>
      </w:r>
      <w:r w:rsidR="00C060A5" w:rsidRPr="0051150C">
        <w:rPr>
          <w:noProof/>
          <w:szCs w:val="22"/>
          <w:lang w:val="sr-Latn-BA"/>
        </w:rPr>
        <w:t>j</w:t>
      </w:r>
      <w:r w:rsidR="00267578" w:rsidRPr="0051150C">
        <w:rPr>
          <w:noProof/>
          <w:szCs w:val="22"/>
          <w:lang w:val="sr-Latn-BA"/>
        </w:rPr>
        <w:t xml:space="preserve">ednost </w:t>
      </w:r>
      <w:r w:rsidR="004F6B34">
        <w:rPr>
          <w:noProof/>
          <w:szCs w:val="22"/>
          <w:lang w:val="sr-Latn-BA"/>
        </w:rPr>
        <w:t xml:space="preserve">primjene </w:t>
      </w:r>
      <w:r w:rsidR="00267578" w:rsidRPr="0051150C">
        <w:rPr>
          <w:noProof/>
          <w:szCs w:val="22"/>
          <w:lang w:val="sr-Latn-BA"/>
        </w:rPr>
        <w:t>kod pacijenata koji imaju ejekcionu frakciju l</w:t>
      </w:r>
      <w:r w:rsidR="00C060A5" w:rsidRPr="0051150C">
        <w:rPr>
          <w:noProof/>
          <w:szCs w:val="22"/>
          <w:lang w:val="sr-Latn-BA"/>
        </w:rPr>
        <w:t>ij</w:t>
      </w:r>
      <w:r w:rsidR="00267578" w:rsidRPr="0051150C">
        <w:rPr>
          <w:noProof/>
          <w:szCs w:val="22"/>
          <w:lang w:val="sr-Latn-BA"/>
        </w:rPr>
        <w:t xml:space="preserve">eve komore (engl. </w:t>
      </w:r>
      <w:r w:rsidR="00267578" w:rsidRPr="0051150C">
        <w:rPr>
          <w:i/>
          <w:iCs/>
          <w:noProof/>
          <w:szCs w:val="22"/>
          <w:lang w:val="sr-Latn-BA"/>
        </w:rPr>
        <w:t>left ventricular ejection fraction</w:t>
      </w:r>
      <w:r w:rsidR="00267578" w:rsidRPr="0051150C">
        <w:rPr>
          <w:noProof/>
          <w:szCs w:val="22"/>
          <w:lang w:val="sr-Latn-BA"/>
        </w:rPr>
        <w:t>, LVEF) &lt; 50% ili srčanu insuficijenciju NYHA klase III ili IV (studija 301) ili srčanu insuficijenciju NYHA klase II do IV (u studijama 3011 i 302) (</w:t>
      </w:r>
      <w:r w:rsidRPr="00410EF6">
        <w:rPr>
          <w:noProof/>
          <w:szCs w:val="22"/>
          <w:lang w:val="sr-Latn-BA"/>
        </w:rPr>
        <w:t>vidjeti</w:t>
      </w:r>
      <w:r w:rsidR="00267578" w:rsidRPr="00410EF6">
        <w:rPr>
          <w:noProof/>
          <w:szCs w:val="22"/>
          <w:lang w:val="sr-Latn-BA"/>
        </w:rPr>
        <w:t xml:space="preserve"> </w:t>
      </w:r>
      <w:r w:rsidR="004F6B34" w:rsidRPr="00410EF6">
        <w:rPr>
          <w:noProof/>
          <w:szCs w:val="22"/>
          <w:lang w:val="sr-Latn-BA"/>
        </w:rPr>
        <w:t>djelove</w:t>
      </w:r>
      <w:r w:rsidR="00267578" w:rsidRPr="00410EF6">
        <w:rPr>
          <w:noProof/>
          <w:szCs w:val="22"/>
          <w:lang w:val="sr-Latn-BA"/>
        </w:rPr>
        <w:t xml:space="preserve"> 4.8 i 5.1</w:t>
      </w:r>
      <w:r w:rsidR="00267578" w:rsidRPr="0051150C">
        <w:rPr>
          <w:i/>
          <w:noProof/>
          <w:szCs w:val="22"/>
          <w:lang w:val="sr-Latn-BA"/>
        </w:rPr>
        <w:t>).</w:t>
      </w:r>
    </w:p>
    <w:p w14:paraId="679A0B22" w14:textId="77777777" w:rsidR="00267578" w:rsidRPr="0051150C" w:rsidRDefault="00267578" w:rsidP="009173F4">
      <w:pPr>
        <w:tabs>
          <w:tab w:val="clear" w:pos="284"/>
        </w:tabs>
        <w:autoSpaceDE w:val="0"/>
        <w:autoSpaceDN w:val="0"/>
        <w:adjustRightInd w:val="0"/>
        <w:rPr>
          <w:noProof/>
          <w:szCs w:val="22"/>
          <w:lang w:val="sr-Latn-BA"/>
        </w:rPr>
      </w:pPr>
    </w:p>
    <w:p w14:paraId="7789B208" w14:textId="3539AF3F"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Pr</w:t>
      </w:r>
      <w:r w:rsidR="00C060A5" w:rsidRPr="0051150C">
        <w:rPr>
          <w:noProof/>
          <w:szCs w:val="22"/>
          <w:lang w:val="sr-Latn-BA"/>
        </w:rPr>
        <w:t>ij</w:t>
      </w:r>
      <w:r w:rsidRPr="0051150C">
        <w:rPr>
          <w:noProof/>
          <w:szCs w:val="22"/>
          <w:lang w:val="sr-Latn-BA"/>
        </w:rPr>
        <w:t xml:space="preserve">e </w:t>
      </w:r>
      <w:r w:rsidR="00096FAA" w:rsidRPr="0051150C">
        <w:rPr>
          <w:noProof/>
          <w:szCs w:val="22"/>
          <w:lang w:val="sr-Latn-BA"/>
        </w:rPr>
        <w:t>liječenj</w:t>
      </w:r>
      <w:r w:rsidRPr="0051150C">
        <w:rPr>
          <w:noProof/>
          <w:szCs w:val="22"/>
          <w:lang w:val="sr-Latn-BA"/>
        </w:rPr>
        <w:t>a pacijenata sa značajnim rizikom za nastanak kongestivne srčane insuficijencije (npr. srčana insuficijencija, nekontrolisana hipertenzija ili srčani događaji</w:t>
      </w:r>
      <w:r w:rsidR="00C060A5" w:rsidRPr="0051150C">
        <w:rPr>
          <w:noProof/>
          <w:szCs w:val="22"/>
          <w:lang w:val="sr-Latn-BA"/>
        </w:rPr>
        <w:t>,</w:t>
      </w:r>
      <w:r w:rsidRPr="0051150C">
        <w:rPr>
          <w:noProof/>
          <w:szCs w:val="22"/>
          <w:lang w:val="sr-Latn-BA"/>
        </w:rPr>
        <w:t xml:space="preserve"> kao što je ishemijska bolest srca u anamnezi) treba razmotriti dobijanje proc</w:t>
      </w:r>
      <w:r w:rsidR="00C060A5" w:rsidRPr="0051150C">
        <w:rPr>
          <w:noProof/>
          <w:szCs w:val="22"/>
          <w:lang w:val="sr-Latn-BA"/>
        </w:rPr>
        <w:t>j</w:t>
      </w:r>
      <w:r w:rsidRPr="0051150C">
        <w:rPr>
          <w:noProof/>
          <w:szCs w:val="22"/>
          <w:lang w:val="sr-Latn-BA"/>
        </w:rPr>
        <w:t>ene srčane funkcije (npr. ultrazvuk srca). Pr</w:t>
      </w:r>
      <w:r w:rsidR="00C060A5" w:rsidRPr="0051150C">
        <w:rPr>
          <w:noProof/>
          <w:szCs w:val="22"/>
          <w:lang w:val="sr-Latn-BA"/>
        </w:rPr>
        <w:t>ij</w:t>
      </w:r>
      <w:r w:rsidRPr="0051150C">
        <w:rPr>
          <w:noProof/>
          <w:szCs w:val="22"/>
          <w:lang w:val="sr-Latn-BA"/>
        </w:rPr>
        <w:t xml:space="preserve">e terapije </w:t>
      </w:r>
      <w:r w:rsidR="00096FAA" w:rsidRPr="0051150C">
        <w:rPr>
          <w:noProof/>
          <w:szCs w:val="22"/>
          <w:lang w:val="sr-Latn-BA"/>
        </w:rPr>
        <w:t>lijek</w:t>
      </w:r>
      <w:r w:rsidRPr="0051150C">
        <w:rPr>
          <w:noProof/>
          <w:szCs w:val="22"/>
          <w:lang w:val="sr-Latn-BA"/>
        </w:rPr>
        <w:t xml:space="preserve">om </w:t>
      </w:r>
      <w:r w:rsidR="00C315BF" w:rsidRPr="0051150C">
        <w:rPr>
          <w:noProof/>
          <w:szCs w:val="22"/>
          <w:lang w:val="sr-Latn-BA"/>
        </w:rPr>
        <w:t>Jonosol</w:t>
      </w:r>
      <w:r w:rsidRPr="0051150C">
        <w:rPr>
          <w:noProof/>
          <w:szCs w:val="22"/>
          <w:lang w:val="sr-Latn-BA"/>
        </w:rPr>
        <w:t>, treba l</w:t>
      </w:r>
      <w:r w:rsidR="00C060A5" w:rsidRPr="0051150C">
        <w:rPr>
          <w:noProof/>
          <w:szCs w:val="22"/>
          <w:lang w:val="sr-Latn-BA"/>
        </w:rPr>
        <w:t>ij</w:t>
      </w:r>
      <w:r w:rsidRPr="0051150C">
        <w:rPr>
          <w:noProof/>
          <w:szCs w:val="22"/>
          <w:lang w:val="sr-Latn-BA"/>
        </w:rPr>
        <w:t>ečiti srčanu insuficijenciju i optimiz</w:t>
      </w:r>
      <w:r w:rsidR="004F6B34">
        <w:rPr>
          <w:noProof/>
          <w:szCs w:val="22"/>
          <w:lang w:val="sr-Latn-BA"/>
        </w:rPr>
        <w:t>ova</w:t>
      </w:r>
      <w:r w:rsidRPr="0051150C">
        <w:rPr>
          <w:noProof/>
          <w:szCs w:val="22"/>
          <w:lang w:val="sr-Latn-BA"/>
        </w:rPr>
        <w:t>ti srčanu funkciju. Hipertenziju, hipokal</w:t>
      </w:r>
      <w:r w:rsidR="00480CBB">
        <w:rPr>
          <w:noProof/>
          <w:szCs w:val="22"/>
          <w:lang w:val="sr-Latn-BA"/>
        </w:rPr>
        <w:t>ij</w:t>
      </w:r>
      <w:r w:rsidRPr="0051150C">
        <w:rPr>
          <w:noProof/>
          <w:szCs w:val="22"/>
          <w:lang w:val="sr-Latn-BA"/>
        </w:rPr>
        <w:t>emiju i retenciju tečnosti treba korigovati i kontrolisati. Tokom terapije treba kontrolisati krvni pritisak, koncentraciju kalijuma u serumu, retenciju tečnosti (dobijanje na težini, periferni edemi), i druge znake i simptome kongestivne srčane insuficijencije, na s</w:t>
      </w:r>
      <w:r w:rsidR="004725CF" w:rsidRPr="0051150C">
        <w:rPr>
          <w:noProof/>
          <w:szCs w:val="22"/>
          <w:lang w:val="sr-Latn-BA"/>
        </w:rPr>
        <w:t>vake 2 ned</w:t>
      </w:r>
      <w:r w:rsidR="00C060A5" w:rsidRPr="0051150C">
        <w:rPr>
          <w:noProof/>
          <w:szCs w:val="22"/>
          <w:lang w:val="sr-Latn-BA"/>
        </w:rPr>
        <w:t>j</w:t>
      </w:r>
      <w:r w:rsidR="004725CF" w:rsidRPr="0051150C">
        <w:rPr>
          <w:noProof/>
          <w:szCs w:val="22"/>
          <w:lang w:val="sr-Latn-BA"/>
        </w:rPr>
        <w:t>elje u toku 3 m</w:t>
      </w:r>
      <w:r w:rsidR="00C060A5" w:rsidRPr="0051150C">
        <w:rPr>
          <w:noProof/>
          <w:szCs w:val="22"/>
          <w:lang w:val="sr-Latn-BA"/>
        </w:rPr>
        <w:t>j</w:t>
      </w:r>
      <w:r w:rsidR="004725CF" w:rsidRPr="0051150C">
        <w:rPr>
          <w:noProof/>
          <w:szCs w:val="22"/>
          <w:lang w:val="sr-Latn-BA"/>
        </w:rPr>
        <w:t xml:space="preserve">eseca, </w:t>
      </w:r>
      <w:r w:rsidRPr="0051150C">
        <w:rPr>
          <w:noProof/>
          <w:szCs w:val="22"/>
          <w:lang w:val="sr-Latn-BA"/>
        </w:rPr>
        <w:t>nakon toga jednom m</w:t>
      </w:r>
      <w:r w:rsidR="00C060A5" w:rsidRPr="0051150C">
        <w:rPr>
          <w:noProof/>
          <w:szCs w:val="22"/>
          <w:lang w:val="sr-Latn-BA"/>
        </w:rPr>
        <w:t>j</w:t>
      </w:r>
      <w:r w:rsidRPr="0051150C">
        <w:rPr>
          <w:noProof/>
          <w:szCs w:val="22"/>
          <w:lang w:val="sr-Latn-BA"/>
        </w:rPr>
        <w:t>esečno</w:t>
      </w:r>
      <w:r w:rsidR="00480CBB">
        <w:rPr>
          <w:noProof/>
          <w:szCs w:val="22"/>
          <w:lang w:val="sr-Latn-BA"/>
        </w:rPr>
        <w:t>,</w:t>
      </w:r>
      <w:r w:rsidRPr="0051150C">
        <w:rPr>
          <w:noProof/>
          <w:szCs w:val="22"/>
          <w:lang w:val="sr-Latn-BA"/>
        </w:rPr>
        <w:t xml:space="preserve"> i korigovati prim</w:t>
      </w:r>
      <w:r w:rsidR="00C060A5" w:rsidRPr="0051150C">
        <w:rPr>
          <w:noProof/>
          <w:szCs w:val="22"/>
          <w:lang w:val="sr-Latn-BA"/>
        </w:rPr>
        <w:t>ij</w:t>
      </w:r>
      <w:r w:rsidRPr="0051150C">
        <w:rPr>
          <w:noProof/>
          <w:szCs w:val="22"/>
          <w:lang w:val="sr-Latn-BA"/>
        </w:rPr>
        <w:t>ećena odstupanja. Produženje QT intervala je bilo prim</w:t>
      </w:r>
      <w:r w:rsidR="00C060A5" w:rsidRPr="0051150C">
        <w:rPr>
          <w:noProof/>
          <w:szCs w:val="22"/>
          <w:lang w:val="sr-Latn-BA"/>
        </w:rPr>
        <w:t>ij</w:t>
      </w:r>
      <w:r w:rsidRPr="0051150C">
        <w:rPr>
          <w:noProof/>
          <w:szCs w:val="22"/>
          <w:lang w:val="sr-Latn-BA"/>
        </w:rPr>
        <w:t>ećeno kod pacijenata koji su imali hipoka</w:t>
      </w:r>
      <w:r w:rsidR="004725CF" w:rsidRPr="0051150C">
        <w:rPr>
          <w:noProof/>
          <w:szCs w:val="22"/>
          <w:lang w:val="sr-Latn-BA"/>
        </w:rPr>
        <w:t>l</w:t>
      </w:r>
      <w:r w:rsidR="00480CBB">
        <w:rPr>
          <w:noProof/>
          <w:szCs w:val="22"/>
          <w:lang w:val="sr-Latn-BA"/>
        </w:rPr>
        <w:t>ij</w:t>
      </w:r>
      <w:r w:rsidR="004725CF" w:rsidRPr="0051150C">
        <w:rPr>
          <w:noProof/>
          <w:szCs w:val="22"/>
          <w:lang w:val="sr-Latn-BA"/>
        </w:rPr>
        <w:t xml:space="preserve">emiju </w:t>
      </w:r>
      <w:r w:rsidR="000C145F" w:rsidRPr="0051150C">
        <w:rPr>
          <w:noProof/>
          <w:szCs w:val="22"/>
          <w:lang w:val="sr-Latn-BA"/>
        </w:rPr>
        <w:t xml:space="preserve">povezanu sa </w:t>
      </w:r>
      <w:r w:rsidR="00096FAA" w:rsidRPr="0051150C">
        <w:rPr>
          <w:noProof/>
          <w:szCs w:val="22"/>
          <w:lang w:val="sr-Latn-BA"/>
        </w:rPr>
        <w:t>primjen</w:t>
      </w:r>
      <w:r w:rsidR="000C145F" w:rsidRPr="0051150C">
        <w:rPr>
          <w:noProof/>
          <w:szCs w:val="22"/>
          <w:lang w:val="sr-Latn-BA"/>
        </w:rPr>
        <w:t xml:space="preserve">om abirateron </w:t>
      </w:r>
      <w:r w:rsidR="004725CF" w:rsidRPr="0051150C">
        <w:rPr>
          <w:noProof/>
          <w:szCs w:val="22"/>
          <w:lang w:val="sr-Latn-BA"/>
        </w:rPr>
        <w:t>acetata</w:t>
      </w:r>
      <w:r w:rsidRPr="0051150C">
        <w:rPr>
          <w:noProof/>
          <w:szCs w:val="22"/>
          <w:lang w:val="sr-Latn-BA"/>
        </w:rPr>
        <w:t xml:space="preserve">. </w:t>
      </w:r>
      <w:r w:rsidR="00D469A0">
        <w:rPr>
          <w:noProof/>
          <w:szCs w:val="22"/>
          <w:lang w:val="sr-Latn-BA"/>
        </w:rPr>
        <w:t>Neophodno je p</w:t>
      </w:r>
      <w:r w:rsidRPr="0051150C">
        <w:rPr>
          <w:noProof/>
          <w:szCs w:val="22"/>
          <w:lang w:val="sr-Latn-BA"/>
        </w:rPr>
        <w:t>roc</w:t>
      </w:r>
      <w:r w:rsidR="00C060A5" w:rsidRPr="0051150C">
        <w:rPr>
          <w:noProof/>
          <w:szCs w:val="22"/>
          <w:lang w:val="sr-Latn-BA"/>
        </w:rPr>
        <w:t>ij</w:t>
      </w:r>
      <w:r w:rsidRPr="0051150C">
        <w:rPr>
          <w:noProof/>
          <w:szCs w:val="22"/>
          <w:lang w:val="sr-Latn-BA"/>
        </w:rPr>
        <w:t>eniti srčanu funkciju prema kliničkim indikacijama, sprovesti odgovarajuće m</w:t>
      </w:r>
      <w:r w:rsidR="00C060A5" w:rsidRPr="0051150C">
        <w:rPr>
          <w:noProof/>
          <w:szCs w:val="22"/>
          <w:lang w:val="sr-Latn-BA"/>
        </w:rPr>
        <w:t>j</w:t>
      </w:r>
      <w:r w:rsidRPr="0051150C">
        <w:rPr>
          <w:noProof/>
          <w:szCs w:val="22"/>
          <w:lang w:val="sr-Latn-BA"/>
        </w:rPr>
        <w:t xml:space="preserve">ere </w:t>
      </w:r>
      <w:r w:rsidR="004725CF" w:rsidRPr="0051150C">
        <w:rPr>
          <w:noProof/>
          <w:szCs w:val="22"/>
          <w:lang w:val="sr-Latn-BA"/>
        </w:rPr>
        <w:t xml:space="preserve">i razmotriti prekid </w:t>
      </w:r>
      <w:r w:rsidRPr="0051150C">
        <w:rPr>
          <w:noProof/>
          <w:szCs w:val="22"/>
          <w:lang w:val="sr-Latn-BA"/>
        </w:rPr>
        <w:t xml:space="preserve">terapije </w:t>
      </w:r>
      <w:r w:rsidR="004725CF" w:rsidRPr="0051150C">
        <w:rPr>
          <w:noProof/>
          <w:szCs w:val="22"/>
          <w:lang w:val="sr-Latn-BA"/>
        </w:rPr>
        <w:t>ukoliko</w:t>
      </w:r>
      <w:r w:rsidRPr="0051150C">
        <w:rPr>
          <w:noProof/>
          <w:szCs w:val="22"/>
          <w:lang w:val="sr-Latn-BA"/>
        </w:rPr>
        <w:t xml:space="preserve"> postoji klinički značajno smanjenje srčane funkcije (</w:t>
      </w:r>
      <w:r w:rsidR="00F43B54" w:rsidRPr="00410EF6">
        <w:rPr>
          <w:noProof/>
          <w:szCs w:val="22"/>
          <w:lang w:val="sr-Latn-BA"/>
        </w:rPr>
        <w:t xml:space="preserve">vidjeti dio </w:t>
      </w:r>
      <w:r w:rsidRPr="00410EF6">
        <w:rPr>
          <w:noProof/>
          <w:szCs w:val="22"/>
          <w:lang w:val="sr-Latn-BA"/>
        </w:rPr>
        <w:t>4.2</w:t>
      </w:r>
      <w:r w:rsidRPr="0051150C">
        <w:rPr>
          <w:noProof/>
          <w:szCs w:val="22"/>
          <w:lang w:val="sr-Latn-BA"/>
        </w:rPr>
        <w:t xml:space="preserve">). </w:t>
      </w:r>
    </w:p>
    <w:p w14:paraId="66B435F4" w14:textId="3E7A2505" w:rsidR="00267578" w:rsidRDefault="00267578" w:rsidP="009173F4">
      <w:pPr>
        <w:tabs>
          <w:tab w:val="clear" w:pos="284"/>
        </w:tabs>
        <w:autoSpaceDE w:val="0"/>
        <w:autoSpaceDN w:val="0"/>
        <w:adjustRightInd w:val="0"/>
        <w:rPr>
          <w:noProof/>
          <w:szCs w:val="22"/>
          <w:lang w:val="sr-Latn-BA"/>
        </w:rPr>
      </w:pPr>
    </w:p>
    <w:p w14:paraId="6EEB1717" w14:textId="7CC31EDB" w:rsidR="00DE144C" w:rsidRDefault="00DE144C" w:rsidP="009173F4">
      <w:pPr>
        <w:tabs>
          <w:tab w:val="clear" w:pos="284"/>
        </w:tabs>
        <w:autoSpaceDE w:val="0"/>
        <w:autoSpaceDN w:val="0"/>
        <w:adjustRightInd w:val="0"/>
        <w:rPr>
          <w:noProof/>
          <w:szCs w:val="22"/>
          <w:lang w:val="sr-Latn-BA"/>
        </w:rPr>
      </w:pPr>
    </w:p>
    <w:p w14:paraId="6483BF8D" w14:textId="0BAC52C2" w:rsidR="00DE144C" w:rsidRDefault="00DE144C" w:rsidP="009173F4">
      <w:pPr>
        <w:tabs>
          <w:tab w:val="clear" w:pos="284"/>
        </w:tabs>
        <w:autoSpaceDE w:val="0"/>
        <w:autoSpaceDN w:val="0"/>
        <w:adjustRightInd w:val="0"/>
        <w:rPr>
          <w:noProof/>
          <w:szCs w:val="22"/>
          <w:lang w:val="sr-Latn-BA"/>
        </w:rPr>
      </w:pPr>
    </w:p>
    <w:p w14:paraId="6CEF8E74" w14:textId="77777777" w:rsidR="00DE144C" w:rsidRPr="0051150C" w:rsidRDefault="00DE144C" w:rsidP="009173F4">
      <w:pPr>
        <w:tabs>
          <w:tab w:val="clear" w:pos="284"/>
        </w:tabs>
        <w:autoSpaceDE w:val="0"/>
        <w:autoSpaceDN w:val="0"/>
        <w:adjustRightInd w:val="0"/>
        <w:rPr>
          <w:noProof/>
          <w:szCs w:val="22"/>
          <w:lang w:val="sr-Latn-BA"/>
        </w:rPr>
      </w:pPr>
    </w:p>
    <w:p w14:paraId="787FC846" w14:textId="77777777"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lastRenderedPageBreak/>
        <w:t>Hepatotoksičnost i oštećenje funkcije jetre</w:t>
      </w:r>
    </w:p>
    <w:p w14:paraId="2E2E32AB" w14:textId="0104CD8C"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 xml:space="preserve">U kontrolisanim kliničkim ispitivanjima dolazilo je do </w:t>
      </w:r>
      <w:r w:rsidR="004725CF" w:rsidRPr="0051150C">
        <w:rPr>
          <w:noProof/>
          <w:szCs w:val="22"/>
          <w:lang w:val="sr-Latn-BA"/>
        </w:rPr>
        <w:t>značajnog</w:t>
      </w:r>
      <w:r w:rsidRPr="0051150C">
        <w:rPr>
          <w:noProof/>
          <w:szCs w:val="22"/>
          <w:lang w:val="sr-Latn-BA"/>
        </w:rPr>
        <w:t xml:space="preserve"> povećanja </w:t>
      </w:r>
      <w:r w:rsidR="00096FAA" w:rsidRPr="0051150C">
        <w:rPr>
          <w:noProof/>
          <w:szCs w:val="22"/>
          <w:lang w:val="sr-Latn-BA"/>
        </w:rPr>
        <w:t>vrijednost</w:t>
      </w:r>
      <w:r w:rsidRPr="0051150C">
        <w:rPr>
          <w:noProof/>
          <w:szCs w:val="22"/>
          <w:lang w:val="sr-Latn-BA"/>
        </w:rPr>
        <w:t>i enzima jetre zbog čega je terapija</w:t>
      </w:r>
      <w:r w:rsidR="004725CF" w:rsidRPr="0051150C">
        <w:rPr>
          <w:noProof/>
          <w:szCs w:val="22"/>
          <w:lang w:val="sr-Latn-BA"/>
        </w:rPr>
        <w:t xml:space="preserve"> prekidana</w:t>
      </w:r>
      <w:r w:rsidRPr="0051150C">
        <w:rPr>
          <w:noProof/>
          <w:szCs w:val="22"/>
          <w:lang w:val="sr-Latn-BA"/>
        </w:rPr>
        <w:t xml:space="preserve"> </w:t>
      </w:r>
      <w:r w:rsidR="00AC5F8D">
        <w:rPr>
          <w:noProof/>
          <w:szCs w:val="22"/>
          <w:lang w:val="sr-Latn-BA"/>
        </w:rPr>
        <w:t>ili je doza modifikovana</w:t>
      </w:r>
      <w:r w:rsidRPr="0051150C">
        <w:rPr>
          <w:noProof/>
          <w:szCs w:val="22"/>
          <w:lang w:val="sr-Latn-BA"/>
        </w:rPr>
        <w:t>(</w:t>
      </w:r>
      <w:r w:rsidR="00F43B54" w:rsidRPr="00410EF6">
        <w:rPr>
          <w:noProof/>
          <w:szCs w:val="22"/>
          <w:lang w:val="sr-Latn-BA"/>
        </w:rPr>
        <w:t xml:space="preserve">vidjeti dio </w:t>
      </w:r>
      <w:r w:rsidRPr="00410EF6">
        <w:rPr>
          <w:noProof/>
          <w:szCs w:val="22"/>
          <w:lang w:val="sr-Latn-BA"/>
        </w:rPr>
        <w:t>4.8</w:t>
      </w:r>
      <w:r w:rsidRPr="0051150C">
        <w:rPr>
          <w:noProof/>
          <w:szCs w:val="22"/>
          <w:lang w:val="sr-Latn-BA"/>
        </w:rPr>
        <w:t xml:space="preserve">). </w:t>
      </w:r>
      <w:r w:rsidR="00096FAA" w:rsidRPr="0051150C">
        <w:rPr>
          <w:noProof/>
          <w:szCs w:val="22"/>
          <w:lang w:val="sr-Latn-BA"/>
        </w:rPr>
        <w:t>Vrijednost</w:t>
      </w:r>
      <w:r w:rsidRPr="0051150C">
        <w:rPr>
          <w:noProof/>
          <w:szCs w:val="22"/>
          <w:lang w:val="sr-Latn-BA"/>
        </w:rPr>
        <w:t>i transaminaza u serumu treba m</w:t>
      </w:r>
      <w:r w:rsidR="00C060A5" w:rsidRPr="0051150C">
        <w:rPr>
          <w:noProof/>
          <w:szCs w:val="22"/>
          <w:lang w:val="sr-Latn-BA"/>
        </w:rPr>
        <w:t>j</w:t>
      </w:r>
      <w:r w:rsidRPr="0051150C">
        <w:rPr>
          <w:noProof/>
          <w:szCs w:val="22"/>
          <w:lang w:val="sr-Latn-BA"/>
        </w:rPr>
        <w:t>eriti pr</w:t>
      </w:r>
      <w:r w:rsidR="00C060A5" w:rsidRPr="0051150C">
        <w:rPr>
          <w:noProof/>
          <w:szCs w:val="22"/>
          <w:lang w:val="sr-Latn-BA"/>
        </w:rPr>
        <w:t>ij</w:t>
      </w:r>
      <w:r w:rsidRPr="0051150C">
        <w:rPr>
          <w:noProof/>
          <w:szCs w:val="22"/>
          <w:lang w:val="sr-Latn-BA"/>
        </w:rPr>
        <w:t>e započinjanja ove terapije, na svake dv</w:t>
      </w:r>
      <w:r w:rsidR="00C060A5" w:rsidRPr="0051150C">
        <w:rPr>
          <w:noProof/>
          <w:szCs w:val="22"/>
          <w:lang w:val="sr-Latn-BA"/>
        </w:rPr>
        <w:t>ij</w:t>
      </w:r>
      <w:r w:rsidRPr="0051150C">
        <w:rPr>
          <w:noProof/>
          <w:szCs w:val="22"/>
          <w:lang w:val="sr-Latn-BA"/>
        </w:rPr>
        <w:t>e ned</w:t>
      </w:r>
      <w:r w:rsidR="00C060A5" w:rsidRPr="0051150C">
        <w:rPr>
          <w:noProof/>
          <w:szCs w:val="22"/>
          <w:lang w:val="sr-Latn-BA"/>
        </w:rPr>
        <w:t>j</w:t>
      </w:r>
      <w:r w:rsidRPr="0051150C">
        <w:rPr>
          <w:noProof/>
          <w:szCs w:val="22"/>
          <w:lang w:val="sr-Latn-BA"/>
        </w:rPr>
        <w:t>elje u prva tri m</w:t>
      </w:r>
      <w:r w:rsidR="00C060A5" w:rsidRPr="0051150C">
        <w:rPr>
          <w:noProof/>
          <w:szCs w:val="22"/>
          <w:lang w:val="sr-Latn-BA"/>
        </w:rPr>
        <w:t>j</w:t>
      </w:r>
      <w:r w:rsidRPr="0051150C">
        <w:rPr>
          <w:noProof/>
          <w:szCs w:val="22"/>
          <w:lang w:val="sr-Latn-BA"/>
        </w:rPr>
        <w:t>eseca terapije i potom jednom m</w:t>
      </w:r>
      <w:r w:rsidR="00C060A5" w:rsidRPr="0051150C">
        <w:rPr>
          <w:noProof/>
          <w:szCs w:val="22"/>
          <w:lang w:val="sr-Latn-BA"/>
        </w:rPr>
        <w:t>j</w:t>
      </w:r>
      <w:r w:rsidRPr="0051150C">
        <w:rPr>
          <w:noProof/>
          <w:szCs w:val="22"/>
          <w:lang w:val="sr-Latn-BA"/>
        </w:rPr>
        <w:t>esečno. Ako se razviju klinički simptomi ili znaci koji ukazuju na hepatotoksičnost, odmah treba izm</w:t>
      </w:r>
      <w:r w:rsidR="00C060A5" w:rsidRPr="0051150C">
        <w:rPr>
          <w:noProof/>
          <w:szCs w:val="22"/>
          <w:lang w:val="sr-Latn-BA"/>
        </w:rPr>
        <w:t>j</w:t>
      </w:r>
      <w:r w:rsidRPr="0051150C">
        <w:rPr>
          <w:noProof/>
          <w:szCs w:val="22"/>
          <w:lang w:val="sr-Latn-BA"/>
        </w:rPr>
        <w:t xml:space="preserve">eriti </w:t>
      </w:r>
      <w:r w:rsidR="00096FAA" w:rsidRPr="0051150C">
        <w:rPr>
          <w:noProof/>
          <w:szCs w:val="22"/>
          <w:lang w:val="sr-Latn-BA"/>
        </w:rPr>
        <w:t>vrijednost</w:t>
      </w:r>
      <w:r w:rsidR="00674EB2">
        <w:rPr>
          <w:noProof/>
          <w:szCs w:val="22"/>
          <w:lang w:val="sr-Latn-BA"/>
        </w:rPr>
        <w:t>i</w:t>
      </w:r>
      <w:r w:rsidRPr="0051150C">
        <w:rPr>
          <w:noProof/>
          <w:szCs w:val="22"/>
          <w:lang w:val="sr-Latn-BA"/>
        </w:rPr>
        <w:t xml:space="preserve"> transaminaza u serumu. Ako u bilo kom trenutku </w:t>
      </w:r>
      <w:r w:rsidR="00096FAA" w:rsidRPr="0051150C">
        <w:rPr>
          <w:noProof/>
          <w:szCs w:val="22"/>
          <w:lang w:val="sr-Latn-BA"/>
        </w:rPr>
        <w:t>vrijednost</w:t>
      </w:r>
      <w:r w:rsidRPr="0051150C">
        <w:rPr>
          <w:noProof/>
          <w:szCs w:val="22"/>
          <w:lang w:val="sr-Latn-BA"/>
        </w:rPr>
        <w:t xml:space="preserve"> ALT ili AST pređe petostruku </w:t>
      </w:r>
      <w:r w:rsidR="00096FAA" w:rsidRPr="0051150C">
        <w:rPr>
          <w:noProof/>
          <w:szCs w:val="22"/>
          <w:lang w:val="sr-Latn-BA"/>
        </w:rPr>
        <w:t>vrijednost</w:t>
      </w:r>
      <w:r w:rsidRPr="0051150C">
        <w:rPr>
          <w:noProof/>
          <w:szCs w:val="22"/>
          <w:lang w:val="sr-Latn-BA"/>
        </w:rPr>
        <w:t xml:space="preserve"> gornje granice normale, terapiju treba odmah obustaviti i pažljivo pratiti funkciju jetre. Terapija se može ponovo uvesti</w:t>
      </w:r>
      <w:r w:rsidR="00674EB2">
        <w:rPr>
          <w:noProof/>
          <w:szCs w:val="22"/>
          <w:lang w:val="sr-Latn-BA"/>
        </w:rPr>
        <w:t>,</w:t>
      </w:r>
      <w:r w:rsidRPr="0051150C">
        <w:rPr>
          <w:noProof/>
          <w:szCs w:val="22"/>
          <w:lang w:val="sr-Latn-BA"/>
        </w:rPr>
        <w:t xml:space="preserve"> </w:t>
      </w:r>
      <w:r w:rsidR="004725CF" w:rsidRPr="0051150C">
        <w:rPr>
          <w:noProof/>
          <w:szCs w:val="22"/>
          <w:lang w:val="sr-Latn-BA"/>
        </w:rPr>
        <w:t>sa smanjenom dozom</w:t>
      </w:r>
      <w:r w:rsidR="00C060A5" w:rsidRPr="0051150C">
        <w:rPr>
          <w:noProof/>
          <w:szCs w:val="22"/>
          <w:lang w:val="sr-Latn-BA"/>
        </w:rPr>
        <w:t>,</w:t>
      </w:r>
      <w:r w:rsidR="004725CF" w:rsidRPr="0051150C">
        <w:rPr>
          <w:noProof/>
          <w:szCs w:val="22"/>
          <w:lang w:val="sr-Latn-BA"/>
        </w:rPr>
        <w:t xml:space="preserve"> ali tek </w:t>
      </w:r>
      <w:r w:rsidRPr="0051150C">
        <w:rPr>
          <w:noProof/>
          <w:szCs w:val="22"/>
          <w:lang w:val="sr-Latn-BA"/>
        </w:rPr>
        <w:t xml:space="preserve">kada se </w:t>
      </w:r>
      <w:r w:rsidR="00096FAA" w:rsidRPr="0051150C">
        <w:rPr>
          <w:noProof/>
          <w:szCs w:val="22"/>
          <w:lang w:val="sr-Latn-BA"/>
        </w:rPr>
        <w:t>vrijednost</w:t>
      </w:r>
      <w:r w:rsidRPr="0051150C">
        <w:rPr>
          <w:noProof/>
          <w:szCs w:val="22"/>
          <w:lang w:val="sr-Latn-BA"/>
        </w:rPr>
        <w:t xml:space="preserve">i funkcionalnih testova jetre vrate na početni </w:t>
      </w:r>
      <w:r w:rsidR="004725CF" w:rsidRPr="0051150C">
        <w:rPr>
          <w:noProof/>
          <w:szCs w:val="22"/>
          <w:lang w:val="sr-Latn-BA"/>
        </w:rPr>
        <w:t>nivo</w:t>
      </w:r>
      <w:r w:rsidRPr="0051150C">
        <w:rPr>
          <w:noProof/>
          <w:szCs w:val="22"/>
          <w:lang w:val="sr-Latn-BA"/>
        </w:rPr>
        <w:t xml:space="preserve"> (</w:t>
      </w:r>
      <w:r w:rsidR="00F43B54">
        <w:rPr>
          <w:noProof/>
          <w:szCs w:val="22"/>
          <w:lang w:val="sr-Latn-BA"/>
        </w:rPr>
        <w:t xml:space="preserve">vidjeti dio </w:t>
      </w:r>
      <w:r w:rsidRPr="0051150C">
        <w:rPr>
          <w:noProof/>
          <w:szCs w:val="22"/>
          <w:lang w:val="sr-Latn-BA"/>
        </w:rPr>
        <w:t xml:space="preserve">4.2). </w:t>
      </w:r>
    </w:p>
    <w:p w14:paraId="5EC17597" w14:textId="77777777" w:rsidR="00267578" w:rsidRPr="0051150C" w:rsidRDefault="00267578" w:rsidP="009173F4">
      <w:pPr>
        <w:tabs>
          <w:tab w:val="clear" w:pos="284"/>
        </w:tabs>
        <w:autoSpaceDE w:val="0"/>
        <w:autoSpaceDN w:val="0"/>
        <w:adjustRightInd w:val="0"/>
        <w:rPr>
          <w:noProof/>
          <w:szCs w:val="22"/>
          <w:lang w:val="sr-Latn-BA"/>
        </w:rPr>
      </w:pPr>
    </w:p>
    <w:p w14:paraId="4500E390" w14:textId="239CA551"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Ako pacijenti razviju tešku hepatotoksičnost (</w:t>
      </w:r>
      <w:r w:rsidR="00096FAA" w:rsidRPr="0051150C">
        <w:rPr>
          <w:noProof/>
          <w:szCs w:val="22"/>
          <w:lang w:val="sr-Latn-BA"/>
        </w:rPr>
        <w:t>vrijednost</w:t>
      </w:r>
      <w:r w:rsidRPr="0051150C">
        <w:rPr>
          <w:noProof/>
          <w:szCs w:val="22"/>
          <w:lang w:val="sr-Latn-BA"/>
        </w:rPr>
        <w:t xml:space="preserve"> ALT ili AST 20 puta veća od gornje granice normale) u bilo kom trenutku </w:t>
      </w:r>
      <w:r w:rsidR="00FE7532" w:rsidRPr="0051150C">
        <w:rPr>
          <w:noProof/>
          <w:szCs w:val="22"/>
          <w:lang w:val="sr-Latn-BA"/>
        </w:rPr>
        <w:t>terapije</w:t>
      </w:r>
      <w:r w:rsidRPr="0051150C">
        <w:rPr>
          <w:noProof/>
          <w:szCs w:val="22"/>
          <w:lang w:val="sr-Latn-BA"/>
        </w:rPr>
        <w:t>, terapiju treba prekinuti i više je ne uvoditi kod ovih pacijenata.</w:t>
      </w:r>
    </w:p>
    <w:p w14:paraId="1DD5B74A" w14:textId="77777777" w:rsidR="00267578" w:rsidRPr="0051150C" w:rsidRDefault="00267578" w:rsidP="009173F4">
      <w:pPr>
        <w:tabs>
          <w:tab w:val="clear" w:pos="284"/>
        </w:tabs>
        <w:autoSpaceDE w:val="0"/>
        <w:autoSpaceDN w:val="0"/>
        <w:adjustRightInd w:val="0"/>
        <w:rPr>
          <w:noProof/>
          <w:szCs w:val="22"/>
          <w:lang w:val="sr-Latn-BA"/>
        </w:rPr>
      </w:pPr>
    </w:p>
    <w:p w14:paraId="115D38F3" w14:textId="7BF5A548" w:rsidR="004725CF"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Pacijenti sa aktivnim ili simptomatskim virusnim hepat</w:t>
      </w:r>
      <w:r w:rsidR="00FE7532" w:rsidRPr="0051150C">
        <w:rPr>
          <w:noProof/>
          <w:szCs w:val="22"/>
          <w:lang w:val="sr-Latn-BA"/>
        </w:rPr>
        <w:t xml:space="preserve">itisom </w:t>
      </w:r>
      <w:r w:rsidRPr="0051150C">
        <w:rPr>
          <w:noProof/>
          <w:szCs w:val="22"/>
          <w:lang w:val="sr-Latn-BA"/>
        </w:rPr>
        <w:t>su</w:t>
      </w:r>
      <w:r w:rsidR="00FE7532" w:rsidRPr="0051150C">
        <w:rPr>
          <w:noProof/>
          <w:szCs w:val="22"/>
          <w:lang w:val="sr-Latn-BA"/>
        </w:rPr>
        <w:t xml:space="preserve"> bili</w:t>
      </w:r>
      <w:r w:rsidRPr="0051150C">
        <w:rPr>
          <w:noProof/>
          <w:szCs w:val="22"/>
          <w:lang w:val="sr-Latn-BA"/>
        </w:rPr>
        <w:t xml:space="preserve"> isključeni iz kliničkih ispitivanja; stoga nema podataka koji bi podržali upotrebu </w:t>
      </w:r>
      <w:r w:rsidR="00096FAA" w:rsidRPr="0051150C">
        <w:rPr>
          <w:noProof/>
          <w:szCs w:val="22"/>
          <w:lang w:val="sr-Latn-BA"/>
        </w:rPr>
        <w:t>lijek</w:t>
      </w:r>
      <w:r w:rsidRPr="0051150C">
        <w:rPr>
          <w:noProof/>
          <w:szCs w:val="22"/>
          <w:lang w:val="sr-Latn-BA"/>
        </w:rPr>
        <w:t xml:space="preserve">a </w:t>
      </w:r>
      <w:r w:rsidR="00C315BF" w:rsidRPr="0051150C">
        <w:rPr>
          <w:noProof/>
          <w:szCs w:val="22"/>
          <w:lang w:val="sr-Latn-BA"/>
        </w:rPr>
        <w:t xml:space="preserve">Jonosol </w:t>
      </w:r>
      <w:r w:rsidRPr="0051150C">
        <w:rPr>
          <w:noProof/>
          <w:szCs w:val="22"/>
          <w:lang w:val="sr-Latn-BA"/>
        </w:rPr>
        <w:t xml:space="preserve">u ovoj populaciji. </w:t>
      </w:r>
    </w:p>
    <w:p w14:paraId="0A5D5F6D" w14:textId="77777777" w:rsidR="004725CF" w:rsidRPr="0051150C" w:rsidRDefault="004725CF" w:rsidP="009173F4">
      <w:pPr>
        <w:tabs>
          <w:tab w:val="clear" w:pos="284"/>
        </w:tabs>
        <w:autoSpaceDE w:val="0"/>
        <w:autoSpaceDN w:val="0"/>
        <w:adjustRightInd w:val="0"/>
        <w:rPr>
          <w:noProof/>
          <w:szCs w:val="22"/>
          <w:lang w:val="sr-Latn-BA"/>
        </w:rPr>
      </w:pPr>
    </w:p>
    <w:p w14:paraId="66D5CEEB" w14:textId="304E162E"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Nema podataka o kliničkoj bezb</w:t>
      </w:r>
      <w:r w:rsidR="00C060A5" w:rsidRPr="0051150C">
        <w:rPr>
          <w:noProof/>
          <w:szCs w:val="22"/>
          <w:lang w:val="sr-Latn-BA"/>
        </w:rPr>
        <w:t>j</w:t>
      </w:r>
      <w:r w:rsidRPr="0051150C">
        <w:rPr>
          <w:noProof/>
          <w:szCs w:val="22"/>
          <w:lang w:val="sr-Latn-BA"/>
        </w:rPr>
        <w:t xml:space="preserve">ednosti i efikasnosti </w:t>
      </w:r>
      <w:r w:rsidR="00D469A0">
        <w:rPr>
          <w:noProof/>
          <w:szCs w:val="22"/>
          <w:lang w:val="sr-Latn-BA"/>
        </w:rPr>
        <w:t xml:space="preserve">primjene </w:t>
      </w:r>
      <w:r w:rsidRPr="0051150C">
        <w:rPr>
          <w:noProof/>
          <w:szCs w:val="22"/>
          <w:lang w:val="sr-Latn-BA"/>
        </w:rPr>
        <w:t>višestrukih doza abirateron</w:t>
      </w:r>
      <w:r w:rsidR="00674EB2">
        <w:rPr>
          <w:noProof/>
          <w:szCs w:val="22"/>
          <w:lang w:val="sr-Latn-BA"/>
        </w:rPr>
        <w:t xml:space="preserve"> </w:t>
      </w:r>
      <w:r w:rsidRPr="0051150C">
        <w:rPr>
          <w:noProof/>
          <w:szCs w:val="22"/>
          <w:lang w:val="sr-Latn-BA"/>
        </w:rPr>
        <w:t>acetata kod pacijenata sa um</w:t>
      </w:r>
      <w:r w:rsidR="00C060A5" w:rsidRPr="0051150C">
        <w:rPr>
          <w:noProof/>
          <w:szCs w:val="22"/>
          <w:lang w:val="sr-Latn-BA"/>
        </w:rPr>
        <w:t>j</w:t>
      </w:r>
      <w:r w:rsidRPr="0051150C">
        <w:rPr>
          <w:noProof/>
          <w:szCs w:val="22"/>
          <w:lang w:val="sr-Latn-BA"/>
        </w:rPr>
        <w:t>erenim ili teškim oštećenjem funkcije jetre (</w:t>
      </w:r>
      <w:r w:rsidRPr="0051150C">
        <w:rPr>
          <w:i/>
          <w:iCs/>
          <w:noProof/>
          <w:szCs w:val="22"/>
          <w:lang w:val="sr-Latn-BA"/>
        </w:rPr>
        <w:t xml:space="preserve">Child-Pugh </w:t>
      </w:r>
      <w:r w:rsidRPr="0051150C">
        <w:rPr>
          <w:noProof/>
          <w:szCs w:val="22"/>
          <w:lang w:val="sr-Latn-BA"/>
        </w:rPr>
        <w:t xml:space="preserve">klase B ili C). </w:t>
      </w:r>
      <w:r w:rsidR="00096FAA" w:rsidRPr="0051150C">
        <w:rPr>
          <w:noProof/>
          <w:szCs w:val="22"/>
          <w:lang w:val="sr-Latn-BA"/>
        </w:rPr>
        <w:t>Primjen</w:t>
      </w:r>
      <w:r w:rsidRPr="0051150C">
        <w:rPr>
          <w:noProof/>
          <w:szCs w:val="22"/>
          <w:lang w:val="sr-Latn-BA"/>
        </w:rPr>
        <w:t xml:space="preserve">u </w:t>
      </w:r>
      <w:r w:rsidR="00096FAA" w:rsidRPr="0051150C">
        <w:rPr>
          <w:noProof/>
          <w:szCs w:val="22"/>
          <w:lang w:val="sr-Latn-BA"/>
        </w:rPr>
        <w:t>lijek</w:t>
      </w:r>
      <w:r w:rsidRPr="0051150C">
        <w:rPr>
          <w:noProof/>
          <w:szCs w:val="22"/>
          <w:lang w:val="sr-Latn-BA"/>
        </w:rPr>
        <w:t xml:space="preserve">a </w:t>
      </w:r>
      <w:r w:rsidR="00C315BF" w:rsidRPr="0051150C">
        <w:rPr>
          <w:noProof/>
          <w:szCs w:val="22"/>
          <w:lang w:val="sr-Latn-BA"/>
        </w:rPr>
        <w:t xml:space="preserve">Jonosol </w:t>
      </w:r>
      <w:r w:rsidRPr="0051150C">
        <w:rPr>
          <w:noProof/>
          <w:szCs w:val="22"/>
          <w:lang w:val="sr-Latn-BA"/>
        </w:rPr>
        <w:t>treba pažljivo proc</w:t>
      </w:r>
      <w:r w:rsidR="00C060A5" w:rsidRPr="0051150C">
        <w:rPr>
          <w:noProof/>
          <w:szCs w:val="22"/>
          <w:lang w:val="sr-Latn-BA"/>
        </w:rPr>
        <w:t>ij</w:t>
      </w:r>
      <w:r w:rsidRPr="0051150C">
        <w:rPr>
          <w:noProof/>
          <w:szCs w:val="22"/>
          <w:lang w:val="sr-Latn-BA"/>
        </w:rPr>
        <w:t>eniti kod pacijenata sa um</w:t>
      </w:r>
      <w:r w:rsidR="00C060A5" w:rsidRPr="0051150C">
        <w:rPr>
          <w:noProof/>
          <w:szCs w:val="22"/>
          <w:lang w:val="sr-Latn-BA"/>
        </w:rPr>
        <w:t>j</w:t>
      </w:r>
      <w:r w:rsidRPr="0051150C">
        <w:rPr>
          <w:noProof/>
          <w:szCs w:val="22"/>
          <w:lang w:val="sr-Latn-BA"/>
        </w:rPr>
        <w:t xml:space="preserve">erenim oštećenjem funkcije jetre, kod kojih korist </w:t>
      </w:r>
      <w:r w:rsidR="00096FAA" w:rsidRPr="0051150C">
        <w:rPr>
          <w:noProof/>
          <w:szCs w:val="22"/>
          <w:lang w:val="sr-Latn-BA"/>
        </w:rPr>
        <w:t>primjen</w:t>
      </w:r>
      <w:r w:rsidR="00E61B67" w:rsidRPr="0051150C">
        <w:rPr>
          <w:noProof/>
          <w:szCs w:val="22"/>
          <w:lang w:val="sr-Latn-BA"/>
        </w:rPr>
        <w:t>e treba</w:t>
      </w:r>
      <w:r w:rsidRPr="0051150C">
        <w:rPr>
          <w:noProof/>
          <w:szCs w:val="22"/>
          <w:lang w:val="sr-Latn-BA"/>
        </w:rPr>
        <w:t xml:space="preserve"> jasno</w:t>
      </w:r>
      <w:r w:rsidR="00E61B67" w:rsidRPr="0051150C">
        <w:rPr>
          <w:noProof/>
          <w:szCs w:val="22"/>
          <w:lang w:val="sr-Latn-BA"/>
        </w:rPr>
        <w:t xml:space="preserve"> da</w:t>
      </w:r>
      <w:r w:rsidRPr="0051150C">
        <w:rPr>
          <w:noProof/>
          <w:szCs w:val="22"/>
          <w:lang w:val="sr-Latn-BA"/>
        </w:rPr>
        <w:t xml:space="preserve"> prevazilazi mogući rizik (</w:t>
      </w:r>
      <w:r w:rsidR="00096FAA" w:rsidRPr="00971CC6">
        <w:rPr>
          <w:noProof/>
          <w:szCs w:val="22"/>
          <w:lang w:val="sr-Latn-BA"/>
        </w:rPr>
        <w:t>vidjeti</w:t>
      </w:r>
      <w:r w:rsidRPr="00971CC6">
        <w:rPr>
          <w:noProof/>
          <w:szCs w:val="22"/>
          <w:lang w:val="sr-Latn-BA"/>
        </w:rPr>
        <w:t xml:space="preserve"> </w:t>
      </w:r>
      <w:r w:rsidR="00F43B54" w:rsidRPr="00971CC6">
        <w:rPr>
          <w:noProof/>
          <w:szCs w:val="22"/>
          <w:lang w:val="sr-Latn-BA"/>
        </w:rPr>
        <w:t>djelove</w:t>
      </w:r>
      <w:r w:rsidRPr="0051150C">
        <w:rPr>
          <w:noProof/>
          <w:szCs w:val="22"/>
          <w:lang w:val="sr-Latn-BA"/>
        </w:rPr>
        <w:t xml:space="preserve"> 4.2 i 5.2). </w:t>
      </w:r>
      <w:r w:rsidR="00096FAA" w:rsidRPr="0051150C">
        <w:rPr>
          <w:noProof/>
          <w:szCs w:val="22"/>
          <w:lang w:val="sr-Latn-BA"/>
        </w:rPr>
        <w:t>Lijek</w:t>
      </w:r>
      <w:r w:rsidRPr="0051150C">
        <w:rPr>
          <w:noProof/>
          <w:szCs w:val="22"/>
          <w:lang w:val="sr-Latn-BA"/>
        </w:rPr>
        <w:t xml:space="preserve"> </w:t>
      </w:r>
      <w:r w:rsidR="00C315BF" w:rsidRPr="0051150C">
        <w:rPr>
          <w:noProof/>
          <w:szCs w:val="22"/>
          <w:lang w:val="sr-Latn-BA"/>
        </w:rPr>
        <w:t xml:space="preserve">Jonosol </w:t>
      </w:r>
      <w:r w:rsidRPr="0051150C">
        <w:rPr>
          <w:noProof/>
          <w:szCs w:val="22"/>
          <w:lang w:val="sr-Latn-BA"/>
        </w:rPr>
        <w:t>se ne sm</w:t>
      </w:r>
      <w:r w:rsidR="00C060A5" w:rsidRPr="0051150C">
        <w:rPr>
          <w:noProof/>
          <w:szCs w:val="22"/>
          <w:lang w:val="sr-Latn-BA"/>
        </w:rPr>
        <w:t>ij</w:t>
      </w:r>
      <w:r w:rsidRPr="0051150C">
        <w:rPr>
          <w:noProof/>
          <w:szCs w:val="22"/>
          <w:lang w:val="sr-Latn-BA"/>
        </w:rPr>
        <w:t xml:space="preserve">e </w:t>
      </w:r>
      <w:r w:rsidR="00096FAA" w:rsidRPr="0051150C">
        <w:rPr>
          <w:noProof/>
          <w:szCs w:val="22"/>
          <w:lang w:val="sr-Latn-BA"/>
        </w:rPr>
        <w:t>primjen</w:t>
      </w:r>
      <w:r w:rsidRPr="0051150C">
        <w:rPr>
          <w:noProof/>
          <w:szCs w:val="22"/>
          <w:lang w:val="sr-Latn-BA"/>
        </w:rPr>
        <w:t>jivati kod pacijenata sa teškim oštećenjem funkcije jetre (</w:t>
      </w:r>
      <w:r w:rsidR="00096FAA" w:rsidRPr="00971CC6">
        <w:rPr>
          <w:noProof/>
          <w:szCs w:val="22"/>
          <w:lang w:val="sr-Latn-BA"/>
        </w:rPr>
        <w:t>vidjeti</w:t>
      </w:r>
      <w:r w:rsidRPr="00971CC6">
        <w:rPr>
          <w:noProof/>
          <w:szCs w:val="22"/>
          <w:lang w:val="sr-Latn-BA"/>
        </w:rPr>
        <w:t xml:space="preserve"> </w:t>
      </w:r>
      <w:r w:rsidR="00F43B54" w:rsidRPr="00971CC6">
        <w:rPr>
          <w:noProof/>
          <w:szCs w:val="22"/>
          <w:lang w:val="sr-Latn-BA"/>
        </w:rPr>
        <w:t>djelove</w:t>
      </w:r>
      <w:r w:rsidR="00F43B54">
        <w:rPr>
          <w:noProof/>
          <w:szCs w:val="22"/>
          <w:lang w:val="sr-Latn-BA"/>
        </w:rPr>
        <w:t xml:space="preserve"> </w:t>
      </w:r>
      <w:r w:rsidRPr="0051150C">
        <w:rPr>
          <w:noProof/>
          <w:szCs w:val="22"/>
          <w:lang w:val="sr-Latn-BA"/>
        </w:rPr>
        <w:t>4.2, 4.3 i 5.2).</w:t>
      </w:r>
    </w:p>
    <w:p w14:paraId="47BBDDD6" w14:textId="0B5221F8" w:rsidR="00267578" w:rsidRPr="0051150C" w:rsidRDefault="00267578" w:rsidP="009173F4">
      <w:pPr>
        <w:tabs>
          <w:tab w:val="clear" w:pos="284"/>
        </w:tabs>
        <w:autoSpaceDE w:val="0"/>
        <w:autoSpaceDN w:val="0"/>
        <w:adjustRightInd w:val="0"/>
        <w:rPr>
          <w:noProof/>
          <w:szCs w:val="22"/>
          <w:lang w:val="sr-Latn-BA"/>
        </w:rPr>
      </w:pPr>
    </w:p>
    <w:p w14:paraId="673F51B3" w14:textId="18AE140D"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U periodu postmarketinškog praćenja, bili su prijavljeni r</w:t>
      </w:r>
      <w:r w:rsidR="00C060A5" w:rsidRPr="0051150C">
        <w:rPr>
          <w:noProof/>
          <w:szCs w:val="22"/>
          <w:lang w:val="sr-Latn-BA"/>
        </w:rPr>
        <w:t>ij</w:t>
      </w:r>
      <w:r w:rsidRPr="0051150C">
        <w:rPr>
          <w:noProof/>
          <w:szCs w:val="22"/>
          <w:lang w:val="sr-Latn-BA"/>
        </w:rPr>
        <w:t>etki slučajevi akutne insuficijencije jetre i fulminantnog hepatitisa, od kojih su neki bili sa smrtnim ishodom (</w:t>
      </w:r>
      <w:r w:rsidR="00096FAA" w:rsidRPr="00971CC6">
        <w:rPr>
          <w:noProof/>
          <w:szCs w:val="22"/>
          <w:lang w:val="sr-Latn-BA"/>
        </w:rPr>
        <w:t>vidjeti</w:t>
      </w:r>
      <w:r w:rsidRPr="00971CC6">
        <w:rPr>
          <w:noProof/>
          <w:szCs w:val="22"/>
          <w:lang w:val="sr-Latn-BA"/>
        </w:rPr>
        <w:t xml:space="preserve"> d</w:t>
      </w:r>
      <w:r w:rsidR="00C060A5" w:rsidRPr="00971CC6">
        <w:rPr>
          <w:noProof/>
          <w:szCs w:val="22"/>
          <w:lang w:val="sr-Latn-BA"/>
        </w:rPr>
        <w:t>i</w:t>
      </w:r>
      <w:r w:rsidRPr="00971CC6">
        <w:rPr>
          <w:noProof/>
          <w:szCs w:val="22"/>
          <w:lang w:val="sr-Latn-BA"/>
        </w:rPr>
        <w:t>o</w:t>
      </w:r>
      <w:r w:rsidRPr="0051150C">
        <w:rPr>
          <w:noProof/>
          <w:szCs w:val="22"/>
          <w:lang w:val="sr-Latn-BA"/>
        </w:rPr>
        <w:t xml:space="preserve"> 4.8.).</w:t>
      </w:r>
    </w:p>
    <w:p w14:paraId="5582304E" w14:textId="77777777" w:rsidR="00267578" w:rsidRPr="0051150C" w:rsidRDefault="00267578" w:rsidP="009173F4">
      <w:pPr>
        <w:tabs>
          <w:tab w:val="clear" w:pos="284"/>
        </w:tabs>
        <w:autoSpaceDE w:val="0"/>
        <w:autoSpaceDN w:val="0"/>
        <w:adjustRightInd w:val="0"/>
        <w:rPr>
          <w:noProof/>
          <w:szCs w:val="22"/>
          <w:lang w:val="sr-Latn-BA"/>
        </w:rPr>
      </w:pPr>
    </w:p>
    <w:p w14:paraId="032E3A17" w14:textId="69440864"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 xml:space="preserve">Obustava </w:t>
      </w:r>
      <w:r w:rsidR="00096FAA" w:rsidRPr="0051150C">
        <w:rPr>
          <w:noProof/>
          <w:szCs w:val="22"/>
          <w:u w:val="single"/>
          <w:lang w:val="sr-Latn-BA"/>
        </w:rPr>
        <w:t>primjen</w:t>
      </w:r>
      <w:r w:rsidRPr="0051150C">
        <w:rPr>
          <w:noProof/>
          <w:szCs w:val="22"/>
          <w:u w:val="single"/>
          <w:lang w:val="sr-Latn-BA"/>
        </w:rPr>
        <w:t>e kortikosteroida i r</w:t>
      </w:r>
      <w:r w:rsidR="00C060A5" w:rsidRPr="0051150C">
        <w:rPr>
          <w:noProof/>
          <w:szCs w:val="22"/>
          <w:u w:val="single"/>
          <w:lang w:val="sr-Latn-BA"/>
        </w:rPr>
        <w:t>j</w:t>
      </w:r>
      <w:r w:rsidRPr="0051150C">
        <w:rPr>
          <w:noProof/>
          <w:szCs w:val="22"/>
          <w:u w:val="single"/>
          <w:lang w:val="sr-Latn-BA"/>
        </w:rPr>
        <w:t>ešavanje stresnih situacija</w:t>
      </w:r>
    </w:p>
    <w:p w14:paraId="6FD9A2CE" w14:textId="7B14111D" w:rsidR="00E61B67"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Sav</w:t>
      </w:r>
      <w:r w:rsidR="00C060A5" w:rsidRPr="0051150C">
        <w:rPr>
          <w:noProof/>
          <w:szCs w:val="22"/>
          <w:lang w:val="sr-Latn-BA"/>
        </w:rPr>
        <w:t>j</w:t>
      </w:r>
      <w:r w:rsidRPr="0051150C">
        <w:rPr>
          <w:noProof/>
          <w:szCs w:val="22"/>
          <w:lang w:val="sr-Latn-BA"/>
        </w:rPr>
        <w:t xml:space="preserve">etuje se oprez i praćenje eventualne pojave adrenokortikalne insuficijencije ukoliko se kod pacijenata obustavi terapija prednizonom ili prednizolonom. Ako se nastavi sa davanjem </w:t>
      </w:r>
      <w:r w:rsidR="00096FAA" w:rsidRPr="0051150C">
        <w:rPr>
          <w:noProof/>
          <w:szCs w:val="22"/>
          <w:lang w:val="sr-Latn-BA"/>
        </w:rPr>
        <w:t>lijek</w:t>
      </w:r>
      <w:r w:rsidRPr="0051150C">
        <w:rPr>
          <w:noProof/>
          <w:szCs w:val="22"/>
          <w:lang w:val="sr-Latn-BA"/>
        </w:rPr>
        <w:t xml:space="preserve">a </w:t>
      </w:r>
      <w:r w:rsidR="00C315BF" w:rsidRPr="0051150C">
        <w:rPr>
          <w:noProof/>
          <w:szCs w:val="22"/>
          <w:lang w:val="sr-Latn-BA"/>
        </w:rPr>
        <w:t xml:space="preserve">Jonosol </w:t>
      </w:r>
      <w:r w:rsidRPr="0051150C">
        <w:rPr>
          <w:noProof/>
          <w:szCs w:val="22"/>
          <w:lang w:val="sr-Latn-BA"/>
        </w:rPr>
        <w:t xml:space="preserve">i pošto se obustavi </w:t>
      </w:r>
      <w:r w:rsidR="00096FAA" w:rsidRPr="0051150C">
        <w:rPr>
          <w:noProof/>
          <w:szCs w:val="22"/>
          <w:lang w:val="sr-Latn-BA"/>
        </w:rPr>
        <w:t>primjen</w:t>
      </w:r>
      <w:r w:rsidRPr="0051150C">
        <w:rPr>
          <w:noProof/>
          <w:szCs w:val="22"/>
          <w:lang w:val="sr-Latn-BA"/>
        </w:rPr>
        <w:t>a kortikosteroida, pacijente treba pratiti kako bi se na vr</w:t>
      </w:r>
      <w:r w:rsidR="00C060A5" w:rsidRPr="0051150C">
        <w:rPr>
          <w:noProof/>
          <w:szCs w:val="22"/>
          <w:lang w:val="sr-Latn-BA"/>
        </w:rPr>
        <w:t>ij</w:t>
      </w:r>
      <w:r w:rsidRPr="0051150C">
        <w:rPr>
          <w:noProof/>
          <w:szCs w:val="22"/>
          <w:lang w:val="sr-Latn-BA"/>
        </w:rPr>
        <w:t>eme uočili simptomi prekom</w:t>
      </w:r>
      <w:r w:rsidR="00C060A5" w:rsidRPr="0051150C">
        <w:rPr>
          <w:noProof/>
          <w:szCs w:val="22"/>
          <w:lang w:val="sr-Latn-BA"/>
        </w:rPr>
        <w:t>j</w:t>
      </w:r>
      <w:r w:rsidRPr="0051150C">
        <w:rPr>
          <w:noProof/>
          <w:szCs w:val="22"/>
          <w:lang w:val="sr-Latn-BA"/>
        </w:rPr>
        <w:t>ernog nivoa mineralokortikoida (</w:t>
      </w:r>
      <w:r w:rsidR="00096FAA" w:rsidRPr="00410EF6">
        <w:rPr>
          <w:noProof/>
          <w:szCs w:val="22"/>
          <w:lang w:val="sr-Latn-BA"/>
        </w:rPr>
        <w:t>vidjeti</w:t>
      </w:r>
      <w:r w:rsidRPr="00410EF6">
        <w:rPr>
          <w:noProof/>
          <w:szCs w:val="22"/>
          <w:lang w:val="sr-Latn-BA"/>
        </w:rPr>
        <w:t xml:space="preserve"> </w:t>
      </w:r>
      <w:r w:rsidR="00E61B67" w:rsidRPr="00410EF6">
        <w:rPr>
          <w:noProof/>
          <w:szCs w:val="22"/>
          <w:lang w:val="sr-Latn-BA"/>
        </w:rPr>
        <w:t xml:space="preserve">gore pomenute </w:t>
      </w:r>
      <w:r w:rsidRPr="00410EF6">
        <w:rPr>
          <w:noProof/>
          <w:szCs w:val="22"/>
          <w:lang w:val="sr-Latn-BA"/>
        </w:rPr>
        <w:t>informacije</w:t>
      </w:r>
      <w:r w:rsidRPr="0051150C">
        <w:rPr>
          <w:noProof/>
          <w:szCs w:val="22"/>
          <w:lang w:val="sr-Latn-BA"/>
        </w:rPr>
        <w:t xml:space="preserve">). </w:t>
      </w:r>
    </w:p>
    <w:p w14:paraId="111B8B07" w14:textId="77777777" w:rsidR="00E61B67" w:rsidRPr="0051150C" w:rsidRDefault="00E61B67" w:rsidP="009173F4">
      <w:pPr>
        <w:tabs>
          <w:tab w:val="clear" w:pos="284"/>
        </w:tabs>
        <w:autoSpaceDE w:val="0"/>
        <w:autoSpaceDN w:val="0"/>
        <w:adjustRightInd w:val="0"/>
        <w:rPr>
          <w:noProof/>
          <w:szCs w:val="22"/>
          <w:lang w:val="sr-Latn-BA"/>
        </w:rPr>
      </w:pPr>
    </w:p>
    <w:p w14:paraId="3E906FF6" w14:textId="4582822C"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 xml:space="preserve">Kod pacijenata koji primaju prednizon ili prednizolon, a koji su izloženi neuobičajenom stresu, može biti indikovana </w:t>
      </w:r>
      <w:r w:rsidR="00096FAA" w:rsidRPr="0051150C">
        <w:rPr>
          <w:noProof/>
          <w:szCs w:val="22"/>
          <w:lang w:val="sr-Latn-BA"/>
        </w:rPr>
        <w:t>primjen</w:t>
      </w:r>
      <w:r w:rsidRPr="0051150C">
        <w:rPr>
          <w:noProof/>
          <w:szCs w:val="22"/>
          <w:lang w:val="sr-Latn-BA"/>
        </w:rPr>
        <w:t>a povećanih doza kortikosteroida pr</w:t>
      </w:r>
      <w:r w:rsidR="00C060A5" w:rsidRPr="0051150C">
        <w:rPr>
          <w:noProof/>
          <w:szCs w:val="22"/>
          <w:lang w:val="sr-Latn-BA"/>
        </w:rPr>
        <w:t>ij</w:t>
      </w:r>
      <w:r w:rsidRPr="0051150C">
        <w:rPr>
          <w:noProof/>
          <w:szCs w:val="22"/>
          <w:lang w:val="sr-Latn-BA"/>
        </w:rPr>
        <w:t>e, tokom i posl</w:t>
      </w:r>
      <w:r w:rsidR="00C060A5" w:rsidRPr="0051150C">
        <w:rPr>
          <w:noProof/>
          <w:szCs w:val="22"/>
          <w:lang w:val="sr-Latn-BA"/>
        </w:rPr>
        <w:t>ij</w:t>
      </w:r>
      <w:r w:rsidRPr="0051150C">
        <w:rPr>
          <w:noProof/>
          <w:szCs w:val="22"/>
          <w:lang w:val="sr-Latn-BA"/>
        </w:rPr>
        <w:t xml:space="preserve">e stresnih situacija. </w:t>
      </w:r>
    </w:p>
    <w:p w14:paraId="723F3B20" w14:textId="77777777" w:rsidR="00267578" w:rsidRPr="0051150C" w:rsidRDefault="00267578" w:rsidP="009173F4">
      <w:pPr>
        <w:tabs>
          <w:tab w:val="clear" w:pos="284"/>
        </w:tabs>
        <w:autoSpaceDE w:val="0"/>
        <w:autoSpaceDN w:val="0"/>
        <w:adjustRightInd w:val="0"/>
        <w:rPr>
          <w:noProof/>
          <w:szCs w:val="22"/>
          <w:lang w:val="sr-Latn-BA"/>
        </w:rPr>
      </w:pPr>
    </w:p>
    <w:p w14:paraId="5AEA89FB" w14:textId="309C2B8B"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Gustina kostiju</w:t>
      </w:r>
    </w:p>
    <w:p w14:paraId="4BD48B5F" w14:textId="286607C2"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 xml:space="preserve">Kod muškaraca sa metastatskim uznapredovalim karcinomom prostate može doći do smanjenja gustine kostiju. Kombinovana </w:t>
      </w:r>
      <w:r w:rsidR="00096FAA" w:rsidRPr="0051150C">
        <w:rPr>
          <w:noProof/>
          <w:szCs w:val="22"/>
          <w:lang w:val="sr-Latn-BA"/>
        </w:rPr>
        <w:t>primjen</w:t>
      </w:r>
      <w:r w:rsidRPr="0051150C">
        <w:rPr>
          <w:noProof/>
          <w:szCs w:val="22"/>
          <w:lang w:val="sr-Latn-BA"/>
        </w:rPr>
        <w:t xml:space="preserve">a </w:t>
      </w:r>
      <w:r w:rsidR="00096FAA" w:rsidRPr="0051150C">
        <w:rPr>
          <w:noProof/>
          <w:szCs w:val="22"/>
          <w:lang w:val="sr-Latn-BA"/>
        </w:rPr>
        <w:t>lijek</w:t>
      </w:r>
      <w:r w:rsidRPr="0051150C">
        <w:rPr>
          <w:noProof/>
          <w:szCs w:val="22"/>
          <w:lang w:val="sr-Latn-BA"/>
        </w:rPr>
        <w:t xml:space="preserve">a </w:t>
      </w:r>
      <w:r w:rsidR="00C315BF" w:rsidRPr="0051150C">
        <w:rPr>
          <w:noProof/>
          <w:szCs w:val="22"/>
          <w:lang w:val="sr-Latn-BA"/>
        </w:rPr>
        <w:t xml:space="preserve">Jonosol </w:t>
      </w:r>
      <w:r w:rsidRPr="0051150C">
        <w:rPr>
          <w:noProof/>
          <w:szCs w:val="22"/>
          <w:lang w:val="sr-Latn-BA"/>
        </w:rPr>
        <w:t>sa glukokokortikoidima može da pojača taj efekat.</w:t>
      </w:r>
    </w:p>
    <w:p w14:paraId="08954557" w14:textId="77777777" w:rsidR="00267578" w:rsidRPr="0051150C" w:rsidRDefault="00267578" w:rsidP="009173F4">
      <w:pPr>
        <w:tabs>
          <w:tab w:val="clear" w:pos="284"/>
        </w:tabs>
        <w:autoSpaceDE w:val="0"/>
        <w:autoSpaceDN w:val="0"/>
        <w:adjustRightInd w:val="0"/>
        <w:rPr>
          <w:noProof/>
          <w:szCs w:val="22"/>
          <w:lang w:val="sr-Latn-BA"/>
        </w:rPr>
      </w:pPr>
    </w:p>
    <w:p w14:paraId="33F3937B" w14:textId="7679F1E8"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 xml:space="preserve">Prethodna </w:t>
      </w:r>
      <w:r w:rsidR="00096FAA" w:rsidRPr="0051150C">
        <w:rPr>
          <w:noProof/>
          <w:szCs w:val="22"/>
          <w:u w:val="single"/>
          <w:lang w:val="sr-Latn-BA"/>
        </w:rPr>
        <w:t>primjen</w:t>
      </w:r>
      <w:r w:rsidRPr="0051150C">
        <w:rPr>
          <w:noProof/>
          <w:szCs w:val="22"/>
          <w:u w:val="single"/>
          <w:lang w:val="sr-Latn-BA"/>
        </w:rPr>
        <w:t>a ketokonazola</w:t>
      </w:r>
    </w:p>
    <w:p w14:paraId="584B0D64" w14:textId="1E16BB9F" w:rsidR="00CE09F3"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Može se očekivati niži stepen odgovora kod pacijenata koji su prethodno primali ketokonazol kao terapiju za karcinom prostate.</w:t>
      </w:r>
    </w:p>
    <w:p w14:paraId="676875D7" w14:textId="77777777" w:rsidR="00267578" w:rsidRPr="0051150C" w:rsidRDefault="00267578" w:rsidP="009173F4">
      <w:pPr>
        <w:tabs>
          <w:tab w:val="clear" w:pos="284"/>
        </w:tabs>
        <w:autoSpaceDE w:val="0"/>
        <w:autoSpaceDN w:val="0"/>
        <w:adjustRightInd w:val="0"/>
        <w:rPr>
          <w:noProof/>
          <w:szCs w:val="22"/>
          <w:lang w:val="sr-Latn-BA"/>
        </w:rPr>
      </w:pPr>
    </w:p>
    <w:p w14:paraId="007650EF" w14:textId="532C593E"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Hiperglikemija</w:t>
      </w:r>
    </w:p>
    <w:p w14:paraId="74653821" w14:textId="3EB59D88" w:rsidR="00E61B67"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Primjen</w:t>
      </w:r>
      <w:r w:rsidR="00267578" w:rsidRPr="0051150C">
        <w:rPr>
          <w:noProof/>
          <w:szCs w:val="22"/>
          <w:lang w:val="sr-Latn-BA"/>
        </w:rPr>
        <w:t xml:space="preserve">a glukokortikoida može povećati hiperglikemiju, zato </w:t>
      </w:r>
      <w:r w:rsidR="00E61B67" w:rsidRPr="0051150C">
        <w:rPr>
          <w:noProof/>
          <w:szCs w:val="22"/>
          <w:lang w:val="sr-Latn-BA"/>
        </w:rPr>
        <w:t>je neophodno</w:t>
      </w:r>
      <w:r w:rsidR="00267578" w:rsidRPr="0051150C">
        <w:rPr>
          <w:noProof/>
          <w:szCs w:val="22"/>
          <w:lang w:val="sr-Latn-BA"/>
        </w:rPr>
        <w:t xml:space="preserve"> često </w:t>
      </w:r>
      <w:r w:rsidR="00A625E2" w:rsidRPr="0051150C">
        <w:rPr>
          <w:noProof/>
          <w:szCs w:val="22"/>
          <w:lang w:val="sr-Latn-BA"/>
        </w:rPr>
        <w:t>m</w:t>
      </w:r>
      <w:r w:rsidR="00903E41" w:rsidRPr="0051150C">
        <w:rPr>
          <w:noProof/>
          <w:szCs w:val="22"/>
          <w:lang w:val="sr-Latn-BA"/>
        </w:rPr>
        <w:t>j</w:t>
      </w:r>
      <w:r w:rsidR="00A625E2" w:rsidRPr="0051150C">
        <w:rPr>
          <w:noProof/>
          <w:szCs w:val="22"/>
          <w:lang w:val="sr-Latn-BA"/>
        </w:rPr>
        <w:t>erenje</w:t>
      </w:r>
      <w:r w:rsidR="00267578" w:rsidRPr="0051150C">
        <w:rPr>
          <w:noProof/>
          <w:szCs w:val="22"/>
          <w:lang w:val="sr-Latn-BA"/>
        </w:rPr>
        <w:t xml:space="preserve"> </w:t>
      </w:r>
      <w:r w:rsidRPr="0051150C">
        <w:rPr>
          <w:noProof/>
          <w:szCs w:val="22"/>
          <w:lang w:val="sr-Latn-BA"/>
        </w:rPr>
        <w:t>vrijednost</w:t>
      </w:r>
      <w:r w:rsidR="00267578" w:rsidRPr="0051150C">
        <w:rPr>
          <w:noProof/>
          <w:szCs w:val="22"/>
          <w:lang w:val="sr-Latn-BA"/>
        </w:rPr>
        <w:t xml:space="preserve">i šećera u krvi kod </w:t>
      </w:r>
      <w:r w:rsidR="00A625E2" w:rsidRPr="0051150C">
        <w:rPr>
          <w:noProof/>
          <w:szCs w:val="22"/>
          <w:lang w:val="sr-Latn-BA"/>
        </w:rPr>
        <w:t xml:space="preserve">osoba </w:t>
      </w:r>
      <w:r w:rsidR="00267578" w:rsidRPr="0051150C">
        <w:rPr>
          <w:noProof/>
          <w:szCs w:val="22"/>
          <w:lang w:val="sr-Latn-BA"/>
        </w:rPr>
        <w:t>sa dijabetesom.</w:t>
      </w:r>
    </w:p>
    <w:p w14:paraId="0BF096DE" w14:textId="77777777" w:rsidR="004E3BC2" w:rsidRDefault="004E3BC2" w:rsidP="009173F4">
      <w:pPr>
        <w:tabs>
          <w:tab w:val="clear" w:pos="284"/>
        </w:tabs>
        <w:autoSpaceDE w:val="0"/>
        <w:autoSpaceDN w:val="0"/>
        <w:adjustRightInd w:val="0"/>
        <w:rPr>
          <w:noProof/>
          <w:szCs w:val="22"/>
          <w:u w:val="single"/>
          <w:lang w:val="sr-Latn-BA"/>
        </w:rPr>
      </w:pPr>
    </w:p>
    <w:p w14:paraId="23083BE7" w14:textId="28ACE597" w:rsidR="00E61B67" w:rsidRPr="0051150C" w:rsidRDefault="00E61B67" w:rsidP="009173F4">
      <w:pPr>
        <w:tabs>
          <w:tab w:val="clear" w:pos="284"/>
        </w:tabs>
        <w:autoSpaceDE w:val="0"/>
        <w:autoSpaceDN w:val="0"/>
        <w:adjustRightInd w:val="0"/>
        <w:rPr>
          <w:noProof/>
          <w:szCs w:val="22"/>
          <w:u w:val="single"/>
          <w:lang w:val="sr-Latn-BA"/>
        </w:rPr>
      </w:pPr>
      <w:r w:rsidRPr="0051150C">
        <w:rPr>
          <w:noProof/>
          <w:szCs w:val="22"/>
          <w:u w:val="single"/>
          <w:lang w:val="sr-Latn-BA"/>
        </w:rPr>
        <w:t>Hipoglikemija</w:t>
      </w:r>
    </w:p>
    <w:p w14:paraId="506FBE1A" w14:textId="58C6ADF5" w:rsidR="00E61B67" w:rsidRPr="0051150C" w:rsidRDefault="00E61B67" w:rsidP="009173F4">
      <w:pPr>
        <w:tabs>
          <w:tab w:val="clear" w:pos="284"/>
        </w:tabs>
        <w:autoSpaceDE w:val="0"/>
        <w:autoSpaceDN w:val="0"/>
        <w:adjustRightInd w:val="0"/>
        <w:rPr>
          <w:noProof/>
          <w:szCs w:val="22"/>
          <w:lang w:val="sr-Latn-BA"/>
        </w:rPr>
      </w:pPr>
      <w:r w:rsidRPr="0051150C">
        <w:rPr>
          <w:noProof/>
          <w:szCs w:val="22"/>
          <w:lang w:val="sr-Latn-BA"/>
        </w:rPr>
        <w:t xml:space="preserve">Prijavljeni su slučajevi hipoglikemije pri </w:t>
      </w:r>
      <w:r w:rsidR="00096FAA" w:rsidRPr="0051150C">
        <w:rPr>
          <w:noProof/>
          <w:szCs w:val="22"/>
          <w:lang w:val="sr-Latn-BA"/>
        </w:rPr>
        <w:t>primjen</w:t>
      </w:r>
      <w:r w:rsidRPr="0051150C">
        <w:rPr>
          <w:noProof/>
          <w:szCs w:val="22"/>
          <w:lang w:val="sr-Latn-BA"/>
        </w:rPr>
        <w:t xml:space="preserve">i </w:t>
      </w:r>
      <w:r w:rsidR="00096FAA" w:rsidRPr="0051150C">
        <w:rPr>
          <w:noProof/>
          <w:szCs w:val="22"/>
          <w:lang w:val="sr-Latn-BA"/>
        </w:rPr>
        <w:t>lijek</w:t>
      </w:r>
      <w:r w:rsidRPr="0051150C">
        <w:rPr>
          <w:noProof/>
          <w:szCs w:val="22"/>
          <w:lang w:val="sr-Latn-BA"/>
        </w:rPr>
        <w:t xml:space="preserve">a </w:t>
      </w:r>
      <w:r w:rsidR="00C315BF" w:rsidRPr="0051150C">
        <w:rPr>
          <w:noProof/>
          <w:szCs w:val="22"/>
          <w:lang w:val="sr-Latn-BA"/>
        </w:rPr>
        <w:t xml:space="preserve">Jonosol </w:t>
      </w:r>
      <w:r w:rsidRPr="0051150C">
        <w:rPr>
          <w:noProof/>
          <w:szCs w:val="22"/>
          <w:lang w:val="sr-Latn-BA"/>
        </w:rPr>
        <w:t>u kombinaciji sa prednizonom/prednizolonom</w:t>
      </w:r>
      <w:r w:rsidR="00A625E2" w:rsidRPr="0051150C">
        <w:rPr>
          <w:noProof/>
          <w:szCs w:val="22"/>
          <w:lang w:val="sr-Latn-BA"/>
        </w:rPr>
        <w:t xml:space="preserve"> kod osoba sa dijabetesom na pioglitazon</w:t>
      </w:r>
      <w:r w:rsidR="007F365A">
        <w:rPr>
          <w:noProof/>
          <w:szCs w:val="22"/>
          <w:lang w:val="sr-Latn-BA"/>
        </w:rPr>
        <w:t>u</w:t>
      </w:r>
      <w:r w:rsidR="00A625E2" w:rsidRPr="0051150C">
        <w:rPr>
          <w:noProof/>
          <w:szCs w:val="22"/>
          <w:lang w:val="sr-Latn-BA"/>
        </w:rPr>
        <w:t xml:space="preserve"> ili repaglinidu (</w:t>
      </w:r>
      <w:r w:rsidR="00F43B54" w:rsidRPr="00410EF6">
        <w:rPr>
          <w:noProof/>
          <w:szCs w:val="22"/>
          <w:lang w:val="sr-Latn-BA"/>
        </w:rPr>
        <w:t>vidjeti dio</w:t>
      </w:r>
      <w:r w:rsidR="00D469A0" w:rsidRPr="00410EF6">
        <w:rPr>
          <w:noProof/>
          <w:szCs w:val="22"/>
          <w:lang w:val="sr-Latn-BA"/>
        </w:rPr>
        <w:t xml:space="preserve"> </w:t>
      </w:r>
      <w:r w:rsidR="00A625E2" w:rsidRPr="00410EF6">
        <w:rPr>
          <w:noProof/>
          <w:szCs w:val="22"/>
          <w:lang w:val="sr-Latn-BA"/>
        </w:rPr>
        <w:t>4.5);</w:t>
      </w:r>
      <w:r w:rsidR="00A625E2" w:rsidRPr="0051150C">
        <w:rPr>
          <w:noProof/>
          <w:szCs w:val="22"/>
          <w:lang w:val="sr-Latn-BA"/>
        </w:rPr>
        <w:t xml:space="preserve"> stoga je kod ovih osoba neophodno često m</w:t>
      </w:r>
      <w:r w:rsidR="00903E41" w:rsidRPr="0051150C">
        <w:rPr>
          <w:noProof/>
          <w:szCs w:val="22"/>
          <w:lang w:val="sr-Latn-BA"/>
        </w:rPr>
        <w:t>j</w:t>
      </w:r>
      <w:r w:rsidR="00A625E2" w:rsidRPr="0051150C">
        <w:rPr>
          <w:noProof/>
          <w:szCs w:val="22"/>
          <w:lang w:val="sr-Latn-BA"/>
        </w:rPr>
        <w:t xml:space="preserve">erenje </w:t>
      </w:r>
      <w:r w:rsidR="00096FAA" w:rsidRPr="0051150C">
        <w:rPr>
          <w:noProof/>
          <w:szCs w:val="22"/>
          <w:lang w:val="sr-Latn-BA"/>
        </w:rPr>
        <w:t>vrijednost</w:t>
      </w:r>
      <w:r w:rsidR="00A625E2" w:rsidRPr="0051150C">
        <w:rPr>
          <w:noProof/>
          <w:szCs w:val="22"/>
          <w:lang w:val="sr-Latn-BA"/>
        </w:rPr>
        <w:t>i šećera u krvi.</w:t>
      </w:r>
    </w:p>
    <w:p w14:paraId="6ACB7FE4" w14:textId="77777777" w:rsidR="00E61B67" w:rsidRPr="0051150C" w:rsidRDefault="00E61B67" w:rsidP="009173F4">
      <w:pPr>
        <w:tabs>
          <w:tab w:val="clear" w:pos="284"/>
        </w:tabs>
        <w:autoSpaceDE w:val="0"/>
        <w:autoSpaceDN w:val="0"/>
        <w:adjustRightInd w:val="0"/>
        <w:rPr>
          <w:noProof/>
          <w:szCs w:val="22"/>
          <w:lang w:val="sr-Latn-BA"/>
        </w:rPr>
      </w:pPr>
    </w:p>
    <w:p w14:paraId="4ED06B14" w14:textId="77777777"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Upotreba sa hemioterapijom</w:t>
      </w:r>
    </w:p>
    <w:p w14:paraId="623B17FE" w14:textId="6A3547C1"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Bezb</w:t>
      </w:r>
      <w:r w:rsidR="00903E41" w:rsidRPr="0051150C">
        <w:rPr>
          <w:noProof/>
          <w:szCs w:val="22"/>
          <w:lang w:val="sr-Latn-BA"/>
        </w:rPr>
        <w:t>j</w:t>
      </w:r>
      <w:r w:rsidRPr="0051150C">
        <w:rPr>
          <w:noProof/>
          <w:szCs w:val="22"/>
          <w:lang w:val="sr-Latn-BA"/>
        </w:rPr>
        <w:t xml:space="preserve">ednost i efikasnost istovremene </w:t>
      </w:r>
      <w:r w:rsidR="00096FAA" w:rsidRPr="0051150C">
        <w:rPr>
          <w:noProof/>
          <w:szCs w:val="22"/>
          <w:lang w:val="sr-Latn-BA"/>
        </w:rPr>
        <w:t>primjen</w:t>
      </w:r>
      <w:r w:rsidRPr="0051150C">
        <w:rPr>
          <w:noProof/>
          <w:szCs w:val="22"/>
          <w:lang w:val="sr-Latn-BA"/>
        </w:rPr>
        <w:t xml:space="preserve">e </w:t>
      </w:r>
      <w:r w:rsidR="00096FAA" w:rsidRPr="0051150C">
        <w:rPr>
          <w:noProof/>
          <w:szCs w:val="22"/>
          <w:lang w:val="sr-Latn-BA"/>
        </w:rPr>
        <w:t>lijek</w:t>
      </w:r>
      <w:r w:rsidRPr="0051150C">
        <w:rPr>
          <w:noProof/>
          <w:szCs w:val="22"/>
          <w:lang w:val="sr-Latn-BA"/>
        </w:rPr>
        <w:t xml:space="preserve">a </w:t>
      </w:r>
      <w:r w:rsidR="00C315BF" w:rsidRPr="0051150C">
        <w:rPr>
          <w:noProof/>
          <w:szCs w:val="22"/>
          <w:lang w:val="sr-Latn-BA"/>
        </w:rPr>
        <w:t xml:space="preserve">Jonosol </w:t>
      </w:r>
      <w:r w:rsidRPr="0051150C">
        <w:rPr>
          <w:noProof/>
          <w:szCs w:val="22"/>
          <w:lang w:val="sr-Latn-BA"/>
        </w:rPr>
        <w:t>sa citotoksičnom hemioterapijom nije utvrđena (</w:t>
      </w:r>
      <w:r w:rsidR="00F43B54" w:rsidRPr="001D0C01">
        <w:rPr>
          <w:noProof/>
          <w:szCs w:val="22"/>
          <w:lang w:val="sr-Latn-BA"/>
        </w:rPr>
        <w:t>vidjeti dio</w:t>
      </w:r>
      <w:r w:rsidR="00F43B54">
        <w:rPr>
          <w:noProof/>
          <w:szCs w:val="22"/>
          <w:lang w:val="sr-Latn-BA"/>
        </w:rPr>
        <w:t xml:space="preserve"> </w:t>
      </w:r>
      <w:r w:rsidRPr="0051150C">
        <w:rPr>
          <w:noProof/>
          <w:szCs w:val="22"/>
          <w:lang w:val="sr-Latn-BA"/>
        </w:rPr>
        <w:t>5.1).</w:t>
      </w:r>
    </w:p>
    <w:p w14:paraId="220C3AC3" w14:textId="77777777" w:rsidR="00267578" w:rsidRPr="0051150C" w:rsidRDefault="00267578" w:rsidP="009173F4">
      <w:pPr>
        <w:tabs>
          <w:tab w:val="clear" w:pos="284"/>
        </w:tabs>
        <w:autoSpaceDE w:val="0"/>
        <w:autoSpaceDN w:val="0"/>
        <w:adjustRightInd w:val="0"/>
        <w:rPr>
          <w:noProof/>
          <w:szCs w:val="22"/>
          <w:lang w:val="sr-Latn-BA"/>
        </w:rPr>
      </w:pPr>
    </w:p>
    <w:p w14:paraId="10145826" w14:textId="77777777"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lastRenderedPageBreak/>
        <w:t>Intolerancija na pomoćne supstance</w:t>
      </w:r>
    </w:p>
    <w:p w14:paraId="153981A4" w14:textId="63C08479" w:rsidR="00267578" w:rsidRDefault="00267578" w:rsidP="009173F4">
      <w:pPr>
        <w:tabs>
          <w:tab w:val="clear" w:pos="284"/>
        </w:tabs>
        <w:autoSpaceDE w:val="0"/>
        <w:autoSpaceDN w:val="0"/>
        <w:adjustRightInd w:val="0"/>
        <w:rPr>
          <w:noProof/>
          <w:szCs w:val="22"/>
          <w:lang w:val="sr-Latn-BA"/>
        </w:rPr>
      </w:pPr>
      <w:r w:rsidRPr="0051150C">
        <w:rPr>
          <w:noProof/>
          <w:szCs w:val="22"/>
          <w:lang w:val="sr-Latn-BA"/>
        </w:rPr>
        <w:t xml:space="preserve">Ovaj </w:t>
      </w:r>
      <w:r w:rsidR="00096FAA" w:rsidRPr="0051150C">
        <w:rPr>
          <w:noProof/>
          <w:szCs w:val="22"/>
          <w:lang w:val="sr-Latn-BA"/>
        </w:rPr>
        <w:t>lijek</w:t>
      </w:r>
      <w:r w:rsidRPr="0051150C">
        <w:rPr>
          <w:noProof/>
          <w:szCs w:val="22"/>
          <w:lang w:val="sr-Latn-BA"/>
        </w:rPr>
        <w:t xml:space="preserve"> sadrži laktozu. Pacijenti sa r</w:t>
      </w:r>
      <w:r w:rsidR="00903E41" w:rsidRPr="0051150C">
        <w:rPr>
          <w:noProof/>
          <w:szCs w:val="22"/>
          <w:lang w:val="sr-Latn-BA"/>
        </w:rPr>
        <w:t>ij</w:t>
      </w:r>
      <w:r w:rsidRPr="0051150C">
        <w:rPr>
          <w:noProof/>
          <w:szCs w:val="22"/>
          <w:lang w:val="sr-Latn-BA"/>
        </w:rPr>
        <w:t>etkim nasl</w:t>
      </w:r>
      <w:r w:rsidR="00903E41" w:rsidRPr="0051150C">
        <w:rPr>
          <w:noProof/>
          <w:szCs w:val="22"/>
          <w:lang w:val="sr-Latn-BA"/>
        </w:rPr>
        <w:t>j</w:t>
      </w:r>
      <w:r w:rsidRPr="0051150C">
        <w:rPr>
          <w:noProof/>
          <w:szCs w:val="22"/>
          <w:lang w:val="sr-Latn-BA"/>
        </w:rPr>
        <w:t>ednim oboljenjem intolerancij</w:t>
      </w:r>
      <w:r w:rsidR="00012654" w:rsidRPr="0051150C">
        <w:rPr>
          <w:noProof/>
          <w:szCs w:val="22"/>
          <w:lang w:val="sr-Latn-BA"/>
        </w:rPr>
        <w:t xml:space="preserve">e na galaktozu, </w:t>
      </w:r>
      <w:r w:rsidR="00600092">
        <w:rPr>
          <w:noProof/>
          <w:szCs w:val="22"/>
          <w:lang w:val="sr-Latn-BA"/>
        </w:rPr>
        <w:t xml:space="preserve">potpunim </w:t>
      </w:r>
      <w:r w:rsidR="00012654" w:rsidRPr="0051150C">
        <w:rPr>
          <w:noProof/>
          <w:szCs w:val="22"/>
          <w:lang w:val="sr-Latn-BA"/>
        </w:rPr>
        <w:t>nedostatkom</w:t>
      </w:r>
      <w:r w:rsidRPr="0051150C">
        <w:rPr>
          <w:noProof/>
          <w:szCs w:val="22"/>
          <w:lang w:val="sr-Latn-BA"/>
        </w:rPr>
        <w:t xml:space="preserve"> laktaze ili glukozno-galaktoznom malapsorpcijom ne sm</w:t>
      </w:r>
      <w:r w:rsidR="00903E41" w:rsidRPr="0051150C">
        <w:rPr>
          <w:noProof/>
          <w:szCs w:val="22"/>
          <w:lang w:val="sr-Latn-BA"/>
        </w:rPr>
        <w:t>i</w:t>
      </w:r>
      <w:r w:rsidRPr="0051150C">
        <w:rPr>
          <w:noProof/>
          <w:szCs w:val="22"/>
          <w:lang w:val="sr-Latn-BA"/>
        </w:rPr>
        <w:t xml:space="preserve">ju da uzimaju ovaj </w:t>
      </w:r>
      <w:r w:rsidR="00096FAA" w:rsidRPr="0051150C">
        <w:rPr>
          <w:noProof/>
          <w:szCs w:val="22"/>
          <w:lang w:val="sr-Latn-BA"/>
        </w:rPr>
        <w:t>lijek</w:t>
      </w:r>
      <w:r w:rsidRPr="0051150C">
        <w:rPr>
          <w:noProof/>
          <w:szCs w:val="22"/>
          <w:lang w:val="sr-Latn-BA"/>
        </w:rPr>
        <w:t xml:space="preserve">. </w:t>
      </w:r>
    </w:p>
    <w:p w14:paraId="236BB287" w14:textId="77777777" w:rsidR="003D2A4E" w:rsidRPr="0051150C" w:rsidRDefault="003D2A4E" w:rsidP="009173F4">
      <w:pPr>
        <w:tabs>
          <w:tab w:val="clear" w:pos="284"/>
        </w:tabs>
        <w:autoSpaceDE w:val="0"/>
        <w:autoSpaceDN w:val="0"/>
        <w:adjustRightInd w:val="0"/>
        <w:rPr>
          <w:noProof/>
          <w:szCs w:val="22"/>
          <w:lang w:val="sr-Latn-BA"/>
        </w:rPr>
      </w:pPr>
    </w:p>
    <w:p w14:paraId="6FBAB166" w14:textId="590C6CB0" w:rsidR="004227C1" w:rsidRDefault="003D2A4E" w:rsidP="004227C1">
      <w:pPr>
        <w:tabs>
          <w:tab w:val="clear" w:pos="284"/>
        </w:tabs>
        <w:autoSpaceDE w:val="0"/>
        <w:autoSpaceDN w:val="0"/>
        <w:adjustRightInd w:val="0"/>
        <w:rPr>
          <w:noProof/>
          <w:szCs w:val="22"/>
        </w:rPr>
      </w:pPr>
      <w:r w:rsidRPr="003D2A4E">
        <w:rPr>
          <w:noProof/>
          <w:szCs w:val="22"/>
        </w:rPr>
        <w:t>Ovaj l</w:t>
      </w:r>
      <w:r>
        <w:rPr>
          <w:noProof/>
          <w:szCs w:val="22"/>
        </w:rPr>
        <w:t>ij</w:t>
      </w:r>
      <w:r w:rsidRPr="003D2A4E">
        <w:rPr>
          <w:noProof/>
          <w:szCs w:val="22"/>
        </w:rPr>
        <w:t xml:space="preserve">ek sadrži manje od 1 mmol natrijuma (23 mg) po dozi, što </w:t>
      </w:r>
      <w:r>
        <w:rPr>
          <w:noProof/>
          <w:szCs w:val="22"/>
        </w:rPr>
        <w:t xml:space="preserve">znači da je </w:t>
      </w:r>
      <w:r w:rsidRPr="003D2A4E">
        <w:rPr>
          <w:noProof/>
          <w:szCs w:val="22"/>
        </w:rPr>
        <w:t>suštin</w:t>
      </w:r>
      <w:r w:rsidR="00600092">
        <w:rPr>
          <w:noProof/>
          <w:szCs w:val="22"/>
        </w:rPr>
        <w:t>sk</w:t>
      </w:r>
      <w:r w:rsidRPr="003D2A4E">
        <w:rPr>
          <w:noProof/>
          <w:szCs w:val="22"/>
        </w:rPr>
        <w:t>i „bez natrijuma“.</w:t>
      </w:r>
    </w:p>
    <w:p w14:paraId="57E3DADB" w14:textId="77777777" w:rsidR="003D2A4E" w:rsidRPr="0051150C" w:rsidRDefault="003D2A4E" w:rsidP="004227C1">
      <w:pPr>
        <w:tabs>
          <w:tab w:val="clear" w:pos="284"/>
        </w:tabs>
        <w:autoSpaceDE w:val="0"/>
        <w:autoSpaceDN w:val="0"/>
        <w:adjustRightInd w:val="0"/>
        <w:rPr>
          <w:noProof/>
          <w:szCs w:val="22"/>
          <w:lang w:val="sr-Latn-BA"/>
        </w:rPr>
      </w:pPr>
    </w:p>
    <w:p w14:paraId="68EE36F9" w14:textId="77777777"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Mogući rizici</w:t>
      </w:r>
    </w:p>
    <w:p w14:paraId="7CFA74AB" w14:textId="0226F2ED"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Anemija i seksualna disfunkcija se mogu javiti kod muškaraca sa metastatskim karcinomom prostate</w:t>
      </w:r>
      <w:r w:rsidR="00600092">
        <w:rPr>
          <w:noProof/>
          <w:szCs w:val="22"/>
          <w:lang w:val="sr-Latn-BA"/>
        </w:rPr>
        <w:t>,</w:t>
      </w:r>
      <w:r w:rsidRPr="0051150C">
        <w:rPr>
          <w:noProof/>
          <w:szCs w:val="22"/>
          <w:lang w:val="sr-Latn-BA"/>
        </w:rPr>
        <w:t xml:space="preserve"> uključujući i one koji su na terapiji </w:t>
      </w:r>
      <w:r w:rsidR="0021331C" w:rsidRPr="0051150C">
        <w:rPr>
          <w:noProof/>
          <w:szCs w:val="22"/>
          <w:lang w:val="sr-Latn-BA"/>
        </w:rPr>
        <w:t>abirateron acetatom</w:t>
      </w:r>
      <w:r w:rsidRPr="0051150C">
        <w:rPr>
          <w:noProof/>
          <w:szCs w:val="22"/>
          <w:lang w:val="sr-Latn-BA"/>
        </w:rPr>
        <w:t>.</w:t>
      </w:r>
    </w:p>
    <w:p w14:paraId="0975A56D" w14:textId="77777777" w:rsidR="00267578" w:rsidRPr="0051150C" w:rsidRDefault="00267578" w:rsidP="009173F4">
      <w:pPr>
        <w:tabs>
          <w:tab w:val="clear" w:pos="284"/>
        </w:tabs>
        <w:autoSpaceDE w:val="0"/>
        <w:autoSpaceDN w:val="0"/>
        <w:adjustRightInd w:val="0"/>
        <w:rPr>
          <w:noProof/>
          <w:szCs w:val="22"/>
          <w:lang w:val="sr-Latn-BA"/>
        </w:rPr>
      </w:pPr>
    </w:p>
    <w:p w14:paraId="2F5ACE37" w14:textId="5A625577"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Uticaj na skeletne mišiće</w:t>
      </w:r>
    </w:p>
    <w:p w14:paraId="38875872" w14:textId="4CB2903A" w:rsidR="00267578" w:rsidRPr="0051150C" w:rsidRDefault="00267578" w:rsidP="009173F4">
      <w:pPr>
        <w:tabs>
          <w:tab w:val="clear" w:pos="284"/>
        </w:tabs>
        <w:autoSpaceDE w:val="0"/>
        <w:autoSpaceDN w:val="0"/>
        <w:adjustRightInd w:val="0"/>
        <w:rPr>
          <w:noProof/>
          <w:szCs w:val="22"/>
          <w:lang w:val="sr-Latn-BA"/>
        </w:rPr>
      </w:pPr>
      <w:r w:rsidRPr="0051150C">
        <w:rPr>
          <w:noProof/>
          <w:szCs w:val="22"/>
          <w:lang w:val="sr-Latn-BA"/>
        </w:rPr>
        <w:t xml:space="preserve">Slučajevi miopatije </w:t>
      </w:r>
      <w:r w:rsidR="00FE7532" w:rsidRPr="0051150C">
        <w:rPr>
          <w:noProof/>
          <w:szCs w:val="22"/>
          <w:lang w:val="sr-Latn-BA"/>
        </w:rPr>
        <w:t xml:space="preserve">i rabodmiolize </w:t>
      </w:r>
      <w:r w:rsidRPr="0051150C">
        <w:rPr>
          <w:noProof/>
          <w:szCs w:val="22"/>
          <w:lang w:val="sr-Latn-BA"/>
        </w:rPr>
        <w:t>su prijavljeni ko</w:t>
      </w:r>
      <w:r w:rsidR="0021331C" w:rsidRPr="0051150C">
        <w:rPr>
          <w:noProof/>
          <w:szCs w:val="22"/>
          <w:lang w:val="sr-Latn-BA"/>
        </w:rPr>
        <w:t>d pacijenata koji su uzimali abirateron acetat</w:t>
      </w:r>
      <w:r w:rsidRPr="0051150C">
        <w:rPr>
          <w:noProof/>
          <w:szCs w:val="22"/>
          <w:lang w:val="sr-Latn-BA"/>
        </w:rPr>
        <w:t>. Većina slučajeva se razvila unuta</w:t>
      </w:r>
      <w:r w:rsidR="00FE7532" w:rsidRPr="0051150C">
        <w:rPr>
          <w:noProof/>
          <w:szCs w:val="22"/>
          <w:lang w:val="sr-Latn-BA"/>
        </w:rPr>
        <w:t>r prvih 6 m</w:t>
      </w:r>
      <w:r w:rsidR="00903E41" w:rsidRPr="0051150C">
        <w:rPr>
          <w:noProof/>
          <w:szCs w:val="22"/>
          <w:lang w:val="sr-Latn-BA"/>
        </w:rPr>
        <w:t>j</w:t>
      </w:r>
      <w:r w:rsidR="00FE7532" w:rsidRPr="0051150C">
        <w:rPr>
          <w:noProof/>
          <w:szCs w:val="22"/>
          <w:lang w:val="sr-Latn-BA"/>
        </w:rPr>
        <w:t xml:space="preserve">eseci </w:t>
      </w:r>
      <w:r w:rsidRPr="0051150C">
        <w:rPr>
          <w:noProof/>
          <w:szCs w:val="22"/>
          <w:lang w:val="sr-Latn-BA"/>
        </w:rPr>
        <w:t xml:space="preserve">terapije i povukla se nakon obustavljanja </w:t>
      </w:r>
      <w:r w:rsidR="00096FAA" w:rsidRPr="0051150C">
        <w:rPr>
          <w:noProof/>
          <w:szCs w:val="22"/>
          <w:lang w:val="sr-Latn-BA"/>
        </w:rPr>
        <w:t>primjen</w:t>
      </w:r>
      <w:r w:rsidRPr="0051150C">
        <w:rPr>
          <w:noProof/>
          <w:szCs w:val="22"/>
          <w:lang w:val="sr-Latn-BA"/>
        </w:rPr>
        <w:t xml:space="preserve">e </w:t>
      </w:r>
      <w:r w:rsidR="0021331C" w:rsidRPr="0051150C">
        <w:rPr>
          <w:noProof/>
          <w:szCs w:val="22"/>
          <w:lang w:val="sr-Latn-BA"/>
        </w:rPr>
        <w:t>abirateron acetata</w:t>
      </w:r>
      <w:r w:rsidRPr="0051150C">
        <w:rPr>
          <w:noProof/>
          <w:szCs w:val="22"/>
          <w:lang w:val="sr-Latn-BA"/>
        </w:rPr>
        <w:t xml:space="preserve">. Preporučuje se oprez kod pacijenata koji istovremeno primaju </w:t>
      </w:r>
      <w:r w:rsidR="00096FAA" w:rsidRPr="0051150C">
        <w:rPr>
          <w:noProof/>
          <w:szCs w:val="22"/>
          <w:lang w:val="sr-Latn-BA"/>
        </w:rPr>
        <w:t>ljek</w:t>
      </w:r>
      <w:r w:rsidRPr="0051150C">
        <w:rPr>
          <w:noProof/>
          <w:szCs w:val="22"/>
          <w:lang w:val="sr-Latn-BA"/>
        </w:rPr>
        <w:t>ove za koje se zna da mogu da izazovu miopatiju/rabdomiolizu.</w:t>
      </w:r>
    </w:p>
    <w:p w14:paraId="4DA1BD61" w14:textId="77777777" w:rsidR="00267578" w:rsidRPr="0051150C" w:rsidRDefault="00267578" w:rsidP="009173F4">
      <w:pPr>
        <w:tabs>
          <w:tab w:val="clear" w:pos="284"/>
        </w:tabs>
        <w:autoSpaceDE w:val="0"/>
        <w:autoSpaceDN w:val="0"/>
        <w:adjustRightInd w:val="0"/>
        <w:rPr>
          <w:noProof/>
          <w:szCs w:val="22"/>
          <w:lang w:val="sr-Latn-BA"/>
        </w:rPr>
      </w:pPr>
    </w:p>
    <w:p w14:paraId="3B58E0BD" w14:textId="145196F6" w:rsidR="00267578" w:rsidRPr="0051150C" w:rsidRDefault="00267578" w:rsidP="009173F4">
      <w:pPr>
        <w:tabs>
          <w:tab w:val="clear" w:pos="284"/>
        </w:tabs>
        <w:autoSpaceDE w:val="0"/>
        <w:autoSpaceDN w:val="0"/>
        <w:adjustRightInd w:val="0"/>
        <w:rPr>
          <w:noProof/>
          <w:szCs w:val="22"/>
          <w:u w:val="single"/>
          <w:lang w:val="sr-Latn-BA"/>
        </w:rPr>
      </w:pPr>
      <w:r w:rsidRPr="0051150C">
        <w:rPr>
          <w:noProof/>
          <w:szCs w:val="22"/>
          <w:u w:val="single"/>
          <w:lang w:val="sr-Latn-BA"/>
        </w:rPr>
        <w:t xml:space="preserve">Interakcije sa drugim </w:t>
      </w:r>
      <w:r w:rsidR="00096FAA" w:rsidRPr="0051150C">
        <w:rPr>
          <w:noProof/>
          <w:szCs w:val="22"/>
          <w:u w:val="single"/>
          <w:lang w:val="sr-Latn-BA"/>
        </w:rPr>
        <w:t>ljek</w:t>
      </w:r>
      <w:r w:rsidRPr="0051150C">
        <w:rPr>
          <w:noProof/>
          <w:szCs w:val="22"/>
          <w:u w:val="single"/>
          <w:lang w:val="sr-Latn-BA"/>
        </w:rPr>
        <w:t>ovima</w:t>
      </w:r>
    </w:p>
    <w:p w14:paraId="6EC9698C" w14:textId="190EA0C4" w:rsidR="00267578"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Primjen</w:t>
      </w:r>
      <w:r w:rsidR="00267578" w:rsidRPr="0051150C">
        <w:rPr>
          <w:noProof/>
          <w:szCs w:val="22"/>
          <w:lang w:val="sr-Latn-BA"/>
        </w:rPr>
        <w:t>u snažnih induktora CYP3A4 tokom terapije treba izb</w:t>
      </w:r>
      <w:r w:rsidR="00903E41" w:rsidRPr="0051150C">
        <w:rPr>
          <w:noProof/>
          <w:szCs w:val="22"/>
          <w:lang w:val="sr-Latn-BA"/>
        </w:rPr>
        <w:t>j</w:t>
      </w:r>
      <w:r w:rsidR="00267578" w:rsidRPr="0051150C">
        <w:rPr>
          <w:noProof/>
          <w:szCs w:val="22"/>
          <w:lang w:val="sr-Latn-BA"/>
        </w:rPr>
        <w:t>egavati, osim ukoliko ne postoji terapijska alternativa, zbog rizika od smanjenja izloženosti abirateronu (</w:t>
      </w:r>
      <w:r w:rsidR="00F43B54" w:rsidRPr="001D0C01">
        <w:rPr>
          <w:noProof/>
          <w:szCs w:val="22"/>
          <w:lang w:val="sr-Latn-BA"/>
        </w:rPr>
        <w:t>vidjeti dio</w:t>
      </w:r>
      <w:r w:rsidR="00F43B54">
        <w:rPr>
          <w:noProof/>
          <w:szCs w:val="22"/>
          <w:lang w:val="sr-Latn-BA"/>
        </w:rPr>
        <w:t xml:space="preserve"> </w:t>
      </w:r>
      <w:r w:rsidR="00267578" w:rsidRPr="0051150C">
        <w:rPr>
          <w:noProof/>
          <w:szCs w:val="22"/>
          <w:lang w:val="sr-Latn-BA"/>
        </w:rPr>
        <w:t>4.5).</w:t>
      </w:r>
    </w:p>
    <w:p w14:paraId="0C8BD1A5" w14:textId="2E3B63B1" w:rsidR="00A625E2" w:rsidRPr="0051150C" w:rsidRDefault="00A625E2" w:rsidP="009173F4">
      <w:pPr>
        <w:tabs>
          <w:tab w:val="clear" w:pos="284"/>
        </w:tabs>
        <w:autoSpaceDE w:val="0"/>
        <w:autoSpaceDN w:val="0"/>
        <w:adjustRightInd w:val="0"/>
        <w:rPr>
          <w:noProof/>
          <w:szCs w:val="22"/>
          <w:lang w:val="sr-Latn-BA"/>
        </w:rPr>
      </w:pPr>
    </w:p>
    <w:p w14:paraId="376C387F" w14:textId="2077F487" w:rsidR="00A625E2" w:rsidRPr="0051150C" w:rsidRDefault="00A625E2" w:rsidP="009C080D">
      <w:pPr>
        <w:tabs>
          <w:tab w:val="clear" w:pos="284"/>
          <w:tab w:val="left" w:pos="6824"/>
        </w:tabs>
        <w:autoSpaceDE w:val="0"/>
        <w:autoSpaceDN w:val="0"/>
        <w:adjustRightInd w:val="0"/>
        <w:rPr>
          <w:noProof/>
          <w:szCs w:val="22"/>
          <w:u w:val="single"/>
          <w:lang w:val="sr-Latn-BA"/>
        </w:rPr>
      </w:pPr>
      <w:r w:rsidRPr="0051150C">
        <w:rPr>
          <w:noProof/>
          <w:szCs w:val="22"/>
          <w:u w:val="single"/>
          <w:lang w:val="sr-Latn-BA"/>
        </w:rPr>
        <w:t xml:space="preserve">Kombinacija abiraterona i prednizona/prednizolona sa </w:t>
      </w:r>
      <w:r w:rsidR="001D0C01">
        <w:rPr>
          <w:noProof/>
          <w:szCs w:val="22"/>
          <w:u w:val="single"/>
          <w:lang w:val="sr-Latn-BA"/>
        </w:rPr>
        <w:t>r</w:t>
      </w:r>
      <w:r w:rsidR="001D0C01" w:rsidRPr="0051150C">
        <w:rPr>
          <w:noProof/>
          <w:szCs w:val="22"/>
          <w:u w:val="single"/>
          <w:lang w:val="sr-Latn-BA"/>
        </w:rPr>
        <w:t>adijumom</w:t>
      </w:r>
      <w:r w:rsidR="009C080D" w:rsidRPr="0051150C">
        <w:rPr>
          <w:noProof/>
          <w:szCs w:val="22"/>
          <w:u w:val="single"/>
          <w:lang w:val="sr-Latn-BA"/>
        </w:rPr>
        <w:t>-223</w:t>
      </w:r>
    </w:p>
    <w:p w14:paraId="4D207BEF" w14:textId="586C7EDA" w:rsidR="00267578" w:rsidRPr="0051150C" w:rsidRDefault="005D6BF6" w:rsidP="009173F4">
      <w:pPr>
        <w:rPr>
          <w:noProof/>
          <w:szCs w:val="22"/>
          <w:lang w:val="sr-Latn-BA"/>
        </w:rPr>
      </w:pPr>
      <w:r w:rsidRPr="0051150C">
        <w:rPr>
          <w:noProof/>
          <w:szCs w:val="22"/>
          <w:lang w:val="sr-Latn-BA"/>
        </w:rPr>
        <w:t>Terapija abirateronom i prednizonom/prednizolo</w:t>
      </w:r>
      <w:r w:rsidR="00AA2EEE" w:rsidRPr="0051150C">
        <w:rPr>
          <w:noProof/>
          <w:szCs w:val="22"/>
          <w:lang w:val="sr-Latn-BA"/>
        </w:rPr>
        <w:t>no</w:t>
      </w:r>
      <w:r w:rsidRPr="0051150C">
        <w:rPr>
          <w:noProof/>
          <w:szCs w:val="22"/>
          <w:lang w:val="sr-Latn-BA"/>
        </w:rPr>
        <w:t>m u kombinaciji sa Ra-223 je kontraindikovana (</w:t>
      </w:r>
      <w:r w:rsidR="00F43B54" w:rsidRPr="00410EF6">
        <w:rPr>
          <w:noProof/>
          <w:szCs w:val="22"/>
          <w:lang w:val="sr-Latn-BA"/>
        </w:rPr>
        <w:t>vidjeti dio</w:t>
      </w:r>
      <w:r w:rsidR="00D469A0" w:rsidRPr="00410EF6">
        <w:rPr>
          <w:noProof/>
          <w:szCs w:val="22"/>
          <w:lang w:val="sr-Latn-BA"/>
        </w:rPr>
        <w:t xml:space="preserve"> </w:t>
      </w:r>
      <w:r w:rsidRPr="00410EF6">
        <w:rPr>
          <w:noProof/>
          <w:szCs w:val="22"/>
          <w:lang w:val="sr-Latn-BA"/>
        </w:rPr>
        <w:t>4.3</w:t>
      </w:r>
      <w:r w:rsidRPr="0051150C">
        <w:rPr>
          <w:noProof/>
          <w:szCs w:val="22"/>
          <w:lang w:val="sr-Latn-BA"/>
        </w:rPr>
        <w:t>) usl</w:t>
      </w:r>
      <w:r w:rsidR="00903E41" w:rsidRPr="0051150C">
        <w:rPr>
          <w:noProof/>
          <w:szCs w:val="22"/>
          <w:lang w:val="sr-Latn-BA"/>
        </w:rPr>
        <w:t>j</w:t>
      </w:r>
      <w:r w:rsidRPr="0051150C">
        <w:rPr>
          <w:noProof/>
          <w:szCs w:val="22"/>
          <w:lang w:val="sr-Latn-BA"/>
        </w:rPr>
        <w:t xml:space="preserve">ed povećanog rizika za nastanak fraktura, kao i trenda povećanja </w:t>
      </w:r>
      <w:r w:rsidR="00AA2EEE" w:rsidRPr="0051150C">
        <w:rPr>
          <w:noProof/>
          <w:szCs w:val="22"/>
          <w:lang w:val="sr-Latn-BA"/>
        </w:rPr>
        <w:t xml:space="preserve">mortaliteta među asimptomatskim, odnosno </w:t>
      </w:r>
      <w:r w:rsidRPr="0051150C">
        <w:rPr>
          <w:noProof/>
          <w:szCs w:val="22"/>
          <w:lang w:val="sr-Latn-BA"/>
        </w:rPr>
        <w:t>bla</w:t>
      </w:r>
      <w:r w:rsidR="00AA2EEE" w:rsidRPr="0051150C">
        <w:rPr>
          <w:noProof/>
          <w:szCs w:val="22"/>
          <w:lang w:val="sr-Latn-BA"/>
        </w:rPr>
        <w:t>go simptomatskim pacijentima sa karcinomom prostate, što je prim</w:t>
      </w:r>
      <w:r w:rsidR="00903E41" w:rsidRPr="0051150C">
        <w:rPr>
          <w:noProof/>
          <w:szCs w:val="22"/>
          <w:lang w:val="sr-Latn-BA"/>
        </w:rPr>
        <w:t>ij</w:t>
      </w:r>
      <w:r w:rsidR="00AA2EEE" w:rsidRPr="0051150C">
        <w:rPr>
          <w:noProof/>
          <w:szCs w:val="22"/>
          <w:lang w:val="sr-Latn-BA"/>
        </w:rPr>
        <w:t xml:space="preserve">ećeno u kliničkim studijama. </w:t>
      </w:r>
    </w:p>
    <w:p w14:paraId="521FFB83" w14:textId="016426FE" w:rsidR="00AA2EEE" w:rsidRPr="0051150C" w:rsidRDefault="00AA2EEE" w:rsidP="009173F4">
      <w:pPr>
        <w:rPr>
          <w:noProof/>
          <w:szCs w:val="22"/>
          <w:lang w:val="sr-Latn-BA"/>
        </w:rPr>
      </w:pPr>
    </w:p>
    <w:p w14:paraId="7A38908C" w14:textId="72889BB8" w:rsidR="00AA2EEE" w:rsidRPr="0051150C" w:rsidRDefault="00AA2EEE" w:rsidP="009173F4">
      <w:pPr>
        <w:rPr>
          <w:noProof/>
          <w:szCs w:val="22"/>
          <w:lang w:val="sr-Latn-BA"/>
        </w:rPr>
      </w:pPr>
      <w:r w:rsidRPr="0051150C">
        <w:rPr>
          <w:noProof/>
          <w:szCs w:val="22"/>
          <w:lang w:val="sr-Latn-BA"/>
        </w:rPr>
        <w:t>Preporuka je da se naredni tretman Ra-223 ne započinje bar 5 dana nakon posl</w:t>
      </w:r>
      <w:r w:rsidR="00903E41" w:rsidRPr="0051150C">
        <w:rPr>
          <w:noProof/>
          <w:szCs w:val="22"/>
          <w:lang w:val="sr-Latn-BA"/>
        </w:rPr>
        <w:t>j</w:t>
      </w:r>
      <w:r w:rsidRPr="0051150C">
        <w:rPr>
          <w:noProof/>
          <w:szCs w:val="22"/>
          <w:lang w:val="sr-Latn-BA"/>
        </w:rPr>
        <w:t xml:space="preserve">ednje </w:t>
      </w:r>
      <w:r w:rsidR="00096FAA" w:rsidRPr="0051150C">
        <w:rPr>
          <w:noProof/>
          <w:szCs w:val="22"/>
          <w:lang w:val="sr-Latn-BA"/>
        </w:rPr>
        <w:t>primjen</w:t>
      </w:r>
      <w:r w:rsidRPr="0051150C">
        <w:rPr>
          <w:noProof/>
          <w:szCs w:val="22"/>
          <w:lang w:val="sr-Latn-BA"/>
        </w:rPr>
        <w:t xml:space="preserve">e </w:t>
      </w:r>
      <w:r w:rsidR="00096FAA" w:rsidRPr="0051150C">
        <w:rPr>
          <w:noProof/>
          <w:szCs w:val="22"/>
          <w:lang w:val="sr-Latn-BA"/>
        </w:rPr>
        <w:t>lijek</w:t>
      </w:r>
      <w:r w:rsidRPr="0051150C">
        <w:rPr>
          <w:noProof/>
          <w:szCs w:val="22"/>
          <w:lang w:val="sr-Latn-BA"/>
        </w:rPr>
        <w:t xml:space="preserve">a </w:t>
      </w:r>
      <w:r w:rsidR="00C315BF" w:rsidRPr="0051150C">
        <w:rPr>
          <w:noProof/>
          <w:szCs w:val="22"/>
          <w:lang w:val="sr-Latn-BA"/>
        </w:rPr>
        <w:t xml:space="preserve">Jonosol </w:t>
      </w:r>
      <w:r w:rsidRPr="0051150C">
        <w:rPr>
          <w:noProof/>
          <w:szCs w:val="22"/>
          <w:lang w:val="sr-Latn-BA"/>
        </w:rPr>
        <w:t>u kombinaciji sa prednizonom/prednizolonom.</w:t>
      </w:r>
    </w:p>
    <w:p w14:paraId="4F1B6360" w14:textId="10A95A06" w:rsidR="005D6BF6" w:rsidRPr="0051150C" w:rsidRDefault="005D6BF6" w:rsidP="009173F4">
      <w:pPr>
        <w:rPr>
          <w:noProof/>
          <w:szCs w:val="22"/>
          <w:lang w:val="sr-Latn-BA"/>
        </w:rPr>
      </w:pPr>
    </w:p>
    <w:p w14:paraId="584B0D65" w14:textId="5C8ACB6F" w:rsidR="00CE09F3" w:rsidRPr="0051150C" w:rsidRDefault="00CE09F3" w:rsidP="009173F4">
      <w:pPr>
        <w:rPr>
          <w:b/>
          <w:bCs/>
          <w:noProof/>
          <w:szCs w:val="22"/>
          <w:lang w:val="sr-Latn-BA"/>
        </w:rPr>
      </w:pPr>
      <w:r w:rsidRPr="0051150C">
        <w:rPr>
          <w:b/>
          <w:bCs/>
          <w:noProof/>
          <w:szCs w:val="22"/>
          <w:lang w:val="sr-Latn-BA"/>
        </w:rPr>
        <w:t xml:space="preserve">4.5. Interakcije sa drugim </w:t>
      </w:r>
      <w:r w:rsidR="00096FAA" w:rsidRPr="0051150C">
        <w:rPr>
          <w:b/>
          <w:bCs/>
          <w:noProof/>
          <w:szCs w:val="22"/>
          <w:lang w:val="sr-Latn-BA"/>
        </w:rPr>
        <w:t>ljek</w:t>
      </w:r>
      <w:r w:rsidRPr="0051150C">
        <w:rPr>
          <w:b/>
          <w:bCs/>
          <w:noProof/>
          <w:szCs w:val="22"/>
          <w:lang w:val="sr-Latn-BA"/>
        </w:rPr>
        <w:t>ovima i druge vrste interakcija</w:t>
      </w:r>
    </w:p>
    <w:p w14:paraId="584B0D66" w14:textId="6CCDA3AB" w:rsidR="00CE09F3" w:rsidRPr="0051150C" w:rsidRDefault="00CE09F3" w:rsidP="009173F4">
      <w:pPr>
        <w:rPr>
          <w:noProof/>
          <w:szCs w:val="22"/>
          <w:lang w:val="sr-Latn-BA"/>
        </w:rPr>
      </w:pPr>
    </w:p>
    <w:p w14:paraId="42771AEA" w14:textId="34EC9837" w:rsidR="000246DF" w:rsidRPr="0051150C" w:rsidRDefault="000246DF" w:rsidP="000246DF">
      <w:pPr>
        <w:rPr>
          <w:noProof/>
          <w:szCs w:val="22"/>
          <w:u w:val="single"/>
          <w:lang w:val="sr-Latn-BA"/>
        </w:rPr>
      </w:pPr>
      <w:r w:rsidRPr="0051150C">
        <w:rPr>
          <w:noProof/>
          <w:szCs w:val="22"/>
          <w:u w:val="single"/>
          <w:lang w:val="sr-Latn-BA"/>
        </w:rPr>
        <w:t>Uticaj hrane na abirateron</w:t>
      </w:r>
      <w:r w:rsidR="00CF7C69">
        <w:rPr>
          <w:noProof/>
          <w:szCs w:val="22"/>
          <w:u w:val="single"/>
          <w:lang w:val="sr-Latn-BA"/>
        </w:rPr>
        <w:t xml:space="preserve"> </w:t>
      </w:r>
      <w:r w:rsidRPr="0051150C">
        <w:rPr>
          <w:noProof/>
          <w:szCs w:val="22"/>
          <w:u w:val="single"/>
          <w:lang w:val="sr-Latn-BA"/>
        </w:rPr>
        <w:t>acetat</w:t>
      </w:r>
    </w:p>
    <w:p w14:paraId="2CE06297" w14:textId="7FE73537" w:rsidR="000246DF" w:rsidRPr="0051150C" w:rsidRDefault="00096FAA" w:rsidP="000246DF">
      <w:pPr>
        <w:rPr>
          <w:noProof/>
          <w:szCs w:val="22"/>
          <w:lang w:val="sr-Latn-BA"/>
        </w:rPr>
      </w:pPr>
      <w:r w:rsidRPr="0051150C">
        <w:rPr>
          <w:noProof/>
          <w:szCs w:val="22"/>
          <w:lang w:val="sr-Latn-BA"/>
        </w:rPr>
        <w:t>Primjen</w:t>
      </w:r>
      <w:r w:rsidR="000246DF" w:rsidRPr="0051150C">
        <w:rPr>
          <w:noProof/>
          <w:szCs w:val="22"/>
          <w:lang w:val="sr-Latn-BA"/>
        </w:rPr>
        <w:t>a sa hranom značajno povećava resorpciju abirateron acetata. Efikasnost i bezb</w:t>
      </w:r>
      <w:r w:rsidR="00903E41" w:rsidRPr="0051150C">
        <w:rPr>
          <w:noProof/>
          <w:szCs w:val="22"/>
          <w:lang w:val="sr-Latn-BA"/>
        </w:rPr>
        <w:t>j</w:t>
      </w:r>
      <w:r w:rsidR="000246DF" w:rsidRPr="0051150C">
        <w:rPr>
          <w:noProof/>
          <w:szCs w:val="22"/>
          <w:lang w:val="sr-Latn-BA"/>
        </w:rPr>
        <w:t xml:space="preserve">ednost nije utvrđena kada se uzima sa hranom, zato se ovaj </w:t>
      </w:r>
      <w:r w:rsidRPr="0051150C">
        <w:rPr>
          <w:noProof/>
          <w:szCs w:val="22"/>
          <w:lang w:val="sr-Latn-BA"/>
        </w:rPr>
        <w:t>lijek</w:t>
      </w:r>
      <w:r w:rsidR="000246DF" w:rsidRPr="0051150C">
        <w:rPr>
          <w:noProof/>
          <w:szCs w:val="22"/>
          <w:lang w:val="sr-Latn-BA"/>
        </w:rPr>
        <w:t xml:space="preserve"> se ne sm</w:t>
      </w:r>
      <w:r w:rsidR="00903E41" w:rsidRPr="0051150C">
        <w:rPr>
          <w:noProof/>
          <w:szCs w:val="22"/>
          <w:lang w:val="sr-Latn-BA"/>
        </w:rPr>
        <w:t>ij</w:t>
      </w:r>
      <w:r w:rsidR="000246DF" w:rsidRPr="0051150C">
        <w:rPr>
          <w:noProof/>
          <w:szCs w:val="22"/>
          <w:lang w:val="sr-Latn-BA"/>
        </w:rPr>
        <w:t>e uzimati sa hranom (</w:t>
      </w:r>
      <w:r w:rsidRPr="009C4267">
        <w:rPr>
          <w:noProof/>
          <w:szCs w:val="22"/>
          <w:lang w:val="sr-Latn-BA"/>
        </w:rPr>
        <w:t>vidjeti</w:t>
      </w:r>
      <w:r w:rsidR="000246DF" w:rsidRPr="009C4267">
        <w:rPr>
          <w:noProof/>
          <w:szCs w:val="22"/>
          <w:lang w:val="sr-Latn-BA"/>
        </w:rPr>
        <w:t xml:space="preserve"> </w:t>
      </w:r>
      <w:r w:rsidR="00F43B54" w:rsidRPr="009C4267">
        <w:rPr>
          <w:noProof/>
          <w:szCs w:val="22"/>
          <w:lang w:val="sr-Latn-BA"/>
        </w:rPr>
        <w:t>djelove</w:t>
      </w:r>
      <w:r w:rsidR="000246DF" w:rsidRPr="0051150C">
        <w:rPr>
          <w:noProof/>
          <w:szCs w:val="22"/>
          <w:lang w:val="sr-Latn-BA"/>
        </w:rPr>
        <w:t xml:space="preserve"> 4.2 i 5.2).</w:t>
      </w:r>
    </w:p>
    <w:p w14:paraId="3093F2A4" w14:textId="77777777" w:rsidR="000246DF" w:rsidRPr="0051150C" w:rsidRDefault="000246DF" w:rsidP="000246DF">
      <w:pPr>
        <w:rPr>
          <w:noProof/>
          <w:szCs w:val="22"/>
          <w:lang w:val="sr-Latn-BA"/>
        </w:rPr>
      </w:pPr>
    </w:p>
    <w:p w14:paraId="37330F86" w14:textId="53AB3ACA" w:rsidR="000246DF" w:rsidRPr="0051150C" w:rsidRDefault="000246DF" w:rsidP="000246DF">
      <w:pPr>
        <w:rPr>
          <w:noProof/>
          <w:szCs w:val="22"/>
          <w:u w:val="single"/>
          <w:lang w:val="sr-Latn-BA"/>
        </w:rPr>
      </w:pPr>
      <w:r w:rsidRPr="0051150C">
        <w:rPr>
          <w:noProof/>
          <w:szCs w:val="22"/>
          <w:u w:val="single"/>
          <w:lang w:val="sr-Latn-BA"/>
        </w:rPr>
        <w:t xml:space="preserve">Interakcije sa drugim </w:t>
      </w:r>
      <w:r w:rsidR="00096FAA" w:rsidRPr="0051150C">
        <w:rPr>
          <w:noProof/>
          <w:szCs w:val="22"/>
          <w:u w:val="single"/>
          <w:lang w:val="sr-Latn-BA"/>
        </w:rPr>
        <w:t>ljek</w:t>
      </w:r>
      <w:r w:rsidRPr="0051150C">
        <w:rPr>
          <w:noProof/>
          <w:szCs w:val="22"/>
          <w:u w:val="single"/>
          <w:lang w:val="sr-Latn-BA"/>
        </w:rPr>
        <w:t>ovima</w:t>
      </w:r>
    </w:p>
    <w:p w14:paraId="532E8F1E" w14:textId="6AFB2C93" w:rsidR="000246DF" w:rsidRPr="0051150C" w:rsidRDefault="000246DF" w:rsidP="000246DF">
      <w:pPr>
        <w:rPr>
          <w:i/>
          <w:noProof/>
          <w:szCs w:val="22"/>
          <w:lang w:val="sr-Latn-BA"/>
        </w:rPr>
      </w:pPr>
      <w:r w:rsidRPr="0051150C">
        <w:rPr>
          <w:i/>
          <w:noProof/>
          <w:szCs w:val="22"/>
          <w:lang w:val="sr-Latn-BA"/>
        </w:rPr>
        <w:t xml:space="preserve">Mogući uticaj drugih </w:t>
      </w:r>
      <w:r w:rsidR="00096FAA" w:rsidRPr="0051150C">
        <w:rPr>
          <w:i/>
          <w:noProof/>
          <w:szCs w:val="22"/>
          <w:lang w:val="sr-Latn-BA"/>
        </w:rPr>
        <w:t>ljek</w:t>
      </w:r>
      <w:r w:rsidRPr="0051150C">
        <w:rPr>
          <w:i/>
          <w:noProof/>
          <w:szCs w:val="22"/>
          <w:lang w:val="sr-Latn-BA"/>
        </w:rPr>
        <w:t xml:space="preserve">ova na izloženost abirateronu </w:t>
      </w:r>
    </w:p>
    <w:p w14:paraId="47533A3D" w14:textId="3A194F9F" w:rsidR="000246DF" w:rsidRPr="0051150C" w:rsidRDefault="000246DF" w:rsidP="000246DF">
      <w:pPr>
        <w:rPr>
          <w:i/>
          <w:noProof/>
          <w:szCs w:val="22"/>
          <w:lang w:val="sr-Latn-BA"/>
        </w:rPr>
      </w:pPr>
      <w:r w:rsidRPr="0051150C">
        <w:rPr>
          <w:noProof/>
          <w:szCs w:val="22"/>
          <w:lang w:val="sr-Latn-BA"/>
        </w:rPr>
        <w:t>U kliničkoj studij</w:t>
      </w:r>
      <w:r w:rsidR="006D1764" w:rsidRPr="0051150C">
        <w:rPr>
          <w:noProof/>
          <w:szCs w:val="22"/>
          <w:lang w:val="sr-Latn-BA"/>
        </w:rPr>
        <w:t>i farmakokinetičkih interakcija</w:t>
      </w:r>
      <w:r w:rsidRPr="0051150C">
        <w:rPr>
          <w:noProof/>
          <w:szCs w:val="22"/>
          <w:lang w:val="sr-Latn-BA"/>
        </w:rPr>
        <w:t xml:space="preserve"> kod zdravih ispitanika koji su prethodno dobijali snažan CYP3A4 ind</w:t>
      </w:r>
      <w:r w:rsidR="006D1764" w:rsidRPr="0051150C">
        <w:rPr>
          <w:noProof/>
          <w:szCs w:val="22"/>
          <w:lang w:val="sr-Latn-BA"/>
        </w:rPr>
        <w:t xml:space="preserve">uktor rifampicin, 600 mg tokom </w:t>
      </w:r>
      <w:r w:rsidRPr="0051150C">
        <w:rPr>
          <w:noProof/>
          <w:szCs w:val="22"/>
          <w:lang w:val="sr-Latn-BA"/>
        </w:rPr>
        <w:t xml:space="preserve">6 dana, a zatim dobijali pojedinačnu dozu </w:t>
      </w:r>
      <w:r w:rsidR="006D1764" w:rsidRPr="0051150C">
        <w:rPr>
          <w:noProof/>
          <w:szCs w:val="22"/>
          <w:lang w:val="sr-Latn-BA"/>
        </w:rPr>
        <w:t xml:space="preserve">abirateron </w:t>
      </w:r>
      <w:r w:rsidRPr="0051150C">
        <w:rPr>
          <w:noProof/>
          <w:szCs w:val="22"/>
          <w:lang w:val="sr-Latn-BA"/>
        </w:rPr>
        <w:t xml:space="preserve">acetata od 1000 mg, srednja </w:t>
      </w:r>
      <w:r w:rsidR="00096FAA" w:rsidRPr="0051150C">
        <w:rPr>
          <w:noProof/>
          <w:szCs w:val="22"/>
          <w:lang w:val="sr-Latn-BA"/>
        </w:rPr>
        <w:t>vrijednost</w:t>
      </w:r>
      <w:r w:rsidRPr="0051150C">
        <w:rPr>
          <w:noProof/>
          <w:szCs w:val="22"/>
          <w:lang w:val="sr-Latn-BA"/>
        </w:rPr>
        <w:t xml:space="preserve"> PIK∞ abiraterona u plazmi je bila smanjena za 55%. </w:t>
      </w:r>
    </w:p>
    <w:p w14:paraId="371F5CA1" w14:textId="77777777" w:rsidR="000246DF" w:rsidRPr="0051150C" w:rsidRDefault="000246DF" w:rsidP="000246DF">
      <w:pPr>
        <w:rPr>
          <w:noProof/>
          <w:szCs w:val="22"/>
          <w:lang w:val="sr-Latn-BA"/>
        </w:rPr>
      </w:pPr>
    </w:p>
    <w:p w14:paraId="444A3250" w14:textId="2BB43EBA" w:rsidR="000246DF" w:rsidRPr="0051150C" w:rsidRDefault="000246DF" w:rsidP="000246DF">
      <w:pPr>
        <w:rPr>
          <w:noProof/>
          <w:szCs w:val="22"/>
          <w:lang w:val="sr-Latn-BA"/>
        </w:rPr>
      </w:pPr>
      <w:r w:rsidRPr="0051150C">
        <w:rPr>
          <w:noProof/>
          <w:szCs w:val="22"/>
          <w:lang w:val="sr-Latn-BA"/>
        </w:rPr>
        <w:t>Snažne induktore CYP3A4 (npr. fenitoin, karbamazepin, rifampicin, rifabutin, rifapentin, fenobarbital, kantarion (</w:t>
      </w:r>
      <w:r w:rsidRPr="00410EF6">
        <w:rPr>
          <w:i/>
          <w:noProof/>
          <w:szCs w:val="22"/>
          <w:lang w:val="sr-Latn-BA"/>
        </w:rPr>
        <w:t>Hypericum perforatum</w:t>
      </w:r>
      <w:r w:rsidRPr="0051150C">
        <w:rPr>
          <w:noProof/>
          <w:szCs w:val="22"/>
          <w:lang w:val="sr-Latn-BA"/>
        </w:rPr>
        <w:t>)) treba izb</w:t>
      </w:r>
      <w:r w:rsidR="00903E41" w:rsidRPr="0051150C">
        <w:rPr>
          <w:noProof/>
          <w:szCs w:val="22"/>
          <w:lang w:val="sr-Latn-BA"/>
        </w:rPr>
        <w:t>j</w:t>
      </w:r>
      <w:r w:rsidRPr="0051150C">
        <w:rPr>
          <w:noProof/>
          <w:szCs w:val="22"/>
          <w:lang w:val="sr-Latn-BA"/>
        </w:rPr>
        <w:t>egavati tokom terapije, osim ukoliko ne postoji terapijska alternativa.</w:t>
      </w:r>
    </w:p>
    <w:p w14:paraId="625B2A76" w14:textId="68829FA8" w:rsidR="000246DF" w:rsidRPr="0051150C" w:rsidRDefault="000246DF" w:rsidP="000246DF">
      <w:pPr>
        <w:rPr>
          <w:noProof/>
          <w:szCs w:val="22"/>
          <w:lang w:val="sr-Latn-BA"/>
        </w:rPr>
      </w:pPr>
      <w:r w:rsidRPr="0051150C">
        <w:rPr>
          <w:noProof/>
          <w:szCs w:val="22"/>
          <w:lang w:val="sr-Latn-BA"/>
        </w:rPr>
        <w:t xml:space="preserve">U odvojenoj kliničkoj studiji farmakokinetičkih interakcija kod zdravih ispitanika, istovremena </w:t>
      </w:r>
      <w:r w:rsidR="00096FAA" w:rsidRPr="0051150C">
        <w:rPr>
          <w:noProof/>
          <w:szCs w:val="22"/>
          <w:lang w:val="sr-Latn-BA"/>
        </w:rPr>
        <w:t>primjen</w:t>
      </w:r>
      <w:r w:rsidRPr="0051150C">
        <w:rPr>
          <w:noProof/>
          <w:szCs w:val="22"/>
          <w:lang w:val="sr-Latn-BA"/>
        </w:rPr>
        <w:t>a sa ketokonazolom, snažnim inhibitorom CYP3A4, nije imala klinički značajan efekat na farmakokinetiku abiraterona.</w:t>
      </w:r>
    </w:p>
    <w:p w14:paraId="303157BB" w14:textId="77777777" w:rsidR="000246DF" w:rsidRPr="0051150C" w:rsidRDefault="000246DF" w:rsidP="000246DF">
      <w:pPr>
        <w:rPr>
          <w:noProof/>
          <w:szCs w:val="22"/>
          <w:lang w:val="sr-Latn-BA"/>
        </w:rPr>
      </w:pPr>
    </w:p>
    <w:p w14:paraId="5E78CC21" w14:textId="40E9F166" w:rsidR="000246DF" w:rsidRPr="0051150C" w:rsidRDefault="000246DF" w:rsidP="000246DF">
      <w:pPr>
        <w:rPr>
          <w:i/>
          <w:noProof/>
          <w:szCs w:val="22"/>
          <w:lang w:val="sr-Latn-BA"/>
        </w:rPr>
      </w:pPr>
      <w:r w:rsidRPr="0051150C">
        <w:rPr>
          <w:i/>
          <w:noProof/>
          <w:szCs w:val="22"/>
          <w:lang w:val="sr-Latn-BA"/>
        </w:rPr>
        <w:t xml:space="preserve">Mogući uticaj na izloženost drugim </w:t>
      </w:r>
      <w:r w:rsidR="00096FAA" w:rsidRPr="0051150C">
        <w:rPr>
          <w:i/>
          <w:noProof/>
          <w:szCs w:val="22"/>
          <w:lang w:val="sr-Latn-BA"/>
        </w:rPr>
        <w:t>ljek</w:t>
      </w:r>
      <w:r w:rsidRPr="0051150C">
        <w:rPr>
          <w:i/>
          <w:noProof/>
          <w:szCs w:val="22"/>
          <w:lang w:val="sr-Latn-BA"/>
        </w:rPr>
        <w:t>ovima</w:t>
      </w:r>
    </w:p>
    <w:p w14:paraId="01909B7B" w14:textId="2B8ACFAF" w:rsidR="000246DF" w:rsidRPr="0051150C" w:rsidRDefault="000246DF" w:rsidP="000246DF">
      <w:pPr>
        <w:rPr>
          <w:noProof/>
          <w:szCs w:val="22"/>
          <w:lang w:val="sr-Latn-BA"/>
        </w:rPr>
      </w:pPr>
      <w:r w:rsidRPr="0051150C">
        <w:rPr>
          <w:noProof/>
          <w:szCs w:val="22"/>
          <w:lang w:val="sr-Latn-BA"/>
        </w:rPr>
        <w:t xml:space="preserve">Abirateron je inhibitor hepatičkih enzima CYP2D6 i CYP2C8 koji metabolišu </w:t>
      </w:r>
      <w:r w:rsidR="00096FAA" w:rsidRPr="0051150C">
        <w:rPr>
          <w:noProof/>
          <w:szCs w:val="22"/>
          <w:lang w:val="sr-Latn-BA"/>
        </w:rPr>
        <w:t>ljek</w:t>
      </w:r>
      <w:r w:rsidRPr="0051150C">
        <w:rPr>
          <w:noProof/>
          <w:szCs w:val="22"/>
          <w:lang w:val="sr-Latn-BA"/>
        </w:rPr>
        <w:t>ove. U studiji u kojoj je trebalo utvrditi dejstvo abirateron</w:t>
      </w:r>
      <w:r w:rsidR="009C4267">
        <w:rPr>
          <w:noProof/>
          <w:szCs w:val="22"/>
          <w:lang w:val="sr-Latn-BA"/>
        </w:rPr>
        <w:t xml:space="preserve"> </w:t>
      </w:r>
      <w:r w:rsidRPr="0051150C">
        <w:rPr>
          <w:noProof/>
          <w:szCs w:val="22"/>
          <w:lang w:val="sr-Latn-BA"/>
        </w:rPr>
        <w:t>acetata (uz prednizon) na pojedinačnu dozu CYP2D6 supstrata dekstrometorfana, sistemska i</w:t>
      </w:r>
      <w:r w:rsidR="006D1764" w:rsidRPr="0051150C">
        <w:rPr>
          <w:noProof/>
          <w:szCs w:val="22"/>
          <w:lang w:val="sr-Latn-BA"/>
        </w:rPr>
        <w:t>zloženost (PIK) dekstrometorfana</w:t>
      </w:r>
      <w:r w:rsidRPr="0051150C">
        <w:rPr>
          <w:noProof/>
          <w:szCs w:val="22"/>
          <w:lang w:val="sr-Latn-BA"/>
        </w:rPr>
        <w:t xml:space="preserve"> povećana je </w:t>
      </w:r>
      <w:r w:rsidR="00BD1478">
        <w:rPr>
          <w:noProof/>
          <w:szCs w:val="22"/>
          <w:lang w:val="sr-Latn-BA"/>
        </w:rPr>
        <w:t>približno</w:t>
      </w:r>
      <w:r w:rsidRPr="0051150C">
        <w:rPr>
          <w:noProof/>
          <w:szCs w:val="22"/>
          <w:lang w:val="sr-Latn-BA"/>
        </w:rPr>
        <w:t xml:space="preserve"> 2,9 puta. PIK</w:t>
      </w:r>
      <w:r w:rsidRPr="0051150C">
        <w:rPr>
          <w:noProof/>
          <w:szCs w:val="22"/>
          <w:vertAlign w:val="subscript"/>
          <w:lang w:val="sr-Latn-BA"/>
        </w:rPr>
        <w:t>24</w:t>
      </w:r>
      <w:r w:rsidRPr="0051150C">
        <w:rPr>
          <w:noProof/>
          <w:szCs w:val="22"/>
          <w:lang w:val="sr-Latn-BA"/>
        </w:rPr>
        <w:t xml:space="preserve"> za dekstrorfan, aktivni metabolit dekstrometorfana, povećana je za </w:t>
      </w:r>
      <w:r w:rsidR="00BD1478">
        <w:rPr>
          <w:noProof/>
          <w:szCs w:val="22"/>
          <w:lang w:val="sr-Latn-BA"/>
        </w:rPr>
        <w:t>približno</w:t>
      </w:r>
      <w:r w:rsidRPr="0051150C">
        <w:rPr>
          <w:noProof/>
          <w:szCs w:val="22"/>
          <w:lang w:val="sr-Latn-BA"/>
        </w:rPr>
        <w:t xml:space="preserve"> 33%.</w:t>
      </w:r>
    </w:p>
    <w:p w14:paraId="5370E2F2" w14:textId="77777777" w:rsidR="000246DF" w:rsidRPr="0051150C" w:rsidRDefault="000246DF" w:rsidP="000246DF">
      <w:pPr>
        <w:rPr>
          <w:noProof/>
          <w:szCs w:val="22"/>
          <w:lang w:val="sr-Latn-BA"/>
        </w:rPr>
      </w:pPr>
    </w:p>
    <w:p w14:paraId="5D452556" w14:textId="11576AD8" w:rsidR="000246DF" w:rsidRPr="0051150C" w:rsidRDefault="000246DF" w:rsidP="000246DF">
      <w:pPr>
        <w:rPr>
          <w:noProof/>
          <w:szCs w:val="22"/>
          <w:lang w:val="sr-Latn-BA"/>
        </w:rPr>
      </w:pPr>
      <w:r w:rsidRPr="0051150C">
        <w:rPr>
          <w:noProof/>
          <w:szCs w:val="22"/>
          <w:lang w:val="sr-Latn-BA"/>
        </w:rPr>
        <w:lastRenderedPageBreak/>
        <w:t>Sav</w:t>
      </w:r>
      <w:r w:rsidR="00903E41" w:rsidRPr="0051150C">
        <w:rPr>
          <w:noProof/>
          <w:szCs w:val="22"/>
          <w:lang w:val="sr-Latn-BA"/>
        </w:rPr>
        <w:t>j</w:t>
      </w:r>
      <w:r w:rsidRPr="0051150C">
        <w:rPr>
          <w:noProof/>
          <w:szCs w:val="22"/>
          <w:lang w:val="sr-Latn-BA"/>
        </w:rPr>
        <w:t>et</w:t>
      </w:r>
      <w:r w:rsidR="006D1764" w:rsidRPr="0051150C">
        <w:rPr>
          <w:noProof/>
          <w:szCs w:val="22"/>
          <w:lang w:val="sr-Latn-BA"/>
        </w:rPr>
        <w:t xml:space="preserve">uje se oprez kada se abirateron </w:t>
      </w:r>
      <w:r w:rsidRPr="0051150C">
        <w:rPr>
          <w:noProof/>
          <w:szCs w:val="22"/>
          <w:lang w:val="sr-Latn-BA"/>
        </w:rPr>
        <w:t xml:space="preserve">acetat </w:t>
      </w:r>
      <w:r w:rsidR="00096FAA" w:rsidRPr="0051150C">
        <w:rPr>
          <w:noProof/>
          <w:szCs w:val="22"/>
          <w:lang w:val="sr-Latn-BA"/>
        </w:rPr>
        <w:t>primjen</w:t>
      </w:r>
      <w:r w:rsidRPr="0051150C">
        <w:rPr>
          <w:noProof/>
          <w:szCs w:val="22"/>
          <w:lang w:val="sr-Latn-BA"/>
        </w:rPr>
        <w:t xml:space="preserve">juje sa </w:t>
      </w:r>
      <w:r w:rsidR="00096FAA" w:rsidRPr="0051150C">
        <w:rPr>
          <w:noProof/>
          <w:szCs w:val="22"/>
          <w:lang w:val="sr-Latn-BA"/>
        </w:rPr>
        <w:t>ljek</w:t>
      </w:r>
      <w:r w:rsidRPr="0051150C">
        <w:rPr>
          <w:noProof/>
          <w:szCs w:val="22"/>
          <w:lang w:val="sr-Latn-BA"/>
        </w:rPr>
        <w:t xml:space="preserve">ovima koji se aktiviraju ili metabolišu putem CYP2D6, posebno sa </w:t>
      </w:r>
      <w:r w:rsidR="00096FAA" w:rsidRPr="0051150C">
        <w:rPr>
          <w:noProof/>
          <w:szCs w:val="22"/>
          <w:lang w:val="sr-Latn-BA"/>
        </w:rPr>
        <w:t>ljek</w:t>
      </w:r>
      <w:r w:rsidRPr="0051150C">
        <w:rPr>
          <w:noProof/>
          <w:szCs w:val="22"/>
          <w:lang w:val="sr-Latn-BA"/>
        </w:rPr>
        <w:t>ovima koji imaju uza</w:t>
      </w:r>
      <w:r w:rsidR="00903E41" w:rsidRPr="0051150C">
        <w:rPr>
          <w:noProof/>
          <w:szCs w:val="22"/>
          <w:lang w:val="sr-Latn-BA"/>
        </w:rPr>
        <w:t>k</w:t>
      </w:r>
      <w:r w:rsidRPr="0051150C">
        <w:rPr>
          <w:noProof/>
          <w:szCs w:val="22"/>
          <w:lang w:val="sr-Latn-BA"/>
        </w:rPr>
        <w:t xml:space="preserve"> terapijski indeks. Treba razmotriti smanjenje </w:t>
      </w:r>
      <w:r w:rsidR="006D1764" w:rsidRPr="0051150C">
        <w:rPr>
          <w:noProof/>
          <w:szCs w:val="22"/>
          <w:lang w:val="sr-Latn-BA"/>
        </w:rPr>
        <w:t xml:space="preserve">doze </w:t>
      </w:r>
      <w:r w:rsidR="00096FAA" w:rsidRPr="0051150C">
        <w:rPr>
          <w:noProof/>
          <w:szCs w:val="22"/>
          <w:lang w:val="sr-Latn-BA"/>
        </w:rPr>
        <w:t>ljek</w:t>
      </w:r>
      <w:r w:rsidR="006D1764" w:rsidRPr="0051150C">
        <w:rPr>
          <w:noProof/>
          <w:szCs w:val="22"/>
          <w:lang w:val="sr-Latn-BA"/>
        </w:rPr>
        <w:t>ova koji imaju uzak</w:t>
      </w:r>
      <w:r w:rsidRPr="0051150C">
        <w:rPr>
          <w:noProof/>
          <w:szCs w:val="22"/>
          <w:lang w:val="sr-Latn-BA"/>
        </w:rPr>
        <w:t xml:space="preserve"> terapijski indeks i koji se metabolišu putem CYP2D6. Prim</w:t>
      </w:r>
      <w:r w:rsidR="00903E41" w:rsidRPr="0051150C">
        <w:rPr>
          <w:noProof/>
          <w:szCs w:val="22"/>
          <w:lang w:val="sr-Latn-BA"/>
        </w:rPr>
        <w:t>j</w:t>
      </w:r>
      <w:r w:rsidRPr="0051150C">
        <w:rPr>
          <w:noProof/>
          <w:szCs w:val="22"/>
          <w:lang w:val="sr-Latn-BA"/>
        </w:rPr>
        <w:t xml:space="preserve">eri </w:t>
      </w:r>
      <w:r w:rsidR="00096FAA" w:rsidRPr="0051150C">
        <w:rPr>
          <w:noProof/>
          <w:szCs w:val="22"/>
          <w:lang w:val="sr-Latn-BA"/>
        </w:rPr>
        <w:t>ljek</w:t>
      </w:r>
      <w:r w:rsidRPr="0051150C">
        <w:rPr>
          <w:noProof/>
          <w:szCs w:val="22"/>
          <w:lang w:val="sr-Latn-BA"/>
        </w:rPr>
        <w:t xml:space="preserve">ova koji se metabolišu putem CYP2D6 su metoprolol, propranolol, </w:t>
      </w:r>
      <w:r w:rsidR="009C4267" w:rsidRPr="0051150C">
        <w:rPr>
          <w:noProof/>
          <w:szCs w:val="22"/>
          <w:lang w:val="sr-Latn-BA"/>
        </w:rPr>
        <w:t>de</w:t>
      </w:r>
      <w:r w:rsidR="009C4267">
        <w:rPr>
          <w:noProof/>
          <w:szCs w:val="22"/>
          <w:lang w:val="sr-Latn-BA"/>
        </w:rPr>
        <w:t>z</w:t>
      </w:r>
      <w:r w:rsidR="009C4267" w:rsidRPr="0051150C">
        <w:rPr>
          <w:noProof/>
          <w:szCs w:val="22"/>
          <w:lang w:val="sr-Latn-BA"/>
        </w:rPr>
        <w:t>ipramin</w:t>
      </w:r>
      <w:r w:rsidRPr="0051150C">
        <w:rPr>
          <w:noProof/>
          <w:szCs w:val="22"/>
          <w:lang w:val="sr-Latn-BA"/>
        </w:rPr>
        <w:t>, venlafaksin, haloperidol, risperidon, propafenon, f</w:t>
      </w:r>
      <w:r w:rsidR="00096FAA" w:rsidRPr="0051150C">
        <w:rPr>
          <w:noProof/>
          <w:szCs w:val="22"/>
          <w:lang w:val="sr-Latn-BA"/>
        </w:rPr>
        <w:t>lek</w:t>
      </w:r>
      <w:r w:rsidRPr="0051150C">
        <w:rPr>
          <w:noProof/>
          <w:szCs w:val="22"/>
          <w:lang w:val="sr-Latn-BA"/>
        </w:rPr>
        <w:t>ainid, kodein, oksikodon i tramadol (posl</w:t>
      </w:r>
      <w:r w:rsidR="00903E41" w:rsidRPr="0051150C">
        <w:rPr>
          <w:noProof/>
          <w:szCs w:val="22"/>
          <w:lang w:val="sr-Latn-BA"/>
        </w:rPr>
        <w:t>j</w:t>
      </w:r>
      <w:r w:rsidRPr="0051150C">
        <w:rPr>
          <w:noProof/>
          <w:szCs w:val="22"/>
          <w:lang w:val="sr-Latn-BA"/>
        </w:rPr>
        <w:t xml:space="preserve">ednja tri </w:t>
      </w:r>
      <w:r w:rsidR="00096FAA" w:rsidRPr="0051150C">
        <w:rPr>
          <w:noProof/>
          <w:szCs w:val="22"/>
          <w:lang w:val="sr-Latn-BA"/>
        </w:rPr>
        <w:t>lijek</w:t>
      </w:r>
      <w:r w:rsidRPr="0051150C">
        <w:rPr>
          <w:noProof/>
          <w:szCs w:val="22"/>
          <w:lang w:val="sr-Latn-BA"/>
        </w:rPr>
        <w:t xml:space="preserve">a </w:t>
      </w:r>
      <w:r w:rsidR="00BD1478">
        <w:rPr>
          <w:noProof/>
          <w:szCs w:val="22"/>
          <w:lang w:val="sr-Latn-BA"/>
        </w:rPr>
        <w:t>zahtijevaju</w:t>
      </w:r>
      <w:r w:rsidRPr="0051150C">
        <w:rPr>
          <w:noProof/>
          <w:szCs w:val="22"/>
          <w:lang w:val="sr-Latn-BA"/>
        </w:rPr>
        <w:t xml:space="preserve">CYP2D6 za formiranje aktivnih metabolita koji imaju analgetičko dejstvo). </w:t>
      </w:r>
    </w:p>
    <w:p w14:paraId="6AF8DFC6" w14:textId="77777777" w:rsidR="000246DF" w:rsidRPr="0051150C" w:rsidRDefault="000246DF" w:rsidP="000246DF">
      <w:pPr>
        <w:rPr>
          <w:noProof/>
          <w:szCs w:val="22"/>
          <w:lang w:val="sr-Latn-BA"/>
        </w:rPr>
      </w:pPr>
    </w:p>
    <w:p w14:paraId="03E961B9" w14:textId="696D4BE7" w:rsidR="000246DF" w:rsidRDefault="000246DF" w:rsidP="000246DF">
      <w:pPr>
        <w:rPr>
          <w:noProof/>
          <w:szCs w:val="22"/>
          <w:lang w:val="sr-Latn-BA"/>
        </w:rPr>
      </w:pPr>
      <w:r w:rsidRPr="0051150C">
        <w:rPr>
          <w:noProof/>
          <w:szCs w:val="22"/>
          <w:lang w:val="sr-Latn-BA"/>
        </w:rPr>
        <w:t xml:space="preserve">U ispitivanju interakcija </w:t>
      </w:r>
      <w:r w:rsidR="00096FAA" w:rsidRPr="0051150C">
        <w:rPr>
          <w:noProof/>
          <w:szCs w:val="22"/>
          <w:lang w:val="sr-Latn-BA"/>
        </w:rPr>
        <w:t>ljek</w:t>
      </w:r>
      <w:r w:rsidRPr="0051150C">
        <w:rPr>
          <w:noProof/>
          <w:szCs w:val="22"/>
          <w:lang w:val="sr-Latn-BA"/>
        </w:rPr>
        <w:t xml:space="preserve">ova koji se metabolišu putem CYP2C8, kod zdravih ispitanika, </w:t>
      </w:r>
      <w:r w:rsidR="00096FAA" w:rsidRPr="0051150C">
        <w:rPr>
          <w:noProof/>
          <w:szCs w:val="22"/>
          <w:lang w:val="sr-Latn-BA"/>
        </w:rPr>
        <w:t>vrijednost</w:t>
      </w:r>
      <w:r w:rsidRPr="0051150C">
        <w:rPr>
          <w:noProof/>
          <w:szCs w:val="22"/>
          <w:lang w:val="sr-Latn-BA"/>
        </w:rPr>
        <w:t xml:space="preserve"> PIK pioglitazona je bila povećan</w:t>
      </w:r>
      <w:r w:rsidR="006D1764" w:rsidRPr="0051150C">
        <w:rPr>
          <w:noProof/>
          <w:szCs w:val="22"/>
          <w:lang w:val="sr-Latn-BA"/>
        </w:rPr>
        <w:t>a za 46%</w:t>
      </w:r>
      <w:r w:rsidR="009C4267">
        <w:rPr>
          <w:noProof/>
          <w:szCs w:val="22"/>
          <w:lang w:val="sr-Latn-BA"/>
        </w:rPr>
        <w:t>,</w:t>
      </w:r>
      <w:r w:rsidR="006D1764" w:rsidRPr="0051150C">
        <w:rPr>
          <w:noProof/>
          <w:szCs w:val="22"/>
          <w:lang w:val="sr-Latn-BA"/>
        </w:rPr>
        <w:t xml:space="preserve"> dok su </w:t>
      </w:r>
      <w:r w:rsidR="00096FAA" w:rsidRPr="0051150C">
        <w:rPr>
          <w:noProof/>
          <w:szCs w:val="22"/>
          <w:lang w:val="sr-Latn-BA"/>
        </w:rPr>
        <w:t>vrijednost</w:t>
      </w:r>
      <w:r w:rsidRPr="0051150C">
        <w:rPr>
          <w:noProof/>
          <w:szCs w:val="22"/>
          <w:lang w:val="sr-Latn-BA"/>
        </w:rPr>
        <w:t xml:space="preserve">i PIK za M-III i M-IV, aktivne metabolite </w:t>
      </w:r>
      <w:r w:rsidR="006D1764" w:rsidRPr="0051150C">
        <w:rPr>
          <w:noProof/>
          <w:szCs w:val="22"/>
          <w:lang w:val="sr-Latn-BA"/>
        </w:rPr>
        <w:t xml:space="preserve">pioglitazona, bile </w:t>
      </w:r>
      <w:r w:rsidRPr="0051150C">
        <w:rPr>
          <w:noProof/>
          <w:szCs w:val="22"/>
          <w:lang w:val="sr-Latn-BA"/>
        </w:rPr>
        <w:t xml:space="preserve">smanjene za </w:t>
      </w:r>
      <w:r w:rsidR="00A0639C" w:rsidRPr="0051150C">
        <w:rPr>
          <w:noProof/>
          <w:szCs w:val="22"/>
          <w:lang w:val="sr-Latn-BA"/>
        </w:rPr>
        <w:t xml:space="preserve">po </w:t>
      </w:r>
      <w:r w:rsidRPr="0051150C">
        <w:rPr>
          <w:noProof/>
          <w:szCs w:val="22"/>
          <w:lang w:val="sr-Latn-BA"/>
        </w:rPr>
        <w:t>10%, kada se pioglitazon davao zajedno sa pojedinačnom dozom od 1000 mg abirateron</w:t>
      </w:r>
      <w:r w:rsidR="009C4267">
        <w:rPr>
          <w:noProof/>
          <w:szCs w:val="22"/>
          <w:lang w:val="sr-Latn-BA"/>
        </w:rPr>
        <w:t xml:space="preserve"> </w:t>
      </w:r>
      <w:r w:rsidRPr="0051150C">
        <w:rPr>
          <w:noProof/>
          <w:szCs w:val="22"/>
          <w:lang w:val="sr-Latn-BA"/>
        </w:rPr>
        <w:t xml:space="preserve">acetata. </w:t>
      </w:r>
      <w:r w:rsidR="00A0639C" w:rsidRPr="0051150C">
        <w:rPr>
          <w:noProof/>
          <w:szCs w:val="22"/>
          <w:lang w:val="sr-Latn-BA"/>
        </w:rPr>
        <w:t>P</w:t>
      </w:r>
      <w:r w:rsidRPr="0051150C">
        <w:rPr>
          <w:noProof/>
          <w:szCs w:val="22"/>
          <w:lang w:val="sr-Latn-BA"/>
        </w:rPr>
        <w:t xml:space="preserve">acijente treba pažljivo pratiti za znake toksičnosti povezane sa CYP2C8 supstratom sa uskim terapijskim indeksom, ako se </w:t>
      </w:r>
      <w:r w:rsidR="00096FAA" w:rsidRPr="0051150C">
        <w:rPr>
          <w:noProof/>
          <w:szCs w:val="22"/>
          <w:lang w:val="sr-Latn-BA"/>
        </w:rPr>
        <w:t>primjen</w:t>
      </w:r>
      <w:r w:rsidRPr="0051150C">
        <w:rPr>
          <w:noProof/>
          <w:szCs w:val="22"/>
          <w:lang w:val="sr-Latn-BA"/>
        </w:rPr>
        <w:t>juju istovremeno.</w:t>
      </w:r>
      <w:r w:rsidR="00A0639C" w:rsidRPr="0051150C">
        <w:rPr>
          <w:noProof/>
          <w:szCs w:val="22"/>
          <w:lang w:val="sr-Latn-BA"/>
        </w:rPr>
        <w:t xml:space="preserve"> Prim</w:t>
      </w:r>
      <w:r w:rsidR="003D7942" w:rsidRPr="0051150C">
        <w:rPr>
          <w:noProof/>
          <w:szCs w:val="22"/>
          <w:lang w:val="sr-Latn-BA"/>
        </w:rPr>
        <w:t>j</w:t>
      </w:r>
      <w:r w:rsidR="00A0639C" w:rsidRPr="0051150C">
        <w:rPr>
          <w:noProof/>
          <w:szCs w:val="22"/>
          <w:lang w:val="sr-Latn-BA"/>
        </w:rPr>
        <w:t xml:space="preserve">eri </w:t>
      </w:r>
      <w:r w:rsidR="00096FAA" w:rsidRPr="0051150C">
        <w:rPr>
          <w:noProof/>
          <w:szCs w:val="22"/>
          <w:lang w:val="sr-Latn-BA"/>
        </w:rPr>
        <w:t>ljek</w:t>
      </w:r>
      <w:r w:rsidR="00A0639C" w:rsidRPr="0051150C">
        <w:rPr>
          <w:noProof/>
          <w:szCs w:val="22"/>
          <w:lang w:val="sr-Latn-BA"/>
        </w:rPr>
        <w:t>ova koji se metabolišu putem CYP2C8 uključuju pioglitazon i repaglinid (</w:t>
      </w:r>
      <w:r w:rsidR="00F43B54" w:rsidRPr="00410EF6">
        <w:rPr>
          <w:noProof/>
          <w:szCs w:val="22"/>
          <w:lang w:val="sr-Latn-BA"/>
        </w:rPr>
        <w:t>vidjeti dio</w:t>
      </w:r>
      <w:r w:rsidR="00BD1478" w:rsidRPr="00410EF6">
        <w:rPr>
          <w:noProof/>
          <w:szCs w:val="22"/>
          <w:lang w:val="sr-Latn-BA"/>
        </w:rPr>
        <w:t xml:space="preserve"> </w:t>
      </w:r>
      <w:r w:rsidR="00A0639C" w:rsidRPr="00410EF6">
        <w:rPr>
          <w:noProof/>
          <w:szCs w:val="22"/>
          <w:lang w:val="sr-Latn-BA"/>
        </w:rPr>
        <w:t>4.4</w:t>
      </w:r>
      <w:r w:rsidR="00A0639C" w:rsidRPr="0051150C">
        <w:rPr>
          <w:noProof/>
          <w:szCs w:val="22"/>
          <w:lang w:val="sr-Latn-BA"/>
        </w:rPr>
        <w:t>).</w:t>
      </w:r>
    </w:p>
    <w:p w14:paraId="3C869F4D" w14:textId="77777777" w:rsidR="00CB671B" w:rsidRPr="0051150C" w:rsidRDefault="00CB671B" w:rsidP="000246DF">
      <w:pPr>
        <w:rPr>
          <w:noProof/>
          <w:szCs w:val="22"/>
          <w:lang w:val="sr-Latn-BA"/>
        </w:rPr>
      </w:pPr>
    </w:p>
    <w:p w14:paraId="1266F63C" w14:textId="08F05AFA" w:rsidR="000246DF" w:rsidRPr="0051150C" w:rsidRDefault="000246DF" w:rsidP="000246DF">
      <w:pPr>
        <w:rPr>
          <w:noProof/>
          <w:szCs w:val="22"/>
          <w:lang w:val="sr-Latn-BA"/>
        </w:rPr>
      </w:pPr>
      <w:r w:rsidRPr="0051150C">
        <w:rPr>
          <w:i/>
          <w:noProof/>
          <w:szCs w:val="22"/>
          <w:lang w:val="sr-Latn-BA"/>
        </w:rPr>
        <w:t>In vitro</w:t>
      </w:r>
      <w:r w:rsidRPr="0051150C">
        <w:rPr>
          <w:noProof/>
          <w:szCs w:val="22"/>
          <w:lang w:val="sr-Latn-BA"/>
        </w:rPr>
        <w:t>, glavni metaboliti abirate</w:t>
      </w:r>
      <w:r w:rsidR="006D1764" w:rsidRPr="0051150C">
        <w:rPr>
          <w:noProof/>
          <w:szCs w:val="22"/>
          <w:lang w:val="sr-Latn-BA"/>
        </w:rPr>
        <w:t xml:space="preserve">ron sulfat i N-oksid abirateron </w:t>
      </w:r>
      <w:r w:rsidRPr="0051150C">
        <w:rPr>
          <w:noProof/>
          <w:szCs w:val="22"/>
          <w:lang w:val="sr-Latn-BA"/>
        </w:rPr>
        <w:t xml:space="preserve">sulfat, pokazali su da inhibiraju hepatičko preuzimanje transporterom OATP1B1 i </w:t>
      </w:r>
      <w:r w:rsidR="009C4267" w:rsidRPr="0051150C">
        <w:rPr>
          <w:noProof/>
          <w:szCs w:val="22"/>
          <w:lang w:val="sr-Latn-BA"/>
        </w:rPr>
        <w:t>posljedi</w:t>
      </w:r>
      <w:r w:rsidR="009C4267">
        <w:rPr>
          <w:noProof/>
          <w:szCs w:val="22"/>
          <w:lang w:val="sr-Latn-BA"/>
        </w:rPr>
        <w:t>čno</w:t>
      </w:r>
      <w:r w:rsidRPr="0051150C">
        <w:rPr>
          <w:noProof/>
          <w:szCs w:val="22"/>
          <w:lang w:val="sr-Latn-BA"/>
        </w:rPr>
        <w:t xml:space="preserve"> mogu da povećaju koncentraciju </w:t>
      </w:r>
      <w:r w:rsidR="00096FAA" w:rsidRPr="0051150C">
        <w:rPr>
          <w:noProof/>
          <w:szCs w:val="22"/>
          <w:lang w:val="sr-Latn-BA"/>
        </w:rPr>
        <w:t>ljek</w:t>
      </w:r>
      <w:r w:rsidRPr="0051150C">
        <w:rPr>
          <w:noProof/>
          <w:szCs w:val="22"/>
          <w:lang w:val="sr-Latn-BA"/>
        </w:rPr>
        <w:t>ova koji se eliminišu putem OATP1B1. Nema dostupnih kliničkih podataka koji bi potvrdili ovu interakciju zasnovanu na transporteru.</w:t>
      </w:r>
    </w:p>
    <w:p w14:paraId="7549D656" w14:textId="77777777" w:rsidR="000246DF" w:rsidRPr="0051150C" w:rsidRDefault="000246DF" w:rsidP="000246DF">
      <w:pPr>
        <w:rPr>
          <w:noProof/>
          <w:szCs w:val="22"/>
          <w:lang w:val="sr-Latn-BA"/>
        </w:rPr>
      </w:pPr>
    </w:p>
    <w:p w14:paraId="13010A7B" w14:textId="7F1C2142" w:rsidR="000246DF" w:rsidRPr="0051150C" w:rsidRDefault="00096FAA" w:rsidP="000246DF">
      <w:pPr>
        <w:rPr>
          <w:i/>
          <w:noProof/>
          <w:szCs w:val="22"/>
          <w:lang w:val="sr-Latn-BA"/>
        </w:rPr>
      </w:pPr>
      <w:r w:rsidRPr="0051150C">
        <w:rPr>
          <w:i/>
          <w:noProof/>
          <w:szCs w:val="22"/>
          <w:lang w:val="sr-Latn-BA"/>
        </w:rPr>
        <w:t>Primjen</w:t>
      </w:r>
      <w:r w:rsidR="000246DF" w:rsidRPr="0051150C">
        <w:rPr>
          <w:i/>
          <w:noProof/>
          <w:szCs w:val="22"/>
          <w:lang w:val="sr-Latn-BA"/>
        </w:rPr>
        <w:t>a sa</w:t>
      </w:r>
      <w:r w:rsidR="00534FB1">
        <w:rPr>
          <w:i/>
          <w:noProof/>
          <w:szCs w:val="22"/>
          <w:lang w:val="sr-Latn-BA"/>
        </w:rPr>
        <w:t xml:space="preserve"> l</w:t>
      </w:r>
      <w:r w:rsidRPr="0051150C">
        <w:rPr>
          <w:i/>
          <w:noProof/>
          <w:szCs w:val="22"/>
          <w:lang w:val="sr-Latn-BA"/>
        </w:rPr>
        <w:t>jek</w:t>
      </w:r>
      <w:r w:rsidR="000246DF" w:rsidRPr="0051150C">
        <w:rPr>
          <w:i/>
          <w:noProof/>
          <w:szCs w:val="22"/>
          <w:lang w:val="sr-Latn-BA"/>
        </w:rPr>
        <w:t>ovima koji produžavaju QT interval</w:t>
      </w:r>
    </w:p>
    <w:p w14:paraId="4A91C6CC" w14:textId="0E7F0136" w:rsidR="000246DF" w:rsidRPr="0051150C" w:rsidRDefault="009C4267" w:rsidP="000246DF">
      <w:pPr>
        <w:rPr>
          <w:noProof/>
          <w:szCs w:val="22"/>
          <w:lang w:val="sr-Latn-BA"/>
        </w:rPr>
      </w:pPr>
      <w:r>
        <w:rPr>
          <w:noProof/>
          <w:szCs w:val="22"/>
          <w:lang w:val="sr-Latn-BA"/>
        </w:rPr>
        <w:t>S o</w:t>
      </w:r>
      <w:r w:rsidRPr="0051150C">
        <w:rPr>
          <w:noProof/>
          <w:szCs w:val="22"/>
          <w:lang w:val="sr-Latn-BA"/>
        </w:rPr>
        <w:t xml:space="preserve">bzirom </w:t>
      </w:r>
      <w:r>
        <w:rPr>
          <w:noProof/>
          <w:szCs w:val="22"/>
          <w:lang w:val="sr-Latn-BA"/>
        </w:rPr>
        <w:t xml:space="preserve">na to </w:t>
      </w:r>
      <w:r w:rsidR="006D1764" w:rsidRPr="0051150C">
        <w:rPr>
          <w:noProof/>
          <w:szCs w:val="22"/>
          <w:lang w:val="sr-Latn-BA"/>
        </w:rPr>
        <w:t>da</w:t>
      </w:r>
      <w:r w:rsidR="000246DF" w:rsidRPr="0051150C">
        <w:rPr>
          <w:noProof/>
          <w:szCs w:val="22"/>
          <w:lang w:val="sr-Latn-BA"/>
        </w:rPr>
        <w:t xml:space="preserve"> androgen deprivaciona terapija</w:t>
      </w:r>
      <w:r w:rsidR="006D1764" w:rsidRPr="0051150C">
        <w:rPr>
          <w:noProof/>
          <w:szCs w:val="22"/>
          <w:lang w:val="sr-Latn-BA"/>
        </w:rPr>
        <w:t xml:space="preserve"> može dovesti do prolongacije</w:t>
      </w:r>
      <w:r w:rsidR="000246DF" w:rsidRPr="0051150C">
        <w:rPr>
          <w:noProof/>
          <w:szCs w:val="22"/>
          <w:lang w:val="sr-Latn-BA"/>
        </w:rPr>
        <w:t xml:space="preserve"> QT interval</w:t>
      </w:r>
      <w:r w:rsidR="006D1764" w:rsidRPr="0051150C">
        <w:rPr>
          <w:noProof/>
          <w:szCs w:val="22"/>
          <w:lang w:val="sr-Latn-BA"/>
        </w:rPr>
        <w:t>a</w:t>
      </w:r>
      <w:r w:rsidR="000246DF" w:rsidRPr="0051150C">
        <w:rPr>
          <w:noProof/>
          <w:szCs w:val="22"/>
          <w:lang w:val="sr-Latn-BA"/>
        </w:rPr>
        <w:t>, sav</w:t>
      </w:r>
      <w:r w:rsidR="003D7942" w:rsidRPr="0051150C">
        <w:rPr>
          <w:noProof/>
          <w:szCs w:val="22"/>
          <w:lang w:val="sr-Latn-BA"/>
        </w:rPr>
        <w:t>j</w:t>
      </w:r>
      <w:r w:rsidR="000246DF" w:rsidRPr="0051150C">
        <w:rPr>
          <w:noProof/>
          <w:szCs w:val="22"/>
          <w:lang w:val="sr-Latn-BA"/>
        </w:rPr>
        <w:t xml:space="preserve">etuje se oprez kada se </w:t>
      </w:r>
      <w:r w:rsidR="00096FAA" w:rsidRPr="0051150C">
        <w:rPr>
          <w:noProof/>
          <w:szCs w:val="22"/>
          <w:lang w:val="sr-Latn-BA"/>
        </w:rPr>
        <w:t>lijek</w:t>
      </w:r>
      <w:r w:rsidR="000246DF" w:rsidRPr="0051150C">
        <w:rPr>
          <w:noProof/>
          <w:szCs w:val="22"/>
          <w:lang w:val="sr-Latn-BA"/>
        </w:rPr>
        <w:t xml:space="preserve"> </w:t>
      </w:r>
      <w:r w:rsidR="00C315BF" w:rsidRPr="0051150C">
        <w:rPr>
          <w:noProof/>
          <w:szCs w:val="22"/>
          <w:lang w:val="sr-Latn-BA"/>
        </w:rPr>
        <w:t xml:space="preserve">Jonosol </w:t>
      </w:r>
      <w:r w:rsidR="00096FAA" w:rsidRPr="0051150C">
        <w:rPr>
          <w:noProof/>
          <w:szCs w:val="22"/>
          <w:lang w:val="sr-Latn-BA"/>
        </w:rPr>
        <w:t>primjen</w:t>
      </w:r>
      <w:r w:rsidR="000246DF" w:rsidRPr="0051150C">
        <w:rPr>
          <w:noProof/>
          <w:szCs w:val="22"/>
          <w:lang w:val="sr-Latn-BA"/>
        </w:rPr>
        <w:t xml:space="preserve">juje sa </w:t>
      </w:r>
      <w:r w:rsidR="00096FAA" w:rsidRPr="0051150C">
        <w:rPr>
          <w:noProof/>
          <w:szCs w:val="22"/>
          <w:lang w:val="sr-Latn-BA"/>
        </w:rPr>
        <w:t>ljek</w:t>
      </w:r>
      <w:r w:rsidR="000246DF" w:rsidRPr="0051150C">
        <w:rPr>
          <w:noProof/>
          <w:szCs w:val="22"/>
          <w:lang w:val="sr-Latn-BA"/>
        </w:rPr>
        <w:t>ovima za koje se zna da produžavaju QT interval</w:t>
      </w:r>
      <w:r>
        <w:rPr>
          <w:noProof/>
          <w:szCs w:val="22"/>
          <w:lang w:val="sr-Latn-BA"/>
        </w:rPr>
        <w:t>,</w:t>
      </w:r>
      <w:r w:rsidR="000246DF" w:rsidRPr="0051150C">
        <w:rPr>
          <w:noProof/>
          <w:szCs w:val="22"/>
          <w:lang w:val="sr-Latn-BA"/>
        </w:rPr>
        <w:t xml:space="preserve"> ili sa </w:t>
      </w:r>
      <w:r w:rsidR="00096FAA" w:rsidRPr="0051150C">
        <w:rPr>
          <w:noProof/>
          <w:szCs w:val="22"/>
          <w:lang w:val="sr-Latn-BA"/>
        </w:rPr>
        <w:t>ljek</w:t>
      </w:r>
      <w:r w:rsidR="000246DF" w:rsidRPr="0051150C">
        <w:rPr>
          <w:noProof/>
          <w:szCs w:val="22"/>
          <w:lang w:val="sr-Latn-BA"/>
        </w:rPr>
        <w:t xml:space="preserve">ovima koji mogu da indukuju </w:t>
      </w:r>
      <w:r w:rsidR="000246DF" w:rsidRPr="0051150C">
        <w:rPr>
          <w:i/>
          <w:iCs/>
          <w:noProof/>
          <w:szCs w:val="22"/>
          <w:lang w:val="sr-Latn-BA"/>
        </w:rPr>
        <w:t>torsades de pointes</w:t>
      </w:r>
      <w:r>
        <w:rPr>
          <w:iCs/>
          <w:noProof/>
          <w:szCs w:val="22"/>
          <w:lang w:val="sr-Latn-BA"/>
        </w:rPr>
        <w:t>,</w:t>
      </w:r>
      <w:r w:rsidR="000246DF" w:rsidRPr="0051150C">
        <w:rPr>
          <w:noProof/>
          <w:szCs w:val="22"/>
          <w:lang w:val="sr-Latn-BA"/>
        </w:rPr>
        <w:t xml:space="preserve"> kao što su klasa IA antiaritmika (npr. hinidin, dizopiramid) ili klasa III antiaritmika (npr. am</w:t>
      </w:r>
      <w:r w:rsidR="00D812DA">
        <w:rPr>
          <w:noProof/>
          <w:szCs w:val="22"/>
          <w:lang w:val="sr-Latn-BA"/>
        </w:rPr>
        <w:t>i</w:t>
      </w:r>
      <w:r w:rsidR="000246DF" w:rsidRPr="0051150C">
        <w:rPr>
          <w:noProof/>
          <w:szCs w:val="22"/>
          <w:lang w:val="sr-Latn-BA"/>
        </w:rPr>
        <w:t>jodaron, sotalol, dofetilid, ibutilid), metadon, moksifloksacin, antipsihotici, itd.</w:t>
      </w:r>
    </w:p>
    <w:p w14:paraId="1AC7AB32" w14:textId="77777777" w:rsidR="000246DF" w:rsidRPr="0051150C" w:rsidRDefault="000246DF" w:rsidP="000246DF">
      <w:pPr>
        <w:rPr>
          <w:noProof/>
          <w:szCs w:val="22"/>
          <w:lang w:val="sr-Latn-BA"/>
        </w:rPr>
      </w:pPr>
    </w:p>
    <w:p w14:paraId="55845C32" w14:textId="35BA02C8" w:rsidR="000246DF" w:rsidRPr="0051150C" w:rsidRDefault="00096FAA" w:rsidP="000246DF">
      <w:pPr>
        <w:rPr>
          <w:i/>
          <w:noProof/>
          <w:szCs w:val="22"/>
          <w:lang w:val="sr-Latn-BA"/>
        </w:rPr>
      </w:pPr>
      <w:r w:rsidRPr="0051150C">
        <w:rPr>
          <w:i/>
          <w:noProof/>
          <w:szCs w:val="22"/>
          <w:lang w:val="sr-Latn-BA"/>
        </w:rPr>
        <w:t>Primjen</w:t>
      </w:r>
      <w:r w:rsidR="000246DF" w:rsidRPr="0051150C">
        <w:rPr>
          <w:i/>
          <w:noProof/>
          <w:szCs w:val="22"/>
          <w:lang w:val="sr-Latn-BA"/>
        </w:rPr>
        <w:t>a sa spironolaktonom</w:t>
      </w:r>
    </w:p>
    <w:p w14:paraId="280CCC3C" w14:textId="63F18420" w:rsidR="00AA2EEE" w:rsidRPr="0051150C" w:rsidRDefault="000246DF" w:rsidP="000246DF">
      <w:pPr>
        <w:rPr>
          <w:noProof/>
          <w:szCs w:val="22"/>
          <w:lang w:val="sr-Latn-BA"/>
        </w:rPr>
      </w:pPr>
      <w:r w:rsidRPr="0051150C">
        <w:rPr>
          <w:noProof/>
          <w:szCs w:val="22"/>
          <w:lang w:val="sr-Latn-BA"/>
        </w:rPr>
        <w:t xml:space="preserve">Spironolakton se vezuje za androgene receptore i može da poveća </w:t>
      </w:r>
      <w:r w:rsidR="00096FAA" w:rsidRPr="0051150C">
        <w:rPr>
          <w:noProof/>
          <w:szCs w:val="22"/>
          <w:lang w:val="sr-Latn-BA"/>
        </w:rPr>
        <w:t>vrijednost</w:t>
      </w:r>
      <w:r w:rsidRPr="0051150C">
        <w:rPr>
          <w:noProof/>
          <w:szCs w:val="22"/>
          <w:lang w:val="sr-Latn-BA"/>
        </w:rPr>
        <w:t xml:space="preserve">i prostata specifičnog antigena (PSA). </w:t>
      </w:r>
      <w:r w:rsidR="00096FAA" w:rsidRPr="0051150C">
        <w:rPr>
          <w:noProof/>
          <w:szCs w:val="22"/>
          <w:lang w:val="sr-Latn-BA"/>
        </w:rPr>
        <w:t>Primjen</w:t>
      </w:r>
      <w:r w:rsidRPr="0051150C">
        <w:rPr>
          <w:noProof/>
          <w:szCs w:val="22"/>
          <w:lang w:val="sr-Latn-BA"/>
        </w:rPr>
        <w:t xml:space="preserve">a sa </w:t>
      </w:r>
      <w:r w:rsidR="00096FAA" w:rsidRPr="0051150C">
        <w:rPr>
          <w:noProof/>
          <w:szCs w:val="22"/>
          <w:lang w:val="sr-Latn-BA"/>
        </w:rPr>
        <w:t>lijek</w:t>
      </w:r>
      <w:r w:rsidRPr="0051150C">
        <w:rPr>
          <w:noProof/>
          <w:szCs w:val="22"/>
          <w:lang w:val="sr-Latn-BA"/>
        </w:rPr>
        <w:t xml:space="preserve">om </w:t>
      </w:r>
      <w:r w:rsidR="00C315BF" w:rsidRPr="0051150C">
        <w:rPr>
          <w:noProof/>
          <w:szCs w:val="22"/>
          <w:lang w:val="sr-Latn-BA"/>
        </w:rPr>
        <w:t xml:space="preserve">Jonosol </w:t>
      </w:r>
      <w:r w:rsidRPr="0051150C">
        <w:rPr>
          <w:noProof/>
          <w:szCs w:val="22"/>
          <w:lang w:val="sr-Latn-BA"/>
        </w:rPr>
        <w:t>se ne preporučuje (</w:t>
      </w:r>
      <w:r w:rsidR="00F43B54" w:rsidRPr="00410EF6">
        <w:rPr>
          <w:noProof/>
          <w:szCs w:val="22"/>
          <w:lang w:val="sr-Latn-BA"/>
        </w:rPr>
        <w:t xml:space="preserve">vidjeti dio </w:t>
      </w:r>
      <w:r w:rsidRPr="00410EF6">
        <w:rPr>
          <w:noProof/>
          <w:szCs w:val="22"/>
          <w:lang w:val="sr-Latn-BA"/>
        </w:rPr>
        <w:t>5.1</w:t>
      </w:r>
      <w:r w:rsidRPr="0051150C">
        <w:rPr>
          <w:noProof/>
          <w:szCs w:val="22"/>
          <w:lang w:val="sr-Latn-BA"/>
        </w:rPr>
        <w:t>).</w:t>
      </w:r>
    </w:p>
    <w:p w14:paraId="584B0D67" w14:textId="77777777" w:rsidR="00CE09F3" w:rsidRPr="0051150C" w:rsidRDefault="00CE09F3" w:rsidP="009173F4">
      <w:pPr>
        <w:rPr>
          <w:noProof/>
          <w:szCs w:val="22"/>
          <w:lang w:val="sr-Latn-BA"/>
        </w:rPr>
      </w:pPr>
    </w:p>
    <w:p w14:paraId="584B0D68" w14:textId="77777777" w:rsidR="00CE09F3" w:rsidRPr="0051150C" w:rsidRDefault="00CE09F3" w:rsidP="009173F4">
      <w:pPr>
        <w:rPr>
          <w:b/>
          <w:bCs/>
          <w:noProof/>
          <w:szCs w:val="22"/>
          <w:lang w:val="sr-Latn-BA"/>
        </w:rPr>
      </w:pPr>
      <w:r w:rsidRPr="0051150C">
        <w:rPr>
          <w:b/>
          <w:bCs/>
          <w:noProof/>
          <w:szCs w:val="22"/>
          <w:lang w:val="sr-Latn-BA"/>
        </w:rPr>
        <w:t>4.6. Plodnost, trudnoća i dojenje</w:t>
      </w:r>
    </w:p>
    <w:p w14:paraId="584B0D69" w14:textId="77777777" w:rsidR="00CE09F3" w:rsidRPr="0051150C" w:rsidRDefault="00CE09F3" w:rsidP="009173F4">
      <w:pPr>
        <w:rPr>
          <w:noProof/>
          <w:szCs w:val="22"/>
          <w:lang w:val="sr-Latn-BA"/>
        </w:rPr>
      </w:pPr>
    </w:p>
    <w:p w14:paraId="07AAC48D" w14:textId="77777777" w:rsidR="00CB1AD2" w:rsidRPr="0051150C" w:rsidRDefault="00CB1AD2" w:rsidP="009173F4">
      <w:pPr>
        <w:tabs>
          <w:tab w:val="clear" w:pos="284"/>
        </w:tabs>
        <w:autoSpaceDE w:val="0"/>
        <w:autoSpaceDN w:val="0"/>
        <w:adjustRightInd w:val="0"/>
        <w:rPr>
          <w:noProof/>
          <w:szCs w:val="22"/>
          <w:u w:val="single"/>
          <w:lang w:val="sr-Latn-BA"/>
        </w:rPr>
      </w:pPr>
      <w:r w:rsidRPr="0051150C">
        <w:rPr>
          <w:noProof/>
          <w:szCs w:val="22"/>
          <w:u w:val="single"/>
          <w:lang w:val="sr-Latn-BA"/>
        </w:rPr>
        <w:t>Žene u reproduktivnom periodu</w:t>
      </w:r>
    </w:p>
    <w:p w14:paraId="52A58AB0" w14:textId="015647D5" w:rsidR="00CB1AD2" w:rsidRPr="0051150C" w:rsidRDefault="00CB1AD2" w:rsidP="009173F4">
      <w:pPr>
        <w:tabs>
          <w:tab w:val="clear" w:pos="284"/>
        </w:tabs>
        <w:autoSpaceDE w:val="0"/>
        <w:autoSpaceDN w:val="0"/>
        <w:adjustRightInd w:val="0"/>
        <w:rPr>
          <w:noProof/>
          <w:szCs w:val="22"/>
          <w:lang w:val="sr-Latn-BA"/>
        </w:rPr>
      </w:pPr>
      <w:r w:rsidRPr="0051150C">
        <w:rPr>
          <w:noProof/>
          <w:szCs w:val="22"/>
          <w:lang w:val="sr-Latn-BA"/>
        </w:rPr>
        <w:t xml:space="preserve">Nema podataka o </w:t>
      </w:r>
      <w:r w:rsidR="00096FAA" w:rsidRPr="0051150C">
        <w:rPr>
          <w:noProof/>
          <w:szCs w:val="22"/>
          <w:lang w:val="sr-Latn-BA"/>
        </w:rPr>
        <w:t>primjen</w:t>
      </w:r>
      <w:r w:rsidRPr="0051150C">
        <w:rPr>
          <w:noProof/>
          <w:szCs w:val="22"/>
          <w:lang w:val="sr-Latn-BA"/>
        </w:rPr>
        <w:t xml:space="preserve">i </w:t>
      </w:r>
      <w:r w:rsidR="00096FAA" w:rsidRPr="0051150C">
        <w:rPr>
          <w:noProof/>
          <w:szCs w:val="22"/>
          <w:lang w:val="sr-Latn-BA"/>
        </w:rPr>
        <w:t>lijek</w:t>
      </w:r>
      <w:r w:rsidRPr="0051150C">
        <w:rPr>
          <w:noProof/>
          <w:szCs w:val="22"/>
          <w:lang w:val="sr-Latn-BA"/>
        </w:rPr>
        <w:t xml:space="preserve">a </w:t>
      </w:r>
      <w:r w:rsidR="00C315BF" w:rsidRPr="0051150C">
        <w:rPr>
          <w:noProof/>
          <w:szCs w:val="22"/>
          <w:lang w:val="sr-Latn-BA"/>
        </w:rPr>
        <w:t xml:space="preserve">Jonosol </w:t>
      </w:r>
      <w:r w:rsidRPr="0051150C">
        <w:rPr>
          <w:noProof/>
          <w:szCs w:val="22"/>
          <w:lang w:val="sr-Latn-BA"/>
        </w:rPr>
        <w:t xml:space="preserve">tokom trudnoće, budući da ovaj </w:t>
      </w:r>
      <w:r w:rsidR="00096FAA" w:rsidRPr="0051150C">
        <w:rPr>
          <w:noProof/>
          <w:szCs w:val="22"/>
          <w:lang w:val="sr-Latn-BA"/>
        </w:rPr>
        <w:t>lijek</w:t>
      </w:r>
      <w:r w:rsidRPr="0051150C">
        <w:rPr>
          <w:noProof/>
          <w:szCs w:val="22"/>
          <w:lang w:val="sr-Latn-BA"/>
        </w:rPr>
        <w:t xml:space="preserve"> uopšte nije </w:t>
      </w:r>
      <w:r w:rsidR="00096FAA" w:rsidRPr="0051150C">
        <w:rPr>
          <w:noProof/>
          <w:szCs w:val="22"/>
          <w:lang w:val="sr-Latn-BA"/>
        </w:rPr>
        <w:t>namijenjen</w:t>
      </w:r>
      <w:r w:rsidRPr="0051150C">
        <w:rPr>
          <w:noProof/>
          <w:szCs w:val="22"/>
          <w:lang w:val="sr-Latn-BA"/>
        </w:rPr>
        <w:t xml:space="preserve"> za </w:t>
      </w:r>
      <w:r w:rsidR="00096FAA" w:rsidRPr="0051150C">
        <w:rPr>
          <w:noProof/>
          <w:szCs w:val="22"/>
          <w:lang w:val="sr-Latn-BA"/>
        </w:rPr>
        <w:t>primjen</w:t>
      </w:r>
      <w:r w:rsidRPr="0051150C">
        <w:rPr>
          <w:noProof/>
          <w:szCs w:val="22"/>
          <w:lang w:val="sr-Latn-BA"/>
        </w:rPr>
        <w:t>u kod žena u reproduktivnom periodu.</w:t>
      </w:r>
    </w:p>
    <w:p w14:paraId="14C1DDC8" w14:textId="77777777" w:rsidR="00CB1AD2" w:rsidRPr="0051150C" w:rsidRDefault="00CB1AD2" w:rsidP="009173F4">
      <w:pPr>
        <w:tabs>
          <w:tab w:val="clear" w:pos="284"/>
        </w:tabs>
        <w:autoSpaceDE w:val="0"/>
        <w:autoSpaceDN w:val="0"/>
        <w:adjustRightInd w:val="0"/>
        <w:rPr>
          <w:noProof/>
          <w:szCs w:val="22"/>
          <w:u w:val="single"/>
          <w:lang w:val="sr-Latn-BA"/>
        </w:rPr>
      </w:pPr>
    </w:p>
    <w:p w14:paraId="33C651AA" w14:textId="5E26E23B" w:rsidR="00CB1AD2" w:rsidRPr="0051150C" w:rsidRDefault="00CB1AD2" w:rsidP="009173F4">
      <w:pPr>
        <w:tabs>
          <w:tab w:val="clear" w:pos="284"/>
        </w:tabs>
        <w:autoSpaceDE w:val="0"/>
        <w:autoSpaceDN w:val="0"/>
        <w:adjustRightInd w:val="0"/>
        <w:rPr>
          <w:noProof/>
          <w:szCs w:val="22"/>
          <w:u w:val="single"/>
          <w:lang w:val="sr-Latn-BA"/>
        </w:rPr>
      </w:pPr>
      <w:r w:rsidRPr="0051150C">
        <w:rPr>
          <w:noProof/>
          <w:szCs w:val="22"/>
          <w:u w:val="single"/>
          <w:lang w:val="sr-Latn-BA"/>
        </w:rPr>
        <w:t>Kontracepcija muškaraca i žena</w:t>
      </w:r>
    </w:p>
    <w:p w14:paraId="39C0BA59" w14:textId="135BE154" w:rsidR="00CB1AD2" w:rsidRPr="0051150C" w:rsidRDefault="00CB1AD2" w:rsidP="009173F4">
      <w:pPr>
        <w:tabs>
          <w:tab w:val="clear" w:pos="284"/>
        </w:tabs>
        <w:autoSpaceDE w:val="0"/>
        <w:autoSpaceDN w:val="0"/>
        <w:adjustRightInd w:val="0"/>
        <w:rPr>
          <w:noProof/>
          <w:szCs w:val="22"/>
          <w:lang w:val="sr-Latn-BA"/>
        </w:rPr>
      </w:pPr>
      <w:r w:rsidRPr="0051150C">
        <w:rPr>
          <w:noProof/>
          <w:szCs w:val="22"/>
          <w:lang w:val="sr-Latn-BA"/>
        </w:rPr>
        <w:t xml:space="preserve">Nije poznato da li su abirateron ili njegovi metaboliti prisutni u spermi. Potrebno je da pacijenti koji su seksualno aktivni koriste kondom ako im je partnerka trudna. Ako pacijent ima seksualne odnose sa ženom </w:t>
      </w:r>
      <w:r w:rsidR="00A925BA">
        <w:rPr>
          <w:noProof/>
          <w:szCs w:val="22"/>
          <w:lang w:val="sr-Latn-BA"/>
        </w:rPr>
        <w:t xml:space="preserve">koja je </w:t>
      </w:r>
      <w:r w:rsidRPr="0051150C">
        <w:rPr>
          <w:noProof/>
          <w:szCs w:val="22"/>
          <w:lang w:val="sr-Latn-BA"/>
        </w:rPr>
        <w:t>u reproduktivnom periodu, potrebno je da koristi kondom uz još neko efektivno sredstvo kontracepcije. Studije na životinjama su pokazale reproduktivnu toksičnost (</w:t>
      </w:r>
      <w:r w:rsidR="00F43B54" w:rsidRPr="00410EF6">
        <w:rPr>
          <w:noProof/>
          <w:szCs w:val="22"/>
          <w:lang w:val="sr-Latn-BA"/>
        </w:rPr>
        <w:t xml:space="preserve">vidjeti dio </w:t>
      </w:r>
      <w:r w:rsidRPr="00410EF6">
        <w:rPr>
          <w:noProof/>
          <w:szCs w:val="22"/>
          <w:lang w:val="sr-Latn-BA"/>
        </w:rPr>
        <w:t>5.3</w:t>
      </w:r>
      <w:r w:rsidRPr="0051150C">
        <w:rPr>
          <w:noProof/>
          <w:szCs w:val="22"/>
          <w:lang w:val="sr-Latn-BA"/>
        </w:rPr>
        <w:t xml:space="preserve">). </w:t>
      </w:r>
    </w:p>
    <w:p w14:paraId="297CB54A" w14:textId="77777777" w:rsidR="00CB1AD2" w:rsidRPr="0051150C" w:rsidRDefault="00CB1AD2" w:rsidP="009173F4">
      <w:pPr>
        <w:tabs>
          <w:tab w:val="clear" w:pos="284"/>
        </w:tabs>
        <w:autoSpaceDE w:val="0"/>
        <w:autoSpaceDN w:val="0"/>
        <w:adjustRightInd w:val="0"/>
        <w:rPr>
          <w:noProof/>
          <w:szCs w:val="22"/>
          <w:u w:val="single"/>
          <w:lang w:val="sr-Latn-BA"/>
        </w:rPr>
      </w:pPr>
    </w:p>
    <w:p w14:paraId="31B9C7DE" w14:textId="2993E31E" w:rsidR="00CB1AD2" w:rsidRPr="0051150C" w:rsidRDefault="00CB1AD2" w:rsidP="009173F4">
      <w:pPr>
        <w:tabs>
          <w:tab w:val="clear" w:pos="284"/>
        </w:tabs>
        <w:autoSpaceDE w:val="0"/>
        <w:autoSpaceDN w:val="0"/>
        <w:adjustRightInd w:val="0"/>
        <w:rPr>
          <w:noProof/>
          <w:szCs w:val="22"/>
          <w:u w:val="single"/>
          <w:lang w:val="sr-Latn-BA"/>
        </w:rPr>
      </w:pPr>
      <w:r w:rsidRPr="0051150C">
        <w:rPr>
          <w:noProof/>
          <w:szCs w:val="22"/>
          <w:u w:val="single"/>
          <w:lang w:val="sr-Latn-BA"/>
        </w:rPr>
        <w:t>Trudnoća</w:t>
      </w:r>
    </w:p>
    <w:p w14:paraId="63CA51C3" w14:textId="6E349B5E" w:rsidR="00CB1AD2" w:rsidRPr="0051150C" w:rsidRDefault="00096FAA" w:rsidP="009173F4">
      <w:pPr>
        <w:tabs>
          <w:tab w:val="clear" w:pos="284"/>
        </w:tabs>
        <w:autoSpaceDE w:val="0"/>
        <w:autoSpaceDN w:val="0"/>
        <w:adjustRightInd w:val="0"/>
        <w:rPr>
          <w:noProof/>
          <w:szCs w:val="22"/>
          <w:u w:val="single"/>
          <w:lang w:val="sr-Latn-BA"/>
        </w:rPr>
      </w:pPr>
      <w:r w:rsidRPr="0051150C">
        <w:rPr>
          <w:noProof/>
          <w:szCs w:val="22"/>
          <w:lang w:val="sr-Latn-BA"/>
        </w:rPr>
        <w:t>Lijek</w:t>
      </w:r>
      <w:r w:rsidR="00CB1AD2" w:rsidRPr="0051150C">
        <w:rPr>
          <w:noProof/>
          <w:szCs w:val="22"/>
          <w:lang w:val="sr-Latn-BA"/>
        </w:rPr>
        <w:t xml:space="preserve"> </w:t>
      </w:r>
      <w:r w:rsidR="00C315BF" w:rsidRPr="0051150C">
        <w:rPr>
          <w:noProof/>
          <w:szCs w:val="22"/>
          <w:lang w:val="sr-Latn-BA"/>
        </w:rPr>
        <w:t xml:space="preserve">Jonosol </w:t>
      </w:r>
      <w:r w:rsidR="00CB1AD2" w:rsidRPr="0051150C">
        <w:rPr>
          <w:noProof/>
          <w:szCs w:val="22"/>
          <w:lang w:val="sr-Latn-BA"/>
        </w:rPr>
        <w:t xml:space="preserve">nije </w:t>
      </w:r>
      <w:r w:rsidRPr="0051150C">
        <w:rPr>
          <w:noProof/>
          <w:szCs w:val="22"/>
          <w:lang w:val="sr-Latn-BA"/>
        </w:rPr>
        <w:t>namijenjen</w:t>
      </w:r>
      <w:r w:rsidR="00CB1AD2" w:rsidRPr="0051150C">
        <w:rPr>
          <w:noProof/>
          <w:szCs w:val="22"/>
          <w:lang w:val="sr-Latn-BA"/>
        </w:rPr>
        <w:t xml:space="preserve"> za </w:t>
      </w:r>
      <w:r w:rsidRPr="0051150C">
        <w:rPr>
          <w:noProof/>
          <w:szCs w:val="22"/>
          <w:lang w:val="sr-Latn-BA"/>
        </w:rPr>
        <w:t>primjen</w:t>
      </w:r>
      <w:r w:rsidR="00CB1AD2" w:rsidRPr="0051150C">
        <w:rPr>
          <w:noProof/>
          <w:szCs w:val="22"/>
          <w:lang w:val="sr-Latn-BA"/>
        </w:rPr>
        <w:t>u kod žena i kontraindikovan je kod žena koje su trudne ili bi mogle biti trudne (</w:t>
      </w:r>
      <w:r w:rsidR="00F43B54" w:rsidRPr="00410EF6">
        <w:rPr>
          <w:noProof/>
          <w:szCs w:val="22"/>
          <w:lang w:val="sr-Latn-BA"/>
        </w:rPr>
        <w:t xml:space="preserve">vidjeti </w:t>
      </w:r>
      <w:r w:rsidR="00A925BA" w:rsidRPr="00410EF6">
        <w:rPr>
          <w:noProof/>
          <w:szCs w:val="22"/>
          <w:lang w:val="sr-Latn-BA"/>
        </w:rPr>
        <w:t xml:space="preserve">djelove </w:t>
      </w:r>
      <w:r w:rsidR="00CB1AD2" w:rsidRPr="00410EF6">
        <w:rPr>
          <w:noProof/>
          <w:szCs w:val="22"/>
          <w:lang w:val="sr-Latn-BA"/>
        </w:rPr>
        <w:t>4.3 i 5.3</w:t>
      </w:r>
      <w:r w:rsidR="00CB1AD2" w:rsidRPr="0051150C">
        <w:rPr>
          <w:noProof/>
          <w:szCs w:val="22"/>
          <w:lang w:val="sr-Latn-BA"/>
        </w:rPr>
        <w:t>).</w:t>
      </w:r>
    </w:p>
    <w:p w14:paraId="036C35E0" w14:textId="32AAF6C9" w:rsidR="00CB1AD2" w:rsidRPr="0051150C" w:rsidRDefault="00CB1AD2" w:rsidP="009173F4">
      <w:pPr>
        <w:tabs>
          <w:tab w:val="clear" w:pos="284"/>
        </w:tabs>
        <w:autoSpaceDE w:val="0"/>
        <w:autoSpaceDN w:val="0"/>
        <w:adjustRightInd w:val="0"/>
        <w:rPr>
          <w:noProof/>
          <w:szCs w:val="22"/>
          <w:u w:val="single"/>
          <w:lang w:val="sr-Latn-BA"/>
        </w:rPr>
      </w:pPr>
      <w:r w:rsidRPr="0051150C">
        <w:rPr>
          <w:noProof/>
          <w:szCs w:val="22"/>
          <w:u w:val="single"/>
          <w:lang w:val="sr-Latn-BA"/>
        </w:rPr>
        <w:t>Dojenje</w:t>
      </w:r>
    </w:p>
    <w:p w14:paraId="695B78A9" w14:textId="5306DC0F" w:rsidR="00CB1AD2"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Lijek</w:t>
      </w:r>
      <w:r w:rsidR="00CB1AD2" w:rsidRPr="0051150C">
        <w:rPr>
          <w:noProof/>
          <w:szCs w:val="22"/>
          <w:lang w:val="sr-Latn-BA"/>
        </w:rPr>
        <w:t xml:space="preserve"> </w:t>
      </w:r>
      <w:r w:rsidR="00C315BF" w:rsidRPr="0051150C">
        <w:rPr>
          <w:noProof/>
          <w:szCs w:val="22"/>
          <w:lang w:val="sr-Latn-BA"/>
        </w:rPr>
        <w:t xml:space="preserve">Jonosol </w:t>
      </w:r>
      <w:r w:rsidR="00CB1AD2" w:rsidRPr="0051150C">
        <w:rPr>
          <w:noProof/>
          <w:szCs w:val="22"/>
          <w:lang w:val="sr-Latn-BA"/>
        </w:rPr>
        <w:t xml:space="preserve">nije </w:t>
      </w:r>
      <w:r w:rsidRPr="0051150C">
        <w:rPr>
          <w:noProof/>
          <w:szCs w:val="22"/>
          <w:lang w:val="sr-Latn-BA"/>
        </w:rPr>
        <w:t>namijenjen</w:t>
      </w:r>
      <w:r w:rsidR="00CB1AD2" w:rsidRPr="0051150C">
        <w:rPr>
          <w:noProof/>
          <w:szCs w:val="22"/>
          <w:lang w:val="sr-Latn-BA"/>
        </w:rPr>
        <w:t xml:space="preserve"> za </w:t>
      </w:r>
      <w:r w:rsidRPr="0051150C">
        <w:rPr>
          <w:noProof/>
          <w:szCs w:val="22"/>
          <w:lang w:val="sr-Latn-BA"/>
        </w:rPr>
        <w:t>primjen</w:t>
      </w:r>
      <w:r w:rsidR="00CB1AD2" w:rsidRPr="0051150C">
        <w:rPr>
          <w:noProof/>
          <w:szCs w:val="22"/>
          <w:lang w:val="sr-Latn-BA"/>
        </w:rPr>
        <w:t>u kod žena.</w:t>
      </w:r>
    </w:p>
    <w:p w14:paraId="2398D636" w14:textId="77777777" w:rsidR="00CB1AD2" w:rsidRPr="0051150C" w:rsidRDefault="00CB1AD2" w:rsidP="009173F4">
      <w:pPr>
        <w:tabs>
          <w:tab w:val="clear" w:pos="284"/>
        </w:tabs>
        <w:autoSpaceDE w:val="0"/>
        <w:autoSpaceDN w:val="0"/>
        <w:adjustRightInd w:val="0"/>
        <w:rPr>
          <w:noProof/>
          <w:szCs w:val="22"/>
          <w:u w:val="single"/>
          <w:lang w:val="sr-Latn-BA"/>
        </w:rPr>
      </w:pPr>
    </w:p>
    <w:p w14:paraId="7530E4A0" w14:textId="3652DA98" w:rsidR="00CB1AD2" w:rsidRPr="0051150C" w:rsidRDefault="00CB1AD2" w:rsidP="009173F4">
      <w:pPr>
        <w:tabs>
          <w:tab w:val="clear" w:pos="284"/>
        </w:tabs>
        <w:autoSpaceDE w:val="0"/>
        <w:autoSpaceDN w:val="0"/>
        <w:adjustRightInd w:val="0"/>
        <w:rPr>
          <w:noProof/>
          <w:szCs w:val="22"/>
          <w:u w:val="single"/>
          <w:lang w:val="sr-Latn-BA"/>
        </w:rPr>
      </w:pPr>
      <w:r w:rsidRPr="0051150C">
        <w:rPr>
          <w:noProof/>
          <w:szCs w:val="22"/>
          <w:u w:val="single"/>
          <w:lang w:val="sr-Latn-BA"/>
        </w:rPr>
        <w:t>Plodnost</w:t>
      </w:r>
    </w:p>
    <w:p w14:paraId="584B0D6A" w14:textId="44F186CB" w:rsidR="00CE09F3" w:rsidRPr="0051150C" w:rsidRDefault="00CB1AD2" w:rsidP="009173F4">
      <w:pPr>
        <w:tabs>
          <w:tab w:val="clear" w:pos="284"/>
        </w:tabs>
        <w:autoSpaceDE w:val="0"/>
        <w:autoSpaceDN w:val="0"/>
        <w:adjustRightInd w:val="0"/>
        <w:rPr>
          <w:noProof/>
          <w:szCs w:val="22"/>
          <w:lang w:val="sr-Latn-BA"/>
        </w:rPr>
      </w:pPr>
      <w:r w:rsidRPr="0051150C">
        <w:rPr>
          <w:noProof/>
          <w:szCs w:val="22"/>
          <w:lang w:val="sr-Latn-BA"/>
        </w:rPr>
        <w:t>Abirateron utiče na plodnost mužjaka i ženki pacova, ali su ovi efekti potpuno reverzibilni (</w:t>
      </w:r>
      <w:r w:rsidR="00F43B54" w:rsidRPr="00410EF6">
        <w:rPr>
          <w:noProof/>
          <w:szCs w:val="22"/>
          <w:lang w:val="sr-Latn-BA"/>
        </w:rPr>
        <w:t xml:space="preserve">vidjeti dio </w:t>
      </w:r>
      <w:r w:rsidRPr="00410EF6">
        <w:rPr>
          <w:noProof/>
          <w:szCs w:val="22"/>
          <w:lang w:val="sr-Latn-BA"/>
        </w:rPr>
        <w:t>5.3</w:t>
      </w:r>
      <w:r w:rsidRPr="0051150C">
        <w:rPr>
          <w:noProof/>
          <w:szCs w:val="22"/>
          <w:lang w:val="sr-Latn-BA"/>
        </w:rPr>
        <w:t>).</w:t>
      </w:r>
    </w:p>
    <w:p w14:paraId="225A4116" w14:textId="40D0485C" w:rsidR="00CB1AD2" w:rsidRPr="0051150C" w:rsidRDefault="00CB1AD2" w:rsidP="009173F4">
      <w:pPr>
        <w:rPr>
          <w:noProof/>
          <w:szCs w:val="22"/>
          <w:lang w:val="sr-Latn-BA"/>
        </w:rPr>
      </w:pPr>
    </w:p>
    <w:p w14:paraId="584B0D6B" w14:textId="73396041" w:rsidR="00CE09F3" w:rsidRPr="0051150C" w:rsidRDefault="00CE09F3" w:rsidP="009173F4">
      <w:pPr>
        <w:rPr>
          <w:b/>
          <w:bCs/>
          <w:noProof/>
          <w:spacing w:val="-8"/>
          <w:szCs w:val="22"/>
          <w:lang w:val="sr-Latn-BA"/>
        </w:rPr>
      </w:pPr>
      <w:r w:rsidRPr="0051150C">
        <w:rPr>
          <w:b/>
          <w:bCs/>
          <w:noProof/>
          <w:spacing w:val="-8"/>
          <w:szCs w:val="22"/>
          <w:lang w:val="sr-Latn-BA"/>
        </w:rPr>
        <w:t xml:space="preserve">4.7. Uticaj na sposobnost upravljanja vozilima i </w:t>
      </w:r>
      <w:r w:rsidR="00992DF7" w:rsidRPr="0051150C">
        <w:rPr>
          <w:b/>
          <w:bCs/>
          <w:noProof/>
          <w:spacing w:val="-8"/>
          <w:szCs w:val="22"/>
          <w:lang w:val="sr-Latn-BA"/>
        </w:rPr>
        <w:t>rukovanj</w:t>
      </w:r>
      <w:r w:rsidR="00992DF7">
        <w:rPr>
          <w:b/>
          <w:bCs/>
          <w:noProof/>
          <w:spacing w:val="-8"/>
          <w:szCs w:val="22"/>
          <w:lang w:val="sr-Latn-BA"/>
        </w:rPr>
        <w:t>e</w:t>
      </w:r>
      <w:r w:rsidR="00992DF7" w:rsidRPr="0051150C">
        <w:rPr>
          <w:b/>
          <w:bCs/>
          <w:noProof/>
          <w:spacing w:val="-8"/>
          <w:szCs w:val="22"/>
          <w:lang w:val="sr-Latn-BA"/>
        </w:rPr>
        <w:t xml:space="preserve"> </w:t>
      </w:r>
      <w:r w:rsidRPr="0051150C">
        <w:rPr>
          <w:b/>
          <w:bCs/>
          <w:noProof/>
          <w:spacing w:val="-8"/>
          <w:szCs w:val="22"/>
          <w:lang w:val="sr-Latn-BA"/>
        </w:rPr>
        <w:t>mašinama</w:t>
      </w:r>
    </w:p>
    <w:p w14:paraId="584B0D6C" w14:textId="77777777" w:rsidR="00CE09F3" w:rsidRPr="0051150C" w:rsidRDefault="00CE09F3" w:rsidP="009173F4">
      <w:pPr>
        <w:rPr>
          <w:noProof/>
          <w:szCs w:val="22"/>
          <w:lang w:val="sr-Latn-BA"/>
        </w:rPr>
      </w:pPr>
    </w:p>
    <w:p w14:paraId="584B0D6D" w14:textId="3B861EC5" w:rsidR="00CE09F3"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Lijek</w:t>
      </w:r>
      <w:r w:rsidR="00CB1AD2" w:rsidRPr="0051150C">
        <w:rPr>
          <w:noProof/>
          <w:szCs w:val="22"/>
          <w:lang w:val="sr-Latn-BA"/>
        </w:rPr>
        <w:t xml:space="preserve"> </w:t>
      </w:r>
      <w:r w:rsidR="00C315BF" w:rsidRPr="0051150C">
        <w:rPr>
          <w:noProof/>
          <w:szCs w:val="22"/>
          <w:lang w:val="sr-Latn-BA"/>
        </w:rPr>
        <w:t xml:space="preserve">Jonosol </w:t>
      </w:r>
      <w:r w:rsidR="00CB1AD2" w:rsidRPr="0051150C">
        <w:rPr>
          <w:noProof/>
          <w:szCs w:val="22"/>
          <w:lang w:val="sr-Latn-BA"/>
        </w:rPr>
        <w:t>nema ili ima zanemarljiv uticaj na sposobnost upravljanja vozilima i rukovanja mašinama.</w:t>
      </w:r>
    </w:p>
    <w:p w14:paraId="2E9A2A19" w14:textId="77777777" w:rsidR="00CB1AD2" w:rsidRPr="0051150C" w:rsidRDefault="00CB1AD2" w:rsidP="009173F4">
      <w:pPr>
        <w:rPr>
          <w:noProof/>
          <w:szCs w:val="22"/>
          <w:lang w:val="sr-Latn-BA"/>
        </w:rPr>
      </w:pPr>
    </w:p>
    <w:p w14:paraId="584B0D6E" w14:textId="77777777" w:rsidR="00CE09F3" w:rsidRPr="0051150C" w:rsidRDefault="00CE09F3" w:rsidP="009173F4">
      <w:pPr>
        <w:rPr>
          <w:b/>
          <w:bCs/>
          <w:noProof/>
          <w:szCs w:val="22"/>
          <w:lang w:val="sr-Latn-BA"/>
        </w:rPr>
      </w:pPr>
      <w:r w:rsidRPr="0051150C">
        <w:rPr>
          <w:b/>
          <w:bCs/>
          <w:noProof/>
          <w:szCs w:val="22"/>
          <w:lang w:val="sr-Latn-BA"/>
        </w:rPr>
        <w:lastRenderedPageBreak/>
        <w:t>4.8. Neželjena dejstva</w:t>
      </w:r>
    </w:p>
    <w:p w14:paraId="6A7B2660" w14:textId="77777777" w:rsidR="00CB1AD2" w:rsidRPr="0051150C" w:rsidRDefault="00CB1AD2" w:rsidP="009173F4">
      <w:pPr>
        <w:tabs>
          <w:tab w:val="clear" w:pos="284"/>
        </w:tabs>
        <w:autoSpaceDE w:val="0"/>
        <w:autoSpaceDN w:val="0"/>
        <w:adjustRightInd w:val="0"/>
        <w:jc w:val="left"/>
        <w:rPr>
          <w:noProof/>
          <w:szCs w:val="22"/>
          <w:lang w:val="sr-Latn-BA"/>
        </w:rPr>
      </w:pPr>
    </w:p>
    <w:p w14:paraId="7F173F76" w14:textId="617E5BA9" w:rsidR="00CB1AD2" w:rsidRPr="0051150C" w:rsidRDefault="00CB1AD2" w:rsidP="009173F4">
      <w:pPr>
        <w:tabs>
          <w:tab w:val="clear" w:pos="284"/>
        </w:tabs>
        <w:autoSpaceDE w:val="0"/>
        <w:autoSpaceDN w:val="0"/>
        <w:adjustRightInd w:val="0"/>
        <w:rPr>
          <w:noProof/>
          <w:szCs w:val="22"/>
          <w:u w:val="single"/>
          <w:lang w:val="sr-Latn-BA"/>
        </w:rPr>
      </w:pPr>
      <w:r w:rsidRPr="0051150C">
        <w:rPr>
          <w:noProof/>
          <w:szCs w:val="22"/>
          <w:u w:val="single"/>
          <w:lang w:val="sr-Latn-BA"/>
        </w:rPr>
        <w:t>Sažetak bezb</w:t>
      </w:r>
      <w:r w:rsidR="003D7942" w:rsidRPr="0051150C">
        <w:rPr>
          <w:noProof/>
          <w:szCs w:val="22"/>
          <w:u w:val="single"/>
          <w:lang w:val="sr-Latn-BA"/>
        </w:rPr>
        <w:t>j</w:t>
      </w:r>
      <w:r w:rsidRPr="0051150C">
        <w:rPr>
          <w:noProof/>
          <w:szCs w:val="22"/>
          <w:u w:val="single"/>
          <w:lang w:val="sr-Latn-BA"/>
        </w:rPr>
        <w:t>ednosnog profila</w:t>
      </w:r>
    </w:p>
    <w:p w14:paraId="584B0D6F" w14:textId="7B2E883C" w:rsidR="00CE09F3" w:rsidRPr="0051150C" w:rsidRDefault="00CB1AD2" w:rsidP="009173F4">
      <w:pPr>
        <w:tabs>
          <w:tab w:val="clear" w:pos="284"/>
        </w:tabs>
        <w:autoSpaceDE w:val="0"/>
        <w:autoSpaceDN w:val="0"/>
        <w:adjustRightInd w:val="0"/>
        <w:rPr>
          <w:noProof/>
          <w:szCs w:val="22"/>
          <w:lang w:val="sr-Latn-BA"/>
        </w:rPr>
      </w:pPr>
      <w:r w:rsidRPr="0051150C">
        <w:rPr>
          <w:noProof/>
          <w:szCs w:val="22"/>
          <w:lang w:val="sr-Latn-BA"/>
        </w:rPr>
        <w:t xml:space="preserve">U analizi neželjenih reakcija </w:t>
      </w:r>
      <w:r w:rsidR="009173F4" w:rsidRPr="00B8783A">
        <w:rPr>
          <w:noProof/>
          <w:szCs w:val="22"/>
          <w:lang w:val="sr-Latn-BA"/>
        </w:rPr>
        <w:t>kombinovanih</w:t>
      </w:r>
      <w:r w:rsidRPr="00410EF6">
        <w:rPr>
          <w:noProof/>
          <w:color w:val="FF0000"/>
          <w:szCs w:val="22"/>
          <w:lang w:val="sr-Latn-BA"/>
        </w:rPr>
        <w:t xml:space="preserve"> </w:t>
      </w:r>
      <w:r w:rsidRPr="0051150C">
        <w:rPr>
          <w:noProof/>
          <w:szCs w:val="22"/>
          <w:lang w:val="sr-Latn-BA"/>
        </w:rPr>
        <w:t>kliničkih studija</w:t>
      </w:r>
      <w:r w:rsidR="009173F4" w:rsidRPr="0051150C">
        <w:rPr>
          <w:noProof/>
          <w:szCs w:val="22"/>
          <w:lang w:val="sr-Latn-BA"/>
        </w:rPr>
        <w:t xml:space="preserve"> faze </w:t>
      </w:r>
      <w:r w:rsidR="00736DF5">
        <w:rPr>
          <w:noProof/>
          <w:szCs w:val="22"/>
          <w:lang w:val="sr-Latn-BA"/>
        </w:rPr>
        <w:t>III</w:t>
      </w:r>
      <w:r w:rsidR="00736DF5" w:rsidRPr="0051150C">
        <w:rPr>
          <w:noProof/>
          <w:szCs w:val="22"/>
          <w:lang w:val="sr-Latn-BA"/>
        </w:rPr>
        <w:t xml:space="preserve"> </w:t>
      </w:r>
      <w:r w:rsidR="009173F4" w:rsidRPr="0051150C">
        <w:rPr>
          <w:noProof/>
          <w:szCs w:val="22"/>
          <w:lang w:val="sr-Latn-BA"/>
        </w:rPr>
        <w:t>sa abirateron</w:t>
      </w:r>
      <w:r w:rsidR="00402825" w:rsidRPr="0051150C">
        <w:rPr>
          <w:noProof/>
          <w:szCs w:val="22"/>
          <w:lang w:val="sr-Latn-BA"/>
        </w:rPr>
        <w:t xml:space="preserve"> acetatom</w:t>
      </w:r>
      <w:r w:rsidRPr="0051150C">
        <w:rPr>
          <w:noProof/>
          <w:szCs w:val="22"/>
          <w:lang w:val="sr-Latn-BA"/>
        </w:rPr>
        <w:t>, neželjene reakcije koje su zab</w:t>
      </w:r>
      <w:r w:rsidR="00A41BA4" w:rsidRPr="0051150C">
        <w:rPr>
          <w:noProof/>
          <w:szCs w:val="22"/>
          <w:lang w:val="sr-Latn-BA"/>
        </w:rPr>
        <w:t>i</w:t>
      </w:r>
      <w:r w:rsidR="00A435C9" w:rsidRPr="0051150C">
        <w:rPr>
          <w:noProof/>
          <w:szCs w:val="22"/>
          <w:lang w:val="sr-Latn-BA"/>
        </w:rPr>
        <w:t>l</w:t>
      </w:r>
      <w:r w:rsidR="00A41BA4" w:rsidRPr="0051150C">
        <w:rPr>
          <w:noProof/>
          <w:szCs w:val="22"/>
          <w:lang w:val="sr-Latn-BA"/>
        </w:rPr>
        <w:t>j</w:t>
      </w:r>
      <w:r w:rsidR="00A435C9" w:rsidRPr="0051150C">
        <w:rPr>
          <w:noProof/>
          <w:szCs w:val="22"/>
          <w:lang w:val="sr-Latn-BA"/>
        </w:rPr>
        <w:t>ežene kod ≥10% pacijenata</w:t>
      </w:r>
      <w:r w:rsidRPr="0051150C">
        <w:rPr>
          <w:noProof/>
          <w:szCs w:val="22"/>
          <w:lang w:val="sr-Latn-BA"/>
        </w:rPr>
        <w:t xml:space="preserve"> su</w:t>
      </w:r>
      <w:r w:rsidR="00A435C9" w:rsidRPr="0051150C">
        <w:rPr>
          <w:noProof/>
          <w:szCs w:val="22"/>
          <w:lang w:val="sr-Latn-BA"/>
        </w:rPr>
        <w:t xml:space="preserve"> bile</w:t>
      </w:r>
      <w:r w:rsidRPr="0051150C">
        <w:rPr>
          <w:noProof/>
          <w:szCs w:val="22"/>
          <w:lang w:val="sr-Latn-BA"/>
        </w:rPr>
        <w:t xml:space="preserve"> periferni edemi, hipokal</w:t>
      </w:r>
      <w:r w:rsidR="00736DF5">
        <w:rPr>
          <w:noProof/>
          <w:szCs w:val="22"/>
          <w:lang w:val="sr-Latn-BA"/>
        </w:rPr>
        <w:t>ij</w:t>
      </w:r>
      <w:r w:rsidRPr="0051150C">
        <w:rPr>
          <w:noProof/>
          <w:szCs w:val="22"/>
          <w:lang w:val="sr-Latn-BA"/>
        </w:rPr>
        <w:t xml:space="preserve">emija, hipertenzija, infekcija urinarnog trakta i povećanje </w:t>
      </w:r>
      <w:r w:rsidR="00096FAA" w:rsidRPr="0051150C">
        <w:rPr>
          <w:noProof/>
          <w:szCs w:val="22"/>
          <w:lang w:val="sr-Latn-BA"/>
        </w:rPr>
        <w:t>vrijednost</w:t>
      </w:r>
      <w:r w:rsidRPr="0051150C">
        <w:rPr>
          <w:noProof/>
          <w:szCs w:val="22"/>
          <w:lang w:val="sr-Latn-BA"/>
        </w:rPr>
        <w:t>i alanin aminotransferaze i/ili aspartat aminotransferaze.</w:t>
      </w:r>
      <w:r w:rsidR="00402825" w:rsidRPr="0051150C">
        <w:rPr>
          <w:noProof/>
          <w:szCs w:val="22"/>
          <w:lang w:val="sr-Latn-BA"/>
        </w:rPr>
        <w:t xml:space="preserve"> </w:t>
      </w:r>
      <w:r w:rsidRPr="0051150C">
        <w:rPr>
          <w:noProof/>
          <w:szCs w:val="22"/>
          <w:lang w:val="sr-Latn-BA"/>
        </w:rPr>
        <w:t>Druge važne neželjene reakcije uključuju srčane poremećaje, hepatotoksičnost, frakture i alergijski alveolitis.</w:t>
      </w:r>
    </w:p>
    <w:p w14:paraId="6D37B096" w14:textId="0B5207D3" w:rsidR="00CB1AD2" w:rsidRPr="0051150C" w:rsidRDefault="00CB1AD2" w:rsidP="009173F4">
      <w:pPr>
        <w:tabs>
          <w:tab w:val="clear" w:pos="284"/>
        </w:tabs>
        <w:autoSpaceDE w:val="0"/>
        <w:autoSpaceDN w:val="0"/>
        <w:adjustRightInd w:val="0"/>
        <w:rPr>
          <w:noProof/>
          <w:szCs w:val="22"/>
          <w:lang w:val="sr-Latn-BA"/>
        </w:rPr>
      </w:pPr>
    </w:p>
    <w:p w14:paraId="0ACE2D44" w14:textId="432D51EB" w:rsidR="00CB1AD2" w:rsidRPr="0051150C" w:rsidRDefault="00096FAA" w:rsidP="009173F4">
      <w:pPr>
        <w:tabs>
          <w:tab w:val="clear" w:pos="284"/>
        </w:tabs>
        <w:autoSpaceDE w:val="0"/>
        <w:autoSpaceDN w:val="0"/>
        <w:adjustRightInd w:val="0"/>
        <w:rPr>
          <w:noProof/>
          <w:szCs w:val="22"/>
          <w:lang w:val="sr-Latn-BA"/>
        </w:rPr>
      </w:pPr>
      <w:r w:rsidRPr="0051150C">
        <w:rPr>
          <w:noProof/>
          <w:szCs w:val="22"/>
          <w:lang w:val="sr-Latn-BA"/>
        </w:rPr>
        <w:t>Lijek</w:t>
      </w:r>
      <w:r w:rsidR="00CB1AD2" w:rsidRPr="0051150C">
        <w:rPr>
          <w:noProof/>
          <w:szCs w:val="22"/>
          <w:lang w:val="sr-Latn-BA"/>
        </w:rPr>
        <w:t xml:space="preserve"> </w:t>
      </w:r>
      <w:r w:rsidR="00C315BF" w:rsidRPr="0051150C">
        <w:rPr>
          <w:noProof/>
          <w:szCs w:val="22"/>
          <w:lang w:val="sr-Latn-BA"/>
        </w:rPr>
        <w:t xml:space="preserve">Jonosol </w:t>
      </w:r>
      <w:r w:rsidR="00CB1AD2" w:rsidRPr="0051150C">
        <w:rPr>
          <w:noProof/>
          <w:szCs w:val="22"/>
          <w:lang w:val="sr-Latn-BA"/>
        </w:rPr>
        <w:t>može da izazove hipertenziju, hipokal</w:t>
      </w:r>
      <w:r w:rsidR="00736DF5">
        <w:rPr>
          <w:noProof/>
          <w:szCs w:val="22"/>
          <w:lang w:val="sr-Latn-BA"/>
        </w:rPr>
        <w:t>ij</w:t>
      </w:r>
      <w:r w:rsidR="00CB1AD2" w:rsidRPr="0051150C">
        <w:rPr>
          <w:noProof/>
          <w:szCs w:val="22"/>
          <w:lang w:val="sr-Latn-BA"/>
        </w:rPr>
        <w:t>emiju i retenciju tečnosti, kao farmakodinamske posl</w:t>
      </w:r>
      <w:r w:rsidR="00006C32" w:rsidRPr="0051150C">
        <w:rPr>
          <w:noProof/>
          <w:szCs w:val="22"/>
          <w:lang w:val="sr-Latn-BA"/>
        </w:rPr>
        <w:t>j</w:t>
      </w:r>
      <w:r w:rsidR="00CB1AD2" w:rsidRPr="0051150C">
        <w:rPr>
          <w:noProof/>
          <w:szCs w:val="22"/>
          <w:lang w:val="sr-Latn-BA"/>
        </w:rPr>
        <w:t>edice mehanizma dejstva. U studija</w:t>
      </w:r>
      <w:r w:rsidR="00736DF5">
        <w:rPr>
          <w:noProof/>
          <w:szCs w:val="22"/>
          <w:lang w:val="sr-Latn-BA"/>
        </w:rPr>
        <w:t xml:space="preserve">ma </w:t>
      </w:r>
      <w:r w:rsidR="00736DF5" w:rsidRPr="0051150C">
        <w:rPr>
          <w:noProof/>
          <w:szCs w:val="22"/>
          <w:lang w:val="sr-Latn-BA"/>
        </w:rPr>
        <w:t>faz</w:t>
      </w:r>
      <w:r w:rsidR="00736DF5">
        <w:rPr>
          <w:noProof/>
          <w:szCs w:val="22"/>
          <w:lang w:val="sr-Latn-BA"/>
        </w:rPr>
        <w:t>e</w:t>
      </w:r>
      <w:r w:rsidR="00736DF5" w:rsidRPr="0051150C">
        <w:rPr>
          <w:noProof/>
          <w:szCs w:val="22"/>
          <w:lang w:val="sr-Latn-BA"/>
        </w:rPr>
        <w:t xml:space="preserve"> </w:t>
      </w:r>
      <w:r w:rsidR="00736DF5">
        <w:rPr>
          <w:noProof/>
          <w:szCs w:val="22"/>
          <w:lang w:val="sr-Latn-BA"/>
        </w:rPr>
        <w:t>III</w:t>
      </w:r>
      <w:r w:rsidR="00CB1AD2" w:rsidRPr="0051150C">
        <w:rPr>
          <w:noProof/>
          <w:szCs w:val="22"/>
          <w:lang w:val="sr-Latn-BA"/>
        </w:rPr>
        <w:t>, očekivane mineralokortikoidne neželjene reakcije bile su češće zab</w:t>
      </w:r>
      <w:r w:rsidR="00006C32" w:rsidRPr="0051150C">
        <w:rPr>
          <w:noProof/>
          <w:szCs w:val="22"/>
          <w:lang w:val="sr-Latn-BA"/>
        </w:rPr>
        <w:t>i</w:t>
      </w:r>
      <w:r w:rsidR="00CB1AD2" w:rsidRPr="0051150C">
        <w:rPr>
          <w:noProof/>
          <w:szCs w:val="22"/>
          <w:lang w:val="sr-Latn-BA"/>
        </w:rPr>
        <w:t>l</w:t>
      </w:r>
      <w:r w:rsidR="00006C32" w:rsidRPr="0051150C">
        <w:rPr>
          <w:noProof/>
          <w:szCs w:val="22"/>
          <w:lang w:val="sr-Latn-BA"/>
        </w:rPr>
        <w:t>j</w:t>
      </w:r>
      <w:r w:rsidR="00CB1AD2" w:rsidRPr="0051150C">
        <w:rPr>
          <w:noProof/>
          <w:szCs w:val="22"/>
          <w:lang w:val="sr-Latn-BA"/>
        </w:rPr>
        <w:t>ežene kod pacije</w:t>
      </w:r>
      <w:r w:rsidR="00402825" w:rsidRPr="0051150C">
        <w:rPr>
          <w:noProof/>
          <w:szCs w:val="22"/>
          <w:lang w:val="sr-Latn-BA"/>
        </w:rPr>
        <w:t xml:space="preserve">nata koji su uzimali abirateron </w:t>
      </w:r>
      <w:r w:rsidR="00CB1AD2" w:rsidRPr="0051150C">
        <w:rPr>
          <w:noProof/>
          <w:szCs w:val="22"/>
          <w:lang w:val="sr-Latn-BA"/>
        </w:rPr>
        <w:t>acetat nego kod onih koji su dobijali placebo: hipokal</w:t>
      </w:r>
      <w:r w:rsidR="001C5676">
        <w:rPr>
          <w:noProof/>
          <w:szCs w:val="22"/>
          <w:lang w:val="sr-Latn-BA"/>
        </w:rPr>
        <w:t>ij</w:t>
      </w:r>
      <w:r w:rsidR="00CB1AD2" w:rsidRPr="0051150C">
        <w:rPr>
          <w:noProof/>
          <w:szCs w:val="22"/>
          <w:lang w:val="sr-Latn-BA"/>
        </w:rPr>
        <w:t>emija 18% prema 8%, hipertenzija 22% prema 16% i retencija tečnosti (periferni edemi) 23% prema 17%. Kod pacije</w:t>
      </w:r>
      <w:r w:rsidR="00402825" w:rsidRPr="0051150C">
        <w:rPr>
          <w:noProof/>
          <w:szCs w:val="22"/>
          <w:lang w:val="sr-Latn-BA"/>
        </w:rPr>
        <w:t xml:space="preserve">nata koji su uzimali abirateron </w:t>
      </w:r>
      <w:r w:rsidR="00CB1AD2" w:rsidRPr="0051150C">
        <w:rPr>
          <w:noProof/>
          <w:szCs w:val="22"/>
          <w:lang w:val="sr-Latn-BA"/>
        </w:rPr>
        <w:t>acetat, hipokal</w:t>
      </w:r>
      <w:r w:rsidR="001C5676">
        <w:rPr>
          <w:noProof/>
          <w:szCs w:val="22"/>
          <w:lang w:val="sr-Latn-BA"/>
        </w:rPr>
        <w:t>ij</w:t>
      </w:r>
      <w:r w:rsidR="00CB1AD2" w:rsidRPr="0051150C">
        <w:rPr>
          <w:noProof/>
          <w:szCs w:val="22"/>
          <w:lang w:val="sr-Latn-BA"/>
        </w:rPr>
        <w:t xml:space="preserve">emija stepena 3 i 4, prema Zajedničkim kriterijumima terminologije za neželjene događaje (engl. </w:t>
      </w:r>
      <w:r w:rsidR="00CB1AD2" w:rsidRPr="00410EF6">
        <w:rPr>
          <w:i/>
          <w:noProof/>
          <w:szCs w:val="22"/>
          <w:lang w:val="sr-Latn-BA"/>
        </w:rPr>
        <w:t>Common Terminology Criteria for Adverse Events</w:t>
      </w:r>
      <w:r w:rsidR="00CB1AD2" w:rsidRPr="0051150C">
        <w:rPr>
          <w:noProof/>
          <w:szCs w:val="22"/>
          <w:lang w:val="sr-Latn-BA"/>
        </w:rPr>
        <w:t>, CTCAE (verzija 4.0)) je zab</w:t>
      </w:r>
      <w:r w:rsidR="00006C32" w:rsidRPr="0051150C">
        <w:rPr>
          <w:noProof/>
          <w:szCs w:val="22"/>
          <w:lang w:val="sr-Latn-BA"/>
        </w:rPr>
        <w:t>i</w:t>
      </w:r>
      <w:r w:rsidR="00CB1AD2" w:rsidRPr="0051150C">
        <w:rPr>
          <w:noProof/>
          <w:szCs w:val="22"/>
          <w:lang w:val="sr-Latn-BA"/>
        </w:rPr>
        <w:t>l</w:t>
      </w:r>
      <w:r w:rsidR="00006C32" w:rsidRPr="0051150C">
        <w:rPr>
          <w:noProof/>
          <w:szCs w:val="22"/>
          <w:lang w:val="sr-Latn-BA"/>
        </w:rPr>
        <w:t>j</w:t>
      </w:r>
      <w:r w:rsidR="00CB1AD2" w:rsidRPr="0051150C">
        <w:rPr>
          <w:noProof/>
          <w:szCs w:val="22"/>
          <w:lang w:val="sr-Latn-BA"/>
        </w:rPr>
        <w:t>e</w:t>
      </w:r>
      <w:r w:rsidR="00A435C9" w:rsidRPr="0051150C">
        <w:rPr>
          <w:noProof/>
          <w:szCs w:val="22"/>
          <w:lang w:val="sr-Latn-BA"/>
        </w:rPr>
        <w:t>žena kod 6% odnosno 1</w:t>
      </w:r>
      <w:r w:rsidR="00CB1AD2" w:rsidRPr="0051150C">
        <w:rPr>
          <w:noProof/>
          <w:szCs w:val="22"/>
          <w:lang w:val="sr-Latn-BA"/>
        </w:rPr>
        <w:t>% pacijenata, hipertenzija stepena 3 i 4 prema CTCAE (ver</w:t>
      </w:r>
      <w:r w:rsidR="00A435C9" w:rsidRPr="0051150C">
        <w:rPr>
          <w:noProof/>
          <w:szCs w:val="22"/>
          <w:lang w:val="sr-Latn-BA"/>
        </w:rPr>
        <w:t>zija 4.0) je zab</w:t>
      </w:r>
      <w:r w:rsidR="00006C32" w:rsidRPr="0051150C">
        <w:rPr>
          <w:noProof/>
          <w:szCs w:val="22"/>
          <w:lang w:val="sr-Latn-BA"/>
        </w:rPr>
        <w:t>i</w:t>
      </w:r>
      <w:r w:rsidR="00A435C9" w:rsidRPr="0051150C">
        <w:rPr>
          <w:noProof/>
          <w:szCs w:val="22"/>
          <w:lang w:val="sr-Latn-BA"/>
        </w:rPr>
        <w:t>l</w:t>
      </w:r>
      <w:r w:rsidR="00006C32" w:rsidRPr="0051150C">
        <w:rPr>
          <w:noProof/>
          <w:szCs w:val="22"/>
          <w:lang w:val="sr-Latn-BA"/>
        </w:rPr>
        <w:t>j</w:t>
      </w:r>
      <w:r w:rsidR="00A435C9" w:rsidRPr="0051150C">
        <w:rPr>
          <w:noProof/>
          <w:szCs w:val="22"/>
          <w:lang w:val="sr-Latn-BA"/>
        </w:rPr>
        <w:t>ežena su kod 7</w:t>
      </w:r>
      <w:r w:rsidR="00CB1AD2" w:rsidRPr="0051150C">
        <w:rPr>
          <w:noProof/>
          <w:szCs w:val="22"/>
          <w:lang w:val="sr-Latn-BA"/>
        </w:rPr>
        <w:t>%, odnosno 5% pacijenata</w:t>
      </w:r>
      <w:r w:rsidR="00006C32" w:rsidRPr="0051150C">
        <w:rPr>
          <w:noProof/>
          <w:szCs w:val="22"/>
          <w:lang w:val="sr-Latn-BA"/>
        </w:rPr>
        <w:t>,</w:t>
      </w:r>
      <w:r w:rsidR="00CB1AD2" w:rsidRPr="0051150C">
        <w:rPr>
          <w:noProof/>
          <w:szCs w:val="22"/>
          <w:lang w:val="sr-Latn-BA"/>
        </w:rPr>
        <w:t xml:space="preserve"> a retencija tečnosti (periferni edemi) stepena 3 i 4 su zab</w:t>
      </w:r>
      <w:r w:rsidR="00006C32" w:rsidRPr="0051150C">
        <w:rPr>
          <w:noProof/>
          <w:szCs w:val="22"/>
          <w:lang w:val="sr-Latn-BA"/>
        </w:rPr>
        <w:t>i</w:t>
      </w:r>
      <w:r w:rsidR="00CB1AD2" w:rsidRPr="0051150C">
        <w:rPr>
          <w:noProof/>
          <w:szCs w:val="22"/>
          <w:lang w:val="sr-Latn-BA"/>
        </w:rPr>
        <w:t>l</w:t>
      </w:r>
      <w:r w:rsidR="00006C32" w:rsidRPr="0051150C">
        <w:rPr>
          <w:noProof/>
          <w:szCs w:val="22"/>
          <w:lang w:val="sr-Latn-BA"/>
        </w:rPr>
        <w:t>j</w:t>
      </w:r>
      <w:r w:rsidR="00CB1AD2" w:rsidRPr="0051150C">
        <w:rPr>
          <w:noProof/>
          <w:szCs w:val="22"/>
          <w:lang w:val="sr-Latn-BA"/>
        </w:rPr>
        <w:t>eženi kod 1%</w:t>
      </w:r>
      <w:r w:rsidR="00006C32" w:rsidRPr="0051150C">
        <w:rPr>
          <w:noProof/>
          <w:szCs w:val="22"/>
          <w:lang w:val="sr-Latn-BA"/>
        </w:rPr>
        <w:t>,</w:t>
      </w:r>
      <w:r w:rsidR="00CB1AD2" w:rsidRPr="0051150C">
        <w:rPr>
          <w:noProof/>
          <w:szCs w:val="22"/>
          <w:lang w:val="sr-Latn-BA"/>
        </w:rPr>
        <w:t xml:space="preserve"> odnosno 1% pacijenata.</w:t>
      </w:r>
      <w:r w:rsidR="00A435C9" w:rsidRPr="0051150C">
        <w:rPr>
          <w:noProof/>
          <w:szCs w:val="22"/>
          <w:lang w:val="sr-Latn-BA"/>
        </w:rPr>
        <w:t xml:space="preserve"> M</w:t>
      </w:r>
      <w:r w:rsidR="00CB1AD2" w:rsidRPr="0051150C">
        <w:rPr>
          <w:noProof/>
          <w:szCs w:val="22"/>
          <w:lang w:val="sr-Latn-BA"/>
        </w:rPr>
        <w:t xml:space="preserve">ineralokortikoidne reakcije su </w:t>
      </w:r>
      <w:r w:rsidR="00A435C9" w:rsidRPr="0051150C">
        <w:rPr>
          <w:noProof/>
          <w:szCs w:val="22"/>
          <w:lang w:val="sr-Latn-BA"/>
        </w:rPr>
        <w:t xml:space="preserve">generalno </w:t>
      </w:r>
      <w:r w:rsidR="00CB1AD2" w:rsidRPr="0051150C">
        <w:rPr>
          <w:noProof/>
          <w:szCs w:val="22"/>
          <w:lang w:val="sr-Latn-BA"/>
        </w:rPr>
        <w:t>usp</w:t>
      </w:r>
      <w:r w:rsidR="00006C32" w:rsidRPr="0051150C">
        <w:rPr>
          <w:noProof/>
          <w:szCs w:val="22"/>
          <w:lang w:val="sr-Latn-BA"/>
        </w:rPr>
        <w:t>j</w:t>
      </w:r>
      <w:r w:rsidR="00CB1AD2" w:rsidRPr="0051150C">
        <w:rPr>
          <w:noProof/>
          <w:szCs w:val="22"/>
          <w:lang w:val="sr-Latn-BA"/>
        </w:rPr>
        <w:t xml:space="preserve">ešno medicinski kontrolisane. Istovremena </w:t>
      </w:r>
      <w:r w:rsidRPr="0051150C">
        <w:rPr>
          <w:noProof/>
          <w:szCs w:val="22"/>
          <w:lang w:val="sr-Latn-BA"/>
        </w:rPr>
        <w:t>primjen</w:t>
      </w:r>
      <w:r w:rsidR="00CB1AD2" w:rsidRPr="0051150C">
        <w:rPr>
          <w:noProof/>
          <w:szCs w:val="22"/>
          <w:lang w:val="sr-Latn-BA"/>
        </w:rPr>
        <w:t>a kortikosteroida smanjuje incidencu i težinu ovih neželjenih reakcija (</w:t>
      </w:r>
      <w:r w:rsidR="00F43B54" w:rsidRPr="00410EF6">
        <w:rPr>
          <w:noProof/>
          <w:szCs w:val="22"/>
          <w:lang w:val="sr-Latn-BA"/>
        </w:rPr>
        <w:t xml:space="preserve">vidjeti dio </w:t>
      </w:r>
      <w:r w:rsidR="00CB1AD2" w:rsidRPr="00410EF6">
        <w:rPr>
          <w:noProof/>
          <w:szCs w:val="22"/>
          <w:lang w:val="sr-Latn-BA"/>
        </w:rPr>
        <w:t>4.4</w:t>
      </w:r>
      <w:r w:rsidR="00CB1AD2" w:rsidRPr="0051150C">
        <w:rPr>
          <w:noProof/>
          <w:szCs w:val="22"/>
          <w:lang w:val="sr-Latn-BA"/>
        </w:rPr>
        <w:t xml:space="preserve">). </w:t>
      </w:r>
    </w:p>
    <w:p w14:paraId="40AD2154" w14:textId="77777777" w:rsidR="00CB1AD2" w:rsidRPr="0051150C" w:rsidRDefault="00CB1AD2" w:rsidP="009173F4">
      <w:pPr>
        <w:tabs>
          <w:tab w:val="clear" w:pos="284"/>
        </w:tabs>
        <w:autoSpaceDE w:val="0"/>
        <w:autoSpaceDN w:val="0"/>
        <w:adjustRightInd w:val="0"/>
        <w:rPr>
          <w:noProof/>
          <w:szCs w:val="22"/>
          <w:lang w:val="sr-Latn-BA"/>
        </w:rPr>
      </w:pPr>
    </w:p>
    <w:p w14:paraId="0047F50C" w14:textId="7F963646" w:rsidR="00CB1AD2" w:rsidRPr="0051150C" w:rsidRDefault="00CB1AD2" w:rsidP="009173F4">
      <w:pPr>
        <w:tabs>
          <w:tab w:val="clear" w:pos="284"/>
        </w:tabs>
        <w:autoSpaceDE w:val="0"/>
        <w:autoSpaceDN w:val="0"/>
        <w:adjustRightInd w:val="0"/>
        <w:rPr>
          <w:noProof/>
          <w:szCs w:val="22"/>
          <w:u w:val="single"/>
          <w:lang w:val="sr-Latn-BA"/>
        </w:rPr>
      </w:pPr>
      <w:r w:rsidRPr="0051150C">
        <w:rPr>
          <w:noProof/>
          <w:szCs w:val="22"/>
          <w:u w:val="single"/>
          <w:lang w:val="sr-Latn-BA"/>
        </w:rPr>
        <w:t>Tabelarni prikaz neželjenih reakcija</w:t>
      </w:r>
    </w:p>
    <w:p w14:paraId="47F9405D" w14:textId="77777777" w:rsidR="004E3BC2" w:rsidRDefault="004E3BC2" w:rsidP="009173F4">
      <w:pPr>
        <w:tabs>
          <w:tab w:val="clear" w:pos="284"/>
        </w:tabs>
        <w:autoSpaceDE w:val="0"/>
        <w:autoSpaceDN w:val="0"/>
        <w:adjustRightInd w:val="0"/>
        <w:rPr>
          <w:noProof/>
          <w:szCs w:val="22"/>
          <w:lang w:val="sr-Latn-BA"/>
        </w:rPr>
      </w:pPr>
    </w:p>
    <w:p w14:paraId="28DAF04A" w14:textId="2A317F9C" w:rsidR="00CB1AD2" w:rsidRPr="0051150C" w:rsidRDefault="00CB1AD2" w:rsidP="009173F4">
      <w:pPr>
        <w:tabs>
          <w:tab w:val="clear" w:pos="284"/>
        </w:tabs>
        <w:autoSpaceDE w:val="0"/>
        <w:autoSpaceDN w:val="0"/>
        <w:adjustRightInd w:val="0"/>
        <w:rPr>
          <w:noProof/>
          <w:szCs w:val="22"/>
          <w:lang w:val="sr-Latn-BA"/>
        </w:rPr>
      </w:pPr>
      <w:r w:rsidRPr="0051150C">
        <w:rPr>
          <w:noProof/>
          <w:szCs w:val="22"/>
          <w:lang w:val="sr-Latn-BA"/>
        </w:rPr>
        <w:t>U studijama sa pacijentima koji imaju metastatski uznapredovali karcinom prostate koji su primali LHRH analog, ili su prethod</w:t>
      </w:r>
      <w:r w:rsidR="00A435C9" w:rsidRPr="0051150C">
        <w:rPr>
          <w:noProof/>
          <w:szCs w:val="22"/>
          <w:lang w:val="sr-Latn-BA"/>
        </w:rPr>
        <w:t xml:space="preserve">no </w:t>
      </w:r>
      <w:r w:rsidR="001C5676">
        <w:rPr>
          <w:noProof/>
          <w:szCs w:val="22"/>
          <w:lang w:val="sr-Latn-BA"/>
        </w:rPr>
        <w:t xml:space="preserve">bili </w:t>
      </w:r>
      <w:r w:rsidR="00A435C9" w:rsidRPr="0051150C">
        <w:rPr>
          <w:noProof/>
          <w:szCs w:val="22"/>
          <w:lang w:val="sr-Latn-BA"/>
        </w:rPr>
        <w:t>podv</w:t>
      </w:r>
      <w:r w:rsidR="00402825" w:rsidRPr="0051150C">
        <w:rPr>
          <w:noProof/>
          <w:szCs w:val="22"/>
          <w:lang w:val="sr-Latn-BA"/>
        </w:rPr>
        <w:t xml:space="preserve">rgnuti orhiektomiji, abirateron </w:t>
      </w:r>
      <w:r w:rsidR="00A435C9" w:rsidRPr="0051150C">
        <w:rPr>
          <w:noProof/>
          <w:szCs w:val="22"/>
          <w:lang w:val="sr-Latn-BA"/>
        </w:rPr>
        <w:t>acetat</w:t>
      </w:r>
      <w:r w:rsidRPr="0051150C">
        <w:rPr>
          <w:noProof/>
          <w:szCs w:val="22"/>
          <w:lang w:val="sr-Latn-BA"/>
        </w:rPr>
        <w:t xml:space="preserve"> je </w:t>
      </w:r>
      <w:r w:rsidR="00096FAA" w:rsidRPr="0051150C">
        <w:rPr>
          <w:noProof/>
          <w:szCs w:val="22"/>
          <w:lang w:val="sr-Latn-BA"/>
        </w:rPr>
        <w:t>primjen</w:t>
      </w:r>
      <w:r w:rsidRPr="0051150C">
        <w:rPr>
          <w:noProof/>
          <w:szCs w:val="22"/>
          <w:lang w:val="sr-Latn-BA"/>
        </w:rPr>
        <w:t xml:space="preserve">jivan u dozi od 1000 mg na dan u kombinaciji sa </w:t>
      </w:r>
      <w:r w:rsidR="00555B43" w:rsidRPr="0051150C">
        <w:rPr>
          <w:noProof/>
          <w:szCs w:val="22"/>
          <w:lang w:val="sr-Latn-BA"/>
        </w:rPr>
        <w:t>niskim</w:t>
      </w:r>
      <w:r w:rsidRPr="0051150C">
        <w:rPr>
          <w:noProof/>
          <w:szCs w:val="22"/>
          <w:lang w:val="sr-Latn-BA"/>
        </w:rPr>
        <w:t xml:space="preserve"> dozama prednizona ili prednizolona (bilo 5 mg ili 10 mg na dan zavisno od indikacije). </w:t>
      </w:r>
    </w:p>
    <w:p w14:paraId="3E169249" w14:textId="77777777" w:rsidR="00CB1AD2" w:rsidRPr="0051150C" w:rsidRDefault="00CB1AD2" w:rsidP="009173F4">
      <w:pPr>
        <w:tabs>
          <w:tab w:val="clear" w:pos="284"/>
        </w:tabs>
        <w:autoSpaceDE w:val="0"/>
        <w:autoSpaceDN w:val="0"/>
        <w:adjustRightInd w:val="0"/>
        <w:rPr>
          <w:noProof/>
          <w:szCs w:val="22"/>
          <w:lang w:val="sr-Latn-BA"/>
        </w:rPr>
      </w:pPr>
    </w:p>
    <w:p w14:paraId="72FC9D72" w14:textId="182D0E6C" w:rsidR="00CB1AD2" w:rsidRPr="0051150C" w:rsidRDefault="00CB1AD2" w:rsidP="009173F4">
      <w:pPr>
        <w:tabs>
          <w:tab w:val="clear" w:pos="284"/>
        </w:tabs>
        <w:autoSpaceDE w:val="0"/>
        <w:autoSpaceDN w:val="0"/>
        <w:adjustRightInd w:val="0"/>
        <w:rPr>
          <w:noProof/>
          <w:szCs w:val="22"/>
          <w:lang w:val="sr-Latn-BA"/>
        </w:rPr>
      </w:pPr>
      <w:r w:rsidRPr="0051150C">
        <w:rPr>
          <w:noProof/>
          <w:szCs w:val="22"/>
          <w:lang w:val="sr-Latn-BA"/>
        </w:rPr>
        <w:t>Neželjene reakcije zab</w:t>
      </w:r>
      <w:r w:rsidR="00006C32" w:rsidRPr="0051150C">
        <w:rPr>
          <w:noProof/>
          <w:szCs w:val="22"/>
          <w:lang w:val="sr-Latn-BA"/>
        </w:rPr>
        <w:t>i</w:t>
      </w:r>
      <w:r w:rsidRPr="0051150C">
        <w:rPr>
          <w:noProof/>
          <w:szCs w:val="22"/>
          <w:lang w:val="sr-Latn-BA"/>
        </w:rPr>
        <w:t>l</w:t>
      </w:r>
      <w:r w:rsidR="00006C32" w:rsidRPr="0051150C">
        <w:rPr>
          <w:noProof/>
          <w:szCs w:val="22"/>
          <w:lang w:val="sr-Latn-BA"/>
        </w:rPr>
        <w:t>j</w:t>
      </w:r>
      <w:r w:rsidRPr="0051150C">
        <w:rPr>
          <w:noProof/>
          <w:szCs w:val="22"/>
          <w:lang w:val="sr-Latn-BA"/>
        </w:rPr>
        <w:t>ežene tokom kliničkih ispitivanja i u postmarketinškom periodu navedene su u Tabeli 1, po kategorijama učestalosti. Kategorije učestalosti se definišu na sl</w:t>
      </w:r>
      <w:r w:rsidR="00006C32" w:rsidRPr="0051150C">
        <w:rPr>
          <w:noProof/>
          <w:szCs w:val="22"/>
          <w:lang w:val="sr-Latn-BA"/>
        </w:rPr>
        <w:t>j</w:t>
      </w:r>
      <w:r w:rsidRPr="0051150C">
        <w:rPr>
          <w:noProof/>
          <w:szCs w:val="22"/>
          <w:lang w:val="sr-Latn-BA"/>
        </w:rPr>
        <w:t>edeći način: veoma često (≥ 1/10); često (≥ 1/100 do &lt; 1/10); povremeno (≥ 1/1000 do &lt; 1/100); r</w:t>
      </w:r>
      <w:r w:rsidR="00006C32" w:rsidRPr="0051150C">
        <w:rPr>
          <w:noProof/>
          <w:szCs w:val="22"/>
          <w:lang w:val="sr-Latn-BA"/>
        </w:rPr>
        <w:t>ij</w:t>
      </w:r>
      <w:r w:rsidRPr="0051150C">
        <w:rPr>
          <w:noProof/>
          <w:szCs w:val="22"/>
          <w:lang w:val="sr-Latn-BA"/>
        </w:rPr>
        <w:t>etko (≥1/10000 do &lt;1/1000); veoma r</w:t>
      </w:r>
      <w:r w:rsidR="00006C32" w:rsidRPr="0051150C">
        <w:rPr>
          <w:noProof/>
          <w:szCs w:val="22"/>
          <w:lang w:val="sr-Latn-BA"/>
        </w:rPr>
        <w:t>ij</w:t>
      </w:r>
      <w:r w:rsidRPr="0051150C">
        <w:rPr>
          <w:noProof/>
          <w:szCs w:val="22"/>
          <w:lang w:val="sr-Latn-BA"/>
        </w:rPr>
        <w:t>etko (&lt;1/</w:t>
      </w:r>
      <w:r w:rsidR="009173F4" w:rsidRPr="0051150C">
        <w:rPr>
          <w:noProof/>
          <w:szCs w:val="22"/>
          <w:lang w:val="sr-Latn-BA"/>
        </w:rPr>
        <w:t>10000) i nepoznato (</w:t>
      </w:r>
      <w:r w:rsidRPr="0051150C">
        <w:rPr>
          <w:noProof/>
          <w:szCs w:val="22"/>
          <w:lang w:val="sr-Latn-BA"/>
        </w:rPr>
        <w:t>ne može proc</w:t>
      </w:r>
      <w:r w:rsidR="00006C32" w:rsidRPr="0051150C">
        <w:rPr>
          <w:noProof/>
          <w:szCs w:val="22"/>
          <w:lang w:val="sr-Latn-BA"/>
        </w:rPr>
        <w:t>ij</w:t>
      </w:r>
      <w:r w:rsidRPr="0051150C">
        <w:rPr>
          <w:noProof/>
          <w:szCs w:val="22"/>
          <w:lang w:val="sr-Latn-BA"/>
        </w:rPr>
        <w:t>eniti na osnovu dostupnih podataka).</w:t>
      </w:r>
    </w:p>
    <w:p w14:paraId="132009B9" w14:textId="77777777" w:rsidR="00CB1AD2" w:rsidRPr="0051150C" w:rsidRDefault="00CB1AD2" w:rsidP="009173F4">
      <w:pPr>
        <w:tabs>
          <w:tab w:val="clear" w:pos="284"/>
        </w:tabs>
        <w:autoSpaceDE w:val="0"/>
        <w:autoSpaceDN w:val="0"/>
        <w:adjustRightInd w:val="0"/>
        <w:rPr>
          <w:noProof/>
          <w:szCs w:val="22"/>
          <w:lang w:val="sr-Latn-BA"/>
        </w:rPr>
      </w:pPr>
    </w:p>
    <w:p w14:paraId="6502EF42" w14:textId="5D146600" w:rsidR="00CB1AD2" w:rsidRPr="0051150C" w:rsidRDefault="00CB1AD2" w:rsidP="009173F4">
      <w:pPr>
        <w:tabs>
          <w:tab w:val="clear" w:pos="284"/>
        </w:tabs>
        <w:autoSpaceDE w:val="0"/>
        <w:autoSpaceDN w:val="0"/>
        <w:adjustRightInd w:val="0"/>
        <w:rPr>
          <w:noProof/>
          <w:szCs w:val="22"/>
          <w:lang w:val="sr-Latn-BA"/>
        </w:rPr>
      </w:pPr>
      <w:r w:rsidRPr="0051150C">
        <w:rPr>
          <w:noProof/>
          <w:szCs w:val="22"/>
          <w:lang w:val="sr-Latn-BA"/>
        </w:rPr>
        <w:t>U svakoj grupi učestalosti</w:t>
      </w:r>
      <w:r w:rsidR="001C5676">
        <w:rPr>
          <w:noProof/>
          <w:szCs w:val="22"/>
          <w:lang w:val="sr-Latn-BA"/>
        </w:rPr>
        <w:t>,</w:t>
      </w:r>
      <w:r w:rsidRPr="0051150C">
        <w:rPr>
          <w:noProof/>
          <w:szCs w:val="22"/>
          <w:lang w:val="sr-Latn-BA"/>
        </w:rPr>
        <w:t xml:space="preserve"> neželjena dejstva su prikazivana po opadajućoj ozbiljnosti</w:t>
      </w:r>
      <w:r w:rsidR="009173F4" w:rsidRPr="0051150C">
        <w:rPr>
          <w:noProof/>
          <w:szCs w:val="22"/>
          <w:lang w:val="sr-Latn-BA"/>
        </w:rPr>
        <w:t>.</w:t>
      </w:r>
    </w:p>
    <w:p w14:paraId="7C2BF9C0" w14:textId="77777777" w:rsidR="00402825" w:rsidRPr="0051150C" w:rsidRDefault="00402825" w:rsidP="009173F4">
      <w:pPr>
        <w:tabs>
          <w:tab w:val="clear" w:pos="284"/>
        </w:tabs>
        <w:autoSpaceDE w:val="0"/>
        <w:autoSpaceDN w:val="0"/>
        <w:adjustRightInd w:val="0"/>
        <w:rPr>
          <w:noProof/>
          <w:szCs w:val="22"/>
          <w:lang w:val="sr-Latn-BA"/>
        </w:rPr>
      </w:pPr>
    </w:p>
    <w:p w14:paraId="6BD08B2E" w14:textId="61DEF783" w:rsidR="00555B43" w:rsidRDefault="009173F4" w:rsidP="009173F4">
      <w:pPr>
        <w:tabs>
          <w:tab w:val="clear" w:pos="284"/>
        </w:tabs>
        <w:autoSpaceDE w:val="0"/>
        <w:autoSpaceDN w:val="0"/>
        <w:adjustRightInd w:val="0"/>
        <w:rPr>
          <w:rFonts w:eastAsia="TimesNewRoman,Bold"/>
          <w:b/>
          <w:bCs/>
          <w:noProof/>
          <w:szCs w:val="22"/>
          <w:lang w:val="sr-Latn-BA"/>
        </w:rPr>
      </w:pPr>
      <w:r w:rsidRPr="0051150C">
        <w:rPr>
          <w:rFonts w:eastAsia="TimesNewRoman,Bold"/>
          <w:b/>
          <w:bCs/>
          <w:noProof/>
          <w:szCs w:val="22"/>
          <w:lang w:val="sr-Latn-BA"/>
        </w:rPr>
        <w:t>Tabela 1: Neželjene reakcije zab</w:t>
      </w:r>
      <w:r w:rsidR="00006C32" w:rsidRPr="0051150C">
        <w:rPr>
          <w:rFonts w:eastAsia="TimesNewRoman,Bold"/>
          <w:b/>
          <w:bCs/>
          <w:noProof/>
          <w:szCs w:val="22"/>
          <w:lang w:val="sr-Latn-BA"/>
        </w:rPr>
        <w:t>i</w:t>
      </w:r>
      <w:r w:rsidRPr="0051150C">
        <w:rPr>
          <w:rFonts w:eastAsia="TimesNewRoman,Bold"/>
          <w:b/>
          <w:bCs/>
          <w:noProof/>
          <w:szCs w:val="22"/>
          <w:lang w:val="sr-Latn-BA"/>
        </w:rPr>
        <w:t>l</w:t>
      </w:r>
      <w:r w:rsidR="00006C32" w:rsidRPr="0051150C">
        <w:rPr>
          <w:rFonts w:eastAsia="TimesNewRoman,Bold"/>
          <w:b/>
          <w:bCs/>
          <w:noProof/>
          <w:szCs w:val="22"/>
          <w:lang w:val="sr-Latn-BA"/>
        </w:rPr>
        <w:t>j</w:t>
      </w:r>
      <w:r w:rsidRPr="0051150C">
        <w:rPr>
          <w:rFonts w:eastAsia="TimesNewRoman,Bold"/>
          <w:b/>
          <w:bCs/>
          <w:noProof/>
          <w:szCs w:val="22"/>
          <w:lang w:val="sr-Latn-BA"/>
        </w:rPr>
        <w:t xml:space="preserve">ežene u kliničkim ispitivanjima i </w:t>
      </w:r>
      <w:r w:rsidR="001C5676">
        <w:rPr>
          <w:rFonts w:eastAsia="TimesNewRoman,Bold"/>
          <w:b/>
          <w:bCs/>
          <w:noProof/>
          <w:szCs w:val="22"/>
          <w:lang w:val="sr-Latn-BA"/>
        </w:rPr>
        <w:t xml:space="preserve">u </w:t>
      </w:r>
      <w:r w:rsidR="001C5676" w:rsidRPr="0051150C">
        <w:rPr>
          <w:rFonts w:eastAsia="TimesNewRoman,Bold"/>
          <w:b/>
          <w:bCs/>
          <w:noProof/>
          <w:szCs w:val="22"/>
          <w:lang w:val="sr-Latn-BA"/>
        </w:rPr>
        <w:t>postmarketinšk</w:t>
      </w:r>
      <w:r w:rsidR="001C5676">
        <w:rPr>
          <w:rFonts w:eastAsia="TimesNewRoman,Bold"/>
          <w:b/>
          <w:bCs/>
          <w:noProof/>
          <w:szCs w:val="22"/>
          <w:lang w:val="sr-Latn-BA"/>
        </w:rPr>
        <w:t>om periodu</w:t>
      </w:r>
    </w:p>
    <w:p w14:paraId="41CA3634" w14:textId="77777777" w:rsidR="004E3BC2" w:rsidRPr="0051150C" w:rsidRDefault="004E3BC2" w:rsidP="009173F4">
      <w:pPr>
        <w:tabs>
          <w:tab w:val="clear" w:pos="284"/>
        </w:tabs>
        <w:autoSpaceDE w:val="0"/>
        <w:autoSpaceDN w:val="0"/>
        <w:adjustRightInd w:val="0"/>
        <w:rPr>
          <w:rFonts w:eastAsia="TimesNewRoman,Bold"/>
          <w:bCs/>
          <w:noProof/>
          <w:szCs w:val="22"/>
          <w:lang w:val="sr-Latn-BA"/>
        </w:rPr>
      </w:pPr>
    </w:p>
    <w:tbl>
      <w:tblPr>
        <w:tblStyle w:val="TableGrid"/>
        <w:tblW w:w="0" w:type="auto"/>
        <w:tblLook w:val="04A0" w:firstRow="1" w:lastRow="0" w:firstColumn="1" w:lastColumn="0" w:noHBand="0" w:noVBand="1"/>
      </w:tblPr>
      <w:tblGrid>
        <w:gridCol w:w="4650"/>
        <w:gridCol w:w="4673"/>
      </w:tblGrid>
      <w:tr w:rsidR="00555B43" w:rsidRPr="0051150C" w14:paraId="25E40EC5" w14:textId="77777777" w:rsidTr="00555B43">
        <w:tc>
          <w:tcPr>
            <w:tcW w:w="4927" w:type="dxa"/>
          </w:tcPr>
          <w:p w14:paraId="3EC75914" w14:textId="56DFDF15" w:rsidR="00555B43" w:rsidRPr="0051150C" w:rsidRDefault="00555B43" w:rsidP="009173F4">
            <w:pPr>
              <w:tabs>
                <w:tab w:val="clear" w:pos="284"/>
              </w:tabs>
              <w:autoSpaceDE w:val="0"/>
              <w:autoSpaceDN w:val="0"/>
              <w:adjustRightInd w:val="0"/>
              <w:rPr>
                <w:b/>
                <w:noProof/>
                <w:szCs w:val="22"/>
                <w:lang w:val="sr-Latn-BA"/>
              </w:rPr>
            </w:pPr>
            <w:r w:rsidRPr="0051150C">
              <w:rPr>
                <w:b/>
                <w:noProof/>
                <w:szCs w:val="22"/>
                <w:lang w:val="sr-Latn-BA"/>
              </w:rPr>
              <w:t>Klasa sistema organa</w:t>
            </w:r>
          </w:p>
        </w:tc>
        <w:tc>
          <w:tcPr>
            <w:tcW w:w="4928" w:type="dxa"/>
          </w:tcPr>
          <w:p w14:paraId="00B11E4D" w14:textId="0D373BEC" w:rsidR="00555B43" w:rsidRPr="0051150C" w:rsidRDefault="00555B43" w:rsidP="009173F4">
            <w:pPr>
              <w:tabs>
                <w:tab w:val="clear" w:pos="284"/>
              </w:tabs>
              <w:autoSpaceDE w:val="0"/>
              <w:autoSpaceDN w:val="0"/>
              <w:adjustRightInd w:val="0"/>
              <w:rPr>
                <w:b/>
                <w:noProof/>
                <w:szCs w:val="22"/>
                <w:lang w:val="sr-Latn-BA"/>
              </w:rPr>
            </w:pPr>
            <w:r w:rsidRPr="0051150C">
              <w:rPr>
                <w:b/>
                <w:noProof/>
                <w:szCs w:val="22"/>
                <w:lang w:val="sr-Latn-BA"/>
              </w:rPr>
              <w:t>Neželjena reakcija i učestalost</w:t>
            </w:r>
          </w:p>
        </w:tc>
      </w:tr>
      <w:tr w:rsidR="00555B43" w:rsidRPr="001022E6" w14:paraId="5E8F8911" w14:textId="77777777" w:rsidTr="00555B43">
        <w:tc>
          <w:tcPr>
            <w:tcW w:w="4927" w:type="dxa"/>
          </w:tcPr>
          <w:p w14:paraId="39176825" w14:textId="2132989C"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Infekcije i infestacije</w:t>
            </w:r>
          </w:p>
        </w:tc>
        <w:tc>
          <w:tcPr>
            <w:tcW w:w="4928" w:type="dxa"/>
          </w:tcPr>
          <w:p w14:paraId="77D5E3AC" w14:textId="77777777"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veoma često: infekcija urinarnog trakta</w:t>
            </w:r>
          </w:p>
          <w:p w14:paraId="52032AD8" w14:textId="638C3033" w:rsidR="00555B43" w:rsidRPr="0051150C" w:rsidRDefault="008048A4" w:rsidP="008048A4">
            <w:pPr>
              <w:tabs>
                <w:tab w:val="clear" w:pos="284"/>
              </w:tabs>
              <w:autoSpaceDE w:val="0"/>
              <w:autoSpaceDN w:val="0"/>
              <w:adjustRightInd w:val="0"/>
              <w:rPr>
                <w:noProof/>
                <w:szCs w:val="22"/>
                <w:lang w:val="sr-Latn-BA"/>
              </w:rPr>
            </w:pPr>
            <w:r w:rsidRPr="0051150C">
              <w:rPr>
                <w:noProof/>
                <w:szCs w:val="22"/>
                <w:lang w:val="sr-Latn-BA"/>
              </w:rPr>
              <w:t>često: sepsa</w:t>
            </w:r>
          </w:p>
        </w:tc>
      </w:tr>
      <w:tr w:rsidR="008048A4" w:rsidRPr="0051150C" w14:paraId="611C3B34" w14:textId="77777777" w:rsidTr="00555B43">
        <w:tc>
          <w:tcPr>
            <w:tcW w:w="4927" w:type="dxa"/>
          </w:tcPr>
          <w:p w14:paraId="0556A90D" w14:textId="4113A80C" w:rsidR="008048A4"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Poremećaji imunog sistema</w:t>
            </w:r>
          </w:p>
        </w:tc>
        <w:tc>
          <w:tcPr>
            <w:tcW w:w="4928" w:type="dxa"/>
          </w:tcPr>
          <w:p w14:paraId="68A01A42" w14:textId="739145C5"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nepoznato: anafilaktičke reakcije</w:t>
            </w:r>
          </w:p>
        </w:tc>
      </w:tr>
      <w:tr w:rsidR="00555B43" w:rsidRPr="0051150C" w14:paraId="535F0F16" w14:textId="77777777" w:rsidTr="00555B43">
        <w:tc>
          <w:tcPr>
            <w:tcW w:w="4927" w:type="dxa"/>
          </w:tcPr>
          <w:p w14:paraId="438A40E5" w14:textId="602F4E6F"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Endokrini poremećaji</w:t>
            </w:r>
          </w:p>
        </w:tc>
        <w:tc>
          <w:tcPr>
            <w:tcW w:w="4928" w:type="dxa"/>
          </w:tcPr>
          <w:p w14:paraId="29E8645D" w14:textId="086D4F20" w:rsidR="00555B43"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povremeno: adrenalna insuficijencija</w:t>
            </w:r>
          </w:p>
        </w:tc>
      </w:tr>
      <w:tr w:rsidR="00555B43" w:rsidRPr="001022E6" w14:paraId="49342682" w14:textId="77777777" w:rsidTr="00555B43">
        <w:tc>
          <w:tcPr>
            <w:tcW w:w="4927" w:type="dxa"/>
          </w:tcPr>
          <w:p w14:paraId="03FCEB23" w14:textId="6DB7375F"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Poremećaji metabolizma i ishrane</w:t>
            </w:r>
          </w:p>
        </w:tc>
        <w:tc>
          <w:tcPr>
            <w:tcW w:w="4928" w:type="dxa"/>
          </w:tcPr>
          <w:p w14:paraId="29528E21" w14:textId="42EB2BCE"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veoma često: hipokal</w:t>
            </w:r>
            <w:r w:rsidR="001C5676">
              <w:rPr>
                <w:noProof/>
                <w:szCs w:val="22"/>
                <w:lang w:val="sr-Latn-BA"/>
              </w:rPr>
              <w:t>ij</w:t>
            </w:r>
            <w:r w:rsidRPr="0051150C">
              <w:rPr>
                <w:noProof/>
                <w:szCs w:val="22"/>
                <w:lang w:val="sr-Latn-BA"/>
              </w:rPr>
              <w:t>emija</w:t>
            </w:r>
          </w:p>
          <w:p w14:paraId="18D547E7" w14:textId="5F233F6F" w:rsidR="00555B43" w:rsidRPr="0051150C" w:rsidRDefault="008048A4" w:rsidP="008048A4">
            <w:pPr>
              <w:tabs>
                <w:tab w:val="clear" w:pos="284"/>
              </w:tabs>
              <w:autoSpaceDE w:val="0"/>
              <w:autoSpaceDN w:val="0"/>
              <w:adjustRightInd w:val="0"/>
              <w:rPr>
                <w:noProof/>
                <w:szCs w:val="22"/>
                <w:lang w:val="sr-Latn-BA"/>
              </w:rPr>
            </w:pPr>
            <w:r w:rsidRPr="0051150C">
              <w:rPr>
                <w:noProof/>
                <w:szCs w:val="22"/>
                <w:lang w:val="sr-Latn-BA"/>
              </w:rPr>
              <w:t>često: hipertrigliceridemija</w:t>
            </w:r>
          </w:p>
        </w:tc>
      </w:tr>
      <w:tr w:rsidR="00555B43" w:rsidRPr="001022E6" w14:paraId="31390864" w14:textId="77777777" w:rsidTr="00555B43">
        <w:tc>
          <w:tcPr>
            <w:tcW w:w="4927" w:type="dxa"/>
          </w:tcPr>
          <w:p w14:paraId="00D2ADE4" w14:textId="0D66B67C"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Kardiološki poremećaji</w:t>
            </w:r>
          </w:p>
        </w:tc>
        <w:tc>
          <w:tcPr>
            <w:tcW w:w="4928" w:type="dxa"/>
          </w:tcPr>
          <w:p w14:paraId="0000C598" w14:textId="77777777"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često: srčana insuficijencija*, angina pektoris,</w:t>
            </w:r>
          </w:p>
          <w:p w14:paraId="38A8F78A" w14:textId="77777777"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atrijalna fibrilacija, tahikardija</w:t>
            </w:r>
          </w:p>
          <w:p w14:paraId="452D4020" w14:textId="77777777"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povremeno: ostale aritmije</w:t>
            </w:r>
          </w:p>
          <w:p w14:paraId="7401EED4" w14:textId="77777777"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nepoznato: infarkt miokarda, produženje QT</w:t>
            </w:r>
          </w:p>
          <w:p w14:paraId="2D65B0B6" w14:textId="74DE2F72" w:rsidR="00555B43" w:rsidRPr="0051150C" w:rsidRDefault="008048A4" w:rsidP="008048A4">
            <w:pPr>
              <w:tabs>
                <w:tab w:val="clear" w:pos="284"/>
              </w:tabs>
              <w:autoSpaceDE w:val="0"/>
              <w:autoSpaceDN w:val="0"/>
              <w:adjustRightInd w:val="0"/>
              <w:rPr>
                <w:noProof/>
                <w:szCs w:val="22"/>
                <w:lang w:val="sr-Latn-BA"/>
              </w:rPr>
            </w:pPr>
            <w:r w:rsidRPr="0051150C">
              <w:rPr>
                <w:noProof/>
                <w:szCs w:val="22"/>
                <w:lang w:val="sr-Latn-BA"/>
              </w:rPr>
              <w:t>intervala (</w:t>
            </w:r>
            <w:r w:rsidR="00096FAA" w:rsidRPr="00410EF6">
              <w:rPr>
                <w:noProof/>
                <w:szCs w:val="22"/>
                <w:lang w:val="sr-Latn-BA"/>
              </w:rPr>
              <w:t>vidjeti</w:t>
            </w:r>
            <w:r w:rsidRPr="00410EF6">
              <w:rPr>
                <w:noProof/>
                <w:szCs w:val="22"/>
                <w:lang w:val="sr-Latn-BA"/>
              </w:rPr>
              <w:t xml:space="preserve"> </w:t>
            </w:r>
            <w:r w:rsidR="009D1A0E" w:rsidRPr="00410EF6">
              <w:rPr>
                <w:noProof/>
                <w:szCs w:val="22"/>
                <w:lang w:val="sr-Latn-BA"/>
              </w:rPr>
              <w:t>djelove</w:t>
            </w:r>
            <w:r w:rsidRPr="00410EF6">
              <w:rPr>
                <w:noProof/>
                <w:szCs w:val="22"/>
                <w:lang w:val="sr-Latn-BA"/>
              </w:rPr>
              <w:t xml:space="preserve"> 4.4 i 4.5</w:t>
            </w:r>
            <w:r w:rsidRPr="0051150C">
              <w:rPr>
                <w:noProof/>
                <w:szCs w:val="22"/>
                <w:lang w:val="sr-Latn-BA"/>
              </w:rPr>
              <w:t>)</w:t>
            </w:r>
          </w:p>
        </w:tc>
      </w:tr>
      <w:tr w:rsidR="00555B43" w:rsidRPr="0051150C" w14:paraId="23B0EDA0" w14:textId="77777777" w:rsidTr="00555B43">
        <w:tc>
          <w:tcPr>
            <w:tcW w:w="4927" w:type="dxa"/>
          </w:tcPr>
          <w:p w14:paraId="6330D8D1" w14:textId="6BA77B06"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Vaskularni poremećaji</w:t>
            </w:r>
          </w:p>
        </w:tc>
        <w:tc>
          <w:tcPr>
            <w:tcW w:w="4928" w:type="dxa"/>
          </w:tcPr>
          <w:p w14:paraId="63FAB2F9" w14:textId="6F6C37B7" w:rsidR="00555B43"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veoma često: hipertenzija</w:t>
            </w:r>
          </w:p>
        </w:tc>
      </w:tr>
      <w:tr w:rsidR="00555B43" w:rsidRPr="0051150C" w14:paraId="55CDCD29" w14:textId="77777777" w:rsidTr="00555B43">
        <w:tc>
          <w:tcPr>
            <w:tcW w:w="4927" w:type="dxa"/>
          </w:tcPr>
          <w:p w14:paraId="7403B43C" w14:textId="66636FEA"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Respiratorni, torakalni i medijastinalni poremećaji</w:t>
            </w:r>
          </w:p>
        </w:tc>
        <w:tc>
          <w:tcPr>
            <w:tcW w:w="4928" w:type="dxa"/>
          </w:tcPr>
          <w:p w14:paraId="4D266A6E" w14:textId="17F4A1BB" w:rsidR="00555B43" w:rsidRPr="0051150C" w:rsidRDefault="008048A4" w:rsidP="008048A4">
            <w:pPr>
              <w:tabs>
                <w:tab w:val="clear" w:pos="284"/>
              </w:tabs>
              <w:autoSpaceDE w:val="0"/>
              <w:autoSpaceDN w:val="0"/>
              <w:adjustRightInd w:val="0"/>
              <w:rPr>
                <w:noProof/>
                <w:szCs w:val="22"/>
                <w:lang w:val="sr-Latn-BA"/>
              </w:rPr>
            </w:pPr>
            <w:r w:rsidRPr="0051150C">
              <w:rPr>
                <w:noProof/>
                <w:szCs w:val="22"/>
                <w:lang w:val="sr-Latn-BA"/>
              </w:rPr>
              <w:t>r</w:t>
            </w:r>
            <w:r w:rsidR="00DA01A2" w:rsidRPr="0051150C">
              <w:rPr>
                <w:noProof/>
                <w:szCs w:val="22"/>
                <w:lang w:val="sr-Latn-BA"/>
              </w:rPr>
              <w:t>ij</w:t>
            </w:r>
            <w:r w:rsidRPr="0051150C">
              <w:rPr>
                <w:noProof/>
                <w:szCs w:val="22"/>
                <w:lang w:val="sr-Latn-BA"/>
              </w:rPr>
              <w:t>etko: alergijski alveolitis</w:t>
            </w:r>
            <w:r w:rsidRPr="0051150C">
              <w:rPr>
                <w:noProof/>
                <w:szCs w:val="22"/>
                <w:vertAlign w:val="superscript"/>
                <w:lang w:val="sr-Latn-BA"/>
              </w:rPr>
              <w:t>a</w:t>
            </w:r>
          </w:p>
        </w:tc>
      </w:tr>
      <w:tr w:rsidR="00555B43" w:rsidRPr="001022E6" w14:paraId="35FA2B19" w14:textId="77777777" w:rsidTr="00555B43">
        <w:tc>
          <w:tcPr>
            <w:tcW w:w="4927" w:type="dxa"/>
          </w:tcPr>
          <w:p w14:paraId="00191F8C" w14:textId="0D328003"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Gastrointestinalni poremećaji</w:t>
            </w:r>
          </w:p>
        </w:tc>
        <w:tc>
          <w:tcPr>
            <w:tcW w:w="4928" w:type="dxa"/>
          </w:tcPr>
          <w:p w14:paraId="164CE49E" w14:textId="77777777"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veoma često: dijareja</w:t>
            </w:r>
          </w:p>
          <w:p w14:paraId="5EDBEC03" w14:textId="1EEB3FAB" w:rsidR="00555B43" w:rsidRPr="0051150C" w:rsidRDefault="008048A4" w:rsidP="008048A4">
            <w:pPr>
              <w:tabs>
                <w:tab w:val="clear" w:pos="284"/>
              </w:tabs>
              <w:autoSpaceDE w:val="0"/>
              <w:autoSpaceDN w:val="0"/>
              <w:adjustRightInd w:val="0"/>
              <w:rPr>
                <w:noProof/>
                <w:szCs w:val="22"/>
                <w:lang w:val="sr-Latn-BA"/>
              </w:rPr>
            </w:pPr>
            <w:r w:rsidRPr="0051150C">
              <w:rPr>
                <w:noProof/>
                <w:szCs w:val="22"/>
                <w:lang w:val="sr-Latn-BA"/>
              </w:rPr>
              <w:t>često: dispepsija</w:t>
            </w:r>
          </w:p>
        </w:tc>
      </w:tr>
      <w:tr w:rsidR="00555B43" w:rsidRPr="001022E6" w14:paraId="796D1DCF" w14:textId="77777777" w:rsidTr="00555B43">
        <w:tc>
          <w:tcPr>
            <w:tcW w:w="4927" w:type="dxa"/>
          </w:tcPr>
          <w:p w14:paraId="53447782" w14:textId="779C7ADE"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Hepatobilijarni poremećaji</w:t>
            </w:r>
          </w:p>
        </w:tc>
        <w:tc>
          <w:tcPr>
            <w:tcW w:w="4928" w:type="dxa"/>
          </w:tcPr>
          <w:p w14:paraId="27BC580E" w14:textId="7DC7FFCA"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 xml:space="preserve">veoma često: povišena </w:t>
            </w:r>
            <w:r w:rsidR="00096FAA" w:rsidRPr="0051150C">
              <w:rPr>
                <w:noProof/>
                <w:szCs w:val="22"/>
                <w:lang w:val="sr-Latn-BA"/>
              </w:rPr>
              <w:t>vrijednost</w:t>
            </w:r>
            <w:r w:rsidRPr="0051150C">
              <w:rPr>
                <w:noProof/>
                <w:szCs w:val="22"/>
                <w:lang w:val="sr-Latn-BA"/>
              </w:rPr>
              <w:t xml:space="preserve"> alanin</w:t>
            </w:r>
          </w:p>
          <w:p w14:paraId="0CB7368D" w14:textId="76BD864C"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lastRenderedPageBreak/>
              <w:t>aminotransferaze i/ili aspartat aminotransferaze</w:t>
            </w:r>
            <w:r w:rsidRPr="0051150C">
              <w:rPr>
                <w:noProof/>
                <w:szCs w:val="22"/>
                <w:vertAlign w:val="superscript"/>
                <w:lang w:val="sr-Latn-BA"/>
              </w:rPr>
              <w:t>b</w:t>
            </w:r>
          </w:p>
          <w:p w14:paraId="6BB487FA" w14:textId="116C1C5B" w:rsidR="008048A4" w:rsidRPr="0051150C" w:rsidRDefault="008048A4" w:rsidP="008048A4">
            <w:pPr>
              <w:tabs>
                <w:tab w:val="clear" w:pos="284"/>
              </w:tabs>
              <w:autoSpaceDE w:val="0"/>
              <w:autoSpaceDN w:val="0"/>
              <w:adjustRightInd w:val="0"/>
              <w:jc w:val="left"/>
              <w:rPr>
                <w:noProof/>
                <w:szCs w:val="22"/>
                <w:lang w:val="sr-Latn-BA"/>
              </w:rPr>
            </w:pPr>
            <w:r w:rsidRPr="0051150C">
              <w:rPr>
                <w:noProof/>
                <w:szCs w:val="22"/>
                <w:lang w:val="sr-Latn-BA"/>
              </w:rPr>
              <w:t>r</w:t>
            </w:r>
            <w:r w:rsidR="00DA01A2" w:rsidRPr="0051150C">
              <w:rPr>
                <w:noProof/>
                <w:szCs w:val="22"/>
                <w:lang w:val="sr-Latn-BA"/>
              </w:rPr>
              <w:t>ij</w:t>
            </w:r>
            <w:r w:rsidRPr="0051150C">
              <w:rPr>
                <w:noProof/>
                <w:szCs w:val="22"/>
                <w:lang w:val="sr-Latn-BA"/>
              </w:rPr>
              <w:t>etko: fulminantni hepatitis, akutna</w:t>
            </w:r>
          </w:p>
          <w:p w14:paraId="04A9995C" w14:textId="07D169F9" w:rsidR="00555B43" w:rsidRPr="0051150C" w:rsidRDefault="008048A4" w:rsidP="008048A4">
            <w:pPr>
              <w:tabs>
                <w:tab w:val="clear" w:pos="284"/>
              </w:tabs>
              <w:autoSpaceDE w:val="0"/>
              <w:autoSpaceDN w:val="0"/>
              <w:adjustRightInd w:val="0"/>
              <w:rPr>
                <w:noProof/>
                <w:szCs w:val="22"/>
                <w:lang w:val="sr-Latn-BA"/>
              </w:rPr>
            </w:pPr>
            <w:r w:rsidRPr="0051150C">
              <w:rPr>
                <w:noProof/>
                <w:szCs w:val="22"/>
                <w:lang w:val="sr-Latn-BA"/>
              </w:rPr>
              <w:t>insuficijencija jetre</w:t>
            </w:r>
          </w:p>
        </w:tc>
      </w:tr>
      <w:tr w:rsidR="00555B43" w:rsidRPr="0051150C" w14:paraId="2FFE785A" w14:textId="77777777" w:rsidTr="00555B43">
        <w:tc>
          <w:tcPr>
            <w:tcW w:w="4927" w:type="dxa"/>
          </w:tcPr>
          <w:p w14:paraId="6DE55819" w14:textId="7B24407C"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lastRenderedPageBreak/>
              <w:t>Poremećaji kože i potkožnog tkiva</w:t>
            </w:r>
          </w:p>
        </w:tc>
        <w:tc>
          <w:tcPr>
            <w:tcW w:w="4928" w:type="dxa"/>
          </w:tcPr>
          <w:p w14:paraId="1271BA22" w14:textId="64E14023" w:rsidR="00555B43"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često: osip</w:t>
            </w:r>
          </w:p>
        </w:tc>
      </w:tr>
      <w:tr w:rsidR="00555B43" w:rsidRPr="0051150C" w14:paraId="34301697" w14:textId="77777777" w:rsidTr="00555B43">
        <w:tc>
          <w:tcPr>
            <w:tcW w:w="4927" w:type="dxa"/>
          </w:tcPr>
          <w:p w14:paraId="47EA8544" w14:textId="0ACF17C3" w:rsidR="00555B43" w:rsidRPr="0051150C" w:rsidRDefault="00555B43" w:rsidP="001C5676">
            <w:pPr>
              <w:tabs>
                <w:tab w:val="clear" w:pos="284"/>
              </w:tabs>
              <w:autoSpaceDE w:val="0"/>
              <w:autoSpaceDN w:val="0"/>
              <w:adjustRightInd w:val="0"/>
              <w:rPr>
                <w:noProof/>
                <w:szCs w:val="22"/>
                <w:lang w:val="sr-Latn-BA"/>
              </w:rPr>
            </w:pPr>
            <w:r w:rsidRPr="0051150C">
              <w:rPr>
                <w:noProof/>
                <w:szCs w:val="22"/>
                <w:lang w:val="sr-Latn-BA"/>
              </w:rPr>
              <w:t>Poremećaji mišićno-</w:t>
            </w:r>
            <w:r w:rsidR="001C5676" w:rsidRPr="0051150C">
              <w:rPr>
                <w:noProof/>
                <w:szCs w:val="22"/>
                <w:lang w:val="sr-Latn-BA"/>
              </w:rPr>
              <w:t>ko</w:t>
            </w:r>
            <w:r w:rsidR="001C5676">
              <w:rPr>
                <w:noProof/>
                <w:szCs w:val="22"/>
                <w:lang w:val="sr-Latn-BA"/>
              </w:rPr>
              <w:t>st</w:t>
            </w:r>
            <w:r w:rsidR="001C5676" w:rsidRPr="0051150C">
              <w:rPr>
                <w:noProof/>
                <w:szCs w:val="22"/>
                <w:lang w:val="sr-Latn-BA"/>
              </w:rPr>
              <w:t xml:space="preserve">nog </w:t>
            </w:r>
            <w:r w:rsidRPr="0051150C">
              <w:rPr>
                <w:noProof/>
                <w:szCs w:val="22"/>
                <w:lang w:val="sr-Latn-BA"/>
              </w:rPr>
              <w:t>sistema i vezivnog tkiva</w:t>
            </w:r>
          </w:p>
        </w:tc>
        <w:tc>
          <w:tcPr>
            <w:tcW w:w="4928" w:type="dxa"/>
          </w:tcPr>
          <w:p w14:paraId="0B075AB9" w14:textId="4B0080BD" w:rsidR="00555B43"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povremeno: miopatija, rabdomioliza</w:t>
            </w:r>
          </w:p>
        </w:tc>
      </w:tr>
      <w:tr w:rsidR="00555B43" w:rsidRPr="0051150C" w14:paraId="0044F535" w14:textId="77777777" w:rsidTr="00555B43">
        <w:tc>
          <w:tcPr>
            <w:tcW w:w="4927" w:type="dxa"/>
          </w:tcPr>
          <w:p w14:paraId="6A1D81A9" w14:textId="3420A179"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Poremećaji bubrega i urinarnog sistema</w:t>
            </w:r>
          </w:p>
        </w:tc>
        <w:tc>
          <w:tcPr>
            <w:tcW w:w="4928" w:type="dxa"/>
          </w:tcPr>
          <w:p w14:paraId="09042D27" w14:textId="592551B3" w:rsidR="00555B43"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često: hematurija</w:t>
            </w:r>
          </w:p>
        </w:tc>
      </w:tr>
      <w:tr w:rsidR="00555B43" w:rsidRPr="0051150C" w14:paraId="3306E606" w14:textId="77777777" w:rsidTr="00555B43">
        <w:tc>
          <w:tcPr>
            <w:tcW w:w="4927" w:type="dxa"/>
          </w:tcPr>
          <w:p w14:paraId="707FA308" w14:textId="442D93A0"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Opšti poremećaji i reakcije na m</w:t>
            </w:r>
            <w:r w:rsidR="00DA01A2" w:rsidRPr="0051150C">
              <w:rPr>
                <w:noProof/>
                <w:szCs w:val="22"/>
                <w:lang w:val="sr-Latn-BA"/>
              </w:rPr>
              <w:t>j</w:t>
            </w:r>
            <w:r w:rsidRPr="0051150C">
              <w:rPr>
                <w:noProof/>
                <w:szCs w:val="22"/>
                <w:lang w:val="sr-Latn-BA"/>
              </w:rPr>
              <w:t xml:space="preserve">estu </w:t>
            </w:r>
            <w:r w:rsidR="00096FAA" w:rsidRPr="0051150C">
              <w:rPr>
                <w:noProof/>
                <w:szCs w:val="22"/>
                <w:lang w:val="sr-Latn-BA"/>
              </w:rPr>
              <w:t>primjen</w:t>
            </w:r>
            <w:r w:rsidRPr="0051150C">
              <w:rPr>
                <w:noProof/>
                <w:szCs w:val="22"/>
                <w:lang w:val="sr-Latn-BA"/>
              </w:rPr>
              <w:t>e</w:t>
            </w:r>
          </w:p>
        </w:tc>
        <w:tc>
          <w:tcPr>
            <w:tcW w:w="4928" w:type="dxa"/>
          </w:tcPr>
          <w:p w14:paraId="6B9E4D43" w14:textId="19957B96" w:rsidR="00555B43"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veoma često: periferni edem</w:t>
            </w:r>
          </w:p>
        </w:tc>
      </w:tr>
      <w:tr w:rsidR="00555B43" w:rsidRPr="0051150C" w14:paraId="5BF12B93" w14:textId="77777777" w:rsidTr="00555B43">
        <w:tc>
          <w:tcPr>
            <w:tcW w:w="4927" w:type="dxa"/>
          </w:tcPr>
          <w:p w14:paraId="741FAA74" w14:textId="0C9A7C3C" w:rsidR="00555B43" w:rsidRPr="0051150C" w:rsidRDefault="00555B43" w:rsidP="009173F4">
            <w:pPr>
              <w:tabs>
                <w:tab w:val="clear" w:pos="284"/>
              </w:tabs>
              <w:autoSpaceDE w:val="0"/>
              <w:autoSpaceDN w:val="0"/>
              <w:adjustRightInd w:val="0"/>
              <w:rPr>
                <w:noProof/>
                <w:szCs w:val="22"/>
                <w:lang w:val="sr-Latn-BA"/>
              </w:rPr>
            </w:pPr>
            <w:r w:rsidRPr="0051150C">
              <w:rPr>
                <w:noProof/>
                <w:szCs w:val="22"/>
                <w:lang w:val="sr-Latn-BA"/>
              </w:rPr>
              <w:t>Povrede, trovanja i proceduralne komplikacije</w:t>
            </w:r>
          </w:p>
        </w:tc>
        <w:tc>
          <w:tcPr>
            <w:tcW w:w="4928" w:type="dxa"/>
          </w:tcPr>
          <w:p w14:paraId="7DDB2A42" w14:textId="6C6F6912" w:rsidR="00555B43" w:rsidRPr="0051150C" w:rsidRDefault="008048A4" w:rsidP="009173F4">
            <w:pPr>
              <w:tabs>
                <w:tab w:val="clear" w:pos="284"/>
              </w:tabs>
              <w:autoSpaceDE w:val="0"/>
              <w:autoSpaceDN w:val="0"/>
              <w:adjustRightInd w:val="0"/>
              <w:rPr>
                <w:noProof/>
                <w:szCs w:val="22"/>
                <w:lang w:val="sr-Latn-BA"/>
              </w:rPr>
            </w:pPr>
            <w:r w:rsidRPr="0051150C">
              <w:rPr>
                <w:noProof/>
                <w:szCs w:val="22"/>
                <w:lang w:val="sr-Latn-BA"/>
              </w:rPr>
              <w:t>često: frakture**</w:t>
            </w:r>
          </w:p>
        </w:tc>
      </w:tr>
    </w:tbl>
    <w:p w14:paraId="63D5FDA9" w14:textId="4D0B9A37" w:rsidR="00555B43" w:rsidRPr="0051150C" w:rsidRDefault="00555B43" w:rsidP="00555B43">
      <w:pPr>
        <w:tabs>
          <w:tab w:val="clear" w:pos="284"/>
        </w:tabs>
        <w:autoSpaceDE w:val="0"/>
        <w:autoSpaceDN w:val="0"/>
        <w:adjustRightInd w:val="0"/>
        <w:ind w:left="720" w:hanging="720"/>
        <w:rPr>
          <w:noProof/>
          <w:szCs w:val="22"/>
          <w:lang w:val="sr-Latn-BA"/>
        </w:rPr>
      </w:pPr>
      <w:r w:rsidRPr="0051150C">
        <w:rPr>
          <w:noProof/>
          <w:szCs w:val="22"/>
          <w:lang w:val="sr-Latn-BA"/>
        </w:rPr>
        <w:t xml:space="preserve">* </w:t>
      </w:r>
      <w:r w:rsidRPr="0051150C">
        <w:rPr>
          <w:noProof/>
          <w:szCs w:val="22"/>
          <w:lang w:val="sr-Latn-BA"/>
        </w:rPr>
        <w:tab/>
        <w:t>Srčana insuficijencija uključuje i kongestivnu srčanu insuficijenciju, disfunkciju l</w:t>
      </w:r>
      <w:r w:rsidR="00DA01A2" w:rsidRPr="0051150C">
        <w:rPr>
          <w:noProof/>
          <w:szCs w:val="22"/>
          <w:lang w:val="sr-Latn-BA"/>
        </w:rPr>
        <w:t>ij</w:t>
      </w:r>
      <w:r w:rsidRPr="0051150C">
        <w:rPr>
          <w:noProof/>
          <w:szCs w:val="22"/>
          <w:lang w:val="sr-Latn-BA"/>
        </w:rPr>
        <w:t>eve komore i smanjenje ejekcione frakcije</w:t>
      </w:r>
      <w:r w:rsidR="001C5676">
        <w:rPr>
          <w:noProof/>
          <w:szCs w:val="22"/>
          <w:lang w:val="sr-Latn-BA"/>
        </w:rPr>
        <w:t>.</w:t>
      </w:r>
    </w:p>
    <w:p w14:paraId="23713734" w14:textId="33E1701D" w:rsidR="00555B43" w:rsidRPr="0051150C" w:rsidRDefault="00555B43" w:rsidP="00555B43">
      <w:pPr>
        <w:tabs>
          <w:tab w:val="clear" w:pos="284"/>
        </w:tabs>
        <w:autoSpaceDE w:val="0"/>
        <w:autoSpaceDN w:val="0"/>
        <w:adjustRightInd w:val="0"/>
        <w:rPr>
          <w:noProof/>
          <w:szCs w:val="22"/>
          <w:lang w:val="sr-Latn-BA"/>
        </w:rPr>
      </w:pPr>
      <w:r w:rsidRPr="0051150C">
        <w:rPr>
          <w:noProof/>
          <w:szCs w:val="22"/>
          <w:lang w:val="sr-Latn-BA"/>
        </w:rPr>
        <w:t xml:space="preserve">** </w:t>
      </w:r>
      <w:r w:rsidRPr="0051150C">
        <w:rPr>
          <w:noProof/>
          <w:szCs w:val="22"/>
          <w:lang w:val="sr-Latn-BA"/>
        </w:rPr>
        <w:tab/>
        <w:t>Frakture uključuju osteoporozu i sve frakture osim patoloških fraktura</w:t>
      </w:r>
      <w:r w:rsidR="001C5676">
        <w:rPr>
          <w:noProof/>
          <w:szCs w:val="22"/>
          <w:lang w:val="sr-Latn-BA"/>
        </w:rPr>
        <w:t>.</w:t>
      </w:r>
    </w:p>
    <w:p w14:paraId="495F9491" w14:textId="31B6EDD0" w:rsidR="00555B43" w:rsidRPr="0051150C" w:rsidRDefault="00555B43" w:rsidP="00555B43">
      <w:pPr>
        <w:tabs>
          <w:tab w:val="clear" w:pos="284"/>
        </w:tabs>
        <w:autoSpaceDE w:val="0"/>
        <w:autoSpaceDN w:val="0"/>
        <w:adjustRightInd w:val="0"/>
        <w:rPr>
          <w:noProof/>
          <w:szCs w:val="22"/>
          <w:vertAlign w:val="superscript"/>
          <w:lang w:val="sr-Latn-BA"/>
        </w:rPr>
      </w:pPr>
      <w:r w:rsidRPr="0051150C">
        <w:rPr>
          <w:noProof/>
          <w:szCs w:val="22"/>
          <w:vertAlign w:val="superscript"/>
          <w:lang w:val="sr-Latn-BA"/>
        </w:rPr>
        <w:t xml:space="preserve">a </w:t>
      </w:r>
      <w:r w:rsidRPr="0051150C">
        <w:rPr>
          <w:noProof/>
          <w:szCs w:val="22"/>
          <w:vertAlign w:val="superscript"/>
          <w:lang w:val="sr-Latn-BA"/>
        </w:rPr>
        <w:tab/>
      </w:r>
      <w:r w:rsidRPr="0051150C">
        <w:rPr>
          <w:noProof/>
          <w:szCs w:val="22"/>
          <w:lang w:val="sr-Latn-BA"/>
        </w:rPr>
        <w:t>Spontani izv</w:t>
      </w:r>
      <w:r w:rsidR="00DA01A2" w:rsidRPr="0051150C">
        <w:rPr>
          <w:noProof/>
          <w:szCs w:val="22"/>
          <w:lang w:val="sr-Latn-BA"/>
        </w:rPr>
        <w:t>j</w:t>
      </w:r>
      <w:r w:rsidRPr="0051150C">
        <w:rPr>
          <w:noProof/>
          <w:szCs w:val="22"/>
          <w:lang w:val="sr-Latn-BA"/>
        </w:rPr>
        <w:t>eštaji iz postmarketinškog iskustva</w:t>
      </w:r>
      <w:r w:rsidR="001C5676">
        <w:rPr>
          <w:noProof/>
          <w:szCs w:val="22"/>
          <w:lang w:val="sr-Latn-BA"/>
        </w:rPr>
        <w:t>.</w:t>
      </w:r>
    </w:p>
    <w:p w14:paraId="4A821490" w14:textId="04F7A1B2" w:rsidR="00555B43" w:rsidRPr="0051150C" w:rsidRDefault="00555B43" w:rsidP="00555B43">
      <w:pPr>
        <w:tabs>
          <w:tab w:val="clear" w:pos="284"/>
        </w:tabs>
        <w:autoSpaceDE w:val="0"/>
        <w:autoSpaceDN w:val="0"/>
        <w:adjustRightInd w:val="0"/>
        <w:ind w:left="720" w:hanging="720"/>
        <w:rPr>
          <w:noProof/>
          <w:szCs w:val="22"/>
          <w:lang w:val="sr-Latn-BA"/>
        </w:rPr>
      </w:pPr>
      <w:r w:rsidRPr="0051150C">
        <w:rPr>
          <w:noProof/>
          <w:szCs w:val="22"/>
          <w:vertAlign w:val="superscript"/>
          <w:lang w:val="sr-Latn-BA"/>
        </w:rPr>
        <w:t>b</w:t>
      </w:r>
      <w:r w:rsidRPr="0051150C">
        <w:rPr>
          <w:noProof/>
          <w:szCs w:val="22"/>
          <w:lang w:val="sr-Latn-BA"/>
        </w:rPr>
        <w:t xml:space="preserve"> </w:t>
      </w:r>
      <w:r w:rsidRPr="0051150C">
        <w:rPr>
          <w:noProof/>
          <w:szCs w:val="22"/>
          <w:lang w:val="sr-Latn-BA"/>
        </w:rPr>
        <w:tab/>
        <w:t xml:space="preserve">Povećanje </w:t>
      </w:r>
      <w:r w:rsidR="00096FAA" w:rsidRPr="0051150C">
        <w:rPr>
          <w:noProof/>
          <w:szCs w:val="22"/>
          <w:lang w:val="sr-Latn-BA"/>
        </w:rPr>
        <w:t>vrijednost</w:t>
      </w:r>
      <w:r w:rsidRPr="0051150C">
        <w:rPr>
          <w:noProof/>
          <w:szCs w:val="22"/>
          <w:lang w:val="sr-Latn-BA"/>
        </w:rPr>
        <w:t xml:space="preserve">i alanin aminotransferaze i/ili povećanje </w:t>
      </w:r>
      <w:r w:rsidR="00096FAA" w:rsidRPr="0051150C">
        <w:rPr>
          <w:noProof/>
          <w:szCs w:val="22"/>
          <w:lang w:val="sr-Latn-BA"/>
        </w:rPr>
        <w:t>vrijednost</w:t>
      </w:r>
      <w:r w:rsidRPr="0051150C">
        <w:rPr>
          <w:noProof/>
          <w:szCs w:val="22"/>
          <w:lang w:val="sr-Latn-BA"/>
        </w:rPr>
        <w:t>i aspartat aminotransfera</w:t>
      </w:r>
      <w:r w:rsidR="00DA01A2" w:rsidRPr="0051150C">
        <w:rPr>
          <w:noProof/>
          <w:szCs w:val="22"/>
          <w:lang w:val="sr-Latn-BA"/>
        </w:rPr>
        <w:t>z</w:t>
      </w:r>
      <w:r w:rsidRPr="0051150C">
        <w:rPr>
          <w:noProof/>
          <w:szCs w:val="22"/>
          <w:lang w:val="sr-Latn-BA"/>
        </w:rPr>
        <w:t>e</w:t>
      </w:r>
      <w:r w:rsidR="001C5676">
        <w:rPr>
          <w:noProof/>
          <w:szCs w:val="22"/>
          <w:lang w:val="sr-Latn-BA"/>
        </w:rPr>
        <w:t>,</w:t>
      </w:r>
      <w:r w:rsidRPr="0051150C">
        <w:rPr>
          <w:noProof/>
          <w:szCs w:val="22"/>
          <w:lang w:val="sr-Latn-BA"/>
        </w:rPr>
        <w:t xml:space="preserve"> uključujući povećanje </w:t>
      </w:r>
      <w:r w:rsidR="00096FAA" w:rsidRPr="0051150C">
        <w:rPr>
          <w:noProof/>
          <w:szCs w:val="22"/>
          <w:lang w:val="sr-Latn-BA"/>
        </w:rPr>
        <w:t>vrijednost</w:t>
      </w:r>
      <w:r w:rsidRPr="0051150C">
        <w:rPr>
          <w:noProof/>
          <w:szCs w:val="22"/>
          <w:lang w:val="sr-Latn-BA"/>
        </w:rPr>
        <w:t xml:space="preserve">i ALT, povećanje </w:t>
      </w:r>
      <w:r w:rsidR="00096FAA" w:rsidRPr="0051150C">
        <w:rPr>
          <w:noProof/>
          <w:szCs w:val="22"/>
          <w:lang w:val="sr-Latn-BA"/>
        </w:rPr>
        <w:t>vrijednost</w:t>
      </w:r>
      <w:r w:rsidRPr="0051150C">
        <w:rPr>
          <w:noProof/>
          <w:szCs w:val="22"/>
          <w:lang w:val="sr-Latn-BA"/>
        </w:rPr>
        <w:t>i AST i abnormalnu funkciju jetre.</w:t>
      </w:r>
    </w:p>
    <w:p w14:paraId="15F04D57" w14:textId="6FF759C9" w:rsidR="00555B43" w:rsidRPr="0051150C" w:rsidRDefault="00555B43" w:rsidP="00555B43">
      <w:pPr>
        <w:tabs>
          <w:tab w:val="clear" w:pos="284"/>
        </w:tabs>
        <w:autoSpaceDE w:val="0"/>
        <w:autoSpaceDN w:val="0"/>
        <w:adjustRightInd w:val="0"/>
        <w:ind w:left="720" w:hanging="720"/>
        <w:rPr>
          <w:noProof/>
          <w:szCs w:val="22"/>
          <w:lang w:val="sr-Latn-BA"/>
        </w:rPr>
      </w:pPr>
    </w:p>
    <w:p w14:paraId="39527B45" w14:textId="68231F47" w:rsidR="00945807" w:rsidRPr="0051150C" w:rsidRDefault="00555B43" w:rsidP="00555B43">
      <w:pPr>
        <w:tabs>
          <w:tab w:val="clear" w:pos="284"/>
        </w:tabs>
        <w:autoSpaceDE w:val="0"/>
        <w:autoSpaceDN w:val="0"/>
        <w:adjustRightInd w:val="0"/>
        <w:rPr>
          <w:noProof/>
          <w:szCs w:val="22"/>
          <w:lang w:val="sr-Latn-BA"/>
        </w:rPr>
      </w:pPr>
      <w:r w:rsidRPr="0051150C">
        <w:rPr>
          <w:noProof/>
          <w:szCs w:val="22"/>
          <w:lang w:val="sr-Latn-BA"/>
        </w:rPr>
        <w:t>Kod pacijenata koji su uzimali abirateron</w:t>
      </w:r>
      <w:r w:rsidR="00402825" w:rsidRPr="0051150C">
        <w:rPr>
          <w:noProof/>
          <w:szCs w:val="22"/>
          <w:lang w:val="sr-Latn-BA"/>
        </w:rPr>
        <w:t xml:space="preserve"> </w:t>
      </w:r>
      <w:r w:rsidRPr="0051150C">
        <w:rPr>
          <w:noProof/>
          <w:szCs w:val="22"/>
          <w:lang w:val="sr-Latn-BA"/>
        </w:rPr>
        <w:t>acetat zab</w:t>
      </w:r>
      <w:r w:rsidR="00DA01A2" w:rsidRPr="0051150C">
        <w:rPr>
          <w:noProof/>
          <w:szCs w:val="22"/>
          <w:lang w:val="sr-Latn-BA"/>
        </w:rPr>
        <w:t>i</w:t>
      </w:r>
      <w:r w:rsidRPr="0051150C">
        <w:rPr>
          <w:noProof/>
          <w:szCs w:val="22"/>
          <w:lang w:val="sr-Latn-BA"/>
        </w:rPr>
        <w:t>l</w:t>
      </w:r>
      <w:r w:rsidR="00DA01A2" w:rsidRPr="0051150C">
        <w:rPr>
          <w:noProof/>
          <w:szCs w:val="22"/>
          <w:lang w:val="sr-Latn-BA"/>
        </w:rPr>
        <w:t>j</w:t>
      </w:r>
      <w:r w:rsidRPr="0051150C">
        <w:rPr>
          <w:noProof/>
          <w:szCs w:val="22"/>
          <w:lang w:val="sr-Latn-BA"/>
        </w:rPr>
        <w:t>ežene su sl</w:t>
      </w:r>
      <w:r w:rsidR="00DA01A2" w:rsidRPr="0051150C">
        <w:rPr>
          <w:noProof/>
          <w:szCs w:val="22"/>
          <w:lang w:val="sr-Latn-BA"/>
        </w:rPr>
        <w:t>j</w:t>
      </w:r>
      <w:r w:rsidRPr="0051150C">
        <w:rPr>
          <w:noProof/>
          <w:szCs w:val="22"/>
          <w:lang w:val="sr-Latn-BA"/>
        </w:rPr>
        <w:t>edeće neželjene reakcije stepena 3 prema CTCAE (verzija 4.0): hipokal</w:t>
      </w:r>
      <w:r w:rsidR="001C5676">
        <w:rPr>
          <w:noProof/>
          <w:szCs w:val="22"/>
          <w:lang w:val="sr-Latn-BA"/>
        </w:rPr>
        <w:t>ij</w:t>
      </w:r>
      <w:r w:rsidRPr="0051150C">
        <w:rPr>
          <w:noProof/>
          <w:szCs w:val="22"/>
          <w:lang w:val="sr-Latn-BA"/>
        </w:rPr>
        <w:t xml:space="preserve">emija 5%; infekcija urinarnog trakta 2%; povećanje </w:t>
      </w:r>
      <w:r w:rsidR="00096FAA" w:rsidRPr="0051150C">
        <w:rPr>
          <w:noProof/>
          <w:szCs w:val="22"/>
          <w:lang w:val="sr-Latn-BA"/>
        </w:rPr>
        <w:t>vrijednost</w:t>
      </w:r>
      <w:r w:rsidRPr="0051150C">
        <w:rPr>
          <w:noProof/>
          <w:szCs w:val="22"/>
          <w:lang w:val="sr-Latn-BA"/>
        </w:rPr>
        <w:t>i alanin aminotransferaze i/ili aspartat aminotransferaze 4%; hipertenzija 6%; frakture 2%; periferni edemi, srčana insuficijenc</w:t>
      </w:r>
      <w:r w:rsidR="00945807" w:rsidRPr="0051150C">
        <w:rPr>
          <w:noProof/>
          <w:szCs w:val="22"/>
          <w:lang w:val="sr-Latn-BA"/>
        </w:rPr>
        <w:t>ija i atrijalna fibrilacija, po 1%</w:t>
      </w:r>
      <w:r w:rsidRPr="0051150C">
        <w:rPr>
          <w:noProof/>
          <w:szCs w:val="22"/>
          <w:lang w:val="sr-Latn-BA"/>
        </w:rPr>
        <w:t xml:space="preserve">. Hipertrigliceridemija i angina pektoris stepena 3 prema CTCAE (verzija 4.0) javile su se kod &lt; 1% pacijenata. Infekcija urinarnog trakta, povećanje </w:t>
      </w:r>
      <w:r w:rsidR="00096FAA" w:rsidRPr="0051150C">
        <w:rPr>
          <w:noProof/>
          <w:szCs w:val="22"/>
          <w:lang w:val="sr-Latn-BA"/>
        </w:rPr>
        <w:t>vrijednost</w:t>
      </w:r>
      <w:r w:rsidRPr="0051150C">
        <w:rPr>
          <w:noProof/>
          <w:szCs w:val="22"/>
          <w:lang w:val="sr-Latn-BA"/>
        </w:rPr>
        <w:t xml:space="preserve">i alanin </w:t>
      </w:r>
      <w:r w:rsidR="00945807" w:rsidRPr="0051150C">
        <w:rPr>
          <w:noProof/>
          <w:szCs w:val="22"/>
          <w:lang w:val="sr-Latn-BA"/>
        </w:rPr>
        <w:t xml:space="preserve">aminotransferaze i/ili </w:t>
      </w:r>
      <w:r w:rsidRPr="0051150C">
        <w:rPr>
          <w:noProof/>
          <w:szCs w:val="22"/>
          <w:lang w:val="sr-Latn-BA"/>
        </w:rPr>
        <w:t>aspartat aminotransferaze, hipokal</w:t>
      </w:r>
      <w:r w:rsidR="001C5676">
        <w:rPr>
          <w:noProof/>
          <w:szCs w:val="22"/>
          <w:lang w:val="sr-Latn-BA"/>
        </w:rPr>
        <w:t>ij</w:t>
      </w:r>
      <w:r w:rsidRPr="0051150C">
        <w:rPr>
          <w:noProof/>
          <w:szCs w:val="22"/>
          <w:lang w:val="sr-Latn-BA"/>
        </w:rPr>
        <w:t xml:space="preserve">emija, srčana insuficijencija, atrijalna fibrilacija i </w:t>
      </w:r>
      <w:r w:rsidR="00945807" w:rsidRPr="0051150C">
        <w:rPr>
          <w:noProof/>
          <w:szCs w:val="22"/>
          <w:lang w:val="sr-Latn-BA"/>
        </w:rPr>
        <w:t>frakture</w:t>
      </w:r>
      <w:r w:rsidRPr="0051150C">
        <w:rPr>
          <w:noProof/>
          <w:szCs w:val="22"/>
          <w:lang w:val="sr-Latn-BA"/>
        </w:rPr>
        <w:t xml:space="preserve"> stepena 4 prema CTCAE (verzija 4.0) zab</w:t>
      </w:r>
      <w:r w:rsidR="00DA01A2" w:rsidRPr="0051150C">
        <w:rPr>
          <w:noProof/>
          <w:szCs w:val="22"/>
          <w:lang w:val="sr-Latn-BA"/>
        </w:rPr>
        <w:t>i</w:t>
      </w:r>
      <w:r w:rsidRPr="0051150C">
        <w:rPr>
          <w:noProof/>
          <w:szCs w:val="22"/>
          <w:lang w:val="sr-Latn-BA"/>
        </w:rPr>
        <w:t>l</w:t>
      </w:r>
      <w:r w:rsidR="00DA01A2" w:rsidRPr="0051150C">
        <w:rPr>
          <w:noProof/>
          <w:szCs w:val="22"/>
          <w:lang w:val="sr-Latn-BA"/>
        </w:rPr>
        <w:t>j</w:t>
      </w:r>
      <w:r w:rsidRPr="0051150C">
        <w:rPr>
          <w:noProof/>
          <w:szCs w:val="22"/>
          <w:lang w:val="sr-Latn-BA"/>
        </w:rPr>
        <w:t xml:space="preserve">eženi su kod &lt; 1% pacijenata. </w:t>
      </w:r>
    </w:p>
    <w:p w14:paraId="6C81F5A7" w14:textId="77777777" w:rsidR="00945807" w:rsidRPr="0051150C" w:rsidRDefault="00945807" w:rsidP="00555B43">
      <w:pPr>
        <w:tabs>
          <w:tab w:val="clear" w:pos="284"/>
        </w:tabs>
        <w:autoSpaceDE w:val="0"/>
        <w:autoSpaceDN w:val="0"/>
        <w:adjustRightInd w:val="0"/>
        <w:rPr>
          <w:noProof/>
          <w:szCs w:val="22"/>
          <w:lang w:val="sr-Latn-BA"/>
        </w:rPr>
      </w:pPr>
    </w:p>
    <w:p w14:paraId="525CC31B" w14:textId="5424C738" w:rsidR="00945807" w:rsidRPr="0051150C" w:rsidRDefault="00555B43" w:rsidP="00555B43">
      <w:pPr>
        <w:tabs>
          <w:tab w:val="clear" w:pos="284"/>
        </w:tabs>
        <w:autoSpaceDE w:val="0"/>
        <w:autoSpaceDN w:val="0"/>
        <w:adjustRightInd w:val="0"/>
        <w:rPr>
          <w:noProof/>
          <w:szCs w:val="22"/>
          <w:lang w:val="sr-Latn-BA"/>
        </w:rPr>
      </w:pPr>
      <w:r w:rsidRPr="0051150C">
        <w:rPr>
          <w:noProof/>
          <w:szCs w:val="22"/>
          <w:lang w:val="sr-Latn-BA"/>
        </w:rPr>
        <w:t>Veća incidenca hipe</w:t>
      </w:r>
      <w:r w:rsidR="00945807" w:rsidRPr="0051150C">
        <w:rPr>
          <w:noProof/>
          <w:szCs w:val="22"/>
          <w:lang w:val="sr-Latn-BA"/>
        </w:rPr>
        <w:t>r</w:t>
      </w:r>
      <w:r w:rsidRPr="0051150C">
        <w:rPr>
          <w:noProof/>
          <w:szCs w:val="22"/>
          <w:lang w:val="sr-Latn-BA"/>
        </w:rPr>
        <w:t>tenzije i hipokal</w:t>
      </w:r>
      <w:r w:rsidR="001C5676">
        <w:rPr>
          <w:noProof/>
          <w:szCs w:val="22"/>
          <w:lang w:val="sr-Latn-BA"/>
        </w:rPr>
        <w:t>ij</w:t>
      </w:r>
      <w:r w:rsidRPr="0051150C">
        <w:rPr>
          <w:noProof/>
          <w:szCs w:val="22"/>
          <w:lang w:val="sr-Latn-BA"/>
        </w:rPr>
        <w:t xml:space="preserve">emije je </w:t>
      </w:r>
      <w:r w:rsidR="00945807" w:rsidRPr="0051150C">
        <w:rPr>
          <w:noProof/>
          <w:szCs w:val="22"/>
          <w:lang w:val="sr-Latn-BA"/>
        </w:rPr>
        <w:t>uočena</w:t>
      </w:r>
      <w:r w:rsidRPr="0051150C">
        <w:rPr>
          <w:noProof/>
          <w:szCs w:val="22"/>
          <w:lang w:val="sr-Latn-BA"/>
        </w:rPr>
        <w:t xml:space="preserve"> kod hormonski os</w:t>
      </w:r>
      <w:r w:rsidR="00DA01A2" w:rsidRPr="0051150C">
        <w:rPr>
          <w:noProof/>
          <w:szCs w:val="22"/>
          <w:lang w:val="sr-Latn-BA"/>
        </w:rPr>
        <w:t>j</w:t>
      </w:r>
      <w:r w:rsidRPr="0051150C">
        <w:rPr>
          <w:noProof/>
          <w:szCs w:val="22"/>
          <w:lang w:val="sr-Latn-BA"/>
        </w:rPr>
        <w:t>etljive populacije (studija 3011). Hipertenzija je bila prijavljena kod 36,7% pacijenata kod hormonski os</w:t>
      </w:r>
      <w:r w:rsidR="00DA01A2" w:rsidRPr="0051150C">
        <w:rPr>
          <w:noProof/>
          <w:szCs w:val="22"/>
          <w:lang w:val="sr-Latn-BA"/>
        </w:rPr>
        <w:t>j</w:t>
      </w:r>
      <w:r w:rsidRPr="0051150C">
        <w:rPr>
          <w:noProof/>
          <w:szCs w:val="22"/>
          <w:lang w:val="sr-Latn-BA"/>
        </w:rPr>
        <w:t>etljive populacije (studija 3011) u odnosu na 11,8% pacijenata u studiji 301, odnosno 20,2% pacijenata u studiji 302. Hipokal</w:t>
      </w:r>
      <w:r w:rsidR="001C5676">
        <w:rPr>
          <w:noProof/>
          <w:szCs w:val="22"/>
          <w:lang w:val="sr-Latn-BA"/>
        </w:rPr>
        <w:t>ij</w:t>
      </w:r>
      <w:r w:rsidRPr="0051150C">
        <w:rPr>
          <w:noProof/>
          <w:szCs w:val="22"/>
          <w:lang w:val="sr-Latn-BA"/>
        </w:rPr>
        <w:t>emija je zab</w:t>
      </w:r>
      <w:r w:rsidR="00DA01A2" w:rsidRPr="0051150C">
        <w:rPr>
          <w:noProof/>
          <w:szCs w:val="22"/>
          <w:lang w:val="sr-Latn-BA"/>
        </w:rPr>
        <w:t>i</w:t>
      </w:r>
      <w:r w:rsidRPr="0051150C">
        <w:rPr>
          <w:noProof/>
          <w:szCs w:val="22"/>
          <w:lang w:val="sr-Latn-BA"/>
        </w:rPr>
        <w:t>l</w:t>
      </w:r>
      <w:r w:rsidR="00DA01A2" w:rsidRPr="0051150C">
        <w:rPr>
          <w:noProof/>
          <w:szCs w:val="22"/>
          <w:lang w:val="sr-Latn-BA"/>
        </w:rPr>
        <w:t>j</w:t>
      </w:r>
      <w:r w:rsidRPr="0051150C">
        <w:rPr>
          <w:noProof/>
          <w:szCs w:val="22"/>
          <w:lang w:val="sr-Latn-BA"/>
        </w:rPr>
        <w:t>ežena kod 20,4% pacijenata kod hormonski os</w:t>
      </w:r>
      <w:r w:rsidR="00DA01A2" w:rsidRPr="0051150C">
        <w:rPr>
          <w:noProof/>
          <w:szCs w:val="22"/>
          <w:lang w:val="sr-Latn-BA"/>
        </w:rPr>
        <w:t>j</w:t>
      </w:r>
      <w:r w:rsidRPr="0051150C">
        <w:rPr>
          <w:noProof/>
          <w:szCs w:val="22"/>
          <w:lang w:val="sr-Latn-BA"/>
        </w:rPr>
        <w:t>etljive populacije (studija 3011) u odnosu na 19,2% pacijenata u studiji 301</w:t>
      </w:r>
      <w:r w:rsidR="00DA01A2" w:rsidRPr="0051150C">
        <w:rPr>
          <w:noProof/>
          <w:szCs w:val="22"/>
          <w:lang w:val="sr-Latn-BA"/>
        </w:rPr>
        <w:t>,</w:t>
      </w:r>
      <w:r w:rsidRPr="0051150C">
        <w:rPr>
          <w:noProof/>
          <w:szCs w:val="22"/>
          <w:lang w:val="sr-Latn-BA"/>
        </w:rPr>
        <w:t xml:space="preserve"> odnosno 14,9% pacijenata u studiji 302. </w:t>
      </w:r>
    </w:p>
    <w:p w14:paraId="400CFF44" w14:textId="77777777" w:rsidR="00945807" w:rsidRPr="0051150C" w:rsidRDefault="00945807" w:rsidP="00555B43">
      <w:pPr>
        <w:tabs>
          <w:tab w:val="clear" w:pos="284"/>
        </w:tabs>
        <w:autoSpaceDE w:val="0"/>
        <w:autoSpaceDN w:val="0"/>
        <w:adjustRightInd w:val="0"/>
        <w:rPr>
          <w:noProof/>
          <w:szCs w:val="22"/>
          <w:lang w:val="sr-Latn-BA"/>
        </w:rPr>
      </w:pPr>
    </w:p>
    <w:p w14:paraId="7E3189A8" w14:textId="59DAC86F" w:rsidR="00555B43" w:rsidRPr="0051150C" w:rsidRDefault="00555B43" w:rsidP="00555B43">
      <w:pPr>
        <w:tabs>
          <w:tab w:val="clear" w:pos="284"/>
        </w:tabs>
        <w:autoSpaceDE w:val="0"/>
        <w:autoSpaceDN w:val="0"/>
        <w:adjustRightInd w:val="0"/>
        <w:rPr>
          <w:noProof/>
          <w:szCs w:val="22"/>
          <w:lang w:val="sr-Latn-BA"/>
        </w:rPr>
      </w:pPr>
      <w:r w:rsidRPr="0051150C">
        <w:rPr>
          <w:noProof/>
          <w:szCs w:val="22"/>
          <w:lang w:val="sr-Latn-BA"/>
        </w:rPr>
        <w:t xml:space="preserve">Incidenca i težina neželjenih događaja je bila veća u podgrupi pacijenata sa početnom </w:t>
      </w:r>
      <w:r w:rsidR="00096FAA" w:rsidRPr="0051150C">
        <w:rPr>
          <w:noProof/>
          <w:szCs w:val="22"/>
          <w:lang w:val="sr-Latn-BA"/>
        </w:rPr>
        <w:t>vrijednost</w:t>
      </w:r>
      <w:r w:rsidRPr="0051150C">
        <w:rPr>
          <w:noProof/>
          <w:szCs w:val="22"/>
          <w:lang w:val="sr-Latn-BA"/>
        </w:rPr>
        <w:t xml:space="preserve">i </w:t>
      </w:r>
      <w:r w:rsidR="003C5F8C" w:rsidRPr="0051150C">
        <w:rPr>
          <w:noProof/>
          <w:szCs w:val="22"/>
          <w:lang w:val="sr-Latn-BA"/>
        </w:rPr>
        <w:t>ECOG funkcionalnog statusa 2 (</w:t>
      </w:r>
      <w:r w:rsidRPr="0051150C">
        <w:rPr>
          <w:noProof/>
          <w:szCs w:val="22"/>
          <w:lang w:val="sr-Latn-BA"/>
        </w:rPr>
        <w:t>prema klasifikaciji Istočne kooperativne onkološke grupe</w:t>
      </w:r>
      <w:r w:rsidR="003C5F8C" w:rsidRPr="0051150C">
        <w:rPr>
          <w:noProof/>
          <w:szCs w:val="22"/>
          <w:lang w:val="sr-Latn-BA"/>
        </w:rPr>
        <w:t xml:space="preserve">; </w:t>
      </w:r>
      <w:r w:rsidRPr="0051150C">
        <w:rPr>
          <w:noProof/>
          <w:szCs w:val="22"/>
          <w:lang w:val="sr-Latn-BA"/>
        </w:rPr>
        <w:t xml:space="preserve">engl. </w:t>
      </w:r>
      <w:r w:rsidRPr="0051150C">
        <w:rPr>
          <w:i/>
          <w:iCs/>
          <w:noProof/>
          <w:szCs w:val="22"/>
          <w:lang w:val="sr-Latn-BA"/>
        </w:rPr>
        <w:t>Eastern Cooperative Oncology Group</w:t>
      </w:r>
      <w:r w:rsidRPr="0051150C">
        <w:rPr>
          <w:noProof/>
          <w:szCs w:val="22"/>
          <w:lang w:val="sr-Latn-BA"/>
        </w:rPr>
        <w:t>, ECOG</w:t>
      </w:r>
      <w:r w:rsidR="003C5F8C" w:rsidRPr="0051150C">
        <w:rPr>
          <w:noProof/>
          <w:szCs w:val="22"/>
          <w:lang w:val="sr-Latn-BA"/>
        </w:rPr>
        <w:t>))</w:t>
      </w:r>
      <w:r w:rsidR="001C5676">
        <w:rPr>
          <w:noProof/>
          <w:szCs w:val="22"/>
          <w:lang w:val="sr-Latn-BA"/>
        </w:rPr>
        <w:t>,</w:t>
      </w:r>
      <w:r w:rsidR="003C5F8C" w:rsidRPr="0051150C">
        <w:rPr>
          <w:noProof/>
          <w:szCs w:val="22"/>
          <w:lang w:val="sr-Latn-BA"/>
        </w:rPr>
        <w:t xml:space="preserve"> kao i</w:t>
      </w:r>
      <w:r w:rsidRPr="0051150C">
        <w:rPr>
          <w:noProof/>
          <w:szCs w:val="22"/>
          <w:lang w:val="sr-Latn-BA"/>
        </w:rPr>
        <w:t xml:space="preserve"> kod starijih pacijenata (≥75 godina).</w:t>
      </w:r>
    </w:p>
    <w:p w14:paraId="30E8050C" w14:textId="77777777" w:rsidR="00555B43" w:rsidRPr="0051150C" w:rsidRDefault="00555B43" w:rsidP="00555B43">
      <w:pPr>
        <w:tabs>
          <w:tab w:val="clear" w:pos="284"/>
        </w:tabs>
        <w:autoSpaceDE w:val="0"/>
        <w:autoSpaceDN w:val="0"/>
        <w:adjustRightInd w:val="0"/>
        <w:rPr>
          <w:noProof/>
          <w:szCs w:val="22"/>
          <w:lang w:val="sr-Latn-BA"/>
        </w:rPr>
      </w:pPr>
    </w:p>
    <w:p w14:paraId="4D7ADEC0" w14:textId="121E5678" w:rsidR="00555B43" w:rsidRPr="0051150C" w:rsidRDefault="00555B43" w:rsidP="00555B43">
      <w:pPr>
        <w:tabs>
          <w:tab w:val="clear" w:pos="284"/>
        </w:tabs>
        <w:autoSpaceDE w:val="0"/>
        <w:autoSpaceDN w:val="0"/>
        <w:adjustRightInd w:val="0"/>
        <w:rPr>
          <w:noProof/>
          <w:szCs w:val="22"/>
          <w:u w:val="single"/>
          <w:lang w:val="sr-Latn-BA"/>
        </w:rPr>
      </w:pPr>
      <w:r w:rsidRPr="0051150C">
        <w:rPr>
          <w:noProof/>
          <w:szCs w:val="22"/>
          <w:u w:val="single"/>
          <w:lang w:val="sr-Latn-BA"/>
        </w:rPr>
        <w:t>Opis odabranih neželjenih reakcija</w:t>
      </w:r>
    </w:p>
    <w:p w14:paraId="7DC05B2A" w14:textId="77777777" w:rsidR="00555B43" w:rsidRPr="0051150C" w:rsidRDefault="00555B43" w:rsidP="00555B43">
      <w:pPr>
        <w:tabs>
          <w:tab w:val="clear" w:pos="284"/>
        </w:tabs>
        <w:autoSpaceDE w:val="0"/>
        <w:autoSpaceDN w:val="0"/>
        <w:adjustRightInd w:val="0"/>
        <w:rPr>
          <w:i/>
          <w:iCs/>
          <w:noProof/>
          <w:szCs w:val="22"/>
          <w:lang w:val="sr-Latn-BA"/>
        </w:rPr>
      </w:pPr>
      <w:r w:rsidRPr="0051150C">
        <w:rPr>
          <w:i/>
          <w:iCs/>
          <w:noProof/>
          <w:szCs w:val="22"/>
          <w:lang w:val="sr-Latn-BA"/>
        </w:rPr>
        <w:t>Kardiovaskularne reakcije</w:t>
      </w:r>
    </w:p>
    <w:p w14:paraId="7F3C74D1" w14:textId="3CA8CCD8" w:rsidR="00555B43" w:rsidRPr="0051150C" w:rsidRDefault="00555B43" w:rsidP="002E4C62">
      <w:pPr>
        <w:tabs>
          <w:tab w:val="clear" w:pos="284"/>
        </w:tabs>
        <w:autoSpaceDE w:val="0"/>
        <w:autoSpaceDN w:val="0"/>
        <w:adjustRightInd w:val="0"/>
        <w:rPr>
          <w:noProof/>
          <w:szCs w:val="22"/>
          <w:lang w:val="sr-Latn-BA"/>
        </w:rPr>
      </w:pPr>
      <w:r w:rsidRPr="0051150C">
        <w:rPr>
          <w:noProof/>
          <w:szCs w:val="22"/>
          <w:lang w:val="sr-Latn-BA"/>
        </w:rPr>
        <w:t xml:space="preserve">Iz tri studije faze </w:t>
      </w:r>
      <w:r w:rsidR="001C5676">
        <w:rPr>
          <w:noProof/>
          <w:szCs w:val="22"/>
          <w:lang w:val="sr-Latn-BA"/>
        </w:rPr>
        <w:t>III</w:t>
      </w:r>
      <w:r w:rsidR="001C5676" w:rsidRPr="0051150C">
        <w:rPr>
          <w:noProof/>
          <w:szCs w:val="22"/>
          <w:lang w:val="sr-Latn-BA"/>
        </w:rPr>
        <w:t xml:space="preserve"> </w:t>
      </w:r>
      <w:r w:rsidRPr="0051150C">
        <w:rPr>
          <w:noProof/>
          <w:szCs w:val="22"/>
          <w:lang w:val="sr-Latn-BA"/>
        </w:rPr>
        <w:t>isključeni su pacijenti sa nekontrolisanom hipertenzijom, klinički značajnim</w:t>
      </w:r>
      <w:r w:rsidR="002E4C62" w:rsidRPr="0051150C">
        <w:rPr>
          <w:noProof/>
          <w:szCs w:val="22"/>
          <w:lang w:val="sr-Latn-BA"/>
        </w:rPr>
        <w:t xml:space="preserve"> </w:t>
      </w:r>
      <w:r w:rsidRPr="0051150C">
        <w:rPr>
          <w:noProof/>
          <w:szCs w:val="22"/>
          <w:lang w:val="sr-Latn-BA"/>
        </w:rPr>
        <w:t>oboljenjem srca što se manifestovalo infarktom miokarda, ili arterijskim trombotičkim događajima u</w:t>
      </w:r>
      <w:r w:rsidR="002E4C62" w:rsidRPr="0051150C">
        <w:rPr>
          <w:noProof/>
          <w:szCs w:val="22"/>
          <w:lang w:val="sr-Latn-BA"/>
        </w:rPr>
        <w:t xml:space="preserve"> </w:t>
      </w:r>
      <w:r w:rsidRPr="0051150C">
        <w:rPr>
          <w:noProof/>
          <w:szCs w:val="22"/>
          <w:lang w:val="sr-Latn-BA"/>
        </w:rPr>
        <w:t>prethodnih 6 m</w:t>
      </w:r>
      <w:r w:rsidR="00A120E1" w:rsidRPr="0051150C">
        <w:rPr>
          <w:noProof/>
          <w:szCs w:val="22"/>
          <w:lang w:val="sr-Latn-BA"/>
        </w:rPr>
        <w:t>j</w:t>
      </w:r>
      <w:r w:rsidRPr="0051150C">
        <w:rPr>
          <w:noProof/>
          <w:szCs w:val="22"/>
          <w:lang w:val="sr-Latn-BA"/>
        </w:rPr>
        <w:t>eseci, teškom ili nestabilnom anginom, ili srčanom insuficijencijom klase III ili IV po</w:t>
      </w:r>
      <w:r w:rsidR="002E4C62" w:rsidRPr="0051150C">
        <w:rPr>
          <w:noProof/>
          <w:szCs w:val="22"/>
          <w:lang w:val="sr-Latn-BA"/>
        </w:rPr>
        <w:t xml:space="preserve"> </w:t>
      </w:r>
      <w:r w:rsidRPr="0051150C">
        <w:rPr>
          <w:noProof/>
          <w:szCs w:val="22"/>
          <w:lang w:val="sr-Latn-BA"/>
        </w:rPr>
        <w:t>klasifikaciji NYHA (studija 301) ili srčanom insuficijencijom klase II ili IV po klasifikaciji NYHA</w:t>
      </w:r>
      <w:r w:rsidR="002E4C62" w:rsidRPr="0051150C">
        <w:rPr>
          <w:noProof/>
          <w:szCs w:val="22"/>
          <w:lang w:val="sr-Latn-BA"/>
        </w:rPr>
        <w:t xml:space="preserve"> </w:t>
      </w:r>
      <w:r w:rsidRPr="0051150C">
        <w:rPr>
          <w:noProof/>
          <w:szCs w:val="22"/>
          <w:lang w:val="sr-Latn-BA"/>
        </w:rPr>
        <w:t>(studije 3011 i 302) ili kod kojih je ejekciona frakcija</w:t>
      </w:r>
      <w:r w:rsidR="003C5F8C" w:rsidRPr="0051150C">
        <w:rPr>
          <w:noProof/>
          <w:szCs w:val="22"/>
          <w:lang w:val="sr-Latn-BA"/>
        </w:rPr>
        <w:t xml:space="preserve"> srca</w:t>
      </w:r>
      <w:r w:rsidRPr="0051150C">
        <w:rPr>
          <w:noProof/>
          <w:szCs w:val="22"/>
          <w:lang w:val="sr-Latn-BA"/>
        </w:rPr>
        <w:t xml:space="preserve"> &lt; 50%. Svi uključeni pacijenti</w:t>
      </w:r>
      <w:r w:rsidR="002E4C62" w:rsidRPr="0051150C">
        <w:rPr>
          <w:noProof/>
          <w:szCs w:val="22"/>
          <w:lang w:val="sr-Latn-BA"/>
        </w:rPr>
        <w:t xml:space="preserve"> </w:t>
      </w:r>
      <w:r w:rsidRPr="0051150C">
        <w:rPr>
          <w:noProof/>
          <w:szCs w:val="22"/>
          <w:lang w:val="sr-Latn-BA"/>
        </w:rPr>
        <w:t xml:space="preserve">(i oni koji su uzimali aktivnu supstancu i </w:t>
      </w:r>
      <w:r w:rsidR="008B3DFE">
        <w:rPr>
          <w:noProof/>
          <w:szCs w:val="22"/>
          <w:lang w:val="sr-Latn-BA"/>
        </w:rPr>
        <w:t xml:space="preserve">oni </w:t>
      </w:r>
      <w:r w:rsidRPr="0051150C">
        <w:rPr>
          <w:noProof/>
          <w:szCs w:val="22"/>
          <w:lang w:val="sr-Latn-BA"/>
        </w:rPr>
        <w:t>koji su dobijali placebo) istovremeno su bili podvrgnuti</w:t>
      </w:r>
      <w:r w:rsidR="002E4C62" w:rsidRPr="0051150C">
        <w:rPr>
          <w:noProof/>
          <w:szCs w:val="22"/>
          <w:lang w:val="sr-Latn-BA"/>
        </w:rPr>
        <w:t xml:space="preserve"> </w:t>
      </w:r>
      <w:r w:rsidRPr="0051150C">
        <w:rPr>
          <w:noProof/>
          <w:szCs w:val="22"/>
          <w:lang w:val="sr-Latn-BA"/>
        </w:rPr>
        <w:t>androgen</w:t>
      </w:r>
      <w:r w:rsidR="009E7888">
        <w:rPr>
          <w:noProof/>
          <w:szCs w:val="22"/>
          <w:lang w:val="sr-Latn-BA"/>
        </w:rPr>
        <w:t xml:space="preserve"> </w:t>
      </w:r>
      <w:r w:rsidRPr="0051150C">
        <w:rPr>
          <w:noProof/>
          <w:szCs w:val="22"/>
          <w:lang w:val="sr-Latn-BA"/>
        </w:rPr>
        <w:t>deprivacionoj terapiji, uglavnom upotrebom analoga LHRH, što je bilo udruženo sa</w:t>
      </w:r>
      <w:r w:rsidR="002E4C62" w:rsidRPr="0051150C">
        <w:rPr>
          <w:noProof/>
          <w:szCs w:val="22"/>
          <w:lang w:val="sr-Latn-BA"/>
        </w:rPr>
        <w:t xml:space="preserve"> </w:t>
      </w:r>
      <w:r w:rsidRPr="0051150C">
        <w:rPr>
          <w:noProof/>
          <w:szCs w:val="22"/>
          <w:lang w:val="sr-Latn-BA"/>
        </w:rPr>
        <w:t>pojavom dijabetesa, infarkta miokarda, cerebrovaskularnog događaja i iznenadne srčane smrti.</w:t>
      </w:r>
      <w:r w:rsidR="002E4C62" w:rsidRPr="0051150C">
        <w:rPr>
          <w:noProof/>
          <w:szCs w:val="22"/>
          <w:lang w:val="sr-Latn-BA"/>
        </w:rPr>
        <w:t xml:space="preserve"> </w:t>
      </w:r>
      <w:r w:rsidRPr="0051150C">
        <w:rPr>
          <w:noProof/>
          <w:szCs w:val="22"/>
          <w:lang w:val="sr-Latn-BA"/>
        </w:rPr>
        <w:t xml:space="preserve">Incidenca kardiovaskularnih neželjenih reakcija u studijama faze </w:t>
      </w:r>
      <w:r w:rsidR="008B3DFE">
        <w:rPr>
          <w:noProof/>
          <w:szCs w:val="22"/>
          <w:lang w:val="sr-Latn-BA"/>
        </w:rPr>
        <w:t>III</w:t>
      </w:r>
      <w:r w:rsidR="008B3DFE" w:rsidRPr="0051150C">
        <w:rPr>
          <w:noProof/>
          <w:szCs w:val="22"/>
          <w:lang w:val="sr-Latn-BA"/>
        </w:rPr>
        <w:t xml:space="preserve"> </w:t>
      </w:r>
      <w:r w:rsidRPr="0051150C">
        <w:rPr>
          <w:noProof/>
          <w:szCs w:val="22"/>
          <w:lang w:val="sr-Latn-BA"/>
        </w:rPr>
        <w:t>kod pacijenata koji su uzimali</w:t>
      </w:r>
      <w:r w:rsidR="002E4C62" w:rsidRPr="0051150C">
        <w:rPr>
          <w:noProof/>
          <w:szCs w:val="22"/>
          <w:lang w:val="sr-Latn-BA"/>
        </w:rPr>
        <w:t xml:space="preserve"> </w:t>
      </w:r>
      <w:r w:rsidR="003C5F8C" w:rsidRPr="0051150C">
        <w:rPr>
          <w:noProof/>
          <w:szCs w:val="22"/>
          <w:lang w:val="sr-Latn-BA"/>
        </w:rPr>
        <w:t xml:space="preserve">abirateron </w:t>
      </w:r>
      <w:r w:rsidRPr="0051150C">
        <w:rPr>
          <w:noProof/>
          <w:szCs w:val="22"/>
          <w:lang w:val="sr-Latn-BA"/>
        </w:rPr>
        <w:t xml:space="preserve">acetat u odnosu na </w:t>
      </w:r>
      <w:r w:rsidR="003C5F8C" w:rsidRPr="0051150C">
        <w:rPr>
          <w:noProof/>
          <w:szCs w:val="22"/>
          <w:lang w:val="sr-Latn-BA"/>
        </w:rPr>
        <w:t>pacijente</w:t>
      </w:r>
      <w:r w:rsidRPr="0051150C">
        <w:rPr>
          <w:noProof/>
          <w:szCs w:val="22"/>
          <w:lang w:val="sr-Latn-BA"/>
        </w:rPr>
        <w:t xml:space="preserve"> koji su dobijali placebo bila je sl</w:t>
      </w:r>
      <w:r w:rsidR="00A120E1" w:rsidRPr="0051150C">
        <w:rPr>
          <w:noProof/>
          <w:szCs w:val="22"/>
          <w:lang w:val="sr-Latn-BA"/>
        </w:rPr>
        <w:t>j</w:t>
      </w:r>
      <w:r w:rsidRPr="0051150C">
        <w:rPr>
          <w:noProof/>
          <w:szCs w:val="22"/>
          <w:lang w:val="sr-Latn-BA"/>
        </w:rPr>
        <w:t>edeća: atrijalna fibrilacija</w:t>
      </w:r>
      <w:r w:rsidR="002E4C62" w:rsidRPr="0051150C">
        <w:rPr>
          <w:noProof/>
          <w:szCs w:val="22"/>
          <w:lang w:val="sr-Latn-BA"/>
        </w:rPr>
        <w:t xml:space="preserve"> </w:t>
      </w:r>
      <w:r w:rsidRPr="0051150C">
        <w:rPr>
          <w:noProof/>
          <w:szCs w:val="22"/>
          <w:lang w:val="sr-Latn-BA"/>
        </w:rPr>
        <w:t>2,6% u odnosu na 2,0%, tahikardija 1,9% u odnosu na 1,0%, angina pektoris 1,7% u odnosu na 0,8%,</w:t>
      </w:r>
      <w:r w:rsidR="002E4C62" w:rsidRPr="0051150C">
        <w:rPr>
          <w:noProof/>
          <w:szCs w:val="22"/>
          <w:lang w:val="sr-Latn-BA"/>
        </w:rPr>
        <w:t xml:space="preserve"> </w:t>
      </w:r>
      <w:r w:rsidRPr="0051150C">
        <w:rPr>
          <w:noProof/>
          <w:szCs w:val="22"/>
          <w:lang w:val="sr-Latn-BA"/>
        </w:rPr>
        <w:t>srčana insuficijencija 0,7% u odnosu na 0,2% i aritmija 0,7% u odnosu na 0,5%.</w:t>
      </w:r>
    </w:p>
    <w:p w14:paraId="5BA7CF1F" w14:textId="126A4286" w:rsidR="00555B43" w:rsidRPr="0051150C" w:rsidRDefault="00555B43" w:rsidP="00555B43">
      <w:pPr>
        <w:tabs>
          <w:tab w:val="clear" w:pos="284"/>
        </w:tabs>
        <w:autoSpaceDE w:val="0"/>
        <w:autoSpaceDN w:val="0"/>
        <w:adjustRightInd w:val="0"/>
        <w:ind w:left="720" w:hanging="720"/>
        <w:rPr>
          <w:noProof/>
          <w:szCs w:val="22"/>
          <w:lang w:val="sr-Latn-BA"/>
        </w:rPr>
      </w:pPr>
    </w:p>
    <w:p w14:paraId="753FFC47" w14:textId="77777777" w:rsidR="00555B43" w:rsidRPr="0051150C" w:rsidRDefault="00555B43" w:rsidP="00555B43">
      <w:pPr>
        <w:tabs>
          <w:tab w:val="clear" w:pos="284"/>
        </w:tabs>
        <w:autoSpaceDE w:val="0"/>
        <w:autoSpaceDN w:val="0"/>
        <w:adjustRightInd w:val="0"/>
        <w:rPr>
          <w:i/>
          <w:iCs/>
          <w:noProof/>
          <w:szCs w:val="22"/>
          <w:lang w:val="sr-Latn-BA"/>
        </w:rPr>
      </w:pPr>
      <w:r w:rsidRPr="0051150C">
        <w:rPr>
          <w:i/>
          <w:iCs/>
          <w:noProof/>
          <w:szCs w:val="22"/>
          <w:lang w:val="sr-Latn-BA"/>
        </w:rPr>
        <w:t>Hepatotoksičnost</w:t>
      </w:r>
    </w:p>
    <w:p w14:paraId="1186B7F8" w14:textId="053AEE54" w:rsidR="00555B43" w:rsidRPr="0051150C" w:rsidRDefault="00555B43" w:rsidP="002E4C62">
      <w:pPr>
        <w:tabs>
          <w:tab w:val="clear" w:pos="284"/>
        </w:tabs>
        <w:autoSpaceDE w:val="0"/>
        <w:autoSpaceDN w:val="0"/>
        <w:adjustRightInd w:val="0"/>
        <w:rPr>
          <w:noProof/>
          <w:szCs w:val="22"/>
          <w:lang w:val="sr-Latn-BA"/>
        </w:rPr>
      </w:pPr>
      <w:r w:rsidRPr="0051150C">
        <w:rPr>
          <w:noProof/>
          <w:szCs w:val="22"/>
          <w:lang w:val="sr-Latn-BA"/>
        </w:rPr>
        <w:t xml:space="preserve">Hepatotoksičnost sa povišenim </w:t>
      </w:r>
      <w:r w:rsidR="00096FAA" w:rsidRPr="0051150C">
        <w:rPr>
          <w:noProof/>
          <w:szCs w:val="22"/>
          <w:lang w:val="sr-Latn-BA"/>
        </w:rPr>
        <w:t>vrijednost</w:t>
      </w:r>
      <w:r w:rsidRPr="0051150C">
        <w:rPr>
          <w:noProof/>
          <w:szCs w:val="22"/>
          <w:lang w:val="sr-Latn-BA"/>
        </w:rPr>
        <w:t>ima ALT, AST i ukupnog bilirubina zab</w:t>
      </w:r>
      <w:r w:rsidR="00A120E1" w:rsidRPr="0051150C">
        <w:rPr>
          <w:noProof/>
          <w:szCs w:val="22"/>
          <w:lang w:val="sr-Latn-BA"/>
        </w:rPr>
        <w:t>i</w:t>
      </w:r>
      <w:r w:rsidRPr="0051150C">
        <w:rPr>
          <w:noProof/>
          <w:szCs w:val="22"/>
          <w:lang w:val="sr-Latn-BA"/>
        </w:rPr>
        <w:t>l</w:t>
      </w:r>
      <w:r w:rsidR="00A120E1" w:rsidRPr="0051150C">
        <w:rPr>
          <w:noProof/>
          <w:szCs w:val="22"/>
          <w:lang w:val="sr-Latn-BA"/>
        </w:rPr>
        <w:t>j</w:t>
      </w:r>
      <w:r w:rsidRPr="0051150C">
        <w:rPr>
          <w:noProof/>
          <w:szCs w:val="22"/>
          <w:lang w:val="sr-Latn-BA"/>
        </w:rPr>
        <w:t>ežena je kod</w:t>
      </w:r>
      <w:r w:rsidR="002E4C62" w:rsidRPr="0051150C">
        <w:rPr>
          <w:noProof/>
          <w:szCs w:val="22"/>
          <w:lang w:val="sr-Latn-BA"/>
        </w:rPr>
        <w:t xml:space="preserve"> </w:t>
      </w:r>
      <w:r w:rsidRPr="0051150C">
        <w:rPr>
          <w:noProof/>
          <w:szCs w:val="22"/>
          <w:lang w:val="sr-Latn-BA"/>
        </w:rPr>
        <w:t>pacije</w:t>
      </w:r>
      <w:r w:rsidR="003C5F8C" w:rsidRPr="0051150C">
        <w:rPr>
          <w:noProof/>
          <w:szCs w:val="22"/>
          <w:lang w:val="sr-Latn-BA"/>
        </w:rPr>
        <w:t xml:space="preserve">nata koji su uzimali abirateron </w:t>
      </w:r>
      <w:r w:rsidRPr="0051150C">
        <w:rPr>
          <w:noProof/>
          <w:szCs w:val="22"/>
          <w:lang w:val="sr-Latn-BA"/>
        </w:rPr>
        <w:t xml:space="preserve">acetat. U kliničkim studijama faze </w:t>
      </w:r>
      <w:r w:rsidR="008B3DFE">
        <w:rPr>
          <w:noProof/>
          <w:szCs w:val="22"/>
          <w:lang w:val="sr-Latn-BA"/>
        </w:rPr>
        <w:t>III</w:t>
      </w:r>
      <w:r w:rsidRPr="0051150C">
        <w:rPr>
          <w:noProof/>
          <w:szCs w:val="22"/>
          <w:lang w:val="sr-Latn-BA"/>
        </w:rPr>
        <w:t>, hepatotoksičnost stepena 3</w:t>
      </w:r>
      <w:r w:rsidR="002E4C62" w:rsidRPr="0051150C">
        <w:rPr>
          <w:noProof/>
          <w:szCs w:val="22"/>
          <w:lang w:val="sr-Latn-BA"/>
        </w:rPr>
        <w:t xml:space="preserve"> </w:t>
      </w:r>
      <w:r w:rsidR="009E50A0" w:rsidRPr="0051150C">
        <w:rPr>
          <w:noProof/>
          <w:szCs w:val="22"/>
          <w:lang w:val="sr-Latn-BA"/>
        </w:rPr>
        <w:t>i 4</w:t>
      </w:r>
      <w:r w:rsidRPr="0051150C">
        <w:rPr>
          <w:noProof/>
          <w:szCs w:val="22"/>
          <w:lang w:val="sr-Latn-BA"/>
        </w:rPr>
        <w:t xml:space="preserve"> (npr. </w:t>
      </w:r>
      <w:r w:rsidR="00096FAA" w:rsidRPr="0051150C">
        <w:rPr>
          <w:noProof/>
          <w:szCs w:val="22"/>
          <w:lang w:val="sr-Latn-BA"/>
        </w:rPr>
        <w:t>vrijednost</w:t>
      </w:r>
      <w:r w:rsidRPr="0051150C">
        <w:rPr>
          <w:noProof/>
          <w:szCs w:val="22"/>
          <w:lang w:val="sr-Latn-BA"/>
        </w:rPr>
        <w:t xml:space="preserve">i ALT ili AST povišene &gt; 5 x iznad gornje granice normalnih </w:t>
      </w:r>
      <w:r w:rsidR="00096FAA" w:rsidRPr="0051150C">
        <w:rPr>
          <w:noProof/>
          <w:szCs w:val="22"/>
          <w:lang w:val="sr-Latn-BA"/>
        </w:rPr>
        <w:t>vrijednost</w:t>
      </w:r>
      <w:r w:rsidRPr="0051150C">
        <w:rPr>
          <w:noProof/>
          <w:szCs w:val="22"/>
          <w:lang w:val="sr-Latn-BA"/>
        </w:rPr>
        <w:t>i (GGN) ili</w:t>
      </w:r>
      <w:r w:rsidR="002E4C62" w:rsidRPr="0051150C">
        <w:rPr>
          <w:noProof/>
          <w:szCs w:val="22"/>
          <w:lang w:val="sr-Latn-BA"/>
        </w:rPr>
        <w:t xml:space="preserve"> </w:t>
      </w:r>
      <w:r w:rsidRPr="0051150C">
        <w:rPr>
          <w:noProof/>
          <w:szCs w:val="22"/>
          <w:lang w:val="sr-Latn-BA"/>
        </w:rPr>
        <w:t xml:space="preserve">povećanje </w:t>
      </w:r>
      <w:r w:rsidRPr="0051150C">
        <w:rPr>
          <w:noProof/>
          <w:szCs w:val="22"/>
          <w:lang w:val="sr-Latn-BA"/>
        </w:rPr>
        <w:lastRenderedPageBreak/>
        <w:t>bi</w:t>
      </w:r>
      <w:r w:rsidR="003C5F8C" w:rsidRPr="0051150C">
        <w:rPr>
          <w:noProof/>
          <w:szCs w:val="22"/>
          <w:lang w:val="sr-Latn-BA"/>
        </w:rPr>
        <w:t>lirubina &gt; 1</w:t>
      </w:r>
      <w:r w:rsidR="008B3DFE">
        <w:rPr>
          <w:noProof/>
          <w:szCs w:val="22"/>
          <w:lang w:val="sr-Latn-BA"/>
        </w:rPr>
        <w:t>,</w:t>
      </w:r>
      <w:r w:rsidR="003C5F8C" w:rsidRPr="0051150C">
        <w:rPr>
          <w:noProof/>
          <w:szCs w:val="22"/>
          <w:lang w:val="sr-Latn-BA"/>
        </w:rPr>
        <w:t xml:space="preserve">5 x GGN) </w:t>
      </w:r>
      <w:r w:rsidR="00A120E1" w:rsidRPr="0051150C">
        <w:rPr>
          <w:noProof/>
          <w:szCs w:val="22"/>
          <w:lang w:val="sr-Latn-BA"/>
        </w:rPr>
        <w:t>zabilježen</w:t>
      </w:r>
      <w:r w:rsidR="003C5F8C" w:rsidRPr="0051150C">
        <w:rPr>
          <w:noProof/>
          <w:szCs w:val="22"/>
          <w:lang w:val="sr-Latn-BA"/>
        </w:rPr>
        <w:t>a</w:t>
      </w:r>
      <w:r w:rsidRPr="0051150C">
        <w:rPr>
          <w:noProof/>
          <w:szCs w:val="22"/>
          <w:lang w:val="sr-Latn-BA"/>
        </w:rPr>
        <w:t xml:space="preserve"> je kod približno 6% pacijenata koji su uzimali</w:t>
      </w:r>
      <w:r w:rsidR="002E4C62" w:rsidRPr="0051150C">
        <w:rPr>
          <w:noProof/>
          <w:szCs w:val="22"/>
          <w:lang w:val="sr-Latn-BA"/>
        </w:rPr>
        <w:t xml:space="preserve"> </w:t>
      </w:r>
      <w:r w:rsidRPr="0051150C">
        <w:rPr>
          <w:noProof/>
          <w:szCs w:val="22"/>
          <w:lang w:val="sr-Latn-BA"/>
        </w:rPr>
        <w:t>abirateron</w:t>
      </w:r>
      <w:r w:rsidR="003C5F8C" w:rsidRPr="0051150C">
        <w:rPr>
          <w:noProof/>
          <w:szCs w:val="22"/>
          <w:lang w:val="sr-Latn-BA"/>
        </w:rPr>
        <w:t xml:space="preserve"> </w:t>
      </w:r>
      <w:r w:rsidRPr="0051150C">
        <w:rPr>
          <w:noProof/>
          <w:szCs w:val="22"/>
          <w:lang w:val="sr-Latn-BA"/>
        </w:rPr>
        <w:t xml:space="preserve">acetat, </w:t>
      </w:r>
      <w:r w:rsidR="009E50A0" w:rsidRPr="0051150C">
        <w:rPr>
          <w:noProof/>
          <w:szCs w:val="22"/>
          <w:lang w:val="sr-Latn-BA"/>
        </w:rPr>
        <w:t>najčešće</w:t>
      </w:r>
      <w:r w:rsidRPr="0051150C">
        <w:rPr>
          <w:noProof/>
          <w:szCs w:val="22"/>
          <w:lang w:val="sr-Latn-BA"/>
        </w:rPr>
        <w:t xml:space="preserve"> tokom prva </w:t>
      </w:r>
      <w:r w:rsidR="009E50A0" w:rsidRPr="0051150C">
        <w:rPr>
          <w:noProof/>
          <w:szCs w:val="22"/>
          <w:lang w:val="sr-Latn-BA"/>
        </w:rPr>
        <w:t>3</w:t>
      </w:r>
      <w:r w:rsidRPr="0051150C">
        <w:rPr>
          <w:noProof/>
          <w:szCs w:val="22"/>
          <w:lang w:val="sr-Latn-BA"/>
        </w:rPr>
        <w:t xml:space="preserve"> </w:t>
      </w:r>
      <w:r w:rsidR="00834D3E" w:rsidRPr="0051150C">
        <w:rPr>
          <w:noProof/>
          <w:szCs w:val="22"/>
          <w:lang w:val="sr-Latn-BA"/>
        </w:rPr>
        <w:t>mjesec</w:t>
      </w:r>
      <w:r w:rsidRPr="0051150C">
        <w:rPr>
          <w:noProof/>
          <w:szCs w:val="22"/>
          <w:lang w:val="sr-Latn-BA"/>
        </w:rPr>
        <w:t>a po započinjanju terapije. U studiji 3011,</w:t>
      </w:r>
      <w:r w:rsidR="002E4C62" w:rsidRPr="0051150C">
        <w:rPr>
          <w:noProof/>
          <w:szCs w:val="22"/>
          <w:lang w:val="sr-Latn-BA"/>
        </w:rPr>
        <w:t xml:space="preserve"> </w:t>
      </w:r>
      <w:r w:rsidRPr="0051150C">
        <w:rPr>
          <w:noProof/>
          <w:szCs w:val="22"/>
          <w:lang w:val="sr-Latn-BA"/>
        </w:rPr>
        <w:t xml:space="preserve">hepatotoksičnost stepena 3 ili 4 je </w:t>
      </w:r>
      <w:r w:rsidR="00A120E1" w:rsidRPr="0051150C">
        <w:rPr>
          <w:noProof/>
          <w:szCs w:val="22"/>
          <w:lang w:val="sr-Latn-BA"/>
        </w:rPr>
        <w:t>zabilježen</w:t>
      </w:r>
      <w:r w:rsidRPr="0051150C">
        <w:rPr>
          <w:noProof/>
          <w:szCs w:val="22"/>
          <w:lang w:val="sr-Latn-BA"/>
        </w:rPr>
        <w:t>a kod 8,4</w:t>
      </w:r>
      <w:r w:rsidR="0021331C" w:rsidRPr="0051150C">
        <w:rPr>
          <w:noProof/>
          <w:szCs w:val="22"/>
          <w:lang w:val="sr-Latn-BA"/>
        </w:rPr>
        <w:t>% pacijenata koji su uzimali abirateron acetat</w:t>
      </w:r>
      <w:r w:rsidRPr="0051150C">
        <w:rPr>
          <w:noProof/>
          <w:szCs w:val="22"/>
          <w:lang w:val="sr-Latn-BA"/>
        </w:rPr>
        <w:t>. Deset</w:t>
      </w:r>
      <w:r w:rsidR="002E4C62" w:rsidRPr="0051150C">
        <w:rPr>
          <w:noProof/>
          <w:szCs w:val="22"/>
          <w:lang w:val="sr-Latn-BA"/>
        </w:rPr>
        <w:t xml:space="preserve"> </w:t>
      </w:r>
      <w:r w:rsidR="009E50A0" w:rsidRPr="0051150C">
        <w:rPr>
          <w:noProof/>
          <w:szCs w:val="22"/>
          <w:lang w:val="sr-Latn-BA"/>
        </w:rPr>
        <w:t xml:space="preserve">pacijenata koji su uzimali abirateron acetat </w:t>
      </w:r>
      <w:r w:rsidRPr="0051150C">
        <w:rPr>
          <w:noProof/>
          <w:szCs w:val="22"/>
          <w:lang w:val="sr-Latn-BA"/>
        </w:rPr>
        <w:t>su bili isključeni iz studije zbog hepatotoksičnosti; dva</w:t>
      </w:r>
      <w:r w:rsidR="002E4C62" w:rsidRPr="0051150C">
        <w:rPr>
          <w:noProof/>
          <w:szCs w:val="22"/>
          <w:lang w:val="sr-Latn-BA"/>
        </w:rPr>
        <w:t xml:space="preserve"> </w:t>
      </w:r>
      <w:r w:rsidRPr="0051150C">
        <w:rPr>
          <w:noProof/>
          <w:szCs w:val="22"/>
          <w:lang w:val="sr-Latn-BA"/>
        </w:rPr>
        <w:t>pacijenta su imala hepatotoksičnost stepena 2, šest pacijenata je imalo hepatotoksičnost stepena 3</w:t>
      </w:r>
      <w:r w:rsidR="008B3DFE">
        <w:rPr>
          <w:noProof/>
          <w:szCs w:val="22"/>
          <w:lang w:val="sr-Latn-BA"/>
        </w:rPr>
        <w:t>,</w:t>
      </w:r>
      <w:r w:rsidRPr="0051150C">
        <w:rPr>
          <w:noProof/>
          <w:szCs w:val="22"/>
          <w:lang w:val="sr-Latn-BA"/>
        </w:rPr>
        <w:t xml:space="preserve"> i</w:t>
      </w:r>
      <w:r w:rsidR="002E4C62" w:rsidRPr="0051150C">
        <w:rPr>
          <w:noProof/>
          <w:szCs w:val="22"/>
          <w:lang w:val="sr-Latn-BA"/>
        </w:rPr>
        <w:t xml:space="preserve"> </w:t>
      </w:r>
      <w:r w:rsidRPr="0051150C">
        <w:rPr>
          <w:noProof/>
          <w:szCs w:val="22"/>
          <w:lang w:val="sr-Latn-BA"/>
        </w:rPr>
        <w:t xml:space="preserve">dva pacijenta su imala stepen 4 hepatotoksičnosti. Hepatotoksičnost nije bila uzrok smrti kod pacijenata u studiji 3011. U kliničkim studijama faze </w:t>
      </w:r>
      <w:r w:rsidR="008B3DFE">
        <w:rPr>
          <w:noProof/>
          <w:szCs w:val="22"/>
          <w:lang w:val="sr-Latn-BA"/>
        </w:rPr>
        <w:t>III</w:t>
      </w:r>
      <w:r w:rsidRPr="0051150C">
        <w:rPr>
          <w:noProof/>
          <w:szCs w:val="22"/>
          <w:lang w:val="sr-Latn-BA"/>
        </w:rPr>
        <w:t>, v</w:t>
      </w:r>
      <w:r w:rsidR="00CE57F5" w:rsidRPr="0051150C">
        <w:rPr>
          <w:noProof/>
          <w:szCs w:val="22"/>
          <w:lang w:val="sr-Latn-BA"/>
        </w:rPr>
        <w:t>j</w:t>
      </w:r>
      <w:r w:rsidRPr="0051150C">
        <w:rPr>
          <w:noProof/>
          <w:szCs w:val="22"/>
          <w:lang w:val="sr-Latn-BA"/>
        </w:rPr>
        <w:t>erovatnoća da će doći do povećanja</w:t>
      </w:r>
      <w:r w:rsidR="002E4C62" w:rsidRPr="0051150C">
        <w:rPr>
          <w:noProof/>
          <w:szCs w:val="22"/>
          <w:lang w:val="sr-Latn-BA"/>
        </w:rPr>
        <w:t xml:space="preserve"> </w:t>
      </w:r>
      <w:r w:rsidR="00096FAA" w:rsidRPr="0051150C">
        <w:rPr>
          <w:noProof/>
          <w:szCs w:val="22"/>
          <w:lang w:val="sr-Latn-BA"/>
        </w:rPr>
        <w:t>vrijednost</w:t>
      </w:r>
      <w:r w:rsidRPr="0051150C">
        <w:rPr>
          <w:noProof/>
          <w:szCs w:val="22"/>
          <w:lang w:val="sr-Latn-BA"/>
        </w:rPr>
        <w:t xml:space="preserve">i funkcionalnih testova jetre bila je veća kod pacijenata kojima je </w:t>
      </w:r>
      <w:r w:rsidR="00096FAA" w:rsidRPr="0051150C">
        <w:rPr>
          <w:noProof/>
          <w:szCs w:val="22"/>
          <w:lang w:val="sr-Latn-BA"/>
        </w:rPr>
        <w:t>vrijednost</w:t>
      </w:r>
      <w:r w:rsidRPr="0051150C">
        <w:rPr>
          <w:noProof/>
          <w:szCs w:val="22"/>
          <w:lang w:val="sr-Latn-BA"/>
        </w:rPr>
        <w:t xml:space="preserve"> ALT ili AST bila</w:t>
      </w:r>
      <w:r w:rsidR="002E4C62" w:rsidRPr="0051150C">
        <w:rPr>
          <w:noProof/>
          <w:szCs w:val="22"/>
          <w:lang w:val="sr-Latn-BA"/>
        </w:rPr>
        <w:t xml:space="preserve"> </w:t>
      </w:r>
      <w:r w:rsidRPr="0051150C">
        <w:rPr>
          <w:noProof/>
          <w:szCs w:val="22"/>
          <w:lang w:val="sr-Latn-BA"/>
        </w:rPr>
        <w:t>povećana i pr</w:t>
      </w:r>
      <w:r w:rsidR="00CE57F5" w:rsidRPr="0051150C">
        <w:rPr>
          <w:noProof/>
          <w:szCs w:val="22"/>
          <w:lang w:val="sr-Latn-BA"/>
        </w:rPr>
        <w:t>ij</w:t>
      </w:r>
      <w:r w:rsidRPr="0051150C">
        <w:rPr>
          <w:noProof/>
          <w:szCs w:val="22"/>
          <w:lang w:val="sr-Latn-BA"/>
        </w:rPr>
        <w:t xml:space="preserve">e uvođenja ispitivane terapije u odnosu na one pacijente čije su početne </w:t>
      </w:r>
      <w:r w:rsidR="00096FAA" w:rsidRPr="0051150C">
        <w:rPr>
          <w:noProof/>
          <w:szCs w:val="22"/>
          <w:lang w:val="sr-Latn-BA"/>
        </w:rPr>
        <w:t>vrijednost</w:t>
      </w:r>
      <w:r w:rsidRPr="0051150C">
        <w:rPr>
          <w:noProof/>
          <w:szCs w:val="22"/>
          <w:lang w:val="sr-Latn-BA"/>
        </w:rPr>
        <w:t>i bile</w:t>
      </w:r>
      <w:r w:rsidR="002E4C62" w:rsidRPr="0051150C">
        <w:rPr>
          <w:noProof/>
          <w:szCs w:val="22"/>
          <w:lang w:val="sr-Latn-BA"/>
        </w:rPr>
        <w:t xml:space="preserve"> </w:t>
      </w:r>
      <w:r w:rsidRPr="0051150C">
        <w:rPr>
          <w:noProof/>
          <w:szCs w:val="22"/>
          <w:lang w:val="sr-Latn-BA"/>
        </w:rPr>
        <w:t xml:space="preserve">normalne. Kada je </w:t>
      </w:r>
      <w:r w:rsidR="00A120E1" w:rsidRPr="0051150C">
        <w:rPr>
          <w:noProof/>
          <w:szCs w:val="22"/>
          <w:lang w:val="sr-Latn-BA"/>
        </w:rPr>
        <w:t>zabilježen</w:t>
      </w:r>
      <w:r w:rsidRPr="0051150C">
        <w:rPr>
          <w:noProof/>
          <w:szCs w:val="22"/>
          <w:lang w:val="sr-Latn-BA"/>
        </w:rPr>
        <w:t xml:space="preserve"> porast </w:t>
      </w:r>
      <w:r w:rsidR="00096FAA" w:rsidRPr="0051150C">
        <w:rPr>
          <w:noProof/>
          <w:szCs w:val="22"/>
          <w:lang w:val="sr-Latn-BA"/>
        </w:rPr>
        <w:t>vrijednost</w:t>
      </w:r>
      <w:r w:rsidRPr="0051150C">
        <w:rPr>
          <w:noProof/>
          <w:szCs w:val="22"/>
          <w:lang w:val="sr-Latn-BA"/>
        </w:rPr>
        <w:t xml:space="preserve">i ALT ili AST &gt; 5 x GGN, ili povećanja </w:t>
      </w:r>
      <w:r w:rsidR="00096FAA" w:rsidRPr="0051150C">
        <w:rPr>
          <w:noProof/>
          <w:szCs w:val="22"/>
          <w:lang w:val="sr-Latn-BA"/>
        </w:rPr>
        <w:t>vrijednost</w:t>
      </w:r>
      <w:r w:rsidRPr="0051150C">
        <w:rPr>
          <w:noProof/>
          <w:szCs w:val="22"/>
          <w:lang w:val="sr-Latn-BA"/>
        </w:rPr>
        <w:t>i</w:t>
      </w:r>
      <w:r w:rsidR="002E4C62" w:rsidRPr="0051150C">
        <w:rPr>
          <w:noProof/>
          <w:szCs w:val="22"/>
          <w:lang w:val="sr-Latn-BA"/>
        </w:rPr>
        <w:t xml:space="preserve"> </w:t>
      </w:r>
      <w:r w:rsidRPr="0051150C">
        <w:rPr>
          <w:noProof/>
          <w:szCs w:val="22"/>
          <w:lang w:val="sr-Latn-BA"/>
        </w:rPr>
        <w:t xml:space="preserve">bilirubina &gt; 3 x </w:t>
      </w:r>
      <w:r w:rsidR="003C5F8C" w:rsidRPr="0051150C">
        <w:rPr>
          <w:noProof/>
          <w:szCs w:val="22"/>
          <w:lang w:val="sr-Latn-BA"/>
        </w:rPr>
        <w:t xml:space="preserve">GGN, abirateron </w:t>
      </w:r>
      <w:r w:rsidRPr="0051150C">
        <w:rPr>
          <w:noProof/>
          <w:szCs w:val="22"/>
          <w:lang w:val="sr-Latn-BA"/>
        </w:rPr>
        <w:t>acetat je obustavljan privremeno ili trajno. U dva slučaja došlo je do</w:t>
      </w:r>
      <w:r w:rsidR="002E4C62" w:rsidRPr="0051150C">
        <w:rPr>
          <w:noProof/>
          <w:szCs w:val="22"/>
          <w:lang w:val="sr-Latn-BA"/>
        </w:rPr>
        <w:t xml:space="preserve"> </w:t>
      </w:r>
      <w:r w:rsidRPr="0051150C">
        <w:rPr>
          <w:noProof/>
          <w:szCs w:val="22"/>
          <w:lang w:val="sr-Latn-BA"/>
        </w:rPr>
        <w:t xml:space="preserve">izrazitog povećanja </w:t>
      </w:r>
      <w:r w:rsidR="00096FAA" w:rsidRPr="0051150C">
        <w:rPr>
          <w:noProof/>
          <w:szCs w:val="22"/>
          <w:lang w:val="sr-Latn-BA"/>
        </w:rPr>
        <w:t>vrijednost</w:t>
      </w:r>
      <w:r w:rsidRPr="0051150C">
        <w:rPr>
          <w:noProof/>
          <w:szCs w:val="22"/>
          <w:lang w:val="sr-Latn-BA"/>
        </w:rPr>
        <w:t>i funkcionalnih testova jetre (</w:t>
      </w:r>
      <w:r w:rsidR="00F43B54" w:rsidRPr="00410EF6">
        <w:rPr>
          <w:noProof/>
          <w:szCs w:val="22"/>
          <w:lang w:val="sr-Latn-BA"/>
        </w:rPr>
        <w:t>vidjeti dio</w:t>
      </w:r>
      <w:r w:rsidR="009D1A0E" w:rsidRPr="00410EF6">
        <w:rPr>
          <w:noProof/>
          <w:szCs w:val="22"/>
          <w:lang w:val="sr-Latn-BA"/>
        </w:rPr>
        <w:t xml:space="preserve"> </w:t>
      </w:r>
      <w:r w:rsidRPr="00410EF6">
        <w:rPr>
          <w:noProof/>
          <w:szCs w:val="22"/>
          <w:lang w:val="sr-Latn-BA"/>
        </w:rPr>
        <w:t>4.4</w:t>
      </w:r>
      <w:r w:rsidRPr="0051150C">
        <w:rPr>
          <w:noProof/>
          <w:szCs w:val="22"/>
          <w:lang w:val="sr-Latn-BA"/>
        </w:rPr>
        <w:t>). Kod ova dva pacijenta</w:t>
      </w:r>
      <w:r w:rsidR="002E4C62" w:rsidRPr="0051150C">
        <w:rPr>
          <w:noProof/>
          <w:szCs w:val="22"/>
          <w:lang w:val="sr-Latn-BA"/>
        </w:rPr>
        <w:t xml:space="preserve"> </w:t>
      </w:r>
      <w:r w:rsidRPr="0051150C">
        <w:rPr>
          <w:noProof/>
          <w:szCs w:val="22"/>
          <w:lang w:val="sr-Latn-BA"/>
        </w:rPr>
        <w:t xml:space="preserve">kod kojih su na početku </w:t>
      </w:r>
      <w:r w:rsidR="00096FAA" w:rsidRPr="0051150C">
        <w:rPr>
          <w:noProof/>
          <w:szCs w:val="22"/>
          <w:lang w:val="sr-Latn-BA"/>
        </w:rPr>
        <w:t>vrijednost</w:t>
      </w:r>
      <w:r w:rsidRPr="0051150C">
        <w:rPr>
          <w:noProof/>
          <w:szCs w:val="22"/>
          <w:lang w:val="sr-Latn-BA"/>
        </w:rPr>
        <w:t>i parametara funkcije jetre bile normalne</w:t>
      </w:r>
      <w:r w:rsidR="008B3DFE">
        <w:rPr>
          <w:noProof/>
          <w:szCs w:val="22"/>
          <w:lang w:val="sr-Latn-BA"/>
        </w:rPr>
        <w:t>,</w:t>
      </w:r>
      <w:r w:rsidRPr="0051150C">
        <w:rPr>
          <w:noProof/>
          <w:szCs w:val="22"/>
          <w:lang w:val="sr-Latn-BA"/>
        </w:rPr>
        <w:t xml:space="preserve"> došlo je do porasta</w:t>
      </w:r>
      <w:r w:rsidR="00CF0A6C" w:rsidRPr="0051150C">
        <w:rPr>
          <w:noProof/>
          <w:szCs w:val="22"/>
          <w:lang w:val="sr-Latn-BA"/>
        </w:rPr>
        <w:t xml:space="preserve"> </w:t>
      </w:r>
      <w:r w:rsidR="00096FAA" w:rsidRPr="0051150C">
        <w:rPr>
          <w:noProof/>
          <w:szCs w:val="22"/>
          <w:lang w:val="sr-Latn-BA"/>
        </w:rPr>
        <w:t>vrijednost</w:t>
      </w:r>
      <w:r w:rsidRPr="0051150C">
        <w:rPr>
          <w:noProof/>
          <w:szCs w:val="22"/>
          <w:lang w:val="sr-Latn-BA"/>
        </w:rPr>
        <w:t>i ALT ili AST od 15 do 40 x GGN i povećanja bilirubina od 2 do 6 x GGN. Po obustavi</w:t>
      </w:r>
      <w:r w:rsidR="002E4C62" w:rsidRPr="0051150C">
        <w:rPr>
          <w:noProof/>
          <w:szCs w:val="22"/>
          <w:lang w:val="sr-Latn-BA"/>
        </w:rPr>
        <w:t xml:space="preserve"> </w:t>
      </w:r>
      <w:r w:rsidRPr="0051150C">
        <w:rPr>
          <w:noProof/>
          <w:szCs w:val="22"/>
          <w:lang w:val="sr-Latn-BA"/>
        </w:rPr>
        <w:t xml:space="preserve">terapije, kod oba pacijenta došlo je do normalizacije </w:t>
      </w:r>
      <w:r w:rsidR="00096FAA" w:rsidRPr="0051150C">
        <w:rPr>
          <w:noProof/>
          <w:szCs w:val="22"/>
          <w:lang w:val="sr-Latn-BA"/>
        </w:rPr>
        <w:t>vrijednost</w:t>
      </w:r>
      <w:r w:rsidRPr="0051150C">
        <w:rPr>
          <w:noProof/>
          <w:szCs w:val="22"/>
          <w:lang w:val="sr-Latn-BA"/>
        </w:rPr>
        <w:t>i funkcionalnih testova jetre i kod jednog</w:t>
      </w:r>
      <w:r w:rsidR="002E4C62" w:rsidRPr="0051150C">
        <w:rPr>
          <w:noProof/>
          <w:szCs w:val="22"/>
          <w:lang w:val="sr-Latn-BA"/>
        </w:rPr>
        <w:t xml:space="preserve"> </w:t>
      </w:r>
      <w:r w:rsidRPr="0051150C">
        <w:rPr>
          <w:noProof/>
          <w:szCs w:val="22"/>
          <w:lang w:val="sr-Latn-BA"/>
        </w:rPr>
        <w:t>pacijenta terapija je ponovo uvedena, a ovi skokovi se ni</w:t>
      </w:r>
      <w:r w:rsidR="00F96C05">
        <w:rPr>
          <w:noProof/>
          <w:szCs w:val="22"/>
          <w:lang w:val="sr-Latn-BA"/>
        </w:rPr>
        <w:t>je</w:t>
      </w:r>
      <w:r w:rsidRPr="0051150C">
        <w:rPr>
          <w:noProof/>
          <w:szCs w:val="22"/>
          <w:lang w:val="sr-Latn-BA"/>
        </w:rPr>
        <w:t xml:space="preserve">su ponovili. U studiji 302, porast </w:t>
      </w:r>
      <w:r w:rsidR="00096FAA" w:rsidRPr="0051150C">
        <w:rPr>
          <w:noProof/>
          <w:szCs w:val="22"/>
          <w:lang w:val="sr-Latn-BA"/>
        </w:rPr>
        <w:t>vrijednost</w:t>
      </w:r>
      <w:r w:rsidRPr="0051150C">
        <w:rPr>
          <w:noProof/>
          <w:szCs w:val="22"/>
          <w:lang w:val="sr-Latn-BA"/>
        </w:rPr>
        <w:t>i</w:t>
      </w:r>
      <w:r w:rsidR="002E4C62" w:rsidRPr="0051150C">
        <w:rPr>
          <w:noProof/>
          <w:szCs w:val="22"/>
          <w:lang w:val="sr-Latn-BA"/>
        </w:rPr>
        <w:t xml:space="preserve"> </w:t>
      </w:r>
      <w:r w:rsidRPr="0051150C">
        <w:rPr>
          <w:noProof/>
          <w:szCs w:val="22"/>
          <w:lang w:val="sr-Latn-BA"/>
        </w:rPr>
        <w:t xml:space="preserve">ALT ili AST stepena 3 ili 4 je bio </w:t>
      </w:r>
      <w:r w:rsidR="00A120E1" w:rsidRPr="0051150C">
        <w:rPr>
          <w:noProof/>
          <w:szCs w:val="22"/>
          <w:lang w:val="sr-Latn-BA"/>
        </w:rPr>
        <w:t>zabilježen</w:t>
      </w:r>
      <w:r w:rsidRPr="0051150C">
        <w:rPr>
          <w:noProof/>
          <w:szCs w:val="22"/>
          <w:lang w:val="sr-Latn-BA"/>
        </w:rPr>
        <w:t xml:space="preserve"> kod 35 (6,5%) pacijenata koji su uzimali abirateron</w:t>
      </w:r>
      <w:r w:rsidR="00CF0A6C" w:rsidRPr="0051150C">
        <w:rPr>
          <w:noProof/>
          <w:szCs w:val="22"/>
          <w:lang w:val="sr-Latn-BA"/>
        </w:rPr>
        <w:t xml:space="preserve"> </w:t>
      </w:r>
      <w:r w:rsidRPr="0051150C">
        <w:rPr>
          <w:noProof/>
          <w:szCs w:val="22"/>
          <w:lang w:val="sr-Latn-BA"/>
        </w:rPr>
        <w:t>acetat.</w:t>
      </w:r>
      <w:r w:rsidR="002E4C62" w:rsidRPr="0051150C">
        <w:rPr>
          <w:noProof/>
          <w:szCs w:val="22"/>
          <w:lang w:val="sr-Latn-BA"/>
        </w:rPr>
        <w:t xml:space="preserve"> </w:t>
      </w:r>
      <w:r w:rsidRPr="0051150C">
        <w:rPr>
          <w:noProof/>
          <w:szCs w:val="22"/>
          <w:lang w:val="sr-Latn-BA"/>
        </w:rPr>
        <w:t xml:space="preserve">Povećane </w:t>
      </w:r>
      <w:r w:rsidR="00096FAA" w:rsidRPr="0051150C">
        <w:rPr>
          <w:noProof/>
          <w:szCs w:val="22"/>
          <w:lang w:val="sr-Latn-BA"/>
        </w:rPr>
        <w:t>vrijednost</w:t>
      </w:r>
      <w:r w:rsidRPr="0051150C">
        <w:rPr>
          <w:noProof/>
          <w:szCs w:val="22"/>
          <w:lang w:val="sr-Latn-BA"/>
        </w:rPr>
        <w:t>i aminotransferaza povukle su se kod svih osim kod 3 pacijenta (kod 2</w:t>
      </w:r>
      <w:r w:rsidR="002E4C62" w:rsidRPr="0051150C">
        <w:rPr>
          <w:noProof/>
          <w:szCs w:val="22"/>
          <w:lang w:val="sr-Latn-BA"/>
        </w:rPr>
        <w:t xml:space="preserve"> </w:t>
      </w:r>
      <w:r w:rsidRPr="0051150C">
        <w:rPr>
          <w:noProof/>
          <w:szCs w:val="22"/>
          <w:lang w:val="sr-Latn-BA"/>
        </w:rPr>
        <w:t xml:space="preserve">pacijenta sa novim višestrukim metastazama na jetri i kod jednog pacijenta sa porastom </w:t>
      </w:r>
      <w:r w:rsidR="00096FAA" w:rsidRPr="0051150C">
        <w:rPr>
          <w:noProof/>
          <w:szCs w:val="22"/>
          <w:lang w:val="sr-Latn-BA"/>
        </w:rPr>
        <w:t>vrijednost</w:t>
      </w:r>
      <w:r w:rsidRPr="0051150C">
        <w:rPr>
          <w:noProof/>
          <w:szCs w:val="22"/>
          <w:lang w:val="sr-Latn-BA"/>
        </w:rPr>
        <w:t>i</w:t>
      </w:r>
      <w:r w:rsidR="002E4C62" w:rsidRPr="0051150C">
        <w:rPr>
          <w:noProof/>
          <w:szCs w:val="22"/>
          <w:lang w:val="sr-Latn-BA"/>
        </w:rPr>
        <w:t xml:space="preserve"> </w:t>
      </w:r>
      <w:r w:rsidRPr="0051150C">
        <w:rPr>
          <w:noProof/>
          <w:szCs w:val="22"/>
          <w:lang w:val="sr-Latn-BA"/>
        </w:rPr>
        <w:t>AST približno 3 ned</w:t>
      </w:r>
      <w:r w:rsidR="00DC5069" w:rsidRPr="0051150C">
        <w:rPr>
          <w:noProof/>
          <w:szCs w:val="22"/>
          <w:lang w:val="sr-Latn-BA"/>
        </w:rPr>
        <w:t>j</w:t>
      </w:r>
      <w:r w:rsidRPr="0051150C">
        <w:rPr>
          <w:noProof/>
          <w:szCs w:val="22"/>
          <w:lang w:val="sr-Latn-BA"/>
        </w:rPr>
        <w:t>elje nakon posl</w:t>
      </w:r>
      <w:r w:rsidR="00DC5069" w:rsidRPr="0051150C">
        <w:rPr>
          <w:noProof/>
          <w:szCs w:val="22"/>
          <w:lang w:val="sr-Latn-BA"/>
        </w:rPr>
        <w:t>j</w:t>
      </w:r>
      <w:r w:rsidRPr="0051150C">
        <w:rPr>
          <w:noProof/>
          <w:szCs w:val="22"/>
          <w:lang w:val="sr-Latn-BA"/>
        </w:rPr>
        <w:t>ednje doze abirateron</w:t>
      </w:r>
      <w:r w:rsidR="008B3DFE">
        <w:rPr>
          <w:noProof/>
          <w:szCs w:val="22"/>
          <w:lang w:val="sr-Latn-BA"/>
        </w:rPr>
        <w:t xml:space="preserve"> </w:t>
      </w:r>
      <w:r w:rsidRPr="0051150C">
        <w:rPr>
          <w:noProof/>
          <w:szCs w:val="22"/>
          <w:lang w:val="sr-Latn-BA"/>
        </w:rPr>
        <w:t xml:space="preserve">acetata). U kliničkim studijama faze </w:t>
      </w:r>
      <w:r w:rsidR="008B3DFE">
        <w:rPr>
          <w:noProof/>
          <w:szCs w:val="22"/>
          <w:lang w:val="sr-Latn-BA"/>
        </w:rPr>
        <w:t>III</w:t>
      </w:r>
      <w:r w:rsidRPr="0051150C">
        <w:rPr>
          <w:noProof/>
          <w:szCs w:val="22"/>
          <w:lang w:val="sr-Latn-BA"/>
        </w:rPr>
        <w:t>,</w:t>
      </w:r>
      <w:r w:rsidR="002E4C62" w:rsidRPr="0051150C">
        <w:rPr>
          <w:noProof/>
          <w:szCs w:val="22"/>
          <w:lang w:val="sr-Latn-BA"/>
        </w:rPr>
        <w:t xml:space="preserve"> </w:t>
      </w:r>
      <w:r w:rsidRPr="0051150C">
        <w:rPr>
          <w:noProof/>
          <w:szCs w:val="22"/>
          <w:lang w:val="sr-Latn-BA"/>
        </w:rPr>
        <w:t xml:space="preserve">prekid terapije zbog povećanja </w:t>
      </w:r>
      <w:r w:rsidR="00096FAA" w:rsidRPr="0051150C">
        <w:rPr>
          <w:noProof/>
          <w:szCs w:val="22"/>
          <w:lang w:val="sr-Latn-BA"/>
        </w:rPr>
        <w:t>vrijednost</w:t>
      </w:r>
      <w:r w:rsidRPr="0051150C">
        <w:rPr>
          <w:noProof/>
          <w:szCs w:val="22"/>
          <w:lang w:val="sr-Latn-BA"/>
        </w:rPr>
        <w:t>i ALT i AST ili poremećaja funkcije jetre je bio prijavljen kod</w:t>
      </w:r>
      <w:r w:rsidR="002E4C62" w:rsidRPr="0051150C">
        <w:rPr>
          <w:noProof/>
          <w:szCs w:val="22"/>
          <w:lang w:val="sr-Latn-BA"/>
        </w:rPr>
        <w:t xml:space="preserve"> </w:t>
      </w:r>
      <w:r w:rsidRPr="0051150C">
        <w:rPr>
          <w:noProof/>
          <w:szCs w:val="22"/>
          <w:lang w:val="sr-Latn-BA"/>
        </w:rPr>
        <w:t>1,1% pacije</w:t>
      </w:r>
      <w:r w:rsidR="003C5F8C" w:rsidRPr="0051150C">
        <w:rPr>
          <w:noProof/>
          <w:szCs w:val="22"/>
          <w:lang w:val="sr-Latn-BA"/>
        </w:rPr>
        <w:t xml:space="preserve">nata koji su uzimali abirateron </w:t>
      </w:r>
      <w:r w:rsidRPr="0051150C">
        <w:rPr>
          <w:noProof/>
          <w:szCs w:val="22"/>
          <w:lang w:val="sr-Latn-BA"/>
        </w:rPr>
        <w:t>acetat i 0,6% pacijenata koji su dobijali placebo; ni</w:t>
      </w:r>
      <w:r w:rsidR="006D6C79">
        <w:rPr>
          <w:noProof/>
          <w:szCs w:val="22"/>
          <w:lang w:val="sr-Latn-BA"/>
        </w:rPr>
        <w:t>je</w:t>
      </w:r>
      <w:r w:rsidRPr="0051150C">
        <w:rPr>
          <w:noProof/>
          <w:szCs w:val="22"/>
          <w:lang w:val="sr-Latn-BA"/>
        </w:rPr>
        <w:t>su</w:t>
      </w:r>
      <w:r w:rsidR="002E4C62" w:rsidRPr="0051150C">
        <w:rPr>
          <w:noProof/>
          <w:szCs w:val="22"/>
          <w:lang w:val="sr-Latn-BA"/>
        </w:rPr>
        <w:t xml:space="preserve"> </w:t>
      </w:r>
      <w:r w:rsidRPr="0051150C">
        <w:rPr>
          <w:noProof/>
          <w:szCs w:val="22"/>
          <w:lang w:val="sr-Latn-BA"/>
        </w:rPr>
        <w:t>prijavljeni smrtni ishodi zbog hepatotoksičnog događaja.</w:t>
      </w:r>
    </w:p>
    <w:p w14:paraId="6462F8A8" w14:textId="5505DE65" w:rsidR="00555B43" w:rsidRPr="0051150C" w:rsidRDefault="00555B43" w:rsidP="00555B43">
      <w:pPr>
        <w:tabs>
          <w:tab w:val="clear" w:pos="284"/>
        </w:tabs>
        <w:autoSpaceDE w:val="0"/>
        <w:autoSpaceDN w:val="0"/>
        <w:adjustRightInd w:val="0"/>
        <w:ind w:left="720" w:hanging="720"/>
        <w:rPr>
          <w:noProof/>
          <w:szCs w:val="22"/>
          <w:lang w:val="sr-Latn-BA"/>
        </w:rPr>
      </w:pPr>
    </w:p>
    <w:p w14:paraId="5D31BDCE" w14:textId="35DB6B07" w:rsidR="00555B43" w:rsidRPr="0051150C" w:rsidRDefault="00555B43" w:rsidP="002E4C62">
      <w:pPr>
        <w:tabs>
          <w:tab w:val="clear" w:pos="284"/>
        </w:tabs>
        <w:autoSpaceDE w:val="0"/>
        <w:autoSpaceDN w:val="0"/>
        <w:adjustRightInd w:val="0"/>
        <w:rPr>
          <w:noProof/>
          <w:szCs w:val="22"/>
          <w:lang w:val="sr-Latn-BA"/>
        </w:rPr>
      </w:pPr>
      <w:r w:rsidRPr="0051150C">
        <w:rPr>
          <w:noProof/>
          <w:szCs w:val="22"/>
          <w:lang w:val="sr-Latn-BA"/>
        </w:rPr>
        <w:t>U kliničkim ispitivanjima, rizik od hepatotoksičnosti smanjen je isključivanjem pacijenata sa hepati</w:t>
      </w:r>
      <w:r w:rsidR="002E4C62" w:rsidRPr="0051150C">
        <w:rPr>
          <w:noProof/>
          <w:szCs w:val="22"/>
          <w:lang w:val="sr-Latn-BA"/>
        </w:rPr>
        <w:t>tisom kao postojećom bolešću ili</w:t>
      </w:r>
      <w:r w:rsidRPr="0051150C">
        <w:rPr>
          <w:noProof/>
          <w:szCs w:val="22"/>
          <w:lang w:val="sr-Latn-BA"/>
        </w:rPr>
        <w:t xml:space="preserve"> značajnim abnormalnostima u funkcionalnim testovima jetre. Iz studije 3011 bili su isključeni pacijenti sa početnom vr</w:t>
      </w:r>
      <w:r w:rsidR="00DC5069" w:rsidRPr="0051150C">
        <w:rPr>
          <w:noProof/>
          <w:szCs w:val="22"/>
          <w:lang w:val="sr-Latn-BA"/>
        </w:rPr>
        <w:t>ij</w:t>
      </w:r>
      <w:r w:rsidRPr="0051150C">
        <w:rPr>
          <w:noProof/>
          <w:szCs w:val="22"/>
          <w:lang w:val="sr-Latn-BA"/>
        </w:rPr>
        <w:t>ednošću ALT i AST &gt; 2,5 x GGN, bilirubinom &gt; 1,5 x GGN ili pacijenti sa aktivnim ili simptomatskim virusnim hepatitisom ili hroničnim oboljenjem jetre; pacijenti sa ascitesom ili sa poremećajem krvarenja kao posl</w:t>
      </w:r>
      <w:r w:rsidR="00DC5069" w:rsidRPr="0051150C">
        <w:rPr>
          <w:noProof/>
          <w:szCs w:val="22"/>
          <w:lang w:val="sr-Latn-BA"/>
        </w:rPr>
        <w:t>j</w:t>
      </w:r>
      <w:r w:rsidRPr="0051150C">
        <w:rPr>
          <w:noProof/>
          <w:szCs w:val="22"/>
          <w:lang w:val="sr-Latn-BA"/>
        </w:rPr>
        <w:t xml:space="preserve">edicom disfunkcije jetre. U studiji 301, pacijenti sa početnim </w:t>
      </w:r>
      <w:r w:rsidR="00096FAA" w:rsidRPr="0051150C">
        <w:rPr>
          <w:noProof/>
          <w:szCs w:val="22"/>
          <w:lang w:val="sr-Latn-BA"/>
        </w:rPr>
        <w:t>vrijednost</w:t>
      </w:r>
      <w:r w:rsidRPr="0051150C">
        <w:rPr>
          <w:noProof/>
          <w:szCs w:val="22"/>
          <w:lang w:val="sr-Latn-BA"/>
        </w:rPr>
        <w:t xml:space="preserve">ima ALT i AST ≥ 2,5 x GGN i odsustvom metastaza na jetri i pacijenti sa metastazama na jetri i </w:t>
      </w:r>
      <w:r w:rsidR="00096FAA" w:rsidRPr="0051150C">
        <w:rPr>
          <w:noProof/>
          <w:szCs w:val="22"/>
          <w:lang w:val="sr-Latn-BA"/>
        </w:rPr>
        <w:t>vrijednost</w:t>
      </w:r>
      <w:r w:rsidRPr="0051150C">
        <w:rPr>
          <w:noProof/>
          <w:szCs w:val="22"/>
          <w:lang w:val="sr-Latn-BA"/>
        </w:rPr>
        <w:t>ima ALT i AST &gt; 5 x GGN su bili isključeni. U studiji 302, pacijenti sa metastazama na jetri ni</w:t>
      </w:r>
      <w:r w:rsidR="00115257">
        <w:rPr>
          <w:noProof/>
          <w:szCs w:val="22"/>
          <w:lang w:val="sr-Latn-BA"/>
        </w:rPr>
        <w:t>je</w:t>
      </w:r>
      <w:r w:rsidRPr="0051150C">
        <w:rPr>
          <w:noProof/>
          <w:szCs w:val="22"/>
          <w:lang w:val="sr-Latn-BA"/>
        </w:rPr>
        <w:t xml:space="preserve">su bili podobni, a pacijenti sa početnim </w:t>
      </w:r>
      <w:r w:rsidR="00096FAA" w:rsidRPr="0051150C">
        <w:rPr>
          <w:noProof/>
          <w:szCs w:val="22"/>
          <w:lang w:val="sr-Latn-BA"/>
        </w:rPr>
        <w:t>vrijednost</w:t>
      </w:r>
      <w:r w:rsidRPr="0051150C">
        <w:rPr>
          <w:noProof/>
          <w:szCs w:val="22"/>
          <w:lang w:val="sr-Latn-BA"/>
        </w:rPr>
        <w:t xml:space="preserve">ima ALT i AST ≥ 2,5 x GGN su bili isključeni. Povećanje </w:t>
      </w:r>
      <w:r w:rsidR="00096FAA" w:rsidRPr="0051150C">
        <w:rPr>
          <w:noProof/>
          <w:szCs w:val="22"/>
          <w:lang w:val="sr-Latn-BA"/>
        </w:rPr>
        <w:t>vrijednost</w:t>
      </w:r>
      <w:r w:rsidRPr="0051150C">
        <w:rPr>
          <w:noProof/>
          <w:szCs w:val="22"/>
          <w:lang w:val="sr-Latn-BA"/>
        </w:rPr>
        <w:t>i funkcionalnih testova jetre kod pacijenata koji su učestvovali u kliničkim ispitivanjima r</w:t>
      </w:r>
      <w:r w:rsidR="00DC5069" w:rsidRPr="0051150C">
        <w:rPr>
          <w:noProof/>
          <w:szCs w:val="22"/>
          <w:lang w:val="sr-Latn-BA"/>
        </w:rPr>
        <w:t>j</w:t>
      </w:r>
      <w:r w:rsidRPr="0051150C">
        <w:rPr>
          <w:noProof/>
          <w:szCs w:val="22"/>
          <w:lang w:val="sr-Latn-BA"/>
        </w:rPr>
        <w:t>ešavalo se odlučnim</w:t>
      </w:r>
      <w:r w:rsidR="009E50A0" w:rsidRPr="0051150C">
        <w:rPr>
          <w:noProof/>
          <w:szCs w:val="22"/>
          <w:lang w:val="sr-Latn-BA"/>
        </w:rPr>
        <w:t xml:space="preserve"> </w:t>
      </w:r>
      <w:r w:rsidRPr="0051150C">
        <w:rPr>
          <w:noProof/>
          <w:szCs w:val="22"/>
          <w:lang w:val="sr-Latn-BA"/>
        </w:rPr>
        <w:t xml:space="preserve">prekidom terapije i dozvolom da se ona ponovo uvede tek pošto se </w:t>
      </w:r>
      <w:r w:rsidR="00096FAA" w:rsidRPr="0051150C">
        <w:rPr>
          <w:noProof/>
          <w:szCs w:val="22"/>
          <w:lang w:val="sr-Latn-BA"/>
        </w:rPr>
        <w:t>vrijednost</w:t>
      </w:r>
      <w:r w:rsidRPr="0051150C">
        <w:rPr>
          <w:noProof/>
          <w:szCs w:val="22"/>
          <w:lang w:val="sr-Latn-BA"/>
        </w:rPr>
        <w:t>i ovih testova vrate na one</w:t>
      </w:r>
      <w:r w:rsidR="002E4C62" w:rsidRPr="0051150C">
        <w:rPr>
          <w:noProof/>
          <w:szCs w:val="22"/>
          <w:lang w:val="sr-Latn-BA"/>
        </w:rPr>
        <w:t xml:space="preserve"> </w:t>
      </w:r>
      <w:r w:rsidRPr="0051150C">
        <w:rPr>
          <w:noProof/>
          <w:szCs w:val="22"/>
          <w:lang w:val="sr-Latn-BA"/>
        </w:rPr>
        <w:t>koje je pacijent imao na početku ispitivanja (</w:t>
      </w:r>
      <w:r w:rsidR="00F43B54" w:rsidRPr="00410EF6">
        <w:rPr>
          <w:noProof/>
          <w:szCs w:val="22"/>
          <w:lang w:val="sr-Latn-BA"/>
        </w:rPr>
        <w:t>vidjeti dio</w:t>
      </w:r>
      <w:r w:rsidR="00715734" w:rsidRPr="00410EF6">
        <w:rPr>
          <w:noProof/>
          <w:szCs w:val="22"/>
          <w:lang w:val="sr-Latn-BA"/>
        </w:rPr>
        <w:t xml:space="preserve"> </w:t>
      </w:r>
      <w:r w:rsidRPr="00410EF6">
        <w:rPr>
          <w:noProof/>
          <w:szCs w:val="22"/>
          <w:lang w:val="sr-Latn-BA"/>
        </w:rPr>
        <w:t>4.2</w:t>
      </w:r>
      <w:r w:rsidRPr="0051150C">
        <w:rPr>
          <w:noProof/>
          <w:szCs w:val="22"/>
          <w:lang w:val="sr-Latn-BA"/>
        </w:rPr>
        <w:t>). Terapija nije ponovo uvođena kod</w:t>
      </w:r>
      <w:r w:rsidR="002E4C62" w:rsidRPr="0051150C">
        <w:rPr>
          <w:noProof/>
          <w:szCs w:val="22"/>
          <w:lang w:val="sr-Latn-BA"/>
        </w:rPr>
        <w:t xml:space="preserve"> </w:t>
      </w:r>
      <w:r w:rsidRPr="0051150C">
        <w:rPr>
          <w:noProof/>
          <w:szCs w:val="22"/>
          <w:lang w:val="sr-Latn-BA"/>
        </w:rPr>
        <w:t xml:space="preserve">pacijenata čije su </w:t>
      </w:r>
      <w:r w:rsidR="00096FAA" w:rsidRPr="0051150C">
        <w:rPr>
          <w:noProof/>
          <w:szCs w:val="22"/>
          <w:lang w:val="sr-Latn-BA"/>
        </w:rPr>
        <w:t>vrijednost</w:t>
      </w:r>
      <w:r w:rsidRPr="0051150C">
        <w:rPr>
          <w:noProof/>
          <w:szCs w:val="22"/>
          <w:lang w:val="sr-Latn-BA"/>
        </w:rPr>
        <w:t>i ALT ili AST dostizale &gt; 20 x GGN. Nije poznato koliko je bezb</w:t>
      </w:r>
      <w:r w:rsidR="00DC5069" w:rsidRPr="0051150C">
        <w:rPr>
          <w:noProof/>
          <w:szCs w:val="22"/>
          <w:lang w:val="sr-Latn-BA"/>
        </w:rPr>
        <w:t>j</w:t>
      </w:r>
      <w:r w:rsidRPr="0051150C">
        <w:rPr>
          <w:noProof/>
          <w:szCs w:val="22"/>
          <w:lang w:val="sr-Latn-BA"/>
        </w:rPr>
        <w:t>edno da</w:t>
      </w:r>
      <w:r w:rsidR="002E4C62" w:rsidRPr="0051150C">
        <w:rPr>
          <w:noProof/>
          <w:szCs w:val="22"/>
          <w:lang w:val="sr-Latn-BA"/>
        </w:rPr>
        <w:t xml:space="preserve"> </w:t>
      </w:r>
      <w:r w:rsidRPr="0051150C">
        <w:rPr>
          <w:noProof/>
          <w:szCs w:val="22"/>
          <w:lang w:val="sr-Latn-BA"/>
        </w:rPr>
        <w:t>se kod ovih pacijenata terapija ponovo uvodi. Mehanizam hepatotoksičnosti nije razjašnjen.</w:t>
      </w:r>
    </w:p>
    <w:p w14:paraId="584B0D72" w14:textId="19499B75" w:rsidR="00CE09F3" w:rsidRDefault="00CE09F3" w:rsidP="009173F4">
      <w:pPr>
        <w:rPr>
          <w:noProof/>
          <w:szCs w:val="22"/>
          <w:u w:val="single"/>
          <w:lang w:val="sr-Latn-BA"/>
        </w:rPr>
      </w:pPr>
    </w:p>
    <w:p w14:paraId="18AD9E02" w14:textId="77777777" w:rsidR="00CE4670" w:rsidRPr="00CE4670" w:rsidRDefault="00CE4670" w:rsidP="00CE4670">
      <w:pPr>
        <w:tabs>
          <w:tab w:val="clear" w:pos="284"/>
        </w:tabs>
        <w:spacing w:after="200" w:line="276" w:lineRule="auto"/>
        <w:jc w:val="left"/>
        <w:rPr>
          <w:rFonts w:eastAsia="Calibri"/>
          <w:szCs w:val="22"/>
          <w:u w:val="single"/>
          <w:lang w:val="sr-Latn-RS"/>
        </w:rPr>
      </w:pPr>
      <w:r w:rsidRPr="00CE4670">
        <w:rPr>
          <w:rFonts w:eastAsia="Calibri"/>
          <w:szCs w:val="22"/>
          <w:u w:val="single"/>
          <w:lang w:val="sr-Latn-RS"/>
        </w:rPr>
        <w:t>Prijavljivanje sumnji na neželjena dejstva</w:t>
      </w:r>
    </w:p>
    <w:p w14:paraId="333CE441" w14:textId="77777777" w:rsidR="00BE5D41" w:rsidRPr="00BE5D41" w:rsidRDefault="00BE5D41" w:rsidP="00BE5D41">
      <w:pPr>
        <w:tabs>
          <w:tab w:val="clear" w:pos="284"/>
        </w:tabs>
        <w:spacing w:after="200"/>
        <w:rPr>
          <w:rFonts w:eastAsia="Calibri"/>
          <w:szCs w:val="22"/>
          <w:lang w:val="sr-Latn-RS"/>
        </w:rPr>
      </w:pPr>
      <w:r w:rsidRPr="00BE5D41">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232F6FE" w14:textId="77777777" w:rsidR="004E3BC2" w:rsidRDefault="004E3BC2" w:rsidP="00BE5D41">
      <w:pPr>
        <w:tabs>
          <w:tab w:val="clear" w:pos="284"/>
        </w:tabs>
        <w:rPr>
          <w:rFonts w:eastAsia="Calibri"/>
          <w:szCs w:val="22"/>
          <w:lang w:val="sr-Latn-RS"/>
        </w:rPr>
      </w:pPr>
    </w:p>
    <w:p w14:paraId="420D720C" w14:textId="6912682A" w:rsidR="00BE5D41" w:rsidRPr="00BE5D41" w:rsidRDefault="00BE5D41" w:rsidP="00BE5D41">
      <w:pPr>
        <w:tabs>
          <w:tab w:val="clear" w:pos="284"/>
        </w:tabs>
        <w:rPr>
          <w:rFonts w:eastAsia="Calibri"/>
          <w:szCs w:val="22"/>
          <w:lang w:val="sr-Latn-RS"/>
        </w:rPr>
      </w:pPr>
      <w:r w:rsidRPr="00BE5D41">
        <w:rPr>
          <w:rFonts w:eastAsia="Calibri"/>
          <w:szCs w:val="22"/>
          <w:lang w:val="sr-Latn-RS"/>
        </w:rPr>
        <w:t xml:space="preserve">Institut za ljekove i medicinska sredstva </w:t>
      </w:r>
    </w:p>
    <w:p w14:paraId="18DD076F" w14:textId="77777777" w:rsidR="00BE5D41" w:rsidRPr="00BE5D41" w:rsidRDefault="00BE5D41" w:rsidP="00BE5D41">
      <w:pPr>
        <w:tabs>
          <w:tab w:val="clear" w:pos="284"/>
        </w:tabs>
        <w:rPr>
          <w:rFonts w:eastAsia="Calibri"/>
          <w:szCs w:val="22"/>
          <w:lang w:val="sr-Latn-RS"/>
        </w:rPr>
      </w:pPr>
      <w:r w:rsidRPr="00BE5D41">
        <w:rPr>
          <w:rFonts w:eastAsia="Calibri"/>
          <w:szCs w:val="22"/>
          <w:lang w:val="sr-Latn-RS"/>
        </w:rPr>
        <w:t>Odjeljenje za farmakovigilancu</w:t>
      </w:r>
    </w:p>
    <w:p w14:paraId="7272F554" w14:textId="77777777" w:rsidR="00BE5D41" w:rsidRPr="00BE5D41" w:rsidRDefault="00BE5D41" w:rsidP="00BE5D41">
      <w:pPr>
        <w:tabs>
          <w:tab w:val="clear" w:pos="284"/>
        </w:tabs>
        <w:rPr>
          <w:rFonts w:eastAsia="Calibri"/>
          <w:szCs w:val="22"/>
          <w:lang w:val="sr-Latn-RS"/>
        </w:rPr>
      </w:pPr>
      <w:r w:rsidRPr="00BE5D41">
        <w:rPr>
          <w:rFonts w:eastAsia="Calibri"/>
          <w:szCs w:val="22"/>
          <w:lang w:val="sr-Latn-RS"/>
        </w:rPr>
        <w:t>Bulevar Ivana Crnojevića 64a, 81000 Podgorica</w:t>
      </w:r>
    </w:p>
    <w:p w14:paraId="3F3A86B6" w14:textId="77777777" w:rsidR="00BE5D41" w:rsidRPr="00BE5D41" w:rsidRDefault="00BE5D41" w:rsidP="00BE5D41">
      <w:pPr>
        <w:tabs>
          <w:tab w:val="clear" w:pos="284"/>
        </w:tabs>
        <w:jc w:val="left"/>
        <w:rPr>
          <w:rFonts w:eastAsia="Calibri"/>
          <w:szCs w:val="22"/>
          <w:lang w:val="sr-Latn-RS"/>
        </w:rPr>
      </w:pPr>
    </w:p>
    <w:p w14:paraId="434EBCDF" w14:textId="77777777" w:rsidR="00BE5D41" w:rsidRPr="00BE5D41" w:rsidRDefault="00BE5D41" w:rsidP="00BE5D41">
      <w:pPr>
        <w:tabs>
          <w:tab w:val="clear" w:pos="284"/>
        </w:tabs>
        <w:rPr>
          <w:rFonts w:eastAsia="Calibri"/>
          <w:szCs w:val="22"/>
          <w:lang w:val="sr-Latn-RS"/>
        </w:rPr>
      </w:pPr>
      <w:r w:rsidRPr="00BE5D41">
        <w:rPr>
          <w:rFonts w:eastAsia="Calibri"/>
          <w:szCs w:val="22"/>
          <w:lang w:val="sr-Latn-RS"/>
        </w:rPr>
        <w:t>tel: +382 (0) 20 310 280</w:t>
      </w:r>
    </w:p>
    <w:p w14:paraId="3EB09F2A" w14:textId="77777777" w:rsidR="00BE5D41" w:rsidRPr="00BE5D41" w:rsidRDefault="00BE5D41" w:rsidP="00BE5D41">
      <w:pPr>
        <w:tabs>
          <w:tab w:val="clear" w:pos="284"/>
        </w:tabs>
        <w:rPr>
          <w:rFonts w:eastAsia="Calibri"/>
          <w:szCs w:val="22"/>
          <w:lang w:val="sr-Latn-RS"/>
        </w:rPr>
      </w:pPr>
      <w:r w:rsidRPr="00BE5D41">
        <w:rPr>
          <w:rFonts w:eastAsia="Calibri"/>
          <w:szCs w:val="22"/>
          <w:lang w:val="sr-Latn-RS"/>
        </w:rPr>
        <w:t>fax: +382 (0) 20 310 581</w:t>
      </w:r>
    </w:p>
    <w:p w14:paraId="18D6D42B" w14:textId="77777777" w:rsidR="00BE5D41" w:rsidRPr="00BE5D41" w:rsidRDefault="00C02D19" w:rsidP="00BE5D41">
      <w:pPr>
        <w:tabs>
          <w:tab w:val="clear" w:pos="284"/>
        </w:tabs>
        <w:rPr>
          <w:rFonts w:eastAsia="Calibri"/>
          <w:szCs w:val="22"/>
          <w:lang w:val="sr-Latn-RS"/>
        </w:rPr>
      </w:pPr>
      <w:hyperlink r:id="rId8" w:history="1">
        <w:r w:rsidR="00BE5D41" w:rsidRPr="00BE5D41">
          <w:rPr>
            <w:rFonts w:eastAsia="Calibri"/>
            <w:color w:val="0563C1"/>
            <w:szCs w:val="22"/>
            <w:u w:val="single"/>
            <w:lang w:val="sr-Latn-RS"/>
          </w:rPr>
          <w:t>www.cinmed.me</w:t>
        </w:r>
      </w:hyperlink>
    </w:p>
    <w:p w14:paraId="04963B29" w14:textId="77777777" w:rsidR="00BE5D41" w:rsidRPr="00BE5D41" w:rsidRDefault="00C02D19" w:rsidP="00BE5D41">
      <w:pPr>
        <w:tabs>
          <w:tab w:val="clear" w:pos="284"/>
        </w:tabs>
        <w:rPr>
          <w:rFonts w:eastAsia="Calibri"/>
          <w:color w:val="0000FF"/>
          <w:szCs w:val="22"/>
          <w:u w:val="single"/>
          <w:lang w:val="sr-Latn-RS"/>
        </w:rPr>
      </w:pPr>
      <w:hyperlink r:id="rId9" w:history="1">
        <w:r w:rsidR="00BE5D41" w:rsidRPr="00BE5D41">
          <w:rPr>
            <w:rFonts w:eastAsia="Calibri"/>
            <w:color w:val="0563C1"/>
            <w:szCs w:val="22"/>
            <w:u w:val="single"/>
            <w:lang w:val="sr-Latn-RS"/>
          </w:rPr>
          <w:t>nezeljenadejstva@cinmed.me</w:t>
        </w:r>
      </w:hyperlink>
    </w:p>
    <w:p w14:paraId="37DD9E03" w14:textId="12683697" w:rsidR="00CE4670" w:rsidRPr="0051150C" w:rsidRDefault="00BE5D41" w:rsidP="00BE5D41">
      <w:pPr>
        <w:rPr>
          <w:noProof/>
          <w:szCs w:val="22"/>
          <w:u w:val="single"/>
          <w:lang w:val="sr-Latn-BA"/>
        </w:rPr>
      </w:pPr>
      <w:r w:rsidRPr="00BE5D41">
        <w:rPr>
          <w:rFonts w:eastAsia="Calibri"/>
          <w:szCs w:val="22"/>
          <w:lang w:val="sr-Latn-RS"/>
        </w:rPr>
        <w:t>putem IS zdravstvene zaštite</w:t>
      </w:r>
    </w:p>
    <w:p w14:paraId="584B0D7E" w14:textId="77777777" w:rsidR="00CE09F3" w:rsidRPr="0051150C" w:rsidRDefault="00CE09F3" w:rsidP="009173F4">
      <w:pPr>
        <w:rPr>
          <w:noProof/>
          <w:szCs w:val="22"/>
          <w:lang w:val="sr-Latn-BA"/>
        </w:rPr>
      </w:pPr>
    </w:p>
    <w:p w14:paraId="584B0D7F" w14:textId="77777777" w:rsidR="00CE09F3" w:rsidRPr="0051150C" w:rsidRDefault="00CE09F3" w:rsidP="009173F4">
      <w:pPr>
        <w:rPr>
          <w:b/>
          <w:bCs/>
          <w:noProof/>
          <w:szCs w:val="22"/>
          <w:lang w:val="sr-Latn-BA"/>
        </w:rPr>
      </w:pPr>
      <w:r w:rsidRPr="0051150C">
        <w:rPr>
          <w:b/>
          <w:bCs/>
          <w:noProof/>
          <w:szCs w:val="22"/>
          <w:lang w:val="sr-Latn-BA"/>
        </w:rPr>
        <w:lastRenderedPageBreak/>
        <w:t>4.9. Predoziranje</w:t>
      </w:r>
    </w:p>
    <w:p w14:paraId="584B0D80" w14:textId="77777777" w:rsidR="00CE09F3" w:rsidRPr="0051150C" w:rsidRDefault="00CE09F3" w:rsidP="009173F4">
      <w:pPr>
        <w:rPr>
          <w:noProof/>
          <w:szCs w:val="22"/>
          <w:lang w:val="sr-Latn-BA"/>
        </w:rPr>
      </w:pPr>
    </w:p>
    <w:p w14:paraId="1C9F742C" w14:textId="08DD189C" w:rsidR="007626ED" w:rsidRPr="0051150C" w:rsidRDefault="007626ED" w:rsidP="009173F4">
      <w:pPr>
        <w:tabs>
          <w:tab w:val="clear" w:pos="284"/>
        </w:tabs>
        <w:autoSpaceDE w:val="0"/>
        <w:autoSpaceDN w:val="0"/>
        <w:adjustRightInd w:val="0"/>
        <w:rPr>
          <w:noProof/>
          <w:szCs w:val="22"/>
          <w:lang w:val="sr-Latn-BA"/>
        </w:rPr>
      </w:pPr>
      <w:r w:rsidRPr="0051150C">
        <w:rPr>
          <w:noProof/>
          <w:szCs w:val="22"/>
          <w:lang w:val="sr-Latn-BA"/>
        </w:rPr>
        <w:t xml:space="preserve">Iskustvo vezano za predoziranje </w:t>
      </w:r>
      <w:r w:rsidR="00584958" w:rsidRPr="0051150C">
        <w:rPr>
          <w:noProof/>
          <w:szCs w:val="22"/>
          <w:lang w:val="sr-Latn-BA"/>
        </w:rPr>
        <w:t xml:space="preserve">abirateron </w:t>
      </w:r>
      <w:r w:rsidRPr="0051150C">
        <w:rPr>
          <w:noProof/>
          <w:szCs w:val="22"/>
          <w:lang w:val="sr-Latn-BA"/>
        </w:rPr>
        <w:t>acetat</w:t>
      </w:r>
      <w:r w:rsidR="00584958" w:rsidRPr="0051150C">
        <w:rPr>
          <w:noProof/>
          <w:szCs w:val="22"/>
          <w:lang w:val="sr-Latn-BA"/>
        </w:rPr>
        <w:t>om</w:t>
      </w:r>
      <w:r w:rsidRPr="0051150C">
        <w:rPr>
          <w:noProof/>
          <w:szCs w:val="22"/>
          <w:lang w:val="sr-Latn-BA"/>
        </w:rPr>
        <w:t xml:space="preserve"> kod ljudi je ograničeno.</w:t>
      </w:r>
    </w:p>
    <w:p w14:paraId="6939BAF7" w14:textId="77777777" w:rsidR="007626ED" w:rsidRPr="0051150C" w:rsidRDefault="007626ED" w:rsidP="009173F4">
      <w:pPr>
        <w:tabs>
          <w:tab w:val="clear" w:pos="284"/>
        </w:tabs>
        <w:autoSpaceDE w:val="0"/>
        <w:autoSpaceDN w:val="0"/>
        <w:adjustRightInd w:val="0"/>
        <w:rPr>
          <w:noProof/>
          <w:szCs w:val="22"/>
          <w:lang w:val="sr-Latn-BA"/>
        </w:rPr>
      </w:pPr>
    </w:p>
    <w:p w14:paraId="584B0D81" w14:textId="40D5B61A" w:rsidR="00CE09F3" w:rsidRPr="0051150C" w:rsidRDefault="007626ED" w:rsidP="009173F4">
      <w:pPr>
        <w:tabs>
          <w:tab w:val="clear" w:pos="284"/>
        </w:tabs>
        <w:autoSpaceDE w:val="0"/>
        <w:autoSpaceDN w:val="0"/>
        <w:adjustRightInd w:val="0"/>
        <w:rPr>
          <w:noProof/>
          <w:szCs w:val="22"/>
          <w:lang w:val="sr-Latn-BA"/>
        </w:rPr>
      </w:pPr>
      <w:r w:rsidRPr="0051150C">
        <w:rPr>
          <w:noProof/>
          <w:szCs w:val="22"/>
          <w:lang w:val="sr-Latn-BA"/>
        </w:rPr>
        <w:t xml:space="preserve">Nema specifičnog antidota. U slučaju predoziranja, treba obustaviti davanje </w:t>
      </w:r>
      <w:r w:rsidR="00096FAA" w:rsidRPr="0051150C">
        <w:rPr>
          <w:noProof/>
          <w:szCs w:val="22"/>
          <w:lang w:val="sr-Latn-BA"/>
        </w:rPr>
        <w:t>lijek</w:t>
      </w:r>
      <w:r w:rsidRPr="0051150C">
        <w:rPr>
          <w:noProof/>
          <w:szCs w:val="22"/>
          <w:lang w:val="sr-Latn-BA"/>
        </w:rPr>
        <w:t xml:space="preserve">a i preduzeti opšte </w:t>
      </w:r>
      <w:r w:rsidR="00C56CF1">
        <w:rPr>
          <w:noProof/>
          <w:szCs w:val="22"/>
          <w:lang w:val="sr-Latn-BA"/>
        </w:rPr>
        <w:t>suportivn</w:t>
      </w:r>
      <w:r w:rsidRPr="0051150C">
        <w:rPr>
          <w:noProof/>
          <w:szCs w:val="22"/>
          <w:lang w:val="sr-Latn-BA"/>
        </w:rPr>
        <w:t>e m</w:t>
      </w:r>
      <w:r w:rsidR="00256BBA" w:rsidRPr="0051150C">
        <w:rPr>
          <w:noProof/>
          <w:szCs w:val="22"/>
          <w:lang w:val="sr-Latn-BA"/>
        </w:rPr>
        <w:t>j</w:t>
      </w:r>
      <w:r w:rsidRPr="0051150C">
        <w:rPr>
          <w:noProof/>
          <w:szCs w:val="22"/>
          <w:lang w:val="sr-Latn-BA"/>
        </w:rPr>
        <w:t>ere, uključujući monitoring za aritmije, hipokal</w:t>
      </w:r>
      <w:r w:rsidR="000A58D3">
        <w:rPr>
          <w:noProof/>
          <w:szCs w:val="22"/>
          <w:lang w:val="sr-Latn-BA"/>
        </w:rPr>
        <w:t>ij</w:t>
      </w:r>
      <w:r w:rsidRPr="0051150C">
        <w:rPr>
          <w:noProof/>
          <w:szCs w:val="22"/>
          <w:lang w:val="sr-Latn-BA"/>
        </w:rPr>
        <w:t>emiju i znake i simptome retencije tečnosti. Treba kontrolisati i funkciju jetre.</w:t>
      </w:r>
    </w:p>
    <w:p w14:paraId="4B2162DF" w14:textId="77777777" w:rsidR="004E3BC2" w:rsidRDefault="004E3BC2" w:rsidP="009173F4">
      <w:pPr>
        <w:pStyle w:val="NASLOV123"/>
        <w:rPr>
          <w:noProof/>
          <w:lang w:val="sr-Latn-BA"/>
        </w:rPr>
      </w:pPr>
    </w:p>
    <w:p w14:paraId="584B0D82" w14:textId="74430B9C" w:rsidR="00CE09F3" w:rsidRPr="0051150C" w:rsidRDefault="00CE09F3" w:rsidP="009173F4">
      <w:pPr>
        <w:pStyle w:val="NASLOV123"/>
        <w:rPr>
          <w:noProof/>
          <w:lang w:val="sr-Latn-BA"/>
        </w:rPr>
      </w:pPr>
      <w:r w:rsidRPr="0051150C">
        <w:rPr>
          <w:noProof/>
          <w:lang w:val="sr-Latn-BA"/>
        </w:rPr>
        <w:t>5. FARMAKOLOŠKI PODACI</w:t>
      </w:r>
    </w:p>
    <w:p w14:paraId="584B0D83" w14:textId="7D1F9A48" w:rsidR="00CE09F3" w:rsidRPr="0051150C" w:rsidRDefault="00CE09F3" w:rsidP="009173F4">
      <w:pPr>
        <w:rPr>
          <w:b/>
          <w:bCs/>
          <w:noProof/>
          <w:szCs w:val="22"/>
          <w:lang w:val="sr-Latn-BA"/>
        </w:rPr>
      </w:pPr>
      <w:r w:rsidRPr="0051150C">
        <w:rPr>
          <w:b/>
          <w:bCs/>
          <w:noProof/>
          <w:szCs w:val="22"/>
          <w:lang w:val="sr-Latn-BA"/>
        </w:rPr>
        <w:t>5.1. Farmakodinamski podaci</w:t>
      </w:r>
      <w:r w:rsidR="007626ED" w:rsidRPr="0051150C">
        <w:rPr>
          <w:b/>
          <w:bCs/>
          <w:noProof/>
          <w:szCs w:val="22"/>
          <w:lang w:val="sr-Latn-BA"/>
        </w:rPr>
        <w:t xml:space="preserve">: </w:t>
      </w:r>
    </w:p>
    <w:p w14:paraId="406EAF06" w14:textId="77777777" w:rsidR="00C605D8" w:rsidRPr="0051150C" w:rsidRDefault="00C605D8" w:rsidP="009173F4">
      <w:pPr>
        <w:rPr>
          <w:b/>
          <w:bCs/>
          <w:noProof/>
          <w:szCs w:val="22"/>
          <w:lang w:val="sr-Latn-BA"/>
        </w:rPr>
      </w:pPr>
    </w:p>
    <w:p w14:paraId="584B0D84" w14:textId="68515C5F" w:rsidR="00CE09F3" w:rsidRPr="0051150C" w:rsidRDefault="00CE09F3" w:rsidP="009173F4">
      <w:pPr>
        <w:rPr>
          <w:bCs/>
          <w:noProof/>
          <w:szCs w:val="22"/>
          <w:lang w:val="sr-Latn-BA"/>
        </w:rPr>
      </w:pPr>
      <w:r w:rsidRPr="00410EF6">
        <w:rPr>
          <w:bCs/>
          <w:noProof/>
          <w:szCs w:val="22"/>
          <w:lang w:val="sr-Latn-BA"/>
        </w:rPr>
        <w:t>Farmakoterapijska grupa:</w:t>
      </w:r>
      <w:r w:rsidR="007626ED" w:rsidRPr="0051150C">
        <w:rPr>
          <w:bCs/>
          <w:noProof/>
          <w:szCs w:val="22"/>
          <w:lang w:val="sr-Latn-BA"/>
        </w:rPr>
        <w:t xml:space="preserve"> </w:t>
      </w:r>
      <w:r w:rsidR="00C605D8" w:rsidRPr="0051150C">
        <w:rPr>
          <w:bCs/>
          <w:noProof/>
          <w:szCs w:val="22"/>
          <w:lang w:val="sr-Latn-BA"/>
        </w:rPr>
        <w:t xml:space="preserve">endokrinološka terapija, ostali hormonski antagonisti i srodni </w:t>
      </w:r>
      <w:r w:rsidR="00096FAA" w:rsidRPr="0051150C">
        <w:rPr>
          <w:bCs/>
          <w:noProof/>
          <w:szCs w:val="22"/>
          <w:lang w:val="sr-Latn-BA"/>
        </w:rPr>
        <w:t>ljek</w:t>
      </w:r>
      <w:r w:rsidR="00C605D8" w:rsidRPr="0051150C">
        <w:rPr>
          <w:bCs/>
          <w:noProof/>
          <w:szCs w:val="22"/>
          <w:lang w:val="sr-Latn-BA"/>
        </w:rPr>
        <w:t>ovi</w:t>
      </w:r>
    </w:p>
    <w:p w14:paraId="584B0D85" w14:textId="77777777" w:rsidR="00CE09F3" w:rsidRPr="0051150C" w:rsidRDefault="00CE09F3" w:rsidP="009173F4">
      <w:pPr>
        <w:rPr>
          <w:noProof/>
          <w:szCs w:val="22"/>
          <w:lang w:val="sr-Latn-BA"/>
        </w:rPr>
      </w:pPr>
    </w:p>
    <w:p w14:paraId="584B0D86" w14:textId="61B7D604" w:rsidR="00CE09F3" w:rsidRPr="0051150C" w:rsidRDefault="00CE09F3" w:rsidP="009173F4">
      <w:pPr>
        <w:rPr>
          <w:b/>
          <w:bCs/>
          <w:noProof/>
          <w:szCs w:val="22"/>
          <w:lang w:val="sr-Latn-BA"/>
        </w:rPr>
      </w:pPr>
      <w:r w:rsidRPr="00410EF6">
        <w:rPr>
          <w:bCs/>
          <w:noProof/>
          <w:szCs w:val="22"/>
          <w:lang w:val="sr-Latn-BA"/>
        </w:rPr>
        <w:t xml:space="preserve">ATC </w:t>
      </w:r>
      <w:r w:rsidR="00992DF7" w:rsidRPr="00410EF6">
        <w:rPr>
          <w:bCs/>
          <w:noProof/>
          <w:szCs w:val="22"/>
          <w:lang w:val="sr-Latn-BA"/>
        </w:rPr>
        <w:t>kod</w:t>
      </w:r>
      <w:r w:rsidRPr="00410EF6">
        <w:rPr>
          <w:bCs/>
          <w:noProof/>
          <w:szCs w:val="22"/>
          <w:lang w:val="sr-Latn-BA"/>
        </w:rPr>
        <w:t>:</w:t>
      </w:r>
      <w:r w:rsidR="00C605D8" w:rsidRPr="0051150C">
        <w:rPr>
          <w:b/>
          <w:bCs/>
          <w:noProof/>
          <w:szCs w:val="22"/>
          <w:lang w:val="sr-Latn-BA"/>
        </w:rPr>
        <w:t xml:space="preserve"> </w:t>
      </w:r>
      <w:r w:rsidR="00C605D8" w:rsidRPr="0051150C">
        <w:rPr>
          <w:bCs/>
          <w:noProof/>
          <w:szCs w:val="22"/>
          <w:lang w:val="sr-Latn-BA"/>
        </w:rPr>
        <w:t>L02BX03</w:t>
      </w:r>
    </w:p>
    <w:p w14:paraId="584B0D87" w14:textId="77777777" w:rsidR="00CE09F3" w:rsidRPr="0051150C" w:rsidRDefault="00CE09F3" w:rsidP="009173F4">
      <w:pPr>
        <w:rPr>
          <w:noProof/>
          <w:szCs w:val="22"/>
          <w:lang w:val="sr-Latn-BA"/>
        </w:rPr>
      </w:pPr>
    </w:p>
    <w:p w14:paraId="356AAA89" w14:textId="77777777" w:rsidR="00C605D8" w:rsidRPr="0051150C" w:rsidRDefault="00C605D8" w:rsidP="009173F4">
      <w:pPr>
        <w:tabs>
          <w:tab w:val="clear" w:pos="284"/>
        </w:tabs>
        <w:autoSpaceDE w:val="0"/>
        <w:autoSpaceDN w:val="0"/>
        <w:adjustRightInd w:val="0"/>
        <w:rPr>
          <w:noProof/>
          <w:szCs w:val="22"/>
          <w:u w:val="single"/>
          <w:lang w:val="sr-Latn-BA"/>
        </w:rPr>
      </w:pPr>
      <w:r w:rsidRPr="0051150C">
        <w:rPr>
          <w:noProof/>
          <w:szCs w:val="22"/>
          <w:u w:val="single"/>
          <w:lang w:val="sr-Latn-BA"/>
        </w:rPr>
        <w:t>Mehanizam dejstva</w:t>
      </w:r>
    </w:p>
    <w:p w14:paraId="2A4D6725" w14:textId="649A37BC" w:rsidR="00C605D8" w:rsidRPr="0051150C" w:rsidRDefault="00584958" w:rsidP="009173F4">
      <w:pPr>
        <w:tabs>
          <w:tab w:val="clear" w:pos="284"/>
        </w:tabs>
        <w:autoSpaceDE w:val="0"/>
        <w:autoSpaceDN w:val="0"/>
        <w:adjustRightInd w:val="0"/>
        <w:rPr>
          <w:noProof/>
          <w:szCs w:val="22"/>
          <w:lang w:val="sr-Latn-BA"/>
        </w:rPr>
      </w:pPr>
      <w:r w:rsidRPr="0051150C">
        <w:rPr>
          <w:noProof/>
          <w:szCs w:val="22"/>
          <w:lang w:val="sr-Latn-BA"/>
        </w:rPr>
        <w:t xml:space="preserve">Abirateron </w:t>
      </w:r>
      <w:r w:rsidR="00C605D8" w:rsidRPr="0051150C">
        <w:rPr>
          <w:noProof/>
          <w:szCs w:val="22"/>
          <w:lang w:val="sr-Latn-BA"/>
        </w:rPr>
        <w:t xml:space="preserve">acetat se </w:t>
      </w:r>
      <w:r w:rsidR="00C605D8" w:rsidRPr="0051150C">
        <w:rPr>
          <w:i/>
          <w:iCs/>
          <w:noProof/>
          <w:szCs w:val="22"/>
          <w:lang w:val="sr-Latn-BA"/>
        </w:rPr>
        <w:t xml:space="preserve">in vivo </w:t>
      </w:r>
      <w:r w:rsidR="00C605D8" w:rsidRPr="0051150C">
        <w:rPr>
          <w:noProof/>
          <w:szCs w:val="22"/>
          <w:lang w:val="sr-Latn-BA"/>
        </w:rPr>
        <w:t>pretvara u abirateron, inhibitor biosinteze androgena. Tačnije, abirateron se</w:t>
      </w:r>
      <w:r w:rsidR="00096FAA" w:rsidRPr="0051150C">
        <w:rPr>
          <w:noProof/>
          <w:szCs w:val="22"/>
          <w:lang w:val="sr-Latn-BA"/>
        </w:rPr>
        <w:t>lek</w:t>
      </w:r>
      <w:r w:rsidR="00C605D8" w:rsidRPr="0051150C">
        <w:rPr>
          <w:noProof/>
          <w:szCs w:val="22"/>
          <w:lang w:val="sr-Latn-BA"/>
        </w:rPr>
        <w:t>tivno inhibira enzim 17α-hidroksilazu/C17,20-liazu (CYP17). Ovaj enzim je eksprimiran i neophodan za biosintezu androgena u tkivima tumora testisa, nadbubrega i prostate. CYP17 katalizuje konverziju pregnenolona i progesterona u p</w:t>
      </w:r>
      <w:r w:rsidRPr="0051150C">
        <w:rPr>
          <w:noProof/>
          <w:szCs w:val="22"/>
          <w:lang w:val="sr-Latn-BA"/>
        </w:rPr>
        <w:t xml:space="preserve">rekursore testosterone, DHEA </w:t>
      </w:r>
      <w:r w:rsidR="00715734" w:rsidRPr="0051150C">
        <w:rPr>
          <w:noProof/>
          <w:szCs w:val="22"/>
          <w:lang w:val="sr-Latn-BA"/>
        </w:rPr>
        <w:t xml:space="preserve">17α-hidroksilacijom </w:t>
      </w:r>
      <w:r w:rsidRPr="0051150C">
        <w:rPr>
          <w:noProof/>
          <w:szCs w:val="22"/>
          <w:lang w:val="sr-Latn-BA"/>
        </w:rPr>
        <w:t>i androstendion,  c</w:t>
      </w:r>
      <w:r w:rsidR="00715734">
        <w:rPr>
          <w:noProof/>
          <w:szCs w:val="22"/>
          <w:lang w:val="sr-Latn-BA"/>
        </w:rPr>
        <w:t>ij</w:t>
      </w:r>
      <w:r w:rsidRPr="0051150C">
        <w:rPr>
          <w:noProof/>
          <w:szCs w:val="22"/>
          <w:lang w:val="sr-Latn-BA"/>
        </w:rPr>
        <w:t xml:space="preserve">epanjem C17,20. </w:t>
      </w:r>
      <w:r w:rsidR="00C605D8" w:rsidRPr="0051150C">
        <w:rPr>
          <w:noProof/>
          <w:szCs w:val="22"/>
          <w:lang w:val="sr-Latn-BA"/>
        </w:rPr>
        <w:t>Inhibicija CYP17 dovodi i do povećane produkcije mineralokortikoida u nadbubrežnim žl</w:t>
      </w:r>
      <w:r w:rsidR="00256BBA" w:rsidRPr="0051150C">
        <w:rPr>
          <w:noProof/>
          <w:szCs w:val="22"/>
          <w:lang w:val="sr-Latn-BA"/>
        </w:rPr>
        <w:t>ij</w:t>
      </w:r>
      <w:r w:rsidR="00C605D8" w:rsidRPr="0051150C">
        <w:rPr>
          <w:noProof/>
          <w:szCs w:val="22"/>
          <w:lang w:val="sr-Latn-BA"/>
        </w:rPr>
        <w:t>ezdama (</w:t>
      </w:r>
      <w:r w:rsidR="00F43B54" w:rsidRPr="00410EF6">
        <w:rPr>
          <w:noProof/>
          <w:szCs w:val="22"/>
          <w:lang w:val="sr-Latn-BA"/>
        </w:rPr>
        <w:t xml:space="preserve">vidjeti dio </w:t>
      </w:r>
      <w:r w:rsidR="00C605D8" w:rsidRPr="00410EF6">
        <w:rPr>
          <w:noProof/>
          <w:szCs w:val="22"/>
          <w:lang w:val="sr-Latn-BA"/>
        </w:rPr>
        <w:t>4.4</w:t>
      </w:r>
      <w:r w:rsidR="00C605D8" w:rsidRPr="0051150C">
        <w:rPr>
          <w:noProof/>
          <w:szCs w:val="22"/>
          <w:lang w:val="sr-Latn-BA"/>
        </w:rPr>
        <w:t>).</w:t>
      </w:r>
    </w:p>
    <w:p w14:paraId="1D5F03E6" w14:textId="77777777" w:rsidR="00C605D8" w:rsidRPr="0051150C" w:rsidRDefault="00C605D8" w:rsidP="009173F4">
      <w:pPr>
        <w:tabs>
          <w:tab w:val="clear" w:pos="284"/>
        </w:tabs>
        <w:autoSpaceDE w:val="0"/>
        <w:autoSpaceDN w:val="0"/>
        <w:adjustRightInd w:val="0"/>
        <w:rPr>
          <w:noProof/>
          <w:szCs w:val="22"/>
          <w:lang w:val="sr-Latn-BA"/>
        </w:rPr>
      </w:pPr>
    </w:p>
    <w:p w14:paraId="05CC0F1C" w14:textId="0B1D38B2" w:rsidR="00C605D8" w:rsidRPr="0051150C" w:rsidRDefault="00C605D8" w:rsidP="009173F4">
      <w:pPr>
        <w:tabs>
          <w:tab w:val="clear" w:pos="284"/>
        </w:tabs>
        <w:autoSpaceDE w:val="0"/>
        <w:autoSpaceDN w:val="0"/>
        <w:adjustRightInd w:val="0"/>
        <w:rPr>
          <w:noProof/>
          <w:szCs w:val="22"/>
          <w:lang w:val="sr-Latn-BA"/>
        </w:rPr>
      </w:pPr>
      <w:r w:rsidRPr="0051150C">
        <w:rPr>
          <w:noProof/>
          <w:szCs w:val="22"/>
          <w:lang w:val="sr-Latn-BA"/>
        </w:rPr>
        <w:t>Androgen-senzitivni karcinom prostate odgovara na terapiju kojom se snižavaju koncentracije androgena. Androgen deprivacione terapije kao što je terapija analozima LHRH ili orhiektomija, smanjuju stvaranje and</w:t>
      </w:r>
      <w:r w:rsidR="00F4493A" w:rsidRPr="0051150C">
        <w:rPr>
          <w:noProof/>
          <w:szCs w:val="22"/>
          <w:lang w:val="sr-Latn-BA"/>
        </w:rPr>
        <w:t>rogena u testisima, ali ne utiču</w:t>
      </w:r>
      <w:r w:rsidRPr="0051150C">
        <w:rPr>
          <w:noProof/>
          <w:szCs w:val="22"/>
          <w:lang w:val="sr-Latn-BA"/>
        </w:rPr>
        <w:t xml:space="preserve"> na stvaranje androgena u nadbubrežnim žl</w:t>
      </w:r>
      <w:r w:rsidR="00256BBA" w:rsidRPr="0051150C">
        <w:rPr>
          <w:noProof/>
          <w:szCs w:val="22"/>
          <w:lang w:val="sr-Latn-BA"/>
        </w:rPr>
        <w:t>ij</w:t>
      </w:r>
      <w:r w:rsidRPr="0051150C">
        <w:rPr>
          <w:noProof/>
          <w:szCs w:val="22"/>
          <w:lang w:val="sr-Latn-BA"/>
        </w:rPr>
        <w:t>ezda</w:t>
      </w:r>
      <w:r w:rsidR="00F4493A" w:rsidRPr="0051150C">
        <w:rPr>
          <w:noProof/>
          <w:szCs w:val="22"/>
          <w:lang w:val="sr-Latn-BA"/>
        </w:rPr>
        <w:t xml:space="preserve">ma ili u tumoru. Terapija </w:t>
      </w:r>
      <w:r w:rsidR="000D6983" w:rsidRPr="0051150C">
        <w:rPr>
          <w:noProof/>
          <w:szCs w:val="22"/>
          <w:lang w:val="sr-Latn-BA"/>
        </w:rPr>
        <w:t xml:space="preserve">abirateron </w:t>
      </w:r>
      <w:r w:rsidR="00F4493A" w:rsidRPr="0051150C">
        <w:rPr>
          <w:noProof/>
          <w:szCs w:val="22"/>
          <w:lang w:val="sr-Latn-BA"/>
        </w:rPr>
        <w:t xml:space="preserve">acetatom </w:t>
      </w:r>
      <w:r w:rsidRPr="0051150C">
        <w:rPr>
          <w:noProof/>
          <w:szCs w:val="22"/>
          <w:lang w:val="sr-Latn-BA"/>
        </w:rPr>
        <w:t>smanjuje koncentraciju testosterona u serumu ispod nivoa detekcije (</w:t>
      </w:r>
      <w:r w:rsidR="000D6983" w:rsidRPr="0051150C">
        <w:rPr>
          <w:noProof/>
          <w:szCs w:val="22"/>
          <w:lang w:val="sr-Latn-BA"/>
        </w:rPr>
        <w:t xml:space="preserve">pri </w:t>
      </w:r>
      <w:r w:rsidR="00096FAA" w:rsidRPr="0051150C">
        <w:rPr>
          <w:noProof/>
          <w:szCs w:val="22"/>
          <w:lang w:val="sr-Latn-BA"/>
        </w:rPr>
        <w:t>primjen</w:t>
      </w:r>
      <w:r w:rsidR="000D6983" w:rsidRPr="0051150C">
        <w:rPr>
          <w:noProof/>
          <w:szCs w:val="22"/>
          <w:lang w:val="sr-Latn-BA"/>
        </w:rPr>
        <w:t>i</w:t>
      </w:r>
      <w:r w:rsidRPr="0051150C">
        <w:rPr>
          <w:noProof/>
          <w:szCs w:val="22"/>
          <w:lang w:val="sr-Latn-BA"/>
        </w:rPr>
        <w:t xml:space="preserve"> komer</w:t>
      </w:r>
      <w:r w:rsidR="00F4493A" w:rsidRPr="0051150C">
        <w:rPr>
          <w:noProof/>
          <w:szCs w:val="22"/>
          <w:lang w:val="sr-Latn-BA"/>
        </w:rPr>
        <w:t>cijalni</w:t>
      </w:r>
      <w:r w:rsidR="000D6983" w:rsidRPr="0051150C">
        <w:rPr>
          <w:noProof/>
          <w:szCs w:val="22"/>
          <w:lang w:val="sr-Latn-BA"/>
        </w:rPr>
        <w:t>h testova</w:t>
      </w:r>
      <w:r w:rsidR="00F4493A" w:rsidRPr="0051150C">
        <w:rPr>
          <w:noProof/>
          <w:szCs w:val="22"/>
          <w:lang w:val="sr-Latn-BA"/>
        </w:rPr>
        <w:t>) kada se daje u kombinaciji sa</w:t>
      </w:r>
      <w:r w:rsidRPr="0051150C">
        <w:rPr>
          <w:noProof/>
          <w:szCs w:val="22"/>
          <w:lang w:val="sr-Latn-BA"/>
        </w:rPr>
        <w:t xml:space="preserve"> LHRH </w:t>
      </w:r>
      <w:r w:rsidR="00F4493A" w:rsidRPr="0051150C">
        <w:rPr>
          <w:noProof/>
          <w:szCs w:val="22"/>
          <w:lang w:val="sr-Latn-BA"/>
        </w:rPr>
        <w:t xml:space="preserve">analozima </w:t>
      </w:r>
      <w:r w:rsidRPr="0051150C">
        <w:rPr>
          <w:noProof/>
          <w:szCs w:val="22"/>
          <w:lang w:val="sr-Latn-BA"/>
        </w:rPr>
        <w:t>(ili uz orhiektomiju).</w:t>
      </w:r>
    </w:p>
    <w:p w14:paraId="2E1FA50E" w14:textId="77777777" w:rsidR="00C605D8" w:rsidRPr="0051150C" w:rsidRDefault="00C605D8" w:rsidP="009173F4">
      <w:pPr>
        <w:tabs>
          <w:tab w:val="clear" w:pos="284"/>
        </w:tabs>
        <w:autoSpaceDE w:val="0"/>
        <w:autoSpaceDN w:val="0"/>
        <w:adjustRightInd w:val="0"/>
        <w:rPr>
          <w:noProof/>
          <w:szCs w:val="22"/>
          <w:lang w:val="sr-Latn-BA"/>
        </w:rPr>
      </w:pPr>
    </w:p>
    <w:p w14:paraId="006C46F8" w14:textId="0B4D4368" w:rsidR="00C605D8" w:rsidRPr="0051150C" w:rsidRDefault="00C605D8" w:rsidP="009173F4">
      <w:pPr>
        <w:tabs>
          <w:tab w:val="clear" w:pos="284"/>
        </w:tabs>
        <w:autoSpaceDE w:val="0"/>
        <w:autoSpaceDN w:val="0"/>
        <w:adjustRightInd w:val="0"/>
        <w:rPr>
          <w:noProof/>
          <w:szCs w:val="22"/>
          <w:u w:val="single"/>
          <w:lang w:val="sr-Latn-BA"/>
        </w:rPr>
      </w:pPr>
      <w:r w:rsidRPr="0051150C">
        <w:rPr>
          <w:noProof/>
          <w:szCs w:val="22"/>
          <w:u w:val="single"/>
          <w:lang w:val="sr-Latn-BA"/>
        </w:rPr>
        <w:t>Farmakodinamska dejstva</w:t>
      </w:r>
    </w:p>
    <w:p w14:paraId="6FE5785F" w14:textId="0B5910CD" w:rsidR="00C605D8" w:rsidRPr="0051150C" w:rsidRDefault="00C11A4C" w:rsidP="009173F4">
      <w:pPr>
        <w:tabs>
          <w:tab w:val="clear" w:pos="284"/>
        </w:tabs>
        <w:autoSpaceDE w:val="0"/>
        <w:autoSpaceDN w:val="0"/>
        <w:adjustRightInd w:val="0"/>
        <w:rPr>
          <w:noProof/>
          <w:szCs w:val="22"/>
          <w:lang w:val="sr-Latn-BA"/>
        </w:rPr>
      </w:pPr>
      <w:r w:rsidRPr="0051150C">
        <w:rPr>
          <w:noProof/>
          <w:szCs w:val="22"/>
          <w:lang w:val="sr-Latn-BA"/>
        </w:rPr>
        <w:t>Abirateron</w:t>
      </w:r>
      <w:r w:rsidR="000D6983" w:rsidRPr="0051150C">
        <w:rPr>
          <w:noProof/>
          <w:szCs w:val="22"/>
          <w:lang w:val="sr-Latn-BA"/>
        </w:rPr>
        <w:t xml:space="preserve"> </w:t>
      </w:r>
      <w:r w:rsidRPr="0051150C">
        <w:rPr>
          <w:noProof/>
          <w:szCs w:val="22"/>
          <w:lang w:val="sr-Latn-BA"/>
        </w:rPr>
        <w:t xml:space="preserve">acetat </w:t>
      </w:r>
      <w:r w:rsidR="00C605D8" w:rsidRPr="0051150C">
        <w:rPr>
          <w:noProof/>
          <w:szCs w:val="22"/>
          <w:lang w:val="sr-Latn-BA"/>
        </w:rPr>
        <w:t>snižava koncentraciju testosterona i drugih androgena u serumu d</w:t>
      </w:r>
      <w:r w:rsidRPr="0051150C">
        <w:rPr>
          <w:noProof/>
          <w:szCs w:val="22"/>
          <w:lang w:val="sr-Latn-BA"/>
        </w:rPr>
        <w:t>o</w:t>
      </w:r>
      <w:r w:rsidR="00C605D8" w:rsidRPr="0051150C">
        <w:rPr>
          <w:noProof/>
          <w:szCs w:val="22"/>
          <w:lang w:val="sr-Latn-BA"/>
        </w:rPr>
        <w:t xml:space="preserve"> manjih</w:t>
      </w:r>
      <w:r w:rsidRPr="0051150C">
        <w:rPr>
          <w:noProof/>
          <w:szCs w:val="22"/>
          <w:lang w:val="sr-Latn-BA"/>
        </w:rPr>
        <w:t xml:space="preserve"> nivoa</w:t>
      </w:r>
      <w:r w:rsidR="00C605D8" w:rsidRPr="0051150C">
        <w:rPr>
          <w:noProof/>
          <w:szCs w:val="22"/>
          <w:lang w:val="sr-Latn-BA"/>
        </w:rPr>
        <w:t xml:space="preserve"> od onih koji se postižu </w:t>
      </w:r>
      <w:r w:rsidR="00096FAA" w:rsidRPr="0051150C">
        <w:rPr>
          <w:noProof/>
          <w:szCs w:val="22"/>
          <w:lang w:val="sr-Latn-BA"/>
        </w:rPr>
        <w:t>primjen</w:t>
      </w:r>
      <w:r w:rsidR="00C605D8" w:rsidRPr="0051150C">
        <w:rPr>
          <w:noProof/>
          <w:szCs w:val="22"/>
          <w:lang w:val="sr-Latn-BA"/>
        </w:rPr>
        <w:t>om samih analoga LHRH ili orhiektomijom. Ovo je rezultat se</w:t>
      </w:r>
      <w:r w:rsidR="00096FAA" w:rsidRPr="0051150C">
        <w:rPr>
          <w:noProof/>
          <w:szCs w:val="22"/>
          <w:lang w:val="sr-Latn-BA"/>
        </w:rPr>
        <w:t>lek</w:t>
      </w:r>
      <w:r w:rsidR="00C605D8" w:rsidRPr="0051150C">
        <w:rPr>
          <w:noProof/>
          <w:szCs w:val="22"/>
          <w:lang w:val="sr-Latn-BA"/>
        </w:rPr>
        <w:t xml:space="preserve">tivne inhibicije CYP17 enzima koji je </w:t>
      </w:r>
      <w:r w:rsidR="000D6983" w:rsidRPr="0051150C">
        <w:rPr>
          <w:noProof/>
          <w:szCs w:val="22"/>
          <w:lang w:val="sr-Latn-BA"/>
        </w:rPr>
        <w:t>neophodan</w:t>
      </w:r>
      <w:r w:rsidR="00C605D8" w:rsidRPr="0051150C">
        <w:rPr>
          <w:noProof/>
          <w:szCs w:val="22"/>
          <w:lang w:val="sr-Latn-BA"/>
        </w:rPr>
        <w:t xml:space="preserve"> za biosintezu androgena. Antigen specifičan za prostatu (PSA) služi kao biomarker kod pacijenata sa karcinomom prostate. U kliničkoj studiji faze </w:t>
      </w:r>
      <w:r w:rsidR="006069FE">
        <w:rPr>
          <w:noProof/>
          <w:szCs w:val="22"/>
          <w:lang w:val="sr-Latn-BA"/>
        </w:rPr>
        <w:t>III</w:t>
      </w:r>
      <w:r w:rsidR="006069FE" w:rsidRPr="0051150C">
        <w:rPr>
          <w:noProof/>
          <w:szCs w:val="22"/>
          <w:lang w:val="sr-Latn-BA"/>
        </w:rPr>
        <w:t xml:space="preserve"> </w:t>
      </w:r>
      <w:r w:rsidR="00C605D8" w:rsidRPr="0051150C">
        <w:rPr>
          <w:noProof/>
          <w:szCs w:val="22"/>
          <w:lang w:val="sr-Latn-BA"/>
        </w:rPr>
        <w:t>kod pacijenata koji ni</w:t>
      </w:r>
      <w:r w:rsidR="00715734">
        <w:rPr>
          <w:noProof/>
          <w:szCs w:val="22"/>
          <w:lang w:val="sr-Latn-BA"/>
        </w:rPr>
        <w:t>je</w:t>
      </w:r>
      <w:r w:rsidR="00C605D8" w:rsidRPr="0051150C">
        <w:rPr>
          <w:noProof/>
          <w:szCs w:val="22"/>
          <w:lang w:val="sr-Latn-BA"/>
        </w:rPr>
        <w:t xml:space="preserve">su odgovorili na prethodnu hemioterapiju taksanima, kod 38% pacijenata koji su </w:t>
      </w:r>
      <w:r w:rsidR="000D6983" w:rsidRPr="0051150C">
        <w:rPr>
          <w:noProof/>
          <w:szCs w:val="22"/>
          <w:lang w:val="sr-Latn-BA"/>
        </w:rPr>
        <w:t xml:space="preserve">uzimali abirateron </w:t>
      </w:r>
      <w:r w:rsidR="00C605D8" w:rsidRPr="0051150C">
        <w:rPr>
          <w:noProof/>
          <w:szCs w:val="22"/>
          <w:lang w:val="sr-Latn-BA"/>
        </w:rPr>
        <w:t xml:space="preserve">acetat i kod 10% pacijenata koji su dobijali placebo, postignuto je smanjenje </w:t>
      </w:r>
      <w:r w:rsidR="00096FAA" w:rsidRPr="0051150C">
        <w:rPr>
          <w:noProof/>
          <w:szCs w:val="22"/>
          <w:lang w:val="sr-Latn-BA"/>
        </w:rPr>
        <w:t>vrijednost</w:t>
      </w:r>
      <w:r w:rsidR="00C605D8" w:rsidRPr="0051150C">
        <w:rPr>
          <w:noProof/>
          <w:szCs w:val="22"/>
          <w:lang w:val="sr-Latn-BA"/>
        </w:rPr>
        <w:t xml:space="preserve">i PSA za najmanje 50% u odnosu na početne </w:t>
      </w:r>
      <w:r w:rsidR="00096FAA" w:rsidRPr="0051150C">
        <w:rPr>
          <w:noProof/>
          <w:szCs w:val="22"/>
          <w:lang w:val="sr-Latn-BA"/>
        </w:rPr>
        <w:t>vrijednost</w:t>
      </w:r>
      <w:r w:rsidR="00C605D8" w:rsidRPr="0051150C">
        <w:rPr>
          <w:noProof/>
          <w:szCs w:val="22"/>
          <w:lang w:val="sr-Latn-BA"/>
        </w:rPr>
        <w:t xml:space="preserve">i. </w:t>
      </w:r>
    </w:p>
    <w:p w14:paraId="10277BC6" w14:textId="77777777" w:rsidR="00C605D8" w:rsidRPr="0051150C" w:rsidRDefault="00C605D8" w:rsidP="009173F4">
      <w:pPr>
        <w:tabs>
          <w:tab w:val="clear" w:pos="284"/>
        </w:tabs>
        <w:autoSpaceDE w:val="0"/>
        <w:autoSpaceDN w:val="0"/>
        <w:adjustRightInd w:val="0"/>
        <w:rPr>
          <w:noProof/>
          <w:szCs w:val="22"/>
          <w:lang w:val="sr-Latn-BA"/>
        </w:rPr>
      </w:pPr>
    </w:p>
    <w:p w14:paraId="4671231C" w14:textId="0CAB1DCF" w:rsidR="00C605D8" w:rsidRPr="0051150C" w:rsidRDefault="00C605D8" w:rsidP="009173F4">
      <w:pPr>
        <w:tabs>
          <w:tab w:val="clear" w:pos="284"/>
        </w:tabs>
        <w:autoSpaceDE w:val="0"/>
        <w:autoSpaceDN w:val="0"/>
        <w:adjustRightInd w:val="0"/>
        <w:rPr>
          <w:noProof/>
          <w:szCs w:val="22"/>
          <w:u w:val="single"/>
          <w:lang w:val="sr-Latn-BA"/>
        </w:rPr>
      </w:pPr>
      <w:r w:rsidRPr="0051150C">
        <w:rPr>
          <w:noProof/>
          <w:szCs w:val="22"/>
          <w:u w:val="single"/>
          <w:lang w:val="sr-Latn-BA"/>
        </w:rPr>
        <w:t>Klinička efikasnost i bezb</w:t>
      </w:r>
      <w:r w:rsidR="00256BBA" w:rsidRPr="0051150C">
        <w:rPr>
          <w:noProof/>
          <w:szCs w:val="22"/>
          <w:u w:val="single"/>
          <w:lang w:val="sr-Latn-BA"/>
        </w:rPr>
        <w:t>j</w:t>
      </w:r>
      <w:r w:rsidRPr="0051150C">
        <w:rPr>
          <w:noProof/>
          <w:szCs w:val="22"/>
          <w:u w:val="single"/>
          <w:lang w:val="sr-Latn-BA"/>
        </w:rPr>
        <w:t>ednost</w:t>
      </w:r>
    </w:p>
    <w:p w14:paraId="584B0D88" w14:textId="0426BB82" w:rsidR="00CE09F3" w:rsidRPr="0051150C" w:rsidRDefault="00C605D8" w:rsidP="009173F4">
      <w:pPr>
        <w:tabs>
          <w:tab w:val="clear" w:pos="284"/>
        </w:tabs>
        <w:autoSpaceDE w:val="0"/>
        <w:autoSpaceDN w:val="0"/>
        <w:adjustRightInd w:val="0"/>
        <w:rPr>
          <w:noProof/>
          <w:szCs w:val="22"/>
          <w:lang w:val="sr-Latn-BA"/>
        </w:rPr>
      </w:pPr>
      <w:r w:rsidRPr="0051150C">
        <w:rPr>
          <w:noProof/>
          <w:szCs w:val="22"/>
          <w:lang w:val="sr-Latn-BA"/>
        </w:rPr>
        <w:t xml:space="preserve">Efikasnost je utvrđena u tri multicentrične, randomizovane placebo-kontrolisane kliničke studije faze </w:t>
      </w:r>
      <w:r w:rsidR="006069FE">
        <w:rPr>
          <w:noProof/>
          <w:szCs w:val="22"/>
          <w:lang w:val="sr-Latn-BA"/>
        </w:rPr>
        <w:t>III</w:t>
      </w:r>
      <w:r w:rsidR="006069FE" w:rsidRPr="0051150C">
        <w:rPr>
          <w:noProof/>
          <w:szCs w:val="22"/>
          <w:lang w:val="sr-Latn-BA"/>
        </w:rPr>
        <w:t xml:space="preserve"> </w:t>
      </w:r>
      <w:r w:rsidRPr="0051150C">
        <w:rPr>
          <w:noProof/>
          <w:szCs w:val="22"/>
          <w:lang w:val="sr-Latn-BA"/>
        </w:rPr>
        <w:t xml:space="preserve">(studije 3011, 302 i 301) kod pacijenata sa mHSPC i mCRPC. Studija 3011 je </w:t>
      </w:r>
      <w:r w:rsidR="00C11A4C" w:rsidRPr="0051150C">
        <w:rPr>
          <w:noProof/>
          <w:szCs w:val="22"/>
          <w:lang w:val="sr-Latn-BA"/>
        </w:rPr>
        <w:t>obuhvatila</w:t>
      </w:r>
      <w:r w:rsidRPr="0051150C">
        <w:rPr>
          <w:noProof/>
          <w:szCs w:val="22"/>
          <w:lang w:val="sr-Latn-BA"/>
        </w:rPr>
        <w:t xml:space="preserve"> pacijente sa novodijagnostifikovanim (unutar 3 </w:t>
      </w:r>
      <w:r w:rsidR="00834D3E" w:rsidRPr="0051150C">
        <w:rPr>
          <w:noProof/>
          <w:szCs w:val="22"/>
          <w:lang w:val="sr-Latn-BA"/>
        </w:rPr>
        <w:t>mjesec</w:t>
      </w:r>
      <w:r w:rsidRPr="0051150C">
        <w:rPr>
          <w:noProof/>
          <w:szCs w:val="22"/>
          <w:lang w:val="sr-Latn-BA"/>
        </w:rPr>
        <w:t>a od randomizacije) mHSPC koji su imali prognostičke faktore visokog rizika. Prognostički faktori visokog rizika su bili definisani kao najmanje 2 od sl</w:t>
      </w:r>
      <w:r w:rsidR="00256BBA" w:rsidRPr="0051150C">
        <w:rPr>
          <w:noProof/>
          <w:szCs w:val="22"/>
          <w:lang w:val="sr-Latn-BA"/>
        </w:rPr>
        <w:t>j</w:t>
      </w:r>
      <w:r w:rsidRPr="0051150C">
        <w:rPr>
          <w:noProof/>
          <w:szCs w:val="22"/>
          <w:lang w:val="sr-Latn-BA"/>
        </w:rPr>
        <w:t xml:space="preserve">edeća 3 faktora rizika: (1) </w:t>
      </w:r>
      <w:r w:rsidRPr="0051150C">
        <w:rPr>
          <w:i/>
          <w:iCs/>
          <w:noProof/>
          <w:szCs w:val="22"/>
          <w:lang w:val="sr-Latn-BA"/>
        </w:rPr>
        <w:t xml:space="preserve">Gleason </w:t>
      </w:r>
      <w:r w:rsidRPr="0051150C">
        <w:rPr>
          <w:noProof/>
          <w:szCs w:val="22"/>
          <w:lang w:val="sr-Latn-BA"/>
        </w:rPr>
        <w:t>skor ≥8; (2) postojanje 3 ili više lezija na snimku kostiju; (3) prisustvo m</w:t>
      </w:r>
      <w:r w:rsidR="00256BBA" w:rsidRPr="0051150C">
        <w:rPr>
          <w:noProof/>
          <w:szCs w:val="22"/>
          <w:lang w:val="sr-Latn-BA"/>
        </w:rPr>
        <w:t>j</w:t>
      </w:r>
      <w:r w:rsidRPr="0051150C">
        <w:rPr>
          <w:noProof/>
          <w:szCs w:val="22"/>
          <w:lang w:val="sr-Latn-BA"/>
        </w:rPr>
        <w:t xml:space="preserve">erljivih visceralnih (isključujući oboljenja limfnih nodusa) metastaza. U aktivnoj grupi (grupa koja uzima aktivnu </w:t>
      </w:r>
      <w:r w:rsidR="00C11A4C" w:rsidRPr="0051150C">
        <w:rPr>
          <w:noProof/>
          <w:szCs w:val="22"/>
          <w:lang w:val="sr-Latn-BA"/>
        </w:rPr>
        <w:t>supstancu), abirateron</w:t>
      </w:r>
      <w:r w:rsidR="000D6983" w:rsidRPr="0051150C">
        <w:rPr>
          <w:noProof/>
          <w:szCs w:val="22"/>
          <w:lang w:val="sr-Latn-BA"/>
        </w:rPr>
        <w:t xml:space="preserve"> </w:t>
      </w:r>
      <w:r w:rsidR="00C11A4C" w:rsidRPr="0051150C">
        <w:rPr>
          <w:noProof/>
          <w:szCs w:val="22"/>
          <w:lang w:val="sr-Latn-BA"/>
        </w:rPr>
        <w:t xml:space="preserve">acetat </w:t>
      </w:r>
      <w:r w:rsidRPr="0051150C">
        <w:rPr>
          <w:noProof/>
          <w:szCs w:val="22"/>
          <w:lang w:val="sr-Latn-BA"/>
        </w:rPr>
        <w:t xml:space="preserve">je bio </w:t>
      </w:r>
      <w:r w:rsidR="00096FAA" w:rsidRPr="0051150C">
        <w:rPr>
          <w:noProof/>
          <w:szCs w:val="22"/>
          <w:lang w:val="sr-Latn-BA"/>
        </w:rPr>
        <w:t>prim</w:t>
      </w:r>
      <w:r w:rsidR="00256BBA" w:rsidRPr="0051150C">
        <w:rPr>
          <w:noProof/>
          <w:szCs w:val="22"/>
          <w:lang w:val="sr-Latn-BA"/>
        </w:rPr>
        <w:t>i</w:t>
      </w:r>
      <w:r w:rsidR="00096FAA" w:rsidRPr="0051150C">
        <w:rPr>
          <w:noProof/>
          <w:szCs w:val="22"/>
          <w:lang w:val="sr-Latn-BA"/>
        </w:rPr>
        <w:t>jen</w:t>
      </w:r>
      <w:r w:rsidRPr="0051150C">
        <w:rPr>
          <w:noProof/>
          <w:szCs w:val="22"/>
          <w:lang w:val="sr-Latn-BA"/>
        </w:rPr>
        <w:t>jen u dozi od 1000 mg na dan u kombinaciji sa malom dozom prednizona od 5 mg jednom dnevno uz androgen deprivacionu terapiju (ADT) (LHRH agonisti ili orhiektomija) što je bila standardna terapija. Pacijenti u kontrolnoj grupi su primili ADT i placebo um</w:t>
      </w:r>
      <w:r w:rsidR="00256BBA" w:rsidRPr="0051150C">
        <w:rPr>
          <w:noProof/>
          <w:szCs w:val="22"/>
          <w:lang w:val="sr-Latn-BA"/>
        </w:rPr>
        <w:t>j</w:t>
      </w:r>
      <w:r w:rsidRPr="0051150C">
        <w:rPr>
          <w:noProof/>
          <w:szCs w:val="22"/>
          <w:lang w:val="sr-Latn-BA"/>
        </w:rPr>
        <w:t xml:space="preserve">esto </w:t>
      </w:r>
      <w:r w:rsidR="000D6983" w:rsidRPr="0051150C">
        <w:rPr>
          <w:noProof/>
          <w:szCs w:val="22"/>
          <w:lang w:val="sr-Latn-BA"/>
        </w:rPr>
        <w:t xml:space="preserve">abirateron </w:t>
      </w:r>
      <w:r w:rsidR="00C11A4C" w:rsidRPr="0051150C">
        <w:rPr>
          <w:noProof/>
          <w:szCs w:val="22"/>
          <w:lang w:val="sr-Latn-BA"/>
        </w:rPr>
        <w:t>acetata</w:t>
      </w:r>
      <w:r w:rsidRPr="0051150C">
        <w:rPr>
          <w:noProof/>
          <w:szCs w:val="22"/>
          <w:lang w:val="sr-Latn-BA"/>
        </w:rPr>
        <w:t xml:space="preserve"> i prednizona. Studija 302 je uključivala pacijente koji ni</w:t>
      </w:r>
      <w:r w:rsidR="00715734">
        <w:rPr>
          <w:noProof/>
          <w:szCs w:val="22"/>
          <w:lang w:val="sr-Latn-BA"/>
        </w:rPr>
        <w:t>je</w:t>
      </w:r>
      <w:r w:rsidRPr="0051150C">
        <w:rPr>
          <w:noProof/>
          <w:szCs w:val="22"/>
          <w:lang w:val="sr-Latn-BA"/>
        </w:rPr>
        <w:t>su primali docetaksel</w:t>
      </w:r>
      <w:r w:rsidR="006069FE">
        <w:rPr>
          <w:noProof/>
          <w:szCs w:val="22"/>
          <w:lang w:val="sr-Latn-BA"/>
        </w:rPr>
        <w:t>,</w:t>
      </w:r>
      <w:r w:rsidR="006069FE" w:rsidRPr="0051150C">
        <w:rPr>
          <w:noProof/>
          <w:szCs w:val="22"/>
          <w:lang w:val="sr-Latn-BA"/>
        </w:rPr>
        <w:t xml:space="preserve"> </w:t>
      </w:r>
      <w:r w:rsidRPr="0051150C">
        <w:rPr>
          <w:noProof/>
          <w:szCs w:val="22"/>
          <w:lang w:val="sr-Latn-BA"/>
        </w:rPr>
        <w:t>dok su u studiju 301 bili uključeni pacijenti koji su prethodno primali docetaksel. Pacijenti su primali neki LHRH analog ili su prethodno podvrgnuti orhiektomiji. U aktivno</w:t>
      </w:r>
      <w:r w:rsidR="000D6983" w:rsidRPr="0051150C">
        <w:rPr>
          <w:noProof/>
          <w:szCs w:val="22"/>
          <w:lang w:val="sr-Latn-BA"/>
        </w:rPr>
        <w:t xml:space="preserve">j grupi, abirateron </w:t>
      </w:r>
      <w:r w:rsidR="00C11A4C" w:rsidRPr="0051150C">
        <w:rPr>
          <w:noProof/>
          <w:szCs w:val="22"/>
          <w:lang w:val="sr-Latn-BA"/>
        </w:rPr>
        <w:t xml:space="preserve">acetat </w:t>
      </w:r>
      <w:r w:rsidRPr="0051150C">
        <w:rPr>
          <w:noProof/>
          <w:szCs w:val="22"/>
          <w:lang w:val="sr-Latn-BA"/>
        </w:rPr>
        <w:t xml:space="preserve">je </w:t>
      </w:r>
      <w:r w:rsidR="00096FAA" w:rsidRPr="0051150C">
        <w:rPr>
          <w:noProof/>
          <w:szCs w:val="22"/>
          <w:lang w:val="sr-Latn-BA"/>
        </w:rPr>
        <w:t>primjen</w:t>
      </w:r>
      <w:r w:rsidRPr="0051150C">
        <w:rPr>
          <w:noProof/>
          <w:szCs w:val="22"/>
          <w:lang w:val="sr-Latn-BA"/>
        </w:rPr>
        <w:t xml:space="preserve">jivan u dozi od 1000 mg na dan u kombinaciji sa </w:t>
      </w:r>
      <w:r w:rsidR="000D6983" w:rsidRPr="0051150C">
        <w:rPr>
          <w:noProof/>
          <w:szCs w:val="22"/>
          <w:lang w:val="sr-Latn-BA"/>
        </w:rPr>
        <w:t>niskom</w:t>
      </w:r>
      <w:r w:rsidRPr="0051150C">
        <w:rPr>
          <w:noProof/>
          <w:szCs w:val="22"/>
          <w:lang w:val="sr-Latn-BA"/>
        </w:rPr>
        <w:t xml:space="preserve"> dozom prednizona ili prednizolona 5 mg dva puta na dan. </w:t>
      </w:r>
      <w:r w:rsidRPr="0051150C">
        <w:rPr>
          <w:noProof/>
          <w:szCs w:val="22"/>
          <w:lang w:val="sr-Latn-BA"/>
        </w:rPr>
        <w:lastRenderedPageBreak/>
        <w:t>Pacijenti u kontro</w:t>
      </w:r>
      <w:r w:rsidR="000D6983" w:rsidRPr="0051150C">
        <w:rPr>
          <w:noProof/>
          <w:szCs w:val="22"/>
          <w:lang w:val="sr-Latn-BA"/>
        </w:rPr>
        <w:t>lnoj grupi su dobijali placebo u kombinaciji sa</w:t>
      </w:r>
      <w:r w:rsidRPr="0051150C">
        <w:rPr>
          <w:noProof/>
          <w:szCs w:val="22"/>
          <w:lang w:val="sr-Latn-BA"/>
        </w:rPr>
        <w:t xml:space="preserve"> </w:t>
      </w:r>
      <w:r w:rsidR="000D6983" w:rsidRPr="0051150C">
        <w:rPr>
          <w:noProof/>
          <w:szCs w:val="22"/>
          <w:lang w:val="sr-Latn-BA"/>
        </w:rPr>
        <w:t xml:space="preserve">niskom dozom </w:t>
      </w:r>
      <w:r w:rsidRPr="0051150C">
        <w:rPr>
          <w:noProof/>
          <w:szCs w:val="22"/>
          <w:lang w:val="sr-Latn-BA"/>
        </w:rPr>
        <w:t>prednizona ili prednizolona 5 mg dva puta na dan.</w:t>
      </w:r>
    </w:p>
    <w:p w14:paraId="0A80C56C" w14:textId="51302822" w:rsidR="00C605D8" w:rsidRPr="0051150C" w:rsidRDefault="00C605D8" w:rsidP="009173F4">
      <w:pPr>
        <w:rPr>
          <w:noProof/>
          <w:szCs w:val="22"/>
          <w:lang w:val="sr-Latn-BA"/>
        </w:rPr>
      </w:pPr>
    </w:p>
    <w:p w14:paraId="2D46209F" w14:textId="5C74C915" w:rsidR="00BB6464" w:rsidRPr="0051150C" w:rsidRDefault="00BB6464" w:rsidP="009173F4">
      <w:pPr>
        <w:rPr>
          <w:noProof/>
          <w:szCs w:val="22"/>
          <w:lang w:val="sr-Latn-BA"/>
        </w:rPr>
      </w:pPr>
      <w:r w:rsidRPr="0051150C">
        <w:rPr>
          <w:noProof/>
          <w:szCs w:val="22"/>
          <w:lang w:val="sr-Latn-BA"/>
        </w:rPr>
        <w:t>Same prom</w:t>
      </w:r>
      <w:r w:rsidR="00256BBA" w:rsidRPr="0051150C">
        <w:rPr>
          <w:noProof/>
          <w:szCs w:val="22"/>
          <w:lang w:val="sr-Latn-BA"/>
        </w:rPr>
        <w:t>j</w:t>
      </w:r>
      <w:r w:rsidRPr="0051150C">
        <w:rPr>
          <w:noProof/>
          <w:szCs w:val="22"/>
          <w:lang w:val="sr-Latn-BA"/>
        </w:rPr>
        <w:t>ene u koncentraciji PSA u serumu ne predviđaju uv</w:t>
      </w:r>
      <w:r w:rsidR="00256BBA" w:rsidRPr="0051150C">
        <w:rPr>
          <w:noProof/>
          <w:szCs w:val="22"/>
          <w:lang w:val="sr-Latn-BA"/>
        </w:rPr>
        <w:t>ij</w:t>
      </w:r>
      <w:r w:rsidRPr="0051150C">
        <w:rPr>
          <w:noProof/>
          <w:szCs w:val="22"/>
          <w:lang w:val="sr-Latn-BA"/>
        </w:rPr>
        <w:t xml:space="preserve">ek kliničku korist. Prema tome, u svim studijama je bilo preporučeno da pacijenti nastave sa terapijom </w:t>
      </w:r>
      <w:r w:rsidR="00096FAA" w:rsidRPr="0051150C">
        <w:rPr>
          <w:noProof/>
          <w:szCs w:val="22"/>
          <w:lang w:val="sr-Latn-BA"/>
        </w:rPr>
        <w:t>prim</w:t>
      </w:r>
      <w:r w:rsidR="00256BBA" w:rsidRPr="0051150C">
        <w:rPr>
          <w:noProof/>
          <w:szCs w:val="22"/>
          <w:lang w:val="sr-Latn-BA"/>
        </w:rPr>
        <w:t>i</w:t>
      </w:r>
      <w:r w:rsidR="00096FAA" w:rsidRPr="0051150C">
        <w:rPr>
          <w:noProof/>
          <w:szCs w:val="22"/>
          <w:lang w:val="sr-Latn-BA"/>
        </w:rPr>
        <w:t>jen</w:t>
      </w:r>
      <w:r w:rsidRPr="0051150C">
        <w:rPr>
          <w:noProof/>
          <w:szCs w:val="22"/>
          <w:lang w:val="sr-Latn-BA"/>
        </w:rPr>
        <w:t xml:space="preserve">jenom u studiji, dok se ne dostignu kriterijumi za prekidanje terapije kako je navedeno u daljem tekstu za svaku studiju. </w:t>
      </w:r>
    </w:p>
    <w:p w14:paraId="52031F74" w14:textId="77777777" w:rsidR="00BB6464" w:rsidRPr="0051150C" w:rsidRDefault="00BB6464" w:rsidP="009173F4">
      <w:pPr>
        <w:rPr>
          <w:noProof/>
          <w:szCs w:val="22"/>
          <w:lang w:val="sr-Latn-BA"/>
        </w:rPr>
      </w:pPr>
    </w:p>
    <w:p w14:paraId="74A0F53C" w14:textId="07530FA3" w:rsidR="00BB6464" w:rsidRPr="0051150C" w:rsidRDefault="00BB6464" w:rsidP="009173F4">
      <w:pPr>
        <w:rPr>
          <w:noProof/>
          <w:szCs w:val="22"/>
          <w:lang w:val="sr-Latn-BA"/>
        </w:rPr>
      </w:pPr>
      <w:r w:rsidRPr="0051150C">
        <w:rPr>
          <w:noProof/>
          <w:szCs w:val="22"/>
          <w:lang w:val="sr-Latn-BA"/>
        </w:rPr>
        <w:t xml:space="preserve">U svim studijama </w:t>
      </w:r>
      <w:r w:rsidR="00096FAA" w:rsidRPr="0051150C">
        <w:rPr>
          <w:noProof/>
          <w:szCs w:val="22"/>
          <w:lang w:val="sr-Latn-BA"/>
        </w:rPr>
        <w:t>primjen</w:t>
      </w:r>
      <w:r w:rsidRPr="0051150C">
        <w:rPr>
          <w:noProof/>
          <w:szCs w:val="22"/>
          <w:lang w:val="sr-Latn-BA"/>
        </w:rPr>
        <w:t>a spironolaktona nije bila dozvoljena</w:t>
      </w:r>
      <w:r w:rsidR="00256BBA" w:rsidRPr="0051150C">
        <w:rPr>
          <w:noProof/>
          <w:szCs w:val="22"/>
          <w:lang w:val="sr-Latn-BA"/>
        </w:rPr>
        <w:t>,</w:t>
      </w:r>
      <w:r w:rsidRPr="0051150C">
        <w:rPr>
          <w:noProof/>
          <w:szCs w:val="22"/>
          <w:lang w:val="sr-Latn-BA"/>
        </w:rPr>
        <w:t xml:space="preserve"> jer se spironolakton vezuje za androgene receptore i može da poveća </w:t>
      </w:r>
      <w:r w:rsidR="00096FAA" w:rsidRPr="0051150C">
        <w:rPr>
          <w:noProof/>
          <w:szCs w:val="22"/>
          <w:lang w:val="sr-Latn-BA"/>
        </w:rPr>
        <w:t>vrijednost</w:t>
      </w:r>
      <w:r w:rsidRPr="0051150C">
        <w:rPr>
          <w:noProof/>
          <w:szCs w:val="22"/>
          <w:lang w:val="sr-Latn-BA"/>
        </w:rPr>
        <w:t xml:space="preserve"> PSA. </w:t>
      </w:r>
    </w:p>
    <w:p w14:paraId="2E7B33E6" w14:textId="77777777" w:rsidR="00BB6464" w:rsidRPr="0051150C" w:rsidRDefault="00BB6464" w:rsidP="009173F4">
      <w:pPr>
        <w:rPr>
          <w:noProof/>
          <w:szCs w:val="22"/>
          <w:lang w:val="sr-Latn-BA"/>
        </w:rPr>
      </w:pPr>
    </w:p>
    <w:p w14:paraId="4A450A8A" w14:textId="77777777" w:rsidR="00BB6464" w:rsidRPr="0051150C" w:rsidRDefault="00BB6464" w:rsidP="009173F4">
      <w:pPr>
        <w:rPr>
          <w:noProof/>
          <w:szCs w:val="22"/>
          <w:u w:val="single"/>
          <w:lang w:val="sr-Latn-BA"/>
        </w:rPr>
      </w:pPr>
      <w:r w:rsidRPr="0051150C">
        <w:rPr>
          <w:i/>
          <w:noProof/>
          <w:szCs w:val="22"/>
          <w:u w:val="single"/>
          <w:lang w:val="sr-Latn-BA"/>
        </w:rPr>
        <w:t>Studija 3011 (pacijenti sa novodijagnostifikovanim mHSPC visokog rizika)</w:t>
      </w:r>
      <w:r w:rsidRPr="0051150C">
        <w:rPr>
          <w:noProof/>
          <w:szCs w:val="22"/>
          <w:u w:val="single"/>
          <w:lang w:val="sr-Latn-BA"/>
        </w:rPr>
        <w:t xml:space="preserve"> </w:t>
      </w:r>
    </w:p>
    <w:p w14:paraId="61B04442" w14:textId="6C4ED550" w:rsidR="00BB6464" w:rsidRPr="0051150C" w:rsidRDefault="00BB6464" w:rsidP="009173F4">
      <w:pPr>
        <w:rPr>
          <w:noProof/>
          <w:szCs w:val="22"/>
          <w:lang w:val="sr-Latn-BA"/>
        </w:rPr>
      </w:pPr>
      <w:r w:rsidRPr="0051150C">
        <w:rPr>
          <w:noProof/>
          <w:szCs w:val="22"/>
          <w:lang w:val="sr-Latn-BA"/>
        </w:rPr>
        <w:t>U studiji 3011 (n=1199)</w:t>
      </w:r>
      <w:r w:rsidR="0040024E">
        <w:rPr>
          <w:noProof/>
          <w:szCs w:val="22"/>
          <w:lang w:val="sr-Latn-BA"/>
        </w:rPr>
        <w:t>,</w:t>
      </w:r>
      <w:r w:rsidRPr="0051150C">
        <w:rPr>
          <w:noProof/>
          <w:szCs w:val="22"/>
          <w:lang w:val="sr-Latn-BA"/>
        </w:rPr>
        <w:t xml:space="preserve"> pros</w:t>
      </w:r>
      <w:r w:rsidR="00256BBA" w:rsidRPr="0051150C">
        <w:rPr>
          <w:noProof/>
          <w:szCs w:val="22"/>
          <w:lang w:val="sr-Latn-BA"/>
        </w:rPr>
        <w:t>j</w:t>
      </w:r>
      <w:r w:rsidRPr="0051150C">
        <w:rPr>
          <w:noProof/>
          <w:szCs w:val="22"/>
          <w:lang w:val="sr-Latn-BA"/>
        </w:rPr>
        <w:t xml:space="preserve">ečna starost uključenih pacijenata je bila 67 godina. Broj pacijenata koji su uzimali </w:t>
      </w:r>
      <w:r w:rsidR="00096FAA" w:rsidRPr="0051150C">
        <w:rPr>
          <w:noProof/>
          <w:szCs w:val="22"/>
          <w:lang w:val="sr-Latn-BA"/>
        </w:rPr>
        <w:t>lijek</w:t>
      </w:r>
      <w:r w:rsidRPr="0051150C">
        <w:rPr>
          <w:noProof/>
          <w:szCs w:val="22"/>
          <w:lang w:val="sr-Latn-BA"/>
        </w:rPr>
        <w:t xml:space="preserve"> </w:t>
      </w:r>
      <w:r w:rsidR="000D6983" w:rsidRPr="0051150C">
        <w:rPr>
          <w:noProof/>
          <w:szCs w:val="22"/>
          <w:lang w:val="sr-Latn-BA"/>
        </w:rPr>
        <w:t xml:space="preserve">abirateron </w:t>
      </w:r>
      <w:r w:rsidR="004F7547" w:rsidRPr="0051150C">
        <w:rPr>
          <w:noProof/>
          <w:szCs w:val="22"/>
          <w:lang w:val="sr-Latn-BA"/>
        </w:rPr>
        <w:t>acetat</w:t>
      </w:r>
      <w:r w:rsidRPr="0051150C">
        <w:rPr>
          <w:noProof/>
          <w:szCs w:val="22"/>
          <w:lang w:val="sr-Latn-BA"/>
        </w:rPr>
        <w:t xml:space="preserve"> prema rasnim grupama, bio je sl</w:t>
      </w:r>
      <w:r w:rsidR="00256BBA" w:rsidRPr="0051150C">
        <w:rPr>
          <w:noProof/>
          <w:szCs w:val="22"/>
          <w:lang w:val="sr-Latn-BA"/>
        </w:rPr>
        <w:t>j</w:t>
      </w:r>
      <w:r w:rsidRPr="0051150C">
        <w:rPr>
          <w:noProof/>
          <w:szCs w:val="22"/>
          <w:lang w:val="sr-Latn-BA"/>
        </w:rPr>
        <w:t>edeći: b</w:t>
      </w:r>
      <w:r w:rsidR="00256BBA" w:rsidRPr="0051150C">
        <w:rPr>
          <w:noProof/>
          <w:szCs w:val="22"/>
          <w:lang w:val="sr-Latn-BA"/>
        </w:rPr>
        <w:t>ij</w:t>
      </w:r>
      <w:r w:rsidRPr="0051150C">
        <w:rPr>
          <w:noProof/>
          <w:szCs w:val="22"/>
          <w:lang w:val="sr-Latn-BA"/>
        </w:rPr>
        <w:t>ela rasa 832 (69,4%), azijati 246 (20,5%)</w:t>
      </w:r>
      <w:r w:rsidR="0040024E">
        <w:rPr>
          <w:noProof/>
          <w:szCs w:val="22"/>
          <w:lang w:val="sr-Latn-BA"/>
        </w:rPr>
        <w:t>,</w:t>
      </w:r>
      <w:r w:rsidRPr="0051150C">
        <w:rPr>
          <w:noProof/>
          <w:szCs w:val="22"/>
          <w:lang w:val="sr-Latn-BA"/>
        </w:rPr>
        <w:t xml:space="preserve"> crna rasa ili afroamerikanci 25 (2,1%), ostali 80 (6,7%)</w:t>
      </w:r>
      <w:r w:rsidR="004F7547" w:rsidRPr="0051150C">
        <w:rPr>
          <w:noProof/>
          <w:szCs w:val="22"/>
          <w:lang w:val="sr-Latn-BA"/>
        </w:rPr>
        <w:t>,</w:t>
      </w:r>
      <w:r w:rsidRPr="0051150C">
        <w:rPr>
          <w:noProof/>
          <w:szCs w:val="22"/>
          <w:lang w:val="sr-Latn-BA"/>
        </w:rPr>
        <w:t xml:space="preserve"> nepoznato/neprijavljeno 13 (1,1%)</w:t>
      </w:r>
      <w:r w:rsidR="0040024E">
        <w:rPr>
          <w:noProof/>
          <w:szCs w:val="22"/>
          <w:lang w:val="sr-Latn-BA"/>
        </w:rPr>
        <w:t>,</w:t>
      </w:r>
      <w:r w:rsidRPr="0051150C">
        <w:rPr>
          <w:noProof/>
          <w:szCs w:val="22"/>
          <w:lang w:val="sr-Latn-BA"/>
        </w:rPr>
        <w:t xml:space="preserve"> i 3 (0,3%) američka indijanca ili domoroca sa Aljaske. </w:t>
      </w:r>
      <w:r w:rsidR="00096FAA" w:rsidRPr="0051150C">
        <w:rPr>
          <w:noProof/>
          <w:szCs w:val="22"/>
          <w:lang w:val="sr-Latn-BA"/>
        </w:rPr>
        <w:t>Vrijednost</w:t>
      </w:r>
      <w:r w:rsidRPr="0051150C">
        <w:rPr>
          <w:noProof/>
          <w:szCs w:val="22"/>
          <w:lang w:val="sr-Latn-BA"/>
        </w:rPr>
        <w:t xml:space="preserve"> ECOG funkcionalnog statusa je bila 0 ili 1 za 97% pacijenata. Pacijenti sa potvrđenim metastazama na mozgu, nekontrolisanom hipertenzijom, </w:t>
      </w:r>
      <w:r w:rsidR="001534B1" w:rsidRPr="0051150C">
        <w:rPr>
          <w:noProof/>
          <w:szCs w:val="22"/>
          <w:lang w:val="sr-Latn-BA"/>
        </w:rPr>
        <w:t>izraženim</w:t>
      </w:r>
      <w:r w:rsidRPr="0051150C">
        <w:rPr>
          <w:noProof/>
          <w:szCs w:val="22"/>
          <w:lang w:val="sr-Latn-BA"/>
        </w:rPr>
        <w:t xml:space="preserve"> srčanim oboljenjem ili sa srčanom insuficijencijom NYHA klase II do IV su bili isključeni. Pacijenti koji su prethodno bili podvrgnuti farmakoterapiji, radioterapiji ili hirurškom zahvatu za metastatski karcinom prostate su </w:t>
      </w:r>
      <w:r w:rsidR="004F7547" w:rsidRPr="0051150C">
        <w:rPr>
          <w:noProof/>
          <w:szCs w:val="22"/>
          <w:lang w:val="sr-Latn-BA"/>
        </w:rPr>
        <w:t xml:space="preserve">bili isključeni. Izuzetak su bili pacijenti sa do </w:t>
      </w:r>
      <w:r w:rsidRPr="0051150C">
        <w:rPr>
          <w:noProof/>
          <w:szCs w:val="22"/>
          <w:lang w:val="sr-Latn-BA"/>
        </w:rPr>
        <w:t xml:space="preserve">3 </w:t>
      </w:r>
      <w:r w:rsidR="00834D3E" w:rsidRPr="0051150C">
        <w:rPr>
          <w:noProof/>
          <w:szCs w:val="22"/>
          <w:lang w:val="sr-Latn-BA"/>
        </w:rPr>
        <w:t>mjesec</w:t>
      </w:r>
      <w:r w:rsidRPr="0051150C">
        <w:rPr>
          <w:noProof/>
          <w:szCs w:val="22"/>
          <w:lang w:val="sr-Latn-BA"/>
        </w:rPr>
        <w:t>a androgen deprivaci</w:t>
      </w:r>
      <w:r w:rsidR="004F7547" w:rsidRPr="0051150C">
        <w:rPr>
          <w:noProof/>
          <w:szCs w:val="22"/>
          <w:lang w:val="sr-Latn-BA"/>
        </w:rPr>
        <w:t>one terapije (ADT) ili 1 ciklusom</w:t>
      </w:r>
      <w:r w:rsidRPr="0051150C">
        <w:rPr>
          <w:noProof/>
          <w:szCs w:val="22"/>
          <w:lang w:val="sr-Latn-BA"/>
        </w:rPr>
        <w:t xml:space="preserve"> palijat</w:t>
      </w:r>
      <w:r w:rsidR="001534B1" w:rsidRPr="0051150C">
        <w:rPr>
          <w:noProof/>
          <w:szCs w:val="22"/>
          <w:lang w:val="sr-Latn-BA"/>
        </w:rPr>
        <w:t>ivne radijacije ili hirurškim zahvatom</w:t>
      </w:r>
      <w:r w:rsidRPr="0051150C">
        <w:rPr>
          <w:noProof/>
          <w:szCs w:val="22"/>
          <w:lang w:val="sr-Latn-BA"/>
        </w:rPr>
        <w:t xml:space="preserve"> za </w:t>
      </w:r>
      <w:r w:rsidR="00096FAA" w:rsidRPr="0051150C">
        <w:rPr>
          <w:noProof/>
          <w:szCs w:val="22"/>
          <w:lang w:val="sr-Latn-BA"/>
        </w:rPr>
        <w:t>liječenj</w:t>
      </w:r>
      <w:r w:rsidRPr="0051150C">
        <w:rPr>
          <w:noProof/>
          <w:szCs w:val="22"/>
          <w:lang w:val="sr-Latn-BA"/>
        </w:rPr>
        <w:t xml:space="preserve">e simptoma koji su rezultat metastatskog oboljenja. </w:t>
      </w:r>
      <w:r w:rsidR="006303D6">
        <w:rPr>
          <w:noProof/>
          <w:szCs w:val="22"/>
          <w:lang w:val="sr-Latn-BA"/>
        </w:rPr>
        <w:t>Koprimarni</w:t>
      </w:r>
      <w:r w:rsidR="006F3012" w:rsidRPr="00B8783A">
        <w:rPr>
          <w:noProof/>
          <w:szCs w:val="22"/>
          <w:lang w:val="sr-Latn-BA"/>
        </w:rPr>
        <w:t xml:space="preserve"> parametri </w:t>
      </w:r>
      <w:r w:rsidR="006F3012" w:rsidRPr="0051150C">
        <w:rPr>
          <w:noProof/>
          <w:szCs w:val="22"/>
          <w:lang w:val="sr-Latn-BA"/>
        </w:rPr>
        <w:t xml:space="preserve">praćenja efikasnosti </w:t>
      </w:r>
      <w:r w:rsidR="001534B1" w:rsidRPr="0051150C">
        <w:rPr>
          <w:noProof/>
          <w:szCs w:val="22"/>
          <w:lang w:val="sr-Latn-BA"/>
        </w:rPr>
        <w:t>su bil</w:t>
      </w:r>
      <w:r w:rsidR="006F3012" w:rsidRPr="0051150C">
        <w:rPr>
          <w:noProof/>
          <w:szCs w:val="22"/>
          <w:lang w:val="sr-Latn-BA"/>
        </w:rPr>
        <w:t>i</w:t>
      </w:r>
      <w:r w:rsidR="001534B1" w:rsidRPr="0051150C">
        <w:rPr>
          <w:noProof/>
          <w:szCs w:val="22"/>
          <w:lang w:val="sr-Latn-BA"/>
        </w:rPr>
        <w:t xml:space="preserve"> ukupno preživljavanje (engl. </w:t>
      </w:r>
      <w:r w:rsidR="001534B1" w:rsidRPr="00410EF6">
        <w:rPr>
          <w:i/>
          <w:noProof/>
          <w:szCs w:val="22"/>
          <w:lang w:val="sr-Latn-BA"/>
        </w:rPr>
        <w:t>overall survival</w:t>
      </w:r>
      <w:r w:rsidR="001534B1" w:rsidRPr="0051150C">
        <w:rPr>
          <w:noProof/>
          <w:szCs w:val="22"/>
          <w:lang w:val="sr-Latn-BA"/>
        </w:rPr>
        <w:t xml:space="preserve">, OS) i preživljavanje bez radiografske progresije bolesti (engl. </w:t>
      </w:r>
      <w:r w:rsidR="001534B1" w:rsidRPr="00410EF6">
        <w:rPr>
          <w:i/>
          <w:noProof/>
          <w:szCs w:val="22"/>
          <w:lang w:val="sr-Latn-BA"/>
        </w:rPr>
        <w:t>radiographic progression-free survival</w:t>
      </w:r>
      <w:r w:rsidR="001534B1" w:rsidRPr="0051150C">
        <w:rPr>
          <w:noProof/>
          <w:szCs w:val="22"/>
          <w:lang w:val="sr-Latn-BA"/>
        </w:rPr>
        <w:t xml:space="preserve">, rPFS). </w:t>
      </w:r>
      <w:r w:rsidRPr="0051150C">
        <w:rPr>
          <w:noProof/>
          <w:szCs w:val="22"/>
          <w:lang w:val="sr-Latn-BA"/>
        </w:rPr>
        <w:t xml:space="preserve">Medijana početne </w:t>
      </w:r>
      <w:r w:rsidR="00096FAA" w:rsidRPr="0051150C">
        <w:rPr>
          <w:noProof/>
          <w:szCs w:val="22"/>
          <w:lang w:val="sr-Latn-BA"/>
        </w:rPr>
        <w:t>vrijednost</w:t>
      </w:r>
      <w:r w:rsidRPr="0051150C">
        <w:rPr>
          <w:noProof/>
          <w:szCs w:val="22"/>
          <w:lang w:val="sr-Latn-BA"/>
        </w:rPr>
        <w:t>i rezultata bola, m</w:t>
      </w:r>
      <w:r w:rsidR="00256BBA" w:rsidRPr="0051150C">
        <w:rPr>
          <w:noProof/>
          <w:szCs w:val="22"/>
          <w:lang w:val="sr-Latn-BA"/>
        </w:rPr>
        <w:t>j</w:t>
      </w:r>
      <w:r w:rsidRPr="0051150C">
        <w:rPr>
          <w:noProof/>
          <w:szCs w:val="22"/>
          <w:lang w:val="sr-Latn-BA"/>
        </w:rPr>
        <w:t xml:space="preserve">ereno prema kratkom upitniku za bol (engl. </w:t>
      </w:r>
      <w:r w:rsidRPr="00410EF6">
        <w:rPr>
          <w:i/>
          <w:noProof/>
          <w:szCs w:val="22"/>
          <w:lang w:val="sr-Latn-BA"/>
        </w:rPr>
        <w:t>Brief Pain Inventory-Short Form</w:t>
      </w:r>
      <w:r w:rsidRPr="0051150C">
        <w:rPr>
          <w:noProof/>
          <w:szCs w:val="22"/>
          <w:lang w:val="sr-Latn-BA"/>
        </w:rPr>
        <w:t xml:space="preserve">, BPI-SF) </w:t>
      </w:r>
      <w:r w:rsidR="001534B1" w:rsidRPr="0051150C">
        <w:rPr>
          <w:noProof/>
          <w:szCs w:val="22"/>
          <w:lang w:val="sr-Latn-BA"/>
        </w:rPr>
        <w:t xml:space="preserve">je </w:t>
      </w:r>
      <w:r w:rsidRPr="0051150C">
        <w:rPr>
          <w:noProof/>
          <w:szCs w:val="22"/>
          <w:lang w:val="sr-Latn-BA"/>
        </w:rPr>
        <w:t xml:space="preserve">bila 2,0 i u aktivnoj i u placebo grupi. Dodatno uz </w:t>
      </w:r>
      <w:r w:rsidR="00BA122A" w:rsidRPr="0051150C">
        <w:rPr>
          <w:noProof/>
          <w:szCs w:val="22"/>
          <w:lang w:val="sr-Latn-BA"/>
        </w:rPr>
        <w:t xml:space="preserve">koprimarne krajnje tačke </w:t>
      </w:r>
      <w:r w:rsidRPr="0051150C">
        <w:rPr>
          <w:noProof/>
          <w:szCs w:val="22"/>
          <w:lang w:val="sr-Latn-BA"/>
        </w:rPr>
        <w:t>praćenja ishoda, korist je takođe proc</w:t>
      </w:r>
      <w:r w:rsidR="00256BBA" w:rsidRPr="0051150C">
        <w:rPr>
          <w:noProof/>
          <w:szCs w:val="22"/>
          <w:lang w:val="sr-Latn-BA"/>
        </w:rPr>
        <w:t>j</w:t>
      </w:r>
      <w:r w:rsidRPr="0051150C">
        <w:rPr>
          <w:noProof/>
          <w:szCs w:val="22"/>
          <w:lang w:val="sr-Latn-BA"/>
        </w:rPr>
        <w:t xml:space="preserve">enjivana i vremenom do pojave događaja povezanih sa </w:t>
      </w:r>
      <w:r w:rsidR="0047524A" w:rsidRPr="0051150C">
        <w:rPr>
          <w:noProof/>
          <w:szCs w:val="22"/>
          <w:lang w:val="sr-Latn-BA"/>
        </w:rPr>
        <w:t>ko</w:t>
      </w:r>
      <w:r w:rsidR="0047524A">
        <w:rPr>
          <w:noProof/>
          <w:szCs w:val="22"/>
          <w:lang w:val="sr-Latn-BA"/>
        </w:rPr>
        <w:t>st</w:t>
      </w:r>
      <w:r w:rsidR="0047524A" w:rsidRPr="0051150C">
        <w:rPr>
          <w:noProof/>
          <w:szCs w:val="22"/>
          <w:lang w:val="sr-Latn-BA"/>
        </w:rPr>
        <w:t xml:space="preserve">nim </w:t>
      </w:r>
      <w:r w:rsidRPr="0051150C">
        <w:rPr>
          <w:noProof/>
          <w:szCs w:val="22"/>
          <w:lang w:val="sr-Latn-BA"/>
        </w:rPr>
        <w:t xml:space="preserve">sistemom (engl. </w:t>
      </w:r>
      <w:r w:rsidRPr="00410EF6">
        <w:rPr>
          <w:i/>
          <w:noProof/>
          <w:szCs w:val="22"/>
          <w:lang w:val="sr-Latn-BA"/>
        </w:rPr>
        <w:t>skeletal-related event</w:t>
      </w:r>
      <w:r w:rsidRPr="0051150C">
        <w:rPr>
          <w:noProof/>
          <w:szCs w:val="22"/>
          <w:lang w:val="sr-Latn-BA"/>
        </w:rPr>
        <w:t>, SRE), vremenom do sl</w:t>
      </w:r>
      <w:r w:rsidR="00256BBA" w:rsidRPr="0051150C">
        <w:rPr>
          <w:noProof/>
          <w:szCs w:val="22"/>
          <w:lang w:val="sr-Latn-BA"/>
        </w:rPr>
        <w:t>j</w:t>
      </w:r>
      <w:r w:rsidRPr="0051150C">
        <w:rPr>
          <w:noProof/>
          <w:szCs w:val="22"/>
          <w:lang w:val="sr-Latn-BA"/>
        </w:rPr>
        <w:t xml:space="preserve">edeće terapije za karcinom prostate, vremenom do započinjanja hemioterapije, vremenom do progresije bola i vremenom do progresije </w:t>
      </w:r>
      <w:r w:rsidR="00096FAA" w:rsidRPr="0051150C">
        <w:rPr>
          <w:noProof/>
          <w:szCs w:val="22"/>
          <w:lang w:val="sr-Latn-BA"/>
        </w:rPr>
        <w:t>vrijednost</w:t>
      </w:r>
      <w:r w:rsidRPr="0051150C">
        <w:rPr>
          <w:noProof/>
          <w:szCs w:val="22"/>
          <w:lang w:val="sr-Latn-BA"/>
        </w:rPr>
        <w:t>i PSA. Terapija se nastavila do progresije bolest</w:t>
      </w:r>
      <w:r w:rsidR="00BA122A" w:rsidRPr="0051150C">
        <w:rPr>
          <w:noProof/>
          <w:szCs w:val="22"/>
          <w:lang w:val="sr-Latn-BA"/>
        </w:rPr>
        <w:t>i, povlačenja pristanka, pojave</w:t>
      </w:r>
      <w:r w:rsidRPr="0051150C">
        <w:rPr>
          <w:noProof/>
          <w:szCs w:val="22"/>
          <w:lang w:val="sr-Latn-BA"/>
        </w:rPr>
        <w:t xml:space="preserve"> neprihvatljive toksičnosti ili smrti.</w:t>
      </w:r>
    </w:p>
    <w:p w14:paraId="197C176A" w14:textId="77777777" w:rsidR="00BA122A" w:rsidRPr="0051150C" w:rsidRDefault="00BA122A" w:rsidP="009173F4">
      <w:pPr>
        <w:rPr>
          <w:noProof/>
          <w:szCs w:val="22"/>
          <w:lang w:val="sr-Latn-BA"/>
        </w:rPr>
      </w:pPr>
    </w:p>
    <w:p w14:paraId="21583194" w14:textId="7B510709" w:rsidR="00C605D8" w:rsidRPr="0051150C" w:rsidRDefault="00BB6464" w:rsidP="009173F4">
      <w:pPr>
        <w:rPr>
          <w:noProof/>
          <w:szCs w:val="22"/>
          <w:lang w:val="sr-Latn-BA"/>
        </w:rPr>
      </w:pPr>
      <w:r w:rsidRPr="0051150C">
        <w:rPr>
          <w:noProof/>
          <w:szCs w:val="22"/>
          <w:lang w:val="sr-Latn-BA"/>
        </w:rPr>
        <w:t>Preživljavanje bez radiografske progresije je bilo definisano kao vr</w:t>
      </w:r>
      <w:r w:rsidR="00256BBA" w:rsidRPr="0051150C">
        <w:rPr>
          <w:noProof/>
          <w:szCs w:val="22"/>
          <w:lang w:val="sr-Latn-BA"/>
        </w:rPr>
        <w:t>ij</w:t>
      </w:r>
      <w:r w:rsidRPr="0051150C">
        <w:rPr>
          <w:noProof/>
          <w:szCs w:val="22"/>
          <w:lang w:val="sr-Latn-BA"/>
        </w:rPr>
        <w:t>eme od randomizacije do pojave radiografske progresije ili smrti zbog bilo kog uzroka. Radiografska progresija je uključivala progresiju prema snimcima kostiju (prema modifikovanim PCWG2 kriterijumima) ili progresiju lezija mekog tkiva prema CT-u ili MR-u (prema kriterijumima RECIST 1,1).</w:t>
      </w:r>
    </w:p>
    <w:p w14:paraId="05AA6D6D" w14:textId="6357AC23" w:rsidR="00BA122A" w:rsidRPr="0051150C" w:rsidRDefault="00BA122A" w:rsidP="009173F4">
      <w:pPr>
        <w:rPr>
          <w:noProof/>
          <w:szCs w:val="22"/>
          <w:lang w:val="sr-Latn-BA"/>
        </w:rPr>
      </w:pPr>
    </w:p>
    <w:p w14:paraId="3573B5D3" w14:textId="676EB943" w:rsidR="00BA122A" w:rsidRDefault="00A120E1" w:rsidP="009173F4">
      <w:pPr>
        <w:rPr>
          <w:noProof/>
          <w:szCs w:val="22"/>
          <w:lang w:val="sr-Latn-BA"/>
        </w:rPr>
      </w:pPr>
      <w:r w:rsidRPr="0051150C">
        <w:rPr>
          <w:noProof/>
          <w:szCs w:val="22"/>
          <w:lang w:val="sr-Latn-BA"/>
        </w:rPr>
        <w:t>Zabilježen</w:t>
      </w:r>
      <w:r w:rsidR="00BA122A" w:rsidRPr="0051150C">
        <w:rPr>
          <w:noProof/>
          <w:szCs w:val="22"/>
          <w:lang w:val="sr-Latn-BA"/>
        </w:rPr>
        <w:t>a je značajna razlika u rPSF između ispitivanih grupa (</w:t>
      </w:r>
      <w:r w:rsidR="00096FAA" w:rsidRPr="0051150C">
        <w:rPr>
          <w:noProof/>
          <w:szCs w:val="22"/>
          <w:lang w:val="sr-Latn-BA"/>
        </w:rPr>
        <w:t>vidjeti</w:t>
      </w:r>
      <w:r w:rsidR="00BA122A" w:rsidRPr="0051150C">
        <w:rPr>
          <w:noProof/>
          <w:szCs w:val="22"/>
          <w:lang w:val="sr-Latn-BA"/>
        </w:rPr>
        <w:t xml:space="preserve"> Tabelu 2 i Sliku 1.)</w:t>
      </w:r>
    </w:p>
    <w:p w14:paraId="1DC62193" w14:textId="663B21C3" w:rsidR="004E3BC2" w:rsidRDefault="004E3BC2" w:rsidP="009173F4">
      <w:pPr>
        <w:rPr>
          <w:noProof/>
          <w:szCs w:val="22"/>
          <w:lang w:val="sr-Latn-BA"/>
        </w:rPr>
      </w:pPr>
    </w:p>
    <w:p w14:paraId="7D2EED32" w14:textId="275A46D0" w:rsidR="00BA122A" w:rsidRPr="00410EF6" w:rsidRDefault="00BA122A" w:rsidP="00410EF6">
      <w:pPr>
        <w:pBdr>
          <w:bottom w:val="single" w:sz="4" w:space="1" w:color="auto"/>
        </w:pBdr>
        <w:tabs>
          <w:tab w:val="clear" w:pos="284"/>
        </w:tabs>
        <w:autoSpaceDE w:val="0"/>
        <w:autoSpaceDN w:val="0"/>
        <w:adjustRightInd w:val="0"/>
        <w:rPr>
          <w:rFonts w:eastAsia="TimesNewRoman,Bold"/>
          <w:b/>
          <w:bCs/>
          <w:noProof/>
          <w:szCs w:val="22"/>
          <w:lang w:val="sr-Latn-BA"/>
        </w:rPr>
      </w:pPr>
      <w:r w:rsidRPr="0047524A">
        <w:rPr>
          <w:rFonts w:eastAsia="TimesNewRoman,Bold"/>
          <w:b/>
          <w:bCs/>
          <w:noProof/>
          <w:szCs w:val="22"/>
          <w:lang w:val="sr-Latn-BA"/>
        </w:rPr>
        <w:t xml:space="preserve">Tabela 2: </w:t>
      </w:r>
      <w:r w:rsidRPr="00410EF6">
        <w:rPr>
          <w:rFonts w:eastAsia="TimesNewRoman,Bold"/>
          <w:b/>
          <w:bCs/>
          <w:noProof/>
          <w:szCs w:val="22"/>
          <w:lang w:val="sr-Latn-BA"/>
        </w:rPr>
        <w:t>Preživljavanje bez radiografske progresije – stratifikovana analiza; populacija</w:t>
      </w:r>
      <w:r w:rsidR="0047524A">
        <w:rPr>
          <w:rFonts w:eastAsia="TimesNewRoman,Bold"/>
          <w:b/>
          <w:bCs/>
          <w:noProof/>
          <w:szCs w:val="22"/>
          <w:lang w:val="sr-Latn-BA"/>
        </w:rPr>
        <w:t xml:space="preserve"> </w:t>
      </w:r>
      <w:r w:rsidR="00460994">
        <w:rPr>
          <w:rFonts w:eastAsia="TimesNewRoman,Bold"/>
          <w:b/>
          <w:bCs/>
          <w:noProof/>
          <w:szCs w:val="22"/>
          <w:lang w:val="sr-Latn-BA"/>
        </w:rPr>
        <w:t>predviđena za</w:t>
      </w:r>
      <w:r w:rsidR="0047524A">
        <w:rPr>
          <w:rFonts w:eastAsia="TimesNewRoman,Bold"/>
          <w:b/>
          <w:bCs/>
          <w:noProof/>
          <w:szCs w:val="22"/>
          <w:lang w:val="sr-Latn-BA"/>
        </w:rPr>
        <w:t xml:space="preserve"> liječenj</w:t>
      </w:r>
      <w:r w:rsidR="00460994">
        <w:rPr>
          <w:rFonts w:eastAsia="TimesNewRoman,Bold"/>
          <w:b/>
          <w:bCs/>
          <w:noProof/>
          <w:szCs w:val="22"/>
          <w:lang w:val="sr-Latn-BA"/>
        </w:rPr>
        <w:t>e</w:t>
      </w:r>
      <w:r w:rsidR="0047524A">
        <w:rPr>
          <w:rFonts w:eastAsia="TimesNewRoman,Bold"/>
          <w:b/>
          <w:bCs/>
          <w:noProof/>
          <w:szCs w:val="22"/>
          <w:lang w:val="sr-Latn-BA"/>
        </w:rPr>
        <w:t xml:space="preserve"> (engl. </w:t>
      </w:r>
      <w:r w:rsidR="0047524A" w:rsidRPr="00DF315D">
        <w:rPr>
          <w:rFonts w:eastAsia="TimesNewRoman,Bold"/>
          <w:b/>
          <w:bCs/>
          <w:i/>
          <w:iCs/>
          <w:noProof/>
          <w:szCs w:val="22"/>
          <w:lang w:val="sr-Latn-BA"/>
        </w:rPr>
        <w:t>Intent–to-treat</w:t>
      </w:r>
      <w:r w:rsidR="0047524A">
        <w:rPr>
          <w:rFonts w:eastAsia="TimesNewRoman,Bold"/>
          <w:b/>
          <w:bCs/>
          <w:noProof/>
          <w:szCs w:val="22"/>
          <w:lang w:val="sr-Latn-BA"/>
        </w:rPr>
        <w:t>)</w:t>
      </w:r>
      <w:r w:rsidRPr="00410EF6">
        <w:rPr>
          <w:rFonts w:eastAsia="TimesNewRoman,Bold"/>
          <w:b/>
          <w:bCs/>
          <w:noProof/>
          <w:szCs w:val="22"/>
          <w:lang w:val="sr-Latn-BA"/>
        </w:rPr>
        <w:t xml:space="preserve"> (Studija PCR3011)</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49"/>
        <w:gridCol w:w="3092"/>
        <w:gridCol w:w="3092"/>
      </w:tblGrid>
      <w:tr w:rsidR="00BA122A" w:rsidRPr="0051150C" w14:paraId="745AD202" w14:textId="77777777" w:rsidTr="00FD06AC">
        <w:tc>
          <w:tcPr>
            <w:tcW w:w="3285" w:type="dxa"/>
            <w:tcBorders>
              <w:bottom w:val="nil"/>
              <w:right w:val="nil"/>
            </w:tcBorders>
          </w:tcPr>
          <w:p w14:paraId="3ED0E3D6" w14:textId="77777777" w:rsidR="00BA122A" w:rsidRPr="0051150C" w:rsidRDefault="00BA122A" w:rsidP="00E51ED5">
            <w:pPr>
              <w:tabs>
                <w:tab w:val="clear" w:pos="284"/>
              </w:tabs>
              <w:autoSpaceDE w:val="0"/>
              <w:autoSpaceDN w:val="0"/>
              <w:adjustRightInd w:val="0"/>
              <w:rPr>
                <w:noProof/>
                <w:szCs w:val="22"/>
                <w:lang w:val="sr-Latn-BA"/>
              </w:rPr>
            </w:pPr>
          </w:p>
        </w:tc>
        <w:tc>
          <w:tcPr>
            <w:tcW w:w="3285" w:type="dxa"/>
            <w:tcBorders>
              <w:top w:val="nil"/>
              <w:left w:val="nil"/>
              <w:bottom w:val="single" w:sz="4" w:space="0" w:color="auto"/>
              <w:right w:val="nil"/>
            </w:tcBorders>
          </w:tcPr>
          <w:p w14:paraId="6EC15158" w14:textId="0B786832" w:rsidR="00BA122A" w:rsidRPr="0051150C" w:rsidRDefault="00BA122A" w:rsidP="00E51ED5">
            <w:pPr>
              <w:tabs>
                <w:tab w:val="clear" w:pos="284"/>
              </w:tabs>
              <w:autoSpaceDE w:val="0"/>
              <w:autoSpaceDN w:val="0"/>
              <w:adjustRightInd w:val="0"/>
              <w:jc w:val="center"/>
              <w:rPr>
                <w:noProof/>
                <w:szCs w:val="22"/>
                <w:lang w:val="sr-Latn-BA"/>
              </w:rPr>
            </w:pPr>
            <w:r w:rsidRPr="0051150C">
              <w:rPr>
                <w:noProof/>
                <w:szCs w:val="22"/>
                <w:lang w:val="sr-Latn-BA"/>
              </w:rPr>
              <w:t>AA-P</w:t>
            </w:r>
          </w:p>
        </w:tc>
        <w:tc>
          <w:tcPr>
            <w:tcW w:w="3285" w:type="dxa"/>
            <w:tcBorders>
              <w:left w:val="nil"/>
            </w:tcBorders>
          </w:tcPr>
          <w:p w14:paraId="095A9D8D" w14:textId="1EE9B65B" w:rsidR="00BA122A" w:rsidRPr="0051150C" w:rsidRDefault="00FD06AC" w:rsidP="00E51ED5">
            <w:pPr>
              <w:tabs>
                <w:tab w:val="clear" w:pos="284"/>
              </w:tabs>
              <w:autoSpaceDE w:val="0"/>
              <w:autoSpaceDN w:val="0"/>
              <w:adjustRightInd w:val="0"/>
              <w:jc w:val="center"/>
              <w:rPr>
                <w:noProof/>
                <w:szCs w:val="22"/>
                <w:lang w:val="sr-Latn-BA"/>
              </w:rPr>
            </w:pPr>
            <w:r w:rsidRPr="0051150C">
              <w:rPr>
                <w:noProof/>
                <w:szCs w:val="22"/>
                <w:lang w:val="sr-Latn-BA"/>
              </w:rPr>
              <w:t>Placebo</w:t>
            </w:r>
          </w:p>
        </w:tc>
      </w:tr>
      <w:tr w:rsidR="00BA122A" w:rsidRPr="0051150C" w14:paraId="581FE934" w14:textId="77777777" w:rsidTr="00FD06AC">
        <w:tc>
          <w:tcPr>
            <w:tcW w:w="3285" w:type="dxa"/>
            <w:tcBorders>
              <w:top w:val="nil"/>
              <w:bottom w:val="nil"/>
              <w:right w:val="nil"/>
            </w:tcBorders>
          </w:tcPr>
          <w:p w14:paraId="5B3781DF" w14:textId="5EC9C14C" w:rsidR="00BA122A" w:rsidRPr="0051150C" w:rsidRDefault="00BA122A" w:rsidP="00E51ED5">
            <w:pPr>
              <w:tabs>
                <w:tab w:val="clear" w:pos="284"/>
              </w:tabs>
              <w:autoSpaceDE w:val="0"/>
              <w:autoSpaceDN w:val="0"/>
              <w:adjustRightInd w:val="0"/>
              <w:rPr>
                <w:noProof/>
                <w:szCs w:val="22"/>
                <w:lang w:val="sr-Latn-BA"/>
              </w:rPr>
            </w:pPr>
            <w:r w:rsidRPr="0051150C">
              <w:rPr>
                <w:noProof/>
                <w:szCs w:val="22"/>
                <w:lang w:val="sr-Latn-BA"/>
              </w:rPr>
              <w:t>Randomizovani ispitanici</w:t>
            </w:r>
          </w:p>
        </w:tc>
        <w:tc>
          <w:tcPr>
            <w:tcW w:w="3285" w:type="dxa"/>
            <w:tcBorders>
              <w:top w:val="single" w:sz="4" w:space="0" w:color="auto"/>
              <w:left w:val="nil"/>
              <w:bottom w:val="nil"/>
              <w:right w:val="nil"/>
            </w:tcBorders>
          </w:tcPr>
          <w:p w14:paraId="7B7E3E9F" w14:textId="244A4F09" w:rsidR="00BA122A" w:rsidRPr="0051150C" w:rsidRDefault="00BA122A" w:rsidP="00E51ED5">
            <w:pPr>
              <w:tabs>
                <w:tab w:val="clear" w:pos="284"/>
              </w:tabs>
              <w:autoSpaceDE w:val="0"/>
              <w:autoSpaceDN w:val="0"/>
              <w:adjustRightInd w:val="0"/>
              <w:jc w:val="center"/>
              <w:rPr>
                <w:noProof/>
                <w:szCs w:val="22"/>
                <w:lang w:val="sr-Latn-BA"/>
              </w:rPr>
            </w:pPr>
            <w:r w:rsidRPr="0051150C">
              <w:rPr>
                <w:noProof/>
                <w:szCs w:val="22"/>
                <w:lang w:val="sr-Latn-BA"/>
              </w:rPr>
              <w:t>597</w:t>
            </w:r>
          </w:p>
        </w:tc>
        <w:tc>
          <w:tcPr>
            <w:tcW w:w="3285" w:type="dxa"/>
            <w:tcBorders>
              <w:left w:val="nil"/>
              <w:bottom w:val="nil"/>
            </w:tcBorders>
          </w:tcPr>
          <w:p w14:paraId="35354835" w14:textId="24AB269B" w:rsidR="00BA122A" w:rsidRPr="0051150C" w:rsidRDefault="00BA122A" w:rsidP="00E51ED5">
            <w:pPr>
              <w:tabs>
                <w:tab w:val="clear" w:pos="284"/>
              </w:tabs>
              <w:autoSpaceDE w:val="0"/>
              <w:autoSpaceDN w:val="0"/>
              <w:adjustRightInd w:val="0"/>
              <w:jc w:val="center"/>
              <w:rPr>
                <w:noProof/>
                <w:szCs w:val="22"/>
                <w:lang w:val="sr-Latn-BA"/>
              </w:rPr>
            </w:pPr>
            <w:r w:rsidRPr="0051150C">
              <w:rPr>
                <w:noProof/>
                <w:szCs w:val="22"/>
                <w:lang w:val="sr-Latn-BA"/>
              </w:rPr>
              <w:t>602</w:t>
            </w:r>
          </w:p>
        </w:tc>
      </w:tr>
      <w:tr w:rsidR="00BA122A" w:rsidRPr="0051150C" w14:paraId="31496096" w14:textId="77777777" w:rsidTr="00FD06AC">
        <w:tc>
          <w:tcPr>
            <w:tcW w:w="3285" w:type="dxa"/>
            <w:tcBorders>
              <w:top w:val="nil"/>
              <w:bottom w:val="nil"/>
              <w:right w:val="nil"/>
            </w:tcBorders>
          </w:tcPr>
          <w:p w14:paraId="5B424276" w14:textId="539D5F8A" w:rsidR="00BA122A" w:rsidRPr="0051150C" w:rsidRDefault="00FD06AC" w:rsidP="00E51ED5">
            <w:pPr>
              <w:tabs>
                <w:tab w:val="clear" w:pos="284"/>
              </w:tabs>
              <w:autoSpaceDE w:val="0"/>
              <w:autoSpaceDN w:val="0"/>
              <w:adjustRightInd w:val="0"/>
              <w:rPr>
                <w:noProof/>
                <w:szCs w:val="22"/>
                <w:lang w:val="sr-Latn-BA"/>
              </w:rPr>
            </w:pPr>
            <w:r w:rsidRPr="0051150C">
              <w:rPr>
                <w:noProof/>
                <w:szCs w:val="22"/>
                <w:lang w:val="sr-Latn-BA"/>
              </w:rPr>
              <w:t xml:space="preserve">     </w:t>
            </w:r>
            <w:r w:rsidR="00BA122A" w:rsidRPr="0051150C">
              <w:rPr>
                <w:noProof/>
                <w:szCs w:val="22"/>
                <w:lang w:val="sr-Latn-BA"/>
              </w:rPr>
              <w:t>Događaj</w:t>
            </w:r>
          </w:p>
        </w:tc>
        <w:tc>
          <w:tcPr>
            <w:tcW w:w="3285" w:type="dxa"/>
            <w:tcBorders>
              <w:top w:val="nil"/>
              <w:left w:val="nil"/>
              <w:bottom w:val="nil"/>
              <w:right w:val="nil"/>
            </w:tcBorders>
          </w:tcPr>
          <w:p w14:paraId="17FC8927" w14:textId="2EAEB5D9" w:rsidR="00BA122A" w:rsidRPr="0051150C" w:rsidRDefault="00BA122A" w:rsidP="00E51ED5">
            <w:pPr>
              <w:tabs>
                <w:tab w:val="clear" w:pos="284"/>
              </w:tabs>
              <w:autoSpaceDE w:val="0"/>
              <w:autoSpaceDN w:val="0"/>
              <w:adjustRightInd w:val="0"/>
              <w:jc w:val="center"/>
              <w:rPr>
                <w:noProof/>
                <w:szCs w:val="22"/>
                <w:lang w:val="sr-Latn-BA"/>
              </w:rPr>
            </w:pPr>
            <w:r w:rsidRPr="0051150C">
              <w:rPr>
                <w:noProof/>
                <w:szCs w:val="22"/>
                <w:lang w:val="sr-Latn-BA"/>
              </w:rPr>
              <w:t>239 (40,0%)</w:t>
            </w:r>
          </w:p>
        </w:tc>
        <w:tc>
          <w:tcPr>
            <w:tcW w:w="3285" w:type="dxa"/>
            <w:tcBorders>
              <w:top w:val="nil"/>
              <w:left w:val="nil"/>
              <w:bottom w:val="nil"/>
            </w:tcBorders>
          </w:tcPr>
          <w:p w14:paraId="4E26604E" w14:textId="79EF7EE4" w:rsidR="00BA122A" w:rsidRPr="0051150C" w:rsidRDefault="00BA122A" w:rsidP="00E51ED5">
            <w:pPr>
              <w:tabs>
                <w:tab w:val="clear" w:pos="284"/>
              </w:tabs>
              <w:autoSpaceDE w:val="0"/>
              <w:autoSpaceDN w:val="0"/>
              <w:adjustRightInd w:val="0"/>
              <w:jc w:val="center"/>
              <w:rPr>
                <w:noProof/>
                <w:szCs w:val="22"/>
                <w:lang w:val="sr-Latn-BA"/>
              </w:rPr>
            </w:pPr>
            <w:r w:rsidRPr="0051150C">
              <w:rPr>
                <w:noProof/>
                <w:szCs w:val="22"/>
                <w:lang w:val="sr-Latn-BA"/>
              </w:rPr>
              <w:t>354 (58,8%)</w:t>
            </w:r>
          </w:p>
        </w:tc>
      </w:tr>
      <w:tr w:rsidR="00BA122A" w:rsidRPr="0051150C" w14:paraId="2AB06935" w14:textId="77777777" w:rsidTr="00FD06AC">
        <w:tc>
          <w:tcPr>
            <w:tcW w:w="3285" w:type="dxa"/>
            <w:tcBorders>
              <w:top w:val="nil"/>
              <w:bottom w:val="nil"/>
              <w:right w:val="nil"/>
            </w:tcBorders>
          </w:tcPr>
          <w:p w14:paraId="670B2292" w14:textId="6B0E582C" w:rsidR="00BA122A" w:rsidRPr="0051150C" w:rsidRDefault="00FD06AC" w:rsidP="00E51ED5">
            <w:pPr>
              <w:tabs>
                <w:tab w:val="clear" w:pos="284"/>
              </w:tabs>
              <w:autoSpaceDE w:val="0"/>
              <w:autoSpaceDN w:val="0"/>
              <w:adjustRightInd w:val="0"/>
              <w:rPr>
                <w:noProof/>
                <w:szCs w:val="22"/>
                <w:lang w:val="sr-Latn-BA"/>
              </w:rPr>
            </w:pPr>
            <w:r w:rsidRPr="0051150C">
              <w:rPr>
                <w:noProof/>
                <w:szCs w:val="22"/>
                <w:lang w:val="sr-Latn-BA"/>
              </w:rPr>
              <w:t xml:space="preserve">     </w:t>
            </w:r>
            <w:r w:rsidR="00BA122A" w:rsidRPr="0051150C">
              <w:rPr>
                <w:noProof/>
                <w:szCs w:val="22"/>
                <w:lang w:val="sr-Latn-BA"/>
              </w:rPr>
              <w:t>Cenzurisano</w:t>
            </w:r>
          </w:p>
        </w:tc>
        <w:tc>
          <w:tcPr>
            <w:tcW w:w="3285" w:type="dxa"/>
            <w:tcBorders>
              <w:top w:val="nil"/>
              <w:left w:val="nil"/>
              <w:bottom w:val="nil"/>
              <w:right w:val="nil"/>
            </w:tcBorders>
          </w:tcPr>
          <w:p w14:paraId="313A3134" w14:textId="1E984E17" w:rsidR="00BA122A" w:rsidRPr="0051150C" w:rsidRDefault="00BA122A" w:rsidP="00E51ED5">
            <w:pPr>
              <w:tabs>
                <w:tab w:val="clear" w:pos="284"/>
              </w:tabs>
              <w:autoSpaceDE w:val="0"/>
              <w:autoSpaceDN w:val="0"/>
              <w:adjustRightInd w:val="0"/>
              <w:spacing w:after="240"/>
              <w:jc w:val="center"/>
              <w:rPr>
                <w:noProof/>
                <w:szCs w:val="22"/>
                <w:lang w:val="sr-Latn-BA"/>
              </w:rPr>
            </w:pPr>
            <w:r w:rsidRPr="0051150C">
              <w:rPr>
                <w:noProof/>
                <w:szCs w:val="22"/>
                <w:lang w:val="sr-Latn-BA"/>
              </w:rPr>
              <w:t>358 (60,0%)</w:t>
            </w:r>
          </w:p>
        </w:tc>
        <w:tc>
          <w:tcPr>
            <w:tcW w:w="3285" w:type="dxa"/>
            <w:tcBorders>
              <w:top w:val="nil"/>
              <w:left w:val="nil"/>
              <w:bottom w:val="nil"/>
            </w:tcBorders>
          </w:tcPr>
          <w:p w14:paraId="207E5C87" w14:textId="08AC20F5" w:rsidR="00BA122A" w:rsidRPr="0051150C" w:rsidRDefault="00BA122A" w:rsidP="00E51ED5">
            <w:pPr>
              <w:tabs>
                <w:tab w:val="clear" w:pos="284"/>
              </w:tabs>
              <w:autoSpaceDE w:val="0"/>
              <w:autoSpaceDN w:val="0"/>
              <w:adjustRightInd w:val="0"/>
              <w:jc w:val="center"/>
              <w:rPr>
                <w:noProof/>
                <w:szCs w:val="22"/>
                <w:lang w:val="sr-Latn-BA"/>
              </w:rPr>
            </w:pPr>
            <w:r w:rsidRPr="0051150C">
              <w:rPr>
                <w:noProof/>
                <w:szCs w:val="22"/>
                <w:lang w:val="sr-Latn-BA"/>
              </w:rPr>
              <w:t>248 (41,2%)</w:t>
            </w:r>
          </w:p>
        </w:tc>
      </w:tr>
      <w:tr w:rsidR="00BA122A" w:rsidRPr="0051150C" w14:paraId="0CFE9C9B" w14:textId="77777777" w:rsidTr="00FD06AC">
        <w:tc>
          <w:tcPr>
            <w:tcW w:w="3285" w:type="dxa"/>
            <w:tcBorders>
              <w:top w:val="nil"/>
              <w:bottom w:val="nil"/>
              <w:right w:val="nil"/>
            </w:tcBorders>
          </w:tcPr>
          <w:p w14:paraId="4CC0D8A4" w14:textId="6B160D27" w:rsidR="00BA122A" w:rsidRPr="0051150C" w:rsidRDefault="00BA122A" w:rsidP="00E51ED5">
            <w:pPr>
              <w:tabs>
                <w:tab w:val="clear" w:pos="284"/>
              </w:tabs>
              <w:autoSpaceDE w:val="0"/>
              <w:autoSpaceDN w:val="0"/>
              <w:adjustRightInd w:val="0"/>
              <w:rPr>
                <w:noProof/>
                <w:szCs w:val="22"/>
                <w:lang w:val="sr-Latn-BA"/>
              </w:rPr>
            </w:pPr>
            <w:r w:rsidRPr="0051150C">
              <w:rPr>
                <w:noProof/>
                <w:szCs w:val="22"/>
                <w:lang w:val="sr-Latn-BA"/>
              </w:rPr>
              <w:t>Vr</w:t>
            </w:r>
            <w:r w:rsidR="00256BBA" w:rsidRPr="0051150C">
              <w:rPr>
                <w:noProof/>
                <w:szCs w:val="22"/>
                <w:lang w:val="sr-Latn-BA"/>
              </w:rPr>
              <w:t>ij</w:t>
            </w:r>
            <w:r w:rsidRPr="0051150C">
              <w:rPr>
                <w:noProof/>
                <w:szCs w:val="22"/>
                <w:lang w:val="sr-Latn-BA"/>
              </w:rPr>
              <w:t>eme do događaja</w:t>
            </w:r>
            <w:r w:rsidR="00FD06AC" w:rsidRPr="0051150C">
              <w:rPr>
                <w:noProof/>
                <w:szCs w:val="22"/>
                <w:lang w:val="sr-Latn-BA"/>
              </w:rPr>
              <w:t xml:space="preserve"> (</w:t>
            </w:r>
            <w:r w:rsidR="00834D3E" w:rsidRPr="0051150C">
              <w:rPr>
                <w:noProof/>
                <w:szCs w:val="22"/>
                <w:lang w:val="sr-Latn-BA"/>
              </w:rPr>
              <w:t>mjesec</w:t>
            </w:r>
            <w:r w:rsidR="00FD06AC" w:rsidRPr="0051150C">
              <w:rPr>
                <w:noProof/>
                <w:szCs w:val="22"/>
                <w:lang w:val="sr-Latn-BA"/>
              </w:rPr>
              <w:t>i)</w:t>
            </w:r>
          </w:p>
        </w:tc>
        <w:tc>
          <w:tcPr>
            <w:tcW w:w="3285" w:type="dxa"/>
            <w:tcBorders>
              <w:top w:val="nil"/>
              <w:left w:val="nil"/>
              <w:bottom w:val="nil"/>
              <w:right w:val="nil"/>
            </w:tcBorders>
          </w:tcPr>
          <w:p w14:paraId="1D43E2DF" w14:textId="77777777" w:rsidR="00BA122A" w:rsidRPr="0051150C" w:rsidRDefault="00BA122A" w:rsidP="00E51ED5">
            <w:pPr>
              <w:tabs>
                <w:tab w:val="clear" w:pos="284"/>
              </w:tabs>
              <w:autoSpaceDE w:val="0"/>
              <w:autoSpaceDN w:val="0"/>
              <w:adjustRightInd w:val="0"/>
              <w:jc w:val="center"/>
              <w:rPr>
                <w:noProof/>
                <w:szCs w:val="22"/>
                <w:lang w:val="sr-Latn-BA"/>
              </w:rPr>
            </w:pPr>
          </w:p>
        </w:tc>
        <w:tc>
          <w:tcPr>
            <w:tcW w:w="3285" w:type="dxa"/>
            <w:tcBorders>
              <w:top w:val="nil"/>
              <w:left w:val="nil"/>
              <w:bottom w:val="nil"/>
            </w:tcBorders>
          </w:tcPr>
          <w:p w14:paraId="50634FF0" w14:textId="77777777" w:rsidR="00BA122A" w:rsidRPr="0051150C" w:rsidRDefault="00BA122A" w:rsidP="00E51ED5">
            <w:pPr>
              <w:tabs>
                <w:tab w:val="clear" w:pos="284"/>
              </w:tabs>
              <w:autoSpaceDE w:val="0"/>
              <w:autoSpaceDN w:val="0"/>
              <w:adjustRightInd w:val="0"/>
              <w:jc w:val="center"/>
              <w:rPr>
                <w:noProof/>
                <w:szCs w:val="22"/>
                <w:lang w:val="sr-Latn-BA"/>
              </w:rPr>
            </w:pPr>
          </w:p>
        </w:tc>
      </w:tr>
      <w:tr w:rsidR="00BA122A" w:rsidRPr="0051150C" w14:paraId="4DB0DA71" w14:textId="77777777" w:rsidTr="00FD06AC">
        <w:tc>
          <w:tcPr>
            <w:tcW w:w="3285" w:type="dxa"/>
            <w:tcBorders>
              <w:top w:val="nil"/>
              <w:bottom w:val="nil"/>
              <w:right w:val="nil"/>
            </w:tcBorders>
          </w:tcPr>
          <w:p w14:paraId="1ECAA7CC" w14:textId="51C3DAA3" w:rsidR="00BA122A" w:rsidRPr="0051150C" w:rsidRDefault="00FD06AC" w:rsidP="00E51ED5">
            <w:pPr>
              <w:tabs>
                <w:tab w:val="clear" w:pos="284"/>
              </w:tabs>
              <w:autoSpaceDE w:val="0"/>
              <w:autoSpaceDN w:val="0"/>
              <w:adjustRightInd w:val="0"/>
              <w:rPr>
                <w:noProof/>
                <w:szCs w:val="22"/>
                <w:lang w:val="sr-Latn-BA"/>
              </w:rPr>
            </w:pPr>
            <w:r w:rsidRPr="0051150C">
              <w:rPr>
                <w:noProof/>
                <w:szCs w:val="22"/>
                <w:lang w:val="sr-Latn-BA"/>
              </w:rPr>
              <w:t xml:space="preserve">     </w:t>
            </w:r>
            <w:r w:rsidR="00BA122A" w:rsidRPr="0051150C">
              <w:rPr>
                <w:noProof/>
                <w:szCs w:val="22"/>
                <w:lang w:val="sr-Latn-BA"/>
              </w:rPr>
              <w:t>Medijana</w:t>
            </w:r>
            <w:r w:rsidRPr="0051150C">
              <w:rPr>
                <w:noProof/>
                <w:szCs w:val="22"/>
                <w:lang w:val="sr-Latn-BA"/>
              </w:rPr>
              <w:t xml:space="preserve"> (95% CI)</w:t>
            </w:r>
          </w:p>
        </w:tc>
        <w:tc>
          <w:tcPr>
            <w:tcW w:w="3285" w:type="dxa"/>
            <w:tcBorders>
              <w:top w:val="nil"/>
              <w:left w:val="nil"/>
              <w:bottom w:val="nil"/>
              <w:right w:val="nil"/>
            </w:tcBorders>
          </w:tcPr>
          <w:p w14:paraId="5F940D81" w14:textId="480B0C3A" w:rsidR="00BA122A" w:rsidRPr="0051150C" w:rsidRDefault="007935BF" w:rsidP="0047524A">
            <w:pPr>
              <w:tabs>
                <w:tab w:val="clear" w:pos="284"/>
              </w:tabs>
              <w:autoSpaceDE w:val="0"/>
              <w:autoSpaceDN w:val="0"/>
              <w:adjustRightInd w:val="0"/>
              <w:jc w:val="center"/>
              <w:rPr>
                <w:noProof/>
                <w:szCs w:val="22"/>
                <w:lang w:val="sr-Latn-BA"/>
              </w:rPr>
            </w:pPr>
            <w:r w:rsidRPr="0051150C">
              <w:rPr>
                <w:noProof/>
                <w:szCs w:val="22"/>
                <w:lang w:val="sr-Latn-BA"/>
              </w:rPr>
              <w:t>33</w:t>
            </w:r>
            <w:r w:rsidR="0047524A">
              <w:rPr>
                <w:noProof/>
                <w:szCs w:val="22"/>
                <w:lang w:val="sr-Latn-BA"/>
              </w:rPr>
              <w:t>,</w:t>
            </w:r>
            <w:r w:rsidRPr="0051150C">
              <w:rPr>
                <w:noProof/>
                <w:szCs w:val="22"/>
                <w:lang w:val="sr-Latn-BA"/>
              </w:rPr>
              <w:t>02 (29</w:t>
            </w:r>
            <w:r w:rsidR="0047524A">
              <w:rPr>
                <w:noProof/>
                <w:szCs w:val="22"/>
                <w:lang w:val="sr-Latn-BA"/>
              </w:rPr>
              <w:t>,</w:t>
            </w:r>
            <w:r w:rsidR="00FD06AC" w:rsidRPr="0051150C">
              <w:rPr>
                <w:noProof/>
                <w:szCs w:val="22"/>
                <w:lang w:val="sr-Latn-BA"/>
              </w:rPr>
              <w:t>57; NP)</w:t>
            </w:r>
          </w:p>
        </w:tc>
        <w:tc>
          <w:tcPr>
            <w:tcW w:w="3285" w:type="dxa"/>
            <w:tcBorders>
              <w:top w:val="nil"/>
              <w:left w:val="nil"/>
              <w:bottom w:val="nil"/>
            </w:tcBorders>
          </w:tcPr>
          <w:p w14:paraId="4DD70A3E" w14:textId="07B10AFC" w:rsidR="00BA122A" w:rsidRPr="0051150C" w:rsidRDefault="007935BF" w:rsidP="0047524A">
            <w:pPr>
              <w:tabs>
                <w:tab w:val="clear" w:pos="284"/>
              </w:tabs>
              <w:autoSpaceDE w:val="0"/>
              <w:autoSpaceDN w:val="0"/>
              <w:adjustRightInd w:val="0"/>
              <w:jc w:val="center"/>
              <w:rPr>
                <w:noProof/>
                <w:szCs w:val="22"/>
                <w:lang w:val="sr-Latn-BA"/>
              </w:rPr>
            </w:pPr>
            <w:r w:rsidRPr="0051150C">
              <w:rPr>
                <w:noProof/>
                <w:szCs w:val="22"/>
                <w:lang w:val="sr-Latn-BA"/>
              </w:rPr>
              <w:t>14</w:t>
            </w:r>
            <w:r w:rsidR="0047524A">
              <w:rPr>
                <w:noProof/>
                <w:szCs w:val="22"/>
                <w:lang w:val="sr-Latn-BA"/>
              </w:rPr>
              <w:t>,</w:t>
            </w:r>
            <w:r w:rsidRPr="0051150C">
              <w:rPr>
                <w:noProof/>
                <w:szCs w:val="22"/>
                <w:lang w:val="sr-Latn-BA"/>
              </w:rPr>
              <w:t>78 (14</w:t>
            </w:r>
            <w:r w:rsidR="0047524A">
              <w:rPr>
                <w:noProof/>
                <w:szCs w:val="22"/>
                <w:lang w:val="sr-Latn-BA"/>
              </w:rPr>
              <w:t>,</w:t>
            </w:r>
            <w:r w:rsidRPr="0051150C">
              <w:rPr>
                <w:noProof/>
                <w:szCs w:val="22"/>
                <w:lang w:val="sr-Latn-BA"/>
              </w:rPr>
              <w:t>69; 18</w:t>
            </w:r>
            <w:r w:rsidR="0047524A">
              <w:rPr>
                <w:noProof/>
                <w:szCs w:val="22"/>
                <w:lang w:val="sr-Latn-BA"/>
              </w:rPr>
              <w:t>,</w:t>
            </w:r>
            <w:r w:rsidR="00FD06AC" w:rsidRPr="0051150C">
              <w:rPr>
                <w:noProof/>
                <w:szCs w:val="22"/>
                <w:lang w:val="sr-Latn-BA"/>
              </w:rPr>
              <w:t>27)</w:t>
            </w:r>
          </w:p>
        </w:tc>
      </w:tr>
      <w:tr w:rsidR="00BA122A" w:rsidRPr="0051150C" w14:paraId="4FF72284" w14:textId="77777777" w:rsidTr="00FD06AC">
        <w:tc>
          <w:tcPr>
            <w:tcW w:w="3285" w:type="dxa"/>
            <w:tcBorders>
              <w:top w:val="nil"/>
              <w:bottom w:val="nil"/>
              <w:right w:val="nil"/>
            </w:tcBorders>
          </w:tcPr>
          <w:p w14:paraId="14B90CCD" w14:textId="6F79803F" w:rsidR="00BA122A" w:rsidRPr="0051150C" w:rsidRDefault="00934AE1" w:rsidP="00E51ED5">
            <w:pPr>
              <w:tabs>
                <w:tab w:val="clear" w:pos="284"/>
              </w:tabs>
              <w:autoSpaceDE w:val="0"/>
              <w:autoSpaceDN w:val="0"/>
              <w:adjustRightInd w:val="0"/>
              <w:rPr>
                <w:noProof/>
                <w:szCs w:val="22"/>
                <w:lang w:val="sr-Latn-BA"/>
              </w:rPr>
            </w:pPr>
            <w:r w:rsidRPr="0051150C">
              <w:rPr>
                <w:noProof/>
                <w:szCs w:val="22"/>
                <w:lang w:val="sr-Latn-BA"/>
              </w:rPr>
              <w:t xml:space="preserve">     Raspon</w:t>
            </w:r>
          </w:p>
        </w:tc>
        <w:tc>
          <w:tcPr>
            <w:tcW w:w="3285" w:type="dxa"/>
            <w:tcBorders>
              <w:top w:val="nil"/>
              <w:left w:val="nil"/>
              <w:bottom w:val="nil"/>
              <w:right w:val="nil"/>
            </w:tcBorders>
          </w:tcPr>
          <w:p w14:paraId="1A2CCF98" w14:textId="2D6FF85D" w:rsidR="00BA122A" w:rsidRPr="0051150C" w:rsidRDefault="007935BF" w:rsidP="0047524A">
            <w:pPr>
              <w:tabs>
                <w:tab w:val="clear" w:pos="284"/>
              </w:tabs>
              <w:autoSpaceDE w:val="0"/>
              <w:autoSpaceDN w:val="0"/>
              <w:adjustRightInd w:val="0"/>
              <w:jc w:val="center"/>
              <w:rPr>
                <w:noProof/>
                <w:szCs w:val="22"/>
                <w:lang w:val="sr-Latn-BA"/>
              </w:rPr>
            </w:pPr>
            <w:r w:rsidRPr="0051150C">
              <w:rPr>
                <w:noProof/>
                <w:szCs w:val="22"/>
                <w:lang w:val="sr-Latn-BA"/>
              </w:rPr>
              <w:t>(0</w:t>
            </w:r>
            <w:r w:rsidR="0047524A">
              <w:rPr>
                <w:noProof/>
                <w:szCs w:val="22"/>
                <w:lang w:val="sr-Latn-BA"/>
              </w:rPr>
              <w:t>,</w:t>
            </w:r>
            <w:r w:rsidRPr="0051150C">
              <w:rPr>
                <w:noProof/>
                <w:szCs w:val="22"/>
                <w:lang w:val="sr-Latn-BA"/>
              </w:rPr>
              <w:t>0+; 41</w:t>
            </w:r>
            <w:r w:rsidR="0047524A">
              <w:rPr>
                <w:noProof/>
                <w:szCs w:val="22"/>
                <w:lang w:val="sr-Latn-BA"/>
              </w:rPr>
              <w:t>,</w:t>
            </w:r>
            <w:r w:rsidR="00FD06AC" w:rsidRPr="0051150C">
              <w:rPr>
                <w:noProof/>
                <w:szCs w:val="22"/>
                <w:lang w:val="sr-Latn-BA"/>
              </w:rPr>
              <w:t>0+)</w:t>
            </w:r>
            <w:r w:rsidR="00FD06AC" w:rsidRPr="0051150C">
              <w:rPr>
                <w:noProof/>
                <w:szCs w:val="22"/>
                <w:lang w:val="sr-Latn-BA"/>
              </w:rPr>
              <w:br/>
            </w:r>
          </w:p>
        </w:tc>
        <w:tc>
          <w:tcPr>
            <w:tcW w:w="3285" w:type="dxa"/>
            <w:tcBorders>
              <w:top w:val="nil"/>
              <w:left w:val="nil"/>
              <w:bottom w:val="nil"/>
            </w:tcBorders>
          </w:tcPr>
          <w:p w14:paraId="4424B9C2" w14:textId="4A1F86AC" w:rsidR="00BA122A" w:rsidRPr="0051150C" w:rsidRDefault="007935BF" w:rsidP="0047524A">
            <w:pPr>
              <w:tabs>
                <w:tab w:val="clear" w:pos="284"/>
              </w:tabs>
              <w:autoSpaceDE w:val="0"/>
              <w:autoSpaceDN w:val="0"/>
              <w:adjustRightInd w:val="0"/>
              <w:jc w:val="center"/>
              <w:rPr>
                <w:noProof/>
                <w:szCs w:val="22"/>
                <w:lang w:val="sr-Latn-BA"/>
              </w:rPr>
            </w:pPr>
            <w:r w:rsidRPr="0051150C">
              <w:rPr>
                <w:noProof/>
                <w:szCs w:val="22"/>
                <w:lang w:val="sr-Latn-BA"/>
              </w:rPr>
              <w:t>(0</w:t>
            </w:r>
            <w:r w:rsidR="0047524A">
              <w:rPr>
                <w:noProof/>
                <w:szCs w:val="22"/>
                <w:lang w:val="sr-Latn-BA"/>
              </w:rPr>
              <w:t>,</w:t>
            </w:r>
            <w:r w:rsidRPr="0051150C">
              <w:rPr>
                <w:noProof/>
                <w:szCs w:val="22"/>
                <w:lang w:val="sr-Latn-BA"/>
              </w:rPr>
              <w:t>0+; 40</w:t>
            </w:r>
            <w:r w:rsidR="0047524A">
              <w:rPr>
                <w:noProof/>
                <w:szCs w:val="22"/>
                <w:lang w:val="sr-Latn-BA"/>
              </w:rPr>
              <w:t>,</w:t>
            </w:r>
            <w:r w:rsidR="00FD06AC" w:rsidRPr="0051150C">
              <w:rPr>
                <w:noProof/>
                <w:szCs w:val="22"/>
                <w:lang w:val="sr-Latn-BA"/>
              </w:rPr>
              <w:t>6+)</w:t>
            </w:r>
          </w:p>
        </w:tc>
      </w:tr>
      <w:tr w:rsidR="00BA122A" w:rsidRPr="0051150C" w14:paraId="2C2B8EBB" w14:textId="77777777" w:rsidTr="007935BF">
        <w:tc>
          <w:tcPr>
            <w:tcW w:w="3285" w:type="dxa"/>
            <w:tcBorders>
              <w:top w:val="nil"/>
              <w:bottom w:val="nil"/>
              <w:right w:val="nil"/>
            </w:tcBorders>
          </w:tcPr>
          <w:p w14:paraId="56F3F007" w14:textId="190685CD" w:rsidR="00BA122A" w:rsidRPr="0051150C" w:rsidRDefault="00FD06AC" w:rsidP="00E51ED5">
            <w:pPr>
              <w:tabs>
                <w:tab w:val="clear" w:pos="284"/>
              </w:tabs>
              <w:autoSpaceDE w:val="0"/>
              <w:autoSpaceDN w:val="0"/>
              <w:adjustRightInd w:val="0"/>
              <w:rPr>
                <w:noProof/>
                <w:szCs w:val="22"/>
                <w:lang w:val="sr-Latn-BA"/>
              </w:rPr>
            </w:pPr>
            <w:r w:rsidRPr="0051150C">
              <w:rPr>
                <w:noProof/>
                <w:szCs w:val="22"/>
                <w:lang w:val="sr-Latn-BA"/>
              </w:rPr>
              <w:t xml:space="preserve">     p-</w:t>
            </w:r>
            <w:r w:rsidR="00096FAA" w:rsidRPr="0051150C">
              <w:rPr>
                <w:noProof/>
                <w:szCs w:val="22"/>
                <w:lang w:val="sr-Latn-BA"/>
              </w:rPr>
              <w:t>vrijednost</w:t>
            </w:r>
            <w:r w:rsidRPr="0051150C">
              <w:rPr>
                <w:noProof/>
                <w:szCs w:val="22"/>
                <w:vertAlign w:val="superscript"/>
                <w:lang w:val="sr-Latn-BA"/>
              </w:rPr>
              <w:t>a</w:t>
            </w:r>
          </w:p>
        </w:tc>
        <w:tc>
          <w:tcPr>
            <w:tcW w:w="3285" w:type="dxa"/>
            <w:tcBorders>
              <w:top w:val="nil"/>
              <w:left w:val="nil"/>
              <w:bottom w:val="nil"/>
              <w:right w:val="nil"/>
            </w:tcBorders>
          </w:tcPr>
          <w:p w14:paraId="674C20B8" w14:textId="367E46C2" w:rsidR="00BA122A" w:rsidRPr="0051150C" w:rsidRDefault="007935BF" w:rsidP="0047524A">
            <w:pPr>
              <w:tabs>
                <w:tab w:val="clear" w:pos="284"/>
              </w:tabs>
              <w:autoSpaceDE w:val="0"/>
              <w:autoSpaceDN w:val="0"/>
              <w:adjustRightInd w:val="0"/>
              <w:jc w:val="center"/>
              <w:rPr>
                <w:noProof/>
                <w:szCs w:val="22"/>
                <w:lang w:val="sr-Latn-BA"/>
              </w:rPr>
            </w:pPr>
            <w:r w:rsidRPr="0051150C">
              <w:rPr>
                <w:noProof/>
                <w:szCs w:val="22"/>
                <w:lang w:val="sr-Latn-BA"/>
              </w:rPr>
              <w:t>&lt; 0</w:t>
            </w:r>
            <w:r w:rsidR="0047524A">
              <w:rPr>
                <w:noProof/>
                <w:szCs w:val="22"/>
                <w:lang w:val="sr-Latn-BA"/>
              </w:rPr>
              <w:t>,</w:t>
            </w:r>
            <w:r w:rsidR="00FD06AC" w:rsidRPr="0051150C">
              <w:rPr>
                <w:noProof/>
                <w:szCs w:val="22"/>
                <w:lang w:val="sr-Latn-BA"/>
              </w:rPr>
              <w:t>0001</w:t>
            </w:r>
          </w:p>
        </w:tc>
        <w:tc>
          <w:tcPr>
            <w:tcW w:w="3285" w:type="dxa"/>
            <w:tcBorders>
              <w:top w:val="nil"/>
              <w:left w:val="nil"/>
              <w:bottom w:val="nil"/>
            </w:tcBorders>
          </w:tcPr>
          <w:p w14:paraId="6E902D6D" w14:textId="77777777" w:rsidR="00BA122A" w:rsidRPr="0051150C" w:rsidRDefault="00BA122A" w:rsidP="00E51ED5">
            <w:pPr>
              <w:tabs>
                <w:tab w:val="clear" w:pos="284"/>
              </w:tabs>
              <w:autoSpaceDE w:val="0"/>
              <w:autoSpaceDN w:val="0"/>
              <w:adjustRightInd w:val="0"/>
              <w:jc w:val="center"/>
              <w:rPr>
                <w:noProof/>
                <w:szCs w:val="22"/>
                <w:lang w:val="sr-Latn-BA"/>
              </w:rPr>
            </w:pPr>
          </w:p>
        </w:tc>
      </w:tr>
      <w:tr w:rsidR="00FD06AC" w:rsidRPr="0051150C" w14:paraId="1641A210" w14:textId="77777777" w:rsidTr="007935BF">
        <w:tc>
          <w:tcPr>
            <w:tcW w:w="3285" w:type="dxa"/>
            <w:tcBorders>
              <w:top w:val="nil"/>
              <w:bottom w:val="single" w:sz="4" w:space="0" w:color="auto"/>
              <w:right w:val="nil"/>
            </w:tcBorders>
          </w:tcPr>
          <w:p w14:paraId="3678CFEB" w14:textId="256D44E3" w:rsidR="00FD06AC" w:rsidRPr="0051150C" w:rsidRDefault="00FD06AC" w:rsidP="0047524A">
            <w:pPr>
              <w:tabs>
                <w:tab w:val="clear" w:pos="284"/>
              </w:tabs>
              <w:autoSpaceDE w:val="0"/>
              <w:autoSpaceDN w:val="0"/>
              <w:adjustRightInd w:val="0"/>
              <w:rPr>
                <w:noProof/>
                <w:szCs w:val="22"/>
                <w:lang w:val="sr-Latn-BA"/>
              </w:rPr>
            </w:pPr>
            <w:r w:rsidRPr="0051150C">
              <w:rPr>
                <w:i/>
                <w:iCs/>
                <w:noProof/>
                <w:szCs w:val="22"/>
                <w:lang w:val="sr-Latn-BA"/>
              </w:rPr>
              <w:t xml:space="preserve">     </w:t>
            </w:r>
            <w:r w:rsidR="0047524A">
              <w:rPr>
                <w:i/>
                <w:iCs/>
                <w:noProof/>
                <w:szCs w:val="22"/>
                <w:lang w:val="sr-Latn-BA"/>
              </w:rPr>
              <w:t xml:space="preserve"> </w:t>
            </w:r>
            <w:r w:rsidR="0047524A" w:rsidRPr="00410EF6">
              <w:rPr>
                <w:iCs/>
                <w:noProof/>
                <w:szCs w:val="22"/>
                <w:lang w:val="sr-Latn-BA"/>
              </w:rPr>
              <w:t>Odnos rizika</w:t>
            </w:r>
            <w:r w:rsidRPr="0051150C">
              <w:rPr>
                <w:i/>
                <w:iCs/>
                <w:noProof/>
                <w:szCs w:val="22"/>
                <w:lang w:val="sr-Latn-BA"/>
              </w:rPr>
              <w:t xml:space="preserve"> </w:t>
            </w:r>
            <w:r w:rsidRPr="0051150C">
              <w:rPr>
                <w:noProof/>
                <w:szCs w:val="22"/>
                <w:lang w:val="sr-Latn-BA"/>
              </w:rPr>
              <w:t>(95% CI)</w:t>
            </w:r>
            <w:r w:rsidRPr="0051150C">
              <w:rPr>
                <w:noProof/>
                <w:szCs w:val="22"/>
                <w:vertAlign w:val="superscript"/>
                <w:lang w:val="sr-Latn-BA"/>
              </w:rPr>
              <w:t>b</w:t>
            </w:r>
          </w:p>
        </w:tc>
        <w:tc>
          <w:tcPr>
            <w:tcW w:w="3285" w:type="dxa"/>
            <w:tcBorders>
              <w:top w:val="nil"/>
              <w:left w:val="nil"/>
              <w:bottom w:val="single" w:sz="4" w:space="0" w:color="auto"/>
              <w:right w:val="nil"/>
            </w:tcBorders>
          </w:tcPr>
          <w:p w14:paraId="53CD31DA" w14:textId="0D60AD45" w:rsidR="00FD06AC" w:rsidRPr="0051150C" w:rsidRDefault="007935BF" w:rsidP="0047524A">
            <w:pPr>
              <w:tabs>
                <w:tab w:val="clear" w:pos="284"/>
              </w:tabs>
              <w:autoSpaceDE w:val="0"/>
              <w:autoSpaceDN w:val="0"/>
              <w:adjustRightInd w:val="0"/>
              <w:spacing w:after="240"/>
              <w:jc w:val="center"/>
              <w:rPr>
                <w:noProof/>
                <w:szCs w:val="22"/>
                <w:lang w:val="sr-Latn-BA"/>
              </w:rPr>
            </w:pPr>
            <w:r w:rsidRPr="0051150C">
              <w:rPr>
                <w:noProof/>
                <w:szCs w:val="22"/>
                <w:lang w:val="sr-Latn-BA"/>
              </w:rPr>
              <w:t>0</w:t>
            </w:r>
            <w:r w:rsidR="0047524A">
              <w:rPr>
                <w:noProof/>
                <w:szCs w:val="22"/>
                <w:lang w:val="sr-Latn-BA"/>
              </w:rPr>
              <w:t>,</w:t>
            </w:r>
            <w:r w:rsidR="00FD06AC" w:rsidRPr="0051150C">
              <w:rPr>
                <w:noProof/>
                <w:szCs w:val="22"/>
                <w:lang w:val="sr-Latn-BA"/>
              </w:rPr>
              <w:t>466</w:t>
            </w:r>
            <w:r w:rsidR="00934AE1" w:rsidRPr="0051150C">
              <w:rPr>
                <w:noProof/>
                <w:szCs w:val="22"/>
                <w:lang w:val="sr-Latn-BA"/>
              </w:rPr>
              <w:t xml:space="preserve"> </w:t>
            </w:r>
            <w:r w:rsidRPr="0051150C">
              <w:rPr>
                <w:noProof/>
                <w:szCs w:val="22"/>
                <w:lang w:val="sr-Latn-BA"/>
              </w:rPr>
              <w:t>(0</w:t>
            </w:r>
            <w:r w:rsidR="0047524A">
              <w:rPr>
                <w:noProof/>
                <w:szCs w:val="22"/>
                <w:lang w:val="sr-Latn-BA"/>
              </w:rPr>
              <w:t>,</w:t>
            </w:r>
            <w:r w:rsidRPr="0051150C">
              <w:rPr>
                <w:noProof/>
                <w:szCs w:val="22"/>
                <w:lang w:val="sr-Latn-BA"/>
              </w:rPr>
              <w:t>394;</w:t>
            </w:r>
            <w:r w:rsidR="00715734">
              <w:rPr>
                <w:noProof/>
                <w:szCs w:val="22"/>
                <w:lang w:val="sr-Latn-BA"/>
              </w:rPr>
              <w:t xml:space="preserve"> </w:t>
            </w:r>
            <w:r w:rsidRPr="0051150C">
              <w:rPr>
                <w:noProof/>
                <w:szCs w:val="22"/>
                <w:lang w:val="sr-Latn-BA"/>
              </w:rPr>
              <w:t>0</w:t>
            </w:r>
            <w:r w:rsidR="0047524A">
              <w:rPr>
                <w:noProof/>
                <w:szCs w:val="22"/>
                <w:lang w:val="sr-Latn-BA"/>
              </w:rPr>
              <w:t>,</w:t>
            </w:r>
            <w:r w:rsidR="00FD06AC" w:rsidRPr="0051150C">
              <w:rPr>
                <w:noProof/>
                <w:szCs w:val="22"/>
                <w:lang w:val="sr-Latn-BA"/>
              </w:rPr>
              <w:t>550)</w:t>
            </w:r>
          </w:p>
        </w:tc>
        <w:tc>
          <w:tcPr>
            <w:tcW w:w="3285" w:type="dxa"/>
            <w:tcBorders>
              <w:top w:val="nil"/>
              <w:left w:val="nil"/>
              <w:bottom w:val="single" w:sz="4" w:space="0" w:color="auto"/>
            </w:tcBorders>
          </w:tcPr>
          <w:p w14:paraId="01FE5CFA" w14:textId="77777777" w:rsidR="00FD06AC" w:rsidRPr="0051150C" w:rsidRDefault="00FD06AC" w:rsidP="00E51ED5">
            <w:pPr>
              <w:tabs>
                <w:tab w:val="clear" w:pos="284"/>
              </w:tabs>
              <w:autoSpaceDE w:val="0"/>
              <w:autoSpaceDN w:val="0"/>
              <w:adjustRightInd w:val="0"/>
              <w:jc w:val="center"/>
              <w:rPr>
                <w:noProof/>
                <w:szCs w:val="22"/>
                <w:lang w:val="sr-Latn-BA"/>
              </w:rPr>
            </w:pPr>
          </w:p>
        </w:tc>
      </w:tr>
    </w:tbl>
    <w:p w14:paraId="21FC08A4" w14:textId="48037A4B" w:rsidR="00FD06AC" w:rsidRPr="0051150C" w:rsidRDefault="00FD06AC" w:rsidP="009173F4">
      <w:pPr>
        <w:tabs>
          <w:tab w:val="clear" w:pos="284"/>
        </w:tabs>
        <w:autoSpaceDE w:val="0"/>
        <w:autoSpaceDN w:val="0"/>
        <w:adjustRightInd w:val="0"/>
        <w:rPr>
          <w:noProof/>
          <w:szCs w:val="22"/>
          <w:lang w:val="sr-Latn-BA"/>
        </w:rPr>
      </w:pPr>
      <w:r w:rsidRPr="0051150C">
        <w:rPr>
          <w:noProof/>
          <w:szCs w:val="22"/>
          <w:lang w:val="sr-Latn-BA"/>
        </w:rPr>
        <w:t>Napomena: +=cenzurisano opažanje, NP=nije proc</w:t>
      </w:r>
      <w:r w:rsidR="00256BBA" w:rsidRPr="0051150C">
        <w:rPr>
          <w:noProof/>
          <w:szCs w:val="22"/>
          <w:lang w:val="sr-Latn-BA"/>
        </w:rPr>
        <w:t>j</w:t>
      </w:r>
      <w:r w:rsidRPr="0051150C">
        <w:rPr>
          <w:noProof/>
          <w:szCs w:val="22"/>
          <w:lang w:val="sr-Latn-BA"/>
        </w:rPr>
        <w:t>enjivo. Radiografska progresija i smrt su uzeti u obzir pri</w:t>
      </w:r>
      <w:r w:rsidR="007935BF" w:rsidRPr="0051150C">
        <w:rPr>
          <w:noProof/>
          <w:szCs w:val="22"/>
          <w:lang w:val="sr-Latn-BA"/>
        </w:rPr>
        <w:t xml:space="preserve"> </w:t>
      </w:r>
      <w:r w:rsidRPr="0051150C">
        <w:rPr>
          <w:noProof/>
          <w:szCs w:val="22"/>
          <w:lang w:val="sr-Latn-BA"/>
        </w:rPr>
        <w:t>definisanju rPFS događaja. AA-P=ispita</w:t>
      </w:r>
      <w:r w:rsidR="007935BF" w:rsidRPr="0051150C">
        <w:rPr>
          <w:noProof/>
          <w:szCs w:val="22"/>
          <w:lang w:val="sr-Latn-BA"/>
        </w:rPr>
        <w:t xml:space="preserve">nici koji su primili abirateron </w:t>
      </w:r>
      <w:r w:rsidRPr="0051150C">
        <w:rPr>
          <w:noProof/>
          <w:szCs w:val="22"/>
          <w:lang w:val="sr-Latn-BA"/>
        </w:rPr>
        <w:t>acetat i prednizon.</w:t>
      </w:r>
    </w:p>
    <w:p w14:paraId="5CE43D37" w14:textId="77777777" w:rsidR="00FD06AC" w:rsidRPr="0051150C" w:rsidRDefault="00FD06AC" w:rsidP="009173F4">
      <w:pPr>
        <w:tabs>
          <w:tab w:val="clear" w:pos="284"/>
        </w:tabs>
        <w:autoSpaceDE w:val="0"/>
        <w:autoSpaceDN w:val="0"/>
        <w:adjustRightInd w:val="0"/>
        <w:rPr>
          <w:noProof/>
          <w:szCs w:val="22"/>
          <w:lang w:val="sr-Latn-BA"/>
        </w:rPr>
      </w:pPr>
      <w:r w:rsidRPr="0051150C">
        <w:rPr>
          <w:noProof/>
          <w:szCs w:val="22"/>
          <w:lang w:val="sr-Latn-BA"/>
        </w:rPr>
        <w:t>CI – interval pouzdanosti</w:t>
      </w:r>
    </w:p>
    <w:p w14:paraId="07290235" w14:textId="50E3E62A" w:rsidR="00FD06AC" w:rsidRPr="0051150C" w:rsidRDefault="00FD06AC" w:rsidP="009173F4">
      <w:pPr>
        <w:tabs>
          <w:tab w:val="clear" w:pos="284"/>
        </w:tabs>
        <w:autoSpaceDE w:val="0"/>
        <w:autoSpaceDN w:val="0"/>
        <w:adjustRightInd w:val="0"/>
        <w:rPr>
          <w:noProof/>
          <w:szCs w:val="22"/>
          <w:lang w:val="sr-Latn-BA"/>
        </w:rPr>
      </w:pPr>
      <w:r w:rsidRPr="0051150C">
        <w:rPr>
          <w:noProof/>
          <w:szCs w:val="22"/>
          <w:vertAlign w:val="superscript"/>
          <w:lang w:val="sr-Latn-BA"/>
        </w:rPr>
        <w:lastRenderedPageBreak/>
        <w:t>a</w:t>
      </w:r>
      <w:r w:rsidRPr="0051150C">
        <w:rPr>
          <w:noProof/>
          <w:szCs w:val="22"/>
          <w:lang w:val="sr-Latn-BA"/>
        </w:rPr>
        <w:t xml:space="preserve"> p-</w:t>
      </w:r>
      <w:r w:rsidR="00096FAA" w:rsidRPr="0051150C">
        <w:rPr>
          <w:noProof/>
          <w:szCs w:val="22"/>
          <w:lang w:val="sr-Latn-BA"/>
        </w:rPr>
        <w:t>vrijednost</w:t>
      </w:r>
      <w:r w:rsidRPr="0051150C">
        <w:rPr>
          <w:noProof/>
          <w:szCs w:val="22"/>
          <w:lang w:val="sr-Latn-BA"/>
        </w:rPr>
        <w:t xml:space="preserve"> je iz log-</w:t>
      </w:r>
      <w:r w:rsidR="0047524A" w:rsidRPr="0051150C">
        <w:rPr>
          <w:noProof/>
          <w:szCs w:val="22"/>
          <w:lang w:val="sr-Latn-BA"/>
        </w:rPr>
        <w:t>ran</w:t>
      </w:r>
      <w:r w:rsidR="0047524A">
        <w:rPr>
          <w:noProof/>
          <w:szCs w:val="22"/>
          <w:lang w:val="sr-Latn-BA"/>
        </w:rPr>
        <w:t>k</w:t>
      </w:r>
      <w:r w:rsidR="0047524A" w:rsidRPr="0051150C">
        <w:rPr>
          <w:noProof/>
          <w:szCs w:val="22"/>
          <w:lang w:val="sr-Latn-BA"/>
        </w:rPr>
        <w:t xml:space="preserve"> </w:t>
      </w:r>
      <w:r w:rsidRPr="0051150C">
        <w:rPr>
          <w:noProof/>
          <w:szCs w:val="22"/>
          <w:lang w:val="sr-Latn-BA"/>
        </w:rPr>
        <w:t xml:space="preserve">testa stratifikovanog prema </w:t>
      </w:r>
      <w:r w:rsidR="00096FAA" w:rsidRPr="0051150C">
        <w:rPr>
          <w:noProof/>
          <w:szCs w:val="22"/>
          <w:lang w:val="sr-Latn-BA"/>
        </w:rPr>
        <w:t>vrijednost</w:t>
      </w:r>
      <w:r w:rsidRPr="0051150C">
        <w:rPr>
          <w:noProof/>
          <w:szCs w:val="22"/>
          <w:lang w:val="sr-Latn-BA"/>
        </w:rPr>
        <w:t>i ECOG funkcionalnog statusa (0/1 ili 2) i</w:t>
      </w:r>
      <w:r w:rsidR="00934AE1" w:rsidRPr="0051150C">
        <w:rPr>
          <w:noProof/>
          <w:szCs w:val="22"/>
          <w:lang w:val="sr-Latn-BA"/>
        </w:rPr>
        <w:t xml:space="preserve"> </w:t>
      </w:r>
      <w:r w:rsidRPr="0051150C">
        <w:rPr>
          <w:noProof/>
          <w:szCs w:val="22"/>
          <w:lang w:val="sr-Latn-BA"/>
        </w:rPr>
        <w:t>visceralnim lezijama (odsutne ili prisutne).</w:t>
      </w:r>
    </w:p>
    <w:p w14:paraId="0804FC73" w14:textId="780B4BF9" w:rsidR="00FD06AC" w:rsidRPr="0051150C" w:rsidRDefault="00FD06AC" w:rsidP="009173F4">
      <w:pPr>
        <w:tabs>
          <w:tab w:val="clear" w:pos="284"/>
        </w:tabs>
        <w:autoSpaceDE w:val="0"/>
        <w:autoSpaceDN w:val="0"/>
        <w:adjustRightInd w:val="0"/>
        <w:rPr>
          <w:noProof/>
          <w:szCs w:val="22"/>
          <w:lang w:val="sr-Latn-BA"/>
        </w:rPr>
      </w:pPr>
      <w:r w:rsidRPr="0051150C">
        <w:rPr>
          <w:noProof/>
          <w:szCs w:val="22"/>
          <w:vertAlign w:val="superscript"/>
          <w:lang w:val="sr-Latn-BA"/>
        </w:rPr>
        <w:t>b</w:t>
      </w:r>
      <w:r w:rsidRPr="0051150C">
        <w:rPr>
          <w:noProof/>
          <w:szCs w:val="22"/>
          <w:lang w:val="sr-Latn-BA"/>
        </w:rPr>
        <w:t xml:space="preserve"> </w:t>
      </w:r>
      <w:r w:rsidR="0047524A" w:rsidRPr="00DF315D">
        <w:rPr>
          <w:iCs/>
          <w:noProof/>
          <w:szCs w:val="22"/>
          <w:lang w:val="sr-Latn-BA"/>
        </w:rPr>
        <w:t>Odnos rizika</w:t>
      </w:r>
      <w:r w:rsidRPr="0051150C">
        <w:rPr>
          <w:i/>
          <w:iCs/>
          <w:noProof/>
          <w:szCs w:val="22"/>
          <w:lang w:val="sr-Latn-BA"/>
        </w:rPr>
        <w:t xml:space="preserve"> </w:t>
      </w:r>
      <w:r w:rsidRPr="0051150C">
        <w:rPr>
          <w:noProof/>
          <w:szCs w:val="22"/>
          <w:lang w:val="sr-Latn-BA"/>
        </w:rPr>
        <w:t xml:space="preserve">je iz stratifikovanog modela proporcionalnih </w:t>
      </w:r>
      <w:r w:rsidR="00460994">
        <w:rPr>
          <w:noProof/>
          <w:szCs w:val="22"/>
          <w:lang w:val="sr-Latn-BA"/>
        </w:rPr>
        <w:t>rizik</w:t>
      </w:r>
      <w:r w:rsidR="00460994" w:rsidRPr="0051150C">
        <w:rPr>
          <w:noProof/>
          <w:szCs w:val="22"/>
          <w:lang w:val="sr-Latn-BA"/>
        </w:rPr>
        <w:t>a</w:t>
      </w:r>
      <w:r w:rsidRPr="0051150C">
        <w:rPr>
          <w:noProof/>
          <w:szCs w:val="22"/>
          <w:lang w:val="sr-Latn-BA"/>
        </w:rPr>
        <w:t xml:space="preserve">. </w:t>
      </w:r>
      <w:r w:rsidR="0047524A" w:rsidRPr="00DF315D">
        <w:rPr>
          <w:iCs/>
          <w:noProof/>
          <w:szCs w:val="22"/>
          <w:lang w:val="sr-Latn-BA"/>
        </w:rPr>
        <w:t>Odnos rizika</w:t>
      </w:r>
      <w:r w:rsidRPr="0051150C">
        <w:rPr>
          <w:i/>
          <w:iCs/>
          <w:noProof/>
          <w:szCs w:val="22"/>
          <w:lang w:val="sr-Latn-BA"/>
        </w:rPr>
        <w:t xml:space="preserve"> </w:t>
      </w:r>
      <w:r w:rsidRPr="0051150C">
        <w:rPr>
          <w:noProof/>
          <w:szCs w:val="22"/>
          <w:lang w:val="sr-Latn-BA"/>
        </w:rPr>
        <w:t>&lt;1 je u korist AA-P</w:t>
      </w:r>
      <w:r w:rsidR="00460994">
        <w:rPr>
          <w:noProof/>
          <w:szCs w:val="22"/>
          <w:lang w:val="sr-Latn-BA"/>
        </w:rPr>
        <w:t>.</w:t>
      </w:r>
      <w:r w:rsidRPr="0051150C">
        <w:rPr>
          <w:noProof/>
          <w:szCs w:val="22"/>
          <w:lang w:val="sr-Latn-BA"/>
        </w:rPr>
        <w:t xml:space="preserve"> </w:t>
      </w:r>
    </w:p>
    <w:p w14:paraId="32113602" w14:textId="77777777" w:rsidR="00E51ED5" w:rsidRPr="0051150C" w:rsidRDefault="00E51ED5" w:rsidP="009173F4">
      <w:pPr>
        <w:tabs>
          <w:tab w:val="clear" w:pos="284"/>
        </w:tabs>
        <w:autoSpaceDE w:val="0"/>
        <w:autoSpaceDN w:val="0"/>
        <w:adjustRightInd w:val="0"/>
        <w:rPr>
          <w:noProof/>
          <w:szCs w:val="22"/>
          <w:lang w:val="sr-Latn-BA"/>
        </w:rPr>
      </w:pPr>
    </w:p>
    <w:p w14:paraId="5C7726A1" w14:textId="16B2D3A8" w:rsidR="007B5A16" w:rsidRPr="003A08C3" w:rsidRDefault="007B5A16" w:rsidP="007935BF">
      <w:pPr>
        <w:pStyle w:val="Heading1"/>
        <w:jc w:val="both"/>
        <w:rPr>
          <w:rFonts w:ascii="Times New Roman" w:hAnsi="Times New Roman" w:cs="Times New Roman"/>
          <w:i w:val="0"/>
          <w:noProof/>
          <w:sz w:val="22"/>
          <w:szCs w:val="22"/>
          <w:u w:val="none"/>
          <w:lang w:val="sr-Latn-BA"/>
        </w:rPr>
      </w:pPr>
      <w:r w:rsidRPr="003A08C3">
        <w:rPr>
          <w:rFonts w:ascii="Times New Roman" w:hAnsi="Times New Roman" w:cs="Times New Roman"/>
          <w:i w:val="0"/>
          <w:noProof/>
          <w:sz w:val="22"/>
          <w:szCs w:val="22"/>
          <w:u w:val="none"/>
          <w:lang w:val="sr-Latn-BA"/>
        </w:rPr>
        <w:t>Slika 1</w:t>
      </w:r>
      <w:r w:rsidRPr="003A08C3">
        <w:rPr>
          <w:rFonts w:ascii="Times New Roman" w:hAnsi="Times New Roman" w:cs="Times New Roman"/>
          <w:b w:val="0"/>
          <w:i w:val="0"/>
          <w:noProof/>
          <w:sz w:val="22"/>
          <w:szCs w:val="22"/>
          <w:u w:val="none"/>
          <w:lang w:val="sr-Latn-BA"/>
        </w:rPr>
        <w:t xml:space="preserve">: </w:t>
      </w:r>
      <w:r w:rsidRPr="00954137">
        <w:rPr>
          <w:rFonts w:ascii="Times New Roman" w:hAnsi="Times New Roman" w:cs="Times New Roman"/>
          <w:bCs w:val="0"/>
          <w:iCs w:val="0"/>
          <w:noProof/>
          <w:sz w:val="22"/>
          <w:szCs w:val="22"/>
          <w:u w:val="none"/>
          <w:lang w:val="sr-Latn-BA"/>
        </w:rPr>
        <w:t>Kaplan-Meier</w:t>
      </w:r>
      <w:r w:rsidR="00460994" w:rsidRPr="00954137">
        <w:rPr>
          <w:rFonts w:ascii="Times New Roman" w:hAnsi="Times New Roman" w:cs="Times New Roman"/>
          <w:bCs w:val="0"/>
          <w:iCs w:val="0"/>
          <w:noProof/>
          <w:sz w:val="22"/>
          <w:szCs w:val="22"/>
          <w:u w:val="none"/>
          <w:lang w:val="sr-Latn-BA"/>
        </w:rPr>
        <w:t>-</w:t>
      </w:r>
      <w:r w:rsidR="00460994" w:rsidRPr="00954137">
        <w:rPr>
          <w:rFonts w:ascii="Times New Roman" w:hAnsi="Times New Roman" w:cs="Times New Roman"/>
          <w:bCs w:val="0"/>
          <w:i w:val="0"/>
          <w:iCs w:val="0"/>
          <w:noProof/>
          <w:sz w:val="22"/>
          <w:szCs w:val="22"/>
          <w:u w:val="none"/>
          <w:lang w:val="sr-Latn-BA"/>
        </w:rPr>
        <w:t>ov</w:t>
      </w:r>
      <w:r w:rsidRPr="00954137">
        <w:rPr>
          <w:rFonts w:ascii="Times New Roman" w:hAnsi="Times New Roman" w:cs="Times New Roman"/>
          <w:bCs w:val="0"/>
          <w:i w:val="0"/>
          <w:iCs w:val="0"/>
          <w:noProof/>
          <w:sz w:val="22"/>
          <w:szCs w:val="22"/>
          <w:u w:val="none"/>
          <w:lang w:val="sr-Latn-BA"/>
        </w:rPr>
        <w:t xml:space="preserve"> grafički prikaz preživljavanja bez radiografske progres</w:t>
      </w:r>
      <w:r w:rsidR="007935BF" w:rsidRPr="00954137">
        <w:rPr>
          <w:rFonts w:ascii="Times New Roman" w:hAnsi="Times New Roman" w:cs="Times New Roman"/>
          <w:bCs w:val="0"/>
          <w:i w:val="0"/>
          <w:iCs w:val="0"/>
          <w:noProof/>
          <w:sz w:val="22"/>
          <w:szCs w:val="22"/>
          <w:u w:val="none"/>
          <w:lang w:val="sr-Latn-BA"/>
        </w:rPr>
        <w:t>ije; populacija</w:t>
      </w:r>
      <w:r w:rsidR="00460994" w:rsidRPr="00954137">
        <w:rPr>
          <w:rFonts w:ascii="Times New Roman" w:hAnsi="Times New Roman" w:cs="Times New Roman"/>
          <w:bCs w:val="0"/>
          <w:i w:val="0"/>
          <w:iCs w:val="0"/>
          <w:noProof/>
          <w:sz w:val="22"/>
          <w:szCs w:val="22"/>
          <w:u w:val="none"/>
          <w:lang w:val="sr-Latn-BA"/>
        </w:rPr>
        <w:t xml:space="preserve"> predviđena za liječenje</w:t>
      </w:r>
      <w:r w:rsidR="00460994" w:rsidRPr="003A08C3">
        <w:rPr>
          <w:rFonts w:ascii="Times New Roman" w:hAnsi="Times New Roman" w:cs="Times New Roman"/>
          <w:i w:val="0"/>
          <w:noProof/>
          <w:sz w:val="22"/>
          <w:szCs w:val="22"/>
          <w:u w:val="none"/>
          <w:lang w:val="sr-Latn-BA"/>
        </w:rPr>
        <w:t xml:space="preserve"> </w:t>
      </w:r>
      <w:r w:rsidRPr="003A08C3">
        <w:rPr>
          <w:rFonts w:ascii="Times New Roman" w:hAnsi="Times New Roman" w:cs="Times New Roman"/>
          <w:i w:val="0"/>
          <w:noProof/>
          <w:sz w:val="22"/>
          <w:szCs w:val="22"/>
          <w:u w:val="none"/>
          <w:lang w:val="sr-Latn-BA"/>
        </w:rPr>
        <w:t>(Studija PCR3011)</w:t>
      </w:r>
    </w:p>
    <w:p w14:paraId="6A602C3D" w14:textId="64889EC2" w:rsidR="007B5A16" w:rsidRPr="0051150C" w:rsidRDefault="00A0722B" w:rsidP="009173F4">
      <w:pPr>
        <w:spacing w:after="293"/>
        <w:ind w:left="34"/>
        <w:jc w:val="center"/>
        <w:rPr>
          <w:noProof/>
          <w:szCs w:val="22"/>
          <w:lang w:val="sr-Latn-BA"/>
        </w:rPr>
      </w:pPr>
      <w:r>
        <w:rPr>
          <w:noProof/>
        </w:rPr>
        <w:drawing>
          <wp:inline distT="0" distB="0" distL="0" distR="0" wp14:anchorId="683F692B" wp14:editId="3D4B2A07">
            <wp:extent cx="5972568" cy="399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6208" cy="3993407"/>
                    </a:xfrm>
                    <a:prstGeom prst="rect">
                      <a:avLst/>
                    </a:prstGeom>
                    <a:noFill/>
                    <a:ln>
                      <a:noFill/>
                    </a:ln>
                  </pic:spPr>
                </pic:pic>
              </a:graphicData>
            </a:graphic>
          </wp:inline>
        </w:drawing>
      </w:r>
    </w:p>
    <w:p w14:paraId="068E211E" w14:textId="56BFD677" w:rsidR="007B5A16" w:rsidRPr="0051150C" w:rsidRDefault="007B5A16" w:rsidP="009173F4">
      <w:pPr>
        <w:spacing w:after="266"/>
        <w:ind w:left="14"/>
        <w:rPr>
          <w:noProof/>
          <w:szCs w:val="22"/>
          <w:lang w:val="sr-Latn-BA"/>
        </w:rPr>
      </w:pPr>
      <w:r w:rsidRPr="0051150C">
        <w:rPr>
          <w:noProof/>
          <w:szCs w:val="22"/>
          <w:lang w:val="sr-Latn-BA"/>
        </w:rPr>
        <w:t>Stati</w:t>
      </w:r>
      <w:r w:rsidR="006856A9" w:rsidRPr="0051150C">
        <w:rPr>
          <w:noProof/>
          <w:szCs w:val="22"/>
          <w:lang w:val="sr-Latn-BA"/>
        </w:rPr>
        <w:t>stički značajno poboljšanje u ukupnom preživljavanju</w:t>
      </w:r>
      <w:r w:rsidRPr="0051150C">
        <w:rPr>
          <w:noProof/>
          <w:szCs w:val="22"/>
          <w:lang w:val="sr-Latn-BA"/>
        </w:rPr>
        <w:t xml:space="preserve"> u korist grupe koja je uzimala AA-P sa </w:t>
      </w:r>
      <w:r w:rsidR="00E51ED5" w:rsidRPr="0051150C">
        <w:rPr>
          <w:noProof/>
          <w:szCs w:val="22"/>
          <w:lang w:val="sr-Latn-BA"/>
        </w:rPr>
        <w:t>androgen deprivacionom terapijom (</w:t>
      </w:r>
      <w:r w:rsidRPr="0051150C">
        <w:rPr>
          <w:noProof/>
          <w:szCs w:val="22"/>
          <w:lang w:val="sr-Latn-BA"/>
        </w:rPr>
        <w:t>ADT</w:t>
      </w:r>
      <w:r w:rsidR="00E51ED5" w:rsidRPr="0051150C">
        <w:rPr>
          <w:noProof/>
          <w:szCs w:val="22"/>
          <w:lang w:val="sr-Latn-BA"/>
        </w:rPr>
        <w:t>)</w:t>
      </w:r>
      <w:r w:rsidRPr="0051150C">
        <w:rPr>
          <w:noProof/>
          <w:szCs w:val="22"/>
          <w:lang w:val="sr-Latn-BA"/>
        </w:rPr>
        <w:t xml:space="preserve"> bilo je </w:t>
      </w:r>
      <w:r w:rsidR="00A120E1" w:rsidRPr="0051150C">
        <w:rPr>
          <w:noProof/>
          <w:szCs w:val="22"/>
          <w:lang w:val="sr-Latn-BA"/>
        </w:rPr>
        <w:t>zabilježen</w:t>
      </w:r>
      <w:r w:rsidRPr="0051150C">
        <w:rPr>
          <w:noProof/>
          <w:szCs w:val="22"/>
          <w:lang w:val="sr-Latn-BA"/>
        </w:rPr>
        <w:t>o sa 34%-nim smanjenjem rizika od smrti u odnosu na grupu koja je dobijala placebo</w:t>
      </w:r>
      <w:r w:rsidR="006856A9" w:rsidRPr="0051150C">
        <w:rPr>
          <w:noProof/>
          <w:szCs w:val="22"/>
          <w:lang w:val="sr-Latn-BA"/>
        </w:rPr>
        <w:t xml:space="preserve"> sa </w:t>
      </w:r>
      <w:r w:rsidR="00E51ED5" w:rsidRPr="0051150C">
        <w:rPr>
          <w:noProof/>
          <w:szCs w:val="22"/>
          <w:lang w:val="sr-Latn-BA"/>
        </w:rPr>
        <w:t>androgen deprivacionom terapijom (HR=0</w:t>
      </w:r>
      <w:r w:rsidR="00460994">
        <w:rPr>
          <w:noProof/>
          <w:szCs w:val="22"/>
          <w:lang w:val="sr-Latn-BA"/>
        </w:rPr>
        <w:t>,</w:t>
      </w:r>
      <w:r w:rsidR="006856A9" w:rsidRPr="0051150C">
        <w:rPr>
          <w:noProof/>
          <w:szCs w:val="22"/>
          <w:lang w:val="sr-Latn-BA"/>
        </w:rPr>
        <w:t>66</w:t>
      </w:r>
      <w:r w:rsidR="00E51ED5" w:rsidRPr="0051150C">
        <w:rPr>
          <w:noProof/>
          <w:szCs w:val="22"/>
          <w:lang w:val="sr-Latn-BA"/>
        </w:rPr>
        <w:t>; 95% CI: 0</w:t>
      </w:r>
      <w:r w:rsidR="00460994">
        <w:rPr>
          <w:noProof/>
          <w:szCs w:val="22"/>
          <w:lang w:val="sr-Latn-BA"/>
        </w:rPr>
        <w:t>,</w:t>
      </w:r>
      <w:r w:rsidR="00E51ED5" w:rsidRPr="0051150C">
        <w:rPr>
          <w:noProof/>
          <w:szCs w:val="22"/>
          <w:lang w:val="sr-Latn-BA"/>
        </w:rPr>
        <w:t>56; 0</w:t>
      </w:r>
      <w:r w:rsidR="00460994">
        <w:rPr>
          <w:noProof/>
          <w:szCs w:val="22"/>
          <w:lang w:val="sr-Latn-BA"/>
        </w:rPr>
        <w:t>,</w:t>
      </w:r>
      <w:r w:rsidR="00E51ED5" w:rsidRPr="0051150C">
        <w:rPr>
          <w:noProof/>
          <w:szCs w:val="22"/>
          <w:lang w:val="sr-Latn-BA"/>
        </w:rPr>
        <w:t>78; p&lt;0</w:t>
      </w:r>
      <w:r w:rsidR="00460994">
        <w:rPr>
          <w:noProof/>
          <w:szCs w:val="22"/>
          <w:lang w:val="sr-Latn-BA"/>
        </w:rPr>
        <w:t>,</w:t>
      </w:r>
      <w:r w:rsidRPr="0051150C">
        <w:rPr>
          <w:noProof/>
          <w:szCs w:val="22"/>
          <w:lang w:val="sr-Latn-BA"/>
        </w:rPr>
        <w:t>0001) (</w:t>
      </w:r>
      <w:r w:rsidR="00096FAA" w:rsidRPr="0051150C">
        <w:rPr>
          <w:noProof/>
          <w:szCs w:val="22"/>
          <w:lang w:val="sr-Latn-BA"/>
        </w:rPr>
        <w:t>vidjeti</w:t>
      </w:r>
      <w:r w:rsidRPr="0051150C">
        <w:rPr>
          <w:noProof/>
          <w:szCs w:val="22"/>
          <w:lang w:val="sr-Latn-BA"/>
        </w:rPr>
        <w:t xml:space="preserve"> Tabelu 3 i Sliku 2).</w:t>
      </w:r>
    </w:p>
    <w:p w14:paraId="1F4E0F53" w14:textId="7399705B" w:rsidR="00FD06AC" w:rsidRPr="0051150C" w:rsidRDefault="00934AE1" w:rsidP="00410EF6">
      <w:pPr>
        <w:pBdr>
          <w:bottom w:val="single" w:sz="4" w:space="1" w:color="auto"/>
        </w:pBdr>
        <w:tabs>
          <w:tab w:val="clear" w:pos="284"/>
        </w:tabs>
        <w:autoSpaceDE w:val="0"/>
        <w:autoSpaceDN w:val="0"/>
        <w:adjustRightInd w:val="0"/>
        <w:rPr>
          <w:rFonts w:eastAsia="TimesNewRoman,Bold"/>
          <w:b/>
          <w:bCs/>
          <w:noProof/>
          <w:szCs w:val="22"/>
          <w:lang w:val="sr-Latn-BA"/>
        </w:rPr>
      </w:pPr>
      <w:r w:rsidRPr="0051150C">
        <w:rPr>
          <w:rFonts w:eastAsia="TimesNewRoman,Bold"/>
          <w:b/>
          <w:bCs/>
          <w:noProof/>
          <w:szCs w:val="22"/>
          <w:lang w:val="sr-Latn-BA"/>
        </w:rPr>
        <w:t>Tabela 3</w:t>
      </w:r>
      <w:r w:rsidRPr="0051150C">
        <w:rPr>
          <w:rFonts w:eastAsia="TimesNewRoman,Bold"/>
          <w:bCs/>
          <w:noProof/>
          <w:szCs w:val="22"/>
          <w:lang w:val="sr-Latn-BA"/>
        </w:rPr>
        <w:t xml:space="preserve">: </w:t>
      </w:r>
      <w:r w:rsidRPr="0051150C">
        <w:rPr>
          <w:rFonts w:eastAsia="TimesNewRoman,Bold"/>
          <w:b/>
          <w:bCs/>
          <w:noProof/>
          <w:szCs w:val="22"/>
          <w:lang w:val="sr-Latn-BA"/>
        </w:rPr>
        <w:t xml:space="preserve">Ukupno preživljavanje </w:t>
      </w:r>
      <w:r w:rsidR="0000198A" w:rsidRPr="0051150C">
        <w:rPr>
          <w:rFonts w:eastAsia="TimesNewRoman,Bold"/>
          <w:b/>
          <w:bCs/>
          <w:noProof/>
          <w:szCs w:val="22"/>
          <w:lang w:val="sr-Latn-BA"/>
        </w:rPr>
        <w:t>pacijenata l</w:t>
      </w:r>
      <w:r w:rsidR="00256BBA" w:rsidRPr="0051150C">
        <w:rPr>
          <w:rFonts w:eastAsia="TimesNewRoman,Bold"/>
          <w:b/>
          <w:bCs/>
          <w:noProof/>
          <w:szCs w:val="22"/>
          <w:lang w:val="sr-Latn-BA"/>
        </w:rPr>
        <w:t>ij</w:t>
      </w:r>
      <w:r w:rsidR="0000198A" w:rsidRPr="0051150C">
        <w:rPr>
          <w:rFonts w:eastAsia="TimesNewRoman,Bold"/>
          <w:b/>
          <w:bCs/>
          <w:noProof/>
          <w:szCs w:val="22"/>
          <w:lang w:val="sr-Latn-BA"/>
        </w:rPr>
        <w:t>ečeni</w:t>
      </w:r>
      <w:r w:rsidR="00E51ED5" w:rsidRPr="0051150C">
        <w:rPr>
          <w:rFonts w:eastAsia="TimesNewRoman,Bold"/>
          <w:b/>
          <w:bCs/>
          <w:noProof/>
          <w:szCs w:val="22"/>
          <w:lang w:val="sr-Latn-BA"/>
        </w:rPr>
        <w:t xml:space="preserve">h abirateron </w:t>
      </w:r>
      <w:r w:rsidR="0000198A" w:rsidRPr="0051150C">
        <w:rPr>
          <w:rFonts w:eastAsia="TimesNewRoman,Bold"/>
          <w:b/>
          <w:bCs/>
          <w:noProof/>
          <w:szCs w:val="22"/>
          <w:lang w:val="sr-Latn-BA"/>
        </w:rPr>
        <w:t>acetatom ili placebom</w:t>
      </w:r>
      <w:r w:rsidR="00460994">
        <w:rPr>
          <w:rFonts w:eastAsia="TimesNewRoman,Bold"/>
          <w:b/>
          <w:bCs/>
          <w:noProof/>
          <w:szCs w:val="22"/>
          <w:lang w:val="sr-Latn-BA"/>
        </w:rPr>
        <w:t xml:space="preserve"> </w:t>
      </w:r>
      <w:r w:rsidR="00460994" w:rsidRPr="0051150C">
        <w:rPr>
          <w:rFonts w:eastAsia="TimesNewRoman,Bold"/>
          <w:b/>
          <w:bCs/>
          <w:noProof/>
          <w:szCs w:val="22"/>
          <w:lang w:val="sr-Latn-BA"/>
        </w:rPr>
        <w:t>(Studija PCR3011)</w:t>
      </w:r>
      <w:r w:rsidRPr="0051150C">
        <w:rPr>
          <w:rFonts w:eastAsia="TimesNewRoman,Bold"/>
          <w:b/>
          <w:bCs/>
          <w:noProof/>
          <w:szCs w:val="22"/>
          <w:lang w:val="sr-Latn-BA"/>
        </w:rPr>
        <w:t xml:space="preserve">; </w:t>
      </w:r>
      <w:r w:rsidR="00460994">
        <w:rPr>
          <w:rFonts w:eastAsia="TimesNewRoman,Bold"/>
          <w:b/>
          <w:bCs/>
          <w:noProof/>
          <w:szCs w:val="22"/>
          <w:lang w:val="sr-Latn-BA"/>
        </w:rPr>
        <w:t xml:space="preserve">analiza podataka </w:t>
      </w:r>
      <w:r w:rsidR="00460994" w:rsidRPr="0051150C">
        <w:rPr>
          <w:rFonts w:eastAsia="TimesNewRoman,Bold"/>
          <w:b/>
          <w:bCs/>
          <w:iCs/>
          <w:noProof/>
          <w:szCs w:val="22"/>
          <w:lang w:val="sr-Latn-BA"/>
        </w:rPr>
        <w:t>p</w:t>
      </w:r>
      <w:r w:rsidR="00460994" w:rsidRPr="0051150C">
        <w:rPr>
          <w:rFonts w:eastAsia="TimesNewRoman,Bold"/>
          <w:b/>
          <w:bCs/>
          <w:noProof/>
          <w:szCs w:val="22"/>
          <w:lang w:val="sr-Latn-BA"/>
        </w:rPr>
        <w:t>opulacij</w:t>
      </w:r>
      <w:r w:rsidR="00460994">
        <w:rPr>
          <w:rFonts w:eastAsia="TimesNewRoman,Bold"/>
          <w:b/>
          <w:bCs/>
          <w:noProof/>
          <w:szCs w:val="22"/>
          <w:lang w:val="sr-Latn-BA"/>
        </w:rPr>
        <w:t>e</w:t>
      </w:r>
      <w:r w:rsidR="00460994" w:rsidRPr="0051150C">
        <w:rPr>
          <w:rFonts w:eastAsia="TimesNewRoman,Bold"/>
          <w:b/>
          <w:bCs/>
          <w:noProof/>
          <w:szCs w:val="22"/>
          <w:lang w:val="sr-Latn-BA"/>
        </w:rPr>
        <w:t xml:space="preserve"> </w:t>
      </w:r>
      <w:r w:rsidR="00460994">
        <w:rPr>
          <w:rFonts w:eastAsia="TimesNewRoman,Bold"/>
          <w:b/>
          <w:bCs/>
          <w:noProof/>
          <w:szCs w:val="22"/>
          <w:lang w:val="sr-Latn-BA"/>
        </w:rPr>
        <w:t xml:space="preserve">predviđene za liječenje </w:t>
      </w:r>
    </w:p>
    <w:p w14:paraId="5754B869" w14:textId="77777777" w:rsidR="0000198A" w:rsidRPr="0051150C" w:rsidRDefault="0000198A" w:rsidP="009173F4">
      <w:pPr>
        <w:tabs>
          <w:tab w:val="clear" w:pos="284"/>
        </w:tabs>
        <w:autoSpaceDE w:val="0"/>
        <w:autoSpaceDN w:val="0"/>
        <w:adjustRightInd w:val="0"/>
        <w:rPr>
          <w:noProof/>
          <w:szCs w:val="22"/>
          <w:lang w:val="sr-Latn-B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59"/>
        <w:gridCol w:w="202"/>
        <w:gridCol w:w="2782"/>
        <w:gridCol w:w="2984"/>
      </w:tblGrid>
      <w:tr w:rsidR="00934AE1" w:rsidRPr="0051150C" w14:paraId="548D3EE0" w14:textId="77777777" w:rsidTr="00410EF6">
        <w:tc>
          <w:tcPr>
            <w:tcW w:w="3059" w:type="dxa"/>
            <w:tcBorders>
              <w:top w:val="nil"/>
              <w:bottom w:val="single" w:sz="4" w:space="0" w:color="auto"/>
              <w:right w:val="nil"/>
            </w:tcBorders>
          </w:tcPr>
          <w:p w14:paraId="63F0C9EE" w14:textId="4981E15F" w:rsidR="00934AE1" w:rsidRPr="0051150C" w:rsidRDefault="0000198A" w:rsidP="00E51ED5">
            <w:pPr>
              <w:tabs>
                <w:tab w:val="clear" w:pos="284"/>
              </w:tabs>
              <w:autoSpaceDE w:val="0"/>
              <w:autoSpaceDN w:val="0"/>
              <w:adjustRightInd w:val="0"/>
              <w:spacing w:line="276" w:lineRule="auto"/>
              <w:jc w:val="center"/>
              <w:rPr>
                <w:b/>
                <w:noProof/>
                <w:szCs w:val="22"/>
                <w:lang w:val="sr-Latn-BA"/>
              </w:rPr>
            </w:pPr>
            <w:r w:rsidRPr="0051150C">
              <w:rPr>
                <w:b/>
                <w:noProof/>
                <w:szCs w:val="22"/>
                <w:lang w:val="sr-Latn-BA"/>
              </w:rPr>
              <w:t>Ukupno preživljavanje</w:t>
            </w:r>
          </w:p>
        </w:tc>
        <w:tc>
          <w:tcPr>
            <w:tcW w:w="2984" w:type="dxa"/>
            <w:gridSpan w:val="2"/>
            <w:tcBorders>
              <w:top w:val="nil"/>
              <w:left w:val="nil"/>
              <w:bottom w:val="single" w:sz="4" w:space="0" w:color="auto"/>
              <w:right w:val="nil"/>
            </w:tcBorders>
          </w:tcPr>
          <w:p w14:paraId="0524F2B5" w14:textId="77777777" w:rsidR="00934AE1" w:rsidRPr="0051150C" w:rsidRDefault="00934AE1" w:rsidP="00E51ED5">
            <w:pPr>
              <w:tabs>
                <w:tab w:val="clear" w:pos="284"/>
              </w:tabs>
              <w:autoSpaceDE w:val="0"/>
              <w:autoSpaceDN w:val="0"/>
              <w:adjustRightInd w:val="0"/>
              <w:spacing w:line="276" w:lineRule="auto"/>
              <w:jc w:val="center"/>
              <w:rPr>
                <w:b/>
                <w:noProof/>
                <w:szCs w:val="22"/>
                <w:lang w:val="sr-Latn-BA"/>
              </w:rPr>
            </w:pPr>
            <w:r w:rsidRPr="0051150C">
              <w:rPr>
                <w:b/>
                <w:noProof/>
                <w:szCs w:val="22"/>
                <w:lang w:val="sr-Latn-BA"/>
              </w:rPr>
              <w:t>AA-P</w:t>
            </w:r>
          </w:p>
          <w:p w14:paraId="277FA506" w14:textId="6DD2964F" w:rsidR="0000198A" w:rsidRPr="0051150C" w:rsidRDefault="0000198A" w:rsidP="00E51ED5">
            <w:pPr>
              <w:tabs>
                <w:tab w:val="clear" w:pos="284"/>
              </w:tabs>
              <w:autoSpaceDE w:val="0"/>
              <w:autoSpaceDN w:val="0"/>
              <w:adjustRightInd w:val="0"/>
              <w:spacing w:line="276" w:lineRule="auto"/>
              <w:jc w:val="center"/>
              <w:rPr>
                <w:noProof/>
                <w:szCs w:val="22"/>
                <w:lang w:val="sr-Latn-BA"/>
              </w:rPr>
            </w:pPr>
            <w:r w:rsidRPr="0051150C">
              <w:rPr>
                <w:noProof/>
                <w:szCs w:val="22"/>
                <w:lang w:val="sr-Latn-BA"/>
              </w:rPr>
              <w:t>(N=597)</w:t>
            </w:r>
          </w:p>
        </w:tc>
        <w:tc>
          <w:tcPr>
            <w:tcW w:w="2984" w:type="dxa"/>
            <w:tcBorders>
              <w:left w:val="nil"/>
              <w:bottom w:val="single" w:sz="4" w:space="0" w:color="auto"/>
            </w:tcBorders>
          </w:tcPr>
          <w:p w14:paraId="798D8D0B" w14:textId="77777777" w:rsidR="00934AE1" w:rsidRPr="0051150C" w:rsidRDefault="00934AE1" w:rsidP="00E51ED5">
            <w:pPr>
              <w:tabs>
                <w:tab w:val="clear" w:pos="284"/>
              </w:tabs>
              <w:autoSpaceDE w:val="0"/>
              <w:autoSpaceDN w:val="0"/>
              <w:adjustRightInd w:val="0"/>
              <w:spacing w:line="276" w:lineRule="auto"/>
              <w:jc w:val="center"/>
              <w:rPr>
                <w:b/>
                <w:noProof/>
                <w:szCs w:val="22"/>
                <w:lang w:val="sr-Latn-BA"/>
              </w:rPr>
            </w:pPr>
            <w:r w:rsidRPr="0051150C">
              <w:rPr>
                <w:b/>
                <w:noProof/>
                <w:szCs w:val="22"/>
                <w:lang w:val="sr-Latn-BA"/>
              </w:rPr>
              <w:t>Placebo</w:t>
            </w:r>
          </w:p>
          <w:p w14:paraId="66EAB0CB" w14:textId="4D60C02D" w:rsidR="0000198A" w:rsidRPr="0051150C" w:rsidRDefault="0000198A" w:rsidP="00E51ED5">
            <w:pPr>
              <w:tabs>
                <w:tab w:val="clear" w:pos="284"/>
              </w:tabs>
              <w:autoSpaceDE w:val="0"/>
              <w:autoSpaceDN w:val="0"/>
              <w:adjustRightInd w:val="0"/>
              <w:spacing w:line="276" w:lineRule="auto"/>
              <w:jc w:val="center"/>
              <w:rPr>
                <w:noProof/>
                <w:szCs w:val="22"/>
                <w:lang w:val="sr-Latn-BA"/>
              </w:rPr>
            </w:pPr>
            <w:r w:rsidRPr="0051150C">
              <w:rPr>
                <w:noProof/>
                <w:szCs w:val="22"/>
                <w:lang w:val="sr-Latn-BA"/>
              </w:rPr>
              <w:t>(N=602)</w:t>
            </w:r>
          </w:p>
        </w:tc>
      </w:tr>
      <w:tr w:rsidR="007A7D2F" w:rsidRPr="0051150C" w14:paraId="3BD4B9EA" w14:textId="77777777" w:rsidTr="00410EF6">
        <w:tc>
          <w:tcPr>
            <w:tcW w:w="3261" w:type="dxa"/>
            <w:gridSpan w:val="2"/>
            <w:tcBorders>
              <w:top w:val="single" w:sz="4" w:space="0" w:color="auto"/>
              <w:bottom w:val="nil"/>
              <w:right w:val="nil"/>
            </w:tcBorders>
          </w:tcPr>
          <w:p w14:paraId="5C978F08" w14:textId="643DF8B2" w:rsidR="00934AE1" w:rsidRPr="0051150C" w:rsidRDefault="0000198A" w:rsidP="00E51ED5">
            <w:pPr>
              <w:tabs>
                <w:tab w:val="clear" w:pos="284"/>
              </w:tabs>
              <w:autoSpaceDE w:val="0"/>
              <w:autoSpaceDN w:val="0"/>
              <w:adjustRightInd w:val="0"/>
              <w:spacing w:line="276" w:lineRule="auto"/>
              <w:rPr>
                <w:noProof/>
                <w:szCs w:val="22"/>
                <w:lang w:val="sr-Latn-BA"/>
              </w:rPr>
            </w:pPr>
            <w:r w:rsidRPr="0051150C">
              <w:rPr>
                <w:noProof/>
                <w:szCs w:val="22"/>
                <w:lang w:val="sr-Latn-BA"/>
              </w:rPr>
              <w:t>Smrtni ishod (%)</w:t>
            </w:r>
          </w:p>
          <w:p w14:paraId="387AA027" w14:textId="44BCDF32" w:rsidR="0000198A" w:rsidRPr="0051150C" w:rsidRDefault="00F559B9" w:rsidP="00410EF6">
            <w:pPr>
              <w:tabs>
                <w:tab w:val="clear" w:pos="284"/>
              </w:tabs>
              <w:autoSpaceDE w:val="0"/>
              <w:autoSpaceDN w:val="0"/>
              <w:adjustRightInd w:val="0"/>
              <w:spacing w:line="276" w:lineRule="auto"/>
              <w:jc w:val="left"/>
              <w:rPr>
                <w:noProof/>
                <w:szCs w:val="22"/>
                <w:lang w:val="sr-Latn-BA"/>
              </w:rPr>
            </w:pPr>
            <w:r w:rsidRPr="0051150C">
              <w:rPr>
                <w:noProof/>
                <w:szCs w:val="22"/>
                <w:lang w:val="sr-Latn-BA"/>
              </w:rPr>
              <w:t>Medijana preživljavanja</w:t>
            </w:r>
            <w:r w:rsidR="00E51ED5" w:rsidRPr="0051150C">
              <w:rPr>
                <w:noProof/>
                <w:szCs w:val="22"/>
                <w:lang w:val="sr-Latn-BA"/>
              </w:rPr>
              <w:t xml:space="preserve"> (</w:t>
            </w:r>
            <w:r w:rsidR="00834D3E" w:rsidRPr="0051150C">
              <w:rPr>
                <w:noProof/>
                <w:szCs w:val="22"/>
                <w:lang w:val="sr-Latn-BA"/>
              </w:rPr>
              <w:t>mjesec</w:t>
            </w:r>
            <w:r w:rsidR="00E51ED5" w:rsidRPr="0051150C">
              <w:rPr>
                <w:noProof/>
                <w:szCs w:val="22"/>
                <w:lang w:val="sr-Latn-BA"/>
              </w:rPr>
              <w:t>i)</w:t>
            </w:r>
          </w:p>
          <w:p w14:paraId="49B1FD21" w14:textId="66C94DFA" w:rsidR="0000198A" w:rsidRPr="0051150C" w:rsidRDefault="0000198A" w:rsidP="00E51ED5">
            <w:pPr>
              <w:tabs>
                <w:tab w:val="clear" w:pos="284"/>
              </w:tabs>
              <w:autoSpaceDE w:val="0"/>
              <w:autoSpaceDN w:val="0"/>
              <w:adjustRightInd w:val="0"/>
              <w:spacing w:line="276" w:lineRule="auto"/>
              <w:rPr>
                <w:noProof/>
                <w:szCs w:val="22"/>
                <w:lang w:val="sr-Latn-BA"/>
              </w:rPr>
            </w:pPr>
            <w:r w:rsidRPr="0051150C">
              <w:rPr>
                <w:noProof/>
                <w:szCs w:val="22"/>
                <w:lang w:val="sr-Latn-BA"/>
              </w:rPr>
              <w:t>(95% CI)</w:t>
            </w:r>
          </w:p>
        </w:tc>
        <w:tc>
          <w:tcPr>
            <w:tcW w:w="2782" w:type="dxa"/>
            <w:tcBorders>
              <w:top w:val="single" w:sz="4" w:space="0" w:color="auto"/>
              <w:left w:val="nil"/>
              <w:bottom w:val="nil"/>
              <w:right w:val="nil"/>
            </w:tcBorders>
          </w:tcPr>
          <w:p w14:paraId="01122227" w14:textId="29B82CBB" w:rsidR="00934AE1" w:rsidRPr="0051150C" w:rsidRDefault="0000198A" w:rsidP="00E51ED5">
            <w:pPr>
              <w:tabs>
                <w:tab w:val="clear" w:pos="284"/>
              </w:tabs>
              <w:autoSpaceDE w:val="0"/>
              <w:autoSpaceDN w:val="0"/>
              <w:adjustRightInd w:val="0"/>
              <w:spacing w:line="276" w:lineRule="auto"/>
              <w:jc w:val="center"/>
              <w:rPr>
                <w:noProof/>
                <w:szCs w:val="22"/>
                <w:lang w:val="sr-Latn-BA"/>
              </w:rPr>
            </w:pPr>
            <w:r w:rsidRPr="0051150C">
              <w:rPr>
                <w:noProof/>
                <w:szCs w:val="22"/>
                <w:lang w:val="sr-Latn-BA"/>
              </w:rPr>
              <w:t>275 (46%)</w:t>
            </w:r>
          </w:p>
          <w:p w14:paraId="08C64FB8" w14:textId="60784240" w:rsidR="0000198A" w:rsidRPr="0051150C" w:rsidRDefault="0000198A" w:rsidP="00E51ED5">
            <w:pPr>
              <w:tabs>
                <w:tab w:val="clear" w:pos="284"/>
              </w:tabs>
              <w:autoSpaceDE w:val="0"/>
              <w:autoSpaceDN w:val="0"/>
              <w:adjustRightInd w:val="0"/>
              <w:spacing w:line="276" w:lineRule="auto"/>
              <w:jc w:val="center"/>
              <w:rPr>
                <w:noProof/>
                <w:szCs w:val="22"/>
                <w:lang w:val="sr-Latn-BA"/>
              </w:rPr>
            </w:pPr>
            <w:r w:rsidRPr="0051150C">
              <w:rPr>
                <w:noProof/>
                <w:szCs w:val="22"/>
                <w:lang w:val="sr-Latn-BA"/>
              </w:rPr>
              <w:t>53</w:t>
            </w:r>
            <w:r w:rsidR="00460994">
              <w:rPr>
                <w:noProof/>
                <w:szCs w:val="22"/>
                <w:lang w:val="sr-Latn-BA"/>
              </w:rPr>
              <w:t>,</w:t>
            </w:r>
            <w:r w:rsidRPr="0051150C">
              <w:rPr>
                <w:noProof/>
                <w:szCs w:val="22"/>
                <w:lang w:val="sr-Latn-BA"/>
              </w:rPr>
              <w:t>3</w:t>
            </w:r>
          </w:p>
          <w:p w14:paraId="4C48A817" w14:textId="0092805F" w:rsidR="0000198A" w:rsidRPr="0051150C" w:rsidRDefault="0000198A" w:rsidP="00460994">
            <w:pPr>
              <w:tabs>
                <w:tab w:val="clear" w:pos="284"/>
              </w:tabs>
              <w:autoSpaceDE w:val="0"/>
              <w:autoSpaceDN w:val="0"/>
              <w:adjustRightInd w:val="0"/>
              <w:spacing w:line="276" w:lineRule="auto"/>
              <w:jc w:val="center"/>
              <w:rPr>
                <w:noProof/>
                <w:szCs w:val="22"/>
                <w:lang w:val="sr-Latn-BA"/>
              </w:rPr>
            </w:pPr>
            <w:r w:rsidRPr="0051150C">
              <w:rPr>
                <w:noProof/>
                <w:szCs w:val="22"/>
                <w:lang w:val="sr-Latn-BA"/>
              </w:rPr>
              <w:t>(48</w:t>
            </w:r>
            <w:r w:rsidR="00460994">
              <w:rPr>
                <w:noProof/>
                <w:szCs w:val="22"/>
                <w:lang w:val="sr-Latn-BA"/>
              </w:rPr>
              <w:t>,</w:t>
            </w:r>
            <w:r w:rsidRPr="0051150C">
              <w:rPr>
                <w:noProof/>
                <w:szCs w:val="22"/>
                <w:lang w:val="sr-Latn-BA"/>
              </w:rPr>
              <w:t>2, N</w:t>
            </w:r>
            <w:r w:rsidR="007A7D2F" w:rsidRPr="0051150C">
              <w:rPr>
                <w:noProof/>
                <w:szCs w:val="22"/>
                <w:lang w:val="sr-Latn-BA"/>
              </w:rPr>
              <w:t>P</w:t>
            </w:r>
            <w:r w:rsidRPr="0051150C">
              <w:rPr>
                <w:noProof/>
                <w:szCs w:val="22"/>
                <w:lang w:val="sr-Latn-BA"/>
              </w:rPr>
              <w:t>)</w:t>
            </w:r>
          </w:p>
        </w:tc>
        <w:tc>
          <w:tcPr>
            <w:tcW w:w="2984" w:type="dxa"/>
            <w:tcBorders>
              <w:top w:val="single" w:sz="4" w:space="0" w:color="auto"/>
              <w:left w:val="nil"/>
              <w:bottom w:val="nil"/>
            </w:tcBorders>
          </w:tcPr>
          <w:p w14:paraId="741579FC" w14:textId="73607B69" w:rsidR="00934AE1" w:rsidRPr="0051150C" w:rsidRDefault="007A7D2F" w:rsidP="00E51ED5">
            <w:pPr>
              <w:tabs>
                <w:tab w:val="clear" w:pos="284"/>
              </w:tabs>
              <w:autoSpaceDE w:val="0"/>
              <w:autoSpaceDN w:val="0"/>
              <w:adjustRightInd w:val="0"/>
              <w:spacing w:line="276" w:lineRule="auto"/>
              <w:jc w:val="center"/>
              <w:rPr>
                <w:noProof/>
                <w:szCs w:val="22"/>
                <w:lang w:val="sr-Latn-BA"/>
              </w:rPr>
            </w:pPr>
            <w:r w:rsidRPr="0051150C">
              <w:rPr>
                <w:noProof/>
                <w:szCs w:val="22"/>
                <w:lang w:val="sr-Latn-BA"/>
              </w:rPr>
              <w:t>343 (57%)</w:t>
            </w:r>
          </w:p>
          <w:p w14:paraId="15C91329" w14:textId="0F537E4D" w:rsidR="0000198A" w:rsidRPr="0051150C" w:rsidRDefault="007A7D2F" w:rsidP="00E51ED5">
            <w:pPr>
              <w:tabs>
                <w:tab w:val="clear" w:pos="284"/>
              </w:tabs>
              <w:autoSpaceDE w:val="0"/>
              <w:autoSpaceDN w:val="0"/>
              <w:adjustRightInd w:val="0"/>
              <w:spacing w:line="276" w:lineRule="auto"/>
              <w:jc w:val="center"/>
              <w:rPr>
                <w:noProof/>
                <w:szCs w:val="22"/>
                <w:lang w:val="sr-Latn-BA"/>
              </w:rPr>
            </w:pPr>
            <w:r w:rsidRPr="0051150C">
              <w:rPr>
                <w:noProof/>
                <w:szCs w:val="22"/>
                <w:lang w:val="sr-Latn-BA"/>
              </w:rPr>
              <w:t>36</w:t>
            </w:r>
            <w:r w:rsidR="00460994">
              <w:rPr>
                <w:noProof/>
                <w:szCs w:val="22"/>
                <w:lang w:val="sr-Latn-BA"/>
              </w:rPr>
              <w:t>,</w:t>
            </w:r>
            <w:r w:rsidRPr="0051150C">
              <w:rPr>
                <w:noProof/>
                <w:szCs w:val="22"/>
                <w:lang w:val="sr-Latn-BA"/>
              </w:rPr>
              <w:t>5</w:t>
            </w:r>
          </w:p>
          <w:p w14:paraId="1A6550AD" w14:textId="3D515023" w:rsidR="0000198A" w:rsidRPr="0051150C" w:rsidRDefault="007A7D2F" w:rsidP="00460994">
            <w:pPr>
              <w:tabs>
                <w:tab w:val="clear" w:pos="284"/>
              </w:tabs>
              <w:autoSpaceDE w:val="0"/>
              <w:autoSpaceDN w:val="0"/>
              <w:adjustRightInd w:val="0"/>
              <w:spacing w:line="276" w:lineRule="auto"/>
              <w:jc w:val="center"/>
              <w:rPr>
                <w:noProof/>
                <w:szCs w:val="22"/>
                <w:lang w:val="sr-Latn-BA"/>
              </w:rPr>
            </w:pPr>
            <w:r w:rsidRPr="0051150C">
              <w:rPr>
                <w:noProof/>
                <w:szCs w:val="22"/>
                <w:lang w:val="sr-Latn-BA"/>
              </w:rPr>
              <w:t>(33</w:t>
            </w:r>
            <w:r w:rsidR="00460994">
              <w:rPr>
                <w:noProof/>
                <w:szCs w:val="22"/>
                <w:lang w:val="sr-Latn-BA"/>
              </w:rPr>
              <w:t>,</w:t>
            </w:r>
            <w:r w:rsidRPr="0051150C">
              <w:rPr>
                <w:noProof/>
                <w:szCs w:val="22"/>
                <w:lang w:val="sr-Latn-BA"/>
              </w:rPr>
              <w:t>5, 40</w:t>
            </w:r>
            <w:r w:rsidR="00460994">
              <w:rPr>
                <w:noProof/>
                <w:szCs w:val="22"/>
                <w:lang w:val="sr-Latn-BA"/>
              </w:rPr>
              <w:t>,</w:t>
            </w:r>
            <w:r w:rsidRPr="0051150C">
              <w:rPr>
                <w:noProof/>
                <w:szCs w:val="22"/>
                <w:lang w:val="sr-Latn-BA"/>
              </w:rPr>
              <w:t>0)</w:t>
            </w:r>
          </w:p>
        </w:tc>
      </w:tr>
      <w:tr w:rsidR="007A7D2F" w:rsidRPr="0051150C" w14:paraId="3F5F329D" w14:textId="77777777" w:rsidTr="00410EF6">
        <w:tc>
          <w:tcPr>
            <w:tcW w:w="3059" w:type="dxa"/>
            <w:tcBorders>
              <w:top w:val="nil"/>
              <w:bottom w:val="single" w:sz="4" w:space="0" w:color="auto"/>
              <w:right w:val="nil"/>
            </w:tcBorders>
          </w:tcPr>
          <w:p w14:paraId="09F475E3" w14:textId="737C266A" w:rsidR="007A7D2F" w:rsidRPr="0051150C" w:rsidRDefault="00460994" w:rsidP="00E51ED5">
            <w:pPr>
              <w:tabs>
                <w:tab w:val="clear" w:pos="284"/>
              </w:tabs>
              <w:autoSpaceDE w:val="0"/>
              <w:autoSpaceDN w:val="0"/>
              <w:adjustRightInd w:val="0"/>
              <w:spacing w:line="276" w:lineRule="auto"/>
              <w:rPr>
                <w:noProof/>
                <w:szCs w:val="22"/>
                <w:lang w:val="sr-Latn-BA"/>
              </w:rPr>
            </w:pPr>
            <w:r w:rsidRPr="00DF315D">
              <w:rPr>
                <w:iCs/>
                <w:noProof/>
                <w:szCs w:val="22"/>
                <w:lang w:val="sr-Latn-BA"/>
              </w:rPr>
              <w:t>Odnos rizika</w:t>
            </w:r>
            <w:r w:rsidR="007A7D2F" w:rsidRPr="0051150C">
              <w:rPr>
                <w:i/>
                <w:noProof/>
                <w:szCs w:val="22"/>
                <w:lang w:val="sr-Latn-BA"/>
              </w:rPr>
              <w:t xml:space="preserve"> </w:t>
            </w:r>
            <w:r w:rsidR="007A7D2F" w:rsidRPr="0051150C">
              <w:rPr>
                <w:noProof/>
                <w:szCs w:val="22"/>
                <w:lang w:val="sr-Latn-BA"/>
              </w:rPr>
              <w:t>(95% CI)</w:t>
            </w:r>
          </w:p>
        </w:tc>
        <w:tc>
          <w:tcPr>
            <w:tcW w:w="5968" w:type="dxa"/>
            <w:gridSpan w:val="3"/>
            <w:tcBorders>
              <w:top w:val="nil"/>
              <w:left w:val="nil"/>
              <w:bottom w:val="single" w:sz="4" w:space="0" w:color="auto"/>
            </w:tcBorders>
          </w:tcPr>
          <w:p w14:paraId="7FAA3278" w14:textId="45773D9D" w:rsidR="007A7D2F" w:rsidRPr="0051150C" w:rsidRDefault="00E51ED5" w:rsidP="00460994">
            <w:pPr>
              <w:tabs>
                <w:tab w:val="clear" w:pos="284"/>
              </w:tabs>
              <w:autoSpaceDE w:val="0"/>
              <w:autoSpaceDN w:val="0"/>
              <w:adjustRightInd w:val="0"/>
              <w:spacing w:line="276" w:lineRule="auto"/>
              <w:jc w:val="center"/>
              <w:rPr>
                <w:noProof/>
                <w:szCs w:val="22"/>
                <w:lang w:val="sr-Latn-BA"/>
              </w:rPr>
            </w:pPr>
            <w:r w:rsidRPr="0051150C">
              <w:rPr>
                <w:noProof/>
                <w:szCs w:val="22"/>
                <w:lang w:val="sr-Latn-BA"/>
              </w:rPr>
              <w:t>0</w:t>
            </w:r>
            <w:r w:rsidR="00460994">
              <w:rPr>
                <w:noProof/>
                <w:szCs w:val="22"/>
                <w:lang w:val="sr-Latn-BA"/>
              </w:rPr>
              <w:t>,</w:t>
            </w:r>
            <w:r w:rsidRPr="0051150C">
              <w:rPr>
                <w:noProof/>
                <w:szCs w:val="22"/>
                <w:lang w:val="sr-Latn-BA"/>
              </w:rPr>
              <w:t>66 (0</w:t>
            </w:r>
            <w:r w:rsidR="00460994">
              <w:rPr>
                <w:noProof/>
                <w:szCs w:val="22"/>
                <w:lang w:val="sr-Latn-BA"/>
              </w:rPr>
              <w:t>,</w:t>
            </w:r>
            <w:r w:rsidRPr="0051150C">
              <w:rPr>
                <w:noProof/>
                <w:szCs w:val="22"/>
                <w:lang w:val="sr-Latn-BA"/>
              </w:rPr>
              <w:t>56,</w:t>
            </w:r>
            <w:r w:rsidR="007A7D2F" w:rsidRPr="0051150C">
              <w:rPr>
                <w:noProof/>
                <w:szCs w:val="22"/>
                <w:lang w:val="sr-Latn-BA"/>
              </w:rPr>
              <w:t xml:space="preserve"> 0</w:t>
            </w:r>
            <w:r w:rsidR="00460994">
              <w:rPr>
                <w:noProof/>
                <w:szCs w:val="22"/>
                <w:lang w:val="sr-Latn-BA"/>
              </w:rPr>
              <w:t>,</w:t>
            </w:r>
            <w:r w:rsidR="007A7D2F" w:rsidRPr="0051150C">
              <w:rPr>
                <w:noProof/>
                <w:szCs w:val="22"/>
                <w:lang w:val="sr-Latn-BA"/>
              </w:rPr>
              <w:t>78)</w:t>
            </w:r>
          </w:p>
        </w:tc>
      </w:tr>
    </w:tbl>
    <w:p w14:paraId="214FB294" w14:textId="439435E5" w:rsidR="00934AE1" w:rsidRPr="0051150C" w:rsidRDefault="00934AE1" w:rsidP="009173F4">
      <w:pPr>
        <w:tabs>
          <w:tab w:val="clear" w:pos="284"/>
        </w:tabs>
        <w:autoSpaceDE w:val="0"/>
        <w:autoSpaceDN w:val="0"/>
        <w:adjustRightInd w:val="0"/>
        <w:rPr>
          <w:noProof/>
          <w:szCs w:val="22"/>
          <w:lang w:val="sr-Latn-BA"/>
        </w:rPr>
      </w:pPr>
      <w:r w:rsidRPr="0051150C">
        <w:rPr>
          <w:noProof/>
          <w:szCs w:val="22"/>
          <w:lang w:val="sr-Latn-BA"/>
        </w:rPr>
        <w:t>NP=nije proc</w:t>
      </w:r>
      <w:r w:rsidR="00256BBA" w:rsidRPr="0051150C">
        <w:rPr>
          <w:noProof/>
          <w:szCs w:val="22"/>
          <w:lang w:val="sr-Latn-BA"/>
        </w:rPr>
        <w:t>j</w:t>
      </w:r>
      <w:r w:rsidRPr="0051150C">
        <w:rPr>
          <w:noProof/>
          <w:szCs w:val="22"/>
          <w:lang w:val="sr-Latn-BA"/>
        </w:rPr>
        <w:t>enjivo. AA-P=ispita</w:t>
      </w:r>
      <w:r w:rsidR="00E51ED5" w:rsidRPr="0051150C">
        <w:rPr>
          <w:noProof/>
          <w:szCs w:val="22"/>
          <w:lang w:val="sr-Latn-BA"/>
        </w:rPr>
        <w:t xml:space="preserve">nici koji su primili abirateron </w:t>
      </w:r>
      <w:r w:rsidRPr="0051150C">
        <w:rPr>
          <w:noProof/>
          <w:szCs w:val="22"/>
          <w:lang w:val="sr-Latn-BA"/>
        </w:rPr>
        <w:t>acetat i prednizon.</w:t>
      </w:r>
    </w:p>
    <w:p w14:paraId="09829E6D" w14:textId="77777777" w:rsidR="00934AE1" w:rsidRPr="0051150C" w:rsidRDefault="00934AE1" w:rsidP="009173F4">
      <w:pPr>
        <w:tabs>
          <w:tab w:val="clear" w:pos="284"/>
        </w:tabs>
        <w:autoSpaceDE w:val="0"/>
        <w:autoSpaceDN w:val="0"/>
        <w:adjustRightInd w:val="0"/>
        <w:rPr>
          <w:noProof/>
          <w:szCs w:val="22"/>
          <w:lang w:val="sr-Latn-BA"/>
        </w:rPr>
      </w:pPr>
      <w:r w:rsidRPr="0051150C">
        <w:rPr>
          <w:noProof/>
          <w:szCs w:val="22"/>
          <w:lang w:val="sr-Latn-BA"/>
        </w:rPr>
        <w:t>CI – interval pouzdanosti</w:t>
      </w:r>
    </w:p>
    <w:p w14:paraId="7EF39522" w14:textId="6FA2D541" w:rsidR="00E51ED5" w:rsidRPr="0051150C" w:rsidRDefault="00460994" w:rsidP="009173F4">
      <w:pPr>
        <w:tabs>
          <w:tab w:val="clear" w:pos="284"/>
        </w:tabs>
        <w:autoSpaceDE w:val="0"/>
        <w:autoSpaceDN w:val="0"/>
        <w:adjustRightInd w:val="0"/>
        <w:rPr>
          <w:noProof/>
          <w:szCs w:val="22"/>
          <w:lang w:val="sr-Latn-BA"/>
        </w:rPr>
      </w:pPr>
      <w:r w:rsidRPr="00DF315D">
        <w:rPr>
          <w:iCs/>
          <w:noProof/>
          <w:szCs w:val="22"/>
          <w:lang w:val="sr-Latn-BA"/>
        </w:rPr>
        <w:t>Odnos rizika</w:t>
      </w:r>
      <w:r w:rsidR="00934AE1" w:rsidRPr="0051150C">
        <w:rPr>
          <w:i/>
          <w:iCs/>
          <w:noProof/>
          <w:szCs w:val="22"/>
          <w:lang w:val="sr-Latn-BA"/>
        </w:rPr>
        <w:t xml:space="preserve"> </w:t>
      </w:r>
      <w:r w:rsidR="00934AE1" w:rsidRPr="0051150C">
        <w:rPr>
          <w:noProof/>
          <w:szCs w:val="22"/>
          <w:lang w:val="sr-Latn-BA"/>
        </w:rPr>
        <w:t xml:space="preserve">je iz stratifikovanog modela proporcionalnih </w:t>
      </w:r>
      <w:r>
        <w:rPr>
          <w:noProof/>
          <w:szCs w:val="22"/>
          <w:lang w:val="sr-Latn-BA"/>
        </w:rPr>
        <w:t>rizik</w:t>
      </w:r>
      <w:r w:rsidRPr="0051150C">
        <w:rPr>
          <w:noProof/>
          <w:szCs w:val="22"/>
          <w:lang w:val="sr-Latn-BA"/>
        </w:rPr>
        <w:t>a</w:t>
      </w:r>
      <w:r w:rsidR="00934AE1" w:rsidRPr="0051150C">
        <w:rPr>
          <w:noProof/>
          <w:szCs w:val="22"/>
          <w:lang w:val="sr-Latn-BA"/>
        </w:rPr>
        <w:t xml:space="preserve">. </w:t>
      </w:r>
      <w:r w:rsidRPr="00DF315D">
        <w:rPr>
          <w:iCs/>
          <w:noProof/>
          <w:szCs w:val="22"/>
          <w:lang w:val="sr-Latn-BA"/>
        </w:rPr>
        <w:t>Odnos rizika</w:t>
      </w:r>
      <w:r w:rsidR="00934AE1" w:rsidRPr="0051150C">
        <w:rPr>
          <w:i/>
          <w:iCs/>
          <w:noProof/>
          <w:szCs w:val="22"/>
          <w:lang w:val="sr-Latn-BA"/>
        </w:rPr>
        <w:t xml:space="preserve"> </w:t>
      </w:r>
      <w:r w:rsidR="00934AE1" w:rsidRPr="0051150C">
        <w:rPr>
          <w:noProof/>
          <w:szCs w:val="22"/>
          <w:lang w:val="sr-Latn-BA"/>
        </w:rPr>
        <w:t>&lt;1 je u korist AA-P</w:t>
      </w:r>
    </w:p>
    <w:p w14:paraId="1A27AC19" w14:textId="77777777" w:rsidR="00CD77A0" w:rsidRPr="0051150C" w:rsidRDefault="00CD77A0" w:rsidP="009173F4">
      <w:pPr>
        <w:tabs>
          <w:tab w:val="clear" w:pos="284"/>
        </w:tabs>
        <w:autoSpaceDE w:val="0"/>
        <w:autoSpaceDN w:val="0"/>
        <w:adjustRightInd w:val="0"/>
        <w:rPr>
          <w:noProof/>
          <w:szCs w:val="22"/>
          <w:lang w:val="sr-Latn-BA"/>
        </w:rPr>
      </w:pPr>
    </w:p>
    <w:p w14:paraId="55A4F973" w14:textId="3649A74A" w:rsidR="00B35C3C" w:rsidRPr="0051150C" w:rsidRDefault="0000198A" w:rsidP="009173F4">
      <w:pPr>
        <w:tabs>
          <w:tab w:val="clear" w:pos="284"/>
        </w:tabs>
        <w:autoSpaceDE w:val="0"/>
        <w:autoSpaceDN w:val="0"/>
        <w:adjustRightInd w:val="0"/>
        <w:rPr>
          <w:b/>
          <w:noProof/>
          <w:szCs w:val="22"/>
          <w:lang w:val="sr-Latn-BA"/>
        </w:rPr>
      </w:pPr>
      <w:r w:rsidRPr="0051150C">
        <w:rPr>
          <w:rFonts w:eastAsia="TimesNewRoman,Bold"/>
          <w:b/>
          <w:bCs/>
          <w:noProof/>
          <w:szCs w:val="22"/>
          <w:lang w:val="sr-Latn-BA"/>
        </w:rPr>
        <w:t xml:space="preserve">Slika 2: </w:t>
      </w:r>
      <w:r w:rsidRPr="0051150C">
        <w:rPr>
          <w:rFonts w:eastAsia="TimesNewRoman,Bold"/>
          <w:b/>
          <w:bCs/>
          <w:i/>
          <w:iCs/>
          <w:noProof/>
          <w:szCs w:val="22"/>
          <w:lang w:val="sr-Latn-BA"/>
        </w:rPr>
        <w:t>Kaplan-Meier</w:t>
      </w:r>
      <w:r w:rsidR="00460994">
        <w:rPr>
          <w:rFonts w:eastAsia="TimesNewRoman,Bold"/>
          <w:b/>
          <w:bCs/>
          <w:iCs/>
          <w:noProof/>
          <w:szCs w:val="22"/>
          <w:lang w:val="sr-Latn-BA"/>
        </w:rPr>
        <w:t>-ov</w:t>
      </w:r>
      <w:r w:rsidRPr="0051150C">
        <w:rPr>
          <w:rFonts w:eastAsia="TimesNewRoman,Bold"/>
          <w:b/>
          <w:bCs/>
          <w:i/>
          <w:iCs/>
          <w:noProof/>
          <w:szCs w:val="22"/>
          <w:lang w:val="sr-Latn-BA"/>
        </w:rPr>
        <w:t xml:space="preserve"> </w:t>
      </w:r>
      <w:r w:rsidRPr="0051150C">
        <w:rPr>
          <w:rFonts w:eastAsia="TimesNewRoman,Bold"/>
          <w:b/>
          <w:bCs/>
          <w:noProof/>
          <w:szCs w:val="22"/>
          <w:lang w:val="sr-Latn-BA"/>
        </w:rPr>
        <w:t xml:space="preserve">grafički prikaz ukupnog preživljavanja; </w:t>
      </w:r>
      <w:r w:rsidR="004266C7">
        <w:rPr>
          <w:rFonts w:eastAsia="TimesNewRoman,Bold"/>
          <w:b/>
          <w:bCs/>
          <w:noProof/>
          <w:szCs w:val="22"/>
          <w:lang w:val="sr-Latn-BA"/>
        </w:rPr>
        <w:t xml:space="preserve">analiza </w:t>
      </w:r>
      <w:r w:rsidR="004266C7" w:rsidRPr="0051150C">
        <w:rPr>
          <w:rFonts w:eastAsia="TimesNewRoman,Bold"/>
          <w:b/>
          <w:bCs/>
          <w:noProof/>
          <w:szCs w:val="22"/>
          <w:lang w:val="sr-Latn-BA"/>
        </w:rPr>
        <w:t>populacij</w:t>
      </w:r>
      <w:r w:rsidR="004266C7">
        <w:rPr>
          <w:rFonts w:eastAsia="TimesNewRoman,Bold"/>
          <w:b/>
          <w:bCs/>
          <w:noProof/>
          <w:szCs w:val="22"/>
          <w:lang w:val="sr-Latn-BA"/>
        </w:rPr>
        <w:t>e</w:t>
      </w:r>
      <w:r w:rsidR="004266C7" w:rsidRPr="0051150C">
        <w:rPr>
          <w:rFonts w:eastAsia="TimesNewRoman,Bold"/>
          <w:b/>
          <w:bCs/>
          <w:noProof/>
          <w:szCs w:val="22"/>
          <w:lang w:val="sr-Latn-BA"/>
        </w:rPr>
        <w:t xml:space="preserve"> </w:t>
      </w:r>
      <w:r w:rsidR="00460994">
        <w:rPr>
          <w:rFonts w:eastAsia="TimesNewRoman,Bold"/>
          <w:b/>
          <w:bCs/>
          <w:noProof/>
          <w:szCs w:val="22"/>
          <w:lang w:val="sr-Latn-BA"/>
        </w:rPr>
        <w:t>predviđen</w:t>
      </w:r>
      <w:r w:rsidR="004266C7">
        <w:rPr>
          <w:rFonts w:eastAsia="TimesNewRoman,Bold"/>
          <w:b/>
          <w:bCs/>
          <w:noProof/>
          <w:szCs w:val="22"/>
          <w:lang w:val="sr-Latn-BA"/>
        </w:rPr>
        <w:t>e</w:t>
      </w:r>
      <w:r w:rsidR="00460994">
        <w:rPr>
          <w:rFonts w:eastAsia="TimesNewRoman,Bold"/>
          <w:b/>
          <w:bCs/>
          <w:noProof/>
          <w:szCs w:val="22"/>
          <w:lang w:val="sr-Latn-BA"/>
        </w:rPr>
        <w:t xml:space="preserve"> za liječenje </w:t>
      </w:r>
      <w:r w:rsidRPr="0051150C">
        <w:rPr>
          <w:rFonts w:eastAsia="TimesNewRoman,Bold"/>
          <w:b/>
          <w:bCs/>
          <w:noProof/>
          <w:szCs w:val="22"/>
          <w:lang w:val="sr-Latn-BA"/>
        </w:rPr>
        <w:t>(Studija PCR3011)</w:t>
      </w:r>
    </w:p>
    <w:p w14:paraId="2A8E0057" w14:textId="64D901B0" w:rsidR="0000198A" w:rsidRPr="0051150C" w:rsidRDefault="00137E33" w:rsidP="009173F4">
      <w:pPr>
        <w:tabs>
          <w:tab w:val="clear" w:pos="284"/>
        </w:tabs>
        <w:autoSpaceDE w:val="0"/>
        <w:autoSpaceDN w:val="0"/>
        <w:adjustRightInd w:val="0"/>
        <w:rPr>
          <w:noProof/>
          <w:szCs w:val="22"/>
          <w:lang w:val="sr-Latn-BA"/>
        </w:rPr>
      </w:pPr>
      <w:r w:rsidRPr="00137E33">
        <w:rPr>
          <w:noProof/>
          <w:szCs w:val="22"/>
        </w:rPr>
        <w:lastRenderedPageBreak/>
        <w:drawing>
          <wp:inline distT="0" distB="0" distL="0" distR="0" wp14:anchorId="647E3874" wp14:editId="7BAB8B27">
            <wp:extent cx="5800725" cy="3629388"/>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2851" cy="3655746"/>
                    </a:xfrm>
                    <a:prstGeom prst="rect">
                      <a:avLst/>
                    </a:prstGeom>
                    <a:noFill/>
                    <a:ln>
                      <a:noFill/>
                    </a:ln>
                  </pic:spPr>
                </pic:pic>
              </a:graphicData>
            </a:graphic>
          </wp:inline>
        </w:drawing>
      </w:r>
    </w:p>
    <w:p w14:paraId="49E3C55A" w14:textId="0070DE1F" w:rsidR="00FD06AC" w:rsidRPr="0051150C" w:rsidRDefault="00FD06AC" w:rsidP="009173F4">
      <w:pPr>
        <w:rPr>
          <w:noProof/>
          <w:szCs w:val="22"/>
          <w:lang w:val="sr-Latn-BA"/>
        </w:rPr>
      </w:pPr>
    </w:p>
    <w:p w14:paraId="0BBBC29E" w14:textId="1888C62B" w:rsidR="00FD06AC" w:rsidRPr="0051150C" w:rsidRDefault="007A7D2F" w:rsidP="009173F4">
      <w:pPr>
        <w:rPr>
          <w:noProof/>
          <w:szCs w:val="22"/>
          <w:lang w:val="sr-Latn-BA"/>
        </w:rPr>
      </w:pPr>
      <w:r w:rsidRPr="0051150C">
        <w:rPr>
          <w:noProof/>
          <w:szCs w:val="22"/>
          <w:lang w:val="sr-Latn-BA"/>
        </w:rPr>
        <w:t>Analize podgrup</w:t>
      </w:r>
      <w:r w:rsidR="00EF566D" w:rsidRPr="0051150C">
        <w:rPr>
          <w:noProof/>
          <w:szCs w:val="22"/>
          <w:lang w:val="sr-Latn-BA"/>
        </w:rPr>
        <w:t>a</w:t>
      </w:r>
      <w:r w:rsidRPr="0051150C">
        <w:rPr>
          <w:noProof/>
          <w:szCs w:val="22"/>
          <w:lang w:val="sr-Latn-BA"/>
        </w:rPr>
        <w:t xml:space="preserve"> dosl</w:t>
      </w:r>
      <w:r w:rsidR="00256BBA" w:rsidRPr="0051150C">
        <w:rPr>
          <w:noProof/>
          <w:szCs w:val="22"/>
          <w:lang w:val="sr-Latn-BA"/>
        </w:rPr>
        <w:t>j</w:t>
      </w:r>
      <w:r w:rsidRPr="0051150C">
        <w:rPr>
          <w:noProof/>
          <w:szCs w:val="22"/>
          <w:lang w:val="sr-Latn-BA"/>
        </w:rPr>
        <w:t xml:space="preserve">edno </w:t>
      </w:r>
      <w:r w:rsidR="00EF566D" w:rsidRPr="0051150C">
        <w:rPr>
          <w:noProof/>
          <w:szCs w:val="22"/>
          <w:lang w:val="sr-Latn-BA"/>
        </w:rPr>
        <w:t xml:space="preserve">ukazuju na prednost </w:t>
      </w:r>
      <w:r w:rsidR="004266C7" w:rsidRPr="0051150C">
        <w:rPr>
          <w:noProof/>
          <w:szCs w:val="22"/>
          <w:lang w:val="sr-Latn-BA"/>
        </w:rPr>
        <w:t>terapij</w:t>
      </w:r>
      <w:r w:rsidR="004266C7">
        <w:rPr>
          <w:noProof/>
          <w:szCs w:val="22"/>
          <w:lang w:val="sr-Latn-BA"/>
        </w:rPr>
        <w:t>e</w:t>
      </w:r>
      <w:r w:rsidR="004266C7" w:rsidRPr="0051150C">
        <w:rPr>
          <w:noProof/>
          <w:szCs w:val="22"/>
          <w:lang w:val="sr-Latn-BA"/>
        </w:rPr>
        <w:t xml:space="preserve"> </w:t>
      </w:r>
      <w:r w:rsidR="00E51ED5" w:rsidRPr="0051150C">
        <w:rPr>
          <w:noProof/>
          <w:szCs w:val="22"/>
          <w:lang w:val="sr-Latn-BA"/>
        </w:rPr>
        <w:t xml:space="preserve">abirateron </w:t>
      </w:r>
      <w:r w:rsidRPr="0051150C">
        <w:rPr>
          <w:noProof/>
          <w:szCs w:val="22"/>
          <w:lang w:val="sr-Latn-BA"/>
        </w:rPr>
        <w:t>acetatom. Terapijsk</w:t>
      </w:r>
      <w:r w:rsidR="00E51ED5" w:rsidRPr="0051150C">
        <w:rPr>
          <w:noProof/>
          <w:szCs w:val="22"/>
          <w:lang w:val="sr-Latn-BA"/>
        </w:rPr>
        <w:t xml:space="preserve">i efekat abirateron </w:t>
      </w:r>
      <w:r w:rsidRPr="0051150C">
        <w:rPr>
          <w:noProof/>
          <w:szCs w:val="22"/>
          <w:lang w:val="sr-Latn-BA"/>
        </w:rPr>
        <w:t xml:space="preserve">acetata i prednizona na preživljavanje bez radiografske progresije bolesti i ukupno preživljavanje </w:t>
      </w:r>
      <w:r w:rsidR="00EF1593" w:rsidRPr="0051150C">
        <w:rPr>
          <w:noProof/>
          <w:szCs w:val="22"/>
          <w:lang w:val="sr-Latn-BA"/>
        </w:rPr>
        <w:t>u svim prethodno definisanim</w:t>
      </w:r>
      <w:r w:rsidRPr="0051150C">
        <w:rPr>
          <w:noProof/>
          <w:szCs w:val="22"/>
          <w:lang w:val="sr-Latn-BA"/>
        </w:rPr>
        <w:t xml:space="preserve"> podgrupa</w:t>
      </w:r>
      <w:r w:rsidR="00EF1593" w:rsidRPr="0051150C">
        <w:rPr>
          <w:noProof/>
          <w:szCs w:val="22"/>
          <w:lang w:val="sr-Latn-BA"/>
        </w:rPr>
        <w:t>ma</w:t>
      </w:r>
      <w:r w:rsidRPr="0051150C">
        <w:rPr>
          <w:noProof/>
          <w:szCs w:val="22"/>
          <w:lang w:val="sr-Latn-BA"/>
        </w:rPr>
        <w:t xml:space="preserve"> </w:t>
      </w:r>
      <w:r w:rsidR="006678CD" w:rsidRPr="0051150C">
        <w:rPr>
          <w:noProof/>
          <w:szCs w:val="22"/>
          <w:lang w:val="sr-Latn-BA"/>
        </w:rPr>
        <w:t>je</w:t>
      </w:r>
      <w:r w:rsidR="00EF1593" w:rsidRPr="0051150C">
        <w:rPr>
          <w:noProof/>
          <w:szCs w:val="22"/>
          <w:lang w:val="sr-Latn-BA"/>
        </w:rPr>
        <w:t xml:space="preserve"> bio</w:t>
      </w:r>
      <w:r w:rsidR="006678CD" w:rsidRPr="0051150C">
        <w:rPr>
          <w:noProof/>
          <w:szCs w:val="22"/>
          <w:lang w:val="sr-Latn-BA"/>
        </w:rPr>
        <w:t xml:space="preserve"> povoljan i u skladu sa </w:t>
      </w:r>
      <w:r w:rsidR="00EF1593" w:rsidRPr="0051150C">
        <w:rPr>
          <w:noProof/>
          <w:szCs w:val="22"/>
          <w:lang w:val="sr-Latn-BA"/>
        </w:rPr>
        <w:t>c</w:t>
      </w:r>
      <w:r w:rsidR="00256BBA" w:rsidRPr="0051150C">
        <w:rPr>
          <w:noProof/>
          <w:szCs w:val="22"/>
          <w:lang w:val="sr-Latn-BA"/>
        </w:rPr>
        <w:t>j</w:t>
      </w:r>
      <w:r w:rsidR="00EF1593" w:rsidRPr="0051150C">
        <w:rPr>
          <w:noProof/>
          <w:szCs w:val="22"/>
          <w:lang w:val="sr-Latn-BA"/>
        </w:rPr>
        <w:t xml:space="preserve">elokupnom </w:t>
      </w:r>
      <w:r w:rsidR="00EF566D" w:rsidRPr="0051150C">
        <w:rPr>
          <w:noProof/>
          <w:szCs w:val="22"/>
          <w:lang w:val="sr-Latn-BA"/>
        </w:rPr>
        <w:t>ispitivanom populacijom</w:t>
      </w:r>
      <w:r w:rsidR="00EF1593" w:rsidRPr="0051150C">
        <w:rPr>
          <w:noProof/>
          <w:szCs w:val="22"/>
          <w:lang w:val="sr-Latn-BA"/>
        </w:rPr>
        <w:t xml:space="preserve">. Jedini izuzetak je </w:t>
      </w:r>
      <w:r w:rsidR="006678CD" w:rsidRPr="0051150C">
        <w:rPr>
          <w:noProof/>
          <w:szCs w:val="22"/>
          <w:lang w:val="sr-Latn-BA"/>
        </w:rPr>
        <w:t>podgrup</w:t>
      </w:r>
      <w:r w:rsidR="00EF1593" w:rsidRPr="0051150C">
        <w:rPr>
          <w:noProof/>
          <w:szCs w:val="22"/>
          <w:lang w:val="sr-Latn-BA"/>
        </w:rPr>
        <w:t>a</w:t>
      </w:r>
      <w:r w:rsidR="006678CD" w:rsidRPr="0051150C">
        <w:rPr>
          <w:noProof/>
          <w:szCs w:val="22"/>
          <w:lang w:val="sr-Latn-BA"/>
        </w:rPr>
        <w:t xml:space="preserve"> sa ECOG</w:t>
      </w:r>
      <w:r w:rsidR="00EF1593" w:rsidRPr="0051150C">
        <w:rPr>
          <w:noProof/>
          <w:szCs w:val="22"/>
          <w:lang w:val="sr-Latn-BA"/>
        </w:rPr>
        <w:t xml:space="preserve"> </w:t>
      </w:r>
      <w:r w:rsidR="00EF566D" w:rsidRPr="0051150C">
        <w:rPr>
          <w:noProof/>
          <w:szCs w:val="22"/>
          <w:lang w:val="sr-Latn-BA"/>
        </w:rPr>
        <w:t>rezultatom</w:t>
      </w:r>
      <w:r w:rsidR="00EF1593" w:rsidRPr="0051150C">
        <w:rPr>
          <w:noProof/>
          <w:szCs w:val="22"/>
          <w:lang w:val="sr-Latn-BA"/>
        </w:rPr>
        <w:t xml:space="preserve"> 2, gd</w:t>
      </w:r>
      <w:r w:rsidR="00256BBA" w:rsidRPr="0051150C">
        <w:rPr>
          <w:noProof/>
          <w:szCs w:val="22"/>
          <w:lang w:val="sr-Latn-BA"/>
        </w:rPr>
        <w:t>j</w:t>
      </w:r>
      <w:r w:rsidR="00EF1593" w:rsidRPr="0051150C">
        <w:rPr>
          <w:noProof/>
          <w:szCs w:val="22"/>
          <w:lang w:val="sr-Latn-BA"/>
        </w:rPr>
        <w:t xml:space="preserve">e nije </w:t>
      </w:r>
      <w:r w:rsidR="00A120E1" w:rsidRPr="0051150C">
        <w:rPr>
          <w:noProof/>
          <w:szCs w:val="22"/>
          <w:lang w:val="sr-Latn-BA"/>
        </w:rPr>
        <w:t>zabilježen</w:t>
      </w:r>
      <w:r w:rsidR="00EF1593" w:rsidRPr="0051150C">
        <w:rPr>
          <w:noProof/>
          <w:szCs w:val="22"/>
          <w:lang w:val="sr-Latn-BA"/>
        </w:rPr>
        <w:t xml:space="preserve"> napredak, međutim</w:t>
      </w:r>
      <w:r w:rsidR="004266C7">
        <w:rPr>
          <w:noProof/>
          <w:szCs w:val="22"/>
          <w:lang w:val="sr-Latn-BA"/>
        </w:rPr>
        <w:t>,</w:t>
      </w:r>
      <w:r w:rsidR="00EF1593" w:rsidRPr="0051150C">
        <w:rPr>
          <w:noProof/>
          <w:szCs w:val="22"/>
          <w:lang w:val="sr-Latn-BA"/>
        </w:rPr>
        <w:t xml:space="preserve"> mala veličina uzorka (n=40) ograničava</w:t>
      </w:r>
      <w:r w:rsidR="00EF566D" w:rsidRPr="0051150C">
        <w:rPr>
          <w:noProof/>
          <w:szCs w:val="22"/>
          <w:lang w:val="sr-Latn-BA"/>
        </w:rPr>
        <w:t xml:space="preserve"> izvođenje bilo kakvog značajnog</w:t>
      </w:r>
      <w:r w:rsidR="00EF1593" w:rsidRPr="0051150C">
        <w:rPr>
          <w:noProof/>
          <w:szCs w:val="22"/>
          <w:lang w:val="sr-Latn-BA"/>
        </w:rPr>
        <w:t xml:space="preserve"> zaključka.</w:t>
      </w:r>
    </w:p>
    <w:p w14:paraId="23A56BE9" w14:textId="237F9315" w:rsidR="00FD06AC" w:rsidRPr="0051150C" w:rsidRDefault="00FD06AC" w:rsidP="009173F4">
      <w:pPr>
        <w:rPr>
          <w:noProof/>
          <w:szCs w:val="22"/>
          <w:lang w:val="sr-Latn-BA"/>
        </w:rPr>
      </w:pPr>
    </w:p>
    <w:p w14:paraId="703A5622" w14:textId="154D2FBF" w:rsidR="00FD06AC" w:rsidRPr="0051150C" w:rsidRDefault="00EF566D" w:rsidP="009173F4">
      <w:pPr>
        <w:rPr>
          <w:noProof/>
          <w:szCs w:val="22"/>
          <w:lang w:val="sr-Latn-BA"/>
        </w:rPr>
      </w:pPr>
      <w:r w:rsidRPr="0051150C">
        <w:rPr>
          <w:noProof/>
          <w:szCs w:val="22"/>
          <w:lang w:val="sr-Latn-BA"/>
        </w:rPr>
        <w:t>Pored navedenih poboljšanja vezanih za ukupno preživljavanje i preživljavanje bez radiografske progresije bolesti, korist abirateron</w:t>
      </w:r>
      <w:r w:rsidR="00E51ED5" w:rsidRPr="0051150C">
        <w:rPr>
          <w:noProof/>
          <w:szCs w:val="22"/>
          <w:lang w:val="sr-Latn-BA"/>
        </w:rPr>
        <w:t xml:space="preserve"> </w:t>
      </w:r>
      <w:r w:rsidRPr="0051150C">
        <w:rPr>
          <w:noProof/>
          <w:szCs w:val="22"/>
          <w:lang w:val="sr-Latn-BA"/>
        </w:rPr>
        <w:t>acetata je dokazana u odnosu na placebo i u svim prospektivno-definisanim sekundarnim krajnjim tačkama.</w:t>
      </w:r>
    </w:p>
    <w:p w14:paraId="5F73E4DA" w14:textId="0212774C" w:rsidR="005A3843" w:rsidRPr="0051150C" w:rsidRDefault="005A3843" w:rsidP="009173F4">
      <w:pPr>
        <w:rPr>
          <w:noProof/>
          <w:szCs w:val="22"/>
          <w:lang w:val="sr-Latn-BA"/>
        </w:rPr>
      </w:pPr>
    </w:p>
    <w:p w14:paraId="4E750E3B" w14:textId="26B00206" w:rsidR="005A3843" w:rsidRPr="0051150C" w:rsidRDefault="005A3843" w:rsidP="009173F4">
      <w:pPr>
        <w:tabs>
          <w:tab w:val="clear" w:pos="284"/>
        </w:tabs>
        <w:autoSpaceDE w:val="0"/>
        <w:autoSpaceDN w:val="0"/>
        <w:adjustRightInd w:val="0"/>
        <w:rPr>
          <w:i/>
          <w:iCs/>
          <w:noProof/>
          <w:szCs w:val="22"/>
          <w:u w:val="single"/>
          <w:lang w:val="sr-Latn-BA"/>
        </w:rPr>
      </w:pPr>
      <w:r w:rsidRPr="0051150C">
        <w:rPr>
          <w:i/>
          <w:iCs/>
          <w:noProof/>
          <w:szCs w:val="22"/>
          <w:u w:val="single"/>
          <w:lang w:val="sr-Latn-BA"/>
        </w:rPr>
        <w:t>Studija 302 (pacijenti koji ni</w:t>
      </w:r>
      <w:r w:rsidR="00601562">
        <w:rPr>
          <w:i/>
          <w:iCs/>
          <w:noProof/>
          <w:szCs w:val="22"/>
          <w:u w:val="single"/>
          <w:lang w:val="sr-Latn-BA"/>
        </w:rPr>
        <w:t>je</w:t>
      </w:r>
      <w:r w:rsidRPr="0051150C">
        <w:rPr>
          <w:i/>
          <w:iCs/>
          <w:noProof/>
          <w:szCs w:val="22"/>
          <w:u w:val="single"/>
          <w:lang w:val="sr-Latn-BA"/>
        </w:rPr>
        <w:t>su primali hemioterapiju)</w:t>
      </w:r>
    </w:p>
    <w:p w14:paraId="39F231DE" w14:textId="41310AF3" w:rsidR="005A3843" w:rsidRPr="0051150C" w:rsidRDefault="005A3843" w:rsidP="009173F4">
      <w:pPr>
        <w:tabs>
          <w:tab w:val="clear" w:pos="284"/>
        </w:tabs>
        <w:autoSpaceDE w:val="0"/>
        <w:autoSpaceDN w:val="0"/>
        <w:adjustRightInd w:val="0"/>
        <w:rPr>
          <w:noProof/>
          <w:szCs w:val="22"/>
          <w:lang w:val="sr-Latn-BA"/>
        </w:rPr>
      </w:pPr>
      <w:r w:rsidRPr="0051150C">
        <w:rPr>
          <w:noProof/>
          <w:szCs w:val="22"/>
          <w:lang w:val="sr-Latn-BA"/>
        </w:rPr>
        <w:t>U ovu studiju su uključeni pacijenti koji ni</w:t>
      </w:r>
      <w:r w:rsidR="00D84D2D">
        <w:rPr>
          <w:noProof/>
          <w:szCs w:val="22"/>
          <w:lang w:val="sr-Latn-BA"/>
        </w:rPr>
        <w:t>je</w:t>
      </w:r>
      <w:r w:rsidRPr="0051150C">
        <w:rPr>
          <w:noProof/>
          <w:szCs w:val="22"/>
          <w:lang w:val="sr-Latn-BA"/>
        </w:rPr>
        <w:t xml:space="preserve">su </w:t>
      </w:r>
      <w:r w:rsidR="00E51ED5" w:rsidRPr="0051150C">
        <w:rPr>
          <w:noProof/>
          <w:szCs w:val="22"/>
          <w:lang w:val="sr-Latn-BA"/>
        </w:rPr>
        <w:t>primali hemioterapiju,</w:t>
      </w:r>
      <w:r w:rsidRPr="0051150C">
        <w:rPr>
          <w:noProof/>
          <w:szCs w:val="22"/>
          <w:lang w:val="sr-Latn-BA"/>
        </w:rPr>
        <w:t xml:space="preserve"> asimptomatični ili </w:t>
      </w:r>
      <w:r w:rsidR="00E51ED5" w:rsidRPr="0051150C">
        <w:rPr>
          <w:noProof/>
          <w:szCs w:val="22"/>
          <w:lang w:val="sr-Latn-BA"/>
        </w:rPr>
        <w:t>sa blagim simptomima,</w:t>
      </w:r>
      <w:r w:rsidRPr="0051150C">
        <w:rPr>
          <w:noProof/>
          <w:szCs w:val="22"/>
          <w:lang w:val="sr-Latn-BA"/>
        </w:rPr>
        <w:t xml:space="preserve"> i kod kojih hemioterapija još uv</w:t>
      </w:r>
      <w:r w:rsidR="00256BBA" w:rsidRPr="0051150C">
        <w:rPr>
          <w:noProof/>
          <w:szCs w:val="22"/>
          <w:lang w:val="sr-Latn-BA"/>
        </w:rPr>
        <w:t>ij</w:t>
      </w:r>
      <w:r w:rsidRPr="0051150C">
        <w:rPr>
          <w:noProof/>
          <w:szCs w:val="22"/>
          <w:lang w:val="sr-Latn-BA"/>
        </w:rPr>
        <w:t xml:space="preserve">ek nije bila klinički indikovana. Rezultat 0-1 na kratkom upitniku za bol (engl. </w:t>
      </w:r>
      <w:r w:rsidRPr="0051150C">
        <w:rPr>
          <w:i/>
          <w:iCs/>
          <w:noProof/>
          <w:szCs w:val="22"/>
          <w:lang w:val="sr-Latn-BA"/>
        </w:rPr>
        <w:t>Brief Pain Inventory-Short Form</w:t>
      </w:r>
      <w:r w:rsidRPr="0051150C">
        <w:rPr>
          <w:noProof/>
          <w:szCs w:val="22"/>
          <w:lang w:val="sr-Latn-BA"/>
        </w:rPr>
        <w:t>, BPI-SF) za najjači bol u posl</w:t>
      </w:r>
      <w:r w:rsidR="00256BBA" w:rsidRPr="0051150C">
        <w:rPr>
          <w:noProof/>
          <w:szCs w:val="22"/>
          <w:lang w:val="sr-Latn-BA"/>
        </w:rPr>
        <w:t>j</w:t>
      </w:r>
      <w:r w:rsidRPr="0051150C">
        <w:rPr>
          <w:noProof/>
          <w:szCs w:val="22"/>
          <w:lang w:val="sr-Latn-BA"/>
        </w:rPr>
        <w:t xml:space="preserve">ednja 24 sata se smatrao asimptomatskim, a rezultat 2-3 je smatran blago simptomatski. </w:t>
      </w:r>
    </w:p>
    <w:p w14:paraId="6DA72E38" w14:textId="77777777" w:rsidR="005A3843" w:rsidRPr="0051150C" w:rsidRDefault="005A3843" w:rsidP="009173F4">
      <w:pPr>
        <w:tabs>
          <w:tab w:val="clear" w:pos="284"/>
        </w:tabs>
        <w:autoSpaceDE w:val="0"/>
        <w:autoSpaceDN w:val="0"/>
        <w:adjustRightInd w:val="0"/>
        <w:rPr>
          <w:noProof/>
          <w:szCs w:val="22"/>
          <w:lang w:val="sr-Latn-BA"/>
        </w:rPr>
      </w:pPr>
    </w:p>
    <w:p w14:paraId="59B0E369" w14:textId="55D31540" w:rsidR="005A3843" w:rsidRPr="0051150C" w:rsidRDefault="005A3843" w:rsidP="009173F4">
      <w:pPr>
        <w:tabs>
          <w:tab w:val="clear" w:pos="284"/>
        </w:tabs>
        <w:autoSpaceDE w:val="0"/>
        <w:autoSpaceDN w:val="0"/>
        <w:adjustRightInd w:val="0"/>
        <w:rPr>
          <w:noProof/>
          <w:szCs w:val="22"/>
          <w:lang w:val="sr-Latn-BA"/>
        </w:rPr>
      </w:pPr>
      <w:r w:rsidRPr="0051150C">
        <w:rPr>
          <w:noProof/>
          <w:szCs w:val="22"/>
          <w:lang w:val="sr-Latn-BA"/>
        </w:rPr>
        <w:t>U studiji 302 (n=1088)</w:t>
      </w:r>
      <w:r w:rsidR="004266C7">
        <w:rPr>
          <w:noProof/>
          <w:szCs w:val="22"/>
          <w:lang w:val="sr-Latn-BA"/>
        </w:rPr>
        <w:t>,</w:t>
      </w:r>
      <w:r w:rsidRPr="0051150C">
        <w:rPr>
          <w:noProof/>
          <w:szCs w:val="22"/>
          <w:lang w:val="sr-Latn-BA"/>
        </w:rPr>
        <w:t xml:space="preserve"> </w:t>
      </w:r>
      <w:r w:rsidR="00676BD1" w:rsidRPr="0051150C">
        <w:rPr>
          <w:noProof/>
          <w:szCs w:val="22"/>
          <w:lang w:val="sr-Latn-BA"/>
        </w:rPr>
        <w:t>pros</w:t>
      </w:r>
      <w:r w:rsidR="00256BBA" w:rsidRPr="0051150C">
        <w:rPr>
          <w:noProof/>
          <w:szCs w:val="22"/>
          <w:lang w:val="sr-Latn-BA"/>
        </w:rPr>
        <w:t>j</w:t>
      </w:r>
      <w:r w:rsidR="00676BD1" w:rsidRPr="0051150C">
        <w:rPr>
          <w:noProof/>
          <w:szCs w:val="22"/>
          <w:lang w:val="sr-Latn-BA"/>
        </w:rPr>
        <w:t>ečna starost uključenih pacijenata</w:t>
      </w:r>
      <w:r w:rsidRPr="0051150C">
        <w:rPr>
          <w:noProof/>
          <w:szCs w:val="22"/>
          <w:lang w:val="sr-Latn-BA"/>
        </w:rPr>
        <w:t xml:space="preserve"> je bila 71 godina za pacijente koji su </w:t>
      </w:r>
      <w:r w:rsidR="00F60E41" w:rsidRPr="0051150C">
        <w:rPr>
          <w:noProof/>
          <w:szCs w:val="22"/>
          <w:lang w:val="sr-Latn-BA"/>
        </w:rPr>
        <w:t xml:space="preserve">uzimali abirateron </w:t>
      </w:r>
      <w:r w:rsidR="00676BD1" w:rsidRPr="0051150C">
        <w:rPr>
          <w:noProof/>
          <w:szCs w:val="22"/>
          <w:lang w:val="sr-Latn-BA"/>
        </w:rPr>
        <w:t xml:space="preserve">acetat </w:t>
      </w:r>
      <w:r w:rsidRPr="0051150C">
        <w:rPr>
          <w:noProof/>
          <w:szCs w:val="22"/>
          <w:lang w:val="sr-Latn-BA"/>
        </w:rPr>
        <w:t>uz prednizon ili prednizolon</w:t>
      </w:r>
      <w:r w:rsidR="004266C7">
        <w:rPr>
          <w:noProof/>
          <w:szCs w:val="22"/>
          <w:lang w:val="sr-Latn-BA"/>
        </w:rPr>
        <w:t>,</w:t>
      </w:r>
      <w:r w:rsidRPr="0051150C">
        <w:rPr>
          <w:noProof/>
          <w:szCs w:val="22"/>
          <w:lang w:val="sr-Latn-BA"/>
        </w:rPr>
        <w:t xml:space="preserve"> i 70 godina za pacijente koji su dobijali placebo uz prednizon ili prednizolon. Bro</w:t>
      </w:r>
      <w:r w:rsidR="00F60E41" w:rsidRPr="0051150C">
        <w:rPr>
          <w:noProof/>
          <w:szCs w:val="22"/>
          <w:lang w:val="sr-Latn-BA"/>
        </w:rPr>
        <w:t>j pacijenata koji su uzimali</w:t>
      </w:r>
      <w:r w:rsidRPr="0051150C">
        <w:rPr>
          <w:noProof/>
          <w:szCs w:val="22"/>
          <w:lang w:val="sr-Latn-BA"/>
        </w:rPr>
        <w:t xml:space="preserve"> </w:t>
      </w:r>
      <w:r w:rsidR="00F60E41" w:rsidRPr="0051150C">
        <w:rPr>
          <w:noProof/>
          <w:szCs w:val="22"/>
          <w:lang w:val="sr-Latn-BA"/>
        </w:rPr>
        <w:t xml:space="preserve">abirateron </w:t>
      </w:r>
      <w:r w:rsidR="00676BD1" w:rsidRPr="0051150C">
        <w:rPr>
          <w:noProof/>
          <w:szCs w:val="22"/>
          <w:lang w:val="sr-Latn-BA"/>
        </w:rPr>
        <w:t>acetat</w:t>
      </w:r>
      <w:r w:rsidRPr="0051150C">
        <w:rPr>
          <w:noProof/>
          <w:szCs w:val="22"/>
          <w:lang w:val="sr-Latn-BA"/>
        </w:rPr>
        <w:t>, prema rasnim grupama, bio je sl</w:t>
      </w:r>
      <w:r w:rsidR="00256BBA" w:rsidRPr="0051150C">
        <w:rPr>
          <w:noProof/>
          <w:szCs w:val="22"/>
          <w:lang w:val="sr-Latn-BA"/>
        </w:rPr>
        <w:t>j</w:t>
      </w:r>
      <w:r w:rsidRPr="0051150C">
        <w:rPr>
          <w:noProof/>
          <w:szCs w:val="22"/>
          <w:lang w:val="sr-Latn-BA"/>
        </w:rPr>
        <w:t>edeći: b</w:t>
      </w:r>
      <w:r w:rsidR="00256BBA" w:rsidRPr="0051150C">
        <w:rPr>
          <w:noProof/>
          <w:szCs w:val="22"/>
          <w:lang w:val="sr-Latn-BA"/>
        </w:rPr>
        <w:t>ij</w:t>
      </w:r>
      <w:r w:rsidRPr="0051150C">
        <w:rPr>
          <w:noProof/>
          <w:szCs w:val="22"/>
          <w:lang w:val="sr-Latn-BA"/>
        </w:rPr>
        <w:t xml:space="preserve">ela rasa 520 (95,4%), crna rasa 15 (2,8%), azijati 4 (0,7%) i ostali 6 (1,1%). </w:t>
      </w:r>
      <w:r w:rsidR="00676BD1" w:rsidRPr="0051150C">
        <w:rPr>
          <w:noProof/>
          <w:szCs w:val="22"/>
          <w:lang w:val="sr-Latn-BA"/>
        </w:rPr>
        <w:t>E</w:t>
      </w:r>
      <w:r w:rsidRPr="0051150C">
        <w:rPr>
          <w:noProof/>
          <w:szCs w:val="22"/>
          <w:lang w:val="sr-Latn-BA"/>
        </w:rPr>
        <w:t>COG</w:t>
      </w:r>
      <w:r w:rsidR="00676BD1" w:rsidRPr="0051150C">
        <w:rPr>
          <w:noProof/>
          <w:szCs w:val="22"/>
          <w:lang w:val="sr-Latn-BA"/>
        </w:rPr>
        <w:t xml:space="preserve"> </w:t>
      </w:r>
      <w:r w:rsidR="006F3012" w:rsidRPr="0051150C">
        <w:rPr>
          <w:noProof/>
          <w:szCs w:val="22"/>
          <w:lang w:val="sr-Latn-BA"/>
        </w:rPr>
        <w:t xml:space="preserve">fukcionalni </w:t>
      </w:r>
      <w:r w:rsidR="00676BD1" w:rsidRPr="0051150C">
        <w:rPr>
          <w:noProof/>
          <w:szCs w:val="22"/>
          <w:lang w:val="sr-Latn-BA"/>
        </w:rPr>
        <w:t xml:space="preserve">status </w:t>
      </w:r>
      <w:r w:rsidRPr="0051150C">
        <w:rPr>
          <w:noProof/>
          <w:szCs w:val="22"/>
          <w:lang w:val="sr-Latn-BA"/>
        </w:rPr>
        <w:t>je bio 0 za 76% pacijenata, i 1 za 24% pacijenata u ob</w:t>
      </w:r>
      <w:r w:rsidR="004266C7">
        <w:rPr>
          <w:noProof/>
          <w:szCs w:val="22"/>
          <w:lang w:val="sr-Latn-BA"/>
        </w:rPr>
        <w:t>j</w:t>
      </w:r>
      <w:r w:rsidRPr="0051150C">
        <w:rPr>
          <w:noProof/>
          <w:szCs w:val="22"/>
          <w:lang w:val="sr-Latn-BA"/>
        </w:rPr>
        <w:t xml:space="preserve">e grupe. </w:t>
      </w:r>
      <w:r w:rsidR="00676BD1" w:rsidRPr="0051150C">
        <w:rPr>
          <w:noProof/>
          <w:szCs w:val="22"/>
          <w:lang w:val="sr-Latn-BA"/>
        </w:rPr>
        <w:t xml:space="preserve">50% </w:t>
      </w:r>
      <w:r w:rsidRPr="0051150C">
        <w:rPr>
          <w:noProof/>
          <w:szCs w:val="22"/>
          <w:lang w:val="sr-Latn-BA"/>
        </w:rPr>
        <w:t>pacijenata su imali samo metastaze na kostima, dodatnih 31% pacijenata je imalo metastaze na kostima i mekim tkivima ili limfnim nodusim</w:t>
      </w:r>
      <w:r w:rsidR="006F3012" w:rsidRPr="0051150C">
        <w:rPr>
          <w:noProof/>
          <w:szCs w:val="22"/>
          <w:lang w:val="sr-Latn-BA"/>
        </w:rPr>
        <w:t xml:space="preserve">a, dok je 19% pacijenata </w:t>
      </w:r>
      <w:r w:rsidRPr="0051150C">
        <w:rPr>
          <w:noProof/>
          <w:szCs w:val="22"/>
          <w:lang w:val="sr-Latn-BA"/>
        </w:rPr>
        <w:t xml:space="preserve">imalo samo metastaze na mekom tkivu ili limfnom nodusu. Pacijenti sa visceralnim mestastazama su bili isključeni. </w:t>
      </w:r>
      <w:r w:rsidR="00083A08">
        <w:rPr>
          <w:noProof/>
          <w:szCs w:val="22"/>
          <w:lang w:val="sr-Latn-BA"/>
        </w:rPr>
        <w:t>Koprimarni</w:t>
      </w:r>
      <w:r w:rsidR="00B8783A">
        <w:rPr>
          <w:noProof/>
          <w:szCs w:val="22"/>
          <w:lang w:val="sr-Latn-BA"/>
        </w:rPr>
        <w:t xml:space="preserve"> parametri </w:t>
      </w:r>
      <w:r w:rsidRPr="0051150C">
        <w:rPr>
          <w:noProof/>
          <w:szCs w:val="22"/>
          <w:lang w:val="sr-Latn-BA"/>
        </w:rPr>
        <w:t xml:space="preserve">praćenja efikasnosti bili su ukupno preživljavanje i preživljavanje bez radiografske progresije (rPFS). Dodatno uz </w:t>
      </w:r>
      <w:r w:rsidR="00083A08">
        <w:rPr>
          <w:noProof/>
          <w:szCs w:val="22"/>
          <w:lang w:val="sr-Latn-BA"/>
        </w:rPr>
        <w:t>ko</w:t>
      </w:r>
      <w:r w:rsidRPr="0051150C">
        <w:rPr>
          <w:noProof/>
          <w:szCs w:val="22"/>
          <w:lang w:val="sr-Latn-BA"/>
        </w:rPr>
        <w:t>primarne parametre praćenja ishoda, korist je takođe proc</w:t>
      </w:r>
      <w:r w:rsidR="00256BBA" w:rsidRPr="0051150C">
        <w:rPr>
          <w:noProof/>
          <w:szCs w:val="22"/>
          <w:lang w:val="sr-Latn-BA"/>
        </w:rPr>
        <w:t>j</w:t>
      </w:r>
      <w:r w:rsidRPr="0051150C">
        <w:rPr>
          <w:noProof/>
          <w:szCs w:val="22"/>
          <w:lang w:val="sr-Latn-BA"/>
        </w:rPr>
        <w:t>enjivana vremenom do uzimanja opijata za bol karcinomskog por</w:t>
      </w:r>
      <w:r w:rsidR="00256BBA" w:rsidRPr="0051150C">
        <w:rPr>
          <w:noProof/>
          <w:szCs w:val="22"/>
          <w:lang w:val="sr-Latn-BA"/>
        </w:rPr>
        <w:t>ij</w:t>
      </w:r>
      <w:r w:rsidRPr="0051150C">
        <w:rPr>
          <w:noProof/>
          <w:szCs w:val="22"/>
          <w:lang w:val="sr-Latn-BA"/>
        </w:rPr>
        <w:t xml:space="preserve">ekla, vremenom do započinjanja citotoksične hemioterapije, vremenom do pogoršanja </w:t>
      </w:r>
      <w:r w:rsidR="00096FAA" w:rsidRPr="0051150C">
        <w:rPr>
          <w:noProof/>
          <w:szCs w:val="22"/>
          <w:lang w:val="sr-Latn-BA"/>
        </w:rPr>
        <w:t>vrijednost</w:t>
      </w:r>
      <w:r w:rsidRPr="0051150C">
        <w:rPr>
          <w:noProof/>
          <w:szCs w:val="22"/>
          <w:lang w:val="sr-Latn-BA"/>
        </w:rPr>
        <w:t xml:space="preserve">i ECOG funkcionalnog statusa ≥ 1 i vremenom do progresije </w:t>
      </w:r>
      <w:r w:rsidR="00096FAA" w:rsidRPr="0051150C">
        <w:rPr>
          <w:noProof/>
          <w:szCs w:val="22"/>
          <w:lang w:val="sr-Latn-BA"/>
        </w:rPr>
        <w:t>vrijednost</w:t>
      </w:r>
      <w:r w:rsidRPr="0051150C">
        <w:rPr>
          <w:noProof/>
          <w:szCs w:val="22"/>
          <w:lang w:val="sr-Latn-BA"/>
        </w:rPr>
        <w:t xml:space="preserve">i PSA zasnovanom na kriterijumu Radne </w:t>
      </w:r>
      <w:r w:rsidR="00083A08">
        <w:rPr>
          <w:noProof/>
          <w:szCs w:val="22"/>
          <w:lang w:val="sr-Latn-BA"/>
        </w:rPr>
        <w:t>g</w:t>
      </w:r>
      <w:r w:rsidR="00083A08" w:rsidRPr="0051150C">
        <w:rPr>
          <w:noProof/>
          <w:szCs w:val="22"/>
          <w:lang w:val="sr-Latn-BA"/>
        </w:rPr>
        <w:t xml:space="preserve">rupe </w:t>
      </w:r>
      <w:r w:rsidRPr="0051150C">
        <w:rPr>
          <w:noProof/>
          <w:szCs w:val="22"/>
          <w:lang w:val="sr-Latn-BA"/>
        </w:rPr>
        <w:t xml:space="preserve">za </w:t>
      </w:r>
      <w:r w:rsidR="00083A08">
        <w:rPr>
          <w:noProof/>
          <w:szCs w:val="22"/>
          <w:lang w:val="sr-Latn-BA"/>
        </w:rPr>
        <w:t>k</w:t>
      </w:r>
      <w:r w:rsidR="00083A08" w:rsidRPr="0051150C">
        <w:rPr>
          <w:noProof/>
          <w:szCs w:val="22"/>
          <w:lang w:val="sr-Latn-BA"/>
        </w:rPr>
        <w:t xml:space="preserve">arcinom </w:t>
      </w:r>
      <w:r w:rsidR="00083A08">
        <w:rPr>
          <w:noProof/>
          <w:szCs w:val="22"/>
          <w:lang w:val="sr-Latn-BA"/>
        </w:rPr>
        <w:t>p</w:t>
      </w:r>
      <w:r w:rsidR="00083A08" w:rsidRPr="0051150C">
        <w:rPr>
          <w:noProof/>
          <w:szCs w:val="22"/>
          <w:lang w:val="sr-Latn-BA"/>
        </w:rPr>
        <w:t xml:space="preserve">rostate </w:t>
      </w:r>
      <w:r w:rsidRPr="0051150C">
        <w:rPr>
          <w:noProof/>
          <w:szCs w:val="22"/>
          <w:lang w:val="sr-Latn-BA"/>
        </w:rPr>
        <w:t xml:space="preserve">2 (engl. </w:t>
      </w:r>
      <w:r w:rsidRPr="0051150C">
        <w:rPr>
          <w:i/>
          <w:iCs/>
          <w:noProof/>
          <w:szCs w:val="22"/>
          <w:lang w:val="sr-Latn-BA"/>
        </w:rPr>
        <w:t>Prostate Cancer Working Group-2</w:t>
      </w:r>
      <w:r w:rsidRPr="0051150C">
        <w:rPr>
          <w:noProof/>
          <w:szCs w:val="22"/>
          <w:lang w:val="sr-Latn-BA"/>
        </w:rPr>
        <w:t>, PCWG2). Terapije u studiji su bile prekinute kada je nedvosmisleno došlo do kliničke progresije. Terapije su takođe bile prekinute u vr</w:t>
      </w:r>
      <w:r w:rsidR="00256BBA" w:rsidRPr="0051150C">
        <w:rPr>
          <w:noProof/>
          <w:szCs w:val="22"/>
          <w:lang w:val="sr-Latn-BA"/>
        </w:rPr>
        <w:t>ij</w:t>
      </w:r>
      <w:r w:rsidRPr="0051150C">
        <w:rPr>
          <w:noProof/>
          <w:szCs w:val="22"/>
          <w:lang w:val="sr-Latn-BA"/>
        </w:rPr>
        <w:t xml:space="preserve">eme potvrđene radiografske progresije po nahođenju istraživača. </w:t>
      </w:r>
    </w:p>
    <w:p w14:paraId="0B960806" w14:textId="6987D6DD" w:rsidR="005A3843" w:rsidRPr="0051150C" w:rsidRDefault="005A3843" w:rsidP="009173F4">
      <w:pPr>
        <w:tabs>
          <w:tab w:val="clear" w:pos="284"/>
        </w:tabs>
        <w:autoSpaceDE w:val="0"/>
        <w:autoSpaceDN w:val="0"/>
        <w:adjustRightInd w:val="0"/>
        <w:rPr>
          <w:noProof/>
          <w:szCs w:val="22"/>
          <w:lang w:val="sr-Latn-BA"/>
        </w:rPr>
      </w:pPr>
      <w:r w:rsidRPr="0051150C">
        <w:rPr>
          <w:noProof/>
          <w:szCs w:val="22"/>
          <w:lang w:val="sr-Latn-BA"/>
        </w:rPr>
        <w:lastRenderedPageBreak/>
        <w:t>Preživljavanje bez radiografske progresije (rPFS) je proc</w:t>
      </w:r>
      <w:r w:rsidR="00256BBA" w:rsidRPr="0051150C">
        <w:rPr>
          <w:noProof/>
          <w:szCs w:val="22"/>
          <w:lang w:val="sr-Latn-BA"/>
        </w:rPr>
        <w:t>ij</w:t>
      </w:r>
      <w:r w:rsidRPr="0051150C">
        <w:rPr>
          <w:noProof/>
          <w:szCs w:val="22"/>
          <w:lang w:val="sr-Latn-BA"/>
        </w:rPr>
        <w:t xml:space="preserve">enjeno upotrebom </w:t>
      </w:r>
      <w:r w:rsidR="00F60E41" w:rsidRPr="0051150C">
        <w:rPr>
          <w:noProof/>
          <w:szCs w:val="22"/>
          <w:lang w:val="sr-Latn-BA"/>
        </w:rPr>
        <w:t>sekvencijalnog snimanja</w:t>
      </w:r>
      <w:r w:rsidRPr="0051150C">
        <w:rPr>
          <w:noProof/>
          <w:szCs w:val="22"/>
          <w:lang w:val="sr-Latn-BA"/>
        </w:rPr>
        <w:t xml:space="preserve"> (engl. </w:t>
      </w:r>
      <w:r w:rsidRPr="0051150C">
        <w:rPr>
          <w:i/>
          <w:iCs/>
          <w:noProof/>
          <w:szCs w:val="22"/>
          <w:lang w:val="sr-Latn-BA"/>
        </w:rPr>
        <w:t>sequential imaging studies</w:t>
      </w:r>
      <w:r w:rsidRPr="0051150C">
        <w:rPr>
          <w:noProof/>
          <w:szCs w:val="22"/>
          <w:lang w:val="sr-Latn-BA"/>
        </w:rPr>
        <w:t xml:space="preserve">), kao što je definisano PCWG2 kriterijumima (za lezije na kostima) i modifikovanim Kriterijumima za evaluaciju odgovora kod solidnih tumora (engl. </w:t>
      </w:r>
      <w:r w:rsidRPr="0051150C">
        <w:rPr>
          <w:i/>
          <w:iCs/>
          <w:noProof/>
          <w:szCs w:val="22"/>
          <w:lang w:val="sr-Latn-BA"/>
        </w:rPr>
        <w:t>Response Evaluation Criteria In Solid Tumors</w:t>
      </w:r>
      <w:r w:rsidRPr="0051150C">
        <w:rPr>
          <w:noProof/>
          <w:szCs w:val="22"/>
          <w:lang w:val="sr-Latn-BA"/>
        </w:rPr>
        <w:t>, RECIST) (za lezije na mekim tkivima). U analizi rPFS je korišćen centralni pregled radiografske proc</w:t>
      </w:r>
      <w:r w:rsidR="00256BBA" w:rsidRPr="0051150C">
        <w:rPr>
          <w:noProof/>
          <w:szCs w:val="22"/>
          <w:lang w:val="sr-Latn-BA"/>
        </w:rPr>
        <w:t>j</w:t>
      </w:r>
      <w:r w:rsidRPr="0051150C">
        <w:rPr>
          <w:noProof/>
          <w:szCs w:val="22"/>
          <w:lang w:val="sr-Latn-BA"/>
        </w:rPr>
        <w:t xml:space="preserve">ene progresije. </w:t>
      </w:r>
    </w:p>
    <w:p w14:paraId="2AED344B" w14:textId="77777777" w:rsidR="005A3843" w:rsidRPr="0051150C" w:rsidRDefault="005A3843" w:rsidP="009173F4">
      <w:pPr>
        <w:tabs>
          <w:tab w:val="clear" w:pos="284"/>
        </w:tabs>
        <w:autoSpaceDE w:val="0"/>
        <w:autoSpaceDN w:val="0"/>
        <w:adjustRightInd w:val="0"/>
        <w:rPr>
          <w:noProof/>
          <w:szCs w:val="22"/>
          <w:lang w:val="sr-Latn-BA"/>
        </w:rPr>
      </w:pPr>
    </w:p>
    <w:p w14:paraId="197742BA" w14:textId="2F729D67" w:rsidR="005A3843" w:rsidRPr="0051150C" w:rsidRDefault="005A3843" w:rsidP="009173F4">
      <w:pPr>
        <w:tabs>
          <w:tab w:val="clear" w:pos="284"/>
        </w:tabs>
        <w:autoSpaceDE w:val="0"/>
        <w:autoSpaceDN w:val="0"/>
        <w:adjustRightInd w:val="0"/>
        <w:rPr>
          <w:noProof/>
          <w:szCs w:val="22"/>
          <w:lang w:val="sr-Latn-BA"/>
        </w:rPr>
      </w:pPr>
      <w:r w:rsidRPr="0051150C">
        <w:rPr>
          <w:noProof/>
          <w:szCs w:val="22"/>
          <w:lang w:val="sr-Latn-BA"/>
        </w:rPr>
        <w:t>U planiranoj rPFS analizi bio je 401 događaj, 15</w:t>
      </w:r>
      <w:r w:rsidR="00B93F6A" w:rsidRPr="0051150C">
        <w:rPr>
          <w:noProof/>
          <w:szCs w:val="22"/>
          <w:lang w:val="sr-Latn-BA"/>
        </w:rPr>
        <w:t>0 (28%) pacijenata koji su dobi</w:t>
      </w:r>
      <w:r w:rsidRPr="0051150C">
        <w:rPr>
          <w:noProof/>
          <w:szCs w:val="22"/>
          <w:lang w:val="sr-Latn-BA"/>
        </w:rPr>
        <w:t xml:space="preserve">li </w:t>
      </w:r>
      <w:r w:rsidR="00096FAA" w:rsidRPr="0051150C">
        <w:rPr>
          <w:noProof/>
          <w:szCs w:val="22"/>
          <w:lang w:val="sr-Latn-BA"/>
        </w:rPr>
        <w:t>lijek</w:t>
      </w:r>
      <w:r w:rsidRPr="0051150C">
        <w:rPr>
          <w:noProof/>
          <w:szCs w:val="22"/>
          <w:lang w:val="sr-Latn-BA"/>
        </w:rPr>
        <w:t xml:space="preserve"> </w:t>
      </w:r>
      <w:r w:rsidR="00FC00D7" w:rsidRPr="0051150C">
        <w:rPr>
          <w:noProof/>
          <w:szCs w:val="22"/>
          <w:lang w:val="sr-Latn-BA"/>
        </w:rPr>
        <w:t xml:space="preserve">abirateron </w:t>
      </w:r>
      <w:r w:rsidR="00B93F6A" w:rsidRPr="0051150C">
        <w:rPr>
          <w:noProof/>
          <w:szCs w:val="22"/>
          <w:lang w:val="sr-Latn-BA"/>
        </w:rPr>
        <w:t>acetat</w:t>
      </w:r>
      <w:r w:rsidRPr="0051150C">
        <w:rPr>
          <w:noProof/>
          <w:szCs w:val="22"/>
          <w:lang w:val="sr-Latn-BA"/>
        </w:rPr>
        <w:t xml:space="preserve"> i 251 (46%)</w:t>
      </w:r>
      <w:r w:rsidR="00EF5BCD" w:rsidRPr="0051150C">
        <w:rPr>
          <w:noProof/>
          <w:szCs w:val="22"/>
          <w:lang w:val="sr-Latn-BA"/>
        </w:rPr>
        <w:t xml:space="preserve"> pacijenata </w:t>
      </w:r>
      <w:r w:rsidR="00083A08">
        <w:rPr>
          <w:noProof/>
          <w:szCs w:val="22"/>
          <w:lang w:val="sr-Latn-BA"/>
        </w:rPr>
        <w:t xml:space="preserve">koji </w:t>
      </w:r>
      <w:r w:rsidR="00EF5BCD" w:rsidRPr="0051150C">
        <w:rPr>
          <w:noProof/>
          <w:szCs w:val="22"/>
          <w:lang w:val="sr-Latn-BA"/>
        </w:rPr>
        <w:t>su dobi</w:t>
      </w:r>
      <w:r w:rsidRPr="0051150C">
        <w:rPr>
          <w:noProof/>
          <w:szCs w:val="22"/>
          <w:lang w:val="sr-Latn-BA"/>
        </w:rPr>
        <w:t>li placebo</w:t>
      </w:r>
      <w:r w:rsidR="00083A08">
        <w:rPr>
          <w:noProof/>
          <w:szCs w:val="22"/>
          <w:lang w:val="sr-Latn-BA"/>
        </w:rPr>
        <w:t>,</w:t>
      </w:r>
      <w:r w:rsidRPr="0051150C">
        <w:rPr>
          <w:noProof/>
          <w:szCs w:val="22"/>
          <w:lang w:val="sr-Latn-BA"/>
        </w:rPr>
        <w:t xml:space="preserve"> imali </w:t>
      </w:r>
      <w:r w:rsidR="00083A08">
        <w:rPr>
          <w:noProof/>
          <w:szCs w:val="22"/>
          <w:lang w:val="sr-Latn-BA"/>
        </w:rPr>
        <w:t xml:space="preserve">su </w:t>
      </w:r>
      <w:r w:rsidR="00083A08" w:rsidRPr="0051150C">
        <w:rPr>
          <w:noProof/>
          <w:szCs w:val="22"/>
          <w:lang w:val="sr-Latn-BA"/>
        </w:rPr>
        <w:t>radiografsk</w:t>
      </w:r>
      <w:r w:rsidR="00083A08">
        <w:rPr>
          <w:noProof/>
          <w:szCs w:val="22"/>
          <w:lang w:val="sr-Latn-BA"/>
        </w:rPr>
        <w:t>e</w:t>
      </w:r>
      <w:r w:rsidR="00083A08" w:rsidRPr="0051150C">
        <w:rPr>
          <w:noProof/>
          <w:szCs w:val="22"/>
          <w:lang w:val="sr-Latn-BA"/>
        </w:rPr>
        <w:t xml:space="preserve"> </w:t>
      </w:r>
      <w:r w:rsidRPr="0051150C">
        <w:rPr>
          <w:noProof/>
          <w:szCs w:val="22"/>
          <w:lang w:val="sr-Latn-BA"/>
        </w:rPr>
        <w:t>dokaze progresije ili su umrli. Prim</w:t>
      </w:r>
      <w:r w:rsidR="00256BBA" w:rsidRPr="0051150C">
        <w:rPr>
          <w:noProof/>
          <w:szCs w:val="22"/>
          <w:lang w:val="sr-Latn-BA"/>
        </w:rPr>
        <w:t>ij</w:t>
      </w:r>
      <w:r w:rsidRPr="0051150C">
        <w:rPr>
          <w:noProof/>
          <w:szCs w:val="22"/>
          <w:lang w:val="sr-Latn-BA"/>
        </w:rPr>
        <w:t>ećena je značajna razlika u rPFS između terapijskih grupa (</w:t>
      </w:r>
      <w:r w:rsidR="00096FAA" w:rsidRPr="0051150C">
        <w:rPr>
          <w:noProof/>
          <w:szCs w:val="22"/>
          <w:lang w:val="sr-Latn-BA"/>
        </w:rPr>
        <w:t>vidjeti</w:t>
      </w:r>
      <w:r w:rsidRPr="0051150C">
        <w:rPr>
          <w:noProof/>
          <w:szCs w:val="22"/>
          <w:lang w:val="sr-Latn-BA"/>
        </w:rPr>
        <w:t xml:space="preserve"> Tabelu 4 i Sliku 3).</w:t>
      </w:r>
    </w:p>
    <w:p w14:paraId="73D0FF4B" w14:textId="2C186697" w:rsidR="00EF5BCD" w:rsidRPr="0051150C" w:rsidRDefault="00EF5BCD" w:rsidP="009173F4">
      <w:pPr>
        <w:tabs>
          <w:tab w:val="clear" w:pos="284"/>
        </w:tabs>
        <w:autoSpaceDE w:val="0"/>
        <w:autoSpaceDN w:val="0"/>
        <w:adjustRightInd w:val="0"/>
        <w:rPr>
          <w:noProof/>
          <w:szCs w:val="22"/>
          <w:lang w:val="sr-Latn-BA"/>
        </w:rPr>
      </w:pPr>
    </w:p>
    <w:p w14:paraId="58D82446" w14:textId="77FF78D8" w:rsidR="00EF5BCD" w:rsidRPr="0051150C" w:rsidRDefault="00EF5BCD" w:rsidP="00410EF6">
      <w:pPr>
        <w:pBdr>
          <w:bottom w:val="single" w:sz="4" w:space="1" w:color="auto"/>
        </w:pBdr>
        <w:tabs>
          <w:tab w:val="clear" w:pos="284"/>
        </w:tabs>
        <w:autoSpaceDE w:val="0"/>
        <w:autoSpaceDN w:val="0"/>
        <w:adjustRightInd w:val="0"/>
        <w:rPr>
          <w:rFonts w:eastAsia="TimesNewRoman,Bold"/>
          <w:b/>
          <w:bCs/>
          <w:noProof/>
          <w:szCs w:val="22"/>
          <w:lang w:val="sr-Latn-BA"/>
        </w:rPr>
      </w:pPr>
      <w:r w:rsidRPr="0051150C">
        <w:rPr>
          <w:rFonts w:eastAsia="TimesNewRoman,Bold"/>
          <w:b/>
          <w:bCs/>
          <w:noProof/>
          <w:szCs w:val="22"/>
          <w:lang w:val="sr-Latn-BA"/>
        </w:rPr>
        <w:t>Tabela</w:t>
      </w:r>
      <w:r w:rsidRPr="0051150C">
        <w:rPr>
          <w:rFonts w:eastAsia="TimesNewRoman,Bold"/>
          <w:bCs/>
          <w:noProof/>
          <w:szCs w:val="22"/>
          <w:lang w:val="sr-Latn-BA"/>
        </w:rPr>
        <w:t xml:space="preserve"> </w:t>
      </w:r>
      <w:r w:rsidRPr="0051150C">
        <w:rPr>
          <w:rFonts w:eastAsia="TimesNewRoman,Bold"/>
          <w:b/>
          <w:bCs/>
          <w:noProof/>
          <w:szCs w:val="22"/>
          <w:lang w:val="sr-Latn-BA"/>
        </w:rPr>
        <w:t>4</w:t>
      </w:r>
      <w:r w:rsidRPr="0051150C">
        <w:rPr>
          <w:rFonts w:eastAsia="TimesNewRoman,Bold"/>
          <w:bCs/>
          <w:noProof/>
          <w:szCs w:val="22"/>
          <w:lang w:val="sr-Latn-BA"/>
        </w:rPr>
        <w:t xml:space="preserve">: </w:t>
      </w:r>
      <w:r w:rsidRPr="0051150C">
        <w:rPr>
          <w:rFonts w:eastAsia="TimesNewRoman,Bold"/>
          <w:b/>
          <w:bCs/>
          <w:noProof/>
          <w:szCs w:val="22"/>
          <w:lang w:val="sr-Latn-BA"/>
        </w:rPr>
        <w:t xml:space="preserve">Studija 302: Preživljavanje bez radiografske progresije kod pacijenata koji su dobijali </w:t>
      </w:r>
      <w:r w:rsidR="00FC00D7" w:rsidRPr="0051150C">
        <w:rPr>
          <w:rFonts w:eastAsia="TimesNewRoman,Bold"/>
          <w:b/>
          <w:bCs/>
          <w:noProof/>
          <w:szCs w:val="22"/>
          <w:lang w:val="sr-Latn-BA"/>
        </w:rPr>
        <w:t>abiratero</w:t>
      </w:r>
      <w:r w:rsidR="00BE063A" w:rsidRPr="0051150C">
        <w:rPr>
          <w:rFonts w:eastAsia="TimesNewRoman,Bold"/>
          <w:b/>
          <w:bCs/>
          <w:noProof/>
          <w:szCs w:val="22"/>
          <w:lang w:val="sr-Latn-BA"/>
        </w:rPr>
        <w:t>n a</w:t>
      </w:r>
      <w:r w:rsidR="00D53846" w:rsidRPr="0051150C">
        <w:rPr>
          <w:rFonts w:eastAsia="TimesNewRoman,Bold"/>
          <w:b/>
          <w:bCs/>
          <w:noProof/>
          <w:szCs w:val="22"/>
          <w:lang w:val="sr-Latn-BA"/>
        </w:rPr>
        <w:t>cetat</w:t>
      </w:r>
      <w:r w:rsidRPr="0051150C">
        <w:rPr>
          <w:rFonts w:eastAsia="TimesNewRoman,Bold"/>
          <w:b/>
          <w:bCs/>
          <w:noProof/>
          <w:szCs w:val="22"/>
          <w:lang w:val="sr-Latn-BA"/>
        </w:rPr>
        <w:t xml:space="preserve"> ili placebo u kombinaciji sa prednizonom ili prednizolonom uz analoge LHRH ili prethodnu</w:t>
      </w:r>
      <w:r w:rsidR="00BE063A" w:rsidRPr="0051150C">
        <w:rPr>
          <w:rFonts w:eastAsia="TimesNewRoman,Bold"/>
          <w:b/>
          <w:bCs/>
          <w:noProof/>
          <w:szCs w:val="22"/>
          <w:lang w:val="sr-Latn-BA"/>
        </w:rPr>
        <w:t xml:space="preserve"> </w:t>
      </w:r>
      <w:r w:rsidRPr="0051150C">
        <w:rPr>
          <w:rFonts w:eastAsia="TimesNewRoman,Bold"/>
          <w:b/>
          <w:bCs/>
          <w:noProof/>
          <w:szCs w:val="22"/>
          <w:lang w:val="sr-Latn-BA"/>
        </w:rPr>
        <w:t>orhiektomiju</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39"/>
        <w:gridCol w:w="3105"/>
        <w:gridCol w:w="3089"/>
      </w:tblGrid>
      <w:tr w:rsidR="00EF5BCD" w:rsidRPr="0051150C" w14:paraId="02A4D18F" w14:textId="77777777" w:rsidTr="00FC00D7">
        <w:tc>
          <w:tcPr>
            <w:tcW w:w="3285" w:type="dxa"/>
            <w:tcBorders>
              <w:top w:val="nil"/>
              <w:bottom w:val="single" w:sz="4" w:space="0" w:color="auto"/>
              <w:right w:val="nil"/>
            </w:tcBorders>
          </w:tcPr>
          <w:p w14:paraId="19982B81" w14:textId="505554D2" w:rsidR="00EF5BCD" w:rsidRPr="0051150C" w:rsidRDefault="00EF5BCD" w:rsidP="00FC00D7">
            <w:pPr>
              <w:tabs>
                <w:tab w:val="clear" w:pos="284"/>
              </w:tabs>
              <w:autoSpaceDE w:val="0"/>
              <w:autoSpaceDN w:val="0"/>
              <w:adjustRightInd w:val="0"/>
              <w:spacing w:line="276" w:lineRule="auto"/>
              <w:jc w:val="center"/>
              <w:rPr>
                <w:b/>
                <w:noProof/>
                <w:szCs w:val="22"/>
                <w:lang w:val="sr-Latn-BA"/>
              </w:rPr>
            </w:pPr>
          </w:p>
        </w:tc>
        <w:tc>
          <w:tcPr>
            <w:tcW w:w="3285" w:type="dxa"/>
            <w:tcBorders>
              <w:top w:val="nil"/>
              <w:left w:val="nil"/>
              <w:bottom w:val="single" w:sz="4" w:space="0" w:color="auto"/>
              <w:right w:val="nil"/>
            </w:tcBorders>
          </w:tcPr>
          <w:p w14:paraId="7DC9AC95" w14:textId="5B0D42D2" w:rsidR="00EF5BCD" w:rsidRPr="0051150C" w:rsidRDefault="00D53846"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Abirateron</w:t>
            </w:r>
            <w:r w:rsidR="00083A08">
              <w:rPr>
                <w:noProof/>
                <w:szCs w:val="22"/>
                <w:lang w:val="sr-Latn-BA"/>
              </w:rPr>
              <w:t xml:space="preserve"> </w:t>
            </w:r>
            <w:r w:rsidRPr="0051150C">
              <w:rPr>
                <w:noProof/>
                <w:szCs w:val="22"/>
                <w:lang w:val="sr-Latn-BA"/>
              </w:rPr>
              <w:t>acetat</w:t>
            </w:r>
          </w:p>
          <w:p w14:paraId="3CEEBD3A" w14:textId="57455F4B" w:rsidR="00EF5BCD" w:rsidRPr="0051150C" w:rsidRDefault="00EF5BCD"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(N=</w:t>
            </w:r>
            <w:r w:rsidR="00B76A82" w:rsidRPr="0051150C">
              <w:rPr>
                <w:noProof/>
                <w:szCs w:val="22"/>
                <w:lang w:val="sr-Latn-BA"/>
              </w:rPr>
              <w:t>546</w:t>
            </w:r>
            <w:r w:rsidRPr="0051150C">
              <w:rPr>
                <w:noProof/>
                <w:szCs w:val="22"/>
                <w:lang w:val="sr-Latn-BA"/>
              </w:rPr>
              <w:t>)</w:t>
            </w:r>
          </w:p>
        </w:tc>
        <w:tc>
          <w:tcPr>
            <w:tcW w:w="3285" w:type="dxa"/>
            <w:tcBorders>
              <w:left w:val="nil"/>
              <w:bottom w:val="single" w:sz="4" w:space="0" w:color="auto"/>
            </w:tcBorders>
          </w:tcPr>
          <w:p w14:paraId="2DDE1F88" w14:textId="77777777" w:rsidR="00EF5BCD" w:rsidRPr="0051150C" w:rsidRDefault="00EF5BCD"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Placebo</w:t>
            </w:r>
          </w:p>
          <w:p w14:paraId="3D6C667E" w14:textId="10CE28FB" w:rsidR="00EF5BCD" w:rsidRPr="0051150C" w:rsidRDefault="00EF5BCD"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(N=542)</w:t>
            </w:r>
          </w:p>
        </w:tc>
      </w:tr>
      <w:tr w:rsidR="00FC00D7" w:rsidRPr="001022E6" w14:paraId="006DE6FC" w14:textId="77777777" w:rsidTr="00FC00D7">
        <w:tc>
          <w:tcPr>
            <w:tcW w:w="3285" w:type="dxa"/>
            <w:tcBorders>
              <w:top w:val="single" w:sz="4" w:space="0" w:color="auto"/>
              <w:bottom w:val="nil"/>
              <w:right w:val="nil"/>
            </w:tcBorders>
          </w:tcPr>
          <w:p w14:paraId="1C680780" w14:textId="6C2BE985" w:rsidR="00FC00D7" w:rsidRPr="0051150C" w:rsidRDefault="00FC00D7" w:rsidP="00410EF6">
            <w:pPr>
              <w:tabs>
                <w:tab w:val="clear" w:pos="284"/>
              </w:tabs>
              <w:autoSpaceDE w:val="0"/>
              <w:autoSpaceDN w:val="0"/>
              <w:adjustRightInd w:val="0"/>
              <w:spacing w:line="276" w:lineRule="auto"/>
              <w:jc w:val="left"/>
              <w:rPr>
                <w:noProof/>
                <w:szCs w:val="22"/>
                <w:lang w:val="sr-Latn-BA"/>
              </w:rPr>
            </w:pPr>
            <w:r w:rsidRPr="0051150C">
              <w:rPr>
                <w:b/>
                <w:noProof/>
                <w:szCs w:val="22"/>
                <w:lang w:val="sr-Latn-BA"/>
              </w:rPr>
              <w:t>Preživljavanje bez radiografske progresije (rPFS)</w:t>
            </w:r>
          </w:p>
        </w:tc>
        <w:tc>
          <w:tcPr>
            <w:tcW w:w="3285" w:type="dxa"/>
            <w:tcBorders>
              <w:top w:val="single" w:sz="4" w:space="0" w:color="auto"/>
              <w:left w:val="nil"/>
              <w:bottom w:val="nil"/>
              <w:right w:val="nil"/>
            </w:tcBorders>
          </w:tcPr>
          <w:p w14:paraId="5DF47810" w14:textId="77777777" w:rsidR="00FC00D7" w:rsidRPr="0051150C" w:rsidRDefault="00FC00D7" w:rsidP="00FC00D7">
            <w:pPr>
              <w:tabs>
                <w:tab w:val="clear" w:pos="284"/>
              </w:tabs>
              <w:autoSpaceDE w:val="0"/>
              <w:autoSpaceDN w:val="0"/>
              <w:adjustRightInd w:val="0"/>
              <w:spacing w:line="276" w:lineRule="auto"/>
              <w:jc w:val="center"/>
              <w:rPr>
                <w:noProof/>
                <w:szCs w:val="22"/>
                <w:lang w:val="sr-Latn-BA"/>
              </w:rPr>
            </w:pPr>
          </w:p>
        </w:tc>
        <w:tc>
          <w:tcPr>
            <w:tcW w:w="3285" w:type="dxa"/>
            <w:tcBorders>
              <w:top w:val="single" w:sz="4" w:space="0" w:color="auto"/>
              <w:left w:val="nil"/>
              <w:bottom w:val="nil"/>
            </w:tcBorders>
          </w:tcPr>
          <w:p w14:paraId="06AEF15B" w14:textId="77777777" w:rsidR="00FC00D7" w:rsidRPr="0051150C" w:rsidRDefault="00FC00D7" w:rsidP="00FC00D7">
            <w:pPr>
              <w:tabs>
                <w:tab w:val="clear" w:pos="284"/>
              </w:tabs>
              <w:autoSpaceDE w:val="0"/>
              <w:autoSpaceDN w:val="0"/>
              <w:adjustRightInd w:val="0"/>
              <w:spacing w:line="276" w:lineRule="auto"/>
              <w:jc w:val="center"/>
              <w:rPr>
                <w:noProof/>
                <w:szCs w:val="22"/>
                <w:lang w:val="sr-Latn-BA"/>
              </w:rPr>
            </w:pPr>
          </w:p>
        </w:tc>
      </w:tr>
      <w:tr w:rsidR="00EF5BCD" w:rsidRPr="0051150C" w14:paraId="25577F9A" w14:textId="77777777" w:rsidTr="00FC00D7">
        <w:tc>
          <w:tcPr>
            <w:tcW w:w="3285" w:type="dxa"/>
            <w:tcBorders>
              <w:top w:val="nil"/>
              <w:bottom w:val="nil"/>
              <w:right w:val="nil"/>
            </w:tcBorders>
          </w:tcPr>
          <w:p w14:paraId="08081001" w14:textId="3F2970E8" w:rsidR="00EF5BCD" w:rsidRPr="0051150C" w:rsidRDefault="00EF5BCD" w:rsidP="00FC00D7">
            <w:pPr>
              <w:tabs>
                <w:tab w:val="clear" w:pos="284"/>
              </w:tabs>
              <w:autoSpaceDE w:val="0"/>
              <w:autoSpaceDN w:val="0"/>
              <w:adjustRightInd w:val="0"/>
              <w:spacing w:line="276" w:lineRule="auto"/>
              <w:rPr>
                <w:noProof/>
                <w:szCs w:val="22"/>
                <w:lang w:val="sr-Latn-BA"/>
              </w:rPr>
            </w:pPr>
            <w:r w:rsidRPr="0051150C">
              <w:rPr>
                <w:noProof/>
                <w:szCs w:val="22"/>
                <w:lang w:val="sr-Latn-BA"/>
              </w:rPr>
              <w:t>Progresija ili smrtni ishod (%)</w:t>
            </w:r>
          </w:p>
          <w:p w14:paraId="385A9A8F" w14:textId="3EBCFA90" w:rsidR="00EF5BCD" w:rsidRPr="0051150C" w:rsidRDefault="00F559B9" w:rsidP="00FC00D7">
            <w:pPr>
              <w:tabs>
                <w:tab w:val="clear" w:pos="284"/>
              </w:tabs>
              <w:autoSpaceDE w:val="0"/>
              <w:autoSpaceDN w:val="0"/>
              <w:adjustRightInd w:val="0"/>
              <w:spacing w:line="276" w:lineRule="auto"/>
              <w:rPr>
                <w:noProof/>
                <w:szCs w:val="22"/>
                <w:lang w:val="sr-Latn-BA"/>
              </w:rPr>
            </w:pPr>
            <w:r w:rsidRPr="0051150C">
              <w:rPr>
                <w:noProof/>
                <w:szCs w:val="22"/>
                <w:lang w:val="sr-Latn-BA"/>
              </w:rPr>
              <w:t>Medijana</w:t>
            </w:r>
            <w:r w:rsidR="00EF5BCD" w:rsidRPr="0051150C">
              <w:rPr>
                <w:noProof/>
                <w:szCs w:val="22"/>
                <w:lang w:val="sr-Latn-BA"/>
              </w:rPr>
              <w:t xml:space="preserve"> rPFS u </w:t>
            </w:r>
            <w:r w:rsidR="00834D3E" w:rsidRPr="0051150C">
              <w:rPr>
                <w:noProof/>
                <w:szCs w:val="22"/>
                <w:lang w:val="sr-Latn-BA"/>
              </w:rPr>
              <w:t>mjesec</w:t>
            </w:r>
            <w:r w:rsidR="00EF5BCD" w:rsidRPr="0051150C">
              <w:rPr>
                <w:noProof/>
                <w:szCs w:val="22"/>
                <w:lang w:val="sr-Latn-BA"/>
              </w:rPr>
              <w:t>ima</w:t>
            </w:r>
          </w:p>
          <w:p w14:paraId="06E82028" w14:textId="46509CAB" w:rsidR="00EF5BCD" w:rsidRPr="0051150C" w:rsidRDefault="00EF5BCD" w:rsidP="00FC00D7">
            <w:pPr>
              <w:tabs>
                <w:tab w:val="clear" w:pos="284"/>
              </w:tabs>
              <w:autoSpaceDE w:val="0"/>
              <w:autoSpaceDN w:val="0"/>
              <w:adjustRightInd w:val="0"/>
              <w:spacing w:line="276" w:lineRule="auto"/>
              <w:rPr>
                <w:noProof/>
                <w:szCs w:val="22"/>
                <w:lang w:val="sr-Latn-BA"/>
              </w:rPr>
            </w:pPr>
            <w:r w:rsidRPr="0051150C">
              <w:rPr>
                <w:noProof/>
                <w:szCs w:val="22"/>
                <w:lang w:val="sr-Latn-BA"/>
              </w:rPr>
              <w:t>(95% CI)</w:t>
            </w:r>
          </w:p>
        </w:tc>
        <w:tc>
          <w:tcPr>
            <w:tcW w:w="3285" w:type="dxa"/>
            <w:tcBorders>
              <w:top w:val="nil"/>
              <w:left w:val="nil"/>
              <w:bottom w:val="nil"/>
              <w:right w:val="nil"/>
            </w:tcBorders>
          </w:tcPr>
          <w:p w14:paraId="12265C46" w14:textId="350F7731" w:rsidR="00EF5BCD" w:rsidRPr="0051150C" w:rsidRDefault="00D53846"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150 (28</w:t>
            </w:r>
            <w:r w:rsidR="00EF5BCD" w:rsidRPr="0051150C">
              <w:rPr>
                <w:noProof/>
                <w:szCs w:val="22"/>
                <w:lang w:val="sr-Latn-BA"/>
              </w:rPr>
              <w:t>%)</w:t>
            </w:r>
          </w:p>
          <w:p w14:paraId="64AEB6AE" w14:textId="07F538D6" w:rsidR="00EF5BCD" w:rsidRPr="0051150C" w:rsidRDefault="00D53846"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nije dostignuto</w:t>
            </w:r>
          </w:p>
          <w:p w14:paraId="1DA31578" w14:textId="26C95A4B" w:rsidR="00EF5BCD" w:rsidRPr="0051150C" w:rsidRDefault="00D53846" w:rsidP="00083A08">
            <w:pPr>
              <w:tabs>
                <w:tab w:val="clear" w:pos="284"/>
              </w:tabs>
              <w:autoSpaceDE w:val="0"/>
              <w:autoSpaceDN w:val="0"/>
              <w:adjustRightInd w:val="0"/>
              <w:spacing w:line="276" w:lineRule="auto"/>
              <w:jc w:val="center"/>
              <w:rPr>
                <w:noProof/>
                <w:szCs w:val="22"/>
                <w:lang w:val="sr-Latn-BA"/>
              </w:rPr>
            </w:pPr>
            <w:r w:rsidRPr="0051150C">
              <w:rPr>
                <w:noProof/>
                <w:szCs w:val="22"/>
                <w:lang w:val="sr-Latn-BA"/>
              </w:rPr>
              <w:t>(11</w:t>
            </w:r>
            <w:r w:rsidR="00083A08">
              <w:rPr>
                <w:noProof/>
                <w:szCs w:val="22"/>
                <w:lang w:val="sr-Latn-BA"/>
              </w:rPr>
              <w:t>,</w:t>
            </w:r>
            <w:r w:rsidRPr="0051150C">
              <w:rPr>
                <w:noProof/>
                <w:szCs w:val="22"/>
                <w:lang w:val="sr-Latn-BA"/>
              </w:rPr>
              <w:t>66</w:t>
            </w:r>
            <w:r w:rsidR="00EF5BCD" w:rsidRPr="0051150C">
              <w:rPr>
                <w:noProof/>
                <w:szCs w:val="22"/>
                <w:lang w:val="sr-Latn-BA"/>
              </w:rPr>
              <w:t>, NP)</w:t>
            </w:r>
          </w:p>
        </w:tc>
        <w:tc>
          <w:tcPr>
            <w:tcW w:w="3285" w:type="dxa"/>
            <w:tcBorders>
              <w:top w:val="nil"/>
              <w:left w:val="nil"/>
              <w:bottom w:val="nil"/>
            </w:tcBorders>
          </w:tcPr>
          <w:p w14:paraId="147B516C" w14:textId="476C6349" w:rsidR="00EF5BCD" w:rsidRPr="0051150C" w:rsidRDefault="00D53846"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251 (46</w:t>
            </w:r>
            <w:r w:rsidR="00EF5BCD" w:rsidRPr="0051150C">
              <w:rPr>
                <w:noProof/>
                <w:szCs w:val="22"/>
                <w:lang w:val="sr-Latn-BA"/>
              </w:rPr>
              <w:t>%)</w:t>
            </w:r>
          </w:p>
          <w:p w14:paraId="59EF51E2" w14:textId="1599A738" w:rsidR="00EF5BCD" w:rsidRPr="0051150C" w:rsidRDefault="00D53846" w:rsidP="00FC00D7">
            <w:pPr>
              <w:tabs>
                <w:tab w:val="clear" w:pos="284"/>
              </w:tabs>
              <w:autoSpaceDE w:val="0"/>
              <w:autoSpaceDN w:val="0"/>
              <w:adjustRightInd w:val="0"/>
              <w:spacing w:line="276" w:lineRule="auto"/>
              <w:jc w:val="center"/>
              <w:rPr>
                <w:noProof/>
                <w:szCs w:val="22"/>
                <w:lang w:val="sr-Latn-BA"/>
              </w:rPr>
            </w:pPr>
            <w:r w:rsidRPr="0051150C">
              <w:rPr>
                <w:noProof/>
                <w:szCs w:val="22"/>
                <w:lang w:val="sr-Latn-BA"/>
              </w:rPr>
              <w:t>8</w:t>
            </w:r>
            <w:r w:rsidR="00C916DD">
              <w:rPr>
                <w:noProof/>
                <w:szCs w:val="22"/>
                <w:lang w:val="sr-Latn-BA"/>
              </w:rPr>
              <w:t>,</w:t>
            </w:r>
            <w:r w:rsidRPr="0051150C">
              <w:rPr>
                <w:noProof/>
                <w:szCs w:val="22"/>
                <w:lang w:val="sr-Latn-BA"/>
              </w:rPr>
              <w:t>3</w:t>
            </w:r>
          </w:p>
          <w:p w14:paraId="4D25270A" w14:textId="161FB692" w:rsidR="00EF5BCD" w:rsidRPr="0051150C" w:rsidRDefault="00D53846" w:rsidP="00083A08">
            <w:pPr>
              <w:tabs>
                <w:tab w:val="clear" w:pos="284"/>
              </w:tabs>
              <w:autoSpaceDE w:val="0"/>
              <w:autoSpaceDN w:val="0"/>
              <w:adjustRightInd w:val="0"/>
              <w:spacing w:line="276" w:lineRule="auto"/>
              <w:jc w:val="center"/>
              <w:rPr>
                <w:noProof/>
                <w:szCs w:val="22"/>
                <w:lang w:val="sr-Latn-BA"/>
              </w:rPr>
            </w:pPr>
            <w:r w:rsidRPr="0051150C">
              <w:rPr>
                <w:noProof/>
                <w:szCs w:val="22"/>
                <w:lang w:val="sr-Latn-BA"/>
              </w:rPr>
              <w:t>(8</w:t>
            </w:r>
            <w:r w:rsidR="00083A08">
              <w:rPr>
                <w:noProof/>
                <w:szCs w:val="22"/>
                <w:lang w:val="sr-Latn-BA"/>
              </w:rPr>
              <w:t>,</w:t>
            </w:r>
            <w:r w:rsidRPr="0051150C">
              <w:rPr>
                <w:noProof/>
                <w:szCs w:val="22"/>
                <w:lang w:val="sr-Latn-BA"/>
              </w:rPr>
              <w:t>12, 8</w:t>
            </w:r>
            <w:r w:rsidR="00083A08">
              <w:rPr>
                <w:noProof/>
                <w:szCs w:val="22"/>
                <w:lang w:val="sr-Latn-BA"/>
              </w:rPr>
              <w:t>,</w:t>
            </w:r>
            <w:r w:rsidRPr="0051150C">
              <w:rPr>
                <w:noProof/>
                <w:szCs w:val="22"/>
                <w:lang w:val="sr-Latn-BA"/>
              </w:rPr>
              <w:t>54</w:t>
            </w:r>
            <w:r w:rsidR="00EF5BCD" w:rsidRPr="0051150C">
              <w:rPr>
                <w:noProof/>
                <w:szCs w:val="22"/>
                <w:lang w:val="sr-Latn-BA"/>
              </w:rPr>
              <w:t>)</w:t>
            </w:r>
          </w:p>
        </w:tc>
      </w:tr>
      <w:tr w:rsidR="00EF5BCD" w:rsidRPr="0051150C" w14:paraId="75BBFCC8" w14:textId="77777777" w:rsidTr="00D53846">
        <w:tc>
          <w:tcPr>
            <w:tcW w:w="3285" w:type="dxa"/>
            <w:tcBorders>
              <w:top w:val="nil"/>
              <w:bottom w:val="nil"/>
              <w:right w:val="nil"/>
            </w:tcBorders>
          </w:tcPr>
          <w:p w14:paraId="28C71009" w14:textId="6EB3B63B" w:rsidR="00EF5BCD" w:rsidRPr="0051150C" w:rsidRDefault="00D53846" w:rsidP="00FC00D7">
            <w:pPr>
              <w:tabs>
                <w:tab w:val="clear" w:pos="284"/>
              </w:tabs>
              <w:autoSpaceDE w:val="0"/>
              <w:autoSpaceDN w:val="0"/>
              <w:adjustRightInd w:val="0"/>
              <w:spacing w:line="276" w:lineRule="auto"/>
              <w:rPr>
                <w:noProof/>
                <w:szCs w:val="22"/>
                <w:lang w:val="sr-Latn-BA"/>
              </w:rPr>
            </w:pPr>
            <w:r w:rsidRPr="0051150C">
              <w:rPr>
                <w:noProof/>
                <w:szCs w:val="22"/>
                <w:lang w:val="sr-Latn-BA"/>
              </w:rPr>
              <w:t>p-</w:t>
            </w:r>
            <w:r w:rsidR="00096FAA" w:rsidRPr="0051150C">
              <w:rPr>
                <w:noProof/>
                <w:szCs w:val="22"/>
                <w:lang w:val="sr-Latn-BA"/>
              </w:rPr>
              <w:t>vrijednost</w:t>
            </w:r>
            <w:r w:rsidRPr="0051150C">
              <w:rPr>
                <w:noProof/>
                <w:szCs w:val="22"/>
                <w:lang w:val="sr-Latn-BA"/>
              </w:rPr>
              <w:t>*</w:t>
            </w:r>
          </w:p>
        </w:tc>
        <w:tc>
          <w:tcPr>
            <w:tcW w:w="6570" w:type="dxa"/>
            <w:gridSpan w:val="2"/>
            <w:tcBorders>
              <w:top w:val="nil"/>
              <w:left w:val="nil"/>
              <w:bottom w:val="nil"/>
            </w:tcBorders>
          </w:tcPr>
          <w:p w14:paraId="77BF01FB" w14:textId="59ABBD61" w:rsidR="00EF5BCD" w:rsidRPr="0051150C" w:rsidRDefault="00D53846" w:rsidP="00083A08">
            <w:pPr>
              <w:tabs>
                <w:tab w:val="clear" w:pos="284"/>
              </w:tabs>
              <w:autoSpaceDE w:val="0"/>
              <w:autoSpaceDN w:val="0"/>
              <w:adjustRightInd w:val="0"/>
              <w:spacing w:line="276" w:lineRule="auto"/>
              <w:jc w:val="center"/>
              <w:rPr>
                <w:noProof/>
                <w:szCs w:val="22"/>
                <w:lang w:val="sr-Latn-BA"/>
              </w:rPr>
            </w:pPr>
            <w:r w:rsidRPr="0051150C">
              <w:rPr>
                <w:noProof/>
                <w:szCs w:val="22"/>
                <w:lang w:val="sr-Latn-BA"/>
              </w:rPr>
              <w:t>&lt; 0</w:t>
            </w:r>
            <w:r w:rsidR="00083A08">
              <w:rPr>
                <w:noProof/>
                <w:szCs w:val="22"/>
                <w:lang w:val="sr-Latn-BA"/>
              </w:rPr>
              <w:t>,</w:t>
            </w:r>
            <w:r w:rsidRPr="0051150C">
              <w:rPr>
                <w:noProof/>
                <w:szCs w:val="22"/>
                <w:lang w:val="sr-Latn-BA"/>
              </w:rPr>
              <w:t>0001</w:t>
            </w:r>
          </w:p>
        </w:tc>
      </w:tr>
      <w:tr w:rsidR="00D53846" w:rsidRPr="0051150C" w14:paraId="4F5F985B" w14:textId="77777777" w:rsidTr="00267578">
        <w:tc>
          <w:tcPr>
            <w:tcW w:w="3285" w:type="dxa"/>
            <w:tcBorders>
              <w:top w:val="nil"/>
              <w:bottom w:val="single" w:sz="4" w:space="0" w:color="auto"/>
              <w:right w:val="nil"/>
            </w:tcBorders>
          </w:tcPr>
          <w:p w14:paraId="2F3C52D0" w14:textId="2C8D10E0" w:rsidR="00D53846" w:rsidRPr="0051150C" w:rsidRDefault="00083A08" w:rsidP="00FC00D7">
            <w:pPr>
              <w:tabs>
                <w:tab w:val="clear" w:pos="284"/>
              </w:tabs>
              <w:autoSpaceDE w:val="0"/>
              <w:autoSpaceDN w:val="0"/>
              <w:adjustRightInd w:val="0"/>
              <w:spacing w:line="276" w:lineRule="auto"/>
              <w:rPr>
                <w:i/>
                <w:noProof/>
                <w:szCs w:val="22"/>
                <w:lang w:val="sr-Latn-BA"/>
              </w:rPr>
            </w:pPr>
            <w:r w:rsidRPr="00DF315D">
              <w:rPr>
                <w:iCs/>
                <w:noProof/>
                <w:szCs w:val="22"/>
                <w:lang w:val="sr-Latn-BA"/>
              </w:rPr>
              <w:t>Odnos rizika</w:t>
            </w:r>
            <w:r w:rsidR="008173C0" w:rsidRPr="0051150C">
              <w:rPr>
                <w:i/>
                <w:noProof/>
                <w:szCs w:val="22"/>
                <w:lang w:val="sr-Latn-BA"/>
              </w:rPr>
              <w:t>**</w:t>
            </w:r>
            <w:r w:rsidR="00D53846" w:rsidRPr="0051150C">
              <w:rPr>
                <w:i/>
                <w:noProof/>
                <w:szCs w:val="22"/>
                <w:lang w:val="sr-Latn-BA"/>
              </w:rPr>
              <w:t xml:space="preserve"> </w:t>
            </w:r>
            <w:r w:rsidR="00D53846" w:rsidRPr="0051150C">
              <w:rPr>
                <w:noProof/>
                <w:szCs w:val="22"/>
                <w:lang w:val="sr-Latn-BA"/>
              </w:rPr>
              <w:t>(95% CI)</w:t>
            </w:r>
          </w:p>
        </w:tc>
        <w:tc>
          <w:tcPr>
            <w:tcW w:w="6570" w:type="dxa"/>
            <w:gridSpan w:val="2"/>
            <w:tcBorders>
              <w:top w:val="nil"/>
              <w:left w:val="nil"/>
              <w:bottom w:val="single" w:sz="4" w:space="0" w:color="auto"/>
            </w:tcBorders>
          </w:tcPr>
          <w:p w14:paraId="3841CCEE" w14:textId="1DEE24F8" w:rsidR="00D53846" w:rsidRPr="0051150C" w:rsidRDefault="00D53846" w:rsidP="00083A08">
            <w:pPr>
              <w:tabs>
                <w:tab w:val="clear" w:pos="284"/>
              </w:tabs>
              <w:autoSpaceDE w:val="0"/>
              <w:autoSpaceDN w:val="0"/>
              <w:adjustRightInd w:val="0"/>
              <w:spacing w:line="276" w:lineRule="auto"/>
              <w:jc w:val="center"/>
              <w:rPr>
                <w:noProof/>
                <w:szCs w:val="22"/>
                <w:lang w:val="sr-Latn-BA"/>
              </w:rPr>
            </w:pPr>
            <w:r w:rsidRPr="0051150C">
              <w:rPr>
                <w:noProof/>
                <w:szCs w:val="22"/>
                <w:lang w:val="sr-Latn-BA"/>
              </w:rPr>
              <w:t>0</w:t>
            </w:r>
            <w:r w:rsidR="00083A08">
              <w:rPr>
                <w:noProof/>
                <w:szCs w:val="22"/>
                <w:lang w:val="sr-Latn-BA"/>
              </w:rPr>
              <w:t>,</w:t>
            </w:r>
            <w:r w:rsidR="00B76A82" w:rsidRPr="0051150C">
              <w:rPr>
                <w:noProof/>
                <w:szCs w:val="22"/>
                <w:lang w:val="sr-Latn-BA"/>
              </w:rPr>
              <w:t>425 (0</w:t>
            </w:r>
            <w:r w:rsidR="00083A08">
              <w:rPr>
                <w:noProof/>
                <w:szCs w:val="22"/>
                <w:lang w:val="sr-Latn-BA"/>
              </w:rPr>
              <w:t>,</w:t>
            </w:r>
            <w:r w:rsidR="00B76A82" w:rsidRPr="0051150C">
              <w:rPr>
                <w:noProof/>
                <w:szCs w:val="22"/>
                <w:lang w:val="sr-Latn-BA"/>
              </w:rPr>
              <w:t>347; 0</w:t>
            </w:r>
            <w:r w:rsidR="00083A08">
              <w:rPr>
                <w:noProof/>
                <w:szCs w:val="22"/>
                <w:lang w:val="sr-Latn-BA"/>
              </w:rPr>
              <w:t>,</w:t>
            </w:r>
            <w:r w:rsidR="00B76A82" w:rsidRPr="0051150C">
              <w:rPr>
                <w:noProof/>
                <w:szCs w:val="22"/>
                <w:lang w:val="sr-Latn-BA"/>
              </w:rPr>
              <w:t>522</w:t>
            </w:r>
            <w:r w:rsidRPr="0051150C">
              <w:rPr>
                <w:noProof/>
                <w:szCs w:val="22"/>
                <w:lang w:val="sr-Latn-BA"/>
              </w:rPr>
              <w:t>)</w:t>
            </w:r>
          </w:p>
        </w:tc>
      </w:tr>
    </w:tbl>
    <w:p w14:paraId="55F82B2A" w14:textId="76A42AB8" w:rsidR="008173C0" w:rsidRPr="0051150C" w:rsidRDefault="008173C0" w:rsidP="009173F4">
      <w:pPr>
        <w:tabs>
          <w:tab w:val="clear" w:pos="284"/>
        </w:tabs>
        <w:autoSpaceDE w:val="0"/>
        <w:autoSpaceDN w:val="0"/>
        <w:adjustRightInd w:val="0"/>
        <w:rPr>
          <w:noProof/>
          <w:szCs w:val="22"/>
          <w:lang w:val="sr-Latn-BA"/>
        </w:rPr>
      </w:pPr>
      <w:r w:rsidRPr="0051150C">
        <w:rPr>
          <w:noProof/>
          <w:szCs w:val="22"/>
          <w:lang w:val="sr-Latn-BA"/>
        </w:rPr>
        <w:t>NP- Nije proc</w:t>
      </w:r>
      <w:r w:rsidR="00256BBA" w:rsidRPr="0051150C">
        <w:rPr>
          <w:noProof/>
          <w:szCs w:val="22"/>
          <w:lang w:val="sr-Latn-BA"/>
        </w:rPr>
        <w:t>ij</w:t>
      </w:r>
      <w:r w:rsidRPr="0051150C">
        <w:rPr>
          <w:noProof/>
          <w:szCs w:val="22"/>
          <w:lang w:val="sr-Latn-BA"/>
        </w:rPr>
        <w:t>enjeno</w:t>
      </w:r>
    </w:p>
    <w:p w14:paraId="16077A27" w14:textId="540D0EA4" w:rsidR="008173C0" w:rsidRPr="0051150C" w:rsidRDefault="008173C0" w:rsidP="009173F4">
      <w:pPr>
        <w:tabs>
          <w:tab w:val="clear" w:pos="284"/>
        </w:tabs>
        <w:autoSpaceDE w:val="0"/>
        <w:autoSpaceDN w:val="0"/>
        <w:adjustRightInd w:val="0"/>
        <w:rPr>
          <w:noProof/>
          <w:szCs w:val="22"/>
          <w:lang w:val="sr-Latn-BA"/>
        </w:rPr>
      </w:pPr>
      <w:r w:rsidRPr="0051150C">
        <w:rPr>
          <w:noProof/>
          <w:szCs w:val="22"/>
          <w:lang w:val="sr-Latn-BA"/>
        </w:rPr>
        <w:t>* p-</w:t>
      </w:r>
      <w:r w:rsidR="00096FAA" w:rsidRPr="0051150C">
        <w:rPr>
          <w:noProof/>
          <w:szCs w:val="22"/>
          <w:lang w:val="sr-Latn-BA"/>
        </w:rPr>
        <w:t>vrijednost</w:t>
      </w:r>
      <w:r w:rsidRPr="0051150C">
        <w:rPr>
          <w:noProof/>
          <w:szCs w:val="22"/>
          <w:lang w:val="sr-Latn-BA"/>
        </w:rPr>
        <w:t xml:space="preserve"> je izvedena iz log-</w:t>
      </w:r>
      <w:r w:rsidR="00083A08" w:rsidRPr="0051150C">
        <w:rPr>
          <w:noProof/>
          <w:szCs w:val="22"/>
          <w:lang w:val="sr-Latn-BA"/>
        </w:rPr>
        <w:t>ran</w:t>
      </w:r>
      <w:r w:rsidR="00083A08">
        <w:rPr>
          <w:noProof/>
          <w:szCs w:val="22"/>
          <w:lang w:val="sr-Latn-BA"/>
        </w:rPr>
        <w:t>k</w:t>
      </w:r>
      <w:r w:rsidR="00083A08" w:rsidRPr="0051150C">
        <w:rPr>
          <w:noProof/>
          <w:szCs w:val="22"/>
          <w:lang w:val="sr-Latn-BA"/>
        </w:rPr>
        <w:t xml:space="preserve"> </w:t>
      </w:r>
      <w:r w:rsidRPr="0051150C">
        <w:rPr>
          <w:noProof/>
          <w:szCs w:val="22"/>
          <w:lang w:val="sr-Latn-BA"/>
        </w:rPr>
        <w:t xml:space="preserve">testa stratifikovanog prema početnoj </w:t>
      </w:r>
      <w:r w:rsidR="00096FAA" w:rsidRPr="0051150C">
        <w:rPr>
          <w:noProof/>
          <w:szCs w:val="22"/>
          <w:lang w:val="sr-Latn-BA"/>
        </w:rPr>
        <w:t>vrijednost</w:t>
      </w:r>
      <w:r w:rsidRPr="0051150C">
        <w:rPr>
          <w:noProof/>
          <w:szCs w:val="22"/>
          <w:lang w:val="sr-Latn-BA"/>
        </w:rPr>
        <w:t>i ECOG statusa (0 ili 1)</w:t>
      </w:r>
    </w:p>
    <w:p w14:paraId="4A3F374F" w14:textId="13F78D89" w:rsidR="00EF5BCD" w:rsidRPr="0051150C" w:rsidRDefault="008173C0" w:rsidP="009173F4">
      <w:pPr>
        <w:tabs>
          <w:tab w:val="clear" w:pos="284"/>
        </w:tabs>
        <w:autoSpaceDE w:val="0"/>
        <w:autoSpaceDN w:val="0"/>
        <w:adjustRightInd w:val="0"/>
        <w:rPr>
          <w:noProof/>
          <w:szCs w:val="22"/>
          <w:lang w:val="sr-Latn-BA"/>
        </w:rPr>
      </w:pPr>
      <w:r w:rsidRPr="0051150C">
        <w:rPr>
          <w:noProof/>
          <w:szCs w:val="22"/>
          <w:lang w:val="sr-Latn-BA"/>
        </w:rPr>
        <w:t>**</w:t>
      </w:r>
      <w:r w:rsidR="00083A08" w:rsidRPr="00DF315D">
        <w:rPr>
          <w:iCs/>
          <w:noProof/>
          <w:szCs w:val="22"/>
          <w:lang w:val="sr-Latn-BA"/>
        </w:rPr>
        <w:t>Odnos rizika</w:t>
      </w:r>
      <w:r w:rsidRPr="0051150C">
        <w:rPr>
          <w:i/>
          <w:iCs/>
          <w:noProof/>
          <w:szCs w:val="22"/>
          <w:lang w:val="sr-Latn-BA"/>
        </w:rPr>
        <w:t xml:space="preserve"> </w:t>
      </w:r>
      <w:r w:rsidRPr="0051150C">
        <w:rPr>
          <w:noProof/>
          <w:szCs w:val="22"/>
          <w:lang w:val="sr-Latn-BA"/>
        </w:rPr>
        <w:t xml:space="preserve">&lt;1 daje prednost </w:t>
      </w:r>
      <w:r w:rsidR="00FC00D7" w:rsidRPr="0051150C">
        <w:rPr>
          <w:noProof/>
          <w:szCs w:val="22"/>
          <w:lang w:val="sr-Latn-BA"/>
        </w:rPr>
        <w:t xml:space="preserve">abirateron </w:t>
      </w:r>
      <w:r w:rsidRPr="0051150C">
        <w:rPr>
          <w:noProof/>
          <w:szCs w:val="22"/>
          <w:lang w:val="sr-Latn-BA"/>
        </w:rPr>
        <w:t>acetatu</w:t>
      </w:r>
    </w:p>
    <w:p w14:paraId="480BF788" w14:textId="4E9AAC23" w:rsidR="00CD77A0" w:rsidRPr="0051150C" w:rsidRDefault="00CD77A0" w:rsidP="009173F4">
      <w:pPr>
        <w:tabs>
          <w:tab w:val="clear" w:pos="284"/>
        </w:tabs>
        <w:autoSpaceDE w:val="0"/>
        <w:autoSpaceDN w:val="0"/>
        <w:adjustRightInd w:val="0"/>
        <w:rPr>
          <w:noProof/>
          <w:szCs w:val="22"/>
          <w:lang w:val="sr-Latn-BA"/>
        </w:rPr>
      </w:pPr>
    </w:p>
    <w:p w14:paraId="2FAA9839" w14:textId="74401100" w:rsidR="00FC00D7" w:rsidRPr="0051150C" w:rsidRDefault="008173C0" w:rsidP="009173F4">
      <w:pPr>
        <w:tabs>
          <w:tab w:val="clear" w:pos="284"/>
        </w:tabs>
        <w:autoSpaceDE w:val="0"/>
        <w:autoSpaceDN w:val="0"/>
        <w:adjustRightInd w:val="0"/>
        <w:rPr>
          <w:rFonts w:eastAsia="TimesNewRoman,Bold"/>
          <w:bCs/>
          <w:noProof/>
          <w:szCs w:val="22"/>
          <w:lang w:val="sr-Latn-BA"/>
        </w:rPr>
      </w:pPr>
      <w:r w:rsidRPr="0051150C">
        <w:rPr>
          <w:rFonts w:eastAsia="TimesNewRoman,Bold"/>
          <w:b/>
          <w:bCs/>
          <w:noProof/>
          <w:szCs w:val="22"/>
          <w:lang w:val="sr-Latn-BA"/>
        </w:rPr>
        <w:t>Slika</w:t>
      </w:r>
      <w:r w:rsidRPr="0051150C">
        <w:rPr>
          <w:rFonts w:eastAsia="TimesNewRoman,Bold"/>
          <w:bCs/>
          <w:noProof/>
          <w:szCs w:val="22"/>
          <w:lang w:val="sr-Latn-BA"/>
        </w:rPr>
        <w:t xml:space="preserve"> </w:t>
      </w:r>
      <w:r w:rsidRPr="0051150C">
        <w:rPr>
          <w:rFonts w:eastAsia="TimesNewRoman,Bold"/>
          <w:b/>
          <w:bCs/>
          <w:noProof/>
          <w:szCs w:val="22"/>
          <w:lang w:val="sr-Latn-BA"/>
        </w:rPr>
        <w:t>3</w:t>
      </w:r>
      <w:r w:rsidRPr="0051150C">
        <w:rPr>
          <w:rFonts w:eastAsia="TimesNewRoman,Bold"/>
          <w:bCs/>
          <w:noProof/>
          <w:szCs w:val="22"/>
          <w:lang w:val="sr-Latn-BA"/>
        </w:rPr>
        <w:t xml:space="preserve">: </w:t>
      </w:r>
      <w:r w:rsidRPr="0051150C">
        <w:rPr>
          <w:rFonts w:eastAsia="TimesNewRoman,Bold"/>
          <w:b/>
          <w:bCs/>
          <w:i/>
          <w:iCs/>
          <w:noProof/>
          <w:szCs w:val="22"/>
          <w:lang w:val="sr-Latn-BA"/>
        </w:rPr>
        <w:t>Kaplan-Meier</w:t>
      </w:r>
      <w:r w:rsidR="00083A08">
        <w:rPr>
          <w:rFonts w:eastAsia="TimesNewRoman,Bold"/>
          <w:b/>
          <w:bCs/>
          <w:iCs/>
          <w:noProof/>
          <w:szCs w:val="22"/>
          <w:lang w:val="sr-Latn-BA"/>
        </w:rPr>
        <w:t>-ove</w:t>
      </w:r>
      <w:r w:rsidRPr="0051150C">
        <w:rPr>
          <w:rFonts w:eastAsia="TimesNewRoman,Bold"/>
          <w:b/>
          <w:bCs/>
          <w:i/>
          <w:iCs/>
          <w:noProof/>
          <w:szCs w:val="22"/>
          <w:lang w:val="sr-Latn-BA"/>
        </w:rPr>
        <w:t xml:space="preserve"> </w:t>
      </w:r>
      <w:r w:rsidRPr="0051150C">
        <w:rPr>
          <w:rFonts w:eastAsia="TimesNewRoman,Bold"/>
          <w:b/>
          <w:bCs/>
          <w:noProof/>
          <w:szCs w:val="22"/>
          <w:lang w:val="sr-Latn-BA"/>
        </w:rPr>
        <w:t>krive preživljavanja bez radi</w:t>
      </w:r>
      <w:r w:rsidR="00FC00D7" w:rsidRPr="0051150C">
        <w:rPr>
          <w:rFonts w:eastAsia="TimesNewRoman,Bold"/>
          <w:b/>
          <w:bCs/>
          <w:noProof/>
          <w:szCs w:val="22"/>
          <w:lang w:val="sr-Latn-BA"/>
        </w:rPr>
        <w:t>o</w:t>
      </w:r>
      <w:r w:rsidRPr="0051150C">
        <w:rPr>
          <w:rFonts w:eastAsia="TimesNewRoman,Bold"/>
          <w:b/>
          <w:bCs/>
          <w:noProof/>
          <w:szCs w:val="22"/>
          <w:lang w:val="sr-Latn-BA"/>
        </w:rPr>
        <w:t xml:space="preserve">grafske progresije kod pacijenata koji su </w:t>
      </w:r>
      <w:r w:rsidR="00FC00D7" w:rsidRPr="0051150C">
        <w:rPr>
          <w:rFonts w:eastAsia="TimesNewRoman,Bold"/>
          <w:b/>
          <w:bCs/>
          <w:noProof/>
          <w:szCs w:val="22"/>
          <w:lang w:val="sr-Latn-BA"/>
        </w:rPr>
        <w:t>uzimali ili</w:t>
      </w:r>
      <w:r w:rsidR="00BE063A" w:rsidRPr="0051150C">
        <w:rPr>
          <w:rFonts w:eastAsia="TimesNewRoman,Bold"/>
          <w:b/>
          <w:bCs/>
          <w:noProof/>
          <w:szCs w:val="22"/>
          <w:lang w:val="sr-Latn-BA"/>
        </w:rPr>
        <w:t xml:space="preserve"> </w:t>
      </w:r>
      <w:r w:rsidRPr="0051150C">
        <w:rPr>
          <w:rFonts w:eastAsia="TimesNewRoman,Bold"/>
          <w:b/>
          <w:bCs/>
          <w:noProof/>
          <w:szCs w:val="22"/>
          <w:lang w:val="sr-Latn-BA"/>
        </w:rPr>
        <w:t>abirateron acetat ili placebo u kombinaciji sa prednizonom ili prednizolonom uz analoge LHRH ili prethodnu orhiektomiju</w:t>
      </w:r>
    </w:p>
    <w:p w14:paraId="07A1F617" w14:textId="1C98CADF" w:rsidR="008173C0" w:rsidRPr="0051150C" w:rsidRDefault="00AD3B97" w:rsidP="009173F4">
      <w:pPr>
        <w:tabs>
          <w:tab w:val="clear" w:pos="284"/>
        </w:tabs>
        <w:autoSpaceDE w:val="0"/>
        <w:autoSpaceDN w:val="0"/>
        <w:adjustRightInd w:val="0"/>
        <w:rPr>
          <w:rFonts w:eastAsia="TimesNewRoman,Bold"/>
          <w:bCs/>
          <w:noProof/>
          <w:szCs w:val="22"/>
          <w:lang w:val="sr-Latn-BA"/>
        </w:rPr>
      </w:pPr>
      <w:r w:rsidRPr="00AD3B97">
        <w:rPr>
          <w:rFonts w:eastAsia="TimesNewRoman,Bold"/>
          <w:bCs/>
          <w:noProof/>
          <w:szCs w:val="22"/>
        </w:rPr>
        <w:lastRenderedPageBreak/>
        <w:drawing>
          <wp:inline distT="0" distB="0" distL="0" distR="0" wp14:anchorId="3ED8C2D7" wp14:editId="2313CE7C">
            <wp:extent cx="5812554" cy="4229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5622" cy="4231332"/>
                    </a:xfrm>
                    <a:prstGeom prst="rect">
                      <a:avLst/>
                    </a:prstGeom>
                    <a:noFill/>
                    <a:ln>
                      <a:noFill/>
                    </a:ln>
                  </pic:spPr>
                </pic:pic>
              </a:graphicData>
            </a:graphic>
          </wp:inline>
        </w:drawing>
      </w:r>
      <w:r w:rsidR="008173C0" w:rsidRPr="0051150C">
        <w:rPr>
          <w:rFonts w:eastAsia="TimesNewRoman,Bold"/>
          <w:bCs/>
          <w:noProof/>
          <w:szCs w:val="22"/>
          <w:lang w:val="sr-Latn-BA"/>
        </w:rPr>
        <w:br/>
        <w:t>AA = Abirateron</w:t>
      </w:r>
      <w:r w:rsidR="00C916DD">
        <w:rPr>
          <w:rFonts w:eastAsia="TimesNewRoman,Bold"/>
          <w:bCs/>
          <w:noProof/>
          <w:szCs w:val="22"/>
          <w:lang w:val="sr-Latn-BA"/>
        </w:rPr>
        <w:t xml:space="preserve"> </w:t>
      </w:r>
      <w:r w:rsidR="008173C0" w:rsidRPr="0051150C">
        <w:rPr>
          <w:rFonts w:eastAsia="TimesNewRoman,Bold"/>
          <w:bCs/>
          <w:noProof/>
          <w:szCs w:val="22"/>
          <w:lang w:val="sr-Latn-BA"/>
        </w:rPr>
        <w:t>acetat</w:t>
      </w:r>
    </w:p>
    <w:p w14:paraId="14EE3525" w14:textId="5C1DAED7" w:rsidR="008173C0" w:rsidRPr="0051150C" w:rsidRDefault="008173C0" w:rsidP="009173F4">
      <w:pPr>
        <w:tabs>
          <w:tab w:val="clear" w:pos="284"/>
        </w:tabs>
        <w:autoSpaceDE w:val="0"/>
        <w:autoSpaceDN w:val="0"/>
        <w:adjustRightInd w:val="0"/>
        <w:rPr>
          <w:rFonts w:eastAsia="TimesNewRoman,Bold"/>
          <w:bCs/>
          <w:noProof/>
          <w:szCs w:val="22"/>
          <w:lang w:val="sr-Latn-BA"/>
        </w:rPr>
      </w:pPr>
    </w:p>
    <w:p w14:paraId="5286AC80" w14:textId="2F9EB26F" w:rsidR="008173C0" w:rsidRPr="0051150C" w:rsidRDefault="008173C0" w:rsidP="009173F4">
      <w:pPr>
        <w:tabs>
          <w:tab w:val="clear" w:pos="284"/>
        </w:tabs>
        <w:autoSpaceDE w:val="0"/>
        <w:autoSpaceDN w:val="0"/>
        <w:adjustRightInd w:val="0"/>
        <w:rPr>
          <w:noProof/>
          <w:szCs w:val="22"/>
          <w:lang w:val="sr-Latn-BA"/>
        </w:rPr>
      </w:pPr>
      <w:r w:rsidRPr="0051150C">
        <w:rPr>
          <w:noProof/>
          <w:szCs w:val="22"/>
          <w:lang w:val="sr-Latn-BA"/>
        </w:rPr>
        <w:t xml:space="preserve">Ipak, nastavljeno je prikupljanje podataka o ispitanicima do druge </w:t>
      </w:r>
      <w:r w:rsidRPr="0051150C">
        <w:rPr>
          <w:i/>
          <w:iCs/>
          <w:noProof/>
          <w:szCs w:val="22"/>
          <w:lang w:val="sr-Latn-BA"/>
        </w:rPr>
        <w:t xml:space="preserve">interim </w:t>
      </w:r>
      <w:r w:rsidRPr="0051150C">
        <w:rPr>
          <w:noProof/>
          <w:szCs w:val="22"/>
          <w:lang w:val="sr-Latn-BA"/>
        </w:rPr>
        <w:t>analize ukupnog</w:t>
      </w:r>
      <w:r w:rsidR="00B76A82" w:rsidRPr="0051150C">
        <w:rPr>
          <w:noProof/>
          <w:szCs w:val="22"/>
          <w:lang w:val="sr-Latn-BA"/>
        </w:rPr>
        <w:t xml:space="preserve"> </w:t>
      </w:r>
      <w:r w:rsidRPr="0051150C">
        <w:rPr>
          <w:noProof/>
          <w:szCs w:val="22"/>
          <w:lang w:val="sr-Latn-BA"/>
        </w:rPr>
        <w:t>preživljavanja (OS). Radiografska proc</w:t>
      </w:r>
      <w:r w:rsidR="00256BBA" w:rsidRPr="0051150C">
        <w:rPr>
          <w:noProof/>
          <w:szCs w:val="22"/>
          <w:lang w:val="sr-Latn-BA"/>
        </w:rPr>
        <w:t>j</w:t>
      </w:r>
      <w:r w:rsidRPr="0051150C">
        <w:rPr>
          <w:noProof/>
          <w:szCs w:val="22"/>
          <w:lang w:val="sr-Latn-BA"/>
        </w:rPr>
        <w:t>ena rPFS od strane istraživača, izvršena je kao analiza praćenja</w:t>
      </w:r>
      <w:r w:rsidR="00B76A82" w:rsidRPr="0051150C">
        <w:rPr>
          <w:noProof/>
          <w:szCs w:val="22"/>
          <w:lang w:val="sr-Latn-BA"/>
        </w:rPr>
        <w:t xml:space="preserve"> </w:t>
      </w:r>
      <w:r w:rsidRPr="0051150C">
        <w:rPr>
          <w:noProof/>
          <w:szCs w:val="22"/>
          <w:lang w:val="sr-Latn-BA"/>
        </w:rPr>
        <w:t>os</w:t>
      </w:r>
      <w:r w:rsidR="00256BBA" w:rsidRPr="0051150C">
        <w:rPr>
          <w:noProof/>
          <w:szCs w:val="22"/>
          <w:lang w:val="sr-Latn-BA"/>
        </w:rPr>
        <w:t>j</w:t>
      </w:r>
      <w:r w:rsidRPr="0051150C">
        <w:rPr>
          <w:noProof/>
          <w:szCs w:val="22"/>
          <w:lang w:val="sr-Latn-BA"/>
        </w:rPr>
        <w:t>etljivosti i prikazana je u Tabeli 5 i na Slici 4.</w:t>
      </w:r>
      <w:r w:rsidR="00B76A82" w:rsidRPr="0051150C">
        <w:rPr>
          <w:noProof/>
          <w:szCs w:val="22"/>
          <w:lang w:val="sr-Latn-BA"/>
        </w:rPr>
        <w:t xml:space="preserve"> </w:t>
      </w:r>
    </w:p>
    <w:p w14:paraId="6F31AA58" w14:textId="77777777" w:rsidR="00B76A82" w:rsidRPr="0051150C" w:rsidRDefault="00B76A82" w:rsidP="009173F4">
      <w:pPr>
        <w:tabs>
          <w:tab w:val="clear" w:pos="284"/>
        </w:tabs>
        <w:autoSpaceDE w:val="0"/>
        <w:autoSpaceDN w:val="0"/>
        <w:adjustRightInd w:val="0"/>
        <w:rPr>
          <w:noProof/>
          <w:szCs w:val="22"/>
          <w:lang w:val="sr-Latn-BA"/>
        </w:rPr>
      </w:pPr>
    </w:p>
    <w:p w14:paraId="79C94BD6" w14:textId="2CF838DF" w:rsidR="008173C0" w:rsidRPr="0051150C" w:rsidRDefault="008173C0" w:rsidP="009173F4">
      <w:pPr>
        <w:tabs>
          <w:tab w:val="clear" w:pos="284"/>
        </w:tabs>
        <w:autoSpaceDE w:val="0"/>
        <w:autoSpaceDN w:val="0"/>
        <w:adjustRightInd w:val="0"/>
        <w:rPr>
          <w:noProof/>
          <w:szCs w:val="22"/>
          <w:lang w:val="sr-Latn-BA"/>
        </w:rPr>
      </w:pPr>
      <w:r w:rsidRPr="0051150C">
        <w:rPr>
          <w:noProof/>
          <w:szCs w:val="22"/>
          <w:lang w:val="sr-Latn-BA"/>
        </w:rPr>
        <w:t>Šest stotina i sedam (607) ispitanika je imalo radiografsku progresiju ili su umrli: 271 (50%) u grupi</w:t>
      </w:r>
      <w:r w:rsidR="00B76A82" w:rsidRPr="0051150C">
        <w:rPr>
          <w:noProof/>
          <w:szCs w:val="22"/>
          <w:lang w:val="sr-Latn-BA"/>
        </w:rPr>
        <w:t xml:space="preserve"> </w:t>
      </w:r>
      <w:r w:rsidR="00BE063A" w:rsidRPr="0051150C">
        <w:rPr>
          <w:noProof/>
          <w:szCs w:val="22"/>
          <w:lang w:val="sr-Latn-BA"/>
        </w:rPr>
        <w:t xml:space="preserve">koja je uzimala abirateron </w:t>
      </w:r>
      <w:r w:rsidRPr="0051150C">
        <w:rPr>
          <w:noProof/>
          <w:szCs w:val="22"/>
          <w:lang w:val="sr-Latn-BA"/>
        </w:rPr>
        <w:t xml:space="preserve">acetat i 336 (62%) u grupi koja je </w:t>
      </w:r>
      <w:r w:rsidR="00B76A82" w:rsidRPr="0051150C">
        <w:rPr>
          <w:noProof/>
          <w:szCs w:val="22"/>
          <w:lang w:val="sr-Latn-BA"/>
        </w:rPr>
        <w:t>uzimala</w:t>
      </w:r>
      <w:r w:rsidRPr="0051150C">
        <w:rPr>
          <w:noProof/>
          <w:szCs w:val="22"/>
          <w:lang w:val="sr-Latn-BA"/>
        </w:rPr>
        <w:t xml:space="preserve"> placebo. Terapija abirateron</w:t>
      </w:r>
      <w:r w:rsidR="00BE063A" w:rsidRPr="0051150C">
        <w:rPr>
          <w:noProof/>
          <w:szCs w:val="22"/>
          <w:lang w:val="sr-Latn-BA"/>
        </w:rPr>
        <w:t xml:space="preserve"> </w:t>
      </w:r>
      <w:r w:rsidRPr="0051150C">
        <w:rPr>
          <w:noProof/>
          <w:szCs w:val="22"/>
          <w:lang w:val="sr-Latn-BA"/>
        </w:rPr>
        <w:t>acetatom</w:t>
      </w:r>
      <w:r w:rsidR="00B76A82" w:rsidRPr="0051150C">
        <w:rPr>
          <w:noProof/>
          <w:szCs w:val="22"/>
          <w:lang w:val="sr-Latn-BA"/>
        </w:rPr>
        <w:t xml:space="preserve"> </w:t>
      </w:r>
      <w:r w:rsidRPr="0051150C">
        <w:rPr>
          <w:noProof/>
          <w:szCs w:val="22"/>
          <w:lang w:val="sr-Latn-BA"/>
        </w:rPr>
        <w:t>smanjuje rizik od radiografske progresije ili smrti z</w:t>
      </w:r>
      <w:r w:rsidR="00BE063A" w:rsidRPr="0051150C">
        <w:rPr>
          <w:noProof/>
          <w:szCs w:val="22"/>
          <w:lang w:val="sr-Latn-BA"/>
        </w:rPr>
        <w:t>a 47% u odnosu na placebo (HR=0</w:t>
      </w:r>
      <w:r w:rsidR="00C916DD">
        <w:rPr>
          <w:noProof/>
          <w:szCs w:val="22"/>
          <w:lang w:val="sr-Latn-BA"/>
        </w:rPr>
        <w:t>,</w:t>
      </w:r>
      <w:r w:rsidRPr="0051150C">
        <w:rPr>
          <w:noProof/>
          <w:szCs w:val="22"/>
          <w:lang w:val="sr-Latn-BA"/>
        </w:rPr>
        <w:t>530;</w:t>
      </w:r>
      <w:r w:rsidR="00B76A82" w:rsidRPr="0051150C">
        <w:rPr>
          <w:noProof/>
          <w:szCs w:val="22"/>
          <w:lang w:val="sr-Latn-BA"/>
        </w:rPr>
        <w:t xml:space="preserve"> 95% CI</w:t>
      </w:r>
      <w:r w:rsidRPr="0051150C">
        <w:rPr>
          <w:noProof/>
          <w:szCs w:val="22"/>
          <w:lang w:val="sr-Latn-BA"/>
        </w:rPr>
        <w:t xml:space="preserve">: </w:t>
      </w:r>
      <w:r w:rsidR="00B76A82" w:rsidRPr="0051150C">
        <w:rPr>
          <w:noProof/>
          <w:szCs w:val="22"/>
          <w:lang w:val="sr-Latn-BA"/>
        </w:rPr>
        <w:t>[</w:t>
      </w:r>
      <w:r w:rsidR="00BE063A" w:rsidRPr="0051150C">
        <w:rPr>
          <w:noProof/>
          <w:szCs w:val="22"/>
          <w:lang w:val="sr-Latn-BA"/>
        </w:rPr>
        <w:t>0</w:t>
      </w:r>
      <w:r w:rsidR="00C916DD">
        <w:rPr>
          <w:noProof/>
          <w:szCs w:val="22"/>
          <w:lang w:val="sr-Latn-BA"/>
        </w:rPr>
        <w:t>,</w:t>
      </w:r>
      <w:r w:rsidR="00BE063A" w:rsidRPr="0051150C">
        <w:rPr>
          <w:noProof/>
          <w:szCs w:val="22"/>
          <w:lang w:val="sr-Latn-BA"/>
        </w:rPr>
        <w:t>451; 0</w:t>
      </w:r>
      <w:r w:rsidR="00C916DD">
        <w:rPr>
          <w:noProof/>
          <w:szCs w:val="22"/>
          <w:lang w:val="sr-Latn-BA"/>
        </w:rPr>
        <w:t>,</w:t>
      </w:r>
      <w:r w:rsidRPr="0051150C">
        <w:rPr>
          <w:noProof/>
          <w:szCs w:val="22"/>
          <w:lang w:val="sr-Latn-BA"/>
        </w:rPr>
        <w:t>623</w:t>
      </w:r>
      <w:r w:rsidR="00B76A82" w:rsidRPr="0051150C">
        <w:rPr>
          <w:noProof/>
          <w:szCs w:val="22"/>
          <w:lang w:val="sr-Latn-BA"/>
        </w:rPr>
        <w:t>],</w:t>
      </w:r>
      <w:r w:rsidRPr="0051150C">
        <w:rPr>
          <w:noProof/>
          <w:szCs w:val="22"/>
          <w:lang w:val="sr-Latn-BA"/>
        </w:rPr>
        <w:t xml:space="preserve"> p&lt;0,0001). </w:t>
      </w:r>
      <w:r w:rsidR="00D23C1D" w:rsidRPr="0051150C">
        <w:rPr>
          <w:noProof/>
          <w:szCs w:val="22"/>
          <w:lang w:val="sr-Latn-BA"/>
        </w:rPr>
        <w:t>Medijana</w:t>
      </w:r>
      <w:r w:rsidRPr="0051150C">
        <w:rPr>
          <w:noProof/>
          <w:szCs w:val="22"/>
          <w:lang w:val="sr-Latn-BA"/>
        </w:rPr>
        <w:t xml:space="preserve"> rPFS je 16,5 </w:t>
      </w:r>
      <w:r w:rsidR="00834D3E" w:rsidRPr="0051150C">
        <w:rPr>
          <w:noProof/>
          <w:szCs w:val="22"/>
          <w:lang w:val="sr-Latn-BA"/>
        </w:rPr>
        <w:t>mjesec</w:t>
      </w:r>
      <w:r w:rsidRPr="0051150C">
        <w:rPr>
          <w:noProof/>
          <w:szCs w:val="22"/>
          <w:lang w:val="sr-Latn-BA"/>
        </w:rPr>
        <w:t>i u grupi koja</w:t>
      </w:r>
      <w:r w:rsidR="00B76A82" w:rsidRPr="0051150C">
        <w:rPr>
          <w:noProof/>
          <w:szCs w:val="22"/>
          <w:lang w:val="sr-Latn-BA"/>
        </w:rPr>
        <w:t xml:space="preserve"> </w:t>
      </w:r>
      <w:r w:rsidR="00BE063A" w:rsidRPr="0051150C">
        <w:rPr>
          <w:noProof/>
          <w:szCs w:val="22"/>
          <w:lang w:val="sr-Latn-BA"/>
        </w:rPr>
        <w:t xml:space="preserve">je uzimala abirateron </w:t>
      </w:r>
      <w:r w:rsidRPr="0051150C">
        <w:rPr>
          <w:noProof/>
          <w:szCs w:val="22"/>
          <w:lang w:val="sr-Latn-BA"/>
        </w:rPr>
        <w:t xml:space="preserve">acetat i 8,3 </w:t>
      </w:r>
      <w:r w:rsidR="00834D3E" w:rsidRPr="0051150C">
        <w:rPr>
          <w:noProof/>
          <w:szCs w:val="22"/>
          <w:lang w:val="sr-Latn-BA"/>
        </w:rPr>
        <w:t>mjesec</w:t>
      </w:r>
      <w:r w:rsidRPr="0051150C">
        <w:rPr>
          <w:noProof/>
          <w:szCs w:val="22"/>
          <w:lang w:val="sr-Latn-BA"/>
        </w:rPr>
        <w:t>a u grupi koja je dobijala placebo.</w:t>
      </w:r>
    </w:p>
    <w:p w14:paraId="0BF48F1C" w14:textId="2B110929" w:rsidR="008173C0" w:rsidRPr="0051150C" w:rsidRDefault="008173C0" w:rsidP="009173F4">
      <w:pPr>
        <w:tabs>
          <w:tab w:val="clear" w:pos="284"/>
        </w:tabs>
        <w:autoSpaceDE w:val="0"/>
        <w:autoSpaceDN w:val="0"/>
        <w:adjustRightInd w:val="0"/>
        <w:rPr>
          <w:noProof/>
          <w:szCs w:val="22"/>
          <w:lang w:val="sr-Latn-BA"/>
        </w:rPr>
      </w:pPr>
    </w:p>
    <w:p w14:paraId="01491E17" w14:textId="6B7A893D" w:rsidR="00B76A82" w:rsidRPr="0051150C" w:rsidRDefault="008173C0" w:rsidP="00410EF6">
      <w:pPr>
        <w:pBdr>
          <w:bottom w:val="single" w:sz="4" w:space="1" w:color="auto"/>
        </w:pBdr>
        <w:tabs>
          <w:tab w:val="clear" w:pos="284"/>
        </w:tabs>
        <w:autoSpaceDE w:val="0"/>
        <w:autoSpaceDN w:val="0"/>
        <w:adjustRightInd w:val="0"/>
        <w:rPr>
          <w:rFonts w:eastAsia="TimesNewRoman,Bold"/>
          <w:bCs/>
          <w:noProof/>
          <w:szCs w:val="22"/>
          <w:lang w:val="sr-Latn-BA"/>
        </w:rPr>
      </w:pPr>
      <w:r w:rsidRPr="0051150C">
        <w:rPr>
          <w:rFonts w:eastAsia="TimesNewRoman,Bold"/>
          <w:b/>
          <w:bCs/>
          <w:noProof/>
          <w:szCs w:val="22"/>
          <w:lang w:val="sr-Latn-BA"/>
        </w:rPr>
        <w:t>Tabela 5: Studija 302: Preživljavanje bez radiografske progresije kod pacijenata koji su</w:t>
      </w:r>
      <w:r w:rsidR="00B76A82" w:rsidRPr="0051150C">
        <w:rPr>
          <w:rFonts w:eastAsia="TimesNewRoman,Bold"/>
          <w:b/>
          <w:bCs/>
          <w:noProof/>
          <w:szCs w:val="22"/>
          <w:lang w:val="sr-Latn-BA"/>
        </w:rPr>
        <w:t xml:space="preserve"> </w:t>
      </w:r>
      <w:r w:rsidRPr="0051150C">
        <w:rPr>
          <w:rFonts w:eastAsia="TimesNewRoman,Bold"/>
          <w:b/>
          <w:bCs/>
          <w:noProof/>
          <w:szCs w:val="22"/>
          <w:lang w:val="sr-Latn-BA"/>
        </w:rPr>
        <w:t xml:space="preserve">primali </w:t>
      </w:r>
      <w:r w:rsidR="004A7E03" w:rsidRPr="0051150C">
        <w:rPr>
          <w:rFonts w:eastAsia="TimesNewRoman,Bold"/>
          <w:b/>
          <w:bCs/>
          <w:noProof/>
          <w:szCs w:val="22"/>
          <w:lang w:val="sr-Latn-BA"/>
        </w:rPr>
        <w:t xml:space="preserve">abirateron acetat </w:t>
      </w:r>
      <w:r w:rsidRPr="0051150C">
        <w:rPr>
          <w:rFonts w:eastAsia="TimesNewRoman,Bold"/>
          <w:b/>
          <w:bCs/>
          <w:noProof/>
          <w:szCs w:val="22"/>
          <w:lang w:val="sr-Latn-BA"/>
        </w:rPr>
        <w:t>ili placebo u kombinaciji sa prednizonom ili prednizolonom uz</w:t>
      </w:r>
      <w:r w:rsidR="00B76A82" w:rsidRPr="0051150C">
        <w:rPr>
          <w:rFonts w:eastAsia="TimesNewRoman,Bold"/>
          <w:b/>
          <w:bCs/>
          <w:noProof/>
          <w:szCs w:val="22"/>
          <w:lang w:val="sr-Latn-BA"/>
        </w:rPr>
        <w:t xml:space="preserve"> </w:t>
      </w:r>
      <w:r w:rsidRPr="0051150C">
        <w:rPr>
          <w:rFonts w:eastAsia="TimesNewRoman,Bold"/>
          <w:b/>
          <w:bCs/>
          <w:noProof/>
          <w:szCs w:val="22"/>
          <w:lang w:val="sr-Latn-BA"/>
        </w:rPr>
        <w:t>analoge LHRH ili prethodnu orhiektomiju</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39"/>
        <w:gridCol w:w="3105"/>
        <w:gridCol w:w="3089"/>
      </w:tblGrid>
      <w:tr w:rsidR="00B76A82" w:rsidRPr="0051150C" w14:paraId="43A5CDB1" w14:textId="77777777" w:rsidTr="00FC00D7">
        <w:tc>
          <w:tcPr>
            <w:tcW w:w="3285" w:type="dxa"/>
            <w:tcBorders>
              <w:top w:val="nil"/>
              <w:bottom w:val="single" w:sz="4" w:space="0" w:color="auto"/>
              <w:right w:val="nil"/>
            </w:tcBorders>
          </w:tcPr>
          <w:p w14:paraId="7A17594A" w14:textId="01D4DE4A" w:rsidR="00B76A82" w:rsidRPr="0051150C" w:rsidRDefault="00B76A82" w:rsidP="00B35C3C">
            <w:pPr>
              <w:tabs>
                <w:tab w:val="clear" w:pos="284"/>
              </w:tabs>
              <w:autoSpaceDE w:val="0"/>
              <w:autoSpaceDN w:val="0"/>
              <w:adjustRightInd w:val="0"/>
              <w:rPr>
                <w:b/>
                <w:noProof/>
                <w:szCs w:val="22"/>
                <w:lang w:val="sr-Latn-BA"/>
              </w:rPr>
            </w:pPr>
          </w:p>
        </w:tc>
        <w:tc>
          <w:tcPr>
            <w:tcW w:w="3285" w:type="dxa"/>
            <w:tcBorders>
              <w:top w:val="nil"/>
              <w:left w:val="nil"/>
              <w:bottom w:val="single" w:sz="4" w:space="0" w:color="auto"/>
              <w:right w:val="nil"/>
            </w:tcBorders>
          </w:tcPr>
          <w:p w14:paraId="6CC95E39" w14:textId="49AA7B6F" w:rsidR="00B76A82" w:rsidRPr="0051150C" w:rsidRDefault="00B76A82" w:rsidP="009173F4">
            <w:pPr>
              <w:tabs>
                <w:tab w:val="clear" w:pos="284"/>
              </w:tabs>
              <w:autoSpaceDE w:val="0"/>
              <w:autoSpaceDN w:val="0"/>
              <w:adjustRightInd w:val="0"/>
              <w:jc w:val="center"/>
              <w:rPr>
                <w:noProof/>
                <w:szCs w:val="22"/>
                <w:lang w:val="sr-Latn-BA"/>
              </w:rPr>
            </w:pPr>
            <w:r w:rsidRPr="0051150C">
              <w:rPr>
                <w:noProof/>
                <w:szCs w:val="22"/>
                <w:lang w:val="sr-Latn-BA"/>
              </w:rPr>
              <w:t>Abirateron</w:t>
            </w:r>
            <w:r w:rsidR="00C916DD">
              <w:rPr>
                <w:noProof/>
                <w:szCs w:val="22"/>
                <w:lang w:val="sr-Latn-BA"/>
              </w:rPr>
              <w:t xml:space="preserve"> </w:t>
            </w:r>
            <w:r w:rsidRPr="0051150C">
              <w:rPr>
                <w:noProof/>
                <w:szCs w:val="22"/>
                <w:lang w:val="sr-Latn-BA"/>
              </w:rPr>
              <w:t>acetat</w:t>
            </w:r>
          </w:p>
          <w:p w14:paraId="043091BE" w14:textId="0B7D5267" w:rsidR="00B76A82" w:rsidRPr="0051150C" w:rsidRDefault="00B76A82" w:rsidP="009173F4">
            <w:pPr>
              <w:tabs>
                <w:tab w:val="clear" w:pos="284"/>
              </w:tabs>
              <w:autoSpaceDE w:val="0"/>
              <w:autoSpaceDN w:val="0"/>
              <w:adjustRightInd w:val="0"/>
              <w:jc w:val="center"/>
              <w:rPr>
                <w:noProof/>
                <w:szCs w:val="22"/>
                <w:lang w:val="sr-Latn-BA"/>
              </w:rPr>
            </w:pPr>
            <w:r w:rsidRPr="0051150C">
              <w:rPr>
                <w:noProof/>
                <w:szCs w:val="22"/>
                <w:lang w:val="sr-Latn-BA"/>
              </w:rPr>
              <w:t>(N=546)</w:t>
            </w:r>
          </w:p>
        </w:tc>
        <w:tc>
          <w:tcPr>
            <w:tcW w:w="3285" w:type="dxa"/>
            <w:tcBorders>
              <w:left w:val="nil"/>
              <w:bottom w:val="single" w:sz="4" w:space="0" w:color="auto"/>
            </w:tcBorders>
          </w:tcPr>
          <w:p w14:paraId="5653E231" w14:textId="77777777" w:rsidR="00B76A82" w:rsidRPr="0051150C" w:rsidRDefault="00B76A82" w:rsidP="009173F4">
            <w:pPr>
              <w:tabs>
                <w:tab w:val="clear" w:pos="284"/>
              </w:tabs>
              <w:autoSpaceDE w:val="0"/>
              <w:autoSpaceDN w:val="0"/>
              <w:adjustRightInd w:val="0"/>
              <w:jc w:val="center"/>
              <w:rPr>
                <w:noProof/>
                <w:szCs w:val="22"/>
                <w:lang w:val="sr-Latn-BA"/>
              </w:rPr>
            </w:pPr>
            <w:r w:rsidRPr="0051150C">
              <w:rPr>
                <w:noProof/>
                <w:szCs w:val="22"/>
                <w:lang w:val="sr-Latn-BA"/>
              </w:rPr>
              <w:t>Placebo</w:t>
            </w:r>
          </w:p>
          <w:p w14:paraId="6B19462B" w14:textId="77777777" w:rsidR="00B76A82" w:rsidRPr="0051150C" w:rsidRDefault="00B76A82" w:rsidP="009173F4">
            <w:pPr>
              <w:tabs>
                <w:tab w:val="clear" w:pos="284"/>
              </w:tabs>
              <w:autoSpaceDE w:val="0"/>
              <w:autoSpaceDN w:val="0"/>
              <w:adjustRightInd w:val="0"/>
              <w:jc w:val="center"/>
              <w:rPr>
                <w:noProof/>
                <w:szCs w:val="22"/>
                <w:lang w:val="sr-Latn-BA"/>
              </w:rPr>
            </w:pPr>
            <w:r w:rsidRPr="0051150C">
              <w:rPr>
                <w:noProof/>
                <w:szCs w:val="22"/>
                <w:lang w:val="sr-Latn-BA"/>
              </w:rPr>
              <w:t>(N=542)</w:t>
            </w:r>
          </w:p>
        </w:tc>
      </w:tr>
      <w:tr w:rsidR="00FC00D7" w:rsidRPr="001022E6" w14:paraId="3D4F6FAD" w14:textId="77777777" w:rsidTr="00FC00D7">
        <w:tc>
          <w:tcPr>
            <w:tcW w:w="3285" w:type="dxa"/>
            <w:tcBorders>
              <w:top w:val="single" w:sz="4" w:space="0" w:color="auto"/>
              <w:bottom w:val="nil"/>
              <w:right w:val="nil"/>
            </w:tcBorders>
          </w:tcPr>
          <w:p w14:paraId="1DECA88C" w14:textId="2D0CF007" w:rsidR="00FC00D7" w:rsidRPr="0051150C" w:rsidRDefault="00FC00D7" w:rsidP="00410EF6">
            <w:pPr>
              <w:tabs>
                <w:tab w:val="clear" w:pos="284"/>
              </w:tabs>
              <w:autoSpaceDE w:val="0"/>
              <w:autoSpaceDN w:val="0"/>
              <w:adjustRightInd w:val="0"/>
              <w:jc w:val="left"/>
              <w:rPr>
                <w:noProof/>
                <w:szCs w:val="22"/>
                <w:lang w:val="sr-Latn-BA"/>
              </w:rPr>
            </w:pPr>
            <w:r w:rsidRPr="0051150C">
              <w:rPr>
                <w:b/>
                <w:noProof/>
                <w:szCs w:val="22"/>
                <w:lang w:val="sr-Latn-BA"/>
              </w:rPr>
              <w:t>Preživljavanje bez radiografske progresije (rPFS)</w:t>
            </w:r>
          </w:p>
        </w:tc>
        <w:tc>
          <w:tcPr>
            <w:tcW w:w="3285" w:type="dxa"/>
            <w:tcBorders>
              <w:top w:val="single" w:sz="4" w:space="0" w:color="auto"/>
              <w:left w:val="nil"/>
              <w:bottom w:val="nil"/>
              <w:right w:val="nil"/>
            </w:tcBorders>
          </w:tcPr>
          <w:p w14:paraId="1B0ACB64" w14:textId="77777777" w:rsidR="00FC00D7" w:rsidRPr="0051150C" w:rsidRDefault="00FC00D7" w:rsidP="009173F4">
            <w:pPr>
              <w:tabs>
                <w:tab w:val="clear" w:pos="284"/>
              </w:tabs>
              <w:autoSpaceDE w:val="0"/>
              <w:autoSpaceDN w:val="0"/>
              <w:adjustRightInd w:val="0"/>
              <w:jc w:val="center"/>
              <w:rPr>
                <w:noProof/>
                <w:szCs w:val="22"/>
                <w:lang w:val="sr-Latn-BA"/>
              </w:rPr>
            </w:pPr>
          </w:p>
        </w:tc>
        <w:tc>
          <w:tcPr>
            <w:tcW w:w="3285" w:type="dxa"/>
            <w:tcBorders>
              <w:top w:val="single" w:sz="4" w:space="0" w:color="auto"/>
              <w:left w:val="nil"/>
              <w:bottom w:val="nil"/>
            </w:tcBorders>
          </w:tcPr>
          <w:p w14:paraId="08298E94" w14:textId="77777777" w:rsidR="00FC00D7" w:rsidRPr="0051150C" w:rsidRDefault="00FC00D7" w:rsidP="009173F4">
            <w:pPr>
              <w:tabs>
                <w:tab w:val="clear" w:pos="284"/>
              </w:tabs>
              <w:autoSpaceDE w:val="0"/>
              <w:autoSpaceDN w:val="0"/>
              <w:adjustRightInd w:val="0"/>
              <w:jc w:val="center"/>
              <w:rPr>
                <w:noProof/>
                <w:szCs w:val="22"/>
                <w:lang w:val="sr-Latn-BA"/>
              </w:rPr>
            </w:pPr>
          </w:p>
        </w:tc>
      </w:tr>
      <w:tr w:rsidR="00B76A82" w:rsidRPr="0051150C" w14:paraId="640BBE6E" w14:textId="77777777" w:rsidTr="00FC00D7">
        <w:tc>
          <w:tcPr>
            <w:tcW w:w="3285" w:type="dxa"/>
            <w:tcBorders>
              <w:top w:val="nil"/>
              <w:bottom w:val="nil"/>
              <w:right w:val="nil"/>
            </w:tcBorders>
          </w:tcPr>
          <w:p w14:paraId="4AD0D2B2" w14:textId="77777777" w:rsidR="00B76A82" w:rsidRPr="0051150C" w:rsidRDefault="00B76A82" w:rsidP="009173F4">
            <w:pPr>
              <w:tabs>
                <w:tab w:val="clear" w:pos="284"/>
              </w:tabs>
              <w:autoSpaceDE w:val="0"/>
              <w:autoSpaceDN w:val="0"/>
              <w:adjustRightInd w:val="0"/>
              <w:rPr>
                <w:noProof/>
                <w:szCs w:val="22"/>
                <w:lang w:val="sr-Latn-BA"/>
              </w:rPr>
            </w:pPr>
            <w:r w:rsidRPr="0051150C">
              <w:rPr>
                <w:noProof/>
                <w:szCs w:val="22"/>
                <w:lang w:val="sr-Latn-BA"/>
              </w:rPr>
              <w:t>Progresija ili smrtni ishod (%)</w:t>
            </w:r>
          </w:p>
          <w:p w14:paraId="482FD6DF" w14:textId="5E41444D" w:rsidR="00B76A82" w:rsidRPr="0051150C" w:rsidRDefault="00F559B9" w:rsidP="009173F4">
            <w:pPr>
              <w:tabs>
                <w:tab w:val="clear" w:pos="284"/>
              </w:tabs>
              <w:autoSpaceDE w:val="0"/>
              <w:autoSpaceDN w:val="0"/>
              <w:adjustRightInd w:val="0"/>
              <w:rPr>
                <w:noProof/>
                <w:szCs w:val="22"/>
                <w:lang w:val="sr-Latn-BA"/>
              </w:rPr>
            </w:pPr>
            <w:r w:rsidRPr="0051150C">
              <w:rPr>
                <w:noProof/>
                <w:szCs w:val="22"/>
                <w:lang w:val="sr-Latn-BA"/>
              </w:rPr>
              <w:t>Medijana</w:t>
            </w:r>
            <w:r w:rsidR="00B76A82" w:rsidRPr="0051150C">
              <w:rPr>
                <w:noProof/>
                <w:szCs w:val="22"/>
                <w:lang w:val="sr-Latn-BA"/>
              </w:rPr>
              <w:t xml:space="preserve"> rPFS u </w:t>
            </w:r>
            <w:r w:rsidR="00834D3E" w:rsidRPr="0051150C">
              <w:rPr>
                <w:noProof/>
                <w:szCs w:val="22"/>
                <w:lang w:val="sr-Latn-BA"/>
              </w:rPr>
              <w:t>mjesec</w:t>
            </w:r>
            <w:r w:rsidR="00B76A82" w:rsidRPr="0051150C">
              <w:rPr>
                <w:noProof/>
                <w:szCs w:val="22"/>
                <w:lang w:val="sr-Latn-BA"/>
              </w:rPr>
              <w:t>ima</w:t>
            </w:r>
          </w:p>
          <w:p w14:paraId="6E530B8A" w14:textId="77777777" w:rsidR="00B76A82" w:rsidRPr="0051150C" w:rsidRDefault="00B76A82" w:rsidP="009173F4">
            <w:pPr>
              <w:tabs>
                <w:tab w:val="clear" w:pos="284"/>
              </w:tabs>
              <w:autoSpaceDE w:val="0"/>
              <w:autoSpaceDN w:val="0"/>
              <w:adjustRightInd w:val="0"/>
              <w:rPr>
                <w:noProof/>
                <w:szCs w:val="22"/>
                <w:lang w:val="sr-Latn-BA"/>
              </w:rPr>
            </w:pPr>
            <w:r w:rsidRPr="0051150C">
              <w:rPr>
                <w:noProof/>
                <w:szCs w:val="22"/>
                <w:lang w:val="sr-Latn-BA"/>
              </w:rPr>
              <w:t>(95% CI)</w:t>
            </w:r>
          </w:p>
        </w:tc>
        <w:tc>
          <w:tcPr>
            <w:tcW w:w="3285" w:type="dxa"/>
            <w:tcBorders>
              <w:top w:val="nil"/>
              <w:left w:val="nil"/>
              <w:bottom w:val="nil"/>
              <w:right w:val="nil"/>
            </w:tcBorders>
          </w:tcPr>
          <w:p w14:paraId="02EEA7DF" w14:textId="2EF63740" w:rsidR="00B76A82" w:rsidRPr="0051150C" w:rsidRDefault="00011C72" w:rsidP="009173F4">
            <w:pPr>
              <w:tabs>
                <w:tab w:val="clear" w:pos="284"/>
              </w:tabs>
              <w:autoSpaceDE w:val="0"/>
              <w:autoSpaceDN w:val="0"/>
              <w:adjustRightInd w:val="0"/>
              <w:jc w:val="center"/>
              <w:rPr>
                <w:noProof/>
                <w:szCs w:val="22"/>
                <w:lang w:val="sr-Latn-BA"/>
              </w:rPr>
            </w:pPr>
            <w:r w:rsidRPr="0051150C">
              <w:rPr>
                <w:noProof/>
                <w:szCs w:val="22"/>
                <w:lang w:val="sr-Latn-BA"/>
              </w:rPr>
              <w:t>271</w:t>
            </w:r>
            <w:r w:rsidR="00B76A82" w:rsidRPr="0051150C">
              <w:rPr>
                <w:noProof/>
                <w:szCs w:val="22"/>
                <w:lang w:val="sr-Latn-BA"/>
              </w:rPr>
              <w:t xml:space="preserve"> (</w:t>
            </w:r>
            <w:r w:rsidRPr="0051150C">
              <w:rPr>
                <w:noProof/>
                <w:szCs w:val="22"/>
                <w:lang w:val="sr-Latn-BA"/>
              </w:rPr>
              <w:t>50</w:t>
            </w:r>
            <w:r w:rsidR="00B76A82" w:rsidRPr="0051150C">
              <w:rPr>
                <w:noProof/>
                <w:szCs w:val="22"/>
                <w:lang w:val="sr-Latn-BA"/>
              </w:rPr>
              <w:t>%)</w:t>
            </w:r>
          </w:p>
          <w:p w14:paraId="18AAB782" w14:textId="2C4E228C" w:rsidR="00B76A82" w:rsidRPr="0051150C" w:rsidRDefault="00011C72" w:rsidP="009173F4">
            <w:pPr>
              <w:tabs>
                <w:tab w:val="clear" w:pos="284"/>
              </w:tabs>
              <w:autoSpaceDE w:val="0"/>
              <w:autoSpaceDN w:val="0"/>
              <w:adjustRightInd w:val="0"/>
              <w:jc w:val="center"/>
              <w:rPr>
                <w:noProof/>
                <w:szCs w:val="22"/>
                <w:lang w:val="sr-Latn-BA"/>
              </w:rPr>
            </w:pPr>
            <w:r w:rsidRPr="0051150C">
              <w:rPr>
                <w:noProof/>
                <w:szCs w:val="22"/>
                <w:lang w:val="sr-Latn-BA"/>
              </w:rPr>
              <w:t>16</w:t>
            </w:r>
            <w:r w:rsidR="00C916DD">
              <w:rPr>
                <w:noProof/>
                <w:szCs w:val="22"/>
                <w:lang w:val="sr-Latn-BA"/>
              </w:rPr>
              <w:t>,</w:t>
            </w:r>
            <w:r w:rsidRPr="0051150C">
              <w:rPr>
                <w:noProof/>
                <w:szCs w:val="22"/>
                <w:lang w:val="sr-Latn-BA"/>
              </w:rPr>
              <w:t>5</w:t>
            </w:r>
          </w:p>
          <w:p w14:paraId="684EB11F" w14:textId="51C6E16C" w:rsidR="00B76A82" w:rsidRPr="0051150C" w:rsidRDefault="00B76A82" w:rsidP="00C916DD">
            <w:pPr>
              <w:tabs>
                <w:tab w:val="clear" w:pos="284"/>
              </w:tabs>
              <w:autoSpaceDE w:val="0"/>
              <w:autoSpaceDN w:val="0"/>
              <w:adjustRightInd w:val="0"/>
              <w:jc w:val="center"/>
              <w:rPr>
                <w:noProof/>
                <w:szCs w:val="22"/>
                <w:lang w:val="sr-Latn-BA"/>
              </w:rPr>
            </w:pPr>
            <w:r w:rsidRPr="0051150C">
              <w:rPr>
                <w:noProof/>
                <w:szCs w:val="22"/>
                <w:lang w:val="sr-Latn-BA"/>
              </w:rPr>
              <w:t>(</w:t>
            </w:r>
            <w:r w:rsidR="00864208" w:rsidRPr="0051150C">
              <w:rPr>
                <w:noProof/>
                <w:szCs w:val="22"/>
                <w:lang w:val="sr-Latn-BA"/>
              </w:rPr>
              <w:t>13</w:t>
            </w:r>
            <w:r w:rsidR="00C916DD">
              <w:rPr>
                <w:noProof/>
                <w:szCs w:val="22"/>
                <w:lang w:val="sr-Latn-BA"/>
              </w:rPr>
              <w:t>,</w:t>
            </w:r>
            <w:r w:rsidR="00864208" w:rsidRPr="0051150C">
              <w:rPr>
                <w:noProof/>
                <w:szCs w:val="22"/>
                <w:lang w:val="sr-Latn-BA"/>
              </w:rPr>
              <w:t>80;</w:t>
            </w:r>
            <w:r w:rsidR="00011C72" w:rsidRPr="0051150C">
              <w:rPr>
                <w:noProof/>
                <w:szCs w:val="22"/>
                <w:lang w:val="sr-Latn-BA"/>
              </w:rPr>
              <w:t xml:space="preserve"> 16</w:t>
            </w:r>
            <w:r w:rsidR="00C916DD">
              <w:rPr>
                <w:noProof/>
                <w:szCs w:val="22"/>
                <w:lang w:val="sr-Latn-BA"/>
              </w:rPr>
              <w:t>,</w:t>
            </w:r>
            <w:r w:rsidR="00011C72" w:rsidRPr="0051150C">
              <w:rPr>
                <w:noProof/>
                <w:szCs w:val="22"/>
                <w:lang w:val="sr-Latn-BA"/>
              </w:rPr>
              <w:t>79</w:t>
            </w:r>
            <w:r w:rsidRPr="0051150C">
              <w:rPr>
                <w:noProof/>
                <w:szCs w:val="22"/>
                <w:lang w:val="sr-Latn-BA"/>
              </w:rPr>
              <w:t>)</w:t>
            </w:r>
          </w:p>
        </w:tc>
        <w:tc>
          <w:tcPr>
            <w:tcW w:w="3285" w:type="dxa"/>
            <w:tcBorders>
              <w:top w:val="nil"/>
              <w:left w:val="nil"/>
              <w:bottom w:val="nil"/>
            </w:tcBorders>
          </w:tcPr>
          <w:p w14:paraId="2DEDDA43" w14:textId="6AB0A71A" w:rsidR="00B76A82" w:rsidRPr="0051150C" w:rsidRDefault="00011C72" w:rsidP="009173F4">
            <w:pPr>
              <w:tabs>
                <w:tab w:val="clear" w:pos="284"/>
              </w:tabs>
              <w:autoSpaceDE w:val="0"/>
              <w:autoSpaceDN w:val="0"/>
              <w:adjustRightInd w:val="0"/>
              <w:jc w:val="center"/>
              <w:rPr>
                <w:noProof/>
                <w:szCs w:val="22"/>
                <w:lang w:val="sr-Latn-BA"/>
              </w:rPr>
            </w:pPr>
            <w:r w:rsidRPr="0051150C">
              <w:rPr>
                <w:noProof/>
                <w:szCs w:val="22"/>
                <w:lang w:val="sr-Latn-BA"/>
              </w:rPr>
              <w:t>336</w:t>
            </w:r>
            <w:r w:rsidR="00B76A82" w:rsidRPr="0051150C">
              <w:rPr>
                <w:noProof/>
                <w:szCs w:val="22"/>
                <w:lang w:val="sr-Latn-BA"/>
              </w:rPr>
              <w:t xml:space="preserve"> (</w:t>
            </w:r>
            <w:r w:rsidRPr="0051150C">
              <w:rPr>
                <w:noProof/>
                <w:szCs w:val="22"/>
                <w:lang w:val="sr-Latn-BA"/>
              </w:rPr>
              <w:t>62</w:t>
            </w:r>
            <w:r w:rsidR="00B76A82" w:rsidRPr="0051150C">
              <w:rPr>
                <w:noProof/>
                <w:szCs w:val="22"/>
                <w:lang w:val="sr-Latn-BA"/>
              </w:rPr>
              <w:t>%)</w:t>
            </w:r>
          </w:p>
          <w:p w14:paraId="18DB1AAD" w14:textId="55C2DC1A" w:rsidR="00B76A82" w:rsidRPr="0051150C" w:rsidRDefault="00B76A82" w:rsidP="009173F4">
            <w:pPr>
              <w:tabs>
                <w:tab w:val="clear" w:pos="284"/>
              </w:tabs>
              <w:autoSpaceDE w:val="0"/>
              <w:autoSpaceDN w:val="0"/>
              <w:adjustRightInd w:val="0"/>
              <w:jc w:val="center"/>
              <w:rPr>
                <w:noProof/>
                <w:szCs w:val="22"/>
                <w:lang w:val="sr-Latn-BA"/>
              </w:rPr>
            </w:pPr>
            <w:r w:rsidRPr="0051150C">
              <w:rPr>
                <w:noProof/>
                <w:szCs w:val="22"/>
                <w:lang w:val="sr-Latn-BA"/>
              </w:rPr>
              <w:t>8</w:t>
            </w:r>
            <w:r w:rsidR="00C916DD">
              <w:rPr>
                <w:noProof/>
                <w:szCs w:val="22"/>
                <w:lang w:val="sr-Latn-BA"/>
              </w:rPr>
              <w:t>,</w:t>
            </w:r>
            <w:r w:rsidRPr="0051150C">
              <w:rPr>
                <w:noProof/>
                <w:szCs w:val="22"/>
                <w:lang w:val="sr-Latn-BA"/>
              </w:rPr>
              <w:t>3</w:t>
            </w:r>
          </w:p>
          <w:p w14:paraId="289B2CA0" w14:textId="4408B4A6" w:rsidR="00B76A82" w:rsidRPr="0051150C" w:rsidRDefault="00B76A82" w:rsidP="00C916DD">
            <w:pPr>
              <w:tabs>
                <w:tab w:val="clear" w:pos="284"/>
              </w:tabs>
              <w:autoSpaceDE w:val="0"/>
              <w:autoSpaceDN w:val="0"/>
              <w:adjustRightInd w:val="0"/>
              <w:jc w:val="center"/>
              <w:rPr>
                <w:noProof/>
                <w:szCs w:val="22"/>
                <w:lang w:val="sr-Latn-BA"/>
              </w:rPr>
            </w:pPr>
            <w:r w:rsidRPr="0051150C">
              <w:rPr>
                <w:noProof/>
                <w:szCs w:val="22"/>
                <w:lang w:val="sr-Latn-BA"/>
              </w:rPr>
              <w:t>(</w:t>
            </w:r>
            <w:r w:rsidR="00011C72" w:rsidRPr="0051150C">
              <w:rPr>
                <w:noProof/>
                <w:szCs w:val="22"/>
                <w:lang w:val="sr-Latn-BA"/>
              </w:rPr>
              <w:t>8</w:t>
            </w:r>
            <w:r w:rsidR="00C916DD">
              <w:rPr>
                <w:noProof/>
                <w:szCs w:val="22"/>
                <w:lang w:val="sr-Latn-BA"/>
              </w:rPr>
              <w:t>,</w:t>
            </w:r>
            <w:r w:rsidR="00011C72" w:rsidRPr="0051150C">
              <w:rPr>
                <w:noProof/>
                <w:szCs w:val="22"/>
                <w:lang w:val="sr-Latn-BA"/>
              </w:rPr>
              <w:t>05</w:t>
            </w:r>
            <w:r w:rsidR="00864208" w:rsidRPr="0051150C">
              <w:rPr>
                <w:noProof/>
                <w:szCs w:val="22"/>
                <w:lang w:val="sr-Latn-BA"/>
              </w:rPr>
              <w:t>;</w:t>
            </w:r>
            <w:r w:rsidRPr="0051150C">
              <w:rPr>
                <w:noProof/>
                <w:szCs w:val="22"/>
                <w:lang w:val="sr-Latn-BA"/>
              </w:rPr>
              <w:t xml:space="preserve"> </w:t>
            </w:r>
            <w:r w:rsidR="00011C72" w:rsidRPr="0051150C">
              <w:rPr>
                <w:noProof/>
                <w:szCs w:val="22"/>
                <w:lang w:val="sr-Latn-BA"/>
              </w:rPr>
              <w:t>9</w:t>
            </w:r>
            <w:r w:rsidR="00C916DD">
              <w:rPr>
                <w:noProof/>
                <w:szCs w:val="22"/>
                <w:lang w:val="sr-Latn-BA"/>
              </w:rPr>
              <w:t>,</w:t>
            </w:r>
            <w:r w:rsidR="00011C72" w:rsidRPr="0051150C">
              <w:rPr>
                <w:noProof/>
                <w:szCs w:val="22"/>
                <w:lang w:val="sr-Latn-BA"/>
              </w:rPr>
              <w:t>43</w:t>
            </w:r>
            <w:r w:rsidRPr="0051150C">
              <w:rPr>
                <w:noProof/>
                <w:szCs w:val="22"/>
                <w:lang w:val="sr-Latn-BA"/>
              </w:rPr>
              <w:t>)</w:t>
            </w:r>
          </w:p>
        </w:tc>
      </w:tr>
      <w:tr w:rsidR="00B76A82" w:rsidRPr="0051150C" w14:paraId="7DB4F3F9" w14:textId="77777777" w:rsidTr="00267578">
        <w:tc>
          <w:tcPr>
            <w:tcW w:w="3285" w:type="dxa"/>
            <w:tcBorders>
              <w:top w:val="nil"/>
              <w:bottom w:val="nil"/>
              <w:right w:val="nil"/>
            </w:tcBorders>
          </w:tcPr>
          <w:p w14:paraId="319566AA" w14:textId="33BB3877" w:rsidR="00B76A82" w:rsidRPr="0051150C" w:rsidRDefault="00B76A82" w:rsidP="009173F4">
            <w:pPr>
              <w:tabs>
                <w:tab w:val="clear" w:pos="284"/>
              </w:tabs>
              <w:autoSpaceDE w:val="0"/>
              <w:autoSpaceDN w:val="0"/>
              <w:adjustRightInd w:val="0"/>
              <w:rPr>
                <w:noProof/>
                <w:szCs w:val="22"/>
                <w:lang w:val="sr-Latn-BA"/>
              </w:rPr>
            </w:pPr>
            <w:r w:rsidRPr="0051150C">
              <w:rPr>
                <w:noProof/>
                <w:szCs w:val="22"/>
                <w:lang w:val="sr-Latn-BA"/>
              </w:rPr>
              <w:t>p-</w:t>
            </w:r>
            <w:r w:rsidR="00096FAA" w:rsidRPr="0051150C">
              <w:rPr>
                <w:noProof/>
                <w:szCs w:val="22"/>
                <w:lang w:val="sr-Latn-BA"/>
              </w:rPr>
              <w:t>vrijednost</w:t>
            </w:r>
            <w:r w:rsidRPr="0051150C">
              <w:rPr>
                <w:noProof/>
                <w:szCs w:val="22"/>
                <w:lang w:val="sr-Latn-BA"/>
              </w:rPr>
              <w:t>*</w:t>
            </w:r>
          </w:p>
        </w:tc>
        <w:tc>
          <w:tcPr>
            <w:tcW w:w="6570" w:type="dxa"/>
            <w:gridSpan w:val="2"/>
            <w:tcBorders>
              <w:top w:val="nil"/>
              <w:left w:val="nil"/>
              <w:bottom w:val="nil"/>
            </w:tcBorders>
          </w:tcPr>
          <w:p w14:paraId="4B906664" w14:textId="1D070D96" w:rsidR="00B76A82" w:rsidRPr="0051150C" w:rsidRDefault="00B76A82" w:rsidP="00C916DD">
            <w:pPr>
              <w:tabs>
                <w:tab w:val="clear" w:pos="284"/>
              </w:tabs>
              <w:autoSpaceDE w:val="0"/>
              <w:autoSpaceDN w:val="0"/>
              <w:adjustRightInd w:val="0"/>
              <w:jc w:val="center"/>
              <w:rPr>
                <w:noProof/>
                <w:szCs w:val="22"/>
                <w:lang w:val="sr-Latn-BA"/>
              </w:rPr>
            </w:pPr>
            <w:r w:rsidRPr="0051150C">
              <w:rPr>
                <w:noProof/>
                <w:szCs w:val="22"/>
                <w:lang w:val="sr-Latn-BA"/>
              </w:rPr>
              <w:t>&lt; 0</w:t>
            </w:r>
            <w:r w:rsidR="00C916DD">
              <w:rPr>
                <w:noProof/>
                <w:szCs w:val="22"/>
                <w:lang w:val="sr-Latn-BA"/>
              </w:rPr>
              <w:t>,</w:t>
            </w:r>
            <w:r w:rsidRPr="0051150C">
              <w:rPr>
                <w:noProof/>
                <w:szCs w:val="22"/>
                <w:lang w:val="sr-Latn-BA"/>
              </w:rPr>
              <w:t>0001</w:t>
            </w:r>
          </w:p>
        </w:tc>
      </w:tr>
      <w:tr w:rsidR="00B76A82" w:rsidRPr="0051150C" w14:paraId="68514318" w14:textId="77777777" w:rsidTr="00267578">
        <w:tc>
          <w:tcPr>
            <w:tcW w:w="3285" w:type="dxa"/>
            <w:tcBorders>
              <w:top w:val="nil"/>
              <w:bottom w:val="single" w:sz="4" w:space="0" w:color="auto"/>
              <w:right w:val="nil"/>
            </w:tcBorders>
          </w:tcPr>
          <w:p w14:paraId="22009C02" w14:textId="32A0FFB2" w:rsidR="00B76A82" w:rsidRPr="0051150C" w:rsidRDefault="00C916DD" w:rsidP="009173F4">
            <w:pPr>
              <w:tabs>
                <w:tab w:val="clear" w:pos="284"/>
              </w:tabs>
              <w:autoSpaceDE w:val="0"/>
              <w:autoSpaceDN w:val="0"/>
              <w:adjustRightInd w:val="0"/>
              <w:rPr>
                <w:i/>
                <w:noProof/>
                <w:szCs w:val="22"/>
                <w:lang w:val="sr-Latn-BA"/>
              </w:rPr>
            </w:pPr>
            <w:r w:rsidRPr="00DF315D">
              <w:rPr>
                <w:iCs/>
                <w:noProof/>
                <w:szCs w:val="22"/>
                <w:lang w:val="sr-Latn-BA"/>
              </w:rPr>
              <w:t>Odnos rizika</w:t>
            </w:r>
            <w:r w:rsidR="00B76A82" w:rsidRPr="0051150C">
              <w:rPr>
                <w:i/>
                <w:noProof/>
                <w:szCs w:val="22"/>
                <w:lang w:val="sr-Latn-BA"/>
              </w:rPr>
              <w:t xml:space="preserve">** </w:t>
            </w:r>
            <w:r w:rsidR="00B76A82" w:rsidRPr="0051150C">
              <w:rPr>
                <w:noProof/>
                <w:szCs w:val="22"/>
                <w:lang w:val="sr-Latn-BA"/>
              </w:rPr>
              <w:t>(95% CI)</w:t>
            </w:r>
          </w:p>
        </w:tc>
        <w:tc>
          <w:tcPr>
            <w:tcW w:w="6570" w:type="dxa"/>
            <w:gridSpan w:val="2"/>
            <w:tcBorders>
              <w:top w:val="nil"/>
              <w:left w:val="nil"/>
              <w:bottom w:val="single" w:sz="4" w:space="0" w:color="auto"/>
            </w:tcBorders>
          </w:tcPr>
          <w:p w14:paraId="0C6DB8A5" w14:textId="468AE15B" w:rsidR="00B76A82" w:rsidRPr="0051150C" w:rsidRDefault="00011C72" w:rsidP="00C916DD">
            <w:pPr>
              <w:tabs>
                <w:tab w:val="clear" w:pos="284"/>
              </w:tabs>
              <w:autoSpaceDE w:val="0"/>
              <w:autoSpaceDN w:val="0"/>
              <w:adjustRightInd w:val="0"/>
              <w:jc w:val="center"/>
              <w:rPr>
                <w:noProof/>
                <w:szCs w:val="22"/>
                <w:lang w:val="sr-Latn-BA"/>
              </w:rPr>
            </w:pPr>
            <w:r w:rsidRPr="0051150C">
              <w:rPr>
                <w:noProof/>
                <w:szCs w:val="22"/>
                <w:lang w:val="sr-Latn-BA"/>
              </w:rPr>
              <w:t>0</w:t>
            </w:r>
            <w:r w:rsidR="00C916DD">
              <w:rPr>
                <w:noProof/>
                <w:szCs w:val="22"/>
                <w:lang w:val="sr-Latn-BA"/>
              </w:rPr>
              <w:t>,</w:t>
            </w:r>
            <w:r w:rsidRPr="0051150C">
              <w:rPr>
                <w:noProof/>
                <w:szCs w:val="22"/>
                <w:lang w:val="sr-Latn-BA"/>
              </w:rPr>
              <w:t>530 (0</w:t>
            </w:r>
            <w:r w:rsidR="00C916DD">
              <w:rPr>
                <w:noProof/>
                <w:szCs w:val="22"/>
                <w:lang w:val="sr-Latn-BA"/>
              </w:rPr>
              <w:t>,</w:t>
            </w:r>
            <w:r w:rsidRPr="0051150C">
              <w:rPr>
                <w:noProof/>
                <w:szCs w:val="22"/>
                <w:lang w:val="sr-Latn-BA"/>
              </w:rPr>
              <w:t>451, 0</w:t>
            </w:r>
            <w:r w:rsidR="00C916DD">
              <w:rPr>
                <w:noProof/>
                <w:szCs w:val="22"/>
                <w:lang w:val="sr-Latn-BA"/>
              </w:rPr>
              <w:t>,</w:t>
            </w:r>
            <w:r w:rsidRPr="0051150C">
              <w:rPr>
                <w:noProof/>
                <w:szCs w:val="22"/>
                <w:lang w:val="sr-Latn-BA"/>
              </w:rPr>
              <w:t>623</w:t>
            </w:r>
            <w:r w:rsidR="00B76A82" w:rsidRPr="0051150C">
              <w:rPr>
                <w:noProof/>
                <w:szCs w:val="22"/>
                <w:lang w:val="sr-Latn-BA"/>
              </w:rPr>
              <w:t>)</w:t>
            </w:r>
          </w:p>
        </w:tc>
      </w:tr>
    </w:tbl>
    <w:p w14:paraId="091F9501" w14:textId="58F446EF" w:rsidR="00011C72" w:rsidRPr="0051150C" w:rsidRDefault="00011C72" w:rsidP="009173F4">
      <w:pPr>
        <w:tabs>
          <w:tab w:val="clear" w:pos="284"/>
        </w:tabs>
        <w:autoSpaceDE w:val="0"/>
        <w:autoSpaceDN w:val="0"/>
        <w:adjustRightInd w:val="0"/>
        <w:rPr>
          <w:noProof/>
          <w:szCs w:val="22"/>
          <w:lang w:val="sr-Latn-BA"/>
        </w:rPr>
      </w:pPr>
      <w:r w:rsidRPr="0051150C">
        <w:rPr>
          <w:noProof/>
          <w:szCs w:val="22"/>
          <w:lang w:val="sr-Latn-BA"/>
        </w:rPr>
        <w:t>* p-</w:t>
      </w:r>
      <w:r w:rsidR="00096FAA" w:rsidRPr="0051150C">
        <w:rPr>
          <w:noProof/>
          <w:szCs w:val="22"/>
          <w:lang w:val="sr-Latn-BA"/>
        </w:rPr>
        <w:t>vrijednost</w:t>
      </w:r>
      <w:r w:rsidRPr="0051150C">
        <w:rPr>
          <w:noProof/>
          <w:szCs w:val="22"/>
          <w:lang w:val="sr-Latn-BA"/>
        </w:rPr>
        <w:t xml:space="preserve"> je izvedena iz log-</w:t>
      </w:r>
      <w:r w:rsidR="00C916DD" w:rsidRPr="0051150C">
        <w:rPr>
          <w:noProof/>
          <w:szCs w:val="22"/>
          <w:lang w:val="sr-Latn-BA"/>
        </w:rPr>
        <w:t>ran</w:t>
      </w:r>
      <w:r w:rsidR="00C916DD">
        <w:rPr>
          <w:noProof/>
          <w:szCs w:val="22"/>
          <w:lang w:val="sr-Latn-BA"/>
        </w:rPr>
        <w:t>k</w:t>
      </w:r>
      <w:r w:rsidR="00C916DD" w:rsidRPr="0051150C">
        <w:rPr>
          <w:noProof/>
          <w:szCs w:val="22"/>
          <w:lang w:val="sr-Latn-BA"/>
        </w:rPr>
        <w:t xml:space="preserve"> </w:t>
      </w:r>
      <w:r w:rsidRPr="0051150C">
        <w:rPr>
          <w:noProof/>
          <w:szCs w:val="22"/>
          <w:lang w:val="sr-Latn-BA"/>
        </w:rPr>
        <w:t xml:space="preserve">testa stratifikovanog prema početnoj </w:t>
      </w:r>
      <w:r w:rsidR="00096FAA" w:rsidRPr="0051150C">
        <w:rPr>
          <w:noProof/>
          <w:szCs w:val="22"/>
          <w:lang w:val="sr-Latn-BA"/>
        </w:rPr>
        <w:t>vrijednost</w:t>
      </w:r>
      <w:r w:rsidRPr="0051150C">
        <w:rPr>
          <w:noProof/>
          <w:szCs w:val="22"/>
          <w:lang w:val="sr-Latn-BA"/>
        </w:rPr>
        <w:t>i ECOG statusa (0 ili 1)</w:t>
      </w:r>
    </w:p>
    <w:p w14:paraId="1BA3EB2E" w14:textId="2E5227BA" w:rsidR="00011C72" w:rsidRPr="0051150C" w:rsidRDefault="00011C72" w:rsidP="009173F4">
      <w:pPr>
        <w:tabs>
          <w:tab w:val="clear" w:pos="284"/>
        </w:tabs>
        <w:autoSpaceDE w:val="0"/>
        <w:autoSpaceDN w:val="0"/>
        <w:adjustRightInd w:val="0"/>
        <w:rPr>
          <w:noProof/>
          <w:szCs w:val="22"/>
          <w:lang w:val="sr-Latn-BA"/>
        </w:rPr>
      </w:pPr>
      <w:r w:rsidRPr="0051150C">
        <w:rPr>
          <w:noProof/>
          <w:szCs w:val="22"/>
          <w:lang w:val="sr-Latn-BA"/>
        </w:rPr>
        <w:t>**</w:t>
      </w:r>
      <w:r w:rsidR="00C916DD" w:rsidRPr="00DF315D">
        <w:rPr>
          <w:iCs/>
          <w:noProof/>
          <w:szCs w:val="22"/>
          <w:lang w:val="sr-Latn-BA"/>
        </w:rPr>
        <w:t>Odnos rizika</w:t>
      </w:r>
      <w:r w:rsidRPr="0051150C">
        <w:rPr>
          <w:i/>
          <w:iCs/>
          <w:noProof/>
          <w:szCs w:val="22"/>
          <w:lang w:val="sr-Latn-BA"/>
        </w:rPr>
        <w:t xml:space="preserve"> </w:t>
      </w:r>
      <w:r w:rsidRPr="0051150C">
        <w:rPr>
          <w:noProof/>
          <w:szCs w:val="22"/>
          <w:lang w:val="sr-Latn-BA"/>
        </w:rPr>
        <w:t>&lt;1 daje prednost abirateron-acetatu</w:t>
      </w:r>
    </w:p>
    <w:p w14:paraId="7CA10051" w14:textId="77777777" w:rsidR="00FC00D7" w:rsidRPr="0051150C" w:rsidRDefault="00FC00D7" w:rsidP="009173F4">
      <w:pPr>
        <w:tabs>
          <w:tab w:val="clear" w:pos="284"/>
        </w:tabs>
        <w:autoSpaceDE w:val="0"/>
        <w:autoSpaceDN w:val="0"/>
        <w:adjustRightInd w:val="0"/>
        <w:rPr>
          <w:noProof/>
          <w:szCs w:val="22"/>
          <w:lang w:val="sr-Latn-BA"/>
        </w:rPr>
      </w:pPr>
    </w:p>
    <w:p w14:paraId="7A9D4EFD" w14:textId="4F502A95" w:rsidR="004A7E03" w:rsidRPr="0051150C" w:rsidRDefault="004A7E03" w:rsidP="00B35C3C">
      <w:pPr>
        <w:tabs>
          <w:tab w:val="clear" w:pos="284"/>
        </w:tabs>
        <w:autoSpaceDE w:val="0"/>
        <w:autoSpaceDN w:val="0"/>
        <w:adjustRightInd w:val="0"/>
        <w:rPr>
          <w:b/>
          <w:noProof/>
          <w:szCs w:val="22"/>
          <w:lang w:val="sr-Latn-BA"/>
        </w:rPr>
      </w:pPr>
      <w:r w:rsidRPr="0051150C">
        <w:rPr>
          <w:rFonts w:eastAsia="TimesNewRoman,Bold"/>
          <w:b/>
          <w:bCs/>
          <w:noProof/>
          <w:szCs w:val="22"/>
          <w:lang w:val="sr-Latn-BA"/>
        </w:rPr>
        <w:lastRenderedPageBreak/>
        <w:t xml:space="preserve">Slika 4: </w:t>
      </w:r>
      <w:r w:rsidRPr="0051150C">
        <w:rPr>
          <w:rFonts w:eastAsia="TimesNewRoman,Bold"/>
          <w:b/>
          <w:bCs/>
          <w:i/>
          <w:iCs/>
          <w:noProof/>
          <w:szCs w:val="22"/>
          <w:lang w:val="sr-Latn-BA"/>
        </w:rPr>
        <w:t>Kaplan-Meier</w:t>
      </w:r>
      <w:r w:rsidR="00D650D7">
        <w:rPr>
          <w:rFonts w:eastAsia="TimesNewRoman,Bold"/>
          <w:b/>
          <w:bCs/>
          <w:iCs/>
          <w:noProof/>
          <w:szCs w:val="22"/>
          <w:lang w:val="sr-Latn-BA"/>
        </w:rPr>
        <w:t>-ove</w:t>
      </w:r>
      <w:r w:rsidRPr="0051150C">
        <w:rPr>
          <w:rFonts w:eastAsia="TimesNewRoman,Bold"/>
          <w:b/>
          <w:bCs/>
          <w:i/>
          <w:iCs/>
          <w:noProof/>
          <w:szCs w:val="22"/>
          <w:lang w:val="sr-Latn-BA"/>
        </w:rPr>
        <w:t xml:space="preserve"> </w:t>
      </w:r>
      <w:r w:rsidRPr="0051150C">
        <w:rPr>
          <w:rFonts w:eastAsia="TimesNewRoman,Bold"/>
          <w:b/>
          <w:bCs/>
          <w:noProof/>
          <w:szCs w:val="22"/>
          <w:lang w:val="sr-Latn-BA"/>
        </w:rPr>
        <w:t>krive preživljavanja bez radiografske progresije kod pacijenata koji su uzimali ili abirateron acetat ili placebo u kombinaciji sa prednizonom ili prednizolonom uz analoge LHRH ili prethodnu orhiektomiju (</w:t>
      </w:r>
      <w:r w:rsidR="004E52E8">
        <w:rPr>
          <w:rFonts w:eastAsia="TimesNewRoman,Bold"/>
          <w:b/>
          <w:bCs/>
          <w:noProof/>
          <w:szCs w:val="22"/>
          <w:lang w:val="sr-Latn-BA"/>
        </w:rPr>
        <w:t>d</w:t>
      </w:r>
      <w:r w:rsidR="004E52E8" w:rsidRPr="0051150C">
        <w:rPr>
          <w:rFonts w:eastAsia="TimesNewRoman,Bold"/>
          <w:b/>
          <w:bCs/>
          <w:noProof/>
          <w:szCs w:val="22"/>
          <w:lang w:val="sr-Latn-BA"/>
        </w:rPr>
        <w:t xml:space="preserve">ruga </w:t>
      </w:r>
      <w:r w:rsidRPr="0051150C">
        <w:rPr>
          <w:rFonts w:eastAsia="TimesNewRoman,Bold"/>
          <w:b/>
          <w:bCs/>
          <w:i/>
          <w:iCs/>
          <w:noProof/>
          <w:szCs w:val="22"/>
          <w:lang w:val="sr-Latn-BA"/>
        </w:rPr>
        <w:t xml:space="preserve">interim </w:t>
      </w:r>
      <w:r w:rsidRPr="0051150C">
        <w:rPr>
          <w:rFonts w:eastAsia="TimesNewRoman,Bold"/>
          <w:b/>
          <w:bCs/>
          <w:noProof/>
          <w:szCs w:val="22"/>
          <w:lang w:val="sr-Latn-BA"/>
        </w:rPr>
        <w:t xml:space="preserve">analiza ukupnog preživljavanja (OS) - </w:t>
      </w:r>
      <w:r w:rsidR="004E52E8">
        <w:rPr>
          <w:rFonts w:eastAsia="TimesNewRoman,Bold"/>
          <w:b/>
          <w:bCs/>
          <w:noProof/>
          <w:szCs w:val="22"/>
          <w:lang w:val="sr-Latn-BA"/>
        </w:rPr>
        <w:t>p</w:t>
      </w:r>
      <w:r w:rsidR="004E52E8" w:rsidRPr="0051150C">
        <w:rPr>
          <w:rFonts w:eastAsia="TimesNewRoman,Bold"/>
          <w:b/>
          <w:bCs/>
          <w:noProof/>
          <w:szCs w:val="22"/>
          <w:lang w:val="sr-Latn-BA"/>
        </w:rPr>
        <w:t xml:space="preserve">rocjena </w:t>
      </w:r>
      <w:r w:rsidR="004E52E8">
        <w:rPr>
          <w:rFonts w:eastAsia="TimesNewRoman,Bold"/>
          <w:b/>
          <w:bCs/>
          <w:noProof/>
          <w:szCs w:val="22"/>
          <w:lang w:val="sr-Latn-BA"/>
        </w:rPr>
        <w:t>i</w:t>
      </w:r>
      <w:r w:rsidR="004E52E8" w:rsidRPr="0051150C">
        <w:rPr>
          <w:rFonts w:eastAsia="TimesNewRoman,Bold"/>
          <w:b/>
          <w:bCs/>
          <w:noProof/>
          <w:szCs w:val="22"/>
          <w:lang w:val="sr-Latn-BA"/>
        </w:rPr>
        <w:t>straživača</w:t>
      </w:r>
      <w:r w:rsidRPr="0051150C">
        <w:rPr>
          <w:rFonts w:eastAsia="TimesNewRoman,Bold"/>
          <w:b/>
          <w:bCs/>
          <w:noProof/>
          <w:szCs w:val="22"/>
          <w:lang w:val="sr-Latn-BA"/>
        </w:rPr>
        <w:t>)</w:t>
      </w:r>
    </w:p>
    <w:p w14:paraId="13FD6D7F" w14:textId="397F0B06" w:rsidR="004A7E03" w:rsidRPr="0051150C" w:rsidRDefault="00282376" w:rsidP="004A7E03">
      <w:pPr>
        <w:jc w:val="center"/>
        <w:rPr>
          <w:noProof/>
          <w:szCs w:val="22"/>
          <w:lang w:val="sr-Latn-BA"/>
        </w:rPr>
      </w:pPr>
      <w:r w:rsidRPr="00282376">
        <w:rPr>
          <w:noProof/>
          <w:szCs w:val="22"/>
        </w:rPr>
        <w:drawing>
          <wp:inline distT="0" distB="0" distL="0" distR="0" wp14:anchorId="452EC340" wp14:editId="74788F85">
            <wp:extent cx="6034303" cy="432435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7777" cy="4326840"/>
                    </a:xfrm>
                    <a:prstGeom prst="rect">
                      <a:avLst/>
                    </a:prstGeom>
                    <a:noFill/>
                    <a:ln>
                      <a:noFill/>
                    </a:ln>
                  </pic:spPr>
                </pic:pic>
              </a:graphicData>
            </a:graphic>
          </wp:inline>
        </w:drawing>
      </w:r>
    </w:p>
    <w:p w14:paraId="23AD0B88" w14:textId="517E6FE4" w:rsidR="004A7E03" w:rsidRPr="0051150C" w:rsidRDefault="00833CC6" w:rsidP="009173F4">
      <w:pPr>
        <w:rPr>
          <w:noProof/>
          <w:szCs w:val="22"/>
          <w:lang w:val="sr-Latn-BA"/>
        </w:rPr>
      </w:pPr>
      <w:r w:rsidRPr="0051150C">
        <w:rPr>
          <w:noProof/>
          <w:szCs w:val="22"/>
          <w:lang w:val="sr-Latn-BA"/>
        </w:rPr>
        <w:t>AA = Abirateron acetat</w:t>
      </w:r>
    </w:p>
    <w:p w14:paraId="5BF83959" w14:textId="6DCFFABC" w:rsidR="004A7E03" w:rsidRPr="0051150C" w:rsidRDefault="004A7E03" w:rsidP="009173F4">
      <w:pPr>
        <w:rPr>
          <w:noProof/>
          <w:szCs w:val="22"/>
          <w:lang w:val="sr-Latn-BA"/>
        </w:rPr>
      </w:pPr>
    </w:p>
    <w:p w14:paraId="65B65899" w14:textId="2CE8B750" w:rsidR="00833CC6" w:rsidRPr="0051150C" w:rsidRDefault="00833CC6" w:rsidP="00833CC6">
      <w:pPr>
        <w:rPr>
          <w:noProof/>
          <w:szCs w:val="22"/>
          <w:lang w:val="sr-Latn-BA"/>
        </w:rPr>
      </w:pPr>
      <w:r w:rsidRPr="0051150C">
        <w:rPr>
          <w:noProof/>
          <w:szCs w:val="22"/>
          <w:lang w:val="sr-Latn-BA"/>
        </w:rPr>
        <w:t xml:space="preserve">Planirana interim analiza (IA) ukupnog preživljavanja (OS) je sprovedena nakon 333 </w:t>
      </w:r>
      <w:r w:rsidR="00A120E1" w:rsidRPr="0051150C">
        <w:rPr>
          <w:noProof/>
          <w:szCs w:val="22"/>
          <w:lang w:val="sr-Latn-BA"/>
        </w:rPr>
        <w:t>zabilježen</w:t>
      </w:r>
      <w:r w:rsidRPr="0051150C">
        <w:rPr>
          <w:noProof/>
          <w:szCs w:val="22"/>
          <w:lang w:val="sr-Latn-BA"/>
        </w:rPr>
        <w:t xml:space="preserve">a smrtna ishoda. Studija </w:t>
      </w:r>
      <w:r w:rsidR="00BE063A" w:rsidRPr="0051150C">
        <w:rPr>
          <w:noProof/>
          <w:szCs w:val="22"/>
          <w:lang w:val="sr-Latn-BA"/>
        </w:rPr>
        <w:t xml:space="preserve">je </w:t>
      </w:r>
      <w:r w:rsidRPr="0051150C">
        <w:rPr>
          <w:noProof/>
          <w:szCs w:val="22"/>
          <w:lang w:val="sr-Latn-BA"/>
        </w:rPr>
        <w:t xml:space="preserve">bila otvorena (engl. </w:t>
      </w:r>
      <w:r w:rsidRPr="00410EF6">
        <w:rPr>
          <w:i/>
          <w:noProof/>
          <w:szCs w:val="22"/>
          <w:lang w:val="sr-Latn-BA"/>
        </w:rPr>
        <w:t>unblinded</w:t>
      </w:r>
      <w:r w:rsidRPr="0051150C">
        <w:rPr>
          <w:noProof/>
          <w:szCs w:val="22"/>
          <w:lang w:val="sr-Latn-BA"/>
        </w:rPr>
        <w:t>) na osnovu uočene značajne kliničke koristi i pacijentima iz placebo grupe bila je ponuđena terapija abirateron acetatom. Ukupno preživljavanje je bilo duže sa abirateron acetatom nego sa placebom, sa smanjenj</w:t>
      </w:r>
      <w:r w:rsidR="00DE0679" w:rsidRPr="0051150C">
        <w:rPr>
          <w:noProof/>
          <w:szCs w:val="22"/>
          <w:lang w:val="sr-Latn-BA"/>
        </w:rPr>
        <w:t>em rizika od smrti od 25% (HR=0</w:t>
      </w:r>
      <w:r w:rsidR="00416533">
        <w:rPr>
          <w:noProof/>
          <w:szCs w:val="22"/>
          <w:lang w:val="sr-Latn-BA"/>
        </w:rPr>
        <w:t>,</w:t>
      </w:r>
      <w:r w:rsidRPr="0051150C">
        <w:rPr>
          <w:noProof/>
          <w:szCs w:val="22"/>
          <w:lang w:val="sr-Latn-BA"/>
        </w:rPr>
        <w:t>752; 95% CI</w:t>
      </w:r>
      <w:r w:rsidR="00DE0679" w:rsidRPr="0051150C">
        <w:rPr>
          <w:noProof/>
          <w:szCs w:val="22"/>
          <w:lang w:val="sr-Latn-BA"/>
        </w:rPr>
        <w:t>: [0</w:t>
      </w:r>
      <w:r w:rsidR="00416533">
        <w:rPr>
          <w:noProof/>
          <w:szCs w:val="22"/>
          <w:lang w:val="sr-Latn-BA"/>
        </w:rPr>
        <w:t>,</w:t>
      </w:r>
      <w:r w:rsidRPr="0051150C">
        <w:rPr>
          <w:noProof/>
          <w:szCs w:val="22"/>
          <w:lang w:val="sr-Latn-BA"/>
        </w:rPr>
        <w:t>606;</w:t>
      </w:r>
      <w:r w:rsidR="00DE0679" w:rsidRPr="0051150C">
        <w:rPr>
          <w:noProof/>
          <w:szCs w:val="22"/>
          <w:lang w:val="sr-Latn-BA"/>
        </w:rPr>
        <w:t xml:space="preserve"> 0</w:t>
      </w:r>
      <w:r w:rsidR="00416533">
        <w:rPr>
          <w:noProof/>
          <w:szCs w:val="22"/>
          <w:lang w:val="sr-Latn-BA"/>
        </w:rPr>
        <w:t>,</w:t>
      </w:r>
      <w:r w:rsidR="00DE0679" w:rsidRPr="0051150C">
        <w:rPr>
          <w:noProof/>
          <w:szCs w:val="22"/>
          <w:lang w:val="sr-Latn-BA"/>
        </w:rPr>
        <w:t>934], p=0</w:t>
      </w:r>
      <w:r w:rsidR="00416533">
        <w:rPr>
          <w:noProof/>
          <w:szCs w:val="22"/>
          <w:lang w:val="sr-Latn-BA"/>
        </w:rPr>
        <w:t>,</w:t>
      </w:r>
      <w:r w:rsidRPr="0051150C">
        <w:rPr>
          <w:noProof/>
          <w:szCs w:val="22"/>
          <w:lang w:val="sr-Latn-BA"/>
        </w:rPr>
        <w:t>0097), ali rezultati za ukupno preživljavanje (OS) ni</w:t>
      </w:r>
      <w:r w:rsidR="00601562">
        <w:rPr>
          <w:noProof/>
          <w:szCs w:val="22"/>
          <w:lang w:val="sr-Latn-BA"/>
        </w:rPr>
        <w:t>je</w:t>
      </w:r>
      <w:r w:rsidRPr="0051150C">
        <w:rPr>
          <w:noProof/>
          <w:szCs w:val="22"/>
          <w:lang w:val="sr-Latn-BA"/>
        </w:rPr>
        <w:t>su bili kompletni i rezultati interim analize ni</w:t>
      </w:r>
      <w:r w:rsidR="00601562">
        <w:rPr>
          <w:noProof/>
          <w:szCs w:val="22"/>
          <w:lang w:val="sr-Latn-BA"/>
        </w:rPr>
        <w:t>je</w:t>
      </w:r>
      <w:r w:rsidRPr="0051150C">
        <w:rPr>
          <w:noProof/>
          <w:szCs w:val="22"/>
          <w:lang w:val="sr-Latn-BA"/>
        </w:rPr>
        <w:t>su dostigli unapr</w:t>
      </w:r>
      <w:r w:rsidR="00601562">
        <w:rPr>
          <w:noProof/>
          <w:szCs w:val="22"/>
          <w:lang w:val="sr-Latn-BA"/>
        </w:rPr>
        <w:t>ij</w:t>
      </w:r>
      <w:r w:rsidRPr="0051150C">
        <w:rPr>
          <w:noProof/>
          <w:szCs w:val="22"/>
          <w:lang w:val="sr-Latn-BA"/>
        </w:rPr>
        <w:t>ed utvrđenu granicu obustavljanja za statističku značajnost (</w:t>
      </w:r>
      <w:r w:rsidR="00096FAA" w:rsidRPr="0051150C">
        <w:rPr>
          <w:noProof/>
          <w:szCs w:val="22"/>
          <w:lang w:val="sr-Latn-BA"/>
        </w:rPr>
        <w:t>vidjeti</w:t>
      </w:r>
      <w:r w:rsidRPr="0051150C">
        <w:rPr>
          <w:noProof/>
          <w:szCs w:val="22"/>
          <w:lang w:val="sr-Latn-BA"/>
        </w:rPr>
        <w:t xml:space="preserve"> Tabelu </w:t>
      </w:r>
      <w:r w:rsidR="00BD4C60">
        <w:rPr>
          <w:noProof/>
          <w:szCs w:val="22"/>
          <w:lang w:val="sr-Latn-BA"/>
        </w:rPr>
        <w:t>6</w:t>
      </w:r>
      <w:r w:rsidRPr="0051150C">
        <w:rPr>
          <w:noProof/>
          <w:szCs w:val="22"/>
          <w:lang w:val="sr-Latn-BA"/>
        </w:rPr>
        <w:t xml:space="preserve">). </w:t>
      </w:r>
      <w:r w:rsidR="00416533" w:rsidRPr="0051150C">
        <w:rPr>
          <w:noProof/>
          <w:szCs w:val="22"/>
          <w:lang w:val="sr-Latn-BA"/>
        </w:rPr>
        <w:t>Nastavlj</w:t>
      </w:r>
      <w:r w:rsidR="00416533">
        <w:rPr>
          <w:noProof/>
          <w:szCs w:val="22"/>
          <w:lang w:val="sr-Latn-BA"/>
        </w:rPr>
        <w:t>eno</w:t>
      </w:r>
      <w:r w:rsidR="00416533" w:rsidRPr="0051150C">
        <w:rPr>
          <w:noProof/>
          <w:szCs w:val="22"/>
          <w:lang w:val="sr-Latn-BA"/>
        </w:rPr>
        <w:t xml:space="preserve"> </w:t>
      </w:r>
      <w:r w:rsidR="00416533">
        <w:rPr>
          <w:noProof/>
          <w:szCs w:val="22"/>
          <w:lang w:val="sr-Latn-BA"/>
        </w:rPr>
        <w:t>j</w:t>
      </w:r>
      <w:r w:rsidR="00416533" w:rsidRPr="0051150C">
        <w:rPr>
          <w:noProof/>
          <w:szCs w:val="22"/>
          <w:lang w:val="sr-Latn-BA"/>
        </w:rPr>
        <w:t xml:space="preserve">e </w:t>
      </w:r>
      <w:r w:rsidRPr="0051150C">
        <w:rPr>
          <w:noProof/>
          <w:szCs w:val="22"/>
          <w:lang w:val="sr-Latn-BA"/>
        </w:rPr>
        <w:t>praćenje preživljavanja nakon ove interim analize (IA).</w:t>
      </w:r>
    </w:p>
    <w:p w14:paraId="1846F3BB" w14:textId="77777777" w:rsidR="00833CC6" w:rsidRPr="0051150C" w:rsidRDefault="00833CC6" w:rsidP="00833CC6">
      <w:pPr>
        <w:rPr>
          <w:noProof/>
          <w:szCs w:val="22"/>
          <w:lang w:val="sr-Latn-BA"/>
        </w:rPr>
      </w:pPr>
    </w:p>
    <w:p w14:paraId="653BF30B" w14:textId="69DA064A" w:rsidR="00864208" w:rsidRPr="0051150C" w:rsidRDefault="00833CC6" w:rsidP="00833CC6">
      <w:pPr>
        <w:rPr>
          <w:noProof/>
          <w:szCs w:val="22"/>
          <w:lang w:val="sr-Latn-BA"/>
        </w:rPr>
      </w:pPr>
      <w:r w:rsidRPr="0051150C">
        <w:rPr>
          <w:noProof/>
          <w:szCs w:val="22"/>
          <w:lang w:val="sr-Latn-BA"/>
        </w:rPr>
        <w:t xml:space="preserve">Planirana završna analiza ukupnog preživljavanja (OS) je sprovedena nakon 741 </w:t>
      </w:r>
      <w:r w:rsidR="00A120E1" w:rsidRPr="0051150C">
        <w:rPr>
          <w:noProof/>
          <w:szCs w:val="22"/>
          <w:lang w:val="sr-Latn-BA"/>
        </w:rPr>
        <w:t>zabilježen</w:t>
      </w:r>
      <w:r w:rsidRPr="0051150C">
        <w:rPr>
          <w:noProof/>
          <w:szCs w:val="22"/>
          <w:lang w:val="sr-Latn-BA"/>
        </w:rPr>
        <w:t>a smrtna ishoda (</w:t>
      </w:r>
      <w:r w:rsidR="00F559B9" w:rsidRPr="0051150C">
        <w:rPr>
          <w:noProof/>
          <w:szCs w:val="22"/>
          <w:lang w:val="sr-Latn-BA"/>
        </w:rPr>
        <w:t xml:space="preserve">medijana </w:t>
      </w:r>
      <w:r w:rsidRPr="0051150C">
        <w:rPr>
          <w:noProof/>
          <w:szCs w:val="22"/>
          <w:lang w:val="sr-Latn-BA"/>
        </w:rPr>
        <w:t xml:space="preserve">praćenja od 49 </w:t>
      </w:r>
      <w:r w:rsidR="00834D3E" w:rsidRPr="0051150C">
        <w:rPr>
          <w:noProof/>
          <w:szCs w:val="22"/>
          <w:lang w:val="sr-Latn-BA"/>
        </w:rPr>
        <w:t>mjesec</w:t>
      </w:r>
      <w:r w:rsidRPr="0051150C">
        <w:rPr>
          <w:noProof/>
          <w:szCs w:val="22"/>
          <w:lang w:val="sr-Latn-BA"/>
        </w:rPr>
        <w:t xml:space="preserve">i). Umrlo je 65% (354 od 546) pacijenata koji su uzimali abirateron acetat, u poređenju sa 71% (387 od 542) pacijenata koji su dobijali placebo. </w:t>
      </w:r>
      <w:r w:rsidR="00DE0679" w:rsidRPr="0051150C">
        <w:rPr>
          <w:noProof/>
          <w:szCs w:val="22"/>
          <w:lang w:val="sr-Latn-BA"/>
        </w:rPr>
        <w:t>Dokazana</w:t>
      </w:r>
      <w:r w:rsidRPr="0051150C">
        <w:rPr>
          <w:noProof/>
          <w:szCs w:val="22"/>
          <w:lang w:val="sr-Latn-BA"/>
        </w:rPr>
        <w:t xml:space="preserve"> je statistički značajna korist ukupnog preživljavanja u korist grupe koja je uzimala abirateron acetat </w:t>
      </w:r>
      <w:r w:rsidR="00DE0679" w:rsidRPr="0051150C">
        <w:rPr>
          <w:noProof/>
          <w:szCs w:val="22"/>
          <w:lang w:val="sr-Latn-BA"/>
        </w:rPr>
        <w:t>sa</w:t>
      </w:r>
      <w:r w:rsidRPr="0051150C">
        <w:rPr>
          <w:noProof/>
          <w:szCs w:val="22"/>
          <w:lang w:val="sr-Latn-BA"/>
        </w:rPr>
        <w:t xml:space="preserve"> smanjenje</w:t>
      </w:r>
      <w:r w:rsidR="00DE0679" w:rsidRPr="0051150C">
        <w:rPr>
          <w:noProof/>
          <w:szCs w:val="22"/>
          <w:lang w:val="sr-Latn-BA"/>
        </w:rPr>
        <w:t>m</w:t>
      </w:r>
      <w:r w:rsidRPr="0051150C">
        <w:rPr>
          <w:noProof/>
          <w:szCs w:val="22"/>
          <w:lang w:val="sr-Latn-BA"/>
        </w:rPr>
        <w:t xml:space="preserve"> </w:t>
      </w:r>
      <w:r w:rsidR="00DE0679" w:rsidRPr="0051150C">
        <w:rPr>
          <w:noProof/>
          <w:szCs w:val="22"/>
          <w:lang w:val="sr-Latn-BA"/>
        </w:rPr>
        <w:t>rizika od smrti od 19,4% (HR=0</w:t>
      </w:r>
      <w:r w:rsidR="00416533">
        <w:rPr>
          <w:noProof/>
          <w:szCs w:val="22"/>
          <w:lang w:val="sr-Latn-BA"/>
        </w:rPr>
        <w:t>,</w:t>
      </w:r>
      <w:r w:rsidR="00DE0679" w:rsidRPr="0051150C">
        <w:rPr>
          <w:noProof/>
          <w:szCs w:val="22"/>
          <w:lang w:val="sr-Latn-BA"/>
        </w:rPr>
        <w:t>806; 95% CI: [0</w:t>
      </w:r>
      <w:r w:rsidR="00416533">
        <w:rPr>
          <w:noProof/>
          <w:szCs w:val="22"/>
          <w:lang w:val="sr-Latn-BA"/>
        </w:rPr>
        <w:t>,</w:t>
      </w:r>
      <w:r w:rsidR="00DE0679" w:rsidRPr="0051150C">
        <w:rPr>
          <w:noProof/>
          <w:szCs w:val="22"/>
          <w:lang w:val="sr-Latn-BA"/>
        </w:rPr>
        <w:t>697; 0</w:t>
      </w:r>
      <w:r w:rsidR="00416533">
        <w:rPr>
          <w:noProof/>
          <w:szCs w:val="22"/>
          <w:lang w:val="sr-Latn-BA"/>
        </w:rPr>
        <w:t>,</w:t>
      </w:r>
      <w:r w:rsidR="00DE0679" w:rsidRPr="0051150C">
        <w:rPr>
          <w:noProof/>
          <w:szCs w:val="22"/>
          <w:lang w:val="sr-Latn-BA"/>
        </w:rPr>
        <w:t>931], p=0</w:t>
      </w:r>
      <w:r w:rsidR="00416533">
        <w:rPr>
          <w:noProof/>
          <w:szCs w:val="22"/>
          <w:lang w:val="sr-Latn-BA"/>
        </w:rPr>
        <w:t>,</w:t>
      </w:r>
      <w:r w:rsidRPr="0051150C">
        <w:rPr>
          <w:noProof/>
          <w:szCs w:val="22"/>
          <w:lang w:val="sr-Latn-BA"/>
        </w:rPr>
        <w:t xml:space="preserve">0033) i poboljšanjem </w:t>
      </w:r>
      <w:r w:rsidR="00D23C1D" w:rsidRPr="0051150C">
        <w:rPr>
          <w:noProof/>
          <w:szCs w:val="22"/>
          <w:lang w:val="sr-Latn-BA"/>
        </w:rPr>
        <w:t>medijane</w:t>
      </w:r>
      <w:r w:rsidRPr="0051150C">
        <w:rPr>
          <w:noProof/>
          <w:szCs w:val="22"/>
          <w:lang w:val="sr-Latn-BA"/>
        </w:rPr>
        <w:t xml:space="preserve"> vremena ukupnog preživljavanja od 4,4 </w:t>
      </w:r>
      <w:r w:rsidR="00834D3E" w:rsidRPr="0051150C">
        <w:rPr>
          <w:noProof/>
          <w:szCs w:val="22"/>
          <w:lang w:val="sr-Latn-BA"/>
        </w:rPr>
        <w:t>mjesec</w:t>
      </w:r>
      <w:r w:rsidRPr="0051150C">
        <w:rPr>
          <w:noProof/>
          <w:szCs w:val="22"/>
          <w:lang w:val="sr-Latn-BA"/>
        </w:rPr>
        <w:t xml:space="preserve">a (abirateron acetat 34,7 </w:t>
      </w:r>
      <w:r w:rsidR="00834D3E" w:rsidRPr="0051150C">
        <w:rPr>
          <w:noProof/>
          <w:szCs w:val="22"/>
          <w:lang w:val="sr-Latn-BA"/>
        </w:rPr>
        <w:t>mjesec</w:t>
      </w:r>
      <w:r w:rsidRPr="0051150C">
        <w:rPr>
          <w:noProof/>
          <w:szCs w:val="22"/>
          <w:lang w:val="sr-Latn-BA"/>
        </w:rPr>
        <w:t xml:space="preserve">a; placebo 30,3 </w:t>
      </w:r>
      <w:r w:rsidR="00834D3E" w:rsidRPr="0051150C">
        <w:rPr>
          <w:noProof/>
          <w:szCs w:val="22"/>
          <w:lang w:val="sr-Latn-BA"/>
        </w:rPr>
        <w:t>mjesec</w:t>
      </w:r>
      <w:r w:rsidRPr="0051150C">
        <w:rPr>
          <w:noProof/>
          <w:szCs w:val="22"/>
          <w:lang w:val="sr-Latn-BA"/>
        </w:rPr>
        <w:t>a) (</w:t>
      </w:r>
      <w:r w:rsidR="00096FAA" w:rsidRPr="0051150C">
        <w:rPr>
          <w:noProof/>
          <w:szCs w:val="22"/>
          <w:lang w:val="sr-Latn-BA"/>
        </w:rPr>
        <w:t>vidjeti</w:t>
      </w:r>
      <w:r w:rsidRPr="0051150C">
        <w:rPr>
          <w:noProof/>
          <w:szCs w:val="22"/>
          <w:lang w:val="sr-Latn-BA"/>
        </w:rPr>
        <w:t xml:space="preserve"> Tabelu 6 i Sliku 5). Ovo poboljšanje je </w:t>
      </w:r>
      <w:r w:rsidR="00DE0679" w:rsidRPr="0051150C">
        <w:rPr>
          <w:noProof/>
          <w:szCs w:val="22"/>
          <w:lang w:val="sr-Latn-BA"/>
        </w:rPr>
        <w:t>dokazano</w:t>
      </w:r>
      <w:r w:rsidRPr="0051150C">
        <w:rPr>
          <w:noProof/>
          <w:szCs w:val="22"/>
          <w:lang w:val="sr-Latn-BA"/>
        </w:rPr>
        <w:t xml:space="preserve"> iako je 44% pacijenata u placebo grupi dobilo </w:t>
      </w:r>
      <w:r w:rsidR="00096FAA" w:rsidRPr="0051150C">
        <w:rPr>
          <w:noProof/>
          <w:szCs w:val="22"/>
          <w:lang w:val="sr-Latn-BA"/>
        </w:rPr>
        <w:t>lijek</w:t>
      </w:r>
      <w:r w:rsidRPr="0051150C">
        <w:rPr>
          <w:noProof/>
          <w:szCs w:val="22"/>
          <w:lang w:val="sr-Latn-BA"/>
        </w:rPr>
        <w:t xml:space="preserve"> abirateron acetat kao narednu terapiju.</w:t>
      </w:r>
    </w:p>
    <w:p w14:paraId="1410F1DA" w14:textId="77777777" w:rsidR="00B35C3C" w:rsidRPr="0051150C" w:rsidRDefault="00B35C3C" w:rsidP="009173F4">
      <w:pPr>
        <w:rPr>
          <w:noProof/>
          <w:szCs w:val="22"/>
          <w:lang w:val="sr-Latn-BA"/>
        </w:rPr>
      </w:pPr>
    </w:p>
    <w:p w14:paraId="43DC2A91" w14:textId="77777777" w:rsidR="00660FC7" w:rsidRDefault="00660FC7" w:rsidP="00833CC6">
      <w:pPr>
        <w:rPr>
          <w:b/>
          <w:noProof/>
          <w:szCs w:val="22"/>
          <w:lang w:val="sr-Latn-BA"/>
        </w:rPr>
      </w:pPr>
    </w:p>
    <w:p w14:paraId="3FF4E9BB" w14:textId="77777777" w:rsidR="00660FC7" w:rsidRDefault="00660FC7" w:rsidP="00833CC6">
      <w:pPr>
        <w:rPr>
          <w:b/>
          <w:noProof/>
          <w:szCs w:val="22"/>
          <w:lang w:val="sr-Latn-BA"/>
        </w:rPr>
      </w:pPr>
    </w:p>
    <w:p w14:paraId="689B6F88" w14:textId="77777777" w:rsidR="00660FC7" w:rsidRDefault="00660FC7" w:rsidP="00833CC6">
      <w:pPr>
        <w:rPr>
          <w:b/>
          <w:noProof/>
          <w:szCs w:val="22"/>
          <w:lang w:val="sr-Latn-BA"/>
        </w:rPr>
      </w:pPr>
    </w:p>
    <w:p w14:paraId="1A7486B7" w14:textId="77777777" w:rsidR="00660FC7" w:rsidRDefault="00660FC7" w:rsidP="00833CC6">
      <w:pPr>
        <w:rPr>
          <w:b/>
          <w:noProof/>
          <w:szCs w:val="22"/>
          <w:lang w:val="sr-Latn-BA"/>
        </w:rPr>
      </w:pPr>
    </w:p>
    <w:p w14:paraId="2886CC07" w14:textId="2E129896" w:rsidR="004A7E03" w:rsidRPr="0051150C" w:rsidRDefault="00833CC6" w:rsidP="00410EF6">
      <w:pPr>
        <w:pBdr>
          <w:bottom w:val="single" w:sz="4" w:space="1" w:color="auto"/>
        </w:pBdr>
        <w:rPr>
          <w:noProof/>
          <w:szCs w:val="22"/>
          <w:lang w:val="sr-Latn-BA"/>
        </w:rPr>
      </w:pPr>
      <w:r w:rsidRPr="0051150C">
        <w:rPr>
          <w:b/>
          <w:noProof/>
          <w:szCs w:val="22"/>
          <w:lang w:val="sr-Latn-BA"/>
        </w:rPr>
        <w:lastRenderedPageBreak/>
        <w:t>Tabela 6: Studija 302: Ukupno preživljavanje kod pacijenata koji su uzimali ili abirateron acetat ili placebo u kombinaciji sa prednizonom ili prednizolonom uz analoge LHRH ili prethodnu orhiektomiju</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216"/>
        <w:gridCol w:w="351"/>
        <w:gridCol w:w="2655"/>
        <w:gridCol w:w="2970"/>
      </w:tblGrid>
      <w:tr w:rsidR="00833CC6" w:rsidRPr="0051150C" w14:paraId="497B98A1" w14:textId="77777777" w:rsidTr="00410EF6">
        <w:tc>
          <w:tcPr>
            <w:tcW w:w="3051" w:type="dxa"/>
            <w:gridSpan w:val="2"/>
            <w:tcBorders>
              <w:top w:val="nil"/>
              <w:bottom w:val="single" w:sz="4" w:space="0" w:color="auto"/>
              <w:right w:val="nil"/>
            </w:tcBorders>
          </w:tcPr>
          <w:p w14:paraId="32BD514F" w14:textId="6CD8C523" w:rsidR="00833CC6" w:rsidRPr="0051150C" w:rsidRDefault="00833CC6" w:rsidP="00DE0679">
            <w:pPr>
              <w:tabs>
                <w:tab w:val="clear" w:pos="284"/>
              </w:tabs>
              <w:autoSpaceDE w:val="0"/>
              <w:autoSpaceDN w:val="0"/>
              <w:adjustRightInd w:val="0"/>
              <w:jc w:val="center"/>
              <w:rPr>
                <w:b/>
                <w:noProof/>
                <w:szCs w:val="22"/>
                <w:lang w:val="sr-Latn-BA"/>
              </w:rPr>
            </w:pPr>
          </w:p>
        </w:tc>
        <w:tc>
          <w:tcPr>
            <w:tcW w:w="3006" w:type="dxa"/>
            <w:gridSpan w:val="2"/>
            <w:tcBorders>
              <w:top w:val="nil"/>
              <w:left w:val="nil"/>
              <w:bottom w:val="single" w:sz="4" w:space="0" w:color="auto"/>
              <w:right w:val="nil"/>
            </w:tcBorders>
          </w:tcPr>
          <w:p w14:paraId="23E51719" w14:textId="6C302CA8" w:rsidR="00833CC6" w:rsidRPr="0051150C" w:rsidRDefault="00833CC6" w:rsidP="00DE0679">
            <w:pPr>
              <w:tabs>
                <w:tab w:val="clear" w:pos="284"/>
              </w:tabs>
              <w:autoSpaceDE w:val="0"/>
              <w:autoSpaceDN w:val="0"/>
              <w:adjustRightInd w:val="0"/>
              <w:jc w:val="center"/>
              <w:rPr>
                <w:noProof/>
                <w:szCs w:val="22"/>
                <w:lang w:val="sr-Latn-BA"/>
              </w:rPr>
            </w:pPr>
            <w:r w:rsidRPr="0051150C">
              <w:rPr>
                <w:noProof/>
                <w:szCs w:val="22"/>
                <w:lang w:val="sr-Latn-BA"/>
              </w:rPr>
              <w:t>Abirateron</w:t>
            </w:r>
            <w:r w:rsidR="00416533">
              <w:rPr>
                <w:noProof/>
                <w:szCs w:val="22"/>
                <w:lang w:val="sr-Latn-BA"/>
              </w:rPr>
              <w:t xml:space="preserve"> </w:t>
            </w:r>
            <w:r w:rsidRPr="0051150C">
              <w:rPr>
                <w:noProof/>
                <w:szCs w:val="22"/>
                <w:lang w:val="sr-Latn-BA"/>
              </w:rPr>
              <w:t>acetat</w:t>
            </w:r>
          </w:p>
          <w:p w14:paraId="26B3D3EE" w14:textId="77777777" w:rsidR="00833CC6" w:rsidRPr="0051150C" w:rsidRDefault="00833CC6" w:rsidP="00DE0679">
            <w:pPr>
              <w:tabs>
                <w:tab w:val="clear" w:pos="284"/>
              </w:tabs>
              <w:autoSpaceDE w:val="0"/>
              <w:autoSpaceDN w:val="0"/>
              <w:adjustRightInd w:val="0"/>
              <w:jc w:val="center"/>
              <w:rPr>
                <w:noProof/>
                <w:szCs w:val="22"/>
                <w:lang w:val="sr-Latn-BA"/>
              </w:rPr>
            </w:pPr>
            <w:r w:rsidRPr="0051150C">
              <w:rPr>
                <w:noProof/>
                <w:szCs w:val="22"/>
                <w:lang w:val="sr-Latn-BA"/>
              </w:rPr>
              <w:t>(N=546)</w:t>
            </w:r>
          </w:p>
        </w:tc>
        <w:tc>
          <w:tcPr>
            <w:tcW w:w="2970" w:type="dxa"/>
            <w:tcBorders>
              <w:top w:val="nil"/>
              <w:left w:val="nil"/>
              <w:bottom w:val="single" w:sz="4" w:space="0" w:color="auto"/>
            </w:tcBorders>
          </w:tcPr>
          <w:p w14:paraId="5BD60DA1" w14:textId="77777777" w:rsidR="00833CC6" w:rsidRPr="0051150C" w:rsidRDefault="00833CC6" w:rsidP="00DE0679">
            <w:pPr>
              <w:tabs>
                <w:tab w:val="clear" w:pos="284"/>
              </w:tabs>
              <w:autoSpaceDE w:val="0"/>
              <w:autoSpaceDN w:val="0"/>
              <w:adjustRightInd w:val="0"/>
              <w:jc w:val="center"/>
              <w:rPr>
                <w:noProof/>
                <w:szCs w:val="22"/>
                <w:lang w:val="sr-Latn-BA"/>
              </w:rPr>
            </w:pPr>
            <w:r w:rsidRPr="0051150C">
              <w:rPr>
                <w:noProof/>
                <w:szCs w:val="22"/>
                <w:lang w:val="sr-Latn-BA"/>
              </w:rPr>
              <w:t>Placebo</w:t>
            </w:r>
          </w:p>
          <w:p w14:paraId="3DD5ADDC" w14:textId="77777777" w:rsidR="00833CC6" w:rsidRPr="0051150C" w:rsidRDefault="00833CC6" w:rsidP="00DE0679">
            <w:pPr>
              <w:tabs>
                <w:tab w:val="clear" w:pos="284"/>
              </w:tabs>
              <w:autoSpaceDE w:val="0"/>
              <w:autoSpaceDN w:val="0"/>
              <w:adjustRightInd w:val="0"/>
              <w:jc w:val="center"/>
              <w:rPr>
                <w:noProof/>
                <w:szCs w:val="22"/>
                <w:lang w:val="sr-Latn-BA"/>
              </w:rPr>
            </w:pPr>
            <w:r w:rsidRPr="0051150C">
              <w:rPr>
                <w:noProof/>
                <w:szCs w:val="22"/>
                <w:lang w:val="sr-Latn-BA"/>
              </w:rPr>
              <w:t>(N=542)</w:t>
            </w:r>
          </w:p>
        </w:tc>
      </w:tr>
      <w:tr w:rsidR="00ED7524" w:rsidRPr="0051150C" w14:paraId="3A9AC2B8" w14:textId="77777777" w:rsidTr="00410EF6">
        <w:tc>
          <w:tcPr>
            <w:tcW w:w="3051" w:type="dxa"/>
            <w:gridSpan w:val="2"/>
            <w:tcBorders>
              <w:top w:val="single" w:sz="4" w:space="0" w:color="auto"/>
              <w:bottom w:val="nil"/>
              <w:right w:val="nil"/>
            </w:tcBorders>
          </w:tcPr>
          <w:p w14:paraId="1053AF00" w14:textId="7854D4B2" w:rsidR="00ED7524" w:rsidRPr="0051150C" w:rsidRDefault="00ED7524" w:rsidP="00DE0679">
            <w:pPr>
              <w:tabs>
                <w:tab w:val="clear" w:pos="284"/>
              </w:tabs>
              <w:autoSpaceDE w:val="0"/>
              <w:autoSpaceDN w:val="0"/>
              <w:adjustRightInd w:val="0"/>
              <w:rPr>
                <w:b/>
                <w:noProof/>
                <w:szCs w:val="22"/>
                <w:lang w:val="sr-Latn-BA"/>
              </w:rPr>
            </w:pPr>
            <w:r w:rsidRPr="0051150C">
              <w:rPr>
                <w:b/>
                <w:noProof/>
                <w:szCs w:val="22"/>
                <w:lang w:val="sr-Latn-BA"/>
              </w:rPr>
              <w:t>Interim analiza preživljavanja</w:t>
            </w:r>
          </w:p>
        </w:tc>
        <w:tc>
          <w:tcPr>
            <w:tcW w:w="3006" w:type="dxa"/>
            <w:gridSpan w:val="2"/>
            <w:tcBorders>
              <w:top w:val="single" w:sz="4" w:space="0" w:color="auto"/>
              <w:left w:val="nil"/>
              <w:bottom w:val="nil"/>
              <w:right w:val="nil"/>
            </w:tcBorders>
          </w:tcPr>
          <w:p w14:paraId="756D4101" w14:textId="77777777" w:rsidR="00ED7524" w:rsidRPr="0051150C" w:rsidRDefault="00ED7524" w:rsidP="00DE0679">
            <w:pPr>
              <w:tabs>
                <w:tab w:val="clear" w:pos="284"/>
              </w:tabs>
              <w:autoSpaceDE w:val="0"/>
              <w:autoSpaceDN w:val="0"/>
              <w:adjustRightInd w:val="0"/>
              <w:jc w:val="center"/>
              <w:rPr>
                <w:noProof/>
                <w:szCs w:val="22"/>
                <w:lang w:val="sr-Latn-BA"/>
              </w:rPr>
            </w:pPr>
          </w:p>
        </w:tc>
        <w:tc>
          <w:tcPr>
            <w:tcW w:w="2970" w:type="dxa"/>
            <w:tcBorders>
              <w:top w:val="single" w:sz="4" w:space="0" w:color="auto"/>
              <w:left w:val="nil"/>
              <w:bottom w:val="nil"/>
            </w:tcBorders>
          </w:tcPr>
          <w:p w14:paraId="7B63B16E" w14:textId="77777777" w:rsidR="00ED7524" w:rsidRPr="0051150C" w:rsidRDefault="00ED7524" w:rsidP="00DE0679">
            <w:pPr>
              <w:tabs>
                <w:tab w:val="clear" w:pos="284"/>
              </w:tabs>
              <w:autoSpaceDE w:val="0"/>
              <w:autoSpaceDN w:val="0"/>
              <w:adjustRightInd w:val="0"/>
              <w:jc w:val="center"/>
              <w:rPr>
                <w:noProof/>
                <w:szCs w:val="22"/>
                <w:lang w:val="sr-Latn-BA"/>
              </w:rPr>
            </w:pPr>
          </w:p>
        </w:tc>
      </w:tr>
      <w:tr w:rsidR="00833CC6" w:rsidRPr="0051150C" w14:paraId="1DB14A55" w14:textId="77777777" w:rsidTr="00410EF6">
        <w:tc>
          <w:tcPr>
            <w:tcW w:w="3402" w:type="dxa"/>
            <w:gridSpan w:val="3"/>
            <w:tcBorders>
              <w:top w:val="nil"/>
              <w:bottom w:val="nil"/>
              <w:right w:val="nil"/>
            </w:tcBorders>
          </w:tcPr>
          <w:p w14:paraId="259B2BCF" w14:textId="389AC15B" w:rsidR="00833CC6" w:rsidRPr="0051150C" w:rsidRDefault="00864208" w:rsidP="00DE0679">
            <w:pPr>
              <w:tabs>
                <w:tab w:val="clear" w:pos="284"/>
              </w:tabs>
              <w:autoSpaceDE w:val="0"/>
              <w:autoSpaceDN w:val="0"/>
              <w:adjustRightInd w:val="0"/>
              <w:rPr>
                <w:noProof/>
                <w:szCs w:val="22"/>
                <w:lang w:val="sr-Latn-BA"/>
              </w:rPr>
            </w:pPr>
            <w:r w:rsidRPr="0051150C">
              <w:rPr>
                <w:noProof/>
                <w:szCs w:val="22"/>
                <w:lang w:val="sr-Latn-BA"/>
              </w:rPr>
              <w:t>Smrtni</w:t>
            </w:r>
            <w:r w:rsidR="00833CC6" w:rsidRPr="0051150C">
              <w:rPr>
                <w:noProof/>
                <w:szCs w:val="22"/>
                <w:lang w:val="sr-Latn-BA"/>
              </w:rPr>
              <w:t xml:space="preserve"> ishod (%)</w:t>
            </w:r>
          </w:p>
          <w:p w14:paraId="4CEC7D70" w14:textId="02B7B16B" w:rsidR="00833CC6" w:rsidRPr="0051150C" w:rsidRDefault="00F559B9" w:rsidP="00DE0679">
            <w:pPr>
              <w:tabs>
                <w:tab w:val="clear" w:pos="284"/>
              </w:tabs>
              <w:autoSpaceDE w:val="0"/>
              <w:autoSpaceDN w:val="0"/>
              <w:adjustRightInd w:val="0"/>
              <w:rPr>
                <w:noProof/>
                <w:szCs w:val="22"/>
                <w:lang w:val="sr-Latn-BA"/>
              </w:rPr>
            </w:pPr>
            <w:r w:rsidRPr="0051150C">
              <w:rPr>
                <w:noProof/>
                <w:szCs w:val="22"/>
                <w:lang w:val="sr-Latn-BA"/>
              </w:rPr>
              <w:t>Medijana</w:t>
            </w:r>
            <w:r w:rsidR="00DE0679" w:rsidRPr="0051150C">
              <w:rPr>
                <w:noProof/>
                <w:szCs w:val="22"/>
                <w:lang w:val="sr-Latn-BA"/>
              </w:rPr>
              <w:t xml:space="preserve"> </w:t>
            </w:r>
            <w:r w:rsidRPr="0051150C">
              <w:rPr>
                <w:noProof/>
                <w:szCs w:val="22"/>
                <w:lang w:val="sr-Latn-BA"/>
              </w:rPr>
              <w:t xml:space="preserve">preživljavanja </w:t>
            </w:r>
            <w:r w:rsidR="00DE0679" w:rsidRPr="0051150C">
              <w:rPr>
                <w:noProof/>
                <w:szCs w:val="22"/>
                <w:lang w:val="sr-Latn-BA"/>
              </w:rPr>
              <w:t>(</w:t>
            </w:r>
            <w:r w:rsidR="00834D3E" w:rsidRPr="0051150C">
              <w:rPr>
                <w:noProof/>
                <w:szCs w:val="22"/>
                <w:lang w:val="sr-Latn-BA"/>
              </w:rPr>
              <w:t>mjesec</w:t>
            </w:r>
            <w:r w:rsidR="00833CC6" w:rsidRPr="0051150C">
              <w:rPr>
                <w:noProof/>
                <w:szCs w:val="22"/>
                <w:lang w:val="sr-Latn-BA"/>
              </w:rPr>
              <w:t>i</w:t>
            </w:r>
            <w:r w:rsidR="00DE0679" w:rsidRPr="0051150C">
              <w:rPr>
                <w:noProof/>
                <w:szCs w:val="22"/>
                <w:lang w:val="sr-Latn-BA"/>
              </w:rPr>
              <w:t>)</w:t>
            </w:r>
          </w:p>
          <w:p w14:paraId="27951857" w14:textId="77777777" w:rsidR="00833CC6" w:rsidRPr="0051150C" w:rsidRDefault="00833CC6" w:rsidP="00DE0679">
            <w:pPr>
              <w:tabs>
                <w:tab w:val="clear" w:pos="284"/>
              </w:tabs>
              <w:autoSpaceDE w:val="0"/>
              <w:autoSpaceDN w:val="0"/>
              <w:adjustRightInd w:val="0"/>
              <w:rPr>
                <w:noProof/>
                <w:szCs w:val="22"/>
                <w:lang w:val="sr-Latn-BA"/>
              </w:rPr>
            </w:pPr>
            <w:r w:rsidRPr="0051150C">
              <w:rPr>
                <w:noProof/>
                <w:szCs w:val="22"/>
                <w:lang w:val="sr-Latn-BA"/>
              </w:rPr>
              <w:t>(95% CI)</w:t>
            </w:r>
          </w:p>
        </w:tc>
        <w:tc>
          <w:tcPr>
            <w:tcW w:w="2655" w:type="dxa"/>
            <w:tcBorders>
              <w:top w:val="nil"/>
              <w:left w:val="nil"/>
              <w:bottom w:val="nil"/>
              <w:right w:val="nil"/>
            </w:tcBorders>
          </w:tcPr>
          <w:p w14:paraId="1DD3959A" w14:textId="47D3141E" w:rsidR="00833CC6" w:rsidRPr="0051150C" w:rsidRDefault="00864208" w:rsidP="00DE0679">
            <w:pPr>
              <w:tabs>
                <w:tab w:val="clear" w:pos="284"/>
              </w:tabs>
              <w:autoSpaceDE w:val="0"/>
              <w:autoSpaceDN w:val="0"/>
              <w:adjustRightInd w:val="0"/>
              <w:jc w:val="center"/>
              <w:rPr>
                <w:noProof/>
                <w:szCs w:val="22"/>
                <w:lang w:val="sr-Latn-BA"/>
              </w:rPr>
            </w:pPr>
            <w:r w:rsidRPr="0051150C">
              <w:rPr>
                <w:noProof/>
                <w:szCs w:val="22"/>
                <w:lang w:val="sr-Latn-BA"/>
              </w:rPr>
              <w:t>147</w:t>
            </w:r>
            <w:r w:rsidR="00833CC6" w:rsidRPr="0051150C">
              <w:rPr>
                <w:noProof/>
                <w:szCs w:val="22"/>
                <w:lang w:val="sr-Latn-BA"/>
              </w:rPr>
              <w:t xml:space="preserve"> (</w:t>
            </w:r>
            <w:r w:rsidRPr="0051150C">
              <w:rPr>
                <w:noProof/>
                <w:szCs w:val="22"/>
                <w:lang w:val="sr-Latn-BA"/>
              </w:rPr>
              <w:t>27</w:t>
            </w:r>
            <w:r w:rsidR="00833CC6" w:rsidRPr="0051150C">
              <w:rPr>
                <w:noProof/>
                <w:szCs w:val="22"/>
                <w:lang w:val="sr-Latn-BA"/>
              </w:rPr>
              <w:t>%)</w:t>
            </w:r>
          </w:p>
          <w:p w14:paraId="591F002C" w14:textId="0D0C589D" w:rsidR="00833CC6" w:rsidRPr="0051150C" w:rsidRDefault="00864208" w:rsidP="00DE0679">
            <w:pPr>
              <w:tabs>
                <w:tab w:val="clear" w:pos="284"/>
              </w:tabs>
              <w:autoSpaceDE w:val="0"/>
              <w:autoSpaceDN w:val="0"/>
              <w:adjustRightInd w:val="0"/>
              <w:jc w:val="center"/>
              <w:rPr>
                <w:noProof/>
                <w:szCs w:val="22"/>
                <w:lang w:val="sr-Latn-BA"/>
              </w:rPr>
            </w:pPr>
            <w:r w:rsidRPr="0051150C">
              <w:rPr>
                <w:noProof/>
                <w:szCs w:val="22"/>
                <w:lang w:val="sr-Latn-BA"/>
              </w:rPr>
              <w:t>nije dostignuto</w:t>
            </w:r>
          </w:p>
          <w:p w14:paraId="15567FEA" w14:textId="67237917" w:rsidR="00833CC6" w:rsidRPr="0051150C" w:rsidRDefault="00833CC6" w:rsidP="00DE0679">
            <w:pPr>
              <w:tabs>
                <w:tab w:val="clear" w:pos="284"/>
              </w:tabs>
              <w:autoSpaceDE w:val="0"/>
              <w:autoSpaceDN w:val="0"/>
              <w:adjustRightInd w:val="0"/>
              <w:jc w:val="center"/>
              <w:rPr>
                <w:noProof/>
                <w:szCs w:val="22"/>
                <w:lang w:val="sr-Latn-BA"/>
              </w:rPr>
            </w:pPr>
            <w:r w:rsidRPr="0051150C">
              <w:rPr>
                <w:noProof/>
                <w:szCs w:val="22"/>
                <w:lang w:val="sr-Latn-BA"/>
              </w:rPr>
              <w:t>(</w:t>
            </w:r>
            <w:r w:rsidR="00864208" w:rsidRPr="0051150C">
              <w:rPr>
                <w:noProof/>
                <w:szCs w:val="22"/>
                <w:lang w:val="sr-Latn-BA"/>
              </w:rPr>
              <w:t>NP;</w:t>
            </w:r>
            <w:r w:rsidRPr="0051150C">
              <w:rPr>
                <w:noProof/>
                <w:szCs w:val="22"/>
                <w:lang w:val="sr-Latn-BA"/>
              </w:rPr>
              <w:t xml:space="preserve"> </w:t>
            </w:r>
            <w:r w:rsidR="00864208" w:rsidRPr="0051150C">
              <w:rPr>
                <w:noProof/>
                <w:szCs w:val="22"/>
                <w:lang w:val="sr-Latn-BA"/>
              </w:rPr>
              <w:t>NP</w:t>
            </w:r>
            <w:r w:rsidRPr="0051150C">
              <w:rPr>
                <w:noProof/>
                <w:szCs w:val="22"/>
                <w:lang w:val="sr-Latn-BA"/>
              </w:rPr>
              <w:t>)</w:t>
            </w:r>
          </w:p>
        </w:tc>
        <w:tc>
          <w:tcPr>
            <w:tcW w:w="2970" w:type="dxa"/>
            <w:tcBorders>
              <w:top w:val="nil"/>
              <w:left w:val="nil"/>
              <w:bottom w:val="nil"/>
            </w:tcBorders>
          </w:tcPr>
          <w:p w14:paraId="3275E503" w14:textId="1C27A6F4" w:rsidR="00833CC6" w:rsidRPr="0051150C" w:rsidRDefault="00DE0679" w:rsidP="00DE0679">
            <w:pPr>
              <w:tabs>
                <w:tab w:val="clear" w:pos="284"/>
              </w:tabs>
              <w:autoSpaceDE w:val="0"/>
              <w:autoSpaceDN w:val="0"/>
              <w:adjustRightInd w:val="0"/>
              <w:jc w:val="center"/>
              <w:rPr>
                <w:noProof/>
                <w:szCs w:val="22"/>
                <w:lang w:val="sr-Latn-BA"/>
              </w:rPr>
            </w:pPr>
            <w:r w:rsidRPr="0051150C">
              <w:rPr>
                <w:noProof/>
                <w:szCs w:val="22"/>
                <w:lang w:val="sr-Latn-BA"/>
              </w:rPr>
              <w:t>186 (34</w:t>
            </w:r>
            <w:r w:rsidR="00833CC6" w:rsidRPr="0051150C">
              <w:rPr>
                <w:noProof/>
                <w:szCs w:val="22"/>
                <w:lang w:val="sr-Latn-BA"/>
              </w:rPr>
              <w:t>%)</w:t>
            </w:r>
          </w:p>
          <w:p w14:paraId="6FDF75FC" w14:textId="0F2E18D4" w:rsidR="00833CC6" w:rsidRPr="0051150C" w:rsidRDefault="00DE0679" w:rsidP="00DE0679">
            <w:pPr>
              <w:tabs>
                <w:tab w:val="clear" w:pos="284"/>
              </w:tabs>
              <w:autoSpaceDE w:val="0"/>
              <w:autoSpaceDN w:val="0"/>
              <w:adjustRightInd w:val="0"/>
              <w:jc w:val="center"/>
              <w:rPr>
                <w:noProof/>
                <w:szCs w:val="22"/>
                <w:lang w:val="sr-Latn-BA"/>
              </w:rPr>
            </w:pPr>
            <w:r w:rsidRPr="0051150C">
              <w:rPr>
                <w:noProof/>
                <w:szCs w:val="22"/>
                <w:lang w:val="sr-Latn-BA"/>
              </w:rPr>
              <w:t>27</w:t>
            </w:r>
            <w:r w:rsidR="00416533">
              <w:rPr>
                <w:noProof/>
                <w:szCs w:val="22"/>
                <w:lang w:val="sr-Latn-BA"/>
              </w:rPr>
              <w:t>,</w:t>
            </w:r>
            <w:r w:rsidR="00864208" w:rsidRPr="0051150C">
              <w:rPr>
                <w:noProof/>
                <w:szCs w:val="22"/>
                <w:lang w:val="sr-Latn-BA"/>
              </w:rPr>
              <w:t>2</w:t>
            </w:r>
          </w:p>
          <w:p w14:paraId="6ABE32D7" w14:textId="767B30CA" w:rsidR="00833CC6" w:rsidRPr="0051150C" w:rsidRDefault="00833CC6" w:rsidP="00416533">
            <w:pPr>
              <w:tabs>
                <w:tab w:val="clear" w:pos="284"/>
              </w:tabs>
              <w:autoSpaceDE w:val="0"/>
              <w:autoSpaceDN w:val="0"/>
              <w:adjustRightInd w:val="0"/>
              <w:jc w:val="center"/>
              <w:rPr>
                <w:noProof/>
                <w:szCs w:val="22"/>
                <w:lang w:val="sr-Latn-BA"/>
              </w:rPr>
            </w:pPr>
            <w:r w:rsidRPr="0051150C">
              <w:rPr>
                <w:noProof/>
                <w:szCs w:val="22"/>
                <w:lang w:val="sr-Latn-BA"/>
              </w:rPr>
              <w:t>(</w:t>
            </w:r>
            <w:r w:rsidR="00DE0679" w:rsidRPr="0051150C">
              <w:rPr>
                <w:noProof/>
                <w:szCs w:val="22"/>
                <w:lang w:val="sr-Latn-BA"/>
              </w:rPr>
              <w:t>25</w:t>
            </w:r>
            <w:r w:rsidR="00416533">
              <w:rPr>
                <w:noProof/>
                <w:szCs w:val="22"/>
                <w:lang w:val="sr-Latn-BA"/>
              </w:rPr>
              <w:t>,</w:t>
            </w:r>
            <w:r w:rsidR="00864208" w:rsidRPr="0051150C">
              <w:rPr>
                <w:noProof/>
                <w:szCs w:val="22"/>
                <w:lang w:val="sr-Latn-BA"/>
              </w:rPr>
              <w:t>95</w:t>
            </w:r>
            <w:r w:rsidRPr="0051150C">
              <w:rPr>
                <w:noProof/>
                <w:szCs w:val="22"/>
                <w:lang w:val="sr-Latn-BA"/>
              </w:rPr>
              <w:t xml:space="preserve">, </w:t>
            </w:r>
            <w:r w:rsidR="00864208" w:rsidRPr="0051150C">
              <w:rPr>
                <w:noProof/>
                <w:szCs w:val="22"/>
                <w:lang w:val="sr-Latn-BA"/>
              </w:rPr>
              <w:t>NP</w:t>
            </w:r>
            <w:r w:rsidRPr="0051150C">
              <w:rPr>
                <w:noProof/>
                <w:szCs w:val="22"/>
                <w:lang w:val="sr-Latn-BA"/>
              </w:rPr>
              <w:t>)</w:t>
            </w:r>
          </w:p>
        </w:tc>
      </w:tr>
      <w:tr w:rsidR="00833CC6" w:rsidRPr="0051150C" w14:paraId="1B2A9E43" w14:textId="77777777" w:rsidTr="00410EF6">
        <w:tc>
          <w:tcPr>
            <w:tcW w:w="3051" w:type="dxa"/>
            <w:gridSpan w:val="2"/>
            <w:tcBorders>
              <w:top w:val="nil"/>
              <w:bottom w:val="nil"/>
              <w:right w:val="nil"/>
            </w:tcBorders>
          </w:tcPr>
          <w:p w14:paraId="357D6BC2" w14:textId="60DA535A" w:rsidR="00833CC6" w:rsidRPr="0051150C" w:rsidRDefault="00833CC6" w:rsidP="00DE0679">
            <w:pPr>
              <w:tabs>
                <w:tab w:val="clear" w:pos="284"/>
              </w:tabs>
              <w:autoSpaceDE w:val="0"/>
              <w:autoSpaceDN w:val="0"/>
              <w:adjustRightInd w:val="0"/>
              <w:rPr>
                <w:noProof/>
                <w:szCs w:val="22"/>
                <w:lang w:val="sr-Latn-BA"/>
              </w:rPr>
            </w:pPr>
            <w:r w:rsidRPr="0051150C">
              <w:rPr>
                <w:noProof/>
                <w:szCs w:val="22"/>
                <w:lang w:val="sr-Latn-BA"/>
              </w:rPr>
              <w:t>p-</w:t>
            </w:r>
            <w:r w:rsidR="00096FAA" w:rsidRPr="0051150C">
              <w:rPr>
                <w:noProof/>
                <w:szCs w:val="22"/>
                <w:lang w:val="sr-Latn-BA"/>
              </w:rPr>
              <w:t>vrijednost</w:t>
            </w:r>
            <w:r w:rsidRPr="0051150C">
              <w:rPr>
                <w:noProof/>
                <w:szCs w:val="22"/>
                <w:lang w:val="sr-Latn-BA"/>
              </w:rPr>
              <w:t>*</w:t>
            </w:r>
          </w:p>
        </w:tc>
        <w:tc>
          <w:tcPr>
            <w:tcW w:w="5976" w:type="dxa"/>
            <w:gridSpan w:val="3"/>
            <w:tcBorders>
              <w:top w:val="nil"/>
              <w:left w:val="nil"/>
              <w:bottom w:val="nil"/>
            </w:tcBorders>
          </w:tcPr>
          <w:p w14:paraId="279BB2E4" w14:textId="6F0BA2ED" w:rsidR="00833CC6" w:rsidRPr="0051150C" w:rsidRDefault="00833CC6" w:rsidP="00416533">
            <w:pPr>
              <w:tabs>
                <w:tab w:val="clear" w:pos="284"/>
              </w:tabs>
              <w:autoSpaceDE w:val="0"/>
              <w:autoSpaceDN w:val="0"/>
              <w:adjustRightInd w:val="0"/>
              <w:jc w:val="center"/>
              <w:rPr>
                <w:noProof/>
                <w:szCs w:val="22"/>
                <w:lang w:val="sr-Latn-BA"/>
              </w:rPr>
            </w:pPr>
            <w:r w:rsidRPr="0051150C">
              <w:rPr>
                <w:noProof/>
                <w:szCs w:val="22"/>
                <w:lang w:val="sr-Latn-BA"/>
              </w:rPr>
              <w:t>0</w:t>
            </w:r>
            <w:r w:rsidR="00416533">
              <w:rPr>
                <w:noProof/>
                <w:szCs w:val="22"/>
                <w:lang w:val="sr-Latn-BA"/>
              </w:rPr>
              <w:t>,</w:t>
            </w:r>
            <w:r w:rsidRPr="0051150C">
              <w:rPr>
                <w:noProof/>
                <w:szCs w:val="22"/>
                <w:lang w:val="sr-Latn-BA"/>
              </w:rPr>
              <w:t>00</w:t>
            </w:r>
            <w:r w:rsidR="00864208" w:rsidRPr="0051150C">
              <w:rPr>
                <w:noProof/>
                <w:szCs w:val="22"/>
                <w:lang w:val="sr-Latn-BA"/>
              </w:rPr>
              <w:t>97</w:t>
            </w:r>
          </w:p>
        </w:tc>
      </w:tr>
      <w:tr w:rsidR="00833CC6" w:rsidRPr="0051150C" w14:paraId="5F20A088" w14:textId="77777777" w:rsidTr="00410EF6">
        <w:tc>
          <w:tcPr>
            <w:tcW w:w="3051" w:type="dxa"/>
            <w:gridSpan w:val="2"/>
            <w:tcBorders>
              <w:top w:val="nil"/>
              <w:bottom w:val="single" w:sz="4" w:space="0" w:color="auto"/>
              <w:right w:val="nil"/>
            </w:tcBorders>
          </w:tcPr>
          <w:p w14:paraId="4D06241D" w14:textId="2C764D84" w:rsidR="00833CC6" w:rsidRPr="0051150C" w:rsidRDefault="00416533" w:rsidP="00DE0679">
            <w:pPr>
              <w:tabs>
                <w:tab w:val="clear" w:pos="284"/>
              </w:tabs>
              <w:autoSpaceDE w:val="0"/>
              <w:autoSpaceDN w:val="0"/>
              <w:adjustRightInd w:val="0"/>
              <w:rPr>
                <w:i/>
                <w:noProof/>
                <w:szCs w:val="22"/>
                <w:lang w:val="sr-Latn-BA"/>
              </w:rPr>
            </w:pPr>
            <w:r w:rsidRPr="00DF315D">
              <w:rPr>
                <w:iCs/>
                <w:noProof/>
                <w:szCs w:val="22"/>
                <w:lang w:val="sr-Latn-BA"/>
              </w:rPr>
              <w:t>Odnos rizika</w:t>
            </w:r>
            <w:r w:rsidR="00833CC6" w:rsidRPr="0051150C">
              <w:rPr>
                <w:i/>
                <w:noProof/>
                <w:szCs w:val="22"/>
                <w:lang w:val="sr-Latn-BA"/>
              </w:rPr>
              <w:t xml:space="preserve">** </w:t>
            </w:r>
            <w:r w:rsidR="00833CC6" w:rsidRPr="0051150C">
              <w:rPr>
                <w:noProof/>
                <w:szCs w:val="22"/>
                <w:lang w:val="sr-Latn-BA"/>
              </w:rPr>
              <w:t>(95% CI)</w:t>
            </w:r>
          </w:p>
        </w:tc>
        <w:tc>
          <w:tcPr>
            <w:tcW w:w="5976" w:type="dxa"/>
            <w:gridSpan w:val="3"/>
            <w:tcBorders>
              <w:top w:val="nil"/>
              <w:left w:val="nil"/>
              <w:bottom w:val="single" w:sz="4" w:space="0" w:color="auto"/>
            </w:tcBorders>
          </w:tcPr>
          <w:p w14:paraId="7FA45A14" w14:textId="0F207794" w:rsidR="00833CC6" w:rsidRPr="0051150C" w:rsidRDefault="00864208" w:rsidP="00416533">
            <w:pPr>
              <w:tabs>
                <w:tab w:val="clear" w:pos="284"/>
              </w:tabs>
              <w:autoSpaceDE w:val="0"/>
              <w:autoSpaceDN w:val="0"/>
              <w:adjustRightInd w:val="0"/>
              <w:jc w:val="center"/>
              <w:rPr>
                <w:noProof/>
                <w:szCs w:val="22"/>
                <w:lang w:val="sr-Latn-BA"/>
              </w:rPr>
            </w:pPr>
            <w:r w:rsidRPr="0051150C">
              <w:rPr>
                <w:noProof/>
                <w:szCs w:val="22"/>
                <w:lang w:val="sr-Latn-BA"/>
              </w:rPr>
              <w:t>0</w:t>
            </w:r>
            <w:r w:rsidR="00416533">
              <w:rPr>
                <w:noProof/>
                <w:szCs w:val="22"/>
                <w:lang w:val="sr-Latn-BA"/>
              </w:rPr>
              <w:t>,</w:t>
            </w:r>
            <w:r w:rsidRPr="0051150C">
              <w:rPr>
                <w:noProof/>
                <w:szCs w:val="22"/>
                <w:lang w:val="sr-Latn-BA"/>
              </w:rPr>
              <w:t>752 (0</w:t>
            </w:r>
            <w:r w:rsidR="00416533">
              <w:rPr>
                <w:noProof/>
                <w:szCs w:val="22"/>
                <w:lang w:val="sr-Latn-BA"/>
              </w:rPr>
              <w:t>,</w:t>
            </w:r>
            <w:r w:rsidRPr="0051150C">
              <w:rPr>
                <w:noProof/>
                <w:szCs w:val="22"/>
                <w:lang w:val="sr-Latn-BA"/>
              </w:rPr>
              <w:t>606, 0</w:t>
            </w:r>
            <w:r w:rsidR="00416533">
              <w:rPr>
                <w:noProof/>
                <w:szCs w:val="22"/>
                <w:lang w:val="sr-Latn-BA"/>
              </w:rPr>
              <w:t>,</w:t>
            </w:r>
            <w:r w:rsidRPr="0051150C">
              <w:rPr>
                <w:noProof/>
                <w:szCs w:val="22"/>
                <w:lang w:val="sr-Latn-BA"/>
              </w:rPr>
              <w:t>934</w:t>
            </w:r>
            <w:r w:rsidR="00833CC6" w:rsidRPr="0051150C">
              <w:rPr>
                <w:noProof/>
                <w:szCs w:val="22"/>
                <w:lang w:val="sr-Latn-BA"/>
              </w:rPr>
              <w:t>)</w:t>
            </w:r>
          </w:p>
        </w:tc>
      </w:tr>
      <w:tr w:rsidR="00864208" w:rsidRPr="0051150C" w14:paraId="0981E7C5" w14:textId="77777777" w:rsidTr="00410EF6">
        <w:tc>
          <w:tcPr>
            <w:tcW w:w="3051" w:type="dxa"/>
            <w:gridSpan w:val="2"/>
            <w:tcBorders>
              <w:top w:val="single" w:sz="4" w:space="0" w:color="auto"/>
              <w:bottom w:val="nil"/>
              <w:right w:val="nil"/>
            </w:tcBorders>
          </w:tcPr>
          <w:p w14:paraId="04EFB089" w14:textId="6A5C9D9C" w:rsidR="00864208" w:rsidRPr="0051150C" w:rsidRDefault="00864208" w:rsidP="00DE0679">
            <w:pPr>
              <w:tabs>
                <w:tab w:val="clear" w:pos="284"/>
              </w:tabs>
              <w:autoSpaceDE w:val="0"/>
              <w:autoSpaceDN w:val="0"/>
              <w:adjustRightInd w:val="0"/>
              <w:rPr>
                <w:b/>
                <w:noProof/>
                <w:szCs w:val="22"/>
                <w:lang w:val="sr-Latn-BA"/>
              </w:rPr>
            </w:pPr>
            <w:r w:rsidRPr="0051150C">
              <w:rPr>
                <w:b/>
                <w:noProof/>
                <w:szCs w:val="22"/>
                <w:lang w:val="sr-Latn-BA"/>
              </w:rPr>
              <w:t>Završna analiza preživljavanja</w:t>
            </w:r>
          </w:p>
        </w:tc>
        <w:tc>
          <w:tcPr>
            <w:tcW w:w="3006" w:type="dxa"/>
            <w:gridSpan w:val="2"/>
            <w:tcBorders>
              <w:top w:val="single" w:sz="4" w:space="0" w:color="auto"/>
              <w:left w:val="nil"/>
              <w:bottom w:val="nil"/>
              <w:right w:val="nil"/>
            </w:tcBorders>
          </w:tcPr>
          <w:p w14:paraId="42DE001C" w14:textId="4FF6C49E" w:rsidR="00864208" w:rsidRPr="0051150C" w:rsidRDefault="00864208" w:rsidP="00DE0679">
            <w:pPr>
              <w:tabs>
                <w:tab w:val="clear" w:pos="284"/>
              </w:tabs>
              <w:autoSpaceDE w:val="0"/>
              <w:autoSpaceDN w:val="0"/>
              <w:adjustRightInd w:val="0"/>
              <w:jc w:val="center"/>
              <w:rPr>
                <w:noProof/>
                <w:szCs w:val="22"/>
                <w:lang w:val="sr-Latn-BA"/>
              </w:rPr>
            </w:pPr>
          </w:p>
        </w:tc>
        <w:tc>
          <w:tcPr>
            <w:tcW w:w="2970" w:type="dxa"/>
            <w:tcBorders>
              <w:top w:val="single" w:sz="4" w:space="0" w:color="auto"/>
              <w:left w:val="nil"/>
              <w:bottom w:val="nil"/>
            </w:tcBorders>
          </w:tcPr>
          <w:p w14:paraId="7A5427A5" w14:textId="280B2E2A" w:rsidR="00864208" w:rsidRPr="0051150C" w:rsidRDefault="00864208" w:rsidP="00DE0679">
            <w:pPr>
              <w:tabs>
                <w:tab w:val="clear" w:pos="284"/>
              </w:tabs>
              <w:autoSpaceDE w:val="0"/>
              <w:autoSpaceDN w:val="0"/>
              <w:adjustRightInd w:val="0"/>
              <w:jc w:val="center"/>
              <w:rPr>
                <w:noProof/>
                <w:szCs w:val="22"/>
                <w:lang w:val="sr-Latn-BA"/>
              </w:rPr>
            </w:pPr>
          </w:p>
        </w:tc>
      </w:tr>
      <w:tr w:rsidR="00864208" w:rsidRPr="0051150C" w14:paraId="47468A2F" w14:textId="77777777" w:rsidTr="00410EF6">
        <w:tc>
          <w:tcPr>
            <w:tcW w:w="3051" w:type="dxa"/>
            <w:gridSpan w:val="2"/>
            <w:tcBorders>
              <w:top w:val="nil"/>
              <w:bottom w:val="nil"/>
              <w:right w:val="nil"/>
            </w:tcBorders>
          </w:tcPr>
          <w:p w14:paraId="4EE6A187" w14:textId="330975C0" w:rsidR="00864208" w:rsidRPr="0051150C" w:rsidRDefault="00864208" w:rsidP="00DE0679">
            <w:pPr>
              <w:tabs>
                <w:tab w:val="clear" w:pos="284"/>
              </w:tabs>
              <w:autoSpaceDE w:val="0"/>
              <w:autoSpaceDN w:val="0"/>
              <w:adjustRightInd w:val="0"/>
              <w:rPr>
                <w:noProof/>
                <w:szCs w:val="22"/>
                <w:lang w:val="sr-Latn-BA"/>
              </w:rPr>
            </w:pPr>
            <w:r w:rsidRPr="0051150C">
              <w:rPr>
                <w:noProof/>
                <w:szCs w:val="22"/>
                <w:lang w:val="sr-Latn-BA"/>
              </w:rPr>
              <w:t>Smrtni ishod (%)</w:t>
            </w:r>
          </w:p>
        </w:tc>
        <w:tc>
          <w:tcPr>
            <w:tcW w:w="3006" w:type="dxa"/>
            <w:gridSpan w:val="2"/>
            <w:tcBorders>
              <w:top w:val="nil"/>
              <w:left w:val="nil"/>
              <w:bottom w:val="nil"/>
              <w:right w:val="nil"/>
            </w:tcBorders>
          </w:tcPr>
          <w:p w14:paraId="00CF96FC" w14:textId="50A1B4FF" w:rsidR="00864208" w:rsidRPr="0051150C" w:rsidRDefault="00864208" w:rsidP="00DE0679">
            <w:pPr>
              <w:tabs>
                <w:tab w:val="clear" w:pos="284"/>
              </w:tabs>
              <w:autoSpaceDE w:val="0"/>
              <w:autoSpaceDN w:val="0"/>
              <w:adjustRightInd w:val="0"/>
              <w:jc w:val="center"/>
              <w:rPr>
                <w:noProof/>
                <w:szCs w:val="22"/>
                <w:lang w:val="sr-Latn-BA"/>
              </w:rPr>
            </w:pPr>
            <w:r w:rsidRPr="0051150C">
              <w:rPr>
                <w:noProof/>
                <w:szCs w:val="22"/>
                <w:lang w:val="sr-Latn-BA"/>
              </w:rPr>
              <w:t>354 (65%)</w:t>
            </w:r>
          </w:p>
        </w:tc>
        <w:tc>
          <w:tcPr>
            <w:tcW w:w="2970" w:type="dxa"/>
            <w:tcBorders>
              <w:top w:val="nil"/>
              <w:left w:val="nil"/>
              <w:bottom w:val="nil"/>
            </w:tcBorders>
          </w:tcPr>
          <w:p w14:paraId="36DFEAFC" w14:textId="7ED538A5" w:rsidR="00864208" w:rsidRPr="0051150C" w:rsidRDefault="00864208" w:rsidP="00DE0679">
            <w:pPr>
              <w:tabs>
                <w:tab w:val="clear" w:pos="284"/>
              </w:tabs>
              <w:autoSpaceDE w:val="0"/>
              <w:autoSpaceDN w:val="0"/>
              <w:adjustRightInd w:val="0"/>
              <w:jc w:val="center"/>
              <w:rPr>
                <w:noProof/>
                <w:szCs w:val="22"/>
                <w:lang w:val="sr-Latn-BA"/>
              </w:rPr>
            </w:pPr>
            <w:r w:rsidRPr="0051150C">
              <w:rPr>
                <w:noProof/>
                <w:szCs w:val="22"/>
                <w:lang w:val="sr-Latn-BA"/>
              </w:rPr>
              <w:t>387 (71%)</w:t>
            </w:r>
          </w:p>
        </w:tc>
      </w:tr>
      <w:tr w:rsidR="00864208" w:rsidRPr="0051150C" w14:paraId="4CFFFD77" w14:textId="77777777" w:rsidTr="00410EF6">
        <w:tc>
          <w:tcPr>
            <w:tcW w:w="2835" w:type="dxa"/>
            <w:tcBorders>
              <w:top w:val="nil"/>
              <w:bottom w:val="nil"/>
              <w:right w:val="nil"/>
            </w:tcBorders>
          </w:tcPr>
          <w:p w14:paraId="1078748B" w14:textId="04A78C0C" w:rsidR="00864208" w:rsidRPr="0051150C" w:rsidRDefault="0066552D" w:rsidP="00F559B9">
            <w:pPr>
              <w:tabs>
                <w:tab w:val="clear" w:pos="284"/>
              </w:tabs>
              <w:autoSpaceDE w:val="0"/>
              <w:autoSpaceDN w:val="0"/>
              <w:adjustRightInd w:val="0"/>
              <w:jc w:val="left"/>
              <w:rPr>
                <w:noProof/>
                <w:szCs w:val="22"/>
                <w:lang w:val="sr-Latn-BA"/>
              </w:rPr>
            </w:pPr>
            <w:r w:rsidRPr="0051150C">
              <w:rPr>
                <w:noProof/>
                <w:szCs w:val="22"/>
                <w:lang w:val="sr-Latn-BA"/>
              </w:rPr>
              <w:t>Medijana ukupnog pre</w:t>
            </w:r>
            <w:r w:rsidR="00F559B9" w:rsidRPr="0051150C">
              <w:rPr>
                <w:noProof/>
                <w:szCs w:val="22"/>
                <w:lang w:val="sr-Latn-BA"/>
              </w:rPr>
              <w:t xml:space="preserve">življavanja u </w:t>
            </w:r>
            <w:r w:rsidR="00834D3E" w:rsidRPr="0051150C">
              <w:rPr>
                <w:noProof/>
                <w:szCs w:val="22"/>
                <w:lang w:val="sr-Latn-BA"/>
              </w:rPr>
              <w:t>mjesec</w:t>
            </w:r>
            <w:r w:rsidR="00F559B9" w:rsidRPr="0051150C">
              <w:rPr>
                <w:noProof/>
                <w:szCs w:val="22"/>
                <w:lang w:val="sr-Latn-BA"/>
              </w:rPr>
              <w:t>ima</w:t>
            </w:r>
            <w:r w:rsidR="00864208" w:rsidRPr="0051150C">
              <w:rPr>
                <w:noProof/>
                <w:szCs w:val="22"/>
                <w:lang w:val="sr-Latn-BA"/>
              </w:rPr>
              <w:t xml:space="preserve"> </w:t>
            </w:r>
            <w:r w:rsidR="00864208" w:rsidRPr="0051150C">
              <w:rPr>
                <w:noProof/>
                <w:szCs w:val="22"/>
                <w:lang w:val="sr-Latn-BA"/>
              </w:rPr>
              <w:br/>
              <w:t>(95% CI)</w:t>
            </w:r>
          </w:p>
        </w:tc>
        <w:tc>
          <w:tcPr>
            <w:tcW w:w="3222" w:type="dxa"/>
            <w:gridSpan w:val="3"/>
            <w:tcBorders>
              <w:top w:val="nil"/>
              <w:left w:val="nil"/>
              <w:bottom w:val="nil"/>
              <w:right w:val="nil"/>
            </w:tcBorders>
          </w:tcPr>
          <w:p w14:paraId="06A4442B" w14:textId="77777777" w:rsidR="00B437DC" w:rsidRPr="0051150C" w:rsidRDefault="00B437DC" w:rsidP="00DE0679">
            <w:pPr>
              <w:tabs>
                <w:tab w:val="clear" w:pos="284"/>
              </w:tabs>
              <w:autoSpaceDE w:val="0"/>
              <w:autoSpaceDN w:val="0"/>
              <w:adjustRightInd w:val="0"/>
              <w:jc w:val="center"/>
              <w:rPr>
                <w:noProof/>
                <w:szCs w:val="22"/>
                <w:lang w:val="sr-Latn-BA"/>
              </w:rPr>
            </w:pPr>
          </w:p>
          <w:p w14:paraId="781BAE11" w14:textId="46AE261E" w:rsidR="00864208" w:rsidRPr="0051150C" w:rsidRDefault="00DE0679" w:rsidP="00416533">
            <w:pPr>
              <w:tabs>
                <w:tab w:val="clear" w:pos="284"/>
              </w:tabs>
              <w:autoSpaceDE w:val="0"/>
              <w:autoSpaceDN w:val="0"/>
              <w:adjustRightInd w:val="0"/>
              <w:jc w:val="center"/>
              <w:rPr>
                <w:noProof/>
                <w:szCs w:val="22"/>
                <w:lang w:val="sr-Latn-BA"/>
              </w:rPr>
            </w:pPr>
            <w:r w:rsidRPr="0051150C">
              <w:rPr>
                <w:noProof/>
                <w:szCs w:val="22"/>
                <w:lang w:val="sr-Latn-BA"/>
              </w:rPr>
              <w:t>34,7</w:t>
            </w:r>
            <w:r w:rsidRPr="0051150C">
              <w:rPr>
                <w:noProof/>
                <w:szCs w:val="22"/>
                <w:lang w:val="sr-Latn-BA"/>
              </w:rPr>
              <w:br/>
              <w:t>(32</w:t>
            </w:r>
            <w:r w:rsidR="00416533">
              <w:rPr>
                <w:noProof/>
                <w:szCs w:val="22"/>
                <w:lang w:val="sr-Latn-BA"/>
              </w:rPr>
              <w:t>,</w:t>
            </w:r>
            <w:r w:rsidRPr="0051150C">
              <w:rPr>
                <w:noProof/>
                <w:szCs w:val="22"/>
                <w:lang w:val="sr-Latn-BA"/>
              </w:rPr>
              <w:t>7; 36</w:t>
            </w:r>
            <w:r w:rsidR="00416533">
              <w:rPr>
                <w:noProof/>
                <w:szCs w:val="22"/>
                <w:lang w:val="sr-Latn-BA"/>
              </w:rPr>
              <w:t>,</w:t>
            </w:r>
            <w:r w:rsidR="00864208" w:rsidRPr="0051150C">
              <w:rPr>
                <w:noProof/>
                <w:szCs w:val="22"/>
                <w:lang w:val="sr-Latn-BA"/>
              </w:rPr>
              <w:t>8)</w:t>
            </w:r>
          </w:p>
        </w:tc>
        <w:tc>
          <w:tcPr>
            <w:tcW w:w="2970" w:type="dxa"/>
            <w:tcBorders>
              <w:top w:val="nil"/>
              <w:left w:val="nil"/>
              <w:bottom w:val="nil"/>
            </w:tcBorders>
          </w:tcPr>
          <w:p w14:paraId="0358E72E" w14:textId="77777777" w:rsidR="00B437DC" w:rsidRPr="0051150C" w:rsidRDefault="00B437DC" w:rsidP="00DE0679">
            <w:pPr>
              <w:tabs>
                <w:tab w:val="clear" w:pos="284"/>
              </w:tabs>
              <w:autoSpaceDE w:val="0"/>
              <w:autoSpaceDN w:val="0"/>
              <w:adjustRightInd w:val="0"/>
              <w:jc w:val="center"/>
              <w:rPr>
                <w:noProof/>
                <w:szCs w:val="22"/>
                <w:lang w:val="sr-Latn-BA"/>
              </w:rPr>
            </w:pPr>
          </w:p>
          <w:p w14:paraId="58F1BD82" w14:textId="39445B05" w:rsidR="00864208" w:rsidRPr="0051150C" w:rsidRDefault="00DE0679" w:rsidP="00416533">
            <w:pPr>
              <w:tabs>
                <w:tab w:val="clear" w:pos="284"/>
              </w:tabs>
              <w:autoSpaceDE w:val="0"/>
              <w:autoSpaceDN w:val="0"/>
              <w:adjustRightInd w:val="0"/>
              <w:jc w:val="center"/>
              <w:rPr>
                <w:noProof/>
                <w:szCs w:val="22"/>
                <w:lang w:val="sr-Latn-BA"/>
              </w:rPr>
            </w:pPr>
            <w:r w:rsidRPr="0051150C">
              <w:rPr>
                <w:noProof/>
                <w:szCs w:val="22"/>
                <w:lang w:val="sr-Latn-BA"/>
              </w:rPr>
              <w:t>30</w:t>
            </w:r>
            <w:r w:rsidR="00416533">
              <w:rPr>
                <w:noProof/>
                <w:szCs w:val="22"/>
                <w:lang w:val="sr-Latn-BA"/>
              </w:rPr>
              <w:t>,</w:t>
            </w:r>
            <w:r w:rsidRPr="0051150C">
              <w:rPr>
                <w:noProof/>
                <w:szCs w:val="22"/>
                <w:lang w:val="sr-Latn-BA"/>
              </w:rPr>
              <w:t>3</w:t>
            </w:r>
            <w:r w:rsidRPr="0051150C">
              <w:rPr>
                <w:noProof/>
                <w:szCs w:val="22"/>
                <w:lang w:val="sr-Latn-BA"/>
              </w:rPr>
              <w:br/>
              <w:t>(28</w:t>
            </w:r>
            <w:r w:rsidR="00416533">
              <w:rPr>
                <w:noProof/>
                <w:szCs w:val="22"/>
                <w:lang w:val="sr-Latn-BA"/>
              </w:rPr>
              <w:t>,</w:t>
            </w:r>
            <w:r w:rsidR="00864208" w:rsidRPr="0051150C">
              <w:rPr>
                <w:noProof/>
                <w:szCs w:val="22"/>
                <w:lang w:val="sr-Latn-BA"/>
              </w:rPr>
              <w:t>7;</w:t>
            </w:r>
            <w:r w:rsidRPr="0051150C">
              <w:rPr>
                <w:noProof/>
                <w:szCs w:val="22"/>
                <w:lang w:val="sr-Latn-BA"/>
              </w:rPr>
              <w:t xml:space="preserve"> 33</w:t>
            </w:r>
            <w:r w:rsidR="00416533">
              <w:rPr>
                <w:noProof/>
                <w:szCs w:val="22"/>
                <w:lang w:val="sr-Latn-BA"/>
              </w:rPr>
              <w:t>,</w:t>
            </w:r>
            <w:r w:rsidR="00864208" w:rsidRPr="0051150C">
              <w:rPr>
                <w:noProof/>
                <w:szCs w:val="22"/>
                <w:lang w:val="sr-Latn-BA"/>
              </w:rPr>
              <w:t>3)</w:t>
            </w:r>
          </w:p>
        </w:tc>
      </w:tr>
      <w:tr w:rsidR="00864208" w:rsidRPr="0051150C" w14:paraId="39C559F7" w14:textId="77777777" w:rsidTr="00410EF6">
        <w:tc>
          <w:tcPr>
            <w:tcW w:w="3051" w:type="dxa"/>
            <w:gridSpan w:val="2"/>
            <w:tcBorders>
              <w:top w:val="nil"/>
              <w:bottom w:val="nil"/>
              <w:right w:val="nil"/>
            </w:tcBorders>
          </w:tcPr>
          <w:p w14:paraId="28A7AC09" w14:textId="03E6A56B" w:rsidR="00864208" w:rsidRPr="0051150C" w:rsidRDefault="00864208" w:rsidP="00DE0679">
            <w:pPr>
              <w:tabs>
                <w:tab w:val="clear" w:pos="284"/>
              </w:tabs>
              <w:autoSpaceDE w:val="0"/>
              <w:autoSpaceDN w:val="0"/>
              <w:adjustRightInd w:val="0"/>
              <w:rPr>
                <w:noProof/>
                <w:szCs w:val="22"/>
                <w:lang w:val="sr-Latn-BA"/>
              </w:rPr>
            </w:pPr>
            <w:r w:rsidRPr="0051150C">
              <w:rPr>
                <w:noProof/>
                <w:szCs w:val="22"/>
                <w:lang w:val="sr-Latn-BA"/>
              </w:rPr>
              <w:t>p-</w:t>
            </w:r>
            <w:r w:rsidR="00096FAA" w:rsidRPr="0051150C">
              <w:rPr>
                <w:noProof/>
                <w:szCs w:val="22"/>
                <w:lang w:val="sr-Latn-BA"/>
              </w:rPr>
              <w:t>vrijednost</w:t>
            </w:r>
            <w:r w:rsidRPr="0051150C">
              <w:rPr>
                <w:noProof/>
                <w:szCs w:val="22"/>
                <w:lang w:val="sr-Latn-BA"/>
              </w:rPr>
              <w:t>*</w:t>
            </w:r>
          </w:p>
        </w:tc>
        <w:tc>
          <w:tcPr>
            <w:tcW w:w="5976" w:type="dxa"/>
            <w:gridSpan w:val="3"/>
            <w:tcBorders>
              <w:top w:val="nil"/>
              <w:left w:val="nil"/>
              <w:bottom w:val="nil"/>
            </w:tcBorders>
          </w:tcPr>
          <w:p w14:paraId="12FAC788" w14:textId="0E64AF1A" w:rsidR="00864208" w:rsidRPr="0051150C" w:rsidRDefault="00DE0679" w:rsidP="00416533">
            <w:pPr>
              <w:tabs>
                <w:tab w:val="clear" w:pos="284"/>
              </w:tabs>
              <w:autoSpaceDE w:val="0"/>
              <w:autoSpaceDN w:val="0"/>
              <w:adjustRightInd w:val="0"/>
              <w:jc w:val="center"/>
              <w:rPr>
                <w:noProof/>
                <w:szCs w:val="22"/>
                <w:lang w:val="sr-Latn-BA"/>
              </w:rPr>
            </w:pPr>
            <w:r w:rsidRPr="0051150C">
              <w:rPr>
                <w:noProof/>
                <w:szCs w:val="22"/>
                <w:lang w:val="sr-Latn-BA"/>
              </w:rPr>
              <w:t>0</w:t>
            </w:r>
            <w:r w:rsidR="00416533">
              <w:rPr>
                <w:noProof/>
                <w:szCs w:val="22"/>
                <w:lang w:val="sr-Latn-BA"/>
              </w:rPr>
              <w:t>,</w:t>
            </w:r>
            <w:r w:rsidR="00864208" w:rsidRPr="0051150C">
              <w:rPr>
                <w:noProof/>
                <w:szCs w:val="22"/>
                <w:lang w:val="sr-Latn-BA"/>
              </w:rPr>
              <w:t>0033</w:t>
            </w:r>
          </w:p>
        </w:tc>
      </w:tr>
      <w:tr w:rsidR="00864208" w:rsidRPr="0051150C" w14:paraId="4DD774CC" w14:textId="77777777" w:rsidTr="00410EF6">
        <w:tc>
          <w:tcPr>
            <w:tcW w:w="3051" w:type="dxa"/>
            <w:gridSpan w:val="2"/>
            <w:tcBorders>
              <w:top w:val="nil"/>
              <w:bottom w:val="single" w:sz="4" w:space="0" w:color="auto"/>
              <w:right w:val="nil"/>
            </w:tcBorders>
          </w:tcPr>
          <w:p w14:paraId="39EC7D78" w14:textId="479E3B95" w:rsidR="00864208" w:rsidRPr="0051150C" w:rsidRDefault="00416533" w:rsidP="00DE0679">
            <w:pPr>
              <w:tabs>
                <w:tab w:val="clear" w:pos="284"/>
              </w:tabs>
              <w:autoSpaceDE w:val="0"/>
              <w:autoSpaceDN w:val="0"/>
              <w:adjustRightInd w:val="0"/>
              <w:rPr>
                <w:noProof/>
                <w:szCs w:val="22"/>
                <w:lang w:val="sr-Latn-BA"/>
              </w:rPr>
            </w:pPr>
            <w:r w:rsidRPr="00DF315D">
              <w:rPr>
                <w:iCs/>
                <w:noProof/>
                <w:szCs w:val="22"/>
                <w:lang w:val="sr-Latn-BA"/>
              </w:rPr>
              <w:t>Odnos rizika</w:t>
            </w:r>
            <w:r w:rsidR="00864208" w:rsidRPr="0051150C">
              <w:rPr>
                <w:noProof/>
                <w:szCs w:val="22"/>
                <w:lang w:val="sr-Latn-BA"/>
              </w:rPr>
              <w:t>** (95% CI)</w:t>
            </w:r>
          </w:p>
        </w:tc>
        <w:tc>
          <w:tcPr>
            <w:tcW w:w="5976" w:type="dxa"/>
            <w:gridSpan w:val="3"/>
            <w:tcBorders>
              <w:top w:val="nil"/>
              <w:left w:val="nil"/>
              <w:bottom w:val="single" w:sz="4" w:space="0" w:color="auto"/>
            </w:tcBorders>
          </w:tcPr>
          <w:p w14:paraId="5C0BDAD8" w14:textId="4365F196" w:rsidR="00864208" w:rsidRPr="0051150C" w:rsidRDefault="00DE0679" w:rsidP="00416533">
            <w:pPr>
              <w:tabs>
                <w:tab w:val="clear" w:pos="284"/>
              </w:tabs>
              <w:autoSpaceDE w:val="0"/>
              <w:autoSpaceDN w:val="0"/>
              <w:adjustRightInd w:val="0"/>
              <w:jc w:val="center"/>
              <w:rPr>
                <w:noProof/>
                <w:szCs w:val="22"/>
                <w:lang w:val="sr-Latn-BA"/>
              </w:rPr>
            </w:pPr>
            <w:r w:rsidRPr="0051150C">
              <w:rPr>
                <w:noProof/>
                <w:szCs w:val="22"/>
                <w:lang w:val="sr-Latn-BA"/>
              </w:rPr>
              <w:t>0</w:t>
            </w:r>
            <w:r w:rsidR="00416533">
              <w:rPr>
                <w:noProof/>
                <w:szCs w:val="22"/>
                <w:lang w:val="sr-Latn-BA"/>
              </w:rPr>
              <w:t>,</w:t>
            </w:r>
            <w:r w:rsidRPr="0051150C">
              <w:rPr>
                <w:noProof/>
                <w:szCs w:val="22"/>
                <w:lang w:val="sr-Latn-BA"/>
              </w:rPr>
              <w:t>806 (0</w:t>
            </w:r>
            <w:r w:rsidR="00416533">
              <w:rPr>
                <w:noProof/>
                <w:szCs w:val="22"/>
                <w:lang w:val="sr-Latn-BA"/>
              </w:rPr>
              <w:t>,</w:t>
            </w:r>
            <w:r w:rsidRPr="0051150C">
              <w:rPr>
                <w:noProof/>
                <w:szCs w:val="22"/>
                <w:lang w:val="sr-Latn-BA"/>
              </w:rPr>
              <w:t>697; 0</w:t>
            </w:r>
            <w:r w:rsidR="00416533">
              <w:rPr>
                <w:noProof/>
                <w:szCs w:val="22"/>
                <w:lang w:val="sr-Latn-BA"/>
              </w:rPr>
              <w:t>,</w:t>
            </w:r>
            <w:r w:rsidR="00864208" w:rsidRPr="0051150C">
              <w:rPr>
                <w:noProof/>
                <w:szCs w:val="22"/>
                <w:lang w:val="sr-Latn-BA"/>
              </w:rPr>
              <w:t>931)</w:t>
            </w:r>
          </w:p>
        </w:tc>
      </w:tr>
    </w:tbl>
    <w:p w14:paraId="073F065D" w14:textId="567054A1" w:rsidR="00316929" w:rsidRPr="0051150C" w:rsidRDefault="00316929" w:rsidP="00316929">
      <w:pPr>
        <w:tabs>
          <w:tab w:val="clear" w:pos="284"/>
        </w:tabs>
        <w:autoSpaceDE w:val="0"/>
        <w:autoSpaceDN w:val="0"/>
        <w:adjustRightInd w:val="0"/>
        <w:jc w:val="left"/>
        <w:rPr>
          <w:noProof/>
          <w:szCs w:val="22"/>
          <w:lang w:val="sr-Latn-BA"/>
        </w:rPr>
      </w:pPr>
      <w:r w:rsidRPr="0051150C">
        <w:rPr>
          <w:noProof/>
          <w:szCs w:val="22"/>
          <w:lang w:val="sr-Latn-BA"/>
        </w:rPr>
        <w:t>NP- Nije proc</w:t>
      </w:r>
      <w:r w:rsidR="004A18EE" w:rsidRPr="0051150C">
        <w:rPr>
          <w:noProof/>
          <w:szCs w:val="22"/>
          <w:lang w:val="sr-Latn-BA"/>
        </w:rPr>
        <w:t>ij</w:t>
      </w:r>
      <w:r w:rsidRPr="0051150C">
        <w:rPr>
          <w:noProof/>
          <w:szCs w:val="22"/>
          <w:lang w:val="sr-Latn-BA"/>
        </w:rPr>
        <w:t>enjeno</w:t>
      </w:r>
    </w:p>
    <w:p w14:paraId="17E3C726" w14:textId="77777777" w:rsidR="00316929" w:rsidRPr="0051150C" w:rsidRDefault="00316929" w:rsidP="00316929">
      <w:pPr>
        <w:tabs>
          <w:tab w:val="clear" w:pos="284"/>
        </w:tabs>
        <w:autoSpaceDE w:val="0"/>
        <w:autoSpaceDN w:val="0"/>
        <w:adjustRightInd w:val="0"/>
        <w:jc w:val="left"/>
        <w:rPr>
          <w:noProof/>
          <w:szCs w:val="22"/>
          <w:lang w:val="sr-Latn-BA"/>
        </w:rPr>
      </w:pPr>
      <w:r w:rsidRPr="0051150C">
        <w:rPr>
          <w:noProof/>
          <w:szCs w:val="22"/>
          <w:lang w:val="sr-Latn-BA"/>
        </w:rPr>
        <w:t>CI – interval pouzdanosti</w:t>
      </w:r>
    </w:p>
    <w:p w14:paraId="120D7A3E" w14:textId="38F1F27E" w:rsidR="00316929" w:rsidRPr="0051150C" w:rsidRDefault="00316929" w:rsidP="00316929">
      <w:pPr>
        <w:tabs>
          <w:tab w:val="clear" w:pos="284"/>
        </w:tabs>
        <w:autoSpaceDE w:val="0"/>
        <w:autoSpaceDN w:val="0"/>
        <w:adjustRightInd w:val="0"/>
        <w:jc w:val="left"/>
        <w:rPr>
          <w:noProof/>
          <w:szCs w:val="22"/>
          <w:lang w:val="sr-Latn-BA"/>
        </w:rPr>
      </w:pPr>
      <w:r w:rsidRPr="0051150C">
        <w:rPr>
          <w:noProof/>
          <w:szCs w:val="22"/>
          <w:lang w:val="sr-Latn-BA"/>
        </w:rPr>
        <w:t>*p-</w:t>
      </w:r>
      <w:r w:rsidR="00096FAA" w:rsidRPr="0051150C">
        <w:rPr>
          <w:noProof/>
          <w:szCs w:val="22"/>
          <w:lang w:val="sr-Latn-BA"/>
        </w:rPr>
        <w:t>vrijednost</w:t>
      </w:r>
      <w:r w:rsidRPr="0051150C">
        <w:rPr>
          <w:noProof/>
          <w:szCs w:val="22"/>
          <w:lang w:val="sr-Latn-BA"/>
        </w:rPr>
        <w:t xml:space="preserve"> je izvedena iz log-</w:t>
      </w:r>
      <w:r w:rsidR="00416533" w:rsidRPr="0051150C">
        <w:rPr>
          <w:noProof/>
          <w:szCs w:val="22"/>
          <w:lang w:val="sr-Latn-BA"/>
        </w:rPr>
        <w:t>ran</w:t>
      </w:r>
      <w:r w:rsidR="00416533">
        <w:rPr>
          <w:noProof/>
          <w:szCs w:val="22"/>
          <w:lang w:val="sr-Latn-BA"/>
        </w:rPr>
        <w:t>k</w:t>
      </w:r>
      <w:r w:rsidR="00416533" w:rsidRPr="0051150C">
        <w:rPr>
          <w:noProof/>
          <w:szCs w:val="22"/>
          <w:lang w:val="sr-Latn-BA"/>
        </w:rPr>
        <w:t xml:space="preserve"> </w:t>
      </w:r>
      <w:r w:rsidRPr="0051150C">
        <w:rPr>
          <w:noProof/>
          <w:szCs w:val="22"/>
          <w:lang w:val="sr-Latn-BA"/>
        </w:rPr>
        <w:t xml:space="preserve">testa stratifikovanog prema početnoj </w:t>
      </w:r>
      <w:r w:rsidR="00096FAA" w:rsidRPr="0051150C">
        <w:rPr>
          <w:noProof/>
          <w:szCs w:val="22"/>
          <w:lang w:val="sr-Latn-BA"/>
        </w:rPr>
        <w:t>vrijednost</w:t>
      </w:r>
      <w:r w:rsidRPr="0051150C">
        <w:rPr>
          <w:noProof/>
          <w:szCs w:val="22"/>
          <w:lang w:val="sr-Latn-BA"/>
        </w:rPr>
        <w:t>i ECOG statusa</w:t>
      </w:r>
      <w:r w:rsidR="00DE0679" w:rsidRPr="0051150C">
        <w:rPr>
          <w:noProof/>
          <w:szCs w:val="22"/>
          <w:lang w:val="sr-Latn-BA"/>
        </w:rPr>
        <w:t xml:space="preserve"> </w:t>
      </w:r>
      <w:r w:rsidRPr="0051150C">
        <w:rPr>
          <w:noProof/>
          <w:szCs w:val="22"/>
          <w:lang w:val="sr-Latn-BA"/>
        </w:rPr>
        <w:t>(0 ili 1)</w:t>
      </w:r>
    </w:p>
    <w:p w14:paraId="7DB67BF6" w14:textId="34F08DF0" w:rsidR="004A7E03" w:rsidRPr="0051150C" w:rsidRDefault="00316929" w:rsidP="00316929">
      <w:pPr>
        <w:rPr>
          <w:noProof/>
          <w:szCs w:val="22"/>
          <w:lang w:val="sr-Latn-BA"/>
        </w:rPr>
      </w:pPr>
      <w:r w:rsidRPr="0051150C">
        <w:rPr>
          <w:noProof/>
          <w:szCs w:val="22"/>
          <w:lang w:val="sr-Latn-BA"/>
        </w:rPr>
        <w:t>**</w:t>
      </w:r>
      <w:r w:rsidR="00416533" w:rsidRPr="00DF315D">
        <w:rPr>
          <w:iCs/>
          <w:noProof/>
          <w:szCs w:val="22"/>
          <w:lang w:val="sr-Latn-BA"/>
        </w:rPr>
        <w:t>Odnos rizika</w:t>
      </w:r>
      <w:r w:rsidRPr="0051150C">
        <w:rPr>
          <w:i/>
          <w:iCs/>
          <w:noProof/>
          <w:szCs w:val="22"/>
          <w:lang w:val="sr-Latn-BA"/>
        </w:rPr>
        <w:t xml:space="preserve"> </w:t>
      </w:r>
      <w:r w:rsidRPr="0051150C">
        <w:rPr>
          <w:noProof/>
          <w:szCs w:val="22"/>
          <w:lang w:val="sr-Latn-BA"/>
        </w:rPr>
        <w:t>&lt;1 daje prednost abirateron acetatu</w:t>
      </w:r>
      <w:r w:rsidR="00416533">
        <w:rPr>
          <w:noProof/>
          <w:szCs w:val="22"/>
          <w:lang w:val="sr-Latn-BA"/>
        </w:rPr>
        <w:t>.</w:t>
      </w:r>
    </w:p>
    <w:p w14:paraId="4AB5D73B" w14:textId="77777777" w:rsidR="00416533" w:rsidRDefault="00416533" w:rsidP="00660FC7">
      <w:pPr>
        <w:tabs>
          <w:tab w:val="clear" w:pos="284"/>
        </w:tabs>
        <w:autoSpaceDE w:val="0"/>
        <w:autoSpaceDN w:val="0"/>
        <w:adjustRightInd w:val="0"/>
        <w:rPr>
          <w:rFonts w:eastAsia="TimesNewRoman,Bold"/>
          <w:b/>
          <w:bCs/>
          <w:noProof/>
          <w:szCs w:val="22"/>
          <w:lang w:val="sr-Latn-BA"/>
        </w:rPr>
      </w:pPr>
    </w:p>
    <w:p w14:paraId="7FCF06AA" w14:textId="77777777" w:rsidR="00416533" w:rsidRDefault="00316929" w:rsidP="00660FC7">
      <w:pPr>
        <w:tabs>
          <w:tab w:val="clear" w:pos="284"/>
        </w:tabs>
        <w:autoSpaceDE w:val="0"/>
        <w:autoSpaceDN w:val="0"/>
        <w:adjustRightInd w:val="0"/>
        <w:rPr>
          <w:rFonts w:eastAsia="TimesNewRoman,Bold"/>
          <w:b/>
          <w:bCs/>
          <w:noProof/>
          <w:szCs w:val="22"/>
          <w:lang w:val="sr-Latn-BA"/>
        </w:rPr>
      </w:pPr>
      <w:r w:rsidRPr="0051150C">
        <w:rPr>
          <w:rFonts w:eastAsia="TimesNewRoman,Bold"/>
          <w:b/>
          <w:bCs/>
          <w:noProof/>
          <w:szCs w:val="22"/>
          <w:lang w:val="sr-Latn-BA"/>
        </w:rPr>
        <w:t>Slika 5</w:t>
      </w:r>
      <w:r w:rsidRPr="0051150C">
        <w:rPr>
          <w:rFonts w:eastAsia="TimesNewRoman,Bold"/>
          <w:b/>
          <w:noProof/>
          <w:szCs w:val="22"/>
          <w:lang w:val="sr-Latn-BA"/>
        </w:rPr>
        <w:t xml:space="preserve">: </w:t>
      </w:r>
      <w:r w:rsidRPr="0051150C">
        <w:rPr>
          <w:rFonts w:eastAsia="TimesNewRoman,Bold"/>
          <w:b/>
          <w:bCs/>
          <w:i/>
          <w:iCs/>
          <w:noProof/>
          <w:szCs w:val="22"/>
          <w:lang w:val="sr-Latn-BA"/>
        </w:rPr>
        <w:t>Kaplan-Meier</w:t>
      </w:r>
      <w:r w:rsidR="00416533">
        <w:rPr>
          <w:rFonts w:eastAsia="TimesNewRoman,Bold"/>
          <w:b/>
          <w:bCs/>
          <w:iCs/>
          <w:noProof/>
          <w:szCs w:val="22"/>
          <w:lang w:val="sr-Latn-BA"/>
        </w:rPr>
        <w:t>-ove</w:t>
      </w:r>
      <w:r w:rsidRPr="0051150C">
        <w:rPr>
          <w:rFonts w:eastAsia="TimesNewRoman,Bold"/>
          <w:b/>
          <w:bCs/>
          <w:i/>
          <w:iCs/>
          <w:noProof/>
          <w:szCs w:val="22"/>
          <w:lang w:val="sr-Latn-BA"/>
        </w:rPr>
        <w:t xml:space="preserve"> </w:t>
      </w:r>
      <w:r w:rsidRPr="0051150C">
        <w:rPr>
          <w:rFonts w:eastAsia="TimesNewRoman,Bold"/>
          <w:b/>
          <w:bCs/>
          <w:noProof/>
          <w:szCs w:val="22"/>
          <w:lang w:val="sr-Latn-BA"/>
        </w:rPr>
        <w:t>krive preživljavanja kod pa</w:t>
      </w:r>
      <w:r w:rsidR="0021331C" w:rsidRPr="0051150C">
        <w:rPr>
          <w:rFonts w:eastAsia="TimesNewRoman,Bold"/>
          <w:b/>
          <w:bCs/>
          <w:noProof/>
          <w:szCs w:val="22"/>
          <w:lang w:val="sr-Latn-BA"/>
        </w:rPr>
        <w:t xml:space="preserve">cijenata koji su uzimali ili abirateron acetat </w:t>
      </w:r>
      <w:r w:rsidRPr="0051150C">
        <w:rPr>
          <w:rFonts w:eastAsia="TimesNewRoman,Bold"/>
          <w:b/>
          <w:bCs/>
          <w:noProof/>
          <w:szCs w:val="22"/>
          <w:lang w:val="sr-Latn-BA"/>
        </w:rPr>
        <w:t>ili placebo u kombinaciji sa prednizonom ili prednizolonom uz analoge LHRH ili prethodnu orhiektomiju, završna analiza</w:t>
      </w:r>
    </w:p>
    <w:p w14:paraId="2FCEAA35" w14:textId="43140D90" w:rsidR="00316929" w:rsidRPr="0051150C" w:rsidRDefault="008246AE" w:rsidP="00660FC7">
      <w:pPr>
        <w:tabs>
          <w:tab w:val="clear" w:pos="284"/>
        </w:tabs>
        <w:autoSpaceDE w:val="0"/>
        <w:autoSpaceDN w:val="0"/>
        <w:adjustRightInd w:val="0"/>
        <w:rPr>
          <w:noProof/>
          <w:szCs w:val="22"/>
          <w:lang w:val="sr-Latn-BA"/>
        </w:rPr>
      </w:pPr>
      <w:r w:rsidRPr="008246AE">
        <w:rPr>
          <w:noProof/>
          <w:szCs w:val="22"/>
        </w:rPr>
        <w:drawing>
          <wp:inline distT="0" distB="0" distL="0" distR="0" wp14:anchorId="2EA18097" wp14:editId="68512788">
            <wp:extent cx="5876925" cy="43287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1958" cy="4339828"/>
                    </a:xfrm>
                    <a:prstGeom prst="rect">
                      <a:avLst/>
                    </a:prstGeom>
                    <a:noFill/>
                    <a:ln>
                      <a:noFill/>
                    </a:ln>
                  </pic:spPr>
                </pic:pic>
              </a:graphicData>
            </a:graphic>
          </wp:inline>
        </w:drawing>
      </w:r>
    </w:p>
    <w:p w14:paraId="1E32F621" w14:textId="0B81F294" w:rsidR="004A7E03" w:rsidRPr="0051150C" w:rsidRDefault="00B437DC" w:rsidP="009173F4">
      <w:pPr>
        <w:rPr>
          <w:noProof/>
          <w:szCs w:val="22"/>
          <w:lang w:val="sr-Latn-BA"/>
        </w:rPr>
      </w:pPr>
      <w:r w:rsidRPr="0051150C">
        <w:rPr>
          <w:noProof/>
          <w:szCs w:val="22"/>
          <w:lang w:val="sr-Latn-BA"/>
        </w:rPr>
        <w:lastRenderedPageBreak/>
        <w:t>AA = Abirateron acetat</w:t>
      </w:r>
    </w:p>
    <w:p w14:paraId="6D110E87" w14:textId="67464108" w:rsidR="00B437DC" w:rsidRPr="0051150C" w:rsidRDefault="00B437DC" w:rsidP="00B437DC">
      <w:pPr>
        <w:tabs>
          <w:tab w:val="clear" w:pos="284"/>
        </w:tabs>
        <w:autoSpaceDE w:val="0"/>
        <w:autoSpaceDN w:val="0"/>
        <w:adjustRightInd w:val="0"/>
        <w:rPr>
          <w:noProof/>
          <w:szCs w:val="22"/>
          <w:lang w:val="sr-Latn-BA"/>
        </w:rPr>
      </w:pPr>
      <w:r w:rsidRPr="0051150C">
        <w:rPr>
          <w:noProof/>
          <w:szCs w:val="22"/>
          <w:lang w:val="sr-Latn-BA"/>
        </w:rPr>
        <w:t>Pored uočenih poboljšanja u ukupnom preživljavanj</w:t>
      </w:r>
      <w:r w:rsidR="0021331C" w:rsidRPr="0051150C">
        <w:rPr>
          <w:noProof/>
          <w:szCs w:val="22"/>
          <w:lang w:val="sr-Latn-BA"/>
        </w:rPr>
        <w:t xml:space="preserve">u i rPFS, korist terapije abirateron acetatom </w:t>
      </w:r>
      <w:r w:rsidRPr="0051150C">
        <w:rPr>
          <w:noProof/>
          <w:szCs w:val="22"/>
          <w:lang w:val="sr-Latn-BA"/>
        </w:rPr>
        <w:t>u odnosu na placebo je pokazana u svim sekundar</w:t>
      </w:r>
      <w:r w:rsidR="00244DA6" w:rsidRPr="0051150C">
        <w:rPr>
          <w:noProof/>
          <w:szCs w:val="22"/>
          <w:lang w:val="sr-Latn-BA"/>
        </w:rPr>
        <w:t>nim parametrima praćenja ishoda</w:t>
      </w:r>
      <w:r w:rsidRPr="0051150C">
        <w:rPr>
          <w:noProof/>
          <w:szCs w:val="22"/>
          <w:lang w:val="sr-Latn-BA"/>
        </w:rPr>
        <w:t xml:space="preserve">: </w:t>
      </w:r>
    </w:p>
    <w:p w14:paraId="2295A6F5" w14:textId="77777777" w:rsidR="00B437DC" w:rsidRPr="0051150C" w:rsidRDefault="00B437DC" w:rsidP="00B437DC">
      <w:pPr>
        <w:tabs>
          <w:tab w:val="clear" w:pos="284"/>
        </w:tabs>
        <w:autoSpaceDE w:val="0"/>
        <w:autoSpaceDN w:val="0"/>
        <w:adjustRightInd w:val="0"/>
        <w:rPr>
          <w:noProof/>
          <w:szCs w:val="22"/>
          <w:lang w:val="sr-Latn-BA"/>
        </w:rPr>
      </w:pPr>
    </w:p>
    <w:p w14:paraId="1562C46D" w14:textId="6F23041B" w:rsidR="00B437DC" w:rsidRPr="0051150C" w:rsidRDefault="00B437DC" w:rsidP="00B35C3C">
      <w:pPr>
        <w:pStyle w:val="ListParagraph"/>
        <w:numPr>
          <w:ilvl w:val="0"/>
          <w:numId w:val="7"/>
        </w:numPr>
        <w:tabs>
          <w:tab w:val="clear" w:pos="284"/>
        </w:tabs>
        <w:autoSpaceDE w:val="0"/>
        <w:autoSpaceDN w:val="0"/>
        <w:adjustRightInd w:val="0"/>
        <w:rPr>
          <w:noProof/>
          <w:szCs w:val="22"/>
          <w:lang w:val="sr-Latn-BA"/>
        </w:rPr>
      </w:pPr>
      <w:r w:rsidRPr="0051150C">
        <w:rPr>
          <w:i/>
          <w:noProof/>
          <w:szCs w:val="22"/>
          <w:lang w:val="sr-Latn-BA"/>
        </w:rPr>
        <w:t>Vr</w:t>
      </w:r>
      <w:r w:rsidR="004A18EE" w:rsidRPr="0051150C">
        <w:rPr>
          <w:i/>
          <w:noProof/>
          <w:szCs w:val="22"/>
          <w:lang w:val="sr-Latn-BA"/>
        </w:rPr>
        <w:t>ij</w:t>
      </w:r>
      <w:r w:rsidRPr="0051150C">
        <w:rPr>
          <w:i/>
          <w:noProof/>
          <w:szCs w:val="22"/>
          <w:lang w:val="sr-Latn-BA"/>
        </w:rPr>
        <w:t xml:space="preserve">eme do progresije </w:t>
      </w:r>
      <w:r w:rsidR="00096FAA" w:rsidRPr="0051150C">
        <w:rPr>
          <w:i/>
          <w:noProof/>
          <w:szCs w:val="22"/>
          <w:lang w:val="sr-Latn-BA"/>
        </w:rPr>
        <w:t>vrijednost</w:t>
      </w:r>
      <w:r w:rsidRPr="0051150C">
        <w:rPr>
          <w:i/>
          <w:noProof/>
          <w:szCs w:val="22"/>
          <w:lang w:val="sr-Latn-BA"/>
        </w:rPr>
        <w:t>i PSA zasnovano na kriterijumima PCWG2</w:t>
      </w:r>
      <w:r w:rsidRPr="0051150C">
        <w:rPr>
          <w:noProof/>
          <w:szCs w:val="22"/>
          <w:lang w:val="sr-Latn-BA"/>
        </w:rPr>
        <w:t xml:space="preserve">: </w:t>
      </w:r>
      <w:r w:rsidR="00D23C1D" w:rsidRPr="0051150C">
        <w:rPr>
          <w:noProof/>
          <w:szCs w:val="22"/>
          <w:lang w:val="sr-Latn-BA"/>
        </w:rPr>
        <w:t>Medijana vremena do</w:t>
      </w:r>
      <w:r w:rsidRPr="0051150C">
        <w:rPr>
          <w:noProof/>
          <w:szCs w:val="22"/>
          <w:lang w:val="sr-Latn-BA"/>
        </w:rPr>
        <w:t xml:space="preserve"> prog</w:t>
      </w:r>
      <w:r w:rsidR="00244DA6" w:rsidRPr="0051150C">
        <w:rPr>
          <w:noProof/>
          <w:szCs w:val="22"/>
          <w:lang w:val="sr-Latn-BA"/>
        </w:rPr>
        <w:t xml:space="preserve">resije </w:t>
      </w:r>
      <w:r w:rsidR="00096FAA" w:rsidRPr="0051150C">
        <w:rPr>
          <w:noProof/>
          <w:szCs w:val="22"/>
          <w:lang w:val="sr-Latn-BA"/>
        </w:rPr>
        <w:t>vrijednost</w:t>
      </w:r>
      <w:r w:rsidR="00244DA6" w:rsidRPr="0051150C">
        <w:rPr>
          <w:noProof/>
          <w:szCs w:val="22"/>
          <w:lang w:val="sr-Latn-BA"/>
        </w:rPr>
        <w:t>i PSA je bila 11</w:t>
      </w:r>
      <w:r w:rsidR="00416533">
        <w:rPr>
          <w:noProof/>
          <w:szCs w:val="22"/>
          <w:lang w:val="sr-Latn-BA"/>
        </w:rPr>
        <w:t>,</w:t>
      </w:r>
      <w:r w:rsidRPr="0051150C">
        <w:rPr>
          <w:noProof/>
          <w:szCs w:val="22"/>
          <w:lang w:val="sr-Latn-BA"/>
        </w:rPr>
        <w:t xml:space="preserve">1 </w:t>
      </w:r>
      <w:r w:rsidR="00834D3E" w:rsidRPr="0051150C">
        <w:rPr>
          <w:noProof/>
          <w:szCs w:val="22"/>
          <w:lang w:val="sr-Latn-BA"/>
        </w:rPr>
        <w:t>mjesec</w:t>
      </w:r>
      <w:r w:rsidRPr="0051150C">
        <w:rPr>
          <w:noProof/>
          <w:szCs w:val="22"/>
          <w:lang w:val="sr-Latn-BA"/>
        </w:rPr>
        <w:t xml:space="preserve"> za pacijente koji su uzimali </w:t>
      </w:r>
      <w:r w:rsidR="0021331C" w:rsidRPr="0051150C">
        <w:rPr>
          <w:noProof/>
          <w:szCs w:val="22"/>
          <w:lang w:val="sr-Latn-BA"/>
        </w:rPr>
        <w:t>abirateron acetat</w:t>
      </w:r>
      <w:r w:rsidR="005060C3">
        <w:rPr>
          <w:noProof/>
          <w:szCs w:val="22"/>
          <w:lang w:val="sr-Latn-BA"/>
        </w:rPr>
        <w:t>,</w:t>
      </w:r>
      <w:r w:rsidR="0021331C" w:rsidRPr="0051150C">
        <w:rPr>
          <w:noProof/>
          <w:szCs w:val="22"/>
          <w:lang w:val="sr-Latn-BA"/>
        </w:rPr>
        <w:t xml:space="preserve"> </w:t>
      </w:r>
      <w:r w:rsidR="00244DA6" w:rsidRPr="0051150C">
        <w:rPr>
          <w:noProof/>
          <w:szCs w:val="22"/>
          <w:lang w:val="sr-Latn-BA"/>
        </w:rPr>
        <w:t>i 5</w:t>
      </w:r>
      <w:r w:rsidR="005060C3">
        <w:rPr>
          <w:noProof/>
          <w:szCs w:val="22"/>
          <w:lang w:val="sr-Latn-BA"/>
        </w:rPr>
        <w:t>,</w:t>
      </w:r>
      <w:r w:rsidRPr="0051150C">
        <w:rPr>
          <w:noProof/>
          <w:szCs w:val="22"/>
          <w:lang w:val="sr-Latn-BA"/>
        </w:rPr>
        <w:t xml:space="preserve">6 </w:t>
      </w:r>
      <w:r w:rsidR="00834D3E" w:rsidRPr="0051150C">
        <w:rPr>
          <w:noProof/>
          <w:szCs w:val="22"/>
          <w:lang w:val="sr-Latn-BA"/>
        </w:rPr>
        <w:t>mjesec</w:t>
      </w:r>
      <w:r w:rsidRPr="0051150C">
        <w:rPr>
          <w:noProof/>
          <w:szCs w:val="22"/>
          <w:lang w:val="sr-Latn-BA"/>
        </w:rPr>
        <w:t>i za pacijente</w:t>
      </w:r>
      <w:r w:rsidR="00244DA6" w:rsidRPr="0051150C">
        <w:rPr>
          <w:noProof/>
          <w:szCs w:val="22"/>
          <w:lang w:val="sr-Latn-BA"/>
        </w:rPr>
        <w:t xml:space="preserve"> koji su dobijali placebo (HR=0</w:t>
      </w:r>
      <w:r w:rsidR="005060C3">
        <w:rPr>
          <w:noProof/>
          <w:szCs w:val="22"/>
          <w:lang w:val="sr-Latn-BA"/>
        </w:rPr>
        <w:t>,</w:t>
      </w:r>
      <w:r w:rsidRPr="0051150C">
        <w:rPr>
          <w:noProof/>
          <w:szCs w:val="22"/>
          <w:lang w:val="sr-Latn-BA"/>
        </w:rPr>
        <w:t>488</w:t>
      </w:r>
      <w:r w:rsidR="00244DA6" w:rsidRPr="0051150C">
        <w:rPr>
          <w:noProof/>
          <w:szCs w:val="22"/>
          <w:lang w:val="sr-Latn-BA"/>
        </w:rPr>
        <w:t>; 95% CI: [0</w:t>
      </w:r>
      <w:r w:rsidR="005060C3">
        <w:rPr>
          <w:noProof/>
          <w:szCs w:val="22"/>
          <w:lang w:val="sr-Latn-BA"/>
        </w:rPr>
        <w:t>,</w:t>
      </w:r>
      <w:r w:rsidR="00244DA6" w:rsidRPr="0051150C">
        <w:rPr>
          <w:noProof/>
          <w:szCs w:val="22"/>
          <w:lang w:val="sr-Latn-BA"/>
        </w:rPr>
        <w:t>420; 0</w:t>
      </w:r>
      <w:r w:rsidR="005060C3">
        <w:rPr>
          <w:noProof/>
          <w:szCs w:val="22"/>
          <w:lang w:val="sr-Latn-BA"/>
        </w:rPr>
        <w:t>,</w:t>
      </w:r>
      <w:r w:rsidR="00244DA6" w:rsidRPr="0051150C">
        <w:rPr>
          <w:noProof/>
          <w:szCs w:val="22"/>
          <w:lang w:val="sr-Latn-BA"/>
        </w:rPr>
        <w:t>568], p &lt; 0</w:t>
      </w:r>
      <w:r w:rsidR="005060C3">
        <w:rPr>
          <w:noProof/>
          <w:szCs w:val="22"/>
          <w:lang w:val="sr-Latn-BA"/>
        </w:rPr>
        <w:t>,</w:t>
      </w:r>
      <w:r w:rsidRPr="0051150C">
        <w:rPr>
          <w:noProof/>
          <w:szCs w:val="22"/>
          <w:lang w:val="sr-Latn-BA"/>
        </w:rPr>
        <w:t>0001). Vr</w:t>
      </w:r>
      <w:r w:rsidR="004A18EE" w:rsidRPr="0051150C">
        <w:rPr>
          <w:noProof/>
          <w:szCs w:val="22"/>
          <w:lang w:val="sr-Latn-BA"/>
        </w:rPr>
        <w:t>ij</w:t>
      </w:r>
      <w:r w:rsidRPr="0051150C">
        <w:rPr>
          <w:noProof/>
          <w:szCs w:val="22"/>
          <w:lang w:val="sr-Latn-BA"/>
        </w:rPr>
        <w:t xml:space="preserve">eme do progresije </w:t>
      </w:r>
      <w:r w:rsidR="00096FAA" w:rsidRPr="0051150C">
        <w:rPr>
          <w:noProof/>
          <w:szCs w:val="22"/>
          <w:lang w:val="sr-Latn-BA"/>
        </w:rPr>
        <w:t>vrijednost</w:t>
      </w:r>
      <w:r w:rsidRPr="0051150C">
        <w:rPr>
          <w:noProof/>
          <w:szCs w:val="22"/>
          <w:lang w:val="sr-Latn-BA"/>
        </w:rPr>
        <w:t xml:space="preserve">i PSA je bilo približno </w:t>
      </w:r>
      <w:r w:rsidR="0021331C" w:rsidRPr="0051150C">
        <w:rPr>
          <w:noProof/>
          <w:szCs w:val="22"/>
          <w:lang w:val="sr-Latn-BA"/>
        </w:rPr>
        <w:t>udvostručeno sa terapijom abirateron acetatom</w:t>
      </w:r>
      <w:r w:rsidR="00244DA6" w:rsidRPr="0051150C">
        <w:rPr>
          <w:noProof/>
          <w:szCs w:val="22"/>
          <w:lang w:val="sr-Latn-BA"/>
        </w:rPr>
        <w:t xml:space="preserve"> (HR=0</w:t>
      </w:r>
      <w:r w:rsidR="005060C3">
        <w:rPr>
          <w:noProof/>
          <w:szCs w:val="22"/>
          <w:lang w:val="sr-Latn-BA"/>
        </w:rPr>
        <w:t>,</w:t>
      </w:r>
      <w:r w:rsidRPr="0051150C">
        <w:rPr>
          <w:noProof/>
          <w:szCs w:val="22"/>
          <w:lang w:val="sr-Latn-BA"/>
        </w:rPr>
        <w:t>488). Ud</w:t>
      </w:r>
      <w:r w:rsidR="004A18EE" w:rsidRPr="0051150C">
        <w:rPr>
          <w:noProof/>
          <w:szCs w:val="22"/>
          <w:lang w:val="sr-Latn-BA"/>
        </w:rPr>
        <w:t>i</w:t>
      </w:r>
      <w:r w:rsidRPr="0051150C">
        <w:rPr>
          <w:noProof/>
          <w:szCs w:val="22"/>
          <w:lang w:val="sr-Latn-BA"/>
        </w:rPr>
        <w:t xml:space="preserve">o ispitanika sa potvrđenim PSA odgovorom je bio veći u grupi koja je uzimala </w:t>
      </w:r>
      <w:r w:rsidR="00096FAA" w:rsidRPr="0051150C">
        <w:rPr>
          <w:noProof/>
          <w:szCs w:val="22"/>
          <w:lang w:val="sr-Latn-BA"/>
        </w:rPr>
        <w:t>lijek</w:t>
      </w:r>
      <w:r w:rsidRPr="0051150C">
        <w:rPr>
          <w:noProof/>
          <w:szCs w:val="22"/>
          <w:lang w:val="sr-Latn-BA"/>
        </w:rPr>
        <w:t xml:space="preserve"> </w:t>
      </w:r>
      <w:r w:rsidR="00ED7524" w:rsidRPr="0051150C">
        <w:rPr>
          <w:noProof/>
          <w:szCs w:val="22"/>
          <w:lang w:val="sr-Latn-BA"/>
        </w:rPr>
        <w:t>abirateron acetat</w:t>
      </w:r>
      <w:r w:rsidRPr="0051150C">
        <w:rPr>
          <w:noProof/>
          <w:szCs w:val="22"/>
          <w:lang w:val="sr-Latn-BA"/>
        </w:rPr>
        <w:t xml:space="preserve"> nego u grupi koja je dobij</w:t>
      </w:r>
      <w:r w:rsidR="00244DA6" w:rsidRPr="0051150C">
        <w:rPr>
          <w:noProof/>
          <w:szCs w:val="22"/>
          <w:lang w:val="sr-Latn-BA"/>
        </w:rPr>
        <w:t>ala placebo (62% prema 24%; p&lt;0</w:t>
      </w:r>
      <w:r w:rsidR="005060C3">
        <w:rPr>
          <w:noProof/>
          <w:szCs w:val="22"/>
          <w:lang w:val="sr-Latn-BA"/>
        </w:rPr>
        <w:t>,</w:t>
      </w:r>
      <w:r w:rsidRPr="0051150C">
        <w:rPr>
          <w:noProof/>
          <w:szCs w:val="22"/>
          <w:lang w:val="sr-Latn-BA"/>
        </w:rPr>
        <w:t>0001). Od ispitanika sa m</w:t>
      </w:r>
      <w:r w:rsidR="004A18EE" w:rsidRPr="0051150C">
        <w:rPr>
          <w:noProof/>
          <w:szCs w:val="22"/>
          <w:lang w:val="sr-Latn-BA"/>
        </w:rPr>
        <w:t>j</w:t>
      </w:r>
      <w:r w:rsidRPr="0051150C">
        <w:rPr>
          <w:noProof/>
          <w:szCs w:val="22"/>
          <w:lang w:val="sr-Latn-BA"/>
        </w:rPr>
        <w:t xml:space="preserve">erljivim oboljenjem mekog tkiva koji su uzimali </w:t>
      </w:r>
      <w:r w:rsidR="00ED7524" w:rsidRPr="0051150C">
        <w:rPr>
          <w:noProof/>
          <w:szCs w:val="22"/>
          <w:lang w:val="sr-Latn-BA"/>
        </w:rPr>
        <w:t>abirateron acetat</w:t>
      </w:r>
      <w:r w:rsidRPr="0051150C">
        <w:rPr>
          <w:noProof/>
          <w:szCs w:val="22"/>
          <w:lang w:val="sr-Latn-BA"/>
        </w:rPr>
        <w:t>, značajno je povećan broj potpunih ili d</w:t>
      </w:r>
      <w:r w:rsidR="004A18EE" w:rsidRPr="0051150C">
        <w:rPr>
          <w:noProof/>
          <w:szCs w:val="22"/>
          <w:lang w:val="sr-Latn-BA"/>
        </w:rPr>
        <w:t>j</w:t>
      </w:r>
      <w:r w:rsidRPr="0051150C">
        <w:rPr>
          <w:noProof/>
          <w:szCs w:val="22"/>
          <w:lang w:val="sr-Latn-BA"/>
        </w:rPr>
        <w:t>elimičnih tumorskih odgovora.</w:t>
      </w:r>
    </w:p>
    <w:p w14:paraId="4831DD08" w14:textId="77777777" w:rsidR="00B437DC" w:rsidRPr="0051150C" w:rsidRDefault="00B437DC" w:rsidP="00B437DC">
      <w:pPr>
        <w:tabs>
          <w:tab w:val="clear" w:pos="284"/>
        </w:tabs>
        <w:autoSpaceDE w:val="0"/>
        <w:autoSpaceDN w:val="0"/>
        <w:adjustRightInd w:val="0"/>
        <w:rPr>
          <w:noProof/>
          <w:szCs w:val="22"/>
          <w:lang w:val="sr-Latn-BA"/>
        </w:rPr>
      </w:pPr>
    </w:p>
    <w:p w14:paraId="6C35B18C" w14:textId="61147C1E" w:rsidR="00B437DC" w:rsidRPr="0051150C" w:rsidRDefault="00B437DC" w:rsidP="00B35C3C">
      <w:pPr>
        <w:pStyle w:val="ListParagraph"/>
        <w:numPr>
          <w:ilvl w:val="0"/>
          <w:numId w:val="7"/>
        </w:numPr>
        <w:tabs>
          <w:tab w:val="clear" w:pos="284"/>
        </w:tabs>
        <w:autoSpaceDE w:val="0"/>
        <w:autoSpaceDN w:val="0"/>
        <w:adjustRightInd w:val="0"/>
        <w:rPr>
          <w:noProof/>
          <w:szCs w:val="22"/>
          <w:lang w:val="sr-Latn-BA"/>
        </w:rPr>
      </w:pPr>
      <w:r w:rsidRPr="0051150C">
        <w:rPr>
          <w:i/>
          <w:noProof/>
          <w:szCs w:val="22"/>
          <w:lang w:val="sr-Latn-BA"/>
        </w:rPr>
        <w:t>Vr</w:t>
      </w:r>
      <w:r w:rsidR="004A18EE" w:rsidRPr="0051150C">
        <w:rPr>
          <w:i/>
          <w:noProof/>
          <w:szCs w:val="22"/>
          <w:lang w:val="sr-Latn-BA"/>
        </w:rPr>
        <w:t>ij</w:t>
      </w:r>
      <w:r w:rsidRPr="0051150C">
        <w:rPr>
          <w:i/>
          <w:noProof/>
          <w:szCs w:val="22"/>
          <w:lang w:val="sr-Latn-BA"/>
        </w:rPr>
        <w:t>eme do upotrebe opijata za</w:t>
      </w:r>
      <w:r w:rsidR="00244DA6" w:rsidRPr="0051150C">
        <w:rPr>
          <w:i/>
          <w:noProof/>
          <w:szCs w:val="22"/>
          <w:lang w:val="sr-Latn-BA"/>
        </w:rPr>
        <w:t xml:space="preserve"> </w:t>
      </w:r>
      <w:r w:rsidR="005060C3" w:rsidRPr="0051150C">
        <w:rPr>
          <w:i/>
          <w:noProof/>
          <w:szCs w:val="22"/>
          <w:lang w:val="sr-Latn-BA"/>
        </w:rPr>
        <w:t>ka</w:t>
      </w:r>
      <w:r w:rsidR="005060C3">
        <w:rPr>
          <w:i/>
          <w:noProof/>
          <w:szCs w:val="22"/>
          <w:lang w:val="sr-Latn-BA"/>
        </w:rPr>
        <w:t>rcinom</w:t>
      </w:r>
      <w:r w:rsidR="005060C3" w:rsidRPr="0051150C">
        <w:rPr>
          <w:i/>
          <w:noProof/>
          <w:szCs w:val="22"/>
          <w:lang w:val="sr-Latn-BA"/>
        </w:rPr>
        <w:t xml:space="preserve">ski </w:t>
      </w:r>
      <w:r w:rsidR="00244DA6" w:rsidRPr="0051150C">
        <w:rPr>
          <w:i/>
          <w:noProof/>
          <w:szCs w:val="22"/>
          <w:lang w:val="sr-Latn-BA"/>
        </w:rPr>
        <w:t>bol</w:t>
      </w:r>
      <w:r w:rsidR="00244DA6" w:rsidRPr="0051150C">
        <w:rPr>
          <w:noProof/>
          <w:szCs w:val="22"/>
          <w:lang w:val="sr-Latn-BA"/>
        </w:rPr>
        <w:t xml:space="preserve">: </w:t>
      </w:r>
      <w:r w:rsidR="00D23C1D" w:rsidRPr="0051150C">
        <w:rPr>
          <w:noProof/>
          <w:szCs w:val="22"/>
          <w:lang w:val="sr-Latn-BA"/>
        </w:rPr>
        <w:t>Medijana</w:t>
      </w:r>
      <w:r w:rsidR="00244DA6" w:rsidRPr="0051150C">
        <w:rPr>
          <w:noProof/>
          <w:szCs w:val="22"/>
          <w:lang w:val="sr-Latn-BA"/>
        </w:rPr>
        <w:t xml:space="preserve"> vreme</w:t>
      </w:r>
      <w:r w:rsidR="00D23C1D" w:rsidRPr="0051150C">
        <w:rPr>
          <w:noProof/>
          <w:szCs w:val="22"/>
          <w:lang w:val="sr-Latn-BA"/>
        </w:rPr>
        <w:t>na</w:t>
      </w:r>
      <w:r w:rsidRPr="0051150C">
        <w:rPr>
          <w:noProof/>
          <w:szCs w:val="22"/>
          <w:lang w:val="sr-Latn-BA"/>
        </w:rPr>
        <w:t xml:space="preserve"> do upotrebe opijata za bol</w:t>
      </w:r>
      <w:r w:rsidR="00244DA6" w:rsidRPr="0051150C">
        <w:rPr>
          <w:noProof/>
          <w:szCs w:val="22"/>
          <w:lang w:val="sr-Latn-BA"/>
        </w:rPr>
        <w:t xml:space="preserve"> usl</w:t>
      </w:r>
      <w:r w:rsidR="004A18EE" w:rsidRPr="0051150C">
        <w:rPr>
          <w:noProof/>
          <w:szCs w:val="22"/>
          <w:lang w:val="sr-Latn-BA"/>
        </w:rPr>
        <w:t>j</w:t>
      </w:r>
      <w:r w:rsidR="00244DA6" w:rsidRPr="0051150C">
        <w:rPr>
          <w:noProof/>
          <w:szCs w:val="22"/>
          <w:lang w:val="sr-Latn-BA"/>
        </w:rPr>
        <w:t>ed</w:t>
      </w:r>
      <w:r w:rsidRPr="0051150C">
        <w:rPr>
          <w:noProof/>
          <w:szCs w:val="22"/>
          <w:lang w:val="sr-Latn-BA"/>
        </w:rPr>
        <w:t xml:space="preserve"> </w:t>
      </w:r>
      <w:r w:rsidR="00ED7524" w:rsidRPr="0051150C">
        <w:rPr>
          <w:noProof/>
          <w:szCs w:val="22"/>
          <w:lang w:val="sr-Latn-BA"/>
        </w:rPr>
        <w:t>karcinoma</w:t>
      </w:r>
      <w:r w:rsidRPr="0051150C">
        <w:rPr>
          <w:noProof/>
          <w:szCs w:val="22"/>
          <w:lang w:val="sr-Latn-BA"/>
        </w:rPr>
        <w:t xml:space="preserve"> prostate, u vr</w:t>
      </w:r>
      <w:r w:rsidR="004A18EE" w:rsidRPr="0051150C">
        <w:rPr>
          <w:noProof/>
          <w:szCs w:val="22"/>
          <w:lang w:val="sr-Latn-BA"/>
        </w:rPr>
        <w:t>ij</w:t>
      </w:r>
      <w:r w:rsidRPr="0051150C">
        <w:rPr>
          <w:noProof/>
          <w:szCs w:val="22"/>
          <w:lang w:val="sr-Latn-BA"/>
        </w:rPr>
        <w:t xml:space="preserve">eme završne analize, </w:t>
      </w:r>
      <w:r w:rsidR="005060C3" w:rsidRPr="0051150C">
        <w:rPr>
          <w:noProof/>
          <w:szCs w:val="22"/>
          <w:lang w:val="sr-Latn-BA"/>
        </w:rPr>
        <w:t>bil</w:t>
      </w:r>
      <w:r w:rsidR="005060C3">
        <w:rPr>
          <w:noProof/>
          <w:szCs w:val="22"/>
          <w:lang w:val="sr-Latn-BA"/>
        </w:rPr>
        <w:t>a</w:t>
      </w:r>
      <w:r w:rsidR="005060C3" w:rsidRPr="0051150C">
        <w:rPr>
          <w:noProof/>
          <w:szCs w:val="22"/>
          <w:lang w:val="sr-Latn-BA"/>
        </w:rPr>
        <w:t xml:space="preserve"> </w:t>
      </w:r>
      <w:r w:rsidRPr="0051150C">
        <w:rPr>
          <w:noProof/>
          <w:szCs w:val="22"/>
          <w:lang w:val="sr-Latn-BA"/>
        </w:rPr>
        <w:t xml:space="preserve">je 33,4 </w:t>
      </w:r>
      <w:r w:rsidR="00834D3E" w:rsidRPr="0051150C">
        <w:rPr>
          <w:noProof/>
          <w:szCs w:val="22"/>
          <w:lang w:val="sr-Latn-BA"/>
        </w:rPr>
        <w:t>mjesec</w:t>
      </w:r>
      <w:r w:rsidRPr="0051150C">
        <w:rPr>
          <w:noProof/>
          <w:szCs w:val="22"/>
          <w:lang w:val="sr-Latn-BA"/>
        </w:rPr>
        <w:t>a z</w:t>
      </w:r>
      <w:r w:rsidR="00ED7524" w:rsidRPr="0051150C">
        <w:rPr>
          <w:noProof/>
          <w:szCs w:val="22"/>
          <w:lang w:val="sr-Latn-BA"/>
        </w:rPr>
        <w:t>a pacijente koji su uzimali abirateron acetat</w:t>
      </w:r>
      <w:r w:rsidR="005060C3">
        <w:rPr>
          <w:noProof/>
          <w:szCs w:val="22"/>
          <w:lang w:val="sr-Latn-BA"/>
        </w:rPr>
        <w:t>,</w:t>
      </w:r>
      <w:r w:rsidR="00ED7524" w:rsidRPr="0051150C">
        <w:rPr>
          <w:noProof/>
          <w:szCs w:val="22"/>
          <w:lang w:val="sr-Latn-BA"/>
        </w:rPr>
        <w:t xml:space="preserve"> </w:t>
      </w:r>
      <w:r w:rsidRPr="0051150C">
        <w:rPr>
          <w:noProof/>
          <w:szCs w:val="22"/>
          <w:lang w:val="sr-Latn-BA"/>
        </w:rPr>
        <w:t>dok je u grupi koja je dobijala plac</w:t>
      </w:r>
      <w:r w:rsidR="00244DA6" w:rsidRPr="0051150C">
        <w:rPr>
          <w:noProof/>
          <w:szCs w:val="22"/>
          <w:lang w:val="sr-Latn-BA"/>
        </w:rPr>
        <w:t xml:space="preserve">ebo bilo 23,4 </w:t>
      </w:r>
      <w:r w:rsidR="00834D3E" w:rsidRPr="0051150C">
        <w:rPr>
          <w:noProof/>
          <w:szCs w:val="22"/>
          <w:lang w:val="sr-Latn-BA"/>
        </w:rPr>
        <w:t>mjesec</w:t>
      </w:r>
      <w:r w:rsidR="00244DA6" w:rsidRPr="0051150C">
        <w:rPr>
          <w:noProof/>
          <w:szCs w:val="22"/>
          <w:lang w:val="sr-Latn-BA"/>
        </w:rPr>
        <w:t>a (HR=0</w:t>
      </w:r>
      <w:r w:rsidR="005060C3">
        <w:rPr>
          <w:noProof/>
          <w:szCs w:val="22"/>
          <w:lang w:val="sr-Latn-BA"/>
        </w:rPr>
        <w:t>,</w:t>
      </w:r>
      <w:r w:rsidR="00244DA6" w:rsidRPr="0051150C">
        <w:rPr>
          <w:noProof/>
          <w:szCs w:val="22"/>
          <w:lang w:val="sr-Latn-BA"/>
        </w:rPr>
        <w:t>721; 95% CI: [0</w:t>
      </w:r>
      <w:r w:rsidR="005060C3">
        <w:rPr>
          <w:noProof/>
          <w:szCs w:val="22"/>
          <w:lang w:val="sr-Latn-BA"/>
        </w:rPr>
        <w:t>,</w:t>
      </w:r>
      <w:r w:rsidR="00244DA6" w:rsidRPr="0051150C">
        <w:rPr>
          <w:noProof/>
          <w:szCs w:val="22"/>
          <w:lang w:val="sr-Latn-BA"/>
        </w:rPr>
        <w:t>614; 0</w:t>
      </w:r>
      <w:r w:rsidR="005060C3">
        <w:rPr>
          <w:noProof/>
          <w:szCs w:val="22"/>
          <w:lang w:val="sr-Latn-BA"/>
        </w:rPr>
        <w:t>,</w:t>
      </w:r>
      <w:r w:rsidR="00244DA6" w:rsidRPr="0051150C">
        <w:rPr>
          <w:noProof/>
          <w:szCs w:val="22"/>
          <w:lang w:val="sr-Latn-BA"/>
        </w:rPr>
        <w:t>846], p&lt;0</w:t>
      </w:r>
      <w:r w:rsidR="005060C3">
        <w:rPr>
          <w:noProof/>
          <w:szCs w:val="22"/>
          <w:lang w:val="sr-Latn-BA"/>
        </w:rPr>
        <w:t>,</w:t>
      </w:r>
      <w:r w:rsidRPr="0051150C">
        <w:rPr>
          <w:noProof/>
          <w:szCs w:val="22"/>
          <w:lang w:val="sr-Latn-BA"/>
        </w:rPr>
        <w:t xml:space="preserve">0001). </w:t>
      </w:r>
    </w:p>
    <w:p w14:paraId="75E2E5E8" w14:textId="77777777" w:rsidR="00B437DC" w:rsidRPr="0051150C" w:rsidRDefault="00B437DC" w:rsidP="00B437DC">
      <w:pPr>
        <w:tabs>
          <w:tab w:val="clear" w:pos="284"/>
        </w:tabs>
        <w:autoSpaceDE w:val="0"/>
        <w:autoSpaceDN w:val="0"/>
        <w:adjustRightInd w:val="0"/>
        <w:rPr>
          <w:noProof/>
          <w:szCs w:val="22"/>
          <w:lang w:val="sr-Latn-BA"/>
        </w:rPr>
      </w:pPr>
    </w:p>
    <w:p w14:paraId="23B4DD22" w14:textId="15B13039" w:rsidR="00B437DC" w:rsidRPr="0051150C" w:rsidRDefault="00B437DC" w:rsidP="00B35C3C">
      <w:pPr>
        <w:pStyle w:val="ListParagraph"/>
        <w:numPr>
          <w:ilvl w:val="0"/>
          <w:numId w:val="7"/>
        </w:numPr>
        <w:tabs>
          <w:tab w:val="clear" w:pos="284"/>
        </w:tabs>
        <w:autoSpaceDE w:val="0"/>
        <w:autoSpaceDN w:val="0"/>
        <w:adjustRightInd w:val="0"/>
        <w:rPr>
          <w:noProof/>
          <w:szCs w:val="22"/>
          <w:lang w:val="sr-Latn-BA"/>
        </w:rPr>
      </w:pPr>
      <w:r w:rsidRPr="0051150C">
        <w:rPr>
          <w:i/>
          <w:noProof/>
          <w:szCs w:val="22"/>
          <w:lang w:val="sr-Latn-BA"/>
        </w:rPr>
        <w:t>Vr</w:t>
      </w:r>
      <w:r w:rsidR="004A18EE" w:rsidRPr="0051150C">
        <w:rPr>
          <w:i/>
          <w:noProof/>
          <w:szCs w:val="22"/>
          <w:lang w:val="sr-Latn-BA"/>
        </w:rPr>
        <w:t>ij</w:t>
      </w:r>
      <w:r w:rsidRPr="0051150C">
        <w:rPr>
          <w:i/>
          <w:noProof/>
          <w:szCs w:val="22"/>
          <w:lang w:val="sr-Latn-BA"/>
        </w:rPr>
        <w:t>eme do započinjanja citotoksične hemioterapije</w:t>
      </w:r>
      <w:r w:rsidRPr="0051150C">
        <w:rPr>
          <w:noProof/>
          <w:szCs w:val="22"/>
          <w:lang w:val="sr-Latn-BA"/>
        </w:rPr>
        <w:t xml:space="preserve">: </w:t>
      </w:r>
      <w:r w:rsidR="00D23C1D" w:rsidRPr="0051150C">
        <w:rPr>
          <w:noProof/>
          <w:szCs w:val="22"/>
          <w:lang w:val="sr-Latn-BA"/>
        </w:rPr>
        <w:t xml:space="preserve">Medijana vremena </w:t>
      </w:r>
      <w:r w:rsidRPr="0051150C">
        <w:rPr>
          <w:noProof/>
          <w:szCs w:val="22"/>
          <w:lang w:val="sr-Latn-BA"/>
        </w:rPr>
        <w:t xml:space="preserve">do započinjanja citotoksične hemioterapije je </w:t>
      </w:r>
      <w:r w:rsidR="005060C3" w:rsidRPr="0051150C">
        <w:rPr>
          <w:noProof/>
          <w:szCs w:val="22"/>
          <w:lang w:val="sr-Latn-BA"/>
        </w:rPr>
        <w:t>bil</w:t>
      </w:r>
      <w:r w:rsidR="005060C3">
        <w:rPr>
          <w:noProof/>
          <w:szCs w:val="22"/>
          <w:lang w:val="sr-Latn-BA"/>
        </w:rPr>
        <w:t>a</w:t>
      </w:r>
      <w:r w:rsidR="005060C3" w:rsidRPr="0051150C">
        <w:rPr>
          <w:noProof/>
          <w:szCs w:val="22"/>
          <w:lang w:val="sr-Latn-BA"/>
        </w:rPr>
        <w:t xml:space="preserve"> </w:t>
      </w:r>
      <w:r w:rsidR="00244DA6" w:rsidRPr="0051150C">
        <w:rPr>
          <w:noProof/>
          <w:szCs w:val="22"/>
          <w:lang w:val="sr-Latn-BA"/>
        </w:rPr>
        <w:t>25</w:t>
      </w:r>
      <w:r w:rsidR="005060C3">
        <w:rPr>
          <w:noProof/>
          <w:szCs w:val="22"/>
          <w:lang w:val="sr-Latn-BA"/>
        </w:rPr>
        <w:t>,</w:t>
      </w:r>
      <w:r w:rsidRPr="0051150C">
        <w:rPr>
          <w:noProof/>
          <w:szCs w:val="22"/>
          <w:lang w:val="sr-Latn-BA"/>
        </w:rPr>
        <w:t xml:space="preserve">2 </w:t>
      </w:r>
      <w:r w:rsidR="00834D3E" w:rsidRPr="0051150C">
        <w:rPr>
          <w:noProof/>
          <w:szCs w:val="22"/>
          <w:lang w:val="sr-Latn-BA"/>
        </w:rPr>
        <w:t>mjesec</w:t>
      </w:r>
      <w:r w:rsidRPr="0051150C">
        <w:rPr>
          <w:noProof/>
          <w:szCs w:val="22"/>
          <w:lang w:val="sr-Latn-BA"/>
        </w:rPr>
        <w:t>a kod pa</w:t>
      </w:r>
      <w:r w:rsidR="00ED7524" w:rsidRPr="0051150C">
        <w:rPr>
          <w:noProof/>
          <w:szCs w:val="22"/>
          <w:lang w:val="sr-Latn-BA"/>
        </w:rPr>
        <w:t>cijenata koji su uzimali abirateron acetat</w:t>
      </w:r>
      <w:r w:rsidR="005060C3">
        <w:rPr>
          <w:noProof/>
          <w:szCs w:val="22"/>
          <w:lang w:val="sr-Latn-BA"/>
        </w:rPr>
        <w:t>,</w:t>
      </w:r>
      <w:r w:rsidR="00ED7524" w:rsidRPr="0051150C">
        <w:rPr>
          <w:noProof/>
          <w:szCs w:val="22"/>
          <w:lang w:val="sr-Latn-BA"/>
        </w:rPr>
        <w:t xml:space="preserve"> </w:t>
      </w:r>
      <w:r w:rsidRPr="0051150C">
        <w:rPr>
          <w:noProof/>
          <w:szCs w:val="22"/>
          <w:lang w:val="sr-Latn-BA"/>
        </w:rPr>
        <w:t>i 1</w:t>
      </w:r>
      <w:r w:rsidR="00244DA6" w:rsidRPr="0051150C">
        <w:rPr>
          <w:noProof/>
          <w:szCs w:val="22"/>
          <w:lang w:val="sr-Latn-BA"/>
        </w:rPr>
        <w:t>6</w:t>
      </w:r>
      <w:r w:rsidR="005060C3">
        <w:rPr>
          <w:noProof/>
          <w:szCs w:val="22"/>
          <w:lang w:val="sr-Latn-BA"/>
        </w:rPr>
        <w:t>,</w:t>
      </w:r>
      <w:r w:rsidRPr="0051150C">
        <w:rPr>
          <w:noProof/>
          <w:szCs w:val="22"/>
          <w:lang w:val="sr-Latn-BA"/>
        </w:rPr>
        <w:t xml:space="preserve">8 </w:t>
      </w:r>
      <w:r w:rsidR="00834D3E" w:rsidRPr="0051150C">
        <w:rPr>
          <w:noProof/>
          <w:szCs w:val="22"/>
          <w:lang w:val="sr-Latn-BA"/>
        </w:rPr>
        <w:t>mjesec</w:t>
      </w:r>
      <w:r w:rsidRPr="0051150C">
        <w:rPr>
          <w:noProof/>
          <w:szCs w:val="22"/>
          <w:lang w:val="sr-Latn-BA"/>
        </w:rPr>
        <w:t>i kod pacijenata koji su dobijali placebo (HR=0</w:t>
      </w:r>
      <w:r w:rsidR="005060C3">
        <w:rPr>
          <w:noProof/>
          <w:szCs w:val="22"/>
          <w:lang w:val="sr-Latn-BA"/>
        </w:rPr>
        <w:t>,</w:t>
      </w:r>
      <w:r w:rsidRPr="0051150C">
        <w:rPr>
          <w:noProof/>
          <w:szCs w:val="22"/>
          <w:lang w:val="sr-Latn-BA"/>
        </w:rPr>
        <w:t>580</w:t>
      </w:r>
      <w:r w:rsidR="00244DA6" w:rsidRPr="0051150C">
        <w:rPr>
          <w:noProof/>
          <w:szCs w:val="22"/>
          <w:lang w:val="sr-Latn-BA"/>
        </w:rPr>
        <w:t>; 95% CI: [0</w:t>
      </w:r>
      <w:r w:rsidR="005060C3">
        <w:rPr>
          <w:noProof/>
          <w:szCs w:val="22"/>
          <w:lang w:val="sr-Latn-BA"/>
        </w:rPr>
        <w:t>,</w:t>
      </w:r>
      <w:r w:rsidR="00244DA6" w:rsidRPr="0051150C">
        <w:rPr>
          <w:noProof/>
          <w:szCs w:val="22"/>
          <w:lang w:val="sr-Latn-BA"/>
        </w:rPr>
        <w:t>487; 0</w:t>
      </w:r>
      <w:r w:rsidR="005060C3">
        <w:rPr>
          <w:noProof/>
          <w:szCs w:val="22"/>
          <w:lang w:val="sr-Latn-BA"/>
        </w:rPr>
        <w:t>,</w:t>
      </w:r>
      <w:r w:rsidR="00244DA6" w:rsidRPr="0051150C">
        <w:rPr>
          <w:noProof/>
          <w:szCs w:val="22"/>
          <w:lang w:val="sr-Latn-BA"/>
        </w:rPr>
        <w:t>691], p &lt; 0</w:t>
      </w:r>
      <w:r w:rsidR="005060C3">
        <w:rPr>
          <w:noProof/>
          <w:szCs w:val="22"/>
          <w:lang w:val="sr-Latn-BA"/>
        </w:rPr>
        <w:t>,</w:t>
      </w:r>
      <w:r w:rsidRPr="0051150C">
        <w:rPr>
          <w:noProof/>
          <w:szCs w:val="22"/>
          <w:lang w:val="sr-Latn-BA"/>
        </w:rPr>
        <w:t xml:space="preserve">0001). </w:t>
      </w:r>
    </w:p>
    <w:p w14:paraId="0EB7A9DD" w14:textId="77777777" w:rsidR="00B437DC" w:rsidRPr="0051150C" w:rsidRDefault="00B437DC" w:rsidP="00B437DC">
      <w:pPr>
        <w:tabs>
          <w:tab w:val="clear" w:pos="284"/>
        </w:tabs>
        <w:autoSpaceDE w:val="0"/>
        <w:autoSpaceDN w:val="0"/>
        <w:adjustRightInd w:val="0"/>
        <w:rPr>
          <w:noProof/>
          <w:szCs w:val="22"/>
          <w:lang w:val="sr-Latn-BA"/>
        </w:rPr>
      </w:pPr>
    </w:p>
    <w:p w14:paraId="5A942B9C" w14:textId="728A3999" w:rsidR="00B437DC" w:rsidRPr="0051150C" w:rsidRDefault="00B437DC" w:rsidP="00B35C3C">
      <w:pPr>
        <w:pStyle w:val="ListParagraph"/>
        <w:numPr>
          <w:ilvl w:val="0"/>
          <w:numId w:val="7"/>
        </w:numPr>
        <w:tabs>
          <w:tab w:val="clear" w:pos="284"/>
        </w:tabs>
        <w:autoSpaceDE w:val="0"/>
        <w:autoSpaceDN w:val="0"/>
        <w:adjustRightInd w:val="0"/>
        <w:rPr>
          <w:noProof/>
          <w:szCs w:val="22"/>
          <w:lang w:val="sr-Latn-BA"/>
        </w:rPr>
      </w:pPr>
      <w:r w:rsidRPr="0051150C">
        <w:rPr>
          <w:i/>
          <w:noProof/>
          <w:szCs w:val="22"/>
          <w:lang w:val="sr-Latn-BA"/>
        </w:rPr>
        <w:t>Vr</w:t>
      </w:r>
      <w:r w:rsidR="004A18EE" w:rsidRPr="0051150C">
        <w:rPr>
          <w:i/>
          <w:noProof/>
          <w:szCs w:val="22"/>
          <w:lang w:val="sr-Latn-BA"/>
        </w:rPr>
        <w:t>ij</w:t>
      </w:r>
      <w:r w:rsidRPr="0051150C">
        <w:rPr>
          <w:i/>
          <w:noProof/>
          <w:szCs w:val="22"/>
          <w:lang w:val="sr-Latn-BA"/>
        </w:rPr>
        <w:t xml:space="preserve">eme do pogoršanja </w:t>
      </w:r>
      <w:r w:rsidR="00096FAA" w:rsidRPr="0051150C">
        <w:rPr>
          <w:i/>
          <w:noProof/>
          <w:szCs w:val="22"/>
          <w:lang w:val="sr-Latn-BA"/>
        </w:rPr>
        <w:t>vrijednost</w:t>
      </w:r>
      <w:r w:rsidRPr="0051150C">
        <w:rPr>
          <w:i/>
          <w:noProof/>
          <w:szCs w:val="22"/>
          <w:lang w:val="sr-Latn-BA"/>
        </w:rPr>
        <w:t>i ECOG funkcionalnog statusa ≥ 1</w:t>
      </w:r>
      <w:r w:rsidR="00244DA6" w:rsidRPr="0051150C">
        <w:rPr>
          <w:noProof/>
          <w:szCs w:val="22"/>
          <w:lang w:val="sr-Latn-BA"/>
        </w:rPr>
        <w:t xml:space="preserve">: </w:t>
      </w:r>
      <w:r w:rsidR="00D23C1D" w:rsidRPr="0051150C">
        <w:rPr>
          <w:noProof/>
          <w:szCs w:val="22"/>
          <w:lang w:val="sr-Latn-BA"/>
        </w:rPr>
        <w:t>Medijana vremena</w:t>
      </w:r>
      <w:r w:rsidRPr="0051150C">
        <w:rPr>
          <w:noProof/>
          <w:szCs w:val="22"/>
          <w:lang w:val="sr-Latn-BA"/>
        </w:rPr>
        <w:t xml:space="preserve"> do pogoršanja </w:t>
      </w:r>
      <w:r w:rsidR="00096FAA" w:rsidRPr="0051150C">
        <w:rPr>
          <w:noProof/>
          <w:szCs w:val="22"/>
          <w:lang w:val="sr-Latn-BA"/>
        </w:rPr>
        <w:t>vrijednost</w:t>
      </w:r>
      <w:r w:rsidRPr="0051150C">
        <w:rPr>
          <w:noProof/>
          <w:szCs w:val="22"/>
          <w:lang w:val="sr-Latn-BA"/>
        </w:rPr>
        <w:t>i ECOG funkc</w:t>
      </w:r>
      <w:r w:rsidR="00244DA6" w:rsidRPr="0051150C">
        <w:rPr>
          <w:noProof/>
          <w:szCs w:val="22"/>
          <w:lang w:val="sr-Latn-BA"/>
        </w:rPr>
        <w:t xml:space="preserve">ionalnog statusa ≥ 1 je </w:t>
      </w:r>
      <w:r w:rsidR="005060C3" w:rsidRPr="0051150C">
        <w:rPr>
          <w:noProof/>
          <w:szCs w:val="22"/>
          <w:lang w:val="sr-Latn-BA"/>
        </w:rPr>
        <w:t>bil</w:t>
      </w:r>
      <w:r w:rsidR="005060C3">
        <w:rPr>
          <w:noProof/>
          <w:szCs w:val="22"/>
          <w:lang w:val="sr-Latn-BA"/>
        </w:rPr>
        <w:t>a</w:t>
      </w:r>
      <w:r w:rsidR="005060C3" w:rsidRPr="0051150C">
        <w:rPr>
          <w:noProof/>
          <w:szCs w:val="22"/>
          <w:lang w:val="sr-Latn-BA"/>
        </w:rPr>
        <w:t xml:space="preserve"> </w:t>
      </w:r>
      <w:r w:rsidR="00244DA6" w:rsidRPr="0051150C">
        <w:rPr>
          <w:noProof/>
          <w:szCs w:val="22"/>
          <w:lang w:val="sr-Latn-BA"/>
        </w:rPr>
        <w:t>12</w:t>
      </w:r>
      <w:r w:rsidR="005060C3">
        <w:rPr>
          <w:noProof/>
          <w:szCs w:val="22"/>
          <w:lang w:val="sr-Latn-BA"/>
        </w:rPr>
        <w:t>,</w:t>
      </w:r>
      <w:r w:rsidRPr="0051150C">
        <w:rPr>
          <w:noProof/>
          <w:szCs w:val="22"/>
          <w:lang w:val="sr-Latn-BA"/>
        </w:rPr>
        <w:t xml:space="preserve">3 </w:t>
      </w:r>
      <w:r w:rsidR="00834D3E" w:rsidRPr="0051150C">
        <w:rPr>
          <w:noProof/>
          <w:szCs w:val="22"/>
          <w:lang w:val="sr-Latn-BA"/>
        </w:rPr>
        <w:t>mjesec</w:t>
      </w:r>
      <w:r w:rsidRPr="0051150C">
        <w:rPr>
          <w:noProof/>
          <w:szCs w:val="22"/>
          <w:lang w:val="sr-Latn-BA"/>
        </w:rPr>
        <w:t xml:space="preserve">a kod pacijenata koji su uzimali </w:t>
      </w:r>
      <w:r w:rsidR="00ED7524" w:rsidRPr="0051150C">
        <w:rPr>
          <w:noProof/>
          <w:szCs w:val="22"/>
          <w:lang w:val="sr-Latn-BA"/>
        </w:rPr>
        <w:t>abirateron acetat</w:t>
      </w:r>
      <w:r w:rsidR="005060C3">
        <w:rPr>
          <w:noProof/>
          <w:szCs w:val="22"/>
          <w:lang w:val="sr-Latn-BA"/>
        </w:rPr>
        <w:t>,</w:t>
      </w:r>
      <w:r w:rsidRPr="0051150C">
        <w:rPr>
          <w:noProof/>
          <w:szCs w:val="22"/>
          <w:lang w:val="sr-Latn-BA"/>
        </w:rPr>
        <w:t xml:space="preserve"> i 10</w:t>
      </w:r>
      <w:r w:rsidR="005060C3">
        <w:rPr>
          <w:noProof/>
          <w:szCs w:val="22"/>
          <w:lang w:val="sr-Latn-BA"/>
        </w:rPr>
        <w:t>,</w:t>
      </w:r>
      <w:r w:rsidRPr="0051150C">
        <w:rPr>
          <w:noProof/>
          <w:szCs w:val="22"/>
          <w:lang w:val="sr-Latn-BA"/>
        </w:rPr>
        <w:t xml:space="preserve">9 </w:t>
      </w:r>
      <w:r w:rsidR="00834D3E" w:rsidRPr="0051150C">
        <w:rPr>
          <w:noProof/>
          <w:szCs w:val="22"/>
          <w:lang w:val="sr-Latn-BA"/>
        </w:rPr>
        <w:t>mjesec</w:t>
      </w:r>
      <w:r w:rsidRPr="0051150C">
        <w:rPr>
          <w:noProof/>
          <w:szCs w:val="22"/>
          <w:lang w:val="sr-Latn-BA"/>
        </w:rPr>
        <w:t>i kod pacijenata</w:t>
      </w:r>
      <w:r w:rsidR="00F52D0C" w:rsidRPr="0051150C">
        <w:rPr>
          <w:noProof/>
          <w:szCs w:val="22"/>
          <w:lang w:val="sr-Latn-BA"/>
        </w:rPr>
        <w:t xml:space="preserve"> koji su dobijali placebo (HR=0</w:t>
      </w:r>
      <w:r w:rsidR="005060C3">
        <w:rPr>
          <w:noProof/>
          <w:szCs w:val="22"/>
          <w:lang w:val="sr-Latn-BA"/>
        </w:rPr>
        <w:t>,</w:t>
      </w:r>
      <w:r w:rsidRPr="0051150C">
        <w:rPr>
          <w:noProof/>
          <w:szCs w:val="22"/>
          <w:lang w:val="sr-Latn-BA"/>
        </w:rPr>
        <w:t>821; 95% CI: [0</w:t>
      </w:r>
      <w:r w:rsidR="005060C3">
        <w:rPr>
          <w:noProof/>
          <w:szCs w:val="22"/>
          <w:lang w:val="sr-Latn-BA"/>
        </w:rPr>
        <w:t>,</w:t>
      </w:r>
      <w:r w:rsidR="00F52D0C" w:rsidRPr="0051150C">
        <w:rPr>
          <w:noProof/>
          <w:szCs w:val="22"/>
          <w:lang w:val="sr-Latn-BA"/>
        </w:rPr>
        <w:t>714; 0</w:t>
      </w:r>
      <w:r w:rsidR="005060C3">
        <w:rPr>
          <w:noProof/>
          <w:szCs w:val="22"/>
          <w:lang w:val="sr-Latn-BA"/>
        </w:rPr>
        <w:t>,</w:t>
      </w:r>
      <w:r w:rsidRPr="0051150C">
        <w:rPr>
          <w:noProof/>
          <w:szCs w:val="22"/>
          <w:lang w:val="sr-Latn-BA"/>
        </w:rPr>
        <w:t xml:space="preserve">943], </w:t>
      </w:r>
      <w:r w:rsidR="00F52D0C" w:rsidRPr="0051150C">
        <w:rPr>
          <w:noProof/>
          <w:szCs w:val="22"/>
          <w:lang w:val="sr-Latn-BA"/>
        </w:rPr>
        <w:t>p=0</w:t>
      </w:r>
      <w:r w:rsidR="005060C3">
        <w:rPr>
          <w:noProof/>
          <w:szCs w:val="22"/>
          <w:lang w:val="sr-Latn-BA"/>
        </w:rPr>
        <w:t>,</w:t>
      </w:r>
      <w:r w:rsidRPr="0051150C">
        <w:rPr>
          <w:noProof/>
          <w:szCs w:val="22"/>
          <w:lang w:val="sr-Latn-BA"/>
        </w:rPr>
        <w:t>0053).</w:t>
      </w:r>
    </w:p>
    <w:p w14:paraId="176FB694" w14:textId="6F42B071" w:rsidR="00B437DC" w:rsidRPr="0051150C" w:rsidRDefault="00B437DC" w:rsidP="00B437DC">
      <w:pPr>
        <w:tabs>
          <w:tab w:val="clear" w:pos="284"/>
        </w:tabs>
        <w:autoSpaceDE w:val="0"/>
        <w:autoSpaceDN w:val="0"/>
        <w:adjustRightInd w:val="0"/>
        <w:rPr>
          <w:noProof/>
          <w:szCs w:val="22"/>
          <w:lang w:val="sr-Latn-BA"/>
        </w:rPr>
      </w:pPr>
    </w:p>
    <w:p w14:paraId="6E2591D4" w14:textId="6B7BB594" w:rsidR="00B437DC" w:rsidRPr="0051150C" w:rsidRDefault="00B437DC" w:rsidP="00B437DC">
      <w:pPr>
        <w:tabs>
          <w:tab w:val="clear" w:pos="284"/>
        </w:tabs>
        <w:autoSpaceDE w:val="0"/>
        <w:autoSpaceDN w:val="0"/>
        <w:adjustRightInd w:val="0"/>
        <w:rPr>
          <w:noProof/>
          <w:szCs w:val="22"/>
          <w:lang w:val="sr-Latn-BA"/>
        </w:rPr>
      </w:pPr>
      <w:r w:rsidRPr="0051150C">
        <w:rPr>
          <w:noProof/>
          <w:szCs w:val="22"/>
          <w:lang w:val="sr-Latn-BA"/>
        </w:rPr>
        <w:t>Sl</w:t>
      </w:r>
      <w:r w:rsidR="004A18EE" w:rsidRPr="0051150C">
        <w:rPr>
          <w:noProof/>
          <w:szCs w:val="22"/>
          <w:lang w:val="sr-Latn-BA"/>
        </w:rPr>
        <w:t>j</w:t>
      </w:r>
      <w:r w:rsidRPr="0051150C">
        <w:rPr>
          <w:noProof/>
          <w:szCs w:val="22"/>
          <w:lang w:val="sr-Latn-BA"/>
        </w:rPr>
        <w:t>edeći parametri</w:t>
      </w:r>
      <w:r w:rsidR="00F52D0C" w:rsidRPr="0051150C">
        <w:rPr>
          <w:noProof/>
          <w:szCs w:val="22"/>
          <w:lang w:val="sr-Latn-BA"/>
        </w:rPr>
        <w:t xml:space="preserve"> efikasnosti studije su pokazali</w:t>
      </w:r>
      <w:r w:rsidRPr="0051150C">
        <w:rPr>
          <w:noProof/>
          <w:szCs w:val="22"/>
          <w:lang w:val="sr-Latn-BA"/>
        </w:rPr>
        <w:t xml:space="preserve"> statistički značajnu prednost u korist terapije </w:t>
      </w:r>
      <w:r w:rsidR="00ED7524" w:rsidRPr="0051150C">
        <w:rPr>
          <w:noProof/>
          <w:szCs w:val="22"/>
          <w:lang w:val="sr-Latn-BA"/>
        </w:rPr>
        <w:t>abirateron ace</w:t>
      </w:r>
      <w:r w:rsidR="00244DA6" w:rsidRPr="0051150C">
        <w:rPr>
          <w:noProof/>
          <w:szCs w:val="22"/>
          <w:lang w:val="sr-Latn-BA"/>
        </w:rPr>
        <w:t>tatom</w:t>
      </w:r>
      <w:r w:rsidRPr="0051150C">
        <w:rPr>
          <w:noProof/>
          <w:szCs w:val="22"/>
          <w:lang w:val="sr-Latn-BA"/>
        </w:rPr>
        <w:t>:</w:t>
      </w:r>
    </w:p>
    <w:p w14:paraId="25E1B698" w14:textId="77777777" w:rsidR="00B437DC" w:rsidRPr="0051150C" w:rsidRDefault="00B437DC" w:rsidP="00B437DC">
      <w:pPr>
        <w:tabs>
          <w:tab w:val="clear" w:pos="284"/>
        </w:tabs>
        <w:autoSpaceDE w:val="0"/>
        <w:autoSpaceDN w:val="0"/>
        <w:adjustRightInd w:val="0"/>
        <w:rPr>
          <w:noProof/>
          <w:szCs w:val="22"/>
          <w:lang w:val="sr-Latn-BA"/>
        </w:rPr>
      </w:pPr>
    </w:p>
    <w:p w14:paraId="3DC8DC09" w14:textId="3BD090F4" w:rsidR="00B437DC" w:rsidRPr="0051150C" w:rsidRDefault="00B437DC" w:rsidP="00B437DC">
      <w:pPr>
        <w:tabs>
          <w:tab w:val="clear" w:pos="284"/>
        </w:tabs>
        <w:autoSpaceDE w:val="0"/>
        <w:autoSpaceDN w:val="0"/>
        <w:adjustRightInd w:val="0"/>
        <w:rPr>
          <w:noProof/>
          <w:szCs w:val="22"/>
          <w:lang w:val="sr-Latn-BA"/>
        </w:rPr>
      </w:pPr>
      <w:r w:rsidRPr="0051150C">
        <w:rPr>
          <w:i/>
          <w:noProof/>
          <w:szCs w:val="22"/>
          <w:lang w:val="sr-Latn-BA"/>
        </w:rPr>
        <w:t>Objektivni odgovor</w:t>
      </w:r>
      <w:r w:rsidRPr="0051150C">
        <w:rPr>
          <w:noProof/>
          <w:szCs w:val="22"/>
          <w:lang w:val="sr-Latn-BA"/>
        </w:rPr>
        <w:t>: Objektivni odgovor je definisan kao ud</w:t>
      </w:r>
      <w:r w:rsidR="004A18EE" w:rsidRPr="0051150C">
        <w:rPr>
          <w:noProof/>
          <w:szCs w:val="22"/>
          <w:lang w:val="sr-Latn-BA"/>
        </w:rPr>
        <w:t>i</w:t>
      </w:r>
      <w:r w:rsidRPr="0051150C">
        <w:rPr>
          <w:noProof/>
          <w:szCs w:val="22"/>
          <w:lang w:val="sr-Latn-BA"/>
        </w:rPr>
        <w:t>o ispitanika sa m</w:t>
      </w:r>
      <w:r w:rsidR="004A18EE" w:rsidRPr="0051150C">
        <w:rPr>
          <w:noProof/>
          <w:szCs w:val="22"/>
          <w:lang w:val="sr-Latn-BA"/>
        </w:rPr>
        <w:t>j</w:t>
      </w:r>
      <w:r w:rsidRPr="0051150C">
        <w:rPr>
          <w:noProof/>
          <w:szCs w:val="22"/>
          <w:lang w:val="sr-Latn-BA"/>
        </w:rPr>
        <w:t>erljivom bolešću (prisustvo najmanje jedne m</w:t>
      </w:r>
      <w:r w:rsidR="004A18EE" w:rsidRPr="0051150C">
        <w:rPr>
          <w:noProof/>
          <w:szCs w:val="22"/>
          <w:lang w:val="sr-Latn-BA"/>
        </w:rPr>
        <w:t>j</w:t>
      </w:r>
      <w:r w:rsidRPr="0051150C">
        <w:rPr>
          <w:noProof/>
          <w:szCs w:val="22"/>
          <w:lang w:val="sr-Latn-BA"/>
        </w:rPr>
        <w:t xml:space="preserve">erljive lezije, engl. </w:t>
      </w:r>
      <w:r w:rsidRPr="0051150C">
        <w:rPr>
          <w:i/>
          <w:iCs/>
          <w:noProof/>
          <w:szCs w:val="22"/>
          <w:lang w:val="sr-Latn-BA"/>
        </w:rPr>
        <w:t>measurable disease</w:t>
      </w:r>
      <w:r w:rsidRPr="0051150C">
        <w:rPr>
          <w:noProof/>
          <w:szCs w:val="22"/>
          <w:lang w:val="sr-Latn-BA"/>
        </w:rPr>
        <w:t>) koji su dostigli potpun ili d</w:t>
      </w:r>
      <w:r w:rsidR="004A18EE" w:rsidRPr="0051150C">
        <w:rPr>
          <w:noProof/>
          <w:szCs w:val="22"/>
          <w:lang w:val="sr-Latn-BA"/>
        </w:rPr>
        <w:t>j</w:t>
      </w:r>
      <w:r w:rsidRPr="0051150C">
        <w:rPr>
          <w:noProof/>
          <w:szCs w:val="22"/>
          <w:lang w:val="sr-Latn-BA"/>
        </w:rPr>
        <w:t>elimičan odgovor prema RECIST kriterijumima (bilo je potrebno da polazna veličina limfnog nodusa bude ≥ 2 cm, da bi se smatrao ciljnom lezijom). Ud</w:t>
      </w:r>
      <w:r w:rsidR="004A18EE" w:rsidRPr="0051150C">
        <w:rPr>
          <w:noProof/>
          <w:szCs w:val="22"/>
          <w:lang w:val="sr-Latn-BA"/>
        </w:rPr>
        <w:t>i</w:t>
      </w:r>
      <w:r w:rsidRPr="0051150C">
        <w:rPr>
          <w:noProof/>
          <w:szCs w:val="22"/>
          <w:lang w:val="sr-Latn-BA"/>
        </w:rPr>
        <w:t>o ispitanika sa m</w:t>
      </w:r>
      <w:r w:rsidR="004A18EE" w:rsidRPr="0051150C">
        <w:rPr>
          <w:noProof/>
          <w:szCs w:val="22"/>
          <w:lang w:val="sr-Latn-BA"/>
        </w:rPr>
        <w:t>j</w:t>
      </w:r>
      <w:r w:rsidRPr="0051150C">
        <w:rPr>
          <w:noProof/>
          <w:szCs w:val="22"/>
          <w:lang w:val="sr-Latn-BA"/>
        </w:rPr>
        <w:t xml:space="preserve">erljivom bolešću na početku terapije koji su imali objektivni odgovor bio je </w:t>
      </w:r>
      <w:r w:rsidR="00ED7524" w:rsidRPr="0051150C">
        <w:rPr>
          <w:noProof/>
          <w:szCs w:val="22"/>
          <w:lang w:val="sr-Latn-BA"/>
        </w:rPr>
        <w:t>36% u grupi koja je uzimala abirateron acetat</w:t>
      </w:r>
      <w:r w:rsidR="005060C3">
        <w:rPr>
          <w:noProof/>
          <w:szCs w:val="22"/>
          <w:lang w:val="sr-Latn-BA"/>
        </w:rPr>
        <w:t>,</w:t>
      </w:r>
      <w:r w:rsidR="00ED7524" w:rsidRPr="0051150C">
        <w:rPr>
          <w:noProof/>
          <w:szCs w:val="22"/>
          <w:lang w:val="sr-Latn-BA"/>
        </w:rPr>
        <w:t xml:space="preserve"> </w:t>
      </w:r>
      <w:r w:rsidRPr="0051150C">
        <w:rPr>
          <w:noProof/>
          <w:szCs w:val="22"/>
          <w:lang w:val="sr-Latn-BA"/>
        </w:rPr>
        <w:t>i 16% u grupi koja je dobi</w:t>
      </w:r>
      <w:r w:rsidR="00F52D0C" w:rsidRPr="0051150C">
        <w:rPr>
          <w:noProof/>
          <w:szCs w:val="22"/>
          <w:lang w:val="sr-Latn-BA"/>
        </w:rPr>
        <w:t>jala placebo (p&lt;0</w:t>
      </w:r>
      <w:r w:rsidR="005060C3">
        <w:rPr>
          <w:noProof/>
          <w:szCs w:val="22"/>
          <w:lang w:val="sr-Latn-BA"/>
        </w:rPr>
        <w:t>,</w:t>
      </w:r>
      <w:r w:rsidRPr="0051150C">
        <w:rPr>
          <w:noProof/>
          <w:szCs w:val="22"/>
          <w:lang w:val="sr-Latn-BA"/>
        </w:rPr>
        <w:t>0001).</w:t>
      </w:r>
    </w:p>
    <w:p w14:paraId="344A7968" w14:textId="77777777" w:rsidR="00B437DC" w:rsidRPr="0051150C" w:rsidRDefault="00B437DC" w:rsidP="00B437DC">
      <w:pPr>
        <w:tabs>
          <w:tab w:val="clear" w:pos="284"/>
        </w:tabs>
        <w:autoSpaceDE w:val="0"/>
        <w:autoSpaceDN w:val="0"/>
        <w:adjustRightInd w:val="0"/>
        <w:rPr>
          <w:noProof/>
          <w:szCs w:val="22"/>
          <w:lang w:val="sr-Latn-BA"/>
        </w:rPr>
      </w:pPr>
    </w:p>
    <w:p w14:paraId="56C4C036" w14:textId="568C2A2D" w:rsidR="00F52D0C" w:rsidRPr="0051150C" w:rsidRDefault="00ED7524" w:rsidP="00B437DC">
      <w:pPr>
        <w:tabs>
          <w:tab w:val="clear" w:pos="284"/>
        </w:tabs>
        <w:autoSpaceDE w:val="0"/>
        <w:autoSpaceDN w:val="0"/>
        <w:adjustRightInd w:val="0"/>
        <w:rPr>
          <w:noProof/>
          <w:szCs w:val="22"/>
          <w:lang w:val="sr-Latn-BA"/>
        </w:rPr>
      </w:pPr>
      <w:r w:rsidRPr="0051150C">
        <w:rPr>
          <w:i/>
          <w:noProof/>
          <w:szCs w:val="22"/>
          <w:lang w:val="sr-Latn-BA"/>
        </w:rPr>
        <w:t>Bol</w:t>
      </w:r>
      <w:r w:rsidRPr="0051150C">
        <w:rPr>
          <w:noProof/>
          <w:szCs w:val="22"/>
          <w:lang w:val="sr-Latn-BA"/>
        </w:rPr>
        <w:t xml:space="preserve">: Terapija abirateron acetatom </w:t>
      </w:r>
      <w:r w:rsidR="00B437DC" w:rsidRPr="0051150C">
        <w:rPr>
          <w:noProof/>
          <w:szCs w:val="22"/>
          <w:lang w:val="sr-Latn-BA"/>
        </w:rPr>
        <w:t>značajno je smanjila rizik od progresije intenziteta pros</w:t>
      </w:r>
      <w:r w:rsidR="004A18EE" w:rsidRPr="0051150C">
        <w:rPr>
          <w:noProof/>
          <w:szCs w:val="22"/>
          <w:lang w:val="sr-Latn-BA"/>
        </w:rPr>
        <w:t>j</w:t>
      </w:r>
      <w:r w:rsidR="00B437DC" w:rsidRPr="0051150C">
        <w:rPr>
          <w:noProof/>
          <w:szCs w:val="22"/>
          <w:lang w:val="sr-Latn-BA"/>
        </w:rPr>
        <w:t>ečnog bola za 1</w:t>
      </w:r>
      <w:r w:rsidR="00F52D0C" w:rsidRPr="0051150C">
        <w:rPr>
          <w:noProof/>
          <w:szCs w:val="22"/>
          <w:lang w:val="sr-Latn-BA"/>
        </w:rPr>
        <w:t>8% u poređenju sa placebom (p=0</w:t>
      </w:r>
      <w:r w:rsidR="005060C3">
        <w:rPr>
          <w:noProof/>
          <w:szCs w:val="22"/>
          <w:lang w:val="sr-Latn-BA"/>
        </w:rPr>
        <w:t>,</w:t>
      </w:r>
      <w:r w:rsidR="00F52D0C" w:rsidRPr="0051150C">
        <w:rPr>
          <w:noProof/>
          <w:szCs w:val="22"/>
          <w:lang w:val="sr-Latn-BA"/>
        </w:rPr>
        <w:t xml:space="preserve">0490). </w:t>
      </w:r>
      <w:r w:rsidR="00D23C1D" w:rsidRPr="0051150C">
        <w:rPr>
          <w:noProof/>
          <w:szCs w:val="22"/>
          <w:lang w:val="sr-Latn-BA"/>
        </w:rPr>
        <w:t>Medijana vremena</w:t>
      </w:r>
      <w:r w:rsidR="00F52D0C" w:rsidRPr="0051150C">
        <w:rPr>
          <w:noProof/>
          <w:szCs w:val="22"/>
          <w:lang w:val="sr-Latn-BA"/>
        </w:rPr>
        <w:t xml:space="preserve"> do progresije je bil</w:t>
      </w:r>
      <w:r w:rsidR="00601562">
        <w:rPr>
          <w:noProof/>
          <w:szCs w:val="22"/>
          <w:lang w:val="sr-Latn-BA"/>
        </w:rPr>
        <w:t>a</w:t>
      </w:r>
      <w:r w:rsidR="00F52D0C" w:rsidRPr="0051150C">
        <w:rPr>
          <w:noProof/>
          <w:szCs w:val="22"/>
          <w:lang w:val="sr-Latn-BA"/>
        </w:rPr>
        <w:t xml:space="preserve"> 26</w:t>
      </w:r>
      <w:r w:rsidR="005060C3">
        <w:rPr>
          <w:noProof/>
          <w:szCs w:val="22"/>
          <w:lang w:val="sr-Latn-BA"/>
        </w:rPr>
        <w:t>,</w:t>
      </w:r>
      <w:r w:rsidR="00B437DC" w:rsidRPr="0051150C">
        <w:rPr>
          <w:noProof/>
          <w:szCs w:val="22"/>
          <w:lang w:val="sr-Latn-BA"/>
        </w:rPr>
        <w:t xml:space="preserve">7 </w:t>
      </w:r>
      <w:r w:rsidR="00834D3E" w:rsidRPr="0051150C">
        <w:rPr>
          <w:noProof/>
          <w:szCs w:val="22"/>
          <w:lang w:val="sr-Latn-BA"/>
        </w:rPr>
        <w:t>mjesec</w:t>
      </w:r>
      <w:r w:rsidR="00B437DC" w:rsidRPr="0051150C">
        <w:rPr>
          <w:noProof/>
          <w:szCs w:val="22"/>
          <w:lang w:val="sr-Latn-BA"/>
        </w:rPr>
        <w:t>i u grupi pacijenata k</w:t>
      </w:r>
      <w:r w:rsidRPr="0051150C">
        <w:rPr>
          <w:noProof/>
          <w:szCs w:val="22"/>
          <w:lang w:val="sr-Latn-BA"/>
        </w:rPr>
        <w:t>oja je uzimala abirateron acetat</w:t>
      </w:r>
      <w:r w:rsidR="005060C3">
        <w:rPr>
          <w:noProof/>
          <w:szCs w:val="22"/>
          <w:lang w:val="sr-Latn-BA"/>
        </w:rPr>
        <w:t>,</w:t>
      </w:r>
      <w:r w:rsidRPr="0051150C">
        <w:rPr>
          <w:noProof/>
          <w:szCs w:val="22"/>
          <w:lang w:val="sr-Latn-BA"/>
        </w:rPr>
        <w:t xml:space="preserve"> </w:t>
      </w:r>
      <w:r w:rsidR="00F52D0C" w:rsidRPr="0051150C">
        <w:rPr>
          <w:noProof/>
          <w:szCs w:val="22"/>
          <w:lang w:val="sr-Latn-BA"/>
        </w:rPr>
        <w:t>i 18</w:t>
      </w:r>
      <w:r w:rsidR="005060C3">
        <w:rPr>
          <w:noProof/>
          <w:szCs w:val="22"/>
          <w:lang w:val="sr-Latn-BA"/>
        </w:rPr>
        <w:t>,</w:t>
      </w:r>
      <w:r w:rsidR="00B437DC" w:rsidRPr="0051150C">
        <w:rPr>
          <w:noProof/>
          <w:szCs w:val="22"/>
          <w:lang w:val="sr-Latn-BA"/>
        </w:rPr>
        <w:t xml:space="preserve">4 </w:t>
      </w:r>
      <w:r w:rsidR="00834D3E" w:rsidRPr="0051150C">
        <w:rPr>
          <w:noProof/>
          <w:szCs w:val="22"/>
          <w:lang w:val="sr-Latn-BA"/>
        </w:rPr>
        <w:t>mjesec</w:t>
      </w:r>
      <w:r w:rsidR="00B437DC" w:rsidRPr="0051150C">
        <w:rPr>
          <w:noProof/>
          <w:szCs w:val="22"/>
          <w:lang w:val="sr-Latn-BA"/>
        </w:rPr>
        <w:t xml:space="preserve">a u grupi koja je dobijala placebo. </w:t>
      </w:r>
    </w:p>
    <w:p w14:paraId="56BAAEB6" w14:textId="77777777" w:rsidR="00F52D0C" w:rsidRPr="0051150C" w:rsidRDefault="00F52D0C" w:rsidP="00B437DC">
      <w:pPr>
        <w:tabs>
          <w:tab w:val="clear" w:pos="284"/>
        </w:tabs>
        <w:autoSpaceDE w:val="0"/>
        <w:autoSpaceDN w:val="0"/>
        <w:adjustRightInd w:val="0"/>
        <w:rPr>
          <w:noProof/>
          <w:szCs w:val="22"/>
          <w:lang w:val="sr-Latn-BA"/>
        </w:rPr>
      </w:pPr>
    </w:p>
    <w:p w14:paraId="0E21AEDA" w14:textId="694EA435" w:rsidR="00B437DC" w:rsidRPr="0051150C" w:rsidRDefault="00B437DC" w:rsidP="00B437DC">
      <w:pPr>
        <w:tabs>
          <w:tab w:val="clear" w:pos="284"/>
        </w:tabs>
        <w:autoSpaceDE w:val="0"/>
        <w:autoSpaceDN w:val="0"/>
        <w:adjustRightInd w:val="0"/>
        <w:rPr>
          <w:noProof/>
          <w:szCs w:val="22"/>
          <w:lang w:val="sr-Latn-BA"/>
        </w:rPr>
      </w:pPr>
      <w:r w:rsidRPr="0051150C">
        <w:rPr>
          <w:i/>
          <w:noProof/>
          <w:szCs w:val="22"/>
          <w:lang w:val="sr-Latn-BA"/>
        </w:rPr>
        <w:t>Vr</w:t>
      </w:r>
      <w:r w:rsidR="004A18EE" w:rsidRPr="0051150C">
        <w:rPr>
          <w:i/>
          <w:noProof/>
          <w:szCs w:val="22"/>
          <w:lang w:val="sr-Latn-BA"/>
        </w:rPr>
        <w:t>ij</w:t>
      </w:r>
      <w:r w:rsidRPr="0051150C">
        <w:rPr>
          <w:i/>
          <w:noProof/>
          <w:szCs w:val="22"/>
          <w:lang w:val="sr-Latn-BA"/>
        </w:rPr>
        <w:t>eme do smanjenja FACT-P</w:t>
      </w:r>
      <w:r w:rsidRPr="0051150C">
        <w:rPr>
          <w:noProof/>
          <w:szCs w:val="22"/>
          <w:lang w:val="sr-Latn-BA"/>
        </w:rPr>
        <w:t xml:space="preserve"> (engl. </w:t>
      </w:r>
      <w:r w:rsidRPr="0051150C">
        <w:rPr>
          <w:i/>
          <w:iCs/>
          <w:noProof/>
          <w:szCs w:val="22"/>
          <w:lang w:val="sr-Latn-BA"/>
        </w:rPr>
        <w:t>Functional Assessment of Cancer Therapy-Prostate</w:t>
      </w:r>
      <w:r w:rsidRPr="0051150C">
        <w:rPr>
          <w:noProof/>
          <w:szCs w:val="22"/>
          <w:lang w:val="sr-Latn-BA"/>
        </w:rPr>
        <w:t xml:space="preserve">) (ukupan </w:t>
      </w:r>
      <w:r w:rsidR="00ED7524" w:rsidRPr="0051150C">
        <w:rPr>
          <w:noProof/>
          <w:szCs w:val="22"/>
          <w:lang w:val="sr-Latn-BA"/>
        </w:rPr>
        <w:t xml:space="preserve">rezultat): Terapija abirateron acetatom </w:t>
      </w:r>
      <w:r w:rsidRPr="0051150C">
        <w:rPr>
          <w:noProof/>
          <w:szCs w:val="22"/>
          <w:lang w:val="sr-Latn-BA"/>
        </w:rPr>
        <w:t xml:space="preserve">smanjila je rizik od smanjenja FACT-P (ukupan rezultat) za 22% u </w:t>
      </w:r>
      <w:r w:rsidR="00F52D0C" w:rsidRPr="0051150C">
        <w:rPr>
          <w:noProof/>
          <w:szCs w:val="22"/>
          <w:lang w:val="sr-Latn-BA"/>
        </w:rPr>
        <w:t>poređenju sa placebom (p=0</w:t>
      </w:r>
      <w:r w:rsidR="005060C3">
        <w:rPr>
          <w:noProof/>
          <w:szCs w:val="22"/>
          <w:lang w:val="sr-Latn-BA"/>
        </w:rPr>
        <w:t>,</w:t>
      </w:r>
      <w:r w:rsidR="00F52D0C" w:rsidRPr="0051150C">
        <w:rPr>
          <w:noProof/>
          <w:szCs w:val="22"/>
          <w:lang w:val="sr-Latn-BA"/>
        </w:rPr>
        <w:t xml:space="preserve">0028). </w:t>
      </w:r>
      <w:r w:rsidR="00D23C1D" w:rsidRPr="0051150C">
        <w:rPr>
          <w:noProof/>
          <w:szCs w:val="22"/>
          <w:lang w:val="sr-Latn-BA"/>
        </w:rPr>
        <w:t xml:space="preserve">Medijana vremena </w:t>
      </w:r>
      <w:r w:rsidRPr="0051150C">
        <w:rPr>
          <w:noProof/>
          <w:szCs w:val="22"/>
          <w:lang w:val="sr-Latn-BA"/>
        </w:rPr>
        <w:t xml:space="preserve">do pada FACT-P (ukupan rezultat) je </w:t>
      </w:r>
      <w:r w:rsidR="005060C3" w:rsidRPr="0051150C">
        <w:rPr>
          <w:noProof/>
          <w:szCs w:val="22"/>
          <w:lang w:val="sr-Latn-BA"/>
        </w:rPr>
        <w:t>bil</w:t>
      </w:r>
      <w:r w:rsidR="005060C3">
        <w:rPr>
          <w:noProof/>
          <w:szCs w:val="22"/>
          <w:lang w:val="sr-Latn-BA"/>
        </w:rPr>
        <w:t>a</w:t>
      </w:r>
      <w:r w:rsidR="005060C3" w:rsidRPr="0051150C">
        <w:rPr>
          <w:noProof/>
          <w:szCs w:val="22"/>
          <w:lang w:val="sr-Latn-BA"/>
        </w:rPr>
        <w:t xml:space="preserve"> </w:t>
      </w:r>
      <w:r w:rsidR="00F52D0C" w:rsidRPr="0051150C">
        <w:rPr>
          <w:noProof/>
          <w:szCs w:val="22"/>
          <w:lang w:val="sr-Latn-BA"/>
        </w:rPr>
        <w:t>12</w:t>
      </w:r>
      <w:r w:rsidR="005060C3">
        <w:rPr>
          <w:noProof/>
          <w:szCs w:val="22"/>
          <w:lang w:val="sr-Latn-BA"/>
        </w:rPr>
        <w:t>,</w:t>
      </w:r>
      <w:r w:rsidRPr="0051150C">
        <w:rPr>
          <w:noProof/>
          <w:szCs w:val="22"/>
          <w:lang w:val="sr-Latn-BA"/>
        </w:rPr>
        <w:t xml:space="preserve">7 </w:t>
      </w:r>
      <w:r w:rsidR="00834D3E" w:rsidRPr="0051150C">
        <w:rPr>
          <w:noProof/>
          <w:szCs w:val="22"/>
          <w:lang w:val="sr-Latn-BA"/>
        </w:rPr>
        <w:t>mjesec</w:t>
      </w:r>
      <w:r w:rsidRPr="0051150C">
        <w:rPr>
          <w:noProof/>
          <w:szCs w:val="22"/>
          <w:lang w:val="sr-Latn-BA"/>
        </w:rPr>
        <w:t>i u grupi koja je u</w:t>
      </w:r>
      <w:r w:rsidR="00ED7524" w:rsidRPr="0051150C">
        <w:rPr>
          <w:noProof/>
          <w:szCs w:val="22"/>
          <w:lang w:val="sr-Latn-BA"/>
        </w:rPr>
        <w:t>zimala abirateron acetat</w:t>
      </w:r>
      <w:r w:rsidR="005060C3">
        <w:rPr>
          <w:noProof/>
          <w:szCs w:val="22"/>
          <w:lang w:val="sr-Latn-BA"/>
        </w:rPr>
        <w:t>,</w:t>
      </w:r>
      <w:r w:rsidR="00ED7524" w:rsidRPr="0051150C">
        <w:rPr>
          <w:noProof/>
          <w:szCs w:val="22"/>
          <w:lang w:val="sr-Latn-BA"/>
        </w:rPr>
        <w:t xml:space="preserve"> </w:t>
      </w:r>
      <w:r w:rsidR="00F52D0C" w:rsidRPr="0051150C">
        <w:rPr>
          <w:noProof/>
          <w:szCs w:val="22"/>
          <w:lang w:val="sr-Latn-BA"/>
        </w:rPr>
        <w:t>i 8</w:t>
      </w:r>
      <w:r w:rsidR="005060C3">
        <w:rPr>
          <w:noProof/>
          <w:szCs w:val="22"/>
          <w:lang w:val="sr-Latn-BA"/>
        </w:rPr>
        <w:t>,</w:t>
      </w:r>
      <w:r w:rsidRPr="0051150C">
        <w:rPr>
          <w:noProof/>
          <w:szCs w:val="22"/>
          <w:lang w:val="sr-Latn-BA"/>
        </w:rPr>
        <w:t xml:space="preserve">3 </w:t>
      </w:r>
      <w:r w:rsidR="00834D3E" w:rsidRPr="0051150C">
        <w:rPr>
          <w:noProof/>
          <w:szCs w:val="22"/>
          <w:lang w:val="sr-Latn-BA"/>
        </w:rPr>
        <w:t>mjesec</w:t>
      </w:r>
      <w:r w:rsidRPr="0051150C">
        <w:rPr>
          <w:noProof/>
          <w:szCs w:val="22"/>
          <w:lang w:val="sr-Latn-BA"/>
        </w:rPr>
        <w:t xml:space="preserve">a u grupi koja je dobijala placebo. </w:t>
      </w:r>
    </w:p>
    <w:p w14:paraId="73AD1A40" w14:textId="77777777" w:rsidR="00B437DC" w:rsidRPr="0051150C" w:rsidRDefault="00B437DC" w:rsidP="00B437DC">
      <w:pPr>
        <w:tabs>
          <w:tab w:val="clear" w:pos="284"/>
        </w:tabs>
        <w:autoSpaceDE w:val="0"/>
        <w:autoSpaceDN w:val="0"/>
        <w:adjustRightInd w:val="0"/>
        <w:rPr>
          <w:noProof/>
          <w:szCs w:val="22"/>
          <w:lang w:val="sr-Latn-BA"/>
        </w:rPr>
      </w:pPr>
    </w:p>
    <w:p w14:paraId="46A6B7E8" w14:textId="7E2BDC3D" w:rsidR="00B437DC" w:rsidRPr="0051150C" w:rsidRDefault="00B437DC" w:rsidP="00B437DC">
      <w:pPr>
        <w:tabs>
          <w:tab w:val="clear" w:pos="284"/>
        </w:tabs>
        <w:autoSpaceDE w:val="0"/>
        <w:autoSpaceDN w:val="0"/>
        <w:adjustRightInd w:val="0"/>
        <w:rPr>
          <w:i/>
          <w:iCs/>
          <w:noProof/>
          <w:szCs w:val="22"/>
          <w:u w:val="single"/>
          <w:lang w:val="sr-Latn-BA"/>
        </w:rPr>
      </w:pPr>
      <w:r w:rsidRPr="00A16A94">
        <w:rPr>
          <w:i/>
          <w:iCs/>
          <w:noProof/>
          <w:szCs w:val="22"/>
          <w:u w:val="single"/>
          <w:lang w:val="sr-Latn-BA"/>
        </w:rPr>
        <w:t>Studija 301 (pacijenti koji su prethodno primili hemioterapiju)</w:t>
      </w:r>
    </w:p>
    <w:p w14:paraId="7ABBBB2F" w14:textId="3199CFAC" w:rsidR="00B437DC" w:rsidRPr="0051150C" w:rsidRDefault="00B437DC" w:rsidP="00B437DC">
      <w:pPr>
        <w:tabs>
          <w:tab w:val="clear" w:pos="284"/>
        </w:tabs>
        <w:autoSpaceDE w:val="0"/>
        <w:autoSpaceDN w:val="0"/>
        <w:adjustRightInd w:val="0"/>
        <w:rPr>
          <w:noProof/>
          <w:szCs w:val="22"/>
          <w:lang w:val="sr-Latn-BA"/>
        </w:rPr>
      </w:pPr>
      <w:r w:rsidRPr="0051150C">
        <w:rPr>
          <w:noProof/>
          <w:szCs w:val="22"/>
          <w:lang w:val="sr-Latn-BA"/>
        </w:rPr>
        <w:t>Studija 301 je uključila pacijente koji su prethodno primali docetaksel. Nije bilo potrebno da kod pacijen</w:t>
      </w:r>
      <w:r w:rsidR="005060C3">
        <w:rPr>
          <w:noProof/>
          <w:szCs w:val="22"/>
          <w:lang w:val="sr-Latn-BA"/>
        </w:rPr>
        <w:t>a</w:t>
      </w:r>
      <w:r w:rsidRPr="0051150C">
        <w:rPr>
          <w:noProof/>
          <w:szCs w:val="22"/>
          <w:lang w:val="sr-Latn-BA"/>
        </w:rPr>
        <w:t xml:space="preserve">ta koji su primali docetaksel dođe do progresije bolesti, jer je toksičnost ove hemioterapije mogla da dovede do prekida terapije. Pacijenti su održavani na </w:t>
      </w:r>
      <w:r w:rsidR="00F52D0C" w:rsidRPr="0051150C">
        <w:rPr>
          <w:noProof/>
          <w:szCs w:val="22"/>
          <w:lang w:val="sr-Latn-BA"/>
        </w:rPr>
        <w:t>ispitivanoj</w:t>
      </w:r>
      <w:r w:rsidRPr="0051150C">
        <w:rPr>
          <w:noProof/>
          <w:szCs w:val="22"/>
          <w:lang w:val="sr-Latn-BA"/>
        </w:rPr>
        <w:t xml:space="preserve"> terapiji sve do progresije </w:t>
      </w:r>
      <w:r w:rsidR="00096FAA" w:rsidRPr="0051150C">
        <w:rPr>
          <w:noProof/>
          <w:szCs w:val="22"/>
          <w:lang w:val="sr-Latn-BA"/>
        </w:rPr>
        <w:t>vrijednost</w:t>
      </w:r>
      <w:r w:rsidRPr="0051150C">
        <w:rPr>
          <w:noProof/>
          <w:szCs w:val="22"/>
          <w:lang w:val="sr-Latn-BA"/>
        </w:rPr>
        <w:t xml:space="preserve">i PSA (potvrđeni rast od 25% u odnosu na početne/najniže </w:t>
      </w:r>
      <w:r w:rsidR="00096FAA" w:rsidRPr="0051150C">
        <w:rPr>
          <w:noProof/>
          <w:szCs w:val="22"/>
          <w:lang w:val="sr-Latn-BA"/>
        </w:rPr>
        <w:t>vrijednost</w:t>
      </w:r>
      <w:r w:rsidRPr="0051150C">
        <w:rPr>
          <w:noProof/>
          <w:szCs w:val="22"/>
          <w:lang w:val="sr-Latn-BA"/>
        </w:rPr>
        <w:t>i za svakog pacijenta) uz protokolom definisanu radiografsku progresiju i simptomatsku ili kliničku progresiju. Iz ove studije isključeni su pacijenti koji su prethodno primali ketokonazol kao terapiju za karcinom prostate. Primarni paramet</w:t>
      </w:r>
      <w:r w:rsidR="004A18EE" w:rsidRPr="0051150C">
        <w:rPr>
          <w:noProof/>
          <w:szCs w:val="22"/>
          <w:lang w:val="sr-Latn-BA"/>
        </w:rPr>
        <w:t>a</w:t>
      </w:r>
      <w:r w:rsidRPr="0051150C">
        <w:rPr>
          <w:noProof/>
          <w:szCs w:val="22"/>
          <w:lang w:val="sr-Latn-BA"/>
        </w:rPr>
        <w:t xml:space="preserve">r praćenja efikasnosti bio je ukupno preživljavanje. </w:t>
      </w:r>
    </w:p>
    <w:p w14:paraId="584042E5" w14:textId="56BFEB4B" w:rsidR="00B437DC" w:rsidRPr="0051150C" w:rsidRDefault="00F52D0C" w:rsidP="00B437DC">
      <w:pPr>
        <w:tabs>
          <w:tab w:val="clear" w:pos="284"/>
        </w:tabs>
        <w:autoSpaceDE w:val="0"/>
        <w:autoSpaceDN w:val="0"/>
        <w:adjustRightInd w:val="0"/>
        <w:rPr>
          <w:noProof/>
          <w:szCs w:val="22"/>
          <w:lang w:val="sr-Latn-BA"/>
        </w:rPr>
      </w:pPr>
      <w:r w:rsidRPr="0051150C">
        <w:rPr>
          <w:noProof/>
          <w:szCs w:val="22"/>
          <w:lang w:val="sr-Latn-BA"/>
        </w:rPr>
        <w:lastRenderedPageBreak/>
        <w:t>Srednja starost</w:t>
      </w:r>
      <w:r w:rsidR="00B437DC" w:rsidRPr="0051150C">
        <w:rPr>
          <w:noProof/>
          <w:szCs w:val="22"/>
          <w:lang w:val="sr-Latn-BA"/>
        </w:rPr>
        <w:t xml:space="preserve"> uključenih pacijenata bila je 69 godina (raspon 39-95). Broj pacijenata koji su u</w:t>
      </w:r>
      <w:r w:rsidR="00ED7524" w:rsidRPr="0051150C">
        <w:rPr>
          <w:noProof/>
          <w:szCs w:val="22"/>
          <w:lang w:val="sr-Latn-BA"/>
        </w:rPr>
        <w:t>zimali abirateron acetat</w:t>
      </w:r>
      <w:r w:rsidR="00B437DC" w:rsidRPr="0051150C">
        <w:rPr>
          <w:noProof/>
          <w:szCs w:val="22"/>
          <w:lang w:val="sr-Latn-BA"/>
        </w:rPr>
        <w:t>, prema rasnim grupama bio je sl</w:t>
      </w:r>
      <w:r w:rsidR="004A18EE" w:rsidRPr="0051150C">
        <w:rPr>
          <w:noProof/>
          <w:szCs w:val="22"/>
          <w:lang w:val="sr-Latn-BA"/>
        </w:rPr>
        <w:t>j</w:t>
      </w:r>
      <w:r w:rsidR="00B437DC" w:rsidRPr="0051150C">
        <w:rPr>
          <w:noProof/>
          <w:szCs w:val="22"/>
          <w:lang w:val="sr-Latn-BA"/>
        </w:rPr>
        <w:t>edeći: b</w:t>
      </w:r>
      <w:r w:rsidR="004A18EE" w:rsidRPr="0051150C">
        <w:rPr>
          <w:noProof/>
          <w:szCs w:val="22"/>
          <w:lang w:val="sr-Latn-BA"/>
        </w:rPr>
        <w:t>ij</w:t>
      </w:r>
      <w:r w:rsidR="00B437DC" w:rsidRPr="0051150C">
        <w:rPr>
          <w:noProof/>
          <w:szCs w:val="22"/>
          <w:lang w:val="sr-Latn-BA"/>
        </w:rPr>
        <w:t xml:space="preserve">ela rasa 737 (93,2%), crna rasa 28 (3,5%), azijati 11 (1,4%) i ostali 14 (1,8%). Prema ECOG klasifikaciji, 11% uključenih pacijenata imalo je rezultat 2; 70% </w:t>
      </w:r>
      <w:r w:rsidR="00B35C3C" w:rsidRPr="0051150C">
        <w:rPr>
          <w:noProof/>
          <w:szCs w:val="22"/>
          <w:lang w:val="sr-Latn-BA"/>
        </w:rPr>
        <w:t>pacijenata je</w:t>
      </w:r>
      <w:r w:rsidR="00B437DC" w:rsidRPr="0051150C">
        <w:rPr>
          <w:noProof/>
          <w:szCs w:val="22"/>
          <w:lang w:val="sr-Latn-BA"/>
        </w:rPr>
        <w:t xml:space="preserve"> </w:t>
      </w:r>
      <w:r w:rsidR="00B35C3C" w:rsidRPr="0051150C">
        <w:rPr>
          <w:noProof/>
          <w:szCs w:val="22"/>
          <w:lang w:val="sr-Latn-BA"/>
        </w:rPr>
        <w:t>imalo</w:t>
      </w:r>
      <w:r w:rsidR="00B437DC" w:rsidRPr="0051150C">
        <w:rPr>
          <w:noProof/>
          <w:szCs w:val="22"/>
          <w:lang w:val="sr-Latn-BA"/>
        </w:rPr>
        <w:t xml:space="preserve"> radiografske dokaze progresije bolesti sa ili bez progresije </w:t>
      </w:r>
      <w:r w:rsidR="00096FAA" w:rsidRPr="0051150C">
        <w:rPr>
          <w:noProof/>
          <w:szCs w:val="22"/>
          <w:lang w:val="sr-Latn-BA"/>
        </w:rPr>
        <w:t>vrijednost</w:t>
      </w:r>
      <w:r w:rsidR="00B437DC" w:rsidRPr="0051150C">
        <w:rPr>
          <w:noProof/>
          <w:szCs w:val="22"/>
          <w:lang w:val="sr-Latn-BA"/>
        </w:rPr>
        <w:t xml:space="preserve">i PSA; 70% pacijenata </w:t>
      </w:r>
      <w:r w:rsidR="005060C3">
        <w:rPr>
          <w:noProof/>
          <w:szCs w:val="22"/>
          <w:lang w:val="sr-Latn-BA"/>
        </w:rPr>
        <w:t>je</w:t>
      </w:r>
      <w:r w:rsidR="005060C3" w:rsidRPr="0051150C">
        <w:rPr>
          <w:noProof/>
          <w:szCs w:val="22"/>
          <w:lang w:val="sr-Latn-BA"/>
        </w:rPr>
        <w:t xml:space="preserve"> </w:t>
      </w:r>
      <w:r w:rsidR="00B437DC" w:rsidRPr="0051150C">
        <w:rPr>
          <w:noProof/>
          <w:szCs w:val="22"/>
          <w:lang w:val="sr-Latn-BA"/>
        </w:rPr>
        <w:t xml:space="preserve">prethodno </w:t>
      </w:r>
      <w:r w:rsidR="005060C3" w:rsidRPr="0051150C">
        <w:rPr>
          <w:noProof/>
          <w:szCs w:val="22"/>
          <w:lang w:val="sr-Latn-BA"/>
        </w:rPr>
        <w:t>primil</w:t>
      </w:r>
      <w:r w:rsidR="005060C3">
        <w:rPr>
          <w:noProof/>
          <w:szCs w:val="22"/>
          <w:lang w:val="sr-Latn-BA"/>
        </w:rPr>
        <w:t>o</w:t>
      </w:r>
      <w:r w:rsidR="005060C3" w:rsidRPr="0051150C">
        <w:rPr>
          <w:noProof/>
          <w:szCs w:val="22"/>
          <w:lang w:val="sr-Latn-BA"/>
        </w:rPr>
        <w:t xml:space="preserve"> </w:t>
      </w:r>
      <w:r w:rsidR="00B437DC" w:rsidRPr="0051150C">
        <w:rPr>
          <w:noProof/>
          <w:szCs w:val="22"/>
          <w:lang w:val="sr-Latn-BA"/>
        </w:rPr>
        <w:t xml:space="preserve">jednu citotoksičnu terapiju, a 30% pacijenata </w:t>
      </w:r>
      <w:r w:rsidR="005060C3">
        <w:rPr>
          <w:noProof/>
          <w:szCs w:val="22"/>
          <w:lang w:val="sr-Latn-BA"/>
        </w:rPr>
        <w:t>je</w:t>
      </w:r>
      <w:r w:rsidR="005060C3" w:rsidRPr="0051150C">
        <w:rPr>
          <w:noProof/>
          <w:szCs w:val="22"/>
          <w:lang w:val="sr-Latn-BA"/>
        </w:rPr>
        <w:t xml:space="preserve"> primil</w:t>
      </w:r>
      <w:r w:rsidR="005060C3">
        <w:rPr>
          <w:noProof/>
          <w:szCs w:val="22"/>
          <w:lang w:val="sr-Latn-BA"/>
        </w:rPr>
        <w:t>o</w:t>
      </w:r>
      <w:r w:rsidR="005060C3" w:rsidRPr="0051150C">
        <w:rPr>
          <w:noProof/>
          <w:szCs w:val="22"/>
          <w:lang w:val="sr-Latn-BA"/>
        </w:rPr>
        <w:t xml:space="preserve"> </w:t>
      </w:r>
      <w:r w:rsidR="00B437DC" w:rsidRPr="0051150C">
        <w:rPr>
          <w:noProof/>
          <w:szCs w:val="22"/>
          <w:lang w:val="sr-Latn-BA"/>
        </w:rPr>
        <w:t>dv</w:t>
      </w:r>
      <w:r w:rsidR="004A18EE" w:rsidRPr="0051150C">
        <w:rPr>
          <w:noProof/>
          <w:szCs w:val="22"/>
          <w:lang w:val="sr-Latn-BA"/>
        </w:rPr>
        <w:t>ij</w:t>
      </w:r>
      <w:r w:rsidR="00B437DC" w:rsidRPr="0051150C">
        <w:rPr>
          <w:noProof/>
          <w:szCs w:val="22"/>
          <w:lang w:val="sr-Latn-BA"/>
        </w:rPr>
        <w:t>e</w:t>
      </w:r>
      <w:r w:rsidR="00970130" w:rsidRPr="00970130">
        <w:rPr>
          <w:noProof/>
          <w:szCs w:val="22"/>
          <w:lang w:val="sr-Latn-BA"/>
        </w:rPr>
        <w:t xml:space="preserve"> citotoksičn</w:t>
      </w:r>
      <w:r w:rsidR="006F2218">
        <w:rPr>
          <w:noProof/>
          <w:szCs w:val="22"/>
          <w:lang w:val="sr-Latn-BA"/>
        </w:rPr>
        <w:t>e</w:t>
      </w:r>
      <w:r w:rsidR="00970130" w:rsidRPr="00970130">
        <w:rPr>
          <w:noProof/>
          <w:szCs w:val="22"/>
          <w:lang w:val="sr-Latn-BA"/>
        </w:rPr>
        <w:t xml:space="preserve"> terapij</w:t>
      </w:r>
      <w:r w:rsidR="00970130">
        <w:rPr>
          <w:noProof/>
          <w:szCs w:val="22"/>
          <w:lang w:val="sr-Latn-BA"/>
        </w:rPr>
        <w:t>e</w:t>
      </w:r>
      <w:r w:rsidR="00B437DC" w:rsidRPr="0051150C">
        <w:rPr>
          <w:noProof/>
          <w:szCs w:val="22"/>
          <w:lang w:val="sr-Latn-BA"/>
        </w:rPr>
        <w:t>. Metastaze na jetri su bile prisutne kod 11</w:t>
      </w:r>
      <w:r w:rsidR="00ED7524" w:rsidRPr="0051150C">
        <w:rPr>
          <w:noProof/>
          <w:szCs w:val="22"/>
          <w:lang w:val="sr-Latn-BA"/>
        </w:rPr>
        <w:t>% pacijenata koji su uzimali abirateron acetat</w:t>
      </w:r>
      <w:r w:rsidR="00B437DC" w:rsidRPr="0051150C">
        <w:rPr>
          <w:noProof/>
          <w:szCs w:val="22"/>
          <w:lang w:val="sr-Latn-BA"/>
        </w:rPr>
        <w:t>.</w:t>
      </w:r>
    </w:p>
    <w:p w14:paraId="3DBAE431" w14:textId="77777777" w:rsidR="00B437DC" w:rsidRPr="0051150C" w:rsidRDefault="00B437DC" w:rsidP="00B437DC">
      <w:pPr>
        <w:tabs>
          <w:tab w:val="clear" w:pos="284"/>
        </w:tabs>
        <w:autoSpaceDE w:val="0"/>
        <w:autoSpaceDN w:val="0"/>
        <w:adjustRightInd w:val="0"/>
        <w:rPr>
          <w:noProof/>
          <w:szCs w:val="22"/>
          <w:lang w:val="sr-Latn-BA"/>
        </w:rPr>
      </w:pPr>
    </w:p>
    <w:p w14:paraId="1FD4E92A" w14:textId="7AB0E6A9" w:rsidR="00B437DC" w:rsidRPr="0051150C" w:rsidRDefault="00B437DC" w:rsidP="00B437DC">
      <w:pPr>
        <w:tabs>
          <w:tab w:val="clear" w:pos="284"/>
        </w:tabs>
        <w:autoSpaceDE w:val="0"/>
        <w:autoSpaceDN w:val="0"/>
        <w:adjustRightInd w:val="0"/>
        <w:rPr>
          <w:noProof/>
          <w:szCs w:val="22"/>
          <w:lang w:val="sr-Latn-BA"/>
        </w:rPr>
      </w:pPr>
      <w:r w:rsidRPr="0051150C">
        <w:rPr>
          <w:noProof/>
          <w:szCs w:val="22"/>
          <w:lang w:val="sr-Latn-BA"/>
        </w:rPr>
        <w:t xml:space="preserve">U planiranoj analizi sprovedenoj nakon 552 </w:t>
      </w:r>
      <w:r w:rsidR="00A120E1" w:rsidRPr="0051150C">
        <w:rPr>
          <w:noProof/>
          <w:szCs w:val="22"/>
          <w:lang w:val="sr-Latn-BA"/>
        </w:rPr>
        <w:t>zabilježen</w:t>
      </w:r>
      <w:r w:rsidRPr="0051150C">
        <w:rPr>
          <w:noProof/>
          <w:szCs w:val="22"/>
          <w:lang w:val="sr-Latn-BA"/>
        </w:rPr>
        <w:t xml:space="preserve">a smrtna ishoda, umrlo je 42% (333 od 797) pacijenata koji su uzimali </w:t>
      </w:r>
      <w:r w:rsidR="00ED7524" w:rsidRPr="0051150C">
        <w:rPr>
          <w:noProof/>
          <w:szCs w:val="22"/>
          <w:lang w:val="sr-Latn-BA"/>
        </w:rPr>
        <w:t>abirateron acetat</w:t>
      </w:r>
      <w:r w:rsidR="005060C3">
        <w:rPr>
          <w:noProof/>
          <w:szCs w:val="22"/>
          <w:lang w:val="sr-Latn-BA"/>
        </w:rPr>
        <w:t>,</w:t>
      </w:r>
      <w:r w:rsidR="00ED7524" w:rsidRPr="0051150C">
        <w:rPr>
          <w:noProof/>
          <w:szCs w:val="22"/>
          <w:lang w:val="sr-Latn-BA"/>
        </w:rPr>
        <w:t xml:space="preserve"> </w:t>
      </w:r>
      <w:r w:rsidRPr="0051150C">
        <w:rPr>
          <w:noProof/>
          <w:szCs w:val="22"/>
          <w:lang w:val="sr-Latn-BA"/>
        </w:rPr>
        <w:t xml:space="preserve">u poređenju sa 55% (219 od 398) pacijenata koji su dobijali placebo. Kod pacijenata koji su uzimali </w:t>
      </w:r>
      <w:r w:rsidR="00ED7524" w:rsidRPr="0051150C">
        <w:rPr>
          <w:noProof/>
          <w:szCs w:val="22"/>
          <w:lang w:val="sr-Latn-BA"/>
        </w:rPr>
        <w:t xml:space="preserve">abirateron acetat </w:t>
      </w:r>
      <w:r w:rsidR="00A120E1" w:rsidRPr="0051150C">
        <w:rPr>
          <w:noProof/>
          <w:szCs w:val="22"/>
          <w:lang w:val="sr-Latn-BA"/>
        </w:rPr>
        <w:t>zabilježen</w:t>
      </w:r>
      <w:r w:rsidRPr="0051150C">
        <w:rPr>
          <w:noProof/>
          <w:szCs w:val="22"/>
          <w:lang w:val="sr-Latn-BA"/>
        </w:rPr>
        <w:t xml:space="preserve">o je statistički značajno poboljšanje u </w:t>
      </w:r>
      <w:r w:rsidR="00D23C1D" w:rsidRPr="0051150C">
        <w:rPr>
          <w:noProof/>
          <w:szCs w:val="22"/>
          <w:lang w:val="sr-Latn-BA"/>
        </w:rPr>
        <w:t xml:space="preserve">medijani </w:t>
      </w:r>
      <w:r w:rsidRPr="0051150C">
        <w:rPr>
          <w:noProof/>
          <w:szCs w:val="22"/>
          <w:lang w:val="sr-Latn-BA"/>
        </w:rPr>
        <w:t>ukupnog preživljavanja (</w:t>
      </w:r>
      <w:r w:rsidR="00096FAA" w:rsidRPr="0051150C">
        <w:rPr>
          <w:noProof/>
          <w:szCs w:val="22"/>
          <w:lang w:val="sr-Latn-BA"/>
        </w:rPr>
        <w:t>vidjeti</w:t>
      </w:r>
      <w:r w:rsidRPr="0051150C">
        <w:rPr>
          <w:noProof/>
          <w:szCs w:val="22"/>
          <w:lang w:val="sr-Latn-BA"/>
        </w:rPr>
        <w:t xml:space="preserve"> Tabelu 7).</w:t>
      </w:r>
    </w:p>
    <w:p w14:paraId="55BB8E91" w14:textId="7297F0F5" w:rsidR="004A7E03" w:rsidRPr="0051150C" w:rsidRDefault="004A7E03" w:rsidP="009173F4">
      <w:pPr>
        <w:rPr>
          <w:noProof/>
          <w:szCs w:val="22"/>
          <w:lang w:val="sr-Latn-BA"/>
        </w:rPr>
      </w:pPr>
    </w:p>
    <w:p w14:paraId="3F2174CD" w14:textId="08613469" w:rsidR="004A7E03" w:rsidRPr="0051150C" w:rsidRDefault="00B437DC" w:rsidP="00410EF6">
      <w:pPr>
        <w:pBdr>
          <w:bottom w:val="single" w:sz="4" w:space="1" w:color="auto"/>
        </w:pBdr>
        <w:tabs>
          <w:tab w:val="clear" w:pos="284"/>
        </w:tabs>
        <w:autoSpaceDE w:val="0"/>
        <w:autoSpaceDN w:val="0"/>
        <w:adjustRightInd w:val="0"/>
        <w:rPr>
          <w:rFonts w:eastAsia="TimesNewRoman,Bold"/>
          <w:b/>
          <w:bCs/>
          <w:noProof/>
          <w:szCs w:val="22"/>
          <w:lang w:val="sr-Latn-BA"/>
        </w:rPr>
      </w:pPr>
      <w:r w:rsidRPr="0051150C">
        <w:rPr>
          <w:rFonts w:eastAsia="TimesNewRoman,Bold"/>
          <w:b/>
          <w:bCs/>
          <w:noProof/>
          <w:szCs w:val="22"/>
          <w:lang w:val="sr-Latn-BA"/>
        </w:rPr>
        <w:t xml:space="preserve">Tabela 7: Ukupno preživljavanje pacijenata koji su uzimali </w:t>
      </w:r>
      <w:r w:rsidR="0021331C" w:rsidRPr="0051150C">
        <w:rPr>
          <w:rFonts w:eastAsia="TimesNewRoman,Bold"/>
          <w:b/>
          <w:bCs/>
          <w:noProof/>
          <w:szCs w:val="22"/>
          <w:lang w:val="sr-Latn-BA"/>
        </w:rPr>
        <w:t xml:space="preserve">ili abirateron acetat </w:t>
      </w:r>
      <w:r w:rsidRPr="0051150C">
        <w:rPr>
          <w:rFonts w:eastAsia="TimesNewRoman,Bold"/>
          <w:b/>
          <w:bCs/>
          <w:noProof/>
          <w:szCs w:val="22"/>
          <w:lang w:val="sr-Latn-BA"/>
        </w:rPr>
        <w:t>ili placebo u kombinaciji sa prednizonom ili prednizolonom uz analoge LHRH ili prethodnu orhiektomiju</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51"/>
        <w:gridCol w:w="493"/>
        <w:gridCol w:w="2513"/>
        <w:gridCol w:w="2970"/>
      </w:tblGrid>
      <w:tr w:rsidR="0021331C" w:rsidRPr="0051150C" w14:paraId="4870AB02" w14:textId="77777777" w:rsidTr="00410EF6">
        <w:tc>
          <w:tcPr>
            <w:tcW w:w="3051" w:type="dxa"/>
            <w:tcBorders>
              <w:top w:val="nil"/>
              <w:bottom w:val="single" w:sz="4" w:space="0" w:color="auto"/>
              <w:right w:val="nil"/>
            </w:tcBorders>
          </w:tcPr>
          <w:p w14:paraId="7A2BAB7C" w14:textId="2C9414A9" w:rsidR="0021331C" w:rsidRPr="0051150C" w:rsidRDefault="0021331C" w:rsidP="00B35C3C">
            <w:pPr>
              <w:tabs>
                <w:tab w:val="clear" w:pos="284"/>
              </w:tabs>
              <w:autoSpaceDE w:val="0"/>
              <w:autoSpaceDN w:val="0"/>
              <w:adjustRightInd w:val="0"/>
              <w:jc w:val="center"/>
              <w:rPr>
                <w:b/>
                <w:noProof/>
                <w:szCs w:val="22"/>
                <w:lang w:val="sr-Latn-BA"/>
              </w:rPr>
            </w:pPr>
          </w:p>
        </w:tc>
        <w:tc>
          <w:tcPr>
            <w:tcW w:w="3006" w:type="dxa"/>
            <w:gridSpan w:val="2"/>
            <w:tcBorders>
              <w:top w:val="nil"/>
              <w:left w:val="nil"/>
              <w:bottom w:val="single" w:sz="4" w:space="0" w:color="auto"/>
              <w:right w:val="nil"/>
            </w:tcBorders>
          </w:tcPr>
          <w:p w14:paraId="785EA1F7" w14:textId="1BB27DBB" w:rsidR="0021331C" w:rsidRPr="0051150C" w:rsidRDefault="0021331C" w:rsidP="00B35C3C">
            <w:pPr>
              <w:tabs>
                <w:tab w:val="clear" w:pos="284"/>
              </w:tabs>
              <w:autoSpaceDE w:val="0"/>
              <w:autoSpaceDN w:val="0"/>
              <w:adjustRightInd w:val="0"/>
              <w:jc w:val="center"/>
              <w:rPr>
                <w:noProof/>
                <w:szCs w:val="22"/>
                <w:lang w:val="sr-Latn-BA"/>
              </w:rPr>
            </w:pPr>
            <w:r w:rsidRPr="0051150C">
              <w:rPr>
                <w:noProof/>
                <w:szCs w:val="22"/>
                <w:lang w:val="sr-Latn-BA"/>
              </w:rPr>
              <w:t>Abirateron</w:t>
            </w:r>
            <w:r w:rsidR="005F2563">
              <w:rPr>
                <w:noProof/>
                <w:szCs w:val="22"/>
                <w:lang w:val="sr-Latn-BA"/>
              </w:rPr>
              <w:t xml:space="preserve"> </w:t>
            </w:r>
            <w:r w:rsidRPr="0051150C">
              <w:rPr>
                <w:noProof/>
                <w:szCs w:val="22"/>
                <w:lang w:val="sr-Latn-BA"/>
              </w:rPr>
              <w:t>acetat</w:t>
            </w:r>
          </w:p>
          <w:p w14:paraId="61786C8D" w14:textId="335C73E8" w:rsidR="0021331C" w:rsidRPr="0051150C" w:rsidRDefault="0021331C" w:rsidP="00B35C3C">
            <w:pPr>
              <w:tabs>
                <w:tab w:val="clear" w:pos="284"/>
              </w:tabs>
              <w:autoSpaceDE w:val="0"/>
              <w:autoSpaceDN w:val="0"/>
              <w:adjustRightInd w:val="0"/>
              <w:jc w:val="center"/>
              <w:rPr>
                <w:noProof/>
                <w:szCs w:val="22"/>
                <w:lang w:val="sr-Latn-BA"/>
              </w:rPr>
            </w:pPr>
            <w:r w:rsidRPr="0051150C">
              <w:rPr>
                <w:noProof/>
                <w:szCs w:val="22"/>
                <w:lang w:val="sr-Latn-BA"/>
              </w:rPr>
              <w:t>(N=</w:t>
            </w:r>
            <w:r w:rsidR="00ED7524" w:rsidRPr="0051150C">
              <w:rPr>
                <w:noProof/>
                <w:szCs w:val="22"/>
                <w:lang w:val="sr-Latn-BA"/>
              </w:rPr>
              <w:t>797</w:t>
            </w:r>
            <w:r w:rsidRPr="0051150C">
              <w:rPr>
                <w:noProof/>
                <w:szCs w:val="22"/>
                <w:lang w:val="sr-Latn-BA"/>
              </w:rPr>
              <w:t>)</w:t>
            </w:r>
          </w:p>
        </w:tc>
        <w:tc>
          <w:tcPr>
            <w:tcW w:w="2970" w:type="dxa"/>
            <w:tcBorders>
              <w:top w:val="nil"/>
              <w:left w:val="nil"/>
              <w:bottom w:val="single" w:sz="4" w:space="0" w:color="auto"/>
            </w:tcBorders>
          </w:tcPr>
          <w:p w14:paraId="63E945BF" w14:textId="77777777" w:rsidR="0021331C" w:rsidRPr="0051150C" w:rsidRDefault="0021331C" w:rsidP="00B35C3C">
            <w:pPr>
              <w:tabs>
                <w:tab w:val="clear" w:pos="284"/>
              </w:tabs>
              <w:autoSpaceDE w:val="0"/>
              <w:autoSpaceDN w:val="0"/>
              <w:adjustRightInd w:val="0"/>
              <w:jc w:val="center"/>
              <w:rPr>
                <w:noProof/>
                <w:szCs w:val="22"/>
                <w:lang w:val="sr-Latn-BA"/>
              </w:rPr>
            </w:pPr>
            <w:r w:rsidRPr="0051150C">
              <w:rPr>
                <w:noProof/>
                <w:szCs w:val="22"/>
                <w:lang w:val="sr-Latn-BA"/>
              </w:rPr>
              <w:t>Placebo</w:t>
            </w:r>
          </w:p>
          <w:p w14:paraId="07259924" w14:textId="705068B7" w:rsidR="0021331C" w:rsidRPr="0051150C" w:rsidRDefault="00ED7524" w:rsidP="00B35C3C">
            <w:pPr>
              <w:tabs>
                <w:tab w:val="clear" w:pos="284"/>
              </w:tabs>
              <w:autoSpaceDE w:val="0"/>
              <w:autoSpaceDN w:val="0"/>
              <w:adjustRightInd w:val="0"/>
              <w:jc w:val="center"/>
              <w:rPr>
                <w:noProof/>
                <w:szCs w:val="22"/>
                <w:lang w:val="sr-Latn-BA"/>
              </w:rPr>
            </w:pPr>
            <w:r w:rsidRPr="0051150C">
              <w:rPr>
                <w:noProof/>
                <w:szCs w:val="22"/>
                <w:lang w:val="sr-Latn-BA"/>
              </w:rPr>
              <w:t>(N=398</w:t>
            </w:r>
            <w:r w:rsidR="0021331C" w:rsidRPr="0051150C">
              <w:rPr>
                <w:noProof/>
                <w:szCs w:val="22"/>
                <w:lang w:val="sr-Latn-BA"/>
              </w:rPr>
              <w:t>)</w:t>
            </w:r>
          </w:p>
        </w:tc>
      </w:tr>
      <w:tr w:rsidR="00ED7524" w:rsidRPr="0051150C" w14:paraId="1816B2AC" w14:textId="77777777" w:rsidTr="00410EF6">
        <w:tc>
          <w:tcPr>
            <w:tcW w:w="3051" w:type="dxa"/>
            <w:tcBorders>
              <w:top w:val="single" w:sz="4" w:space="0" w:color="auto"/>
              <w:bottom w:val="nil"/>
              <w:right w:val="nil"/>
            </w:tcBorders>
          </w:tcPr>
          <w:p w14:paraId="79E9212C" w14:textId="35D1BEFF" w:rsidR="00ED7524" w:rsidRPr="0051150C" w:rsidRDefault="00B35C3C" w:rsidP="00B35C3C">
            <w:pPr>
              <w:tabs>
                <w:tab w:val="clear" w:pos="284"/>
              </w:tabs>
              <w:autoSpaceDE w:val="0"/>
              <w:autoSpaceDN w:val="0"/>
              <w:adjustRightInd w:val="0"/>
              <w:rPr>
                <w:b/>
                <w:noProof/>
                <w:szCs w:val="22"/>
                <w:lang w:val="sr-Latn-BA"/>
              </w:rPr>
            </w:pPr>
            <w:r w:rsidRPr="0051150C">
              <w:rPr>
                <w:b/>
                <w:noProof/>
                <w:szCs w:val="22"/>
                <w:lang w:val="sr-Latn-BA"/>
              </w:rPr>
              <w:t>Primarna analiza preživljavanja</w:t>
            </w:r>
          </w:p>
        </w:tc>
        <w:tc>
          <w:tcPr>
            <w:tcW w:w="3006" w:type="dxa"/>
            <w:gridSpan w:val="2"/>
            <w:tcBorders>
              <w:top w:val="single" w:sz="4" w:space="0" w:color="auto"/>
              <w:left w:val="nil"/>
              <w:bottom w:val="nil"/>
              <w:right w:val="nil"/>
            </w:tcBorders>
          </w:tcPr>
          <w:p w14:paraId="7FAAA0B9" w14:textId="77777777" w:rsidR="00ED7524" w:rsidRPr="0051150C" w:rsidRDefault="00ED7524" w:rsidP="00B35C3C">
            <w:pPr>
              <w:tabs>
                <w:tab w:val="clear" w:pos="284"/>
              </w:tabs>
              <w:autoSpaceDE w:val="0"/>
              <w:autoSpaceDN w:val="0"/>
              <w:adjustRightInd w:val="0"/>
              <w:jc w:val="center"/>
              <w:rPr>
                <w:noProof/>
                <w:szCs w:val="22"/>
                <w:lang w:val="sr-Latn-BA"/>
              </w:rPr>
            </w:pPr>
          </w:p>
        </w:tc>
        <w:tc>
          <w:tcPr>
            <w:tcW w:w="2970" w:type="dxa"/>
            <w:tcBorders>
              <w:top w:val="single" w:sz="4" w:space="0" w:color="auto"/>
              <w:left w:val="nil"/>
              <w:bottom w:val="nil"/>
            </w:tcBorders>
          </w:tcPr>
          <w:p w14:paraId="4FE4D044" w14:textId="77777777" w:rsidR="00ED7524" w:rsidRPr="0051150C" w:rsidRDefault="00ED7524" w:rsidP="00B35C3C">
            <w:pPr>
              <w:tabs>
                <w:tab w:val="clear" w:pos="284"/>
              </w:tabs>
              <w:autoSpaceDE w:val="0"/>
              <w:autoSpaceDN w:val="0"/>
              <w:adjustRightInd w:val="0"/>
              <w:jc w:val="center"/>
              <w:rPr>
                <w:noProof/>
                <w:szCs w:val="22"/>
                <w:lang w:val="sr-Latn-BA"/>
              </w:rPr>
            </w:pPr>
          </w:p>
        </w:tc>
      </w:tr>
      <w:tr w:rsidR="0021331C" w:rsidRPr="0051150C" w14:paraId="6435540C" w14:textId="77777777" w:rsidTr="00410EF6">
        <w:tc>
          <w:tcPr>
            <w:tcW w:w="3544" w:type="dxa"/>
            <w:gridSpan w:val="2"/>
            <w:tcBorders>
              <w:top w:val="nil"/>
              <w:bottom w:val="nil"/>
              <w:right w:val="nil"/>
            </w:tcBorders>
          </w:tcPr>
          <w:p w14:paraId="255D36A8" w14:textId="77777777" w:rsidR="0021331C" w:rsidRPr="0051150C" w:rsidRDefault="0021331C" w:rsidP="00B35C3C">
            <w:pPr>
              <w:tabs>
                <w:tab w:val="clear" w:pos="284"/>
              </w:tabs>
              <w:autoSpaceDE w:val="0"/>
              <w:autoSpaceDN w:val="0"/>
              <w:adjustRightInd w:val="0"/>
              <w:rPr>
                <w:noProof/>
                <w:szCs w:val="22"/>
                <w:lang w:val="sr-Latn-BA"/>
              </w:rPr>
            </w:pPr>
            <w:r w:rsidRPr="0051150C">
              <w:rPr>
                <w:noProof/>
                <w:szCs w:val="22"/>
                <w:lang w:val="sr-Latn-BA"/>
              </w:rPr>
              <w:t>Smrtni ishod (%)</w:t>
            </w:r>
          </w:p>
          <w:p w14:paraId="04069716" w14:textId="36DB9F17" w:rsidR="0021331C" w:rsidRPr="0051150C" w:rsidRDefault="0066552D" w:rsidP="00B35C3C">
            <w:pPr>
              <w:tabs>
                <w:tab w:val="clear" w:pos="284"/>
              </w:tabs>
              <w:autoSpaceDE w:val="0"/>
              <w:autoSpaceDN w:val="0"/>
              <w:adjustRightInd w:val="0"/>
              <w:rPr>
                <w:noProof/>
                <w:szCs w:val="22"/>
                <w:lang w:val="sr-Latn-BA"/>
              </w:rPr>
            </w:pPr>
            <w:r w:rsidRPr="0051150C">
              <w:rPr>
                <w:noProof/>
                <w:szCs w:val="22"/>
                <w:lang w:val="sr-Latn-BA"/>
              </w:rPr>
              <w:t>Medijana preživljavanja (</w:t>
            </w:r>
            <w:r w:rsidR="00834D3E" w:rsidRPr="0051150C">
              <w:rPr>
                <w:noProof/>
                <w:szCs w:val="22"/>
                <w:lang w:val="sr-Latn-BA"/>
              </w:rPr>
              <w:t>mjesec</w:t>
            </w:r>
            <w:r w:rsidRPr="0051150C">
              <w:rPr>
                <w:noProof/>
                <w:szCs w:val="22"/>
                <w:lang w:val="sr-Latn-BA"/>
              </w:rPr>
              <w:t>i)</w:t>
            </w:r>
          </w:p>
          <w:p w14:paraId="0BDEE87C" w14:textId="77777777" w:rsidR="0021331C" w:rsidRPr="0051150C" w:rsidRDefault="0021331C" w:rsidP="00B35C3C">
            <w:pPr>
              <w:tabs>
                <w:tab w:val="clear" w:pos="284"/>
              </w:tabs>
              <w:autoSpaceDE w:val="0"/>
              <w:autoSpaceDN w:val="0"/>
              <w:adjustRightInd w:val="0"/>
              <w:rPr>
                <w:noProof/>
                <w:szCs w:val="22"/>
                <w:lang w:val="sr-Latn-BA"/>
              </w:rPr>
            </w:pPr>
            <w:r w:rsidRPr="0051150C">
              <w:rPr>
                <w:noProof/>
                <w:szCs w:val="22"/>
                <w:lang w:val="sr-Latn-BA"/>
              </w:rPr>
              <w:t>(95% CI)</w:t>
            </w:r>
          </w:p>
        </w:tc>
        <w:tc>
          <w:tcPr>
            <w:tcW w:w="2513" w:type="dxa"/>
            <w:tcBorders>
              <w:top w:val="nil"/>
              <w:left w:val="nil"/>
              <w:bottom w:val="nil"/>
              <w:right w:val="nil"/>
            </w:tcBorders>
          </w:tcPr>
          <w:p w14:paraId="01898716" w14:textId="31C4E357" w:rsidR="0021331C" w:rsidRPr="0051150C" w:rsidRDefault="00ED7524" w:rsidP="00B35C3C">
            <w:pPr>
              <w:tabs>
                <w:tab w:val="clear" w:pos="284"/>
              </w:tabs>
              <w:autoSpaceDE w:val="0"/>
              <w:autoSpaceDN w:val="0"/>
              <w:adjustRightInd w:val="0"/>
              <w:jc w:val="center"/>
              <w:rPr>
                <w:noProof/>
                <w:szCs w:val="22"/>
                <w:lang w:val="sr-Latn-BA"/>
              </w:rPr>
            </w:pPr>
            <w:r w:rsidRPr="0051150C">
              <w:rPr>
                <w:noProof/>
                <w:szCs w:val="22"/>
                <w:lang w:val="sr-Latn-BA"/>
              </w:rPr>
              <w:t>333</w:t>
            </w:r>
            <w:r w:rsidR="0021331C" w:rsidRPr="0051150C">
              <w:rPr>
                <w:noProof/>
                <w:szCs w:val="22"/>
                <w:lang w:val="sr-Latn-BA"/>
              </w:rPr>
              <w:t xml:space="preserve"> (</w:t>
            </w:r>
            <w:r w:rsidRPr="0051150C">
              <w:rPr>
                <w:noProof/>
                <w:szCs w:val="22"/>
                <w:lang w:val="sr-Latn-BA"/>
              </w:rPr>
              <w:t>42</w:t>
            </w:r>
            <w:r w:rsidR="0021331C" w:rsidRPr="0051150C">
              <w:rPr>
                <w:noProof/>
                <w:szCs w:val="22"/>
                <w:lang w:val="sr-Latn-BA"/>
              </w:rPr>
              <w:t>%)</w:t>
            </w:r>
          </w:p>
          <w:p w14:paraId="141006A6" w14:textId="298E2E79" w:rsidR="0021331C" w:rsidRPr="0051150C" w:rsidRDefault="00B35C3C" w:rsidP="00B35C3C">
            <w:pPr>
              <w:tabs>
                <w:tab w:val="clear" w:pos="284"/>
              </w:tabs>
              <w:autoSpaceDE w:val="0"/>
              <w:autoSpaceDN w:val="0"/>
              <w:adjustRightInd w:val="0"/>
              <w:jc w:val="center"/>
              <w:rPr>
                <w:noProof/>
                <w:szCs w:val="22"/>
                <w:lang w:val="sr-Latn-BA"/>
              </w:rPr>
            </w:pPr>
            <w:r w:rsidRPr="0051150C">
              <w:rPr>
                <w:noProof/>
                <w:szCs w:val="22"/>
                <w:lang w:val="sr-Latn-BA"/>
              </w:rPr>
              <w:t>14</w:t>
            </w:r>
            <w:r w:rsidR="005F2563">
              <w:rPr>
                <w:noProof/>
                <w:szCs w:val="22"/>
                <w:lang w:val="sr-Latn-BA"/>
              </w:rPr>
              <w:t>,</w:t>
            </w:r>
            <w:r w:rsidR="00ED7524" w:rsidRPr="0051150C">
              <w:rPr>
                <w:noProof/>
                <w:szCs w:val="22"/>
                <w:lang w:val="sr-Latn-BA"/>
              </w:rPr>
              <w:t>8</w:t>
            </w:r>
          </w:p>
          <w:p w14:paraId="45DBD5DD" w14:textId="7974AEB5" w:rsidR="0021331C" w:rsidRPr="0051150C" w:rsidRDefault="0021331C" w:rsidP="005F2563">
            <w:pPr>
              <w:tabs>
                <w:tab w:val="clear" w:pos="284"/>
              </w:tabs>
              <w:autoSpaceDE w:val="0"/>
              <w:autoSpaceDN w:val="0"/>
              <w:adjustRightInd w:val="0"/>
              <w:jc w:val="center"/>
              <w:rPr>
                <w:noProof/>
                <w:szCs w:val="22"/>
                <w:lang w:val="sr-Latn-BA"/>
              </w:rPr>
            </w:pPr>
            <w:r w:rsidRPr="0051150C">
              <w:rPr>
                <w:noProof/>
                <w:szCs w:val="22"/>
                <w:lang w:val="sr-Latn-BA"/>
              </w:rPr>
              <w:t>(</w:t>
            </w:r>
            <w:r w:rsidR="00B35C3C" w:rsidRPr="0051150C">
              <w:rPr>
                <w:noProof/>
                <w:szCs w:val="22"/>
                <w:lang w:val="sr-Latn-BA"/>
              </w:rPr>
              <w:t>14</w:t>
            </w:r>
            <w:r w:rsidR="005F2563">
              <w:rPr>
                <w:noProof/>
                <w:szCs w:val="22"/>
                <w:lang w:val="sr-Latn-BA"/>
              </w:rPr>
              <w:t>,</w:t>
            </w:r>
            <w:r w:rsidR="00ED7524" w:rsidRPr="0051150C">
              <w:rPr>
                <w:noProof/>
                <w:szCs w:val="22"/>
                <w:lang w:val="sr-Latn-BA"/>
              </w:rPr>
              <w:t>1</w:t>
            </w:r>
            <w:r w:rsidRPr="0051150C">
              <w:rPr>
                <w:noProof/>
                <w:szCs w:val="22"/>
                <w:lang w:val="sr-Latn-BA"/>
              </w:rPr>
              <w:t xml:space="preserve">; </w:t>
            </w:r>
            <w:r w:rsidR="00B35C3C" w:rsidRPr="0051150C">
              <w:rPr>
                <w:noProof/>
                <w:szCs w:val="22"/>
                <w:lang w:val="sr-Latn-BA"/>
              </w:rPr>
              <w:t>15</w:t>
            </w:r>
            <w:r w:rsidR="005F2563">
              <w:rPr>
                <w:noProof/>
                <w:szCs w:val="22"/>
                <w:lang w:val="sr-Latn-BA"/>
              </w:rPr>
              <w:t>,</w:t>
            </w:r>
            <w:r w:rsidR="00ED7524" w:rsidRPr="0051150C">
              <w:rPr>
                <w:noProof/>
                <w:szCs w:val="22"/>
                <w:lang w:val="sr-Latn-BA"/>
              </w:rPr>
              <w:t>4</w:t>
            </w:r>
            <w:r w:rsidRPr="0051150C">
              <w:rPr>
                <w:noProof/>
                <w:szCs w:val="22"/>
                <w:lang w:val="sr-Latn-BA"/>
              </w:rPr>
              <w:t>)</w:t>
            </w:r>
          </w:p>
        </w:tc>
        <w:tc>
          <w:tcPr>
            <w:tcW w:w="2970" w:type="dxa"/>
            <w:tcBorders>
              <w:top w:val="nil"/>
              <w:left w:val="nil"/>
              <w:bottom w:val="nil"/>
            </w:tcBorders>
          </w:tcPr>
          <w:p w14:paraId="1DA8502C" w14:textId="2866AC61" w:rsidR="0021331C" w:rsidRPr="0051150C" w:rsidRDefault="00ED7524" w:rsidP="00B35C3C">
            <w:pPr>
              <w:tabs>
                <w:tab w:val="clear" w:pos="284"/>
              </w:tabs>
              <w:autoSpaceDE w:val="0"/>
              <w:autoSpaceDN w:val="0"/>
              <w:adjustRightInd w:val="0"/>
              <w:jc w:val="center"/>
              <w:rPr>
                <w:noProof/>
                <w:szCs w:val="22"/>
                <w:lang w:val="sr-Latn-BA"/>
              </w:rPr>
            </w:pPr>
            <w:r w:rsidRPr="0051150C">
              <w:rPr>
                <w:noProof/>
                <w:szCs w:val="22"/>
                <w:lang w:val="sr-Latn-BA"/>
              </w:rPr>
              <w:t>219 (55</w:t>
            </w:r>
            <w:r w:rsidR="0021331C" w:rsidRPr="0051150C">
              <w:rPr>
                <w:noProof/>
                <w:szCs w:val="22"/>
                <w:lang w:val="sr-Latn-BA"/>
              </w:rPr>
              <w:t>%)</w:t>
            </w:r>
          </w:p>
          <w:p w14:paraId="5D1871B6" w14:textId="0C5F604D" w:rsidR="0021331C" w:rsidRPr="0051150C" w:rsidRDefault="00B35C3C" w:rsidP="00B35C3C">
            <w:pPr>
              <w:tabs>
                <w:tab w:val="clear" w:pos="284"/>
              </w:tabs>
              <w:autoSpaceDE w:val="0"/>
              <w:autoSpaceDN w:val="0"/>
              <w:adjustRightInd w:val="0"/>
              <w:jc w:val="center"/>
              <w:rPr>
                <w:noProof/>
                <w:szCs w:val="22"/>
                <w:lang w:val="sr-Latn-BA"/>
              </w:rPr>
            </w:pPr>
            <w:r w:rsidRPr="0051150C">
              <w:rPr>
                <w:noProof/>
                <w:szCs w:val="22"/>
                <w:lang w:val="sr-Latn-BA"/>
              </w:rPr>
              <w:t>10</w:t>
            </w:r>
            <w:r w:rsidR="005F2563">
              <w:rPr>
                <w:noProof/>
                <w:szCs w:val="22"/>
                <w:lang w:val="sr-Latn-BA"/>
              </w:rPr>
              <w:t>,</w:t>
            </w:r>
            <w:r w:rsidR="00ED7524" w:rsidRPr="0051150C">
              <w:rPr>
                <w:noProof/>
                <w:szCs w:val="22"/>
                <w:lang w:val="sr-Latn-BA"/>
              </w:rPr>
              <w:t>9</w:t>
            </w:r>
          </w:p>
          <w:p w14:paraId="0DCF4922" w14:textId="4BE7E005" w:rsidR="0021331C" w:rsidRPr="0051150C" w:rsidRDefault="0021331C" w:rsidP="005F2563">
            <w:pPr>
              <w:tabs>
                <w:tab w:val="clear" w:pos="284"/>
              </w:tabs>
              <w:autoSpaceDE w:val="0"/>
              <w:autoSpaceDN w:val="0"/>
              <w:adjustRightInd w:val="0"/>
              <w:jc w:val="center"/>
              <w:rPr>
                <w:noProof/>
                <w:szCs w:val="22"/>
                <w:lang w:val="sr-Latn-BA"/>
              </w:rPr>
            </w:pPr>
            <w:r w:rsidRPr="0051150C">
              <w:rPr>
                <w:noProof/>
                <w:szCs w:val="22"/>
                <w:lang w:val="sr-Latn-BA"/>
              </w:rPr>
              <w:t>(</w:t>
            </w:r>
            <w:r w:rsidR="00B35C3C" w:rsidRPr="0051150C">
              <w:rPr>
                <w:noProof/>
                <w:szCs w:val="22"/>
                <w:lang w:val="sr-Latn-BA"/>
              </w:rPr>
              <w:t>10</w:t>
            </w:r>
            <w:r w:rsidR="005F2563">
              <w:rPr>
                <w:noProof/>
                <w:szCs w:val="22"/>
                <w:lang w:val="sr-Latn-BA"/>
              </w:rPr>
              <w:t>,</w:t>
            </w:r>
            <w:r w:rsidR="00B35C3C" w:rsidRPr="0051150C">
              <w:rPr>
                <w:noProof/>
                <w:szCs w:val="22"/>
                <w:lang w:val="sr-Latn-BA"/>
              </w:rPr>
              <w:t>2; 12</w:t>
            </w:r>
            <w:r w:rsidR="005F2563">
              <w:rPr>
                <w:noProof/>
                <w:szCs w:val="22"/>
                <w:lang w:val="sr-Latn-BA"/>
              </w:rPr>
              <w:t>,</w:t>
            </w:r>
            <w:r w:rsidR="00ED7524" w:rsidRPr="0051150C">
              <w:rPr>
                <w:noProof/>
                <w:szCs w:val="22"/>
                <w:lang w:val="sr-Latn-BA"/>
              </w:rPr>
              <w:t>0</w:t>
            </w:r>
            <w:r w:rsidRPr="0051150C">
              <w:rPr>
                <w:noProof/>
                <w:szCs w:val="22"/>
                <w:lang w:val="sr-Latn-BA"/>
              </w:rPr>
              <w:t>)</w:t>
            </w:r>
          </w:p>
        </w:tc>
      </w:tr>
      <w:tr w:rsidR="0021331C" w:rsidRPr="0051150C" w14:paraId="0EEAE877" w14:textId="77777777" w:rsidTr="00410EF6">
        <w:tc>
          <w:tcPr>
            <w:tcW w:w="3051" w:type="dxa"/>
            <w:tcBorders>
              <w:top w:val="nil"/>
              <w:bottom w:val="nil"/>
              <w:right w:val="nil"/>
            </w:tcBorders>
          </w:tcPr>
          <w:p w14:paraId="6CE64120" w14:textId="1CECC9E7" w:rsidR="0021331C" w:rsidRPr="0051150C" w:rsidRDefault="00F236BE" w:rsidP="00B35C3C">
            <w:pPr>
              <w:tabs>
                <w:tab w:val="clear" w:pos="284"/>
              </w:tabs>
              <w:autoSpaceDE w:val="0"/>
              <w:autoSpaceDN w:val="0"/>
              <w:adjustRightInd w:val="0"/>
              <w:rPr>
                <w:noProof/>
                <w:szCs w:val="22"/>
                <w:lang w:val="sr-Latn-BA"/>
              </w:rPr>
            </w:pPr>
            <w:r w:rsidRPr="0051150C">
              <w:rPr>
                <w:noProof/>
                <w:szCs w:val="22"/>
                <w:lang w:val="sr-Latn-BA"/>
              </w:rPr>
              <w:t>p-</w:t>
            </w:r>
            <w:r w:rsidR="00096FAA" w:rsidRPr="0051150C">
              <w:rPr>
                <w:noProof/>
                <w:szCs w:val="22"/>
                <w:lang w:val="sr-Latn-BA"/>
              </w:rPr>
              <w:t>vrijednost</w:t>
            </w:r>
            <w:r w:rsidRPr="0051150C">
              <w:rPr>
                <w:noProof/>
                <w:szCs w:val="22"/>
                <w:vertAlign w:val="superscript"/>
                <w:lang w:val="sr-Latn-BA"/>
              </w:rPr>
              <w:t>a</w:t>
            </w:r>
          </w:p>
        </w:tc>
        <w:tc>
          <w:tcPr>
            <w:tcW w:w="5976" w:type="dxa"/>
            <w:gridSpan w:val="3"/>
            <w:tcBorders>
              <w:top w:val="nil"/>
              <w:left w:val="nil"/>
              <w:bottom w:val="nil"/>
            </w:tcBorders>
          </w:tcPr>
          <w:p w14:paraId="585D50A0" w14:textId="1989F743" w:rsidR="0021331C" w:rsidRPr="0051150C" w:rsidRDefault="00ED7524" w:rsidP="005F2563">
            <w:pPr>
              <w:tabs>
                <w:tab w:val="clear" w:pos="284"/>
              </w:tabs>
              <w:autoSpaceDE w:val="0"/>
              <w:autoSpaceDN w:val="0"/>
              <w:adjustRightInd w:val="0"/>
              <w:jc w:val="center"/>
              <w:rPr>
                <w:noProof/>
                <w:szCs w:val="22"/>
                <w:lang w:val="sr-Latn-BA"/>
              </w:rPr>
            </w:pPr>
            <w:r w:rsidRPr="0051150C">
              <w:rPr>
                <w:noProof/>
                <w:szCs w:val="22"/>
                <w:lang w:val="sr-Latn-BA"/>
              </w:rPr>
              <w:t>&lt;</w:t>
            </w:r>
            <w:r w:rsidR="0021331C" w:rsidRPr="0051150C">
              <w:rPr>
                <w:noProof/>
                <w:szCs w:val="22"/>
                <w:lang w:val="sr-Latn-BA"/>
              </w:rPr>
              <w:t>0</w:t>
            </w:r>
            <w:r w:rsidR="005F2563">
              <w:rPr>
                <w:noProof/>
                <w:szCs w:val="22"/>
                <w:lang w:val="sr-Latn-BA"/>
              </w:rPr>
              <w:t>,</w:t>
            </w:r>
            <w:r w:rsidR="0021331C" w:rsidRPr="0051150C">
              <w:rPr>
                <w:noProof/>
                <w:szCs w:val="22"/>
                <w:lang w:val="sr-Latn-BA"/>
              </w:rPr>
              <w:t>00</w:t>
            </w:r>
            <w:r w:rsidRPr="0051150C">
              <w:rPr>
                <w:noProof/>
                <w:szCs w:val="22"/>
                <w:lang w:val="sr-Latn-BA"/>
              </w:rPr>
              <w:t>01</w:t>
            </w:r>
          </w:p>
        </w:tc>
      </w:tr>
      <w:tr w:rsidR="0021331C" w:rsidRPr="0051150C" w14:paraId="61547397" w14:textId="77777777" w:rsidTr="00410EF6">
        <w:tc>
          <w:tcPr>
            <w:tcW w:w="3051" w:type="dxa"/>
            <w:tcBorders>
              <w:top w:val="nil"/>
              <w:bottom w:val="single" w:sz="4" w:space="0" w:color="auto"/>
              <w:right w:val="nil"/>
            </w:tcBorders>
          </w:tcPr>
          <w:p w14:paraId="64E4C4A4" w14:textId="5CDF77D7" w:rsidR="0021331C" w:rsidRPr="0051150C" w:rsidRDefault="005F2563" w:rsidP="00B35C3C">
            <w:pPr>
              <w:tabs>
                <w:tab w:val="clear" w:pos="284"/>
              </w:tabs>
              <w:autoSpaceDE w:val="0"/>
              <w:autoSpaceDN w:val="0"/>
              <w:adjustRightInd w:val="0"/>
              <w:rPr>
                <w:i/>
                <w:noProof/>
                <w:szCs w:val="22"/>
                <w:lang w:val="sr-Latn-BA"/>
              </w:rPr>
            </w:pPr>
            <w:r w:rsidRPr="00DF315D">
              <w:rPr>
                <w:iCs/>
                <w:noProof/>
                <w:szCs w:val="22"/>
                <w:lang w:val="sr-Latn-BA"/>
              </w:rPr>
              <w:t>Odnos rizika</w:t>
            </w:r>
            <w:r w:rsidR="0021331C" w:rsidRPr="0051150C">
              <w:rPr>
                <w:i/>
                <w:noProof/>
                <w:szCs w:val="22"/>
                <w:lang w:val="sr-Latn-BA"/>
              </w:rPr>
              <w:t xml:space="preserve">** </w:t>
            </w:r>
            <w:r w:rsidR="0021331C" w:rsidRPr="0051150C">
              <w:rPr>
                <w:noProof/>
                <w:szCs w:val="22"/>
                <w:lang w:val="sr-Latn-BA"/>
              </w:rPr>
              <w:t>(95% CI)</w:t>
            </w:r>
            <w:r w:rsidR="00F236BE" w:rsidRPr="0051150C">
              <w:rPr>
                <w:noProof/>
                <w:szCs w:val="22"/>
                <w:vertAlign w:val="superscript"/>
                <w:lang w:val="sr-Latn-BA"/>
              </w:rPr>
              <w:t>b</w:t>
            </w:r>
          </w:p>
        </w:tc>
        <w:tc>
          <w:tcPr>
            <w:tcW w:w="5976" w:type="dxa"/>
            <w:gridSpan w:val="3"/>
            <w:tcBorders>
              <w:top w:val="nil"/>
              <w:left w:val="nil"/>
              <w:bottom w:val="single" w:sz="4" w:space="0" w:color="auto"/>
            </w:tcBorders>
          </w:tcPr>
          <w:p w14:paraId="3758B640" w14:textId="7250CD0B" w:rsidR="0021331C" w:rsidRPr="0051150C" w:rsidRDefault="00ED7524" w:rsidP="005F2563">
            <w:pPr>
              <w:tabs>
                <w:tab w:val="clear" w:pos="284"/>
              </w:tabs>
              <w:autoSpaceDE w:val="0"/>
              <w:autoSpaceDN w:val="0"/>
              <w:adjustRightInd w:val="0"/>
              <w:spacing w:after="240"/>
              <w:jc w:val="center"/>
              <w:rPr>
                <w:noProof/>
                <w:szCs w:val="22"/>
                <w:lang w:val="sr-Latn-BA"/>
              </w:rPr>
            </w:pPr>
            <w:r w:rsidRPr="0051150C">
              <w:rPr>
                <w:noProof/>
                <w:szCs w:val="22"/>
                <w:lang w:val="sr-Latn-BA"/>
              </w:rPr>
              <w:t>0</w:t>
            </w:r>
            <w:r w:rsidR="005F2563">
              <w:rPr>
                <w:noProof/>
                <w:szCs w:val="22"/>
                <w:lang w:val="sr-Latn-BA"/>
              </w:rPr>
              <w:t>,</w:t>
            </w:r>
            <w:r w:rsidRPr="0051150C">
              <w:rPr>
                <w:noProof/>
                <w:szCs w:val="22"/>
                <w:lang w:val="sr-Latn-BA"/>
              </w:rPr>
              <w:t>646 (0</w:t>
            </w:r>
            <w:r w:rsidR="005F2563">
              <w:rPr>
                <w:noProof/>
                <w:szCs w:val="22"/>
                <w:lang w:val="sr-Latn-BA"/>
              </w:rPr>
              <w:t>,</w:t>
            </w:r>
            <w:r w:rsidRPr="0051150C">
              <w:rPr>
                <w:noProof/>
                <w:szCs w:val="22"/>
                <w:lang w:val="sr-Latn-BA"/>
              </w:rPr>
              <w:t>543, 0</w:t>
            </w:r>
            <w:r w:rsidR="005F2563">
              <w:rPr>
                <w:noProof/>
                <w:szCs w:val="22"/>
                <w:lang w:val="sr-Latn-BA"/>
              </w:rPr>
              <w:t>,</w:t>
            </w:r>
            <w:r w:rsidRPr="0051150C">
              <w:rPr>
                <w:noProof/>
                <w:szCs w:val="22"/>
                <w:lang w:val="sr-Latn-BA"/>
              </w:rPr>
              <w:t>768</w:t>
            </w:r>
            <w:r w:rsidR="0021331C" w:rsidRPr="0051150C">
              <w:rPr>
                <w:noProof/>
                <w:szCs w:val="22"/>
                <w:lang w:val="sr-Latn-BA"/>
              </w:rPr>
              <w:t>)</w:t>
            </w:r>
          </w:p>
        </w:tc>
      </w:tr>
      <w:tr w:rsidR="0021331C" w:rsidRPr="0051150C" w14:paraId="2023D937" w14:textId="77777777" w:rsidTr="00410EF6">
        <w:tc>
          <w:tcPr>
            <w:tcW w:w="3051" w:type="dxa"/>
            <w:tcBorders>
              <w:top w:val="single" w:sz="4" w:space="0" w:color="auto"/>
              <w:bottom w:val="nil"/>
              <w:right w:val="nil"/>
            </w:tcBorders>
          </w:tcPr>
          <w:p w14:paraId="7FE3467C" w14:textId="2655F9AD" w:rsidR="0021331C" w:rsidRPr="0051150C" w:rsidRDefault="00B35C3C" w:rsidP="00B35C3C">
            <w:pPr>
              <w:tabs>
                <w:tab w:val="clear" w:pos="284"/>
              </w:tabs>
              <w:autoSpaceDE w:val="0"/>
              <w:autoSpaceDN w:val="0"/>
              <w:adjustRightInd w:val="0"/>
              <w:jc w:val="left"/>
              <w:rPr>
                <w:b/>
                <w:noProof/>
                <w:szCs w:val="22"/>
                <w:lang w:val="sr-Latn-BA"/>
              </w:rPr>
            </w:pPr>
            <w:r w:rsidRPr="0051150C">
              <w:rPr>
                <w:b/>
                <w:noProof/>
                <w:szCs w:val="22"/>
                <w:lang w:val="sr-Latn-BA"/>
              </w:rPr>
              <w:t>Ažurirana analiza preživljavanja</w:t>
            </w:r>
          </w:p>
        </w:tc>
        <w:tc>
          <w:tcPr>
            <w:tcW w:w="3006" w:type="dxa"/>
            <w:gridSpan w:val="2"/>
            <w:tcBorders>
              <w:top w:val="single" w:sz="4" w:space="0" w:color="auto"/>
              <w:left w:val="nil"/>
              <w:bottom w:val="nil"/>
              <w:right w:val="nil"/>
            </w:tcBorders>
          </w:tcPr>
          <w:p w14:paraId="162C04C9" w14:textId="22F99A09" w:rsidR="0021331C" w:rsidRPr="0051150C" w:rsidRDefault="0021331C" w:rsidP="00B35C3C">
            <w:pPr>
              <w:tabs>
                <w:tab w:val="clear" w:pos="284"/>
              </w:tabs>
              <w:autoSpaceDE w:val="0"/>
              <w:autoSpaceDN w:val="0"/>
              <w:adjustRightInd w:val="0"/>
              <w:jc w:val="center"/>
              <w:rPr>
                <w:noProof/>
                <w:szCs w:val="22"/>
                <w:lang w:val="sr-Latn-BA"/>
              </w:rPr>
            </w:pPr>
          </w:p>
        </w:tc>
        <w:tc>
          <w:tcPr>
            <w:tcW w:w="2970" w:type="dxa"/>
            <w:tcBorders>
              <w:top w:val="single" w:sz="4" w:space="0" w:color="auto"/>
              <w:left w:val="nil"/>
              <w:bottom w:val="nil"/>
            </w:tcBorders>
          </w:tcPr>
          <w:p w14:paraId="3C4E3A6A" w14:textId="2D6BFDF0" w:rsidR="0021331C" w:rsidRPr="0051150C" w:rsidRDefault="0021331C" w:rsidP="00B35C3C">
            <w:pPr>
              <w:tabs>
                <w:tab w:val="clear" w:pos="284"/>
              </w:tabs>
              <w:autoSpaceDE w:val="0"/>
              <w:autoSpaceDN w:val="0"/>
              <w:adjustRightInd w:val="0"/>
              <w:jc w:val="center"/>
              <w:rPr>
                <w:noProof/>
                <w:szCs w:val="22"/>
                <w:lang w:val="sr-Latn-BA"/>
              </w:rPr>
            </w:pPr>
          </w:p>
        </w:tc>
      </w:tr>
      <w:tr w:rsidR="0021331C" w:rsidRPr="0051150C" w14:paraId="564F90DC" w14:textId="77777777" w:rsidTr="00410EF6">
        <w:tc>
          <w:tcPr>
            <w:tcW w:w="3051" w:type="dxa"/>
            <w:tcBorders>
              <w:top w:val="nil"/>
              <w:bottom w:val="nil"/>
              <w:right w:val="nil"/>
            </w:tcBorders>
          </w:tcPr>
          <w:p w14:paraId="1A50CB41" w14:textId="77777777" w:rsidR="0021331C" w:rsidRPr="0051150C" w:rsidRDefault="0021331C" w:rsidP="00B35C3C">
            <w:pPr>
              <w:tabs>
                <w:tab w:val="clear" w:pos="284"/>
              </w:tabs>
              <w:autoSpaceDE w:val="0"/>
              <w:autoSpaceDN w:val="0"/>
              <w:adjustRightInd w:val="0"/>
              <w:rPr>
                <w:noProof/>
                <w:szCs w:val="22"/>
                <w:lang w:val="sr-Latn-BA"/>
              </w:rPr>
            </w:pPr>
            <w:r w:rsidRPr="0051150C">
              <w:rPr>
                <w:noProof/>
                <w:szCs w:val="22"/>
                <w:lang w:val="sr-Latn-BA"/>
              </w:rPr>
              <w:t>Smrtni ishod (%)</w:t>
            </w:r>
          </w:p>
        </w:tc>
        <w:tc>
          <w:tcPr>
            <w:tcW w:w="3006" w:type="dxa"/>
            <w:gridSpan w:val="2"/>
            <w:tcBorders>
              <w:top w:val="nil"/>
              <w:left w:val="nil"/>
              <w:bottom w:val="nil"/>
              <w:right w:val="nil"/>
            </w:tcBorders>
          </w:tcPr>
          <w:p w14:paraId="28923FE7" w14:textId="6F23A81F" w:rsidR="0021331C" w:rsidRPr="0051150C" w:rsidRDefault="00F236BE" w:rsidP="00B35C3C">
            <w:pPr>
              <w:tabs>
                <w:tab w:val="clear" w:pos="284"/>
              </w:tabs>
              <w:autoSpaceDE w:val="0"/>
              <w:autoSpaceDN w:val="0"/>
              <w:adjustRightInd w:val="0"/>
              <w:jc w:val="center"/>
              <w:rPr>
                <w:noProof/>
                <w:szCs w:val="22"/>
                <w:lang w:val="sr-Latn-BA"/>
              </w:rPr>
            </w:pPr>
            <w:r w:rsidRPr="0051150C">
              <w:rPr>
                <w:noProof/>
                <w:szCs w:val="22"/>
                <w:lang w:val="sr-Latn-BA"/>
              </w:rPr>
              <w:t>501 (63</w:t>
            </w:r>
            <w:r w:rsidR="0021331C" w:rsidRPr="0051150C">
              <w:rPr>
                <w:noProof/>
                <w:szCs w:val="22"/>
                <w:lang w:val="sr-Latn-BA"/>
              </w:rPr>
              <w:t>%)</w:t>
            </w:r>
          </w:p>
        </w:tc>
        <w:tc>
          <w:tcPr>
            <w:tcW w:w="2970" w:type="dxa"/>
            <w:tcBorders>
              <w:top w:val="nil"/>
              <w:left w:val="nil"/>
              <w:bottom w:val="nil"/>
            </w:tcBorders>
          </w:tcPr>
          <w:p w14:paraId="0DAA38BE" w14:textId="15B550B9" w:rsidR="0021331C" w:rsidRPr="0051150C" w:rsidRDefault="00F236BE" w:rsidP="00B35C3C">
            <w:pPr>
              <w:tabs>
                <w:tab w:val="clear" w:pos="284"/>
              </w:tabs>
              <w:autoSpaceDE w:val="0"/>
              <w:autoSpaceDN w:val="0"/>
              <w:adjustRightInd w:val="0"/>
              <w:jc w:val="center"/>
              <w:rPr>
                <w:noProof/>
                <w:szCs w:val="22"/>
                <w:lang w:val="sr-Latn-BA"/>
              </w:rPr>
            </w:pPr>
            <w:r w:rsidRPr="0051150C">
              <w:rPr>
                <w:noProof/>
                <w:szCs w:val="22"/>
                <w:lang w:val="sr-Latn-BA"/>
              </w:rPr>
              <w:t>274 (69</w:t>
            </w:r>
            <w:r w:rsidR="0021331C" w:rsidRPr="0051150C">
              <w:rPr>
                <w:noProof/>
                <w:szCs w:val="22"/>
                <w:lang w:val="sr-Latn-BA"/>
              </w:rPr>
              <w:t>%)</w:t>
            </w:r>
          </w:p>
        </w:tc>
      </w:tr>
      <w:tr w:rsidR="0021331C" w:rsidRPr="0051150C" w14:paraId="601ED23B" w14:textId="77777777" w:rsidTr="00410EF6">
        <w:tc>
          <w:tcPr>
            <w:tcW w:w="3051" w:type="dxa"/>
            <w:tcBorders>
              <w:top w:val="nil"/>
              <w:bottom w:val="nil"/>
              <w:right w:val="nil"/>
            </w:tcBorders>
          </w:tcPr>
          <w:p w14:paraId="45753ED5" w14:textId="31B37301" w:rsidR="0021331C" w:rsidRPr="0051150C" w:rsidRDefault="0066552D" w:rsidP="00B35C3C">
            <w:pPr>
              <w:tabs>
                <w:tab w:val="clear" w:pos="284"/>
              </w:tabs>
              <w:autoSpaceDE w:val="0"/>
              <w:autoSpaceDN w:val="0"/>
              <w:adjustRightInd w:val="0"/>
              <w:jc w:val="left"/>
              <w:rPr>
                <w:noProof/>
                <w:szCs w:val="22"/>
                <w:lang w:val="sr-Latn-BA"/>
              </w:rPr>
            </w:pPr>
            <w:r w:rsidRPr="0051150C">
              <w:rPr>
                <w:noProof/>
                <w:szCs w:val="22"/>
                <w:lang w:val="sr-Latn-BA"/>
              </w:rPr>
              <w:t>Medijana preživljavanja (</w:t>
            </w:r>
            <w:r w:rsidR="00834D3E" w:rsidRPr="0051150C">
              <w:rPr>
                <w:noProof/>
                <w:szCs w:val="22"/>
                <w:lang w:val="sr-Latn-BA"/>
              </w:rPr>
              <w:t>mjesec</w:t>
            </w:r>
            <w:r w:rsidRPr="0051150C">
              <w:rPr>
                <w:noProof/>
                <w:szCs w:val="22"/>
                <w:lang w:val="sr-Latn-BA"/>
              </w:rPr>
              <w:t>i)</w:t>
            </w:r>
            <w:r w:rsidR="0021331C" w:rsidRPr="0051150C">
              <w:rPr>
                <w:noProof/>
                <w:szCs w:val="22"/>
                <w:lang w:val="sr-Latn-BA"/>
              </w:rPr>
              <w:t xml:space="preserve"> </w:t>
            </w:r>
            <w:r w:rsidR="0021331C" w:rsidRPr="0051150C">
              <w:rPr>
                <w:noProof/>
                <w:szCs w:val="22"/>
                <w:lang w:val="sr-Latn-BA"/>
              </w:rPr>
              <w:br/>
              <w:t>(95% CI)</w:t>
            </w:r>
          </w:p>
        </w:tc>
        <w:tc>
          <w:tcPr>
            <w:tcW w:w="3006" w:type="dxa"/>
            <w:gridSpan w:val="2"/>
            <w:tcBorders>
              <w:top w:val="nil"/>
              <w:left w:val="nil"/>
              <w:bottom w:val="nil"/>
              <w:right w:val="nil"/>
            </w:tcBorders>
          </w:tcPr>
          <w:p w14:paraId="3DF85555" w14:textId="77777777" w:rsidR="0021331C" w:rsidRPr="0051150C" w:rsidRDefault="0021331C" w:rsidP="00B35C3C">
            <w:pPr>
              <w:tabs>
                <w:tab w:val="clear" w:pos="284"/>
              </w:tabs>
              <w:autoSpaceDE w:val="0"/>
              <w:autoSpaceDN w:val="0"/>
              <w:adjustRightInd w:val="0"/>
              <w:jc w:val="center"/>
              <w:rPr>
                <w:noProof/>
                <w:szCs w:val="22"/>
                <w:lang w:val="sr-Latn-BA"/>
              </w:rPr>
            </w:pPr>
          </w:p>
          <w:p w14:paraId="7AEE838E" w14:textId="605CA263" w:rsidR="0021331C" w:rsidRPr="0051150C" w:rsidRDefault="00B35C3C" w:rsidP="005F2563">
            <w:pPr>
              <w:tabs>
                <w:tab w:val="clear" w:pos="284"/>
              </w:tabs>
              <w:autoSpaceDE w:val="0"/>
              <w:autoSpaceDN w:val="0"/>
              <w:adjustRightInd w:val="0"/>
              <w:jc w:val="center"/>
              <w:rPr>
                <w:noProof/>
                <w:szCs w:val="22"/>
                <w:lang w:val="sr-Latn-BA"/>
              </w:rPr>
            </w:pPr>
            <w:r w:rsidRPr="0051150C">
              <w:rPr>
                <w:noProof/>
                <w:szCs w:val="22"/>
                <w:lang w:val="sr-Latn-BA"/>
              </w:rPr>
              <w:t>15</w:t>
            </w:r>
            <w:r w:rsidR="005F2563">
              <w:rPr>
                <w:noProof/>
                <w:szCs w:val="22"/>
                <w:lang w:val="sr-Latn-BA"/>
              </w:rPr>
              <w:t>,</w:t>
            </w:r>
            <w:r w:rsidRPr="0051150C">
              <w:rPr>
                <w:noProof/>
                <w:szCs w:val="22"/>
                <w:lang w:val="sr-Latn-BA"/>
              </w:rPr>
              <w:t>8</w:t>
            </w:r>
            <w:r w:rsidRPr="0051150C">
              <w:rPr>
                <w:noProof/>
                <w:szCs w:val="22"/>
                <w:lang w:val="sr-Latn-BA"/>
              </w:rPr>
              <w:br/>
              <w:t>(14</w:t>
            </w:r>
            <w:r w:rsidR="005F2563">
              <w:rPr>
                <w:noProof/>
                <w:szCs w:val="22"/>
                <w:lang w:val="sr-Latn-BA"/>
              </w:rPr>
              <w:t>,</w:t>
            </w:r>
            <w:r w:rsidRPr="0051150C">
              <w:rPr>
                <w:noProof/>
                <w:szCs w:val="22"/>
                <w:lang w:val="sr-Latn-BA"/>
              </w:rPr>
              <w:t>8; 17</w:t>
            </w:r>
            <w:r w:rsidR="005F2563">
              <w:rPr>
                <w:noProof/>
                <w:szCs w:val="22"/>
                <w:lang w:val="sr-Latn-BA"/>
              </w:rPr>
              <w:t>,</w:t>
            </w:r>
            <w:r w:rsidR="00F236BE" w:rsidRPr="0051150C">
              <w:rPr>
                <w:noProof/>
                <w:szCs w:val="22"/>
                <w:lang w:val="sr-Latn-BA"/>
              </w:rPr>
              <w:t>0</w:t>
            </w:r>
            <w:r w:rsidR="0021331C" w:rsidRPr="0051150C">
              <w:rPr>
                <w:noProof/>
                <w:szCs w:val="22"/>
                <w:lang w:val="sr-Latn-BA"/>
              </w:rPr>
              <w:t>)</w:t>
            </w:r>
          </w:p>
        </w:tc>
        <w:tc>
          <w:tcPr>
            <w:tcW w:w="2970" w:type="dxa"/>
            <w:tcBorders>
              <w:top w:val="nil"/>
              <w:left w:val="nil"/>
              <w:bottom w:val="nil"/>
            </w:tcBorders>
          </w:tcPr>
          <w:p w14:paraId="2B39CB15" w14:textId="77777777" w:rsidR="0021331C" w:rsidRPr="0051150C" w:rsidRDefault="0021331C" w:rsidP="00B35C3C">
            <w:pPr>
              <w:tabs>
                <w:tab w:val="clear" w:pos="284"/>
              </w:tabs>
              <w:autoSpaceDE w:val="0"/>
              <w:autoSpaceDN w:val="0"/>
              <w:adjustRightInd w:val="0"/>
              <w:jc w:val="center"/>
              <w:rPr>
                <w:noProof/>
                <w:szCs w:val="22"/>
                <w:lang w:val="sr-Latn-BA"/>
              </w:rPr>
            </w:pPr>
          </w:p>
          <w:p w14:paraId="6330BF11" w14:textId="25588B11" w:rsidR="0021331C" w:rsidRPr="0051150C" w:rsidRDefault="00B35C3C" w:rsidP="005F2563">
            <w:pPr>
              <w:tabs>
                <w:tab w:val="clear" w:pos="284"/>
              </w:tabs>
              <w:autoSpaceDE w:val="0"/>
              <w:autoSpaceDN w:val="0"/>
              <w:adjustRightInd w:val="0"/>
              <w:jc w:val="center"/>
              <w:rPr>
                <w:noProof/>
                <w:szCs w:val="22"/>
                <w:lang w:val="sr-Latn-BA"/>
              </w:rPr>
            </w:pPr>
            <w:r w:rsidRPr="0051150C">
              <w:rPr>
                <w:noProof/>
                <w:szCs w:val="22"/>
                <w:lang w:val="sr-Latn-BA"/>
              </w:rPr>
              <w:t>11</w:t>
            </w:r>
            <w:r w:rsidR="005F2563">
              <w:rPr>
                <w:noProof/>
                <w:szCs w:val="22"/>
                <w:lang w:val="sr-Latn-BA"/>
              </w:rPr>
              <w:t>,</w:t>
            </w:r>
            <w:r w:rsidRPr="0051150C">
              <w:rPr>
                <w:noProof/>
                <w:szCs w:val="22"/>
                <w:lang w:val="sr-Latn-BA"/>
              </w:rPr>
              <w:t>2</w:t>
            </w:r>
            <w:r w:rsidRPr="0051150C">
              <w:rPr>
                <w:noProof/>
                <w:szCs w:val="22"/>
                <w:lang w:val="sr-Latn-BA"/>
              </w:rPr>
              <w:br/>
              <w:t>(10</w:t>
            </w:r>
            <w:r w:rsidR="005F2563">
              <w:rPr>
                <w:noProof/>
                <w:szCs w:val="22"/>
                <w:lang w:val="sr-Latn-BA"/>
              </w:rPr>
              <w:t>,</w:t>
            </w:r>
            <w:r w:rsidRPr="0051150C">
              <w:rPr>
                <w:noProof/>
                <w:szCs w:val="22"/>
                <w:lang w:val="sr-Latn-BA"/>
              </w:rPr>
              <w:t>4; 13</w:t>
            </w:r>
            <w:r w:rsidR="005F2563">
              <w:rPr>
                <w:noProof/>
                <w:szCs w:val="22"/>
                <w:lang w:val="sr-Latn-BA"/>
              </w:rPr>
              <w:t>,</w:t>
            </w:r>
            <w:r w:rsidR="00F236BE" w:rsidRPr="0051150C">
              <w:rPr>
                <w:noProof/>
                <w:szCs w:val="22"/>
                <w:lang w:val="sr-Latn-BA"/>
              </w:rPr>
              <w:t>1</w:t>
            </w:r>
            <w:r w:rsidR="0021331C" w:rsidRPr="0051150C">
              <w:rPr>
                <w:noProof/>
                <w:szCs w:val="22"/>
                <w:lang w:val="sr-Latn-BA"/>
              </w:rPr>
              <w:t>)</w:t>
            </w:r>
          </w:p>
        </w:tc>
      </w:tr>
      <w:tr w:rsidR="0021331C" w:rsidRPr="0051150C" w14:paraId="54343CA2" w14:textId="77777777" w:rsidTr="00410EF6">
        <w:tc>
          <w:tcPr>
            <w:tcW w:w="3051" w:type="dxa"/>
            <w:tcBorders>
              <w:top w:val="nil"/>
              <w:bottom w:val="single" w:sz="4" w:space="0" w:color="auto"/>
              <w:right w:val="nil"/>
            </w:tcBorders>
          </w:tcPr>
          <w:p w14:paraId="2E1E815A" w14:textId="50DBDCC6" w:rsidR="0021331C" w:rsidRPr="0051150C" w:rsidRDefault="005F2563" w:rsidP="00B35C3C">
            <w:pPr>
              <w:tabs>
                <w:tab w:val="clear" w:pos="284"/>
              </w:tabs>
              <w:autoSpaceDE w:val="0"/>
              <w:autoSpaceDN w:val="0"/>
              <w:adjustRightInd w:val="0"/>
              <w:rPr>
                <w:noProof/>
                <w:szCs w:val="22"/>
                <w:lang w:val="sr-Latn-BA"/>
              </w:rPr>
            </w:pPr>
            <w:r w:rsidRPr="00DF315D">
              <w:rPr>
                <w:iCs/>
                <w:noProof/>
                <w:szCs w:val="22"/>
                <w:lang w:val="sr-Latn-BA"/>
              </w:rPr>
              <w:t>Odnos rizika</w:t>
            </w:r>
            <w:r w:rsidR="0021331C" w:rsidRPr="0051150C">
              <w:rPr>
                <w:noProof/>
                <w:szCs w:val="22"/>
                <w:lang w:val="sr-Latn-BA"/>
              </w:rPr>
              <w:t xml:space="preserve"> (95% CI)</w:t>
            </w:r>
            <w:r w:rsidR="00F236BE" w:rsidRPr="0051150C">
              <w:rPr>
                <w:noProof/>
                <w:szCs w:val="22"/>
                <w:vertAlign w:val="superscript"/>
                <w:lang w:val="sr-Latn-BA"/>
              </w:rPr>
              <w:t>b</w:t>
            </w:r>
          </w:p>
        </w:tc>
        <w:tc>
          <w:tcPr>
            <w:tcW w:w="5976" w:type="dxa"/>
            <w:gridSpan w:val="3"/>
            <w:tcBorders>
              <w:top w:val="nil"/>
              <w:left w:val="nil"/>
              <w:bottom w:val="single" w:sz="4" w:space="0" w:color="auto"/>
            </w:tcBorders>
          </w:tcPr>
          <w:p w14:paraId="63552333" w14:textId="3CE55E60" w:rsidR="0021331C" w:rsidRPr="0051150C" w:rsidRDefault="00B35C3C" w:rsidP="005F2563">
            <w:pPr>
              <w:tabs>
                <w:tab w:val="clear" w:pos="284"/>
              </w:tabs>
              <w:autoSpaceDE w:val="0"/>
              <w:autoSpaceDN w:val="0"/>
              <w:adjustRightInd w:val="0"/>
              <w:jc w:val="center"/>
              <w:rPr>
                <w:noProof/>
                <w:szCs w:val="22"/>
                <w:lang w:val="sr-Latn-BA"/>
              </w:rPr>
            </w:pPr>
            <w:r w:rsidRPr="0051150C">
              <w:rPr>
                <w:noProof/>
                <w:szCs w:val="22"/>
                <w:lang w:val="sr-Latn-BA"/>
              </w:rPr>
              <w:t>0</w:t>
            </w:r>
            <w:r w:rsidR="005F2563">
              <w:rPr>
                <w:noProof/>
                <w:szCs w:val="22"/>
                <w:lang w:val="sr-Latn-BA"/>
              </w:rPr>
              <w:t>,</w:t>
            </w:r>
            <w:r w:rsidRPr="0051150C">
              <w:rPr>
                <w:noProof/>
                <w:szCs w:val="22"/>
                <w:lang w:val="sr-Latn-BA"/>
              </w:rPr>
              <w:t>740 (0</w:t>
            </w:r>
            <w:r w:rsidR="005F2563">
              <w:rPr>
                <w:noProof/>
                <w:szCs w:val="22"/>
                <w:lang w:val="sr-Latn-BA"/>
              </w:rPr>
              <w:t>,</w:t>
            </w:r>
            <w:r w:rsidR="00F236BE" w:rsidRPr="0051150C">
              <w:rPr>
                <w:noProof/>
                <w:szCs w:val="22"/>
                <w:lang w:val="sr-Latn-BA"/>
              </w:rPr>
              <w:t>638</w:t>
            </w:r>
            <w:r w:rsidR="0021331C" w:rsidRPr="0051150C">
              <w:rPr>
                <w:noProof/>
                <w:szCs w:val="22"/>
                <w:lang w:val="sr-Latn-BA"/>
              </w:rPr>
              <w:t>; 0</w:t>
            </w:r>
            <w:r w:rsidR="005F2563">
              <w:rPr>
                <w:noProof/>
                <w:szCs w:val="22"/>
                <w:lang w:val="sr-Latn-BA"/>
              </w:rPr>
              <w:t>,</w:t>
            </w:r>
            <w:r w:rsidR="00F236BE" w:rsidRPr="0051150C">
              <w:rPr>
                <w:noProof/>
                <w:szCs w:val="22"/>
                <w:lang w:val="sr-Latn-BA"/>
              </w:rPr>
              <w:t>859</w:t>
            </w:r>
            <w:r w:rsidR="0021331C" w:rsidRPr="0051150C">
              <w:rPr>
                <w:noProof/>
                <w:szCs w:val="22"/>
                <w:lang w:val="sr-Latn-BA"/>
              </w:rPr>
              <w:t>)</w:t>
            </w:r>
          </w:p>
        </w:tc>
      </w:tr>
    </w:tbl>
    <w:p w14:paraId="6BBEDE7A" w14:textId="77777777" w:rsidR="00F236BE" w:rsidRPr="0051150C" w:rsidRDefault="00F236BE" w:rsidP="00F236BE">
      <w:pPr>
        <w:tabs>
          <w:tab w:val="clear" w:pos="284"/>
        </w:tabs>
        <w:autoSpaceDE w:val="0"/>
        <w:autoSpaceDN w:val="0"/>
        <w:adjustRightInd w:val="0"/>
        <w:jc w:val="left"/>
        <w:rPr>
          <w:noProof/>
          <w:szCs w:val="22"/>
          <w:lang w:val="sr-Latn-BA"/>
        </w:rPr>
      </w:pPr>
      <w:r w:rsidRPr="0051150C">
        <w:rPr>
          <w:noProof/>
          <w:szCs w:val="22"/>
          <w:lang w:val="sr-Latn-BA"/>
        </w:rPr>
        <w:t>CI – interval pouzdanosti</w:t>
      </w:r>
    </w:p>
    <w:p w14:paraId="4E507F28" w14:textId="46625860" w:rsidR="00F236BE" w:rsidRPr="0051150C" w:rsidRDefault="00F236BE" w:rsidP="00F236BE">
      <w:pPr>
        <w:tabs>
          <w:tab w:val="clear" w:pos="284"/>
        </w:tabs>
        <w:autoSpaceDE w:val="0"/>
        <w:autoSpaceDN w:val="0"/>
        <w:adjustRightInd w:val="0"/>
        <w:rPr>
          <w:noProof/>
          <w:szCs w:val="22"/>
          <w:lang w:val="sr-Latn-BA"/>
        </w:rPr>
      </w:pPr>
      <w:r w:rsidRPr="0051150C">
        <w:rPr>
          <w:noProof/>
          <w:szCs w:val="22"/>
          <w:vertAlign w:val="superscript"/>
          <w:lang w:val="sr-Latn-BA"/>
        </w:rPr>
        <w:t>a</w:t>
      </w:r>
      <w:r w:rsidRPr="0051150C">
        <w:rPr>
          <w:noProof/>
          <w:szCs w:val="22"/>
          <w:lang w:val="sr-Latn-BA"/>
        </w:rPr>
        <w:t xml:space="preserve"> p-</w:t>
      </w:r>
      <w:r w:rsidR="00096FAA" w:rsidRPr="0051150C">
        <w:rPr>
          <w:noProof/>
          <w:szCs w:val="22"/>
          <w:lang w:val="sr-Latn-BA"/>
        </w:rPr>
        <w:t>vrijednost</w:t>
      </w:r>
      <w:r w:rsidRPr="0051150C">
        <w:rPr>
          <w:noProof/>
          <w:szCs w:val="22"/>
          <w:lang w:val="sr-Latn-BA"/>
        </w:rPr>
        <w:t xml:space="preserve"> je izvedena iz log-</w:t>
      </w:r>
      <w:r w:rsidR="005F2563" w:rsidRPr="0051150C">
        <w:rPr>
          <w:noProof/>
          <w:szCs w:val="22"/>
          <w:lang w:val="sr-Latn-BA"/>
        </w:rPr>
        <w:t>ran</w:t>
      </w:r>
      <w:r w:rsidR="005F2563">
        <w:rPr>
          <w:noProof/>
          <w:szCs w:val="22"/>
          <w:lang w:val="sr-Latn-BA"/>
        </w:rPr>
        <w:t>k</w:t>
      </w:r>
      <w:r w:rsidR="005F2563" w:rsidRPr="0051150C">
        <w:rPr>
          <w:noProof/>
          <w:szCs w:val="22"/>
          <w:lang w:val="sr-Latn-BA"/>
        </w:rPr>
        <w:t xml:space="preserve"> </w:t>
      </w:r>
      <w:r w:rsidRPr="0051150C">
        <w:rPr>
          <w:noProof/>
          <w:szCs w:val="22"/>
          <w:lang w:val="sr-Latn-BA"/>
        </w:rPr>
        <w:t xml:space="preserve">testa stratifikovanog prema </w:t>
      </w:r>
      <w:r w:rsidR="00096FAA" w:rsidRPr="0051150C">
        <w:rPr>
          <w:noProof/>
          <w:szCs w:val="22"/>
          <w:lang w:val="sr-Latn-BA"/>
        </w:rPr>
        <w:t>vrijednost</w:t>
      </w:r>
      <w:r w:rsidRPr="0051150C">
        <w:rPr>
          <w:noProof/>
          <w:szCs w:val="22"/>
          <w:lang w:val="sr-Latn-BA"/>
        </w:rPr>
        <w:t>i ECOG funkcionalnog statusa (0-1 ili 2), rezultatu bola (prisutan ili odsutan), broju prethodnih režima hemioterapije (1 ili 2), i tipu progresije bolesti (samo PSA ili radiografska progresija).</w:t>
      </w:r>
    </w:p>
    <w:p w14:paraId="3B8101AF" w14:textId="740A6E2D" w:rsidR="00B437DC" w:rsidRPr="0051150C" w:rsidRDefault="00F236BE" w:rsidP="00B35C3C">
      <w:pPr>
        <w:tabs>
          <w:tab w:val="clear" w:pos="284"/>
        </w:tabs>
        <w:autoSpaceDE w:val="0"/>
        <w:autoSpaceDN w:val="0"/>
        <w:adjustRightInd w:val="0"/>
        <w:rPr>
          <w:noProof/>
          <w:szCs w:val="22"/>
          <w:lang w:val="sr-Latn-BA"/>
        </w:rPr>
      </w:pPr>
      <w:r w:rsidRPr="0051150C">
        <w:rPr>
          <w:noProof/>
          <w:szCs w:val="22"/>
          <w:vertAlign w:val="superscript"/>
          <w:lang w:val="sr-Latn-BA"/>
        </w:rPr>
        <w:t>b</w:t>
      </w:r>
      <w:r w:rsidRPr="0051150C">
        <w:rPr>
          <w:noProof/>
          <w:szCs w:val="22"/>
          <w:lang w:val="sr-Latn-BA"/>
        </w:rPr>
        <w:t xml:space="preserve"> </w:t>
      </w:r>
      <w:r w:rsidR="005F2563" w:rsidRPr="00DF315D">
        <w:rPr>
          <w:iCs/>
          <w:noProof/>
          <w:szCs w:val="22"/>
          <w:lang w:val="sr-Latn-BA"/>
        </w:rPr>
        <w:t>Odnos rizika</w:t>
      </w:r>
      <w:r w:rsidRPr="0051150C">
        <w:rPr>
          <w:i/>
          <w:iCs/>
          <w:noProof/>
          <w:szCs w:val="22"/>
          <w:lang w:val="sr-Latn-BA"/>
        </w:rPr>
        <w:t xml:space="preserve"> </w:t>
      </w:r>
      <w:r w:rsidRPr="0051150C">
        <w:rPr>
          <w:noProof/>
          <w:szCs w:val="22"/>
          <w:lang w:val="sr-Latn-BA"/>
        </w:rPr>
        <w:t xml:space="preserve">je izveden iz stratifikovanog modela </w:t>
      </w:r>
      <w:r w:rsidR="005F2563" w:rsidRPr="0051150C">
        <w:rPr>
          <w:noProof/>
          <w:szCs w:val="22"/>
          <w:lang w:val="sr-Latn-BA"/>
        </w:rPr>
        <w:t>proporcionaln</w:t>
      </w:r>
      <w:r w:rsidR="005F2563">
        <w:rPr>
          <w:noProof/>
          <w:szCs w:val="22"/>
          <w:lang w:val="sr-Latn-BA"/>
        </w:rPr>
        <w:t>ih</w:t>
      </w:r>
      <w:r w:rsidR="005F2563" w:rsidRPr="0051150C">
        <w:rPr>
          <w:noProof/>
          <w:szCs w:val="22"/>
          <w:lang w:val="sr-Latn-BA"/>
        </w:rPr>
        <w:t xml:space="preserve"> </w:t>
      </w:r>
      <w:r w:rsidR="005F2563">
        <w:rPr>
          <w:noProof/>
          <w:szCs w:val="22"/>
          <w:lang w:val="sr-Latn-BA"/>
        </w:rPr>
        <w:t>rizika</w:t>
      </w:r>
      <w:r w:rsidRPr="0051150C">
        <w:rPr>
          <w:noProof/>
          <w:szCs w:val="22"/>
          <w:lang w:val="sr-Latn-BA"/>
        </w:rPr>
        <w:t xml:space="preserve">. </w:t>
      </w:r>
      <w:r w:rsidR="005F2563" w:rsidRPr="00DF315D">
        <w:rPr>
          <w:iCs/>
          <w:noProof/>
          <w:szCs w:val="22"/>
          <w:lang w:val="sr-Latn-BA"/>
        </w:rPr>
        <w:t>Odnos rizika</w:t>
      </w:r>
      <w:r w:rsidRPr="0051150C">
        <w:rPr>
          <w:i/>
          <w:iCs/>
          <w:noProof/>
          <w:szCs w:val="22"/>
          <w:lang w:val="sr-Latn-BA"/>
        </w:rPr>
        <w:t xml:space="preserve"> </w:t>
      </w:r>
      <w:r w:rsidRPr="0051150C">
        <w:rPr>
          <w:noProof/>
          <w:szCs w:val="22"/>
          <w:lang w:val="sr-Latn-BA"/>
        </w:rPr>
        <w:t>&lt;1 daje</w:t>
      </w:r>
      <w:r w:rsidR="00B35C3C" w:rsidRPr="0051150C">
        <w:rPr>
          <w:noProof/>
          <w:szCs w:val="22"/>
          <w:lang w:val="sr-Latn-BA"/>
        </w:rPr>
        <w:t xml:space="preserve"> </w:t>
      </w:r>
      <w:r w:rsidRPr="0051150C">
        <w:rPr>
          <w:noProof/>
          <w:szCs w:val="22"/>
          <w:lang w:val="sr-Latn-BA"/>
        </w:rPr>
        <w:t xml:space="preserve">prednost abirateron </w:t>
      </w:r>
      <w:r w:rsidR="00B35C3C" w:rsidRPr="0051150C">
        <w:rPr>
          <w:noProof/>
          <w:szCs w:val="22"/>
          <w:lang w:val="sr-Latn-BA"/>
        </w:rPr>
        <w:t>acetat</w:t>
      </w:r>
      <w:r w:rsidR="004A4DDA" w:rsidRPr="0051150C">
        <w:rPr>
          <w:noProof/>
          <w:szCs w:val="22"/>
          <w:lang w:val="sr-Latn-BA"/>
        </w:rPr>
        <w:t>u.</w:t>
      </w:r>
    </w:p>
    <w:p w14:paraId="0EEA5CA1" w14:textId="77777777" w:rsidR="00B35C3C" w:rsidRPr="0051150C" w:rsidRDefault="00B35C3C" w:rsidP="00B35C3C">
      <w:pPr>
        <w:tabs>
          <w:tab w:val="clear" w:pos="284"/>
        </w:tabs>
        <w:autoSpaceDE w:val="0"/>
        <w:autoSpaceDN w:val="0"/>
        <w:adjustRightInd w:val="0"/>
        <w:rPr>
          <w:noProof/>
          <w:szCs w:val="22"/>
          <w:lang w:val="sr-Latn-BA"/>
        </w:rPr>
      </w:pPr>
    </w:p>
    <w:p w14:paraId="0AC635E6" w14:textId="524CAD7B" w:rsidR="00B35C3C" w:rsidRPr="0051150C" w:rsidRDefault="00F236BE" w:rsidP="00B35C3C">
      <w:pPr>
        <w:tabs>
          <w:tab w:val="clear" w:pos="284"/>
        </w:tabs>
        <w:autoSpaceDE w:val="0"/>
        <w:autoSpaceDN w:val="0"/>
        <w:adjustRightInd w:val="0"/>
        <w:rPr>
          <w:noProof/>
          <w:szCs w:val="22"/>
          <w:lang w:val="sr-Latn-BA"/>
        </w:rPr>
      </w:pPr>
      <w:r w:rsidRPr="0051150C">
        <w:rPr>
          <w:noProof/>
          <w:szCs w:val="22"/>
          <w:lang w:val="sr-Latn-BA"/>
        </w:rPr>
        <w:t>U svim vremenskim tačkama u kojima su rađene proc</w:t>
      </w:r>
      <w:r w:rsidR="004A4DDA" w:rsidRPr="0051150C">
        <w:rPr>
          <w:noProof/>
          <w:szCs w:val="22"/>
          <w:lang w:val="sr-Latn-BA"/>
        </w:rPr>
        <w:t>j</w:t>
      </w:r>
      <w:r w:rsidRPr="0051150C">
        <w:rPr>
          <w:noProof/>
          <w:szCs w:val="22"/>
          <w:lang w:val="sr-Latn-BA"/>
        </w:rPr>
        <w:t>ene posl</w:t>
      </w:r>
      <w:r w:rsidR="004A4DDA" w:rsidRPr="0051150C">
        <w:rPr>
          <w:noProof/>
          <w:szCs w:val="22"/>
          <w:lang w:val="sr-Latn-BA"/>
        </w:rPr>
        <w:t>ij</w:t>
      </w:r>
      <w:r w:rsidRPr="0051150C">
        <w:rPr>
          <w:noProof/>
          <w:szCs w:val="22"/>
          <w:lang w:val="sr-Latn-BA"/>
        </w:rPr>
        <w:t xml:space="preserve">e nekoliko početnih </w:t>
      </w:r>
      <w:r w:rsidR="00834D3E" w:rsidRPr="0051150C">
        <w:rPr>
          <w:noProof/>
          <w:szCs w:val="22"/>
          <w:lang w:val="sr-Latn-BA"/>
        </w:rPr>
        <w:t>mjesec</w:t>
      </w:r>
      <w:r w:rsidRPr="0051150C">
        <w:rPr>
          <w:noProof/>
          <w:szCs w:val="22"/>
          <w:lang w:val="sr-Latn-BA"/>
        </w:rPr>
        <w:t>i terapije, preživ</w:t>
      </w:r>
      <w:r w:rsidR="004A4DDA" w:rsidRPr="0051150C">
        <w:rPr>
          <w:noProof/>
          <w:szCs w:val="22"/>
          <w:lang w:val="sr-Latn-BA"/>
        </w:rPr>
        <w:t>i</w:t>
      </w:r>
      <w:r w:rsidRPr="0051150C">
        <w:rPr>
          <w:noProof/>
          <w:szCs w:val="22"/>
          <w:lang w:val="sr-Latn-BA"/>
        </w:rPr>
        <w:t>o je veći ud</w:t>
      </w:r>
      <w:r w:rsidR="004A4DDA" w:rsidRPr="0051150C">
        <w:rPr>
          <w:noProof/>
          <w:szCs w:val="22"/>
          <w:lang w:val="sr-Latn-BA"/>
        </w:rPr>
        <w:t>i</w:t>
      </w:r>
      <w:r w:rsidRPr="0051150C">
        <w:rPr>
          <w:noProof/>
          <w:szCs w:val="22"/>
          <w:lang w:val="sr-Latn-BA"/>
        </w:rPr>
        <w:t>o</w:t>
      </w:r>
      <w:r w:rsidR="00500BE2" w:rsidRPr="0051150C">
        <w:rPr>
          <w:noProof/>
          <w:szCs w:val="22"/>
          <w:lang w:val="sr-Latn-BA"/>
        </w:rPr>
        <w:t xml:space="preserve"> pacijenata koji su uzimali abirateron acetat </w:t>
      </w:r>
      <w:r w:rsidRPr="0051150C">
        <w:rPr>
          <w:noProof/>
          <w:szCs w:val="22"/>
          <w:lang w:val="sr-Latn-BA"/>
        </w:rPr>
        <w:t>u poređenju sa ud</w:t>
      </w:r>
      <w:r w:rsidR="004A4DDA" w:rsidRPr="0051150C">
        <w:rPr>
          <w:noProof/>
          <w:szCs w:val="22"/>
          <w:lang w:val="sr-Latn-BA"/>
        </w:rPr>
        <w:t>j</w:t>
      </w:r>
      <w:r w:rsidRPr="0051150C">
        <w:rPr>
          <w:noProof/>
          <w:szCs w:val="22"/>
          <w:lang w:val="sr-Latn-BA"/>
        </w:rPr>
        <w:t>elom pacijenata koji su dobijali placebo (</w:t>
      </w:r>
      <w:r w:rsidR="00096FAA" w:rsidRPr="0051150C">
        <w:rPr>
          <w:noProof/>
          <w:szCs w:val="22"/>
          <w:lang w:val="sr-Latn-BA"/>
        </w:rPr>
        <w:t>vidjeti</w:t>
      </w:r>
      <w:r w:rsidR="00B35C3C" w:rsidRPr="0051150C">
        <w:rPr>
          <w:noProof/>
          <w:szCs w:val="22"/>
          <w:lang w:val="sr-Latn-BA"/>
        </w:rPr>
        <w:t xml:space="preserve"> Sliku 6).</w:t>
      </w:r>
    </w:p>
    <w:p w14:paraId="0E8E746C" w14:textId="0220229E" w:rsidR="00B35C3C" w:rsidRPr="0051150C" w:rsidRDefault="00B35C3C" w:rsidP="00B35C3C">
      <w:pPr>
        <w:tabs>
          <w:tab w:val="clear" w:pos="284"/>
        </w:tabs>
        <w:autoSpaceDE w:val="0"/>
        <w:autoSpaceDN w:val="0"/>
        <w:adjustRightInd w:val="0"/>
        <w:rPr>
          <w:noProof/>
          <w:szCs w:val="22"/>
          <w:lang w:val="sr-Latn-BA"/>
        </w:rPr>
      </w:pPr>
    </w:p>
    <w:p w14:paraId="39F0BFF6" w14:textId="6E03904D" w:rsidR="00F236BE" w:rsidRDefault="00F236BE" w:rsidP="00F236BE">
      <w:pPr>
        <w:tabs>
          <w:tab w:val="clear" w:pos="284"/>
        </w:tabs>
        <w:autoSpaceDE w:val="0"/>
        <w:autoSpaceDN w:val="0"/>
        <w:adjustRightInd w:val="0"/>
        <w:rPr>
          <w:rFonts w:eastAsia="TimesNewRoman,Bold"/>
          <w:b/>
          <w:bCs/>
          <w:noProof/>
          <w:szCs w:val="22"/>
          <w:lang w:val="sr-Latn-BA"/>
        </w:rPr>
      </w:pPr>
      <w:r w:rsidRPr="0051150C">
        <w:rPr>
          <w:rFonts w:eastAsia="TimesNewRoman,Bold"/>
          <w:b/>
          <w:bCs/>
          <w:noProof/>
          <w:szCs w:val="22"/>
          <w:lang w:val="sr-Latn-BA"/>
        </w:rPr>
        <w:t xml:space="preserve">Slika 6: </w:t>
      </w:r>
      <w:r w:rsidRPr="0051150C">
        <w:rPr>
          <w:rFonts w:eastAsia="TimesNewRoman,Bold"/>
          <w:b/>
          <w:bCs/>
          <w:i/>
          <w:iCs/>
          <w:noProof/>
          <w:szCs w:val="22"/>
          <w:lang w:val="sr-Latn-BA"/>
        </w:rPr>
        <w:t>Kaplan-Meier</w:t>
      </w:r>
      <w:r w:rsidR="005F2563">
        <w:rPr>
          <w:rFonts w:eastAsia="TimesNewRoman,Bold"/>
          <w:b/>
          <w:bCs/>
          <w:iCs/>
          <w:noProof/>
          <w:szCs w:val="22"/>
          <w:lang w:val="sr-Latn-BA"/>
        </w:rPr>
        <w:t>-ove</w:t>
      </w:r>
      <w:r w:rsidRPr="0051150C">
        <w:rPr>
          <w:rFonts w:eastAsia="TimesNewRoman,Bold"/>
          <w:b/>
          <w:bCs/>
          <w:i/>
          <w:iCs/>
          <w:noProof/>
          <w:szCs w:val="22"/>
          <w:lang w:val="sr-Latn-BA"/>
        </w:rPr>
        <w:t xml:space="preserve"> </w:t>
      </w:r>
      <w:r w:rsidRPr="0051150C">
        <w:rPr>
          <w:rFonts w:eastAsia="TimesNewRoman,Bold"/>
          <w:b/>
          <w:bCs/>
          <w:noProof/>
          <w:szCs w:val="22"/>
          <w:lang w:val="sr-Latn-BA"/>
        </w:rPr>
        <w:t>krive preživljavanja pac</w:t>
      </w:r>
      <w:r w:rsidR="004F067E" w:rsidRPr="0051150C">
        <w:rPr>
          <w:rFonts w:eastAsia="TimesNewRoman,Bold"/>
          <w:b/>
          <w:bCs/>
          <w:noProof/>
          <w:szCs w:val="22"/>
          <w:lang w:val="sr-Latn-BA"/>
        </w:rPr>
        <w:t xml:space="preserve">ijenata koji su uzimali ili abirateron acetat </w:t>
      </w:r>
      <w:r w:rsidRPr="0051150C">
        <w:rPr>
          <w:rFonts w:eastAsia="TimesNewRoman,Bold"/>
          <w:b/>
          <w:bCs/>
          <w:noProof/>
          <w:szCs w:val="22"/>
          <w:lang w:val="sr-Latn-BA"/>
        </w:rPr>
        <w:t>ili placebo u kombinaciji sa prednizonom ili prednizolonom uz analoge LHRH ili prethodnu orhiektomiju</w:t>
      </w:r>
    </w:p>
    <w:p w14:paraId="19C3CE1D" w14:textId="50B769C6" w:rsidR="00CE46F6" w:rsidRDefault="00CE46F6" w:rsidP="00F236BE">
      <w:pPr>
        <w:tabs>
          <w:tab w:val="clear" w:pos="284"/>
        </w:tabs>
        <w:autoSpaceDE w:val="0"/>
        <w:autoSpaceDN w:val="0"/>
        <w:adjustRightInd w:val="0"/>
        <w:rPr>
          <w:rFonts w:eastAsia="TimesNewRoman,Bold"/>
          <w:b/>
          <w:bCs/>
          <w:noProof/>
          <w:szCs w:val="22"/>
          <w:lang w:val="sr-Latn-BA"/>
        </w:rPr>
      </w:pPr>
      <w:r w:rsidRPr="00CE46F6">
        <w:rPr>
          <w:rFonts w:eastAsia="TimesNewRoman,Bold"/>
          <w:b/>
          <w:bCs/>
          <w:noProof/>
          <w:szCs w:val="22"/>
        </w:rPr>
        <w:lastRenderedPageBreak/>
        <w:drawing>
          <wp:inline distT="0" distB="0" distL="0" distR="0" wp14:anchorId="52A5360E" wp14:editId="2ADFCFC3">
            <wp:extent cx="5476875" cy="3866029"/>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4399" cy="3871340"/>
                    </a:xfrm>
                    <a:prstGeom prst="rect">
                      <a:avLst/>
                    </a:prstGeom>
                    <a:noFill/>
                    <a:ln>
                      <a:noFill/>
                    </a:ln>
                  </pic:spPr>
                </pic:pic>
              </a:graphicData>
            </a:graphic>
          </wp:inline>
        </w:drawing>
      </w:r>
    </w:p>
    <w:p w14:paraId="6592B682" w14:textId="77777777" w:rsidR="00CE46F6" w:rsidRPr="0051150C" w:rsidRDefault="00CE46F6" w:rsidP="00F236BE">
      <w:pPr>
        <w:tabs>
          <w:tab w:val="clear" w:pos="284"/>
        </w:tabs>
        <w:autoSpaceDE w:val="0"/>
        <w:autoSpaceDN w:val="0"/>
        <w:adjustRightInd w:val="0"/>
        <w:rPr>
          <w:rFonts w:eastAsia="TimesNewRoman,Bold"/>
          <w:b/>
          <w:bCs/>
          <w:noProof/>
          <w:szCs w:val="22"/>
          <w:lang w:val="sr-Latn-BA"/>
        </w:rPr>
      </w:pPr>
    </w:p>
    <w:p w14:paraId="74DCAF97" w14:textId="0C668E1C" w:rsidR="00F236BE" w:rsidRPr="0051150C" w:rsidRDefault="00F236BE" w:rsidP="004F067E">
      <w:pPr>
        <w:jc w:val="center"/>
        <w:rPr>
          <w:rFonts w:eastAsia="TimesNewRoman,Bold"/>
          <w:b/>
          <w:bCs/>
          <w:noProof/>
          <w:szCs w:val="22"/>
          <w:lang w:val="sr-Latn-BA"/>
        </w:rPr>
      </w:pPr>
    </w:p>
    <w:p w14:paraId="4BA8892F" w14:textId="588C5968" w:rsidR="006F2218" w:rsidRDefault="00D10BC6" w:rsidP="00500BE2">
      <w:pPr>
        <w:tabs>
          <w:tab w:val="clear" w:pos="284"/>
        </w:tabs>
        <w:autoSpaceDE w:val="0"/>
        <w:autoSpaceDN w:val="0"/>
        <w:adjustRightInd w:val="0"/>
        <w:rPr>
          <w:noProof/>
          <w:szCs w:val="22"/>
          <w:lang w:val="sr-Latn-BA"/>
        </w:rPr>
      </w:pPr>
      <w:r>
        <w:rPr>
          <w:noProof/>
          <w:szCs w:val="22"/>
          <w:lang w:val="sr-Latn-BA"/>
        </w:rPr>
        <w:t>AA=</w:t>
      </w:r>
      <w:r w:rsidR="006F2218">
        <w:rPr>
          <w:noProof/>
          <w:szCs w:val="22"/>
          <w:lang w:val="sr-Latn-BA"/>
        </w:rPr>
        <w:t>a</w:t>
      </w:r>
      <w:r>
        <w:rPr>
          <w:noProof/>
          <w:szCs w:val="22"/>
          <w:lang w:val="sr-Latn-BA"/>
        </w:rPr>
        <w:t>b</w:t>
      </w:r>
      <w:r w:rsidR="006F2218">
        <w:rPr>
          <w:noProof/>
          <w:szCs w:val="22"/>
          <w:lang w:val="sr-Latn-BA"/>
        </w:rPr>
        <w:t>irateron acetat</w:t>
      </w:r>
    </w:p>
    <w:p w14:paraId="256D8022" w14:textId="77777777" w:rsidR="005F2563" w:rsidRDefault="005F2563" w:rsidP="00500BE2">
      <w:pPr>
        <w:tabs>
          <w:tab w:val="clear" w:pos="284"/>
        </w:tabs>
        <w:autoSpaceDE w:val="0"/>
        <w:autoSpaceDN w:val="0"/>
        <w:adjustRightInd w:val="0"/>
        <w:rPr>
          <w:noProof/>
          <w:szCs w:val="22"/>
          <w:lang w:val="sr-Latn-BA"/>
        </w:rPr>
      </w:pPr>
    </w:p>
    <w:p w14:paraId="6D057CEF" w14:textId="34C4A44E" w:rsidR="00F236BE" w:rsidRPr="0051150C" w:rsidRDefault="00F236BE" w:rsidP="00500BE2">
      <w:pPr>
        <w:tabs>
          <w:tab w:val="clear" w:pos="284"/>
        </w:tabs>
        <w:autoSpaceDE w:val="0"/>
        <w:autoSpaceDN w:val="0"/>
        <w:adjustRightInd w:val="0"/>
        <w:rPr>
          <w:noProof/>
          <w:szCs w:val="22"/>
          <w:lang w:val="sr-Latn-BA"/>
        </w:rPr>
      </w:pPr>
      <w:r w:rsidRPr="0051150C">
        <w:rPr>
          <w:noProof/>
          <w:szCs w:val="22"/>
          <w:lang w:val="sr-Latn-BA"/>
        </w:rPr>
        <w:t>Analize preživljavanja po podgrupama pokazale s</w:t>
      </w:r>
      <w:r w:rsidR="00500BE2" w:rsidRPr="0051150C">
        <w:rPr>
          <w:noProof/>
          <w:szCs w:val="22"/>
          <w:lang w:val="sr-Latn-BA"/>
        </w:rPr>
        <w:t>u dosl</w:t>
      </w:r>
      <w:r w:rsidR="009E1679">
        <w:rPr>
          <w:noProof/>
          <w:szCs w:val="22"/>
          <w:lang w:val="sr-Latn-BA"/>
        </w:rPr>
        <w:t>j</w:t>
      </w:r>
      <w:r w:rsidR="00500BE2" w:rsidRPr="0051150C">
        <w:rPr>
          <w:noProof/>
          <w:szCs w:val="22"/>
          <w:lang w:val="sr-Latn-BA"/>
        </w:rPr>
        <w:t xml:space="preserve">ednu korist </w:t>
      </w:r>
      <w:r w:rsidR="005F2563">
        <w:rPr>
          <w:noProof/>
          <w:szCs w:val="22"/>
          <w:lang w:val="sr-Latn-BA"/>
        </w:rPr>
        <w:t xml:space="preserve">od </w:t>
      </w:r>
      <w:r w:rsidR="00500BE2" w:rsidRPr="0051150C">
        <w:rPr>
          <w:noProof/>
          <w:szCs w:val="22"/>
          <w:lang w:val="sr-Latn-BA"/>
        </w:rPr>
        <w:t>terapije abirateron acetatom</w:t>
      </w:r>
      <w:r w:rsidRPr="0051150C">
        <w:rPr>
          <w:noProof/>
          <w:szCs w:val="22"/>
          <w:lang w:val="sr-Latn-BA"/>
        </w:rPr>
        <w:t>, kada se radi o preživljavanju (</w:t>
      </w:r>
      <w:r w:rsidR="00096FAA" w:rsidRPr="0051150C">
        <w:rPr>
          <w:noProof/>
          <w:szCs w:val="22"/>
          <w:lang w:val="sr-Latn-BA"/>
        </w:rPr>
        <w:t>vidjeti</w:t>
      </w:r>
      <w:r w:rsidRPr="0051150C">
        <w:rPr>
          <w:noProof/>
          <w:szCs w:val="22"/>
          <w:lang w:val="sr-Latn-BA"/>
        </w:rPr>
        <w:t xml:space="preserve"> Sliku 7).</w:t>
      </w:r>
    </w:p>
    <w:p w14:paraId="157BDE04" w14:textId="77777777" w:rsidR="00500BE2" w:rsidRPr="0051150C" w:rsidRDefault="00500BE2" w:rsidP="00500BE2">
      <w:pPr>
        <w:tabs>
          <w:tab w:val="clear" w:pos="284"/>
        </w:tabs>
        <w:autoSpaceDE w:val="0"/>
        <w:autoSpaceDN w:val="0"/>
        <w:adjustRightInd w:val="0"/>
        <w:rPr>
          <w:noProof/>
          <w:szCs w:val="22"/>
          <w:lang w:val="sr-Latn-BA"/>
        </w:rPr>
      </w:pPr>
    </w:p>
    <w:p w14:paraId="03528432" w14:textId="4F31AB55" w:rsidR="00B35C3C" w:rsidRPr="0051150C" w:rsidRDefault="00F236BE" w:rsidP="00500BE2">
      <w:pPr>
        <w:spacing w:line="276" w:lineRule="auto"/>
        <w:rPr>
          <w:rFonts w:eastAsia="TimesNewRoman,Bold"/>
          <w:b/>
          <w:bCs/>
          <w:noProof/>
          <w:szCs w:val="22"/>
          <w:lang w:val="sr-Latn-BA"/>
        </w:rPr>
      </w:pPr>
      <w:r w:rsidRPr="0051150C">
        <w:rPr>
          <w:rFonts w:eastAsia="TimesNewRoman,Bold"/>
          <w:b/>
          <w:bCs/>
          <w:noProof/>
          <w:szCs w:val="22"/>
          <w:lang w:val="sr-Latn-BA"/>
        </w:rPr>
        <w:t xml:space="preserve">Slika 7: Ukupno preživljavanje, po podgrupama: </w:t>
      </w:r>
      <w:r w:rsidR="005F2563" w:rsidRPr="00954137">
        <w:rPr>
          <w:b/>
          <w:iCs/>
          <w:noProof/>
          <w:szCs w:val="22"/>
          <w:lang w:val="sr-Latn-BA"/>
        </w:rPr>
        <w:t>odnos rizika</w:t>
      </w:r>
      <w:r w:rsidRPr="0051150C">
        <w:rPr>
          <w:rFonts w:eastAsia="TimesNewRoman,Bold"/>
          <w:b/>
          <w:bCs/>
          <w:i/>
          <w:iCs/>
          <w:noProof/>
          <w:szCs w:val="22"/>
          <w:lang w:val="sr-Latn-BA"/>
        </w:rPr>
        <w:t xml:space="preserve"> </w:t>
      </w:r>
      <w:r w:rsidRPr="0051150C">
        <w:rPr>
          <w:rFonts w:eastAsia="TimesNewRoman,Bold"/>
          <w:b/>
          <w:bCs/>
          <w:noProof/>
          <w:szCs w:val="22"/>
          <w:lang w:val="sr-Latn-BA"/>
        </w:rPr>
        <w:t>i interval pouzdanosti 95%</w:t>
      </w:r>
    </w:p>
    <w:p w14:paraId="51C3DF37" w14:textId="77777777" w:rsidR="00500BE2" w:rsidRPr="0051150C" w:rsidRDefault="00500BE2" w:rsidP="00500BE2">
      <w:pPr>
        <w:spacing w:line="276" w:lineRule="auto"/>
        <w:rPr>
          <w:rFonts w:eastAsia="TimesNewRoman,Bold"/>
          <w:b/>
          <w:bCs/>
          <w:noProof/>
          <w:szCs w:val="22"/>
          <w:lang w:val="sr-Latn-BA"/>
        </w:rPr>
      </w:pPr>
    </w:p>
    <w:p w14:paraId="5ADB9EAE" w14:textId="278DBB2D" w:rsidR="00F236BE" w:rsidRPr="0051150C" w:rsidRDefault="004F067E" w:rsidP="00B35C3C">
      <w:pPr>
        <w:jc w:val="center"/>
        <w:rPr>
          <w:rFonts w:eastAsia="TimesNewRoman,Bold"/>
          <w:b/>
          <w:bCs/>
          <w:noProof/>
          <w:szCs w:val="22"/>
          <w:lang w:val="sr-Latn-BA"/>
        </w:rPr>
      </w:pPr>
      <w:r w:rsidRPr="0051150C">
        <w:rPr>
          <w:rFonts w:eastAsia="TimesNewRoman,Bold"/>
          <w:b/>
          <w:bCs/>
          <w:noProof/>
          <w:szCs w:val="22"/>
        </w:rPr>
        <w:drawing>
          <wp:inline distT="0" distB="0" distL="0" distR="0" wp14:anchorId="40004ACB" wp14:editId="509C2CD2">
            <wp:extent cx="5943600" cy="34912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5145" b="1549"/>
                    <a:stretch/>
                  </pic:blipFill>
                  <pic:spPr bwMode="auto">
                    <a:xfrm>
                      <a:off x="0" y="0"/>
                      <a:ext cx="5954327" cy="3497554"/>
                    </a:xfrm>
                    <a:prstGeom prst="rect">
                      <a:avLst/>
                    </a:prstGeom>
                    <a:noFill/>
                    <a:ln>
                      <a:noFill/>
                    </a:ln>
                    <a:extLst>
                      <a:ext uri="{53640926-AAD7-44D8-BBD7-CCE9431645EC}">
                        <a14:shadowObscured xmlns:a14="http://schemas.microsoft.com/office/drawing/2010/main"/>
                      </a:ext>
                    </a:extLst>
                  </pic:spPr>
                </pic:pic>
              </a:graphicData>
            </a:graphic>
          </wp:inline>
        </w:drawing>
      </w:r>
    </w:p>
    <w:p w14:paraId="2E48F070" w14:textId="3F86C6CD" w:rsidR="00F236BE" w:rsidRPr="0051150C" w:rsidRDefault="00500BE2" w:rsidP="00F236BE">
      <w:pPr>
        <w:tabs>
          <w:tab w:val="clear" w:pos="284"/>
        </w:tabs>
        <w:autoSpaceDE w:val="0"/>
        <w:autoSpaceDN w:val="0"/>
        <w:adjustRightInd w:val="0"/>
        <w:rPr>
          <w:noProof/>
          <w:szCs w:val="22"/>
          <w:lang w:val="sr-Latn-BA"/>
        </w:rPr>
      </w:pPr>
      <w:r w:rsidRPr="0051150C">
        <w:rPr>
          <w:noProof/>
          <w:szCs w:val="22"/>
          <w:lang w:val="sr-Latn-BA"/>
        </w:rPr>
        <w:lastRenderedPageBreak/>
        <w:t>AA=abirateron acetat</w:t>
      </w:r>
      <w:r w:rsidR="00F236BE" w:rsidRPr="0051150C">
        <w:rPr>
          <w:noProof/>
          <w:szCs w:val="22"/>
          <w:lang w:val="sr-Latn-BA"/>
        </w:rPr>
        <w:t xml:space="preserve">; BPI=Kratak upitnik za bol; CI= interval pouzdanosti; ECOG=Funkcionalni status prema klasifikaciji Istočne kooperativne onkološke grupe (engl. </w:t>
      </w:r>
      <w:r w:rsidR="00F236BE" w:rsidRPr="0051150C">
        <w:rPr>
          <w:i/>
          <w:iCs/>
          <w:noProof/>
          <w:szCs w:val="22"/>
          <w:lang w:val="sr-Latn-BA"/>
        </w:rPr>
        <w:t>Eastern Cooperative Oncology Group</w:t>
      </w:r>
      <w:r w:rsidR="00F236BE" w:rsidRPr="0051150C">
        <w:rPr>
          <w:noProof/>
          <w:szCs w:val="22"/>
          <w:lang w:val="sr-Latn-BA"/>
        </w:rPr>
        <w:t>, ECOG); HR=</w:t>
      </w:r>
      <w:r w:rsidR="005F2563">
        <w:rPr>
          <w:iCs/>
          <w:noProof/>
          <w:szCs w:val="22"/>
          <w:lang w:val="sr-Latn-BA"/>
        </w:rPr>
        <w:t>o</w:t>
      </w:r>
      <w:r w:rsidR="005F2563" w:rsidRPr="00DF315D">
        <w:rPr>
          <w:iCs/>
          <w:noProof/>
          <w:szCs w:val="22"/>
          <w:lang w:val="sr-Latn-BA"/>
        </w:rPr>
        <w:t>dnos rizika</w:t>
      </w:r>
      <w:r w:rsidR="00F236BE" w:rsidRPr="0051150C">
        <w:rPr>
          <w:noProof/>
          <w:szCs w:val="22"/>
          <w:lang w:val="sr-Latn-BA"/>
        </w:rPr>
        <w:t>; NP=nije proc</w:t>
      </w:r>
      <w:r w:rsidR="00497992" w:rsidRPr="0051150C">
        <w:rPr>
          <w:noProof/>
          <w:szCs w:val="22"/>
          <w:lang w:val="sr-Latn-BA"/>
        </w:rPr>
        <w:t>j</w:t>
      </w:r>
      <w:r w:rsidR="00F236BE" w:rsidRPr="0051150C">
        <w:rPr>
          <w:noProof/>
          <w:szCs w:val="22"/>
          <w:lang w:val="sr-Latn-BA"/>
        </w:rPr>
        <w:t>enjivo</w:t>
      </w:r>
    </w:p>
    <w:p w14:paraId="21628B64" w14:textId="77777777" w:rsidR="00F236BE" w:rsidRPr="0051150C" w:rsidRDefault="00F236BE" w:rsidP="00F236BE">
      <w:pPr>
        <w:tabs>
          <w:tab w:val="clear" w:pos="284"/>
        </w:tabs>
        <w:autoSpaceDE w:val="0"/>
        <w:autoSpaceDN w:val="0"/>
        <w:adjustRightInd w:val="0"/>
        <w:rPr>
          <w:noProof/>
          <w:szCs w:val="22"/>
          <w:lang w:val="sr-Latn-BA"/>
        </w:rPr>
      </w:pPr>
    </w:p>
    <w:p w14:paraId="1A64E952" w14:textId="58B94380" w:rsidR="00F236BE" w:rsidRPr="0051150C" w:rsidRDefault="00F236BE" w:rsidP="00F236BE">
      <w:pPr>
        <w:tabs>
          <w:tab w:val="clear" w:pos="284"/>
        </w:tabs>
        <w:autoSpaceDE w:val="0"/>
        <w:autoSpaceDN w:val="0"/>
        <w:adjustRightInd w:val="0"/>
        <w:rPr>
          <w:noProof/>
          <w:szCs w:val="22"/>
          <w:lang w:val="sr-Latn-BA"/>
        </w:rPr>
      </w:pPr>
      <w:r w:rsidRPr="0051150C">
        <w:rPr>
          <w:noProof/>
          <w:szCs w:val="22"/>
          <w:lang w:val="sr-Latn-BA"/>
        </w:rPr>
        <w:t xml:space="preserve">Uz </w:t>
      </w:r>
      <w:r w:rsidR="00A120E1" w:rsidRPr="0051150C">
        <w:rPr>
          <w:noProof/>
          <w:szCs w:val="22"/>
          <w:lang w:val="sr-Latn-BA"/>
        </w:rPr>
        <w:t>zabilježen</w:t>
      </w:r>
      <w:r w:rsidRPr="0051150C">
        <w:rPr>
          <w:noProof/>
          <w:szCs w:val="22"/>
          <w:lang w:val="sr-Latn-BA"/>
        </w:rPr>
        <w:t xml:space="preserve">o poboljšanje u ukupnom preživljavanju, svi sekundarni parametri praćenja efikasnosti </w:t>
      </w:r>
      <w:r w:rsidR="00500BE2" w:rsidRPr="0051150C">
        <w:rPr>
          <w:noProof/>
          <w:szCs w:val="22"/>
          <w:lang w:val="sr-Latn-BA"/>
        </w:rPr>
        <w:t>studije dali su prednost abirateron acetat</w:t>
      </w:r>
      <w:r w:rsidR="00497992" w:rsidRPr="0051150C">
        <w:rPr>
          <w:noProof/>
          <w:szCs w:val="22"/>
          <w:lang w:val="sr-Latn-BA"/>
        </w:rPr>
        <w:t>u</w:t>
      </w:r>
      <w:r w:rsidR="00500BE2" w:rsidRPr="0051150C">
        <w:rPr>
          <w:noProof/>
          <w:szCs w:val="22"/>
          <w:lang w:val="sr-Latn-BA"/>
        </w:rPr>
        <w:t xml:space="preserve"> </w:t>
      </w:r>
      <w:r w:rsidRPr="0051150C">
        <w:rPr>
          <w:noProof/>
          <w:szCs w:val="22"/>
          <w:lang w:val="sr-Latn-BA"/>
        </w:rPr>
        <w:t>i bili su statistički značajni nakon podešavanja za višestruka</w:t>
      </w:r>
      <w:r w:rsidR="00B8783A">
        <w:rPr>
          <w:noProof/>
          <w:szCs w:val="22"/>
          <w:lang w:val="sr-Latn-BA"/>
        </w:rPr>
        <w:t xml:space="preserve"> ispitivanja</w:t>
      </w:r>
      <w:r w:rsidR="00500BE2" w:rsidRPr="0051150C">
        <w:rPr>
          <w:noProof/>
          <w:szCs w:val="22"/>
          <w:lang w:val="sr-Latn-BA"/>
        </w:rPr>
        <w:t>:</w:t>
      </w:r>
    </w:p>
    <w:p w14:paraId="2CD49E3D" w14:textId="77777777" w:rsidR="00F236BE" w:rsidRPr="0051150C" w:rsidRDefault="00F236BE" w:rsidP="00F236BE">
      <w:pPr>
        <w:tabs>
          <w:tab w:val="clear" w:pos="284"/>
        </w:tabs>
        <w:autoSpaceDE w:val="0"/>
        <w:autoSpaceDN w:val="0"/>
        <w:adjustRightInd w:val="0"/>
        <w:rPr>
          <w:noProof/>
          <w:szCs w:val="22"/>
          <w:lang w:val="sr-Latn-BA"/>
        </w:rPr>
      </w:pPr>
    </w:p>
    <w:p w14:paraId="0152AB65" w14:textId="30858808" w:rsidR="00F236BE" w:rsidRPr="0051150C" w:rsidRDefault="00500BE2" w:rsidP="00214A5D">
      <w:pPr>
        <w:pStyle w:val="ListParagraph"/>
        <w:numPr>
          <w:ilvl w:val="0"/>
          <w:numId w:val="8"/>
        </w:numPr>
        <w:tabs>
          <w:tab w:val="clear" w:pos="284"/>
        </w:tabs>
        <w:autoSpaceDE w:val="0"/>
        <w:autoSpaceDN w:val="0"/>
        <w:adjustRightInd w:val="0"/>
        <w:rPr>
          <w:noProof/>
          <w:szCs w:val="22"/>
          <w:lang w:val="sr-Latn-BA"/>
        </w:rPr>
      </w:pPr>
      <w:r w:rsidRPr="0051150C">
        <w:rPr>
          <w:noProof/>
          <w:szCs w:val="22"/>
          <w:lang w:val="sr-Latn-BA"/>
        </w:rPr>
        <w:t xml:space="preserve">Pacijenti koji su uzimali abirateron acetat </w:t>
      </w:r>
      <w:r w:rsidR="00F236BE" w:rsidRPr="0051150C">
        <w:rPr>
          <w:noProof/>
          <w:szCs w:val="22"/>
          <w:lang w:val="sr-Latn-BA"/>
        </w:rPr>
        <w:t>pokazali su značajno veću stopu odgovora na terapiju, m</w:t>
      </w:r>
      <w:r w:rsidR="00497992" w:rsidRPr="0051150C">
        <w:rPr>
          <w:noProof/>
          <w:szCs w:val="22"/>
          <w:lang w:val="sr-Latn-BA"/>
        </w:rPr>
        <w:t>j</w:t>
      </w:r>
      <w:r w:rsidR="00F236BE" w:rsidRPr="0051150C">
        <w:rPr>
          <w:noProof/>
          <w:szCs w:val="22"/>
          <w:lang w:val="sr-Latn-BA"/>
        </w:rPr>
        <w:t xml:space="preserve">erenu preko </w:t>
      </w:r>
      <w:r w:rsidR="00096FAA" w:rsidRPr="0051150C">
        <w:rPr>
          <w:noProof/>
          <w:szCs w:val="22"/>
          <w:lang w:val="sr-Latn-BA"/>
        </w:rPr>
        <w:t>vrijednost</w:t>
      </w:r>
      <w:r w:rsidR="00F236BE" w:rsidRPr="0051150C">
        <w:rPr>
          <w:noProof/>
          <w:szCs w:val="22"/>
          <w:lang w:val="sr-Latn-BA"/>
        </w:rPr>
        <w:t xml:space="preserve">i ukupnog PSA (koja se definiše kao smanjenje ≥ 50% u odnosu na početnu </w:t>
      </w:r>
      <w:r w:rsidR="00096FAA" w:rsidRPr="0051150C">
        <w:rPr>
          <w:noProof/>
          <w:szCs w:val="22"/>
          <w:lang w:val="sr-Latn-BA"/>
        </w:rPr>
        <w:t>vrijednost</w:t>
      </w:r>
      <w:r w:rsidR="00F236BE" w:rsidRPr="0051150C">
        <w:rPr>
          <w:noProof/>
          <w:szCs w:val="22"/>
          <w:lang w:val="sr-Latn-BA"/>
        </w:rPr>
        <w:t>),</w:t>
      </w:r>
      <w:r w:rsidRPr="0051150C">
        <w:rPr>
          <w:noProof/>
          <w:szCs w:val="22"/>
          <w:lang w:val="sr-Latn-BA"/>
        </w:rPr>
        <w:t xml:space="preserve"> </w:t>
      </w:r>
      <w:r w:rsidR="00F236BE" w:rsidRPr="0051150C">
        <w:rPr>
          <w:noProof/>
          <w:szCs w:val="22"/>
          <w:lang w:val="sr-Latn-BA"/>
        </w:rPr>
        <w:t xml:space="preserve">u poređenju sa pacijentima koji su dobijali </w:t>
      </w:r>
      <w:r w:rsidRPr="0051150C">
        <w:rPr>
          <w:noProof/>
          <w:szCs w:val="22"/>
          <w:lang w:val="sr-Latn-BA"/>
        </w:rPr>
        <w:t>placebo, 38% naspram 10%, p &lt; 0</w:t>
      </w:r>
      <w:r w:rsidR="005F2563">
        <w:rPr>
          <w:noProof/>
          <w:szCs w:val="22"/>
          <w:lang w:val="sr-Latn-BA"/>
        </w:rPr>
        <w:t>,</w:t>
      </w:r>
      <w:r w:rsidR="00F236BE" w:rsidRPr="0051150C">
        <w:rPr>
          <w:noProof/>
          <w:szCs w:val="22"/>
          <w:lang w:val="sr-Latn-BA"/>
        </w:rPr>
        <w:t xml:space="preserve">0001. </w:t>
      </w:r>
    </w:p>
    <w:p w14:paraId="4367AFE7" w14:textId="77777777" w:rsidR="00F236BE" w:rsidRPr="0051150C" w:rsidRDefault="00F236BE" w:rsidP="00F236BE">
      <w:pPr>
        <w:tabs>
          <w:tab w:val="clear" w:pos="284"/>
        </w:tabs>
        <w:autoSpaceDE w:val="0"/>
        <w:autoSpaceDN w:val="0"/>
        <w:adjustRightInd w:val="0"/>
        <w:rPr>
          <w:noProof/>
          <w:szCs w:val="22"/>
          <w:lang w:val="sr-Latn-BA"/>
        </w:rPr>
      </w:pPr>
    </w:p>
    <w:p w14:paraId="5EB2AEFF" w14:textId="50A8E704" w:rsidR="00F236BE" w:rsidRPr="0051150C" w:rsidRDefault="00F90D33" w:rsidP="00500BE2">
      <w:pPr>
        <w:pStyle w:val="ListParagraph"/>
        <w:numPr>
          <w:ilvl w:val="0"/>
          <w:numId w:val="8"/>
        </w:numPr>
        <w:tabs>
          <w:tab w:val="clear" w:pos="284"/>
        </w:tabs>
        <w:autoSpaceDE w:val="0"/>
        <w:autoSpaceDN w:val="0"/>
        <w:adjustRightInd w:val="0"/>
        <w:rPr>
          <w:noProof/>
          <w:szCs w:val="22"/>
          <w:lang w:val="sr-Latn-BA"/>
        </w:rPr>
      </w:pPr>
      <w:r w:rsidRPr="0051150C">
        <w:rPr>
          <w:noProof/>
          <w:szCs w:val="22"/>
          <w:lang w:val="sr-Latn-BA"/>
        </w:rPr>
        <w:t xml:space="preserve">Medijana </w:t>
      </w:r>
      <w:r w:rsidR="00500BE2" w:rsidRPr="0051150C">
        <w:rPr>
          <w:noProof/>
          <w:szCs w:val="22"/>
          <w:lang w:val="sr-Latn-BA"/>
        </w:rPr>
        <w:t>vreme</w:t>
      </w:r>
      <w:r w:rsidRPr="0051150C">
        <w:rPr>
          <w:noProof/>
          <w:szCs w:val="22"/>
          <w:lang w:val="sr-Latn-BA"/>
        </w:rPr>
        <w:t>na</w:t>
      </w:r>
      <w:r w:rsidR="00500BE2" w:rsidRPr="0051150C">
        <w:rPr>
          <w:noProof/>
          <w:szCs w:val="22"/>
          <w:lang w:val="sr-Latn-BA"/>
        </w:rPr>
        <w:t xml:space="preserve"> </w:t>
      </w:r>
      <w:r w:rsidR="00F236BE" w:rsidRPr="0051150C">
        <w:rPr>
          <w:noProof/>
          <w:szCs w:val="22"/>
          <w:lang w:val="sr-Latn-BA"/>
        </w:rPr>
        <w:t xml:space="preserve">do progresije </w:t>
      </w:r>
      <w:r w:rsidR="00096FAA" w:rsidRPr="0051150C">
        <w:rPr>
          <w:noProof/>
          <w:szCs w:val="22"/>
          <w:lang w:val="sr-Latn-BA"/>
        </w:rPr>
        <w:t>vrijednost</w:t>
      </w:r>
      <w:r w:rsidR="00F236BE" w:rsidRPr="0051150C">
        <w:rPr>
          <w:noProof/>
          <w:szCs w:val="22"/>
          <w:lang w:val="sr-Latn-BA"/>
        </w:rPr>
        <w:t xml:space="preserve">i PSA iznosila je 10,2 </w:t>
      </w:r>
      <w:r w:rsidR="00834D3E" w:rsidRPr="0051150C">
        <w:rPr>
          <w:noProof/>
          <w:szCs w:val="22"/>
          <w:lang w:val="sr-Latn-BA"/>
        </w:rPr>
        <w:t>mjesec</w:t>
      </w:r>
      <w:r w:rsidR="00F236BE" w:rsidRPr="0051150C">
        <w:rPr>
          <w:noProof/>
          <w:szCs w:val="22"/>
          <w:lang w:val="sr-Latn-BA"/>
        </w:rPr>
        <w:t xml:space="preserve">i za pacijente koji su uzimali </w:t>
      </w:r>
      <w:r w:rsidR="00500BE2" w:rsidRPr="0051150C">
        <w:rPr>
          <w:noProof/>
          <w:szCs w:val="22"/>
          <w:lang w:val="sr-Latn-BA"/>
        </w:rPr>
        <w:t>abirateron acetat i</w:t>
      </w:r>
      <w:r w:rsidR="00F236BE" w:rsidRPr="0051150C">
        <w:rPr>
          <w:noProof/>
          <w:szCs w:val="22"/>
          <w:lang w:val="sr-Latn-BA"/>
        </w:rPr>
        <w:t xml:space="preserve"> 6,6 </w:t>
      </w:r>
      <w:r w:rsidR="00834D3E" w:rsidRPr="0051150C">
        <w:rPr>
          <w:noProof/>
          <w:szCs w:val="22"/>
          <w:lang w:val="sr-Latn-BA"/>
        </w:rPr>
        <w:t>mjesec</w:t>
      </w:r>
      <w:r w:rsidR="00F236BE" w:rsidRPr="0051150C">
        <w:rPr>
          <w:noProof/>
          <w:szCs w:val="22"/>
          <w:lang w:val="sr-Latn-BA"/>
        </w:rPr>
        <w:t>i za pacijente</w:t>
      </w:r>
      <w:r w:rsidR="00500BE2" w:rsidRPr="0051150C">
        <w:rPr>
          <w:noProof/>
          <w:szCs w:val="22"/>
          <w:lang w:val="sr-Latn-BA"/>
        </w:rPr>
        <w:t xml:space="preserve"> koji su dobijali placebo (HR=0</w:t>
      </w:r>
      <w:r w:rsidR="005F2563">
        <w:rPr>
          <w:noProof/>
          <w:szCs w:val="22"/>
          <w:lang w:val="sr-Latn-BA"/>
        </w:rPr>
        <w:t>,</w:t>
      </w:r>
      <w:r w:rsidR="00500BE2" w:rsidRPr="0051150C">
        <w:rPr>
          <w:noProof/>
          <w:szCs w:val="22"/>
          <w:lang w:val="sr-Latn-BA"/>
        </w:rPr>
        <w:t>580; 95% CI: [0</w:t>
      </w:r>
      <w:r w:rsidR="005F2563">
        <w:rPr>
          <w:noProof/>
          <w:szCs w:val="22"/>
          <w:lang w:val="sr-Latn-BA"/>
        </w:rPr>
        <w:t>,</w:t>
      </w:r>
      <w:r w:rsidR="00500BE2" w:rsidRPr="0051150C">
        <w:rPr>
          <w:noProof/>
          <w:szCs w:val="22"/>
          <w:lang w:val="sr-Latn-BA"/>
        </w:rPr>
        <w:t>462; 0</w:t>
      </w:r>
      <w:r w:rsidR="005F2563">
        <w:rPr>
          <w:noProof/>
          <w:szCs w:val="22"/>
          <w:lang w:val="sr-Latn-BA"/>
        </w:rPr>
        <w:t>,</w:t>
      </w:r>
      <w:r w:rsidR="00F236BE" w:rsidRPr="0051150C">
        <w:rPr>
          <w:noProof/>
          <w:szCs w:val="22"/>
          <w:lang w:val="sr-Latn-BA"/>
        </w:rPr>
        <w:t>728], p &lt;</w:t>
      </w:r>
      <w:r w:rsidR="00500BE2" w:rsidRPr="0051150C">
        <w:rPr>
          <w:noProof/>
          <w:szCs w:val="22"/>
          <w:lang w:val="sr-Latn-BA"/>
        </w:rPr>
        <w:t xml:space="preserve"> 0</w:t>
      </w:r>
      <w:r w:rsidR="005F2563">
        <w:rPr>
          <w:noProof/>
          <w:szCs w:val="22"/>
          <w:lang w:val="sr-Latn-BA"/>
        </w:rPr>
        <w:t>,</w:t>
      </w:r>
      <w:r w:rsidR="00F236BE" w:rsidRPr="0051150C">
        <w:rPr>
          <w:noProof/>
          <w:szCs w:val="22"/>
          <w:lang w:val="sr-Latn-BA"/>
        </w:rPr>
        <w:t xml:space="preserve">0001). </w:t>
      </w:r>
    </w:p>
    <w:p w14:paraId="1B3C2997" w14:textId="77777777" w:rsidR="00F236BE" w:rsidRPr="0051150C" w:rsidRDefault="00F236BE" w:rsidP="00F236BE">
      <w:pPr>
        <w:tabs>
          <w:tab w:val="clear" w:pos="284"/>
        </w:tabs>
        <w:autoSpaceDE w:val="0"/>
        <w:autoSpaceDN w:val="0"/>
        <w:adjustRightInd w:val="0"/>
        <w:rPr>
          <w:noProof/>
          <w:szCs w:val="22"/>
          <w:lang w:val="sr-Latn-BA"/>
        </w:rPr>
      </w:pPr>
    </w:p>
    <w:p w14:paraId="6C44449E" w14:textId="2159AB49" w:rsidR="00F236BE" w:rsidRPr="0051150C" w:rsidRDefault="00F90D33" w:rsidP="00500BE2">
      <w:pPr>
        <w:pStyle w:val="ListParagraph"/>
        <w:numPr>
          <w:ilvl w:val="0"/>
          <w:numId w:val="8"/>
        </w:numPr>
        <w:tabs>
          <w:tab w:val="clear" w:pos="284"/>
        </w:tabs>
        <w:autoSpaceDE w:val="0"/>
        <w:autoSpaceDN w:val="0"/>
        <w:adjustRightInd w:val="0"/>
        <w:rPr>
          <w:noProof/>
          <w:szCs w:val="22"/>
          <w:lang w:val="sr-Latn-BA"/>
        </w:rPr>
      </w:pPr>
      <w:r w:rsidRPr="0051150C">
        <w:rPr>
          <w:noProof/>
          <w:szCs w:val="22"/>
          <w:lang w:val="sr-Latn-BA"/>
        </w:rPr>
        <w:t>Medijana</w:t>
      </w:r>
      <w:r w:rsidR="00F236BE" w:rsidRPr="0051150C">
        <w:rPr>
          <w:noProof/>
          <w:szCs w:val="22"/>
          <w:lang w:val="sr-Latn-BA"/>
        </w:rPr>
        <w:t xml:space="preserve"> preživljavanja bez radiog</w:t>
      </w:r>
      <w:r w:rsidR="00500BE2" w:rsidRPr="0051150C">
        <w:rPr>
          <w:noProof/>
          <w:szCs w:val="22"/>
          <w:lang w:val="sr-Latn-BA"/>
        </w:rPr>
        <w:t>rafske progresije iznosila je 5</w:t>
      </w:r>
      <w:r w:rsidR="005F2563">
        <w:rPr>
          <w:noProof/>
          <w:szCs w:val="22"/>
          <w:lang w:val="sr-Latn-BA"/>
        </w:rPr>
        <w:t>,</w:t>
      </w:r>
      <w:r w:rsidR="00F236BE" w:rsidRPr="0051150C">
        <w:rPr>
          <w:noProof/>
          <w:szCs w:val="22"/>
          <w:lang w:val="sr-Latn-BA"/>
        </w:rPr>
        <w:t xml:space="preserve">6 </w:t>
      </w:r>
      <w:r w:rsidR="00834D3E" w:rsidRPr="0051150C">
        <w:rPr>
          <w:noProof/>
          <w:szCs w:val="22"/>
          <w:lang w:val="sr-Latn-BA"/>
        </w:rPr>
        <w:t>mjesec</w:t>
      </w:r>
      <w:r w:rsidR="00F236BE" w:rsidRPr="0051150C">
        <w:rPr>
          <w:noProof/>
          <w:szCs w:val="22"/>
          <w:lang w:val="sr-Latn-BA"/>
        </w:rPr>
        <w:t xml:space="preserve">i za pacijente koji su uzimali </w:t>
      </w:r>
      <w:r w:rsidR="00500BE2" w:rsidRPr="0051150C">
        <w:rPr>
          <w:noProof/>
          <w:szCs w:val="22"/>
          <w:lang w:val="sr-Latn-BA"/>
        </w:rPr>
        <w:t>abirateron acetat</w:t>
      </w:r>
      <w:r w:rsidR="005F2563">
        <w:rPr>
          <w:noProof/>
          <w:szCs w:val="22"/>
          <w:lang w:val="sr-Latn-BA"/>
        </w:rPr>
        <w:t>,</w:t>
      </w:r>
      <w:r w:rsidR="00500BE2" w:rsidRPr="0051150C">
        <w:rPr>
          <w:noProof/>
          <w:szCs w:val="22"/>
          <w:lang w:val="sr-Latn-BA"/>
        </w:rPr>
        <w:t xml:space="preserve"> </w:t>
      </w:r>
      <w:r w:rsidR="00F236BE" w:rsidRPr="0051150C">
        <w:rPr>
          <w:noProof/>
          <w:szCs w:val="22"/>
          <w:lang w:val="sr-Latn-BA"/>
        </w:rPr>
        <w:t>i</w:t>
      </w:r>
      <w:r w:rsidR="00500BE2" w:rsidRPr="0051150C">
        <w:rPr>
          <w:noProof/>
          <w:szCs w:val="22"/>
          <w:lang w:val="sr-Latn-BA"/>
        </w:rPr>
        <w:t xml:space="preserve"> 3</w:t>
      </w:r>
      <w:r w:rsidR="005F2563">
        <w:rPr>
          <w:noProof/>
          <w:szCs w:val="22"/>
          <w:lang w:val="sr-Latn-BA"/>
        </w:rPr>
        <w:t>,</w:t>
      </w:r>
      <w:r w:rsidR="00F236BE" w:rsidRPr="0051150C">
        <w:rPr>
          <w:noProof/>
          <w:szCs w:val="22"/>
          <w:lang w:val="sr-Latn-BA"/>
        </w:rPr>
        <w:t xml:space="preserve">6 </w:t>
      </w:r>
      <w:r w:rsidR="00834D3E" w:rsidRPr="0051150C">
        <w:rPr>
          <w:noProof/>
          <w:szCs w:val="22"/>
          <w:lang w:val="sr-Latn-BA"/>
        </w:rPr>
        <w:t>mjesec</w:t>
      </w:r>
      <w:r w:rsidR="00F236BE" w:rsidRPr="0051150C">
        <w:rPr>
          <w:noProof/>
          <w:szCs w:val="22"/>
          <w:lang w:val="sr-Latn-BA"/>
        </w:rPr>
        <w:t>i za pacijente koji su dobijali placebo (HR</w:t>
      </w:r>
      <w:r w:rsidR="00F236BE" w:rsidRPr="0051150C">
        <w:rPr>
          <w:rFonts w:eastAsia="TimesNewRoman,Bold"/>
          <w:b/>
          <w:bCs/>
          <w:noProof/>
          <w:szCs w:val="22"/>
          <w:lang w:val="sr-Latn-BA"/>
        </w:rPr>
        <w:t>=</w:t>
      </w:r>
      <w:r w:rsidR="00500BE2" w:rsidRPr="0051150C">
        <w:rPr>
          <w:noProof/>
          <w:szCs w:val="22"/>
          <w:lang w:val="sr-Latn-BA"/>
        </w:rPr>
        <w:t>0</w:t>
      </w:r>
      <w:r w:rsidR="005F2563">
        <w:rPr>
          <w:noProof/>
          <w:szCs w:val="22"/>
          <w:lang w:val="sr-Latn-BA"/>
        </w:rPr>
        <w:t>,</w:t>
      </w:r>
      <w:r w:rsidR="00500BE2" w:rsidRPr="0051150C">
        <w:rPr>
          <w:noProof/>
          <w:szCs w:val="22"/>
          <w:lang w:val="sr-Latn-BA"/>
        </w:rPr>
        <w:t>673; 95% CI: [0</w:t>
      </w:r>
      <w:r w:rsidR="005F2563">
        <w:rPr>
          <w:noProof/>
          <w:szCs w:val="22"/>
          <w:lang w:val="sr-Latn-BA"/>
        </w:rPr>
        <w:t>,</w:t>
      </w:r>
      <w:r w:rsidR="00500BE2" w:rsidRPr="0051150C">
        <w:rPr>
          <w:noProof/>
          <w:szCs w:val="22"/>
          <w:lang w:val="sr-Latn-BA"/>
        </w:rPr>
        <w:t>585; 0</w:t>
      </w:r>
      <w:r w:rsidR="005F2563">
        <w:rPr>
          <w:noProof/>
          <w:szCs w:val="22"/>
          <w:lang w:val="sr-Latn-BA"/>
        </w:rPr>
        <w:t>,</w:t>
      </w:r>
      <w:r w:rsidR="00F236BE" w:rsidRPr="0051150C">
        <w:rPr>
          <w:noProof/>
          <w:szCs w:val="22"/>
          <w:lang w:val="sr-Latn-BA"/>
        </w:rPr>
        <w:t xml:space="preserve">776], </w:t>
      </w:r>
      <w:r w:rsidR="00500BE2" w:rsidRPr="0051150C">
        <w:rPr>
          <w:noProof/>
          <w:szCs w:val="22"/>
          <w:lang w:val="sr-Latn-BA"/>
        </w:rPr>
        <w:t>p &lt; 0</w:t>
      </w:r>
      <w:r w:rsidR="005F2563">
        <w:rPr>
          <w:noProof/>
          <w:szCs w:val="22"/>
          <w:lang w:val="sr-Latn-BA"/>
        </w:rPr>
        <w:t>,</w:t>
      </w:r>
      <w:r w:rsidR="00F236BE" w:rsidRPr="0051150C">
        <w:rPr>
          <w:noProof/>
          <w:szCs w:val="22"/>
          <w:lang w:val="sr-Latn-BA"/>
        </w:rPr>
        <w:t>0001).</w:t>
      </w:r>
    </w:p>
    <w:p w14:paraId="294F3877" w14:textId="77777777" w:rsidR="00F236BE" w:rsidRPr="0051150C" w:rsidRDefault="00F236BE" w:rsidP="00F236BE">
      <w:pPr>
        <w:tabs>
          <w:tab w:val="clear" w:pos="284"/>
        </w:tabs>
        <w:autoSpaceDE w:val="0"/>
        <w:autoSpaceDN w:val="0"/>
        <w:adjustRightInd w:val="0"/>
        <w:rPr>
          <w:noProof/>
          <w:szCs w:val="22"/>
          <w:lang w:val="sr-Latn-BA"/>
        </w:rPr>
      </w:pPr>
    </w:p>
    <w:p w14:paraId="050DEB3B" w14:textId="6F444670" w:rsidR="00F236BE" w:rsidRPr="0051150C" w:rsidRDefault="00F236BE" w:rsidP="00F236BE">
      <w:pPr>
        <w:tabs>
          <w:tab w:val="clear" w:pos="284"/>
        </w:tabs>
        <w:autoSpaceDE w:val="0"/>
        <w:autoSpaceDN w:val="0"/>
        <w:adjustRightInd w:val="0"/>
        <w:rPr>
          <w:noProof/>
          <w:szCs w:val="22"/>
          <w:u w:val="single"/>
          <w:lang w:val="sr-Latn-BA"/>
        </w:rPr>
      </w:pPr>
      <w:r w:rsidRPr="0051150C">
        <w:rPr>
          <w:noProof/>
          <w:szCs w:val="22"/>
          <w:u w:val="single"/>
          <w:lang w:val="sr-Latn-BA"/>
        </w:rPr>
        <w:t>Bol</w:t>
      </w:r>
    </w:p>
    <w:p w14:paraId="79585A1A" w14:textId="080CC698" w:rsidR="00F236BE" w:rsidRPr="0051150C" w:rsidRDefault="00F236BE" w:rsidP="00F236BE">
      <w:pPr>
        <w:tabs>
          <w:tab w:val="clear" w:pos="284"/>
        </w:tabs>
        <w:autoSpaceDE w:val="0"/>
        <w:autoSpaceDN w:val="0"/>
        <w:adjustRightInd w:val="0"/>
        <w:rPr>
          <w:noProof/>
          <w:szCs w:val="22"/>
          <w:lang w:val="sr-Latn-BA"/>
        </w:rPr>
      </w:pPr>
      <w:r w:rsidRPr="0051150C">
        <w:rPr>
          <w:noProof/>
          <w:szCs w:val="22"/>
          <w:lang w:val="sr-Latn-BA"/>
        </w:rPr>
        <w:t>Ud</w:t>
      </w:r>
      <w:r w:rsidR="00497992" w:rsidRPr="0051150C">
        <w:rPr>
          <w:noProof/>
          <w:szCs w:val="22"/>
          <w:lang w:val="sr-Latn-BA"/>
        </w:rPr>
        <w:t>i</w:t>
      </w:r>
      <w:r w:rsidRPr="0051150C">
        <w:rPr>
          <w:noProof/>
          <w:szCs w:val="22"/>
          <w:lang w:val="sr-Latn-BA"/>
        </w:rPr>
        <w:t xml:space="preserve">o pacijenata sa ublaženim bolom bio je statistički značajno veći u grupi koja je uzimala </w:t>
      </w:r>
      <w:r w:rsidR="00500BE2" w:rsidRPr="0051150C">
        <w:rPr>
          <w:noProof/>
          <w:szCs w:val="22"/>
          <w:lang w:val="sr-Latn-BA"/>
        </w:rPr>
        <w:t xml:space="preserve">abirateron acetat </w:t>
      </w:r>
      <w:r w:rsidRPr="0051150C">
        <w:rPr>
          <w:noProof/>
          <w:szCs w:val="22"/>
          <w:lang w:val="sr-Latn-BA"/>
        </w:rPr>
        <w:t xml:space="preserve">nego </w:t>
      </w:r>
      <w:r w:rsidR="00500BE2" w:rsidRPr="0051150C">
        <w:rPr>
          <w:noProof/>
          <w:szCs w:val="22"/>
          <w:lang w:val="sr-Latn-BA"/>
        </w:rPr>
        <w:t>onoj koja je dobijala</w:t>
      </w:r>
      <w:r w:rsidRPr="0051150C">
        <w:rPr>
          <w:noProof/>
          <w:szCs w:val="22"/>
          <w:lang w:val="sr-Latn-BA"/>
        </w:rPr>
        <w:t xml:space="preserve"> placebo (44% naspra</w:t>
      </w:r>
      <w:r w:rsidR="00500BE2" w:rsidRPr="0051150C">
        <w:rPr>
          <w:noProof/>
          <w:szCs w:val="22"/>
          <w:lang w:val="sr-Latn-BA"/>
        </w:rPr>
        <w:t>m 27%, p=0</w:t>
      </w:r>
      <w:r w:rsidR="005F2563">
        <w:rPr>
          <w:noProof/>
          <w:szCs w:val="22"/>
          <w:lang w:val="sr-Latn-BA"/>
        </w:rPr>
        <w:t>,</w:t>
      </w:r>
      <w:r w:rsidRPr="0051150C">
        <w:rPr>
          <w:noProof/>
          <w:szCs w:val="22"/>
          <w:lang w:val="sr-Latn-BA"/>
        </w:rPr>
        <w:t xml:space="preserve">0002). Pacijent koji reaguje na ublažavanje bola definiše se kao onaj kod koga se postiže smanjenje intenziteta najjačeg bola za najmanje 30% u odnosu na početnu </w:t>
      </w:r>
      <w:r w:rsidR="00096FAA" w:rsidRPr="0051150C">
        <w:rPr>
          <w:noProof/>
          <w:szCs w:val="22"/>
          <w:lang w:val="sr-Latn-BA"/>
        </w:rPr>
        <w:t>vrijednost</w:t>
      </w:r>
      <w:r w:rsidRPr="0051150C">
        <w:rPr>
          <w:noProof/>
          <w:szCs w:val="22"/>
          <w:lang w:val="sr-Latn-BA"/>
        </w:rPr>
        <w:t xml:space="preserve"> dobijenu prema kratkom upitniku za bol (BPI-SF), tokom protekla 24 sata, bez ikakvog povećanja upotrebe analgetika u dva uzastopna oc</w:t>
      </w:r>
      <w:r w:rsidR="00497992" w:rsidRPr="0051150C">
        <w:rPr>
          <w:noProof/>
          <w:szCs w:val="22"/>
          <w:lang w:val="sr-Latn-BA"/>
        </w:rPr>
        <w:t>j</w:t>
      </w:r>
      <w:r w:rsidRPr="0051150C">
        <w:rPr>
          <w:noProof/>
          <w:szCs w:val="22"/>
          <w:lang w:val="sr-Latn-BA"/>
        </w:rPr>
        <w:t>enjivanja u razmaku od četiri ned</w:t>
      </w:r>
      <w:r w:rsidR="00497992" w:rsidRPr="0051150C">
        <w:rPr>
          <w:noProof/>
          <w:szCs w:val="22"/>
          <w:lang w:val="sr-Latn-BA"/>
        </w:rPr>
        <w:t>j</w:t>
      </w:r>
      <w:r w:rsidRPr="0051150C">
        <w:rPr>
          <w:noProof/>
          <w:szCs w:val="22"/>
          <w:lang w:val="sr-Latn-BA"/>
        </w:rPr>
        <w:t>elje. Analiza ublažavanja bola rađena je samo kod pacijenata kod kojih je početni intenzitet bola ≥ 4 i pri najmanje još jednom rezultatu proc</w:t>
      </w:r>
      <w:r w:rsidR="00497992" w:rsidRPr="0051150C">
        <w:rPr>
          <w:noProof/>
          <w:szCs w:val="22"/>
          <w:lang w:val="sr-Latn-BA"/>
        </w:rPr>
        <w:t>j</w:t>
      </w:r>
      <w:r w:rsidRPr="0051150C">
        <w:rPr>
          <w:noProof/>
          <w:szCs w:val="22"/>
          <w:lang w:val="sr-Latn-BA"/>
        </w:rPr>
        <w:t>ene intenziteta bola nakon početka terapije (N=512).</w:t>
      </w:r>
    </w:p>
    <w:p w14:paraId="4D45CD63" w14:textId="3939AB39" w:rsidR="00F236BE" w:rsidRPr="0051150C" w:rsidRDefault="00F236BE" w:rsidP="00F236BE">
      <w:pPr>
        <w:rPr>
          <w:noProof/>
          <w:szCs w:val="22"/>
          <w:lang w:val="sr-Latn-BA"/>
        </w:rPr>
      </w:pPr>
    </w:p>
    <w:p w14:paraId="38623DA4" w14:textId="3844C4D7" w:rsidR="00F236BE" w:rsidRPr="0051150C" w:rsidRDefault="00D55E91" w:rsidP="00F236BE">
      <w:pPr>
        <w:tabs>
          <w:tab w:val="clear" w:pos="284"/>
        </w:tabs>
        <w:autoSpaceDE w:val="0"/>
        <w:autoSpaceDN w:val="0"/>
        <w:adjustRightInd w:val="0"/>
        <w:rPr>
          <w:noProof/>
          <w:szCs w:val="22"/>
          <w:lang w:val="sr-Latn-BA"/>
        </w:rPr>
      </w:pPr>
      <w:r w:rsidRPr="0051150C">
        <w:rPr>
          <w:noProof/>
          <w:szCs w:val="22"/>
          <w:lang w:val="sr-Latn-BA"/>
        </w:rPr>
        <w:t>Manj</w:t>
      </w:r>
      <w:r w:rsidR="00F236BE" w:rsidRPr="0051150C">
        <w:rPr>
          <w:noProof/>
          <w:szCs w:val="22"/>
          <w:lang w:val="sr-Latn-BA"/>
        </w:rPr>
        <w:t>i ud</w:t>
      </w:r>
      <w:r w:rsidR="00497992" w:rsidRPr="0051150C">
        <w:rPr>
          <w:noProof/>
          <w:szCs w:val="22"/>
          <w:lang w:val="sr-Latn-BA"/>
        </w:rPr>
        <w:t>i</w:t>
      </w:r>
      <w:r w:rsidR="00F236BE" w:rsidRPr="0051150C">
        <w:rPr>
          <w:noProof/>
          <w:szCs w:val="22"/>
          <w:lang w:val="sr-Latn-BA"/>
        </w:rPr>
        <w:t>o</w:t>
      </w:r>
      <w:r w:rsidR="00500BE2" w:rsidRPr="0051150C">
        <w:rPr>
          <w:noProof/>
          <w:szCs w:val="22"/>
          <w:lang w:val="sr-Latn-BA"/>
        </w:rPr>
        <w:t xml:space="preserve"> pacijenata koji su uzimali abirateron acetat </w:t>
      </w:r>
      <w:r w:rsidR="00F236BE" w:rsidRPr="0051150C">
        <w:rPr>
          <w:noProof/>
          <w:szCs w:val="22"/>
          <w:lang w:val="sr-Latn-BA"/>
        </w:rPr>
        <w:t>imao je progresiju bola u poređenju sa onima koji su dobijali placebo posl</w:t>
      </w:r>
      <w:r w:rsidR="00497992" w:rsidRPr="0051150C">
        <w:rPr>
          <w:noProof/>
          <w:szCs w:val="22"/>
          <w:lang w:val="sr-Latn-BA"/>
        </w:rPr>
        <w:t>ij</w:t>
      </w:r>
      <w:r w:rsidR="00F236BE" w:rsidRPr="0051150C">
        <w:rPr>
          <w:noProof/>
          <w:szCs w:val="22"/>
          <w:lang w:val="sr-Latn-BA"/>
        </w:rPr>
        <w:t xml:space="preserve">e 6 </w:t>
      </w:r>
      <w:r w:rsidR="00834D3E" w:rsidRPr="0051150C">
        <w:rPr>
          <w:noProof/>
          <w:szCs w:val="22"/>
          <w:lang w:val="sr-Latn-BA"/>
        </w:rPr>
        <w:t>mjesec</w:t>
      </w:r>
      <w:r w:rsidR="00F236BE" w:rsidRPr="0051150C">
        <w:rPr>
          <w:noProof/>
          <w:szCs w:val="22"/>
          <w:lang w:val="sr-Latn-BA"/>
        </w:rPr>
        <w:t xml:space="preserve">i (22% naspram 28%), 12 </w:t>
      </w:r>
      <w:r w:rsidR="00834D3E" w:rsidRPr="0051150C">
        <w:rPr>
          <w:noProof/>
          <w:szCs w:val="22"/>
          <w:lang w:val="sr-Latn-BA"/>
        </w:rPr>
        <w:t>mjesec</w:t>
      </w:r>
      <w:r w:rsidR="00F236BE" w:rsidRPr="0051150C">
        <w:rPr>
          <w:noProof/>
          <w:szCs w:val="22"/>
          <w:lang w:val="sr-Latn-BA"/>
        </w:rPr>
        <w:t xml:space="preserve">i (30% naspram 38%) i 18 </w:t>
      </w:r>
      <w:r w:rsidR="00834D3E" w:rsidRPr="0051150C">
        <w:rPr>
          <w:noProof/>
          <w:szCs w:val="22"/>
          <w:lang w:val="sr-Latn-BA"/>
        </w:rPr>
        <w:t>mjesec</w:t>
      </w:r>
      <w:r w:rsidR="00F236BE" w:rsidRPr="0051150C">
        <w:rPr>
          <w:noProof/>
          <w:szCs w:val="22"/>
          <w:lang w:val="sr-Latn-BA"/>
        </w:rPr>
        <w:t xml:space="preserve">i (35% naspram 46%). Progresija bola je definisana kao porast intenziteta najjačeg bola za ≥ 30% u odnosu na početnu </w:t>
      </w:r>
      <w:r w:rsidR="00096FAA" w:rsidRPr="0051150C">
        <w:rPr>
          <w:noProof/>
          <w:szCs w:val="22"/>
          <w:lang w:val="sr-Latn-BA"/>
        </w:rPr>
        <w:t>vrijednost</w:t>
      </w:r>
      <w:r w:rsidR="00F236BE" w:rsidRPr="0051150C">
        <w:rPr>
          <w:noProof/>
          <w:szCs w:val="22"/>
          <w:lang w:val="sr-Latn-BA"/>
        </w:rPr>
        <w:t xml:space="preserve"> dobijenu prema kratkom upitniku za bol (BPI-SF), tokom protekla 24 sata, bez smanjenja upotrebe analgetika u dva uzas</w:t>
      </w:r>
      <w:r w:rsidRPr="0051150C">
        <w:rPr>
          <w:noProof/>
          <w:szCs w:val="22"/>
          <w:lang w:val="sr-Latn-BA"/>
        </w:rPr>
        <w:t>topna oc</w:t>
      </w:r>
      <w:r w:rsidR="00497992" w:rsidRPr="0051150C">
        <w:rPr>
          <w:noProof/>
          <w:szCs w:val="22"/>
          <w:lang w:val="sr-Latn-BA"/>
        </w:rPr>
        <w:t>j</w:t>
      </w:r>
      <w:r w:rsidRPr="0051150C">
        <w:rPr>
          <w:noProof/>
          <w:szCs w:val="22"/>
          <w:lang w:val="sr-Latn-BA"/>
        </w:rPr>
        <w:t>enjivanja, ili povećana upotreba</w:t>
      </w:r>
      <w:r w:rsidR="00F236BE" w:rsidRPr="0051150C">
        <w:rPr>
          <w:noProof/>
          <w:szCs w:val="22"/>
          <w:lang w:val="sr-Latn-BA"/>
        </w:rPr>
        <w:t xml:space="preserve"> analg</w:t>
      </w:r>
      <w:r w:rsidRPr="0051150C">
        <w:rPr>
          <w:noProof/>
          <w:szCs w:val="22"/>
          <w:lang w:val="sr-Latn-BA"/>
        </w:rPr>
        <w:t xml:space="preserve">etika za ≥ 30% </w:t>
      </w:r>
      <w:r w:rsidR="00A120E1" w:rsidRPr="0051150C">
        <w:rPr>
          <w:noProof/>
          <w:szCs w:val="22"/>
          <w:lang w:val="sr-Latn-BA"/>
        </w:rPr>
        <w:t>zabilježen</w:t>
      </w:r>
      <w:r w:rsidRPr="0051150C">
        <w:rPr>
          <w:noProof/>
          <w:szCs w:val="22"/>
          <w:lang w:val="sr-Latn-BA"/>
        </w:rPr>
        <w:t>a</w:t>
      </w:r>
      <w:r w:rsidR="00F236BE" w:rsidRPr="0051150C">
        <w:rPr>
          <w:noProof/>
          <w:szCs w:val="22"/>
          <w:lang w:val="sr-Latn-BA"/>
        </w:rPr>
        <w:t xml:space="preserve"> u dva uzastopna oc</w:t>
      </w:r>
      <w:r w:rsidR="00497992" w:rsidRPr="0051150C">
        <w:rPr>
          <w:noProof/>
          <w:szCs w:val="22"/>
          <w:lang w:val="sr-Latn-BA"/>
        </w:rPr>
        <w:t>j</w:t>
      </w:r>
      <w:r w:rsidR="00F236BE" w:rsidRPr="0051150C">
        <w:rPr>
          <w:noProof/>
          <w:szCs w:val="22"/>
          <w:lang w:val="sr-Latn-BA"/>
        </w:rPr>
        <w:t>enjivanja.</w:t>
      </w:r>
      <w:r w:rsidRPr="0051150C">
        <w:rPr>
          <w:noProof/>
          <w:szCs w:val="22"/>
          <w:lang w:val="sr-Latn-BA"/>
        </w:rPr>
        <w:t xml:space="preserve"> Vr</w:t>
      </w:r>
      <w:r w:rsidR="00497992" w:rsidRPr="0051150C">
        <w:rPr>
          <w:noProof/>
          <w:szCs w:val="22"/>
          <w:lang w:val="sr-Latn-BA"/>
        </w:rPr>
        <w:t>ij</w:t>
      </w:r>
      <w:r w:rsidRPr="0051150C">
        <w:rPr>
          <w:noProof/>
          <w:szCs w:val="22"/>
          <w:lang w:val="sr-Latn-BA"/>
        </w:rPr>
        <w:t>eme do progresije bola na 2</w:t>
      </w:r>
      <w:r w:rsidR="00E9688D">
        <w:rPr>
          <w:noProof/>
          <w:szCs w:val="22"/>
          <w:lang w:val="sr-Latn-BA"/>
        </w:rPr>
        <w:t>5.</w:t>
      </w:r>
      <w:r w:rsidRPr="0051150C">
        <w:rPr>
          <w:noProof/>
          <w:szCs w:val="22"/>
          <w:lang w:val="sr-Latn-BA"/>
        </w:rPr>
        <w:t xml:space="preserve"> percentilu iznosilo je 7</w:t>
      </w:r>
      <w:r w:rsidR="00E571E9">
        <w:rPr>
          <w:noProof/>
          <w:szCs w:val="22"/>
          <w:lang w:val="sr-Latn-BA"/>
        </w:rPr>
        <w:t>,</w:t>
      </w:r>
      <w:r w:rsidR="00F236BE" w:rsidRPr="0051150C">
        <w:rPr>
          <w:noProof/>
          <w:szCs w:val="22"/>
          <w:lang w:val="sr-Latn-BA"/>
        </w:rPr>
        <w:t xml:space="preserve">4 </w:t>
      </w:r>
      <w:r w:rsidR="00834D3E" w:rsidRPr="0051150C">
        <w:rPr>
          <w:noProof/>
          <w:szCs w:val="22"/>
          <w:lang w:val="sr-Latn-BA"/>
        </w:rPr>
        <w:t>mjesec</w:t>
      </w:r>
      <w:r w:rsidR="00F236BE" w:rsidRPr="0051150C">
        <w:rPr>
          <w:noProof/>
          <w:szCs w:val="22"/>
          <w:lang w:val="sr-Latn-BA"/>
        </w:rPr>
        <w:t xml:space="preserve">i u grupi koja je uzimala </w:t>
      </w:r>
      <w:r w:rsidRPr="0051150C">
        <w:rPr>
          <w:noProof/>
          <w:szCs w:val="22"/>
          <w:lang w:val="sr-Latn-BA"/>
        </w:rPr>
        <w:t>abirateron acetat, prema 4</w:t>
      </w:r>
      <w:r w:rsidR="00E571E9">
        <w:rPr>
          <w:noProof/>
          <w:szCs w:val="22"/>
          <w:lang w:val="sr-Latn-BA"/>
        </w:rPr>
        <w:t>,</w:t>
      </w:r>
      <w:r w:rsidR="00F236BE" w:rsidRPr="0051150C">
        <w:rPr>
          <w:noProof/>
          <w:szCs w:val="22"/>
          <w:lang w:val="sr-Latn-BA"/>
        </w:rPr>
        <w:t xml:space="preserve">7 </w:t>
      </w:r>
      <w:r w:rsidR="00834D3E" w:rsidRPr="0051150C">
        <w:rPr>
          <w:noProof/>
          <w:szCs w:val="22"/>
          <w:lang w:val="sr-Latn-BA"/>
        </w:rPr>
        <w:t>mjesec</w:t>
      </w:r>
      <w:r w:rsidR="00F236BE" w:rsidRPr="0051150C">
        <w:rPr>
          <w:noProof/>
          <w:szCs w:val="22"/>
          <w:lang w:val="sr-Latn-BA"/>
        </w:rPr>
        <w:t>i u grupi koja je dobijala placebo.</w:t>
      </w:r>
    </w:p>
    <w:p w14:paraId="1B216CE5" w14:textId="77777777" w:rsidR="00F236BE" w:rsidRPr="0051150C" w:rsidRDefault="00F236BE" w:rsidP="00F236BE">
      <w:pPr>
        <w:tabs>
          <w:tab w:val="clear" w:pos="284"/>
        </w:tabs>
        <w:autoSpaceDE w:val="0"/>
        <w:autoSpaceDN w:val="0"/>
        <w:adjustRightInd w:val="0"/>
        <w:rPr>
          <w:noProof/>
          <w:szCs w:val="22"/>
          <w:lang w:val="sr-Latn-BA"/>
        </w:rPr>
      </w:pPr>
    </w:p>
    <w:p w14:paraId="2BE38C87" w14:textId="41404C63" w:rsidR="00F236BE" w:rsidRPr="0051150C" w:rsidRDefault="00F236BE" w:rsidP="00F236BE">
      <w:pPr>
        <w:tabs>
          <w:tab w:val="clear" w:pos="284"/>
        </w:tabs>
        <w:autoSpaceDE w:val="0"/>
        <w:autoSpaceDN w:val="0"/>
        <w:adjustRightInd w:val="0"/>
        <w:rPr>
          <w:noProof/>
          <w:szCs w:val="22"/>
          <w:u w:val="single"/>
          <w:lang w:val="sr-Latn-BA"/>
        </w:rPr>
      </w:pPr>
      <w:r w:rsidRPr="0051150C">
        <w:rPr>
          <w:noProof/>
          <w:szCs w:val="22"/>
          <w:u w:val="single"/>
          <w:lang w:val="sr-Latn-BA"/>
        </w:rPr>
        <w:t xml:space="preserve">Događaji povezani sa </w:t>
      </w:r>
      <w:r w:rsidR="00E571E9" w:rsidRPr="0051150C">
        <w:rPr>
          <w:noProof/>
          <w:szCs w:val="22"/>
          <w:u w:val="single"/>
          <w:lang w:val="sr-Latn-BA"/>
        </w:rPr>
        <w:t>ko</w:t>
      </w:r>
      <w:r w:rsidR="00E571E9">
        <w:rPr>
          <w:noProof/>
          <w:szCs w:val="22"/>
          <w:u w:val="single"/>
          <w:lang w:val="sr-Latn-BA"/>
        </w:rPr>
        <w:t>st</w:t>
      </w:r>
      <w:r w:rsidR="00E571E9" w:rsidRPr="0051150C">
        <w:rPr>
          <w:noProof/>
          <w:szCs w:val="22"/>
          <w:u w:val="single"/>
          <w:lang w:val="sr-Latn-BA"/>
        </w:rPr>
        <w:t xml:space="preserve">nim </w:t>
      </w:r>
      <w:r w:rsidRPr="0051150C">
        <w:rPr>
          <w:noProof/>
          <w:szCs w:val="22"/>
          <w:u w:val="single"/>
          <w:lang w:val="sr-Latn-BA"/>
        </w:rPr>
        <w:t xml:space="preserve">sistemom </w:t>
      </w:r>
    </w:p>
    <w:p w14:paraId="53715F55" w14:textId="6D2C9AC3" w:rsidR="00F236BE" w:rsidRPr="0051150C" w:rsidRDefault="00F236BE" w:rsidP="00F236BE">
      <w:pPr>
        <w:tabs>
          <w:tab w:val="clear" w:pos="284"/>
        </w:tabs>
        <w:autoSpaceDE w:val="0"/>
        <w:autoSpaceDN w:val="0"/>
        <w:adjustRightInd w:val="0"/>
        <w:rPr>
          <w:noProof/>
          <w:szCs w:val="22"/>
          <w:lang w:val="sr-Latn-BA"/>
        </w:rPr>
      </w:pPr>
      <w:r w:rsidRPr="0051150C">
        <w:rPr>
          <w:noProof/>
          <w:szCs w:val="22"/>
          <w:lang w:val="sr-Latn-BA"/>
        </w:rPr>
        <w:t>Manji ud</w:t>
      </w:r>
      <w:r w:rsidR="00497992" w:rsidRPr="0051150C">
        <w:rPr>
          <w:noProof/>
          <w:szCs w:val="22"/>
          <w:lang w:val="sr-Latn-BA"/>
        </w:rPr>
        <w:t>i</w:t>
      </w:r>
      <w:r w:rsidRPr="0051150C">
        <w:rPr>
          <w:noProof/>
          <w:szCs w:val="22"/>
          <w:lang w:val="sr-Latn-BA"/>
        </w:rPr>
        <w:t>o pacijen</w:t>
      </w:r>
      <w:r w:rsidR="00D55E91" w:rsidRPr="0051150C">
        <w:rPr>
          <w:noProof/>
          <w:szCs w:val="22"/>
          <w:lang w:val="sr-Latn-BA"/>
        </w:rPr>
        <w:t xml:space="preserve">ata u grupi koja je uzimala abirateron acetat </w:t>
      </w:r>
      <w:r w:rsidRPr="0051150C">
        <w:rPr>
          <w:noProof/>
          <w:szCs w:val="22"/>
          <w:lang w:val="sr-Latn-BA"/>
        </w:rPr>
        <w:t xml:space="preserve">imao je događaje u vezi sa </w:t>
      </w:r>
      <w:r w:rsidR="00E571E9" w:rsidRPr="0051150C">
        <w:rPr>
          <w:noProof/>
          <w:szCs w:val="22"/>
          <w:lang w:val="sr-Latn-BA"/>
        </w:rPr>
        <w:t>ko</w:t>
      </w:r>
      <w:r w:rsidR="00E571E9">
        <w:rPr>
          <w:noProof/>
          <w:szCs w:val="22"/>
          <w:lang w:val="sr-Latn-BA"/>
        </w:rPr>
        <w:t>st</w:t>
      </w:r>
      <w:r w:rsidR="00E571E9" w:rsidRPr="0051150C">
        <w:rPr>
          <w:noProof/>
          <w:szCs w:val="22"/>
          <w:lang w:val="sr-Latn-BA"/>
        </w:rPr>
        <w:t xml:space="preserve">nim </w:t>
      </w:r>
      <w:r w:rsidRPr="0051150C">
        <w:rPr>
          <w:noProof/>
          <w:szCs w:val="22"/>
          <w:lang w:val="sr-Latn-BA"/>
        </w:rPr>
        <w:t>sistemom u poređenju sa grupom koja je dobijala placebo posl</w:t>
      </w:r>
      <w:r w:rsidR="00497992" w:rsidRPr="0051150C">
        <w:rPr>
          <w:noProof/>
          <w:szCs w:val="22"/>
          <w:lang w:val="sr-Latn-BA"/>
        </w:rPr>
        <w:t>ij</w:t>
      </w:r>
      <w:r w:rsidRPr="0051150C">
        <w:rPr>
          <w:noProof/>
          <w:szCs w:val="22"/>
          <w:lang w:val="sr-Latn-BA"/>
        </w:rPr>
        <w:t xml:space="preserve">e 6 </w:t>
      </w:r>
      <w:r w:rsidR="00834D3E" w:rsidRPr="0051150C">
        <w:rPr>
          <w:noProof/>
          <w:szCs w:val="22"/>
          <w:lang w:val="sr-Latn-BA"/>
        </w:rPr>
        <w:t>mjesec</w:t>
      </w:r>
      <w:r w:rsidRPr="0051150C">
        <w:rPr>
          <w:noProof/>
          <w:szCs w:val="22"/>
          <w:lang w:val="sr-Latn-BA"/>
        </w:rPr>
        <w:t xml:space="preserve">i (18% naspram 28%), 12 </w:t>
      </w:r>
      <w:r w:rsidR="00834D3E" w:rsidRPr="0051150C">
        <w:rPr>
          <w:noProof/>
          <w:szCs w:val="22"/>
          <w:lang w:val="sr-Latn-BA"/>
        </w:rPr>
        <w:t>mjesec</w:t>
      </w:r>
      <w:r w:rsidRPr="0051150C">
        <w:rPr>
          <w:noProof/>
          <w:szCs w:val="22"/>
          <w:lang w:val="sr-Latn-BA"/>
        </w:rPr>
        <w:t xml:space="preserve">i (30% naspram 40%), i 18 </w:t>
      </w:r>
      <w:r w:rsidR="00834D3E" w:rsidRPr="0051150C">
        <w:rPr>
          <w:noProof/>
          <w:szCs w:val="22"/>
          <w:lang w:val="sr-Latn-BA"/>
        </w:rPr>
        <w:t>mjesec</w:t>
      </w:r>
      <w:r w:rsidRPr="0051150C">
        <w:rPr>
          <w:noProof/>
          <w:szCs w:val="22"/>
          <w:lang w:val="sr-Latn-BA"/>
        </w:rPr>
        <w:t>i (35% naspram 40%). Vr</w:t>
      </w:r>
      <w:r w:rsidR="00497992" w:rsidRPr="0051150C">
        <w:rPr>
          <w:noProof/>
          <w:szCs w:val="22"/>
          <w:lang w:val="sr-Latn-BA"/>
        </w:rPr>
        <w:t>ij</w:t>
      </w:r>
      <w:r w:rsidRPr="0051150C">
        <w:rPr>
          <w:noProof/>
          <w:szCs w:val="22"/>
          <w:lang w:val="sr-Latn-BA"/>
        </w:rPr>
        <w:t>eme do prvog događaja povez</w:t>
      </w:r>
      <w:r w:rsidR="00D55E91" w:rsidRPr="0051150C">
        <w:rPr>
          <w:noProof/>
          <w:szCs w:val="22"/>
          <w:lang w:val="sr-Latn-BA"/>
        </w:rPr>
        <w:t xml:space="preserve">anog sa </w:t>
      </w:r>
      <w:r w:rsidR="00E571E9" w:rsidRPr="0051150C">
        <w:rPr>
          <w:noProof/>
          <w:szCs w:val="22"/>
          <w:lang w:val="sr-Latn-BA"/>
        </w:rPr>
        <w:t>ko</w:t>
      </w:r>
      <w:r w:rsidR="00E571E9">
        <w:rPr>
          <w:noProof/>
          <w:szCs w:val="22"/>
          <w:lang w:val="sr-Latn-BA"/>
        </w:rPr>
        <w:t>st</w:t>
      </w:r>
      <w:r w:rsidR="00E571E9" w:rsidRPr="0051150C">
        <w:rPr>
          <w:noProof/>
          <w:szCs w:val="22"/>
          <w:lang w:val="sr-Latn-BA"/>
        </w:rPr>
        <w:t xml:space="preserve">nim </w:t>
      </w:r>
      <w:r w:rsidR="00D55E91" w:rsidRPr="0051150C">
        <w:rPr>
          <w:noProof/>
          <w:szCs w:val="22"/>
          <w:lang w:val="sr-Latn-BA"/>
        </w:rPr>
        <w:t>sistemom na 25</w:t>
      </w:r>
      <w:r w:rsidR="00E9688D">
        <w:rPr>
          <w:noProof/>
          <w:szCs w:val="22"/>
          <w:lang w:val="sr-Latn-BA"/>
        </w:rPr>
        <w:t xml:space="preserve">. </w:t>
      </w:r>
      <w:r w:rsidRPr="0051150C">
        <w:rPr>
          <w:noProof/>
          <w:szCs w:val="22"/>
          <w:lang w:val="sr-Latn-BA"/>
        </w:rPr>
        <w:t>percent</w:t>
      </w:r>
      <w:r w:rsidR="00D55E91" w:rsidRPr="0051150C">
        <w:rPr>
          <w:noProof/>
          <w:szCs w:val="22"/>
          <w:lang w:val="sr-Latn-BA"/>
        </w:rPr>
        <w:t xml:space="preserve">ilu u grupi koja je uzimala abirateron acetat </w:t>
      </w:r>
      <w:r w:rsidRPr="0051150C">
        <w:rPr>
          <w:noProof/>
          <w:szCs w:val="22"/>
          <w:lang w:val="sr-Latn-BA"/>
        </w:rPr>
        <w:t xml:space="preserve">bilo je dva puta duže nego kod kontrolne grupe, odnosno 9,9 </w:t>
      </w:r>
      <w:r w:rsidR="00834D3E" w:rsidRPr="0051150C">
        <w:rPr>
          <w:noProof/>
          <w:szCs w:val="22"/>
          <w:lang w:val="sr-Latn-BA"/>
        </w:rPr>
        <w:t>mjesec</w:t>
      </w:r>
      <w:r w:rsidRPr="0051150C">
        <w:rPr>
          <w:noProof/>
          <w:szCs w:val="22"/>
          <w:lang w:val="sr-Latn-BA"/>
        </w:rPr>
        <w:t xml:space="preserve">i naspram 4,9 </w:t>
      </w:r>
      <w:r w:rsidR="00834D3E" w:rsidRPr="0051150C">
        <w:rPr>
          <w:noProof/>
          <w:szCs w:val="22"/>
          <w:lang w:val="sr-Latn-BA"/>
        </w:rPr>
        <w:t>mjesec</w:t>
      </w:r>
      <w:r w:rsidRPr="0051150C">
        <w:rPr>
          <w:noProof/>
          <w:szCs w:val="22"/>
          <w:lang w:val="sr-Latn-BA"/>
        </w:rPr>
        <w:t xml:space="preserve">i. Događaj povezan sa </w:t>
      </w:r>
      <w:r w:rsidR="00E571E9" w:rsidRPr="0051150C">
        <w:rPr>
          <w:noProof/>
          <w:szCs w:val="22"/>
          <w:lang w:val="sr-Latn-BA"/>
        </w:rPr>
        <w:t>ko</w:t>
      </w:r>
      <w:r w:rsidR="00E571E9">
        <w:rPr>
          <w:noProof/>
          <w:szCs w:val="22"/>
          <w:lang w:val="sr-Latn-BA"/>
        </w:rPr>
        <w:t>st</w:t>
      </w:r>
      <w:r w:rsidR="00E571E9" w:rsidRPr="0051150C">
        <w:rPr>
          <w:noProof/>
          <w:szCs w:val="22"/>
          <w:lang w:val="sr-Latn-BA"/>
        </w:rPr>
        <w:t xml:space="preserve">nim </w:t>
      </w:r>
      <w:r w:rsidRPr="0051150C">
        <w:rPr>
          <w:noProof/>
          <w:szCs w:val="22"/>
          <w:lang w:val="sr-Latn-BA"/>
        </w:rPr>
        <w:t>sistemom definisan je kao patološka fraktura, kompresija kičmene moždine, palijativno zračenje kosti, ili hirurška intervencija na kosti.</w:t>
      </w:r>
    </w:p>
    <w:p w14:paraId="7766ACF5" w14:textId="77777777" w:rsidR="00F236BE" w:rsidRPr="0051150C" w:rsidRDefault="00F236BE" w:rsidP="00F236BE">
      <w:pPr>
        <w:tabs>
          <w:tab w:val="clear" w:pos="284"/>
        </w:tabs>
        <w:autoSpaceDE w:val="0"/>
        <w:autoSpaceDN w:val="0"/>
        <w:adjustRightInd w:val="0"/>
        <w:rPr>
          <w:noProof/>
          <w:szCs w:val="22"/>
          <w:lang w:val="sr-Latn-BA"/>
        </w:rPr>
      </w:pPr>
    </w:p>
    <w:p w14:paraId="3F632867" w14:textId="77777777" w:rsidR="00F236BE" w:rsidRPr="0051150C" w:rsidRDefault="00F236BE" w:rsidP="00F236BE">
      <w:pPr>
        <w:tabs>
          <w:tab w:val="clear" w:pos="284"/>
        </w:tabs>
        <w:autoSpaceDE w:val="0"/>
        <w:autoSpaceDN w:val="0"/>
        <w:adjustRightInd w:val="0"/>
        <w:rPr>
          <w:noProof/>
          <w:szCs w:val="22"/>
          <w:u w:val="single"/>
          <w:lang w:val="sr-Latn-BA"/>
        </w:rPr>
      </w:pPr>
      <w:r w:rsidRPr="0051150C">
        <w:rPr>
          <w:noProof/>
          <w:szCs w:val="22"/>
          <w:u w:val="single"/>
          <w:lang w:val="sr-Latn-BA"/>
        </w:rPr>
        <w:t>Pedijatrijska populacija</w:t>
      </w:r>
    </w:p>
    <w:p w14:paraId="746A8545" w14:textId="3EDDD406" w:rsidR="00F236BE" w:rsidRPr="0051150C" w:rsidRDefault="00F236BE" w:rsidP="00F236BE">
      <w:pPr>
        <w:tabs>
          <w:tab w:val="clear" w:pos="284"/>
        </w:tabs>
        <w:autoSpaceDE w:val="0"/>
        <w:autoSpaceDN w:val="0"/>
        <w:adjustRightInd w:val="0"/>
        <w:rPr>
          <w:noProof/>
          <w:szCs w:val="22"/>
          <w:lang w:val="sr-Latn-BA"/>
        </w:rPr>
      </w:pPr>
      <w:r w:rsidRPr="0051150C">
        <w:rPr>
          <w:noProof/>
          <w:szCs w:val="22"/>
          <w:lang w:val="sr-Latn-BA"/>
        </w:rPr>
        <w:t xml:space="preserve">Evropska agencija za </w:t>
      </w:r>
      <w:r w:rsidR="00096FAA" w:rsidRPr="0051150C">
        <w:rPr>
          <w:noProof/>
          <w:szCs w:val="22"/>
          <w:lang w:val="sr-Latn-BA"/>
        </w:rPr>
        <w:t>ljek</w:t>
      </w:r>
      <w:r w:rsidRPr="0051150C">
        <w:rPr>
          <w:noProof/>
          <w:szCs w:val="22"/>
          <w:lang w:val="sr-Latn-BA"/>
        </w:rPr>
        <w:t xml:space="preserve">ove </w:t>
      </w:r>
      <w:r w:rsidR="00D55E91" w:rsidRPr="0051150C">
        <w:rPr>
          <w:noProof/>
          <w:szCs w:val="22"/>
          <w:lang w:val="sr-Latn-BA"/>
        </w:rPr>
        <w:t>izuzela je od obaveze podnošenja</w:t>
      </w:r>
      <w:r w:rsidRPr="0051150C">
        <w:rPr>
          <w:noProof/>
          <w:szCs w:val="22"/>
          <w:lang w:val="sr-Latn-BA"/>
        </w:rPr>
        <w:t xml:space="preserve"> r</w:t>
      </w:r>
      <w:r w:rsidR="00D55E91" w:rsidRPr="0051150C">
        <w:rPr>
          <w:noProof/>
          <w:szCs w:val="22"/>
          <w:lang w:val="sr-Latn-BA"/>
        </w:rPr>
        <w:t>ezultata ispitivanja abirateron acetata</w:t>
      </w:r>
      <w:r w:rsidRPr="0051150C">
        <w:rPr>
          <w:noProof/>
          <w:szCs w:val="22"/>
          <w:lang w:val="sr-Latn-BA"/>
        </w:rPr>
        <w:t xml:space="preserve"> u svim podgrupama pedijatrijske populacije u uznapredovalom karcinomu prostate. </w:t>
      </w:r>
      <w:r w:rsidR="00F43B54">
        <w:rPr>
          <w:noProof/>
          <w:szCs w:val="22"/>
          <w:lang w:val="sr-Latn-BA"/>
        </w:rPr>
        <w:t>Vidjeti dio</w:t>
      </w:r>
      <w:r w:rsidR="009E1679">
        <w:rPr>
          <w:noProof/>
          <w:szCs w:val="22"/>
          <w:lang w:val="sr-Latn-BA"/>
        </w:rPr>
        <w:t xml:space="preserve"> </w:t>
      </w:r>
      <w:r w:rsidRPr="0051150C">
        <w:rPr>
          <w:noProof/>
          <w:szCs w:val="22"/>
          <w:lang w:val="sr-Latn-BA"/>
        </w:rPr>
        <w:t>4.2 za informacije o upotrebi u pedijatrijskoj populaciji.</w:t>
      </w:r>
    </w:p>
    <w:p w14:paraId="1AFC4585" w14:textId="065E1199" w:rsidR="009E7888" w:rsidRDefault="009E7888" w:rsidP="009173F4">
      <w:pPr>
        <w:rPr>
          <w:b/>
          <w:bCs/>
          <w:noProof/>
          <w:szCs w:val="22"/>
          <w:lang w:val="sr-Latn-BA"/>
        </w:rPr>
      </w:pPr>
    </w:p>
    <w:p w14:paraId="2DF72158" w14:textId="633A2126" w:rsidR="009E7888" w:rsidRPr="0051150C" w:rsidRDefault="00CE09F3" w:rsidP="009173F4">
      <w:pPr>
        <w:rPr>
          <w:b/>
          <w:bCs/>
          <w:noProof/>
          <w:szCs w:val="22"/>
          <w:lang w:val="sr-Latn-BA"/>
        </w:rPr>
      </w:pPr>
      <w:r w:rsidRPr="0051150C">
        <w:rPr>
          <w:b/>
          <w:bCs/>
          <w:noProof/>
          <w:szCs w:val="22"/>
          <w:lang w:val="sr-Latn-BA"/>
        </w:rPr>
        <w:t>5.2. Farmakokinetički podaci</w:t>
      </w:r>
    </w:p>
    <w:p w14:paraId="7F879891" w14:textId="77777777" w:rsidR="009070B2" w:rsidRPr="0051150C" w:rsidRDefault="009070B2" w:rsidP="009173F4">
      <w:pPr>
        <w:rPr>
          <w:noProof/>
          <w:szCs w:val="22"/>
          <w:lang w:val="sr-Latn-BA"/>
        </w:rPr>
      </w:pPr>
    </w:p>
    <w:p w14:paraId="48D6EB6F" w14:textId="2830BDD1" w:rsidR="00280E47" w:rsidRPr="0051150C" w:rsidRDefault="00623D47" w:rsidP="009173F4">
      <w:pPr>
        <w:rPr>
          <w:noProof/>
          <w:szCs w:val="22"/>
          <w:lang w:val="sr-Latn-BA"/>
        </w:rPr>
      </w:pPr>
      <w:r>
        <w:rPr>
          <w:noProof/>
          <w:szCs w:val="22"/>
          <w:lang w:val="sr-Latn-BA"/>
        </w:rPr>
        <w:t>Nakon primjene</w:t>
      </w:r>
      <w:r w:rsidR="00280E47" w:rsidRPr="0051150C">
        <w:rPr>
          <w:noProof/>
          <w:szCs w:val="22"/>
          <w:lang w:val="sr-Latn-BA"/>
        </w:rPr>
        <w:t xml:space="preserve"> abirateron acetata, farmakokinetika abiraterona ispitivana je na zdravim ispitanicima, pacijentima sa uznapredovalim metastatskim karcinomom prostate i ispitanicima bez karcinoma sa </w:t>
      </w:r>
      <w:r w:rsidR="00280E47" w:rsidRPr="0051150C">
        <w:rPr>
          <w:noProof/>
          <w:szCs w:val="22"/>
          <w:lang w:val="sr-Latn-BA"/>
        </w:rPr>
        <w:lastRenderedPageBreak/>
        <w:t xml:space="preserve">bubrežnom ili hepatičkom insuficijencijom. Abirateron acetat se </w:t>
      </w:r>
      <w:r w:rsidR="00D10BC6" w:rsidRPr="004D3890">
        <w:rPr>
          <w:i/>
          <w:noProof/>
          <w:szCs w:val="22"/>
          <w:lang w:val="sr-Latn-BA"/>
        </w:rPr>
        <w:t>in vivo</w:t>
      </w:r>
      <w:r w:rsidR="00D10BC6" w:rsidRPr="0051150C">
        <w:rPr>
          <w:noProof/>
          <w:szCs w:val="22"/>
          <w:lang w:val="sr-Latn-BA"/>
        </w:rPr>
        <w:t xml:space="preserve"> </w:t>
      </w:r>
      <w:r w:rsidR="00280E47" w:rsidRPr="0051150C">
        <w:rPr>
          <w:noProof/>
          <w:szCs w:val="22"/>
          <w:lang w:val="sr-Latn-BA"/>
        </w:rPr>
        <w:t>brzo konvertuje u abirateron, inhibitor biosinteze androgena (</w:t>
      </w:r>
      <w:r w:rsidR="00F43B54" w:rsidRPr="00410EF6">
        <w:rPr>
          <w:noProof/>
          <w:szCs w:val="22"/>
          <w:lang w:val="sr-Latn-BA"/>
        </w:rPr>
        <w:t>vidjeti dio</w:t>
      </w:r>
      <w:r w:rsidR="009E1679" w:rsidRPr="00410EF6">
        <w:rPr>
          <w:noProof/>
          <w:szCs w:val="22"/>
          <w:lang w:val="sr-Latn-BA"/>
        </w:rPr>
        <w:t xml:space="preserve"> </w:t>
      </w:r>
      <w:r w:rsidR="00280E47" w:rsidRPr="00410EF6">
        <w:rPr>
          <w:noProof/>
          <w:szCs w:val="22"/>
          <w:lang w:val="sr-Latn-BA"/>
        </w:rPr>
        <w:t>5.1</w:t>
      </w:r>
      <w:r w:rsidR="00280E47" w:rsidRPr="0051150C">
        <w:rPr>
          <w:noProof/>
          <w:szCs w:val="22"/>
          <w:lang w:val="sr-Latn-BA"/>
        </w:rPr>
        <w:t xml:space="preserve">). </w:t>
      </w:r>
    </w:p>
    <w:p w14:paraId="76128735" w14:textId="77777777" w:rsidR="00280E47" w:rsidRPr="0051150C" w:rsidRDefault="00280E47" w:rsidP="009173F4">
      <w:pPr>
        <w:rPr>
          <w:noProof/>
          <w:szCs w:val="22"/>
          <w:lang w:val="sr-Latn-BA"/>
        </w:rPr>
      </w:pPr>
    </w:p>
    <w:p w14:paraId="7812CB46" w14:textId="051B9322" w:rsidR="00280E47" w:rsidRPr="0051150C" w:rsidRDefault="00740D73" w:rsidP="009173F4">
      <w:pPr>
        <w:rPr>
          <w:i/>
          <w:noProof/>
          <w:szCs w:val="22"/>
          <w:lang w:val="sr-Latn-BA"/>
        </w:rPr>
      </w:pPr>
      <w:r w:rsidRPr="0051150C">
        <w:rPr>
          <w:i/>
          <w:noProof/>
          <w:szCs w:val="22"/>
          <w:lang w:val="sr-Latn-BA"/>
        </w:rPr>
        <w:t>Resorpcija</w:t>
      </w:r>
    </w:p>
    <w:p w14:paraId="08D0DC26" w14:textId="11E45AD7" w:rsidR="00740D73" w:rsidRPr="0051150C" w:rsidRDefault="00294842" w:rsidP="009173F4">
      <w:pPr>
        <w:rPr>
          <w:noProof/>
          <w:szCs w:val="22"/>
          <w:lang w:val="sr-Latn-BA"/>
        </w:rPr>
      </w:pPr>
      <w:r>
        <w:rPr>
          <w:noProof/>
          <w:szCs w:val="22"/>
          <w:lang w:val="sr-Latn-BA"/>
        </w:rPr>
        <w:t>Nakon</w:t>
      </w:r>
      <w:r w:rsidRPr="0051150C">
        <w:rPr>
          <w:noProof/>
          <w:szCs w:val="22"/>
          <w:lang w:val="sr-Latn-BA"/>
        </w:rPr>
        <w:t xml:space="preserve"> oraln</w:t>
      </w:r>
      <w:r>
        <w:rPr>
          <w:noProof/>
          <w:szCs w:val="22"/>
          <w:lang w:val="sr-Latn-BA"/>
        </w:rPr>
        <w:t>e</w:t>
      </w:r>
      <w:r w:rsidRPr="0051150C">
        <w:rPr>
          <w:noProof/>
          <w:szCs w:val="22"/>
          <w:lang w:val="sr-Latn-BA"/>
        </w:rPr>
        <w:t xml:space="preserve"> primjen</w:t>
      </w:r>
      <w:r>
        <w:rPr>
          <w:noProof/>
          <w:szCs w:val="22"/>
          <w:lang w:val="sr-Latn-BA"/>
        </w:rPr>
        <w:t>e</w:t>
      </w:r>
      <w:r w:rsidRPr="0051150C">
        <w:rPr>
          <w:noProof/>
          <w:szCs w:val="22"/>
          <w:lang w:val="sr-Latn-BA"/>
        </w:rPr>
        <w:t xml:space="preserve"> </w:t>
      </w:r>
      <w:r w:rsidR="00280E47" w:rsidRPr="0051150C">
        <w:rPr>
          <w:noProof/>
          <w:szCs w:val="22"/>
          <w:lang w:val="sr-Latn-BA"/>
        </w:rPr>
        <w:t>abirateron ac</w:t>
      </w:r>
      <w:r w:rsidR="005952EC" w:rsidRPr="0051150C">
        <w:rPr>
          <w:noProof/>
          <w:szCs w:val="22"/>
          <w:lang w:val="sr-Latn-BA"/>
        </w:rPr>
        <w:t>etata na prazan stomak, vr</w:t>
      </w:r>
      <w:r w:rsidR="00497992" w:rsidRPr="0051150C">
        <w:rPr>
          <w:noProof/>
          <w:szCs w:val="22"/>
          <w:lang w:val="sr-Latn-BA"/>
        </w:rPr>
        <w:t>ij</w:t>
      </w:r>
      <w:r w:rsidR="005952EC" w:rsidRPr="0051150C">
        <w:rPr>
          <w:noProof/>
          <w:szCs w:val="22"/>
          <w:lang w:val="sr-Latn-BA"/>
        </w:rPr>
        <w:t>eme</w:t>
      </w:r>
      <w:r w:rsidR="00280E47" w:rsidRPr="0051150C">
        <w:rPr>
          <w:noProof/>
          <w:szCs w:val="22"/>
          <w:lang w:val="sr-Latn-BA"/>
        </w:rPr>
        <w:t xml:space="preserve"> postizanja maksimalne koncentracije abiraterona u plazmi iznosi približno 2 sata. </w:t>
      </w:r>
    </w:p>
    <w:p w14:paraId="1701655C" w14:textId="77777777" w:rsidR="00740D73" w:rsidRPr="0051150C" w:rsidRDefault="00740D73" w:rsidP="009173F4">
      <w:pPr>
        <w:rPr>
          <w:noProof/>
          <w:szCs w:val="22"/>
          <w:lang w:val="sr-Latn-BA"/>
        </w:rPr>
      </w:pPr>
    </w:p>
    <w:p w14:paraId="09DC4D3F" w14:textId="007DB09E" w:rsidR="00280E47" w:rsidRPr="0051150C" w:rsidRDefault="00096FAA" w:rsidP="009173F4">
      <w:pPr>
        <w:rPr>
          <w:noProof/>
          <w:szCs w:val="22"/>
          <w:lang w:val="sr-Latn-BA"/>
        </w:rPr>
      </w:pPr>
      <w:r w:rsidRPr="0051150C">
        <w:rPr>
          <w:noProof/>
          <w:szCs w:val="22"/>
          <w:lang w:val="sr-Latn-BA"/>
        </w:rPr>
        <w:t>Primjen</w:t>
      </w:r>
      <w:r w:rsidR="00280E47" w:rsidRPr="0051150C">
        <w:rPr>
          <w:noProof/>
          <w:szCs w:val="22"/>
          <w:lang w:val="sr-Latn-BA"/>
        </w:rPr>
        <w:t xml:space="preserve">a abirateron acetata sa hranom, u poređenju sa </w:t>
      </w:r>
      <w:r w:rsidRPr="0051150C">
        <w:rPr>
          <w:noProof/>
          <w:szCs w:val="22"/>
          <w:lang w:val="sr-Latn-BA"/>
        </w:rPr>
        <w:t>primjen</w:t>
      </w:r>
      <w:r w:rsidR="00280E47" w:rsidRPr="0051150C">
        <w:rPr>
          <w:noProof/>
          <w:szCs w:val="22"/>
          <w:lang w:val="sr-Latn-BA"/>
        </w:rPr>
        <w:t>om na prazan stomak (našte) dovodi do povećanja srednje sistemske izloženosti abirateronu, do 10 puta (PIK) i do 17 puta (C</w:t>
      </w:r>
      <w:r w:rsidR="00280E47" w:rsidRPr="0051150C">
        <w:rPr>
          <w:noProof/>
          <w:szCs w:val="22"/>
          <w:vertAlign w:val="subscript"/>
          <w:lang w:val="sr-Latn-BA"/>
        </w:rPr>
        <w:t>max</w:t>
      </w:r>
      <w:r w:rsidR="00280E47" w:rsidRPr="0051150C">
        <w:rPr>
          <w:noProof/>
          <w:szCs w:val="22"/>
          <w:lang w:val="sr-Latn-BA"/>
        </w:rPr>
        <w:t xml:space="preserve">), zavisno od </w:t>
      </w:r>
      <w:r w:rsidR="00740D73" w:rsidRPr="0051150C">
        <w:rPr>
          <w:noProof/>
          <w:szCs w:val="22"/>
          <w:lang w:val="sr-Latn-BA"/>
        </w:rPr>
        <w:t>sadržaja masti u obroku. Uzimajući u obzir normalne varijacije</w:t>
      </w:r>
      <w:r w:rsidR="00280E47" w:rsidRPr="0051150C">
        <w:rPr>
          <w:noProof/>
          <w:szCs w:val="22"/>
          <w:lang w:val="sr-Latn-BA"/>
        </w:rPr>
        <w:t xml:space="preserve"> u sadržaju i sastavu obroka, uzimanje </w:t>
      </w:r>
      <w:r w:rsidRPr="0051150C">
        <w:rPr>
          <w:noProof/>
          <w:szCs w:val="22"/>
          <w:lang w:val="sr-Latn-BA"/>
        </w:rPr>
        <w:t>lijek</w:t>
      </w:r>
      <w:r w:rsidR="005952EC" w:rsidRPr="0051150C">
        <w:rPr>
          <w:noProof/>
          <w:szCs w:val="22"/>
          <w:lang w:val="sr-Latn-BA"/>
        </w:rPr>
        <w:t xml:space="preserve">a </w:t>
      </w:r>
      <w:r w:rsidR="00C315BF" w:rsidRPr="0051150C">
        <w:rPr>
          <w:noProof/>
          <w:szCs w:val="22"/>
          <w:lang w:val="sr-Latn-BA"/>
        </w:rPr>
        <w:t xml:space="preserve">Jonosol </w:t>
      </w:r>
      <w:r w:rsidR="005952EC" w:rsidRPr="0051150C">
        <w:rPr>
          <w:noProof/>
          <w:szCs w:val="22"/>
          <w:lang w:val="sr-Latn-BA"/>
        </w:rPr>
        <w:t xml:space="preserve">uz obroke može dovesti </w:t>
      </w:r>
      <w:r w:rsidR="00280E47" w:rsidRPr="0051150C">
        <w:rPr>
          <w:noProof/>
          <w:szCs w:val="22"/>
          <w:lang w:val="sr-Latn-BA"/>
        </w:rPr>
        <w:t xml:space="preserve">do velikih varijacija u izloženosti </w:t>
      </w:r>
      <w:r w:rsidRPr="0051150C">
        <w:rPr>
          <w:noProof/>
          <w:szCs w:val="22"/>
          <w:lang w:val="sr-Latn-BA"/>
        </w:rPr>
        <w:t>lijek</w:t>
      </w:r>
      <w:r w:rsidR="00280E47" w:rsidRPr="0051150C">
        <w:rPr>
          <w:noProof/>
          <w:szCs w:val="22"/>
          <w:lang w:val="sr-Latn-BA"/>
        </w:rPr>
        <w:t>u. Prema tome</w:t>
      </w:r>
      <w:r w:rsidR="00DD24F9" w:rsidRPr="0051150C">
        <w:rPr>
          <w:noProof/>
          <w:szCs w:val="22"/>
          <w:lang w:val="sr-Latn-BA"/>
        </w:rPr>
        <w:t xml:space="preserve">, </w:t>
      </w:r>
      <w:r w:rsidRPr="0051150C">
        <w:rPr>
          <w:noProof/>
          <w:szCs w:val="22"/>
          <w:lang w:val="sr-Latn-BA"/>
        </w:rPr>
        <w:t>lijek</w:t>
      </w:r>
      <w:r w:rsidR="005952EC" w:rsidRPr="0051150C">
        <w:rPr>
          <w:noProof/>
          <w:szCs w:val="22"/>
          <w:lang w:val="sr-Latn-BA"/>
        </w:rPr>
        <w:t xml:space="preserve"> </w:t>
      </w:r>
      <w:r w:rsidR="00C315BF" w:rsidRPr="0051150C">
        <w:rPr>
          <w:noProof/>
          <w:szCs w:val="22"/>
          <w:lang w:val="sr-Latn-BA"/>
        </w:rPr>
        <w:t xml:space="preserve">Jonosol </w:t>
      </w:r>
      <w:r w:rsidR="00280E47" w:rsidRPr="0051150C">
        <w:rPr>
          <w:noProof/>
          <w:szCs w:val="22"/>
          <w:lang w:val="sr-Latn-BA"/>
        </w:rPr>
        <w:t>se ne sm</w:t>
      </w:r>
      <w:r w:rsidR="00497992" w:rsidRPr="0051150C">
        <w:rPr>
          <w:noProof/>
          <w:szCs w:val="22"/>
          <w:lang w:val="sr-Latn-BA"/>
        </w:rPr>
        <w:t>ij</w:t>
      </w:r>
      <w:r w:rsidR="00280E47" w:rsidRPr="0051150C">
        <w:rPr>
          <w:noProof/>
          <w:szCs w:val="22"/>
          <w:lang w:val="sr-Latn-BA"/>
        </w:rPr>
        <w:t>e uzimati sa hranom</w:t>
      </w:r>
      <w:r w:rsidR="00723DFC">
        <w:rPr>
          <w:noProof/>
          <w:szCs w:val="22"/>
          <w:lang w:val="sr-Latn-BA"/>
        </w:rPr>
        <w:t>.</w:t>
      </w:r>
      <w:r w:rsidR="009E1679">
        <w:rPr>
          <w:noProof/>
          <w:szCs w:val="22"/>
          <w:lang w:val="sr-Latn-BA"/>
        </w:rPr>
        <w:t xml:space="preserve"> </w:t>
      </w:r>
      <w:r w:rsidR="00723DFC">
        <w:rPr>
          <w:noProof/>
          <w:szCs w:val="22"/>
          <w:lang w:val="sr-Latn-BA"/>
        </w:rPr>
        <w:t>Jonosol tablete se moraju u</w:t>
      </w:r>
      <w:r w:rsidR="004B6E44">
        <w:rPr>
          <w:noProof/>
          <w:szCs w:val="22"/>
          <w:lang w:val="sr-Latn-BA"/>
        </w:rPr>
        <w:t>z</w:t>
      </w:r>
      <w:r w:rsidR="00723DFC">
        <w:rPr>
          <w:noProof/>
          <w:szCs w:val="22"/>
          <w:lang w:val="sr-Latn-BA"/>
        </w:rPr>
        <w:t>eti u jednoj do</w:t>
      </w:r>
      <w:r w:rsidR="004B6E44">
        <w:rPr>
          <w:noProof/>
          <w:szCs w:val="22"/>
          <w:lang w:val="sr-Latn-BA"/>
        </w:rPr>
        <w:t>z</w:t>
      </w:r>
      <w:r w:rsidR="00723DFC">
        <w:rPr>
          <w:noProof/>
          <w:szCs w:val="22"/>
          <w:lang w:val="sr-Latn-BA"/>
        </w:rPr>
        <w:t xml:space="preserve">i jedanput na dan </w:t>
      </w:r>
      <w:r w:rsidR="003628F2">
        <w:rPr>
          <w:noProof/>
          <w:szCs w:val="22"/>
          <w:lang w:val="sr-Latn-BA"/>
        </w:rPr>
        <w:t>na prazan želudac.</w:t>
      </w:r>
      <w:r w:rsidR="00CF47D6">
        <w:rPr>
          <w:noProof/>
          <w:szCs w:val="22"/>
          <w:lang w:val="sr-Latn-BA"/>
        </w:rPr>
        <w:t xml:space="preserve"> Lijek </w:t>
      </w:r>
      <w:r w:rsidR="003628F2">
        <w:rPr>
          <w:noProof/>
          <w:szCs w:val="22"/>
          <w:lang w:val="sr-Latn-BA"/>
        </w:rPr>
        <w:t xml:space="preserve">Jonosol se mora uzimati </w:t>
      </w:r>
      <w:r w:rsidR="00DD24F9" w:rsidRPr="0051150C">
        <w:rPr>
          <w:noProof/>
          <w:szCs w:val="22"/>
          <w:lang w:val="sr-Latn-BA"/>
        </w:rPr>
        <w:t>najmanje dva sata posl</w:t>
      </w:r>
      <w:r w:rsidR="00497992" w:rsidRPr="0051150C">
        <w:rPr>
          <w:noProof/>
          <w:szCs w:val="22"/>
          <w:lang w:val="sr-Latn-BA"/>
        </w:rPr>
        <w:t>ij</w:t>
      </w:r>
      <w:r w:rsidR="00DD24F9" w:rsidRPr="0051150C">
        <w:rPr>
          <w:noProof/>
          <w:szCs w:val="22"/>
          <w:lang w:val="sr-Latn-BA"/>
        </w:rPr>
        <w:t xml:space="preserve">e </w:t>
      </w:r>
      <w:r w:rsidR="0099001B">
        <w:rPr>
          <w:noProof/>
          <w:szCs w:val="22"/>
          <w:lang w:val="sr-Latn-BA"/>
        </w:rPr>
        <w:t>jela</w:t>
      </w:r>
      <w:r w:rsidR="00CF47D6">
        <w:rPr>
          <w:noProof/>
          <w:szCs w:val="22"/>
          <w:lang w:val="sr-Latn-BA"/>
        </w:rPr>
        <w:t>,</w:t>
      </w:r>
      <w:r w:rsidR="0099001B">
        <w:rPr>
          <w:noProof/>
          <w:szCs w:val="22"/>
          <w:lang w:val="sr-Latn-BA"/>
        </w:rPr>
        <w:t xml:space="preserve"> </w:t>
      </w:r>
      <w:r w:rsidR="00272EAD">
        <w:rPr>
          <w:noProof/>
          <w:szCs w:val="22"/>
          <w:lang w:val="sr-Latn-BA"/>
        </w:rPr>
        <w:t>a hrana se ne smije jesti barem jedan sat nakon uzimanja lijeka Jonosol.</w:t>
      </w:r>
      <w:r w:rsidR="00CF47D6">
        <w:rPr>
          <w:noProof/>
          <w:szCs w:val="22"/>
          <w:lang w:val="sr-Latn-BA"/>
        </w:rPr>
        <w:t xml:space="preserve"> </w:t>
      </w:r>
      <w:r w:rsidR="00280E47" w:rsidRPr="0051150C">
        <w:rPr>
          <w:noProof/>
          <w:szCs w:val="22"/>
          <w:lang w:val="sr-Latn-BA"/>
        </w:rPr>
        <w:t xml:space="preserve">Tablete </w:t>
      </w:r>
      <w:r w:rsidR="00294842">
        <w:rPr>
          <w:noProof/>
          <w:szCs w:val="22"/>
          <w:lang w:val="sr-Latn-BA"/>
        </w:rPr>
        <w:t>se moraju</w:t>
      </w:r>
      <w:r w:rsidR="00294842" w:rsidRPr="0051150C">
        <w:rPr>
          <w:noProof/>
          <w:szCs w:val="22"/>
          <w:lang w:val="sr-Latn-BA"/>
        </w:rPr>
        <w:t xml:space="preserve"> </w:t>
      </w:r>
      <w:r w:rsidR="00280E47" w:rsidRPr="0051150C">
        <w:rPr>
          <w:noProof/>
          <w:szCs w:val="22"/>
          <w:lang w:val="sr-Latn-BA"/>
        </w:rPr>
        <w:t>progutati c</w:t>
      </w:r>
      <w:r w:rsidR="00497992" w:rsidRPr="0051150C">
        <w:rPr>
          <w:noProof/>
          <w:szCs w:val="22"/>
          <w:lang w:val="sr-Latn-BA"/>
        </w:rPr>
        <w:t>ij</w:t>
      </w:r>
      <w:r w:rsidR="00280E47" w:rsidRPr="0051150C">
        <w:rPr>
          <w:noProof/>
          <w:szCs w:val="22"/>
          <w:lang w:val="sr-Latn-BA"/>
        </w:rPr>
        <w:t>ele, sa vodom (</w:t>
      </w:r>
      <w:r w:rsidR="00F43B54" w:rsidRPr="00410EF6">
        <w:rPr>
          <w:noProof/>
          <w:szCs w:val="22"/>
          <w:lang w:val="sr-Latn-BA"/>
        </w:rPr>
        <w:t>vidjeti dio</w:t>
      </w:r>
      <w:r w:rsidR="009E1679" w:rsidRPr="00410EF6">
        <w:rPr>
          <w:noProof/>
          <w:szCs w:val="22"/>
          <w:lang w:val="sr-Latn-BA"/>
        </w:rPr>
        <w:t xml:space="preserve"> </w:t>
      </w:r>
      <w:r w:rsidR="00280E47" w:rsidRPr="00410EF6">
        <w:rPr>
          <w:noProof/>
          <w:szCs w:val="22"/>
          <w:lang w:val="sr-Latn-BA"/>
        </w:rPr>
        <w:t>4.2</w:t>
      </w:r>
      <w:r w:rsidR="00280E47" w:rsidRPr="0051150C">
        <w:rPr>
          <w:noProof/>
          <w:szCs w:val="22"/>
          <w:lang w:val="sr-Latn-BA"/>
        </w:rPr>
        <w:t>).</w:t>
      </w:r>
    </w:p>
    <w:p w14:paraId="2016BACC" w14:textId="77777777" w:rsidR="00280E47" w:rsidRPr="0051150C" w:rsidRDefault="00280E47" w:rsidP="009173F4">
      <w:pPr>
        <w:rPr>
          <w:noProof/>
          <w:szCs w:val="22"/>
          <w:lang w:val="sr-Latn-BA"/>
        </w:rPr>
      </w:pPr>
    </w:p>
    <w:p w14:paraId="162EB9B3" w14:textId="74F6187F" w:rsidR="00280E47" w:rsidRPr="0051150C" w:rsidRDefault="00280E47" w:rsidP="009173F4">
      <w:pPr>
        <w:rPr>
          <w:i/>
          <w:noProof/>
          <w:szCs w:val="22"/>
          <w:lang w:val="sr-Latn-BA"/>
        </w:rPr>
      </w:pPr>
      <w:r w:rsidRPr="0051150C">
        <w:rPr>
          <w:i/>
          <w:noProof/>
          <w:szCs w:val="22"/>
          <w:lang w:val="sr-Latn-BA"/>
        </w:rPr>
        <w:t xml:space="preserve">Distribucija </w:t>
      </w:r>
    </w:p>
    <w:p w14:paraId="565A86A3" w14:textId="70ED4DF3" w:rsidR="00280E47" w:rsidRPr="0051150C" w:rsidRDefault="00280E47" w:rsidP="009173F4">
      <w:pPr>
        <w:rPr>
          <w:noProof/>
          <w:szCs w:val="22"/>
          <w:lang w:val="sr-Latn-BA"/>
        </w:rPr>
      </w:pPr>
      <w:r w:rsidRPr="0051150C">
        <w:rPr>
          <w:noProof/>
          <w:szCs w:val="22"/>
          <w:lang w:val="sr-Latn-BA"/>
        </w:rPr>
        <w:t xml:space="preserve">Vezivanje </w:t>
      </w:r>
      <w:r w:rsidRPr="0051150C">
        <w:rPr>
          <w:noProof/>
          <w:szCs w:val="22"/>
          <w:vertAlign w:val="superscript"/>
          <w:lang w:val="sr-Latn-BA"/>
        </w:rPr>
        <w:t>14</w:t>
      </w:r>
      <w:r w:rsidRPr="0051150C">
        <w:rPr>
          <w:noProof/>
          <w:szCs w:val="22"/>
          <w:lang w:val="sr-Latn-BA"/>
        </w:rPr>
        <w:t>C-abiraterona za proteine plazme u humanoj plazmi iznosi 99,8%. Prividni volume</w:t>
      </w:r>
      <w:r w:rsidR="001F1EFC" w:rsidRPr="0051150C">
        <w:rPr>
          <w:noProof/>
          <w:szCs w:val="22"/>
          <w:lang w:val="sr-Latn-BA"/>
        </w:rPr>
        <w:t>n</w:t>
      </w:r>
      <w:r w:rsidRPr="0051150C">
        <w:rPr>
          <w:noProof/>
          <w:szCs w:val="22"/>
          <w:lang w:val="sr-Latn-BA"/>
        </w:rPr>
        <w:t xml:space="preserve"> distribucije je proc</w:t>
      </w:r>
      <w:r w:rsidR="00497992" w:rsidRPr="0051150C">
        <w:rPr>
          <w:noProof/>
          <w:szCs w:val="22"/>
          <w:lang w:val="sr-Latn-BA"/>
        </w:rPr>
        <w:t>ij</w:t>
      </w:r>
      <w:r w:rsidRPr="0051150C">
        <w:rPr>
          <w:noProof/>
          <w:szCs w:val="22"/>
          <w:lang w:val="sr-Latn-BA"/>
        </w:rPr>
        <w:t xml:space="preserve">enjen na 5.630 </w:t>
      </w:r>
      <w:r w:rsidR="00D10BC6">
        <w:rPr>
          <w:noProof/>
          <w:szCs w:val="22"/>
          <w:lang w:val="sr-Latn-BA"/>
        </w:rPr>
        <w:t>l</w:t>
      </w:r>
      <w:r w:rsidRPr="0051150C">
        <w:rPr>
          <w:noProof/>
          <w:szCs w:val="22"/>
          <w:lang w:val="sr-Latn-BA"/>
        </w:rPr>
        <w:t>, što govori da se abirateron ekstenzivno distribuira u periferna</w:t>
      </w:r>
      <w:r w:rsidR="00DD24F9" w:rsidRPr="0051150C">
        <w:rPr>
          <w:noProof/>
          <w:szCs w:val="22"/>
          <w:lang w:val="sr-Latn-BA"/>
        </w:rPr>
        <w:t xml:space="preserve"> </w:t>
      </w:r>
      <w:r w:rsidRPr="0051150C">
        <w:rPr>
          <w:noProof/>
          <w:szCs w:val="22"/>
          <w:lang w:val="sr-Latn-BA"/>
        </w:rPr>
        <w:t>tkiva.</w:t>
      </w:r>
    </w:p>
    <w:p w14:paraId="5FE4D0DA" w14:textId="77777777" w:rsidR="00280E47" w:rsidRPr="0051150C" w:rsidRDefault="00280E47" w:rsidP="009173F4">
      <w:pPr>
        <w:rPr>
          <w:noProof/>
          <w:szCs w:val="22"/>
          <w:lang w:val="sr-Latn-BA"/>
        </w:rPr>
      </w:pPr>
    </w:p>
    <w:p w14:paraId="69EC0024" w14:textId="272F628F" w:rsidR="00280E47" w:rsidRPr="0051150C" w:rsidRDefault="00280E47" w:rsidP="009173F4">
      <w:pPr>
        <w:rPr>
          <w:i/>
          <w:noProof/>
          <w:szCs w:val="22"/>
          <w:lang w:val="sr-Latn-BA"/>
        </w:rPr>
      </w:pPr>
      <w:r w:rsidRPr="0051150C">
        <w:rPr>
          <w:i/>
          <w:noProof/>
          <w:szCs w:val="22"/>
          <w:lang w:val="sr-Latn-BA"/>
        </w:rPr>
        <w:t>Biotransformacija</w:t>
      </w:r>
    </w:p>
    <w:p w14:paraId="2D66C91F" w14:textId="5AD45817" w:rsidR="00280E47" w:rsidRPr="0051150C" w:rsidRDefault="00AE6A4F" w:rsidP="009173F4">
      <w:pPr>
        <w:rPr>
          <w:noProof/>
          <w:szCs w:val="22"/>
          <w:lang w:val="sr-Latn-BA"/>
        </w:rPr>
      </w:pPr>
      <w:r>
        <w:rPr>
          <w:noProof/>
          <w:szCs w:val="22"/>
          <w:lang w:val="sr-Latn-BA"/>
        </w:rPr>
        <w:t xml:space="preserve">Nakon oralne </w:t>
      </w:r>
      <w:r w:rsidR="00096FAA" w:rsidRPr="0051150C">
        <w:rPr>
          <w:noProof/>
          <w:szCs w:val="22"/>
          <w:lang w:val="sr-Latn-BA"/>
        </w:rPr>
        <w:t>primjen</w:t>
      </w:r>
      <w:r>
        <w:rPr>
          <w:noProof/>
          <w:szCs w:val="22"/>
          <w:lang w:val="sr-Latn-BA"/>
        </w:rPr>
        <w:t>e</w:t>
      </w:r>
      <w:r w:rsidR="00280E47" w:rsidRPr="0051150C">
        <w:rPr>
          <w:noProof/>
          <w:szCs w:val="22"/>
          <w:lang w:val="sr-Latn-BA"/>
        </w:rPr>
        <w:t xml:space="preserve"> </w:t>
      </w:r>
      <w:r w:rsidR="00280E47" w:rsidRPr="0051150C">
        <w:rPr>
          <w:noProof/>
          <w:szCs w:val="22"/>
          <w:vertAlign w:val="superscript"/>
          <w:lang w:val="sr-Latn-BA"/>
        </w:rPr>
        <w:t>14</w:t>
      </w:r>
      <w:r w:rsidR="00280E47" w:rsidRPr="0051150C">
        <w:rPr>
          <w:noProof/>
          <w:szCs w:val="22"/>
          <w:lang w:val="sr-Latn-BA"/>
        </w:rPr>
        <w:t xml:space="preserve">C-abirateron acetata u vidu kapsula, abirateron acetat se hidrolizuje u abirateron, koji se </w:t>
      </w:r>
      <w:r w:rsidR="00DD24F9" w:rsidRPr="0051150C">
        <w:rPr>
          <w:noProof/>
          <w:szCs w:val="22"/>
          <w:lang w:val="sr-Latn-BA"/>
        </w:rPr>
        <w:t>dalje</w:t>
      </w:r>
      <w:r w:rsidR="00280E47" w:rsidRPr="0051150C">
        <w:rPr>
          <w:noProof/>
          <w:szCs w:val="22"/>
          <w:lang w:val="sr-Latn-BA"/>
        </w:rPr>
        <w:t xml:space="preserve"> metaboliše </w:t>
      </w:r>
      <w:r w:rsidR="00DD24F9" w:rsidRPr="0051150C">
        <w:rPr>
          <w:noProof/>
          <w:szCs w:val="22"/>
          <w:lang w:val="sr-Latn-BA"/>
        </w:rPr>
        <w:t>putem sulfacije, hidroksilacije i oksidacije</w:t>
      </w:r>
      <w:r w:rsidR="00280E47" w:rsidRPr="0051150C">
        <w:rPr>
          <w:noProof/>
          <w:szCs w:val="22"/>
          <w:lang w:val="sr-Latn-BA"/>
        </w:rPr>
        <w:t>, prvenstveno u jetri. Većina radioaktivnosti u cirkulaciji (približno 92%) se</w:t>
      </w:r>
      <w:r w:rsidR="00DD24F9" w:rsidRPr="0051150C">
        <w:rPr>
          <w:noProof/>
          <w:szCs w:val="22"/>
          <w:lang w:val="sr-Latn-BA"/>
        </w:rPr>
        <w:t xml:space="preserve"> nalazi</w:t>
      </w:r>
      <w:r w:rsidR="00280E47" w:rsidRPr="0051150C">
        <w:rPr>
          <w:noProof/>
          <w:szCs w:val="22"/>
          <w:lang w:val="sr-Latn-BA"/>
        </w:rPr>
        <w:t xml:space="preserve"> u obliku metabolita abiraterona. Od 15 </w:t>
      </w:r>
      <w:r w:rsidR="001F1EFC" w:rsidRPr="0051150C">
        <w:rPr>
          <w:noProof/>
          <w:szCs w:val="22"/>
          <w:lang w:val="sr-Latn-BA"/>
        </w:rPr>
        <w:t xml:space="preserve">detektabilnih, </w:t>
      </w:r>
      <w:r w:rsidR="00280E47" w:rsidRPr="0051150C">
        <w:rPr>
          <w:noProof/>
          <w:szCs w:val="22"/>
          <w:lang w:val="sr-Latn-BA"/>
        </w:rPr>
        <w:t xml:space="preserve">2 glavna metabolita, abirateron sulfat i N-oksid abirateron sulfat, </w:t>
      </w:r>
      <w:r w:rsidR="001F1EFC" w:rsidRPr="0051150C">
        <w:rPr>
          <w:noProof/>
          <w:szCs w:val="22"/>
          <w:lang w:val="sr-Latn-BA"/>
        </w:rPr>
        <w:t>čine</w:t>
      </w:r>
      <w:r w:rsidR="00280E47" w:rsidRPr="0051150C">
        <w:rPr>
          <w:noProof/>
          <w:szCs w:val="22"/>
          <w:lang w:val="sr-Latn-BA"/>
        </w:rPr>
        <w:t xml:space="preserve"> p</w:t>
      </w:r>
      <w:r w:rsidR="00F856E9">
        <w:rPr>
          <w:noProof/>
          <w:szCs w:val="22"/>
          <w:lang w:val="sr-Latn-BA"/>
        </w:rPr>
        <w:t xml:space="preserve">ribližno </w:t>
      </w:r>
      <w:r w:rsidR="00280E47" w:rsidRPr="0051150C">
        <w:rPr>
          <w:noProof/>
          <w:szCs w:val="22"/>
          <w:lang w:val="sr-Latn-BA"/>
        </w:rPr>
        <w:t>43% ukupne radioaktivnosti.</w:t>
      </w:r>
    </w:p>
    <w:p w14:paraId="194EBFDD" w14:textId="77777777" w:rsidR="00280E47" w:rsidRPr="0051150C" w:rsidRDefault="00280E47" w:rsidP="009173F4">
      <w:pPr>
        <w:rPr>
          <w:noProof/>
          <w:szCs w:val="22"/>
          <w:lang w:val="sr-Latn-BA"/>
        </w:rPr>
      </w:pPr>
    </w:p>
    <w:p w14:paraId="5B3E6D79" w14:textId="182D34C9" w:rsidR="00280E47" w:rsidRPr="0051150C" w:rsidRDefault="00280E47" w:rsidP="009173F4">
      <w:pPr>
        <w:rPr>
          <w:i/>
          <w:noProof/>
          <w:szCs w:val="22"/>
          <w:lang w:val="sr-Latn-BA"/>
        </w:rPr>
      </w:pPr>
      <w:r w:rsidRPr="0051150C">
        <w:rPr>
          <w:i/>
          <w:noProof/>
          <w:szCs w:val="22"/>
          <w:lang w:val="sr-Latn-BA"/>
        </w:rPr>
        <w:t>Eliminacija</w:t>
      </w:r>
    </w:p>
    <w:p w14:paraId="30CAC88E" w14:textId="1F4456A1" w:rsidR="00280E47" w:rsidRPr="0051150C" w:rsidRDefault="00280E47" w:rsidP="009173F4">
      <w:pPr>
        <w:rPr>
          <w:noProof/>
          <w:szCs w:val="22"/>
          <w:lang w:val="sr-Latn-BA"/>
        </w:rPr>
      </w:pPr>
      <w:r w:rsidRPr="0051150C">
        <w:rPr>
          <w:noProof/>
          <w:szCs w:val="22"/>
          <w:lang w:val="sr-Latn-BA"/>
        </w:rPr>
        <w:t>Srednje poluvr</w:t>
      </w:r>
      <w:r w:rsidR="00A7584C" w:rsidRPr="0051150C">
        <w:rPr>
          <w:noProof/>
          <w:szCs w:val="22"/>
          <w:lang w:val="sr-Latn-BA"/>
        </w:rPr>
        <w:t>ij</w:t>
      </w:r>
      <w:r w:rsidRPr="0051150C">
        <w:rPr>
          <w:noProof/>
          <w:szCs w:val="22"/>
          <w:lang w:val="sr-Latn-BA"/>
        </w:rPr>
        <w:t xml:space="preserve">eme eliminacije abiraterona u plazmi iznosi približno 15 časova na osnovu podataka dobijenih na zdravim ispitanicima. Po oralnoj </w:t>
      </w:r>
      <w:r w:rsidR="00096FAA" w:rsidRPr="0051150C">
        <w:rPr>
          <w:noProof/>
          <w:szCs w:val="22"/>
          <w:lang w:val="sr-Latn-BA"/>
        </w:rPr>
        <w:t>primjen</w:t>
      </w:r>
      <w:r w:rsidRPr="0051150C">
        <w:rPr>
          <w:noProof/>
          <w:szCs w:val="22"/>
          <w:lang w:val="sr-Latn-BA"/>
        </w:rPr>
        <w:t xml:space="preserve">i 1000 mg </w:t>
      </w:r>
      <w:r w:rsidRPr="0051150C">
        <w:rPr>
          <w:noProof/>
          <w:szCs w:val="22"/>
          <w:vertAlign w:val="superscript"/>
          <w:lang w:val="sr-Latn-BA"/>
        </w:rPr>
        <w:t>14</w:t>
      </w:r>
      <w:r w:rsidRPr="0051150C">
        <w:rPr>
          <w:noProof/>
          <w:szCs w:val="22"/>
          <w:lang w:val="sr-Latn-BA"/>
        </w:rPr>
        <w:t xml:space="preserve">C-abirateron acetata, </w:t>
      </w:r>
      <w:r w:rsidR="00DD24F9" w:rsidRPr="0051150C">
        <w:rPr>
          <w:noProof/>
          <w:szCs w:val="22"/>
          <w:lang w:val="sr-Latn-BA"/>
        </w:rPr>
        <w:t xml:space="preserve">oko </w:t>
      </w:r>
      <w:r w:rsidRPr="0051150C">
        <w:rPr>
          <w:noProof/>
          <w:szCs w:val="22"/>
          <w:lang w:val="sr-Latn-BA"/>
        </w:rPr>
        <w:t xml:space="preserve">88% </w:t>
      </w:r>
      <w:r w:rsidR="00DD24F9" w:rsidRPr="0051150C">
        <w:rPr>
          <w:noProof/>
          <w:szCs w:val="22"/>
          <w:lang w:val="sr-Latn-BA"/>
        </w:rPr>
        <w:t>radioa</w:t>
      </w:r>
      <w:r w:rsidR="00A7584C" w:rsidRPr="0051150C">
        <w:rPr>
          <w:noProof/>
          <w:szCs w:val="22"/>
          <w:lang w:val="sr-Latn-BA"/>
        </w:rPr>
        <w:t>k</w:t>
      </w:r>
      <w:r w:rsidR="00DD24F9" w:rsidRPr="0051150C">
        <w:rPr>
          <w:noProof/>
          <w:szCs w:val="22"/>
          <w:lang w:val="sr-Latn-BA"/>
        </w:rPr>
        <w:t xml:space="preserve">tivne doze se izlučuje </w:t>
      </w:r>
      <w:r w:rsidRPr="0051150C">
        <w:rPr>
          <w:noProof/>
          <w:szCs w:val="22"/>
          <w:lang w:val="sr-Latn-BA"/>
        </w:rPr>
        <w:t>fecesom, a 5% urinom. Glavna jedinjenja prisutna u fecesu su neprom</w:t>
      </w:r>
      <w:r w:rsidR="00A7584C" w:rsidRPr="0051150C">
        <w:rPr>
          <w:noProof/>
          <w:szCs w:val="22"/>
          <w:lang w:val="sr-Latn-BA"/>
        </w:rPr>
        <w:t>ij</w:t>
      </w:r>
      <w:r w:rsidRPr="0051150C">
        <w:rPr>
          <w:noProof/>
          <w:szCs w:val="22"/>
          <w:lang w:val="sr-Latn-BA"/>
        </w:rPr>
        <w:t>enjen abirateron acetat</w:t>
      </w:r>
      <w:r w:rsidR="00DD24F9" w:rsidRPr="0051150C">
        <w:rPr>
          <w:noProof/>
          <w:szCs w:val="22"/>
          <w:lang w:val="sr-Latn-BA"/>
        </w:rPr>
        <w:t xml:space="preserve"> (55% date doze)</w:t>
      </w:r>
      <w:r w:rsidRPr="0051150C">
        <w:rPr>
          <w:noProof/>
          <w:szCs w:val="22"/>
          <w:lang w:val="sr-Latn-BA"/>
        </w:rPr>
        <w:t xml:space="preserve"> i abirateron</w:t>
      </w:r>
      <w:r w:rsidR="00DD24F9" w:rsidRPr="0051150C">
        <w:rPr>
          <w:noProof/>
          <w:szCs w:val="22"/>
          <w:lang w:val="sr-Latn-BA"/>
        </w:rPr>
        <w:t xml:space="preserve"> (22% date doze)</w:t>
      </w:r>
      <w:r w:rsidRPr="0051150C">
        <w:rPr>
          <w:noProof/>
          <w:szCs w:val="22"/>
          <w:lang w:val="sr-Latn-BA"/>
        </w:rPr>
        <w:t>.</w:t>
      </w:r>
    </w:p>
    <w:p w14:paraId="2ED6437E" w14:textId="5EFC404C" w:rsidR="00DD24F9" w:rsidRPr="0051150C" w:rsidRDefault="00DD24F9" w:rsidP="009173F4">
      <w:pPr>
        <w:rPr>
          <w:noProof/>
          <w:szCs w:val="22"/>
          <w:lang w:val="sr-Latn-BA"/>
        </w:rPr>
      </w:pPr>
    </w:p>
    <w:p w14:paraId="3254DEBF" w14:textId="1BBC2406" w:rsidR="00DD24F9" w:rsidRPr="0051150C" w:rsidRDefault="00DD24F9" w:rsidP="009173F4">
      <w:pPr>
        <w:rPr>
          <w:i/>
          <w:noProof/>
          <w:szCs w:val="22"/>
          <w:u w:val="single"/>
          <w:lang w:val="sr-Latn-BA"/>
        </w:rPr>
      </w:pPr>
      <w:r w:rsidRPr="0051150C">
        <w:rPr>
          <w:i/>
          <w:noProof/>
          <w:szCs w:val="22"/>
          <w:u w:val="single"/>
          <w:lang w:val="sr-Latn-BA"/>
        </w:rPr>
        <w:t xml:space="preserve">Pacijenti sa </w:t>
      </w:r>
      <w:r w:rsidR="00D33011">
        <w:rPr>
          <w:i/>
          <w:noProof/>
          <w:szCs w:val="22"/>
          <w:u w:val="single"/>
          <w:lang w:val="sr-Latn-BA"/>
        </w:rPr>
        <w:t>oštećenje</w:t>
      </w:r>
      <w:r w:rsidR="00D33011" w:rsidRPr="0051150C">
        <w:rPr>
          <w:i/>
          <w:noProof/>
          <w:szCs w:val="22"/>
          <w:u w:val="single"/>
          <w:lang w:val="sr-Latn-BA"/>
        </w:rPr>
        <w:t xml:space="preserve">m </w:t>
      </w:r>
      <w:r w:rsidR="00D33011">
        <w:rPr>
          <w:i/>
          <w:noProof/>
          <w:szCs w:val="22"/>
          <w:u w:val="single"/>
          <w:lang w:val="sr-Latn-BA"/>
        </w:rPr>
        <w:t xml:space="preserve">funkcije </w:t>
      </w:r>
      <w:r w:rsidRPr="0051150C">
        <w:rPr>
          <w:i/>
          <w:noProof/>
          <w:szCs w:val="22"/>
          <w:u w:val="single"/>
          <w:lang w:val="sr-Latn-BA"/>
        </w:rPr>
        <w:t>jetre</w:t>
      </w:r>
    </w:p>
    <w:p w14:paraId="6F8AFE01" w14:textId="5C07C7B3" w:rsidR="00DD24F9" w:rsidRPr="0051150C" w:rsidRDefault="00DD24F9" w:rsidP="009173F4">
      <w:pPr>
        <w:rPr>
          <w:noProof/>
          <w:szCs w:val="22"/>
          <w:lang w:val="sr-Latn-BA"/>
        </w:rPr>
      </w:pPr>
      <w:r w:rsidRPr="0051150C">
        <w:rPr>
          <w:noProof/>
          <w:szCs w:val="22"/>
          <w:lang w:val="sr-Latn-BA"/>
        </w:rPr>
        <w:t>Farmakokinetika abirateron</w:t>
      </w:r>
      <w:r w:rsidR="001F1EFC" w:rsidRPr="0051150C">
        <w:rPr>
          <w:noProof/>
          <w:szCs w:val="22"/>
          <w:lang w:val="sr-Latn-BA"/>
        </w:rPr>
        <w:t xml:space="preserve"> </w:t>
      </w:r>
      <w:r w:rsidRPr="0051150C">
        <w:rPr>
          <w:noProof/>
          <w:szCs w:val="22"/>
          <w:lang w:val="sr-Latn-BA"/>
        </w:rPr>
        <w:t>acetata poređena je kod ispitanika sa blagim do um</w:t>
      </w:r>
      <w:r w:rsidR="00A7584C" w:rsidRPr="0051150C">
        <w:rPr>
          <w:noProof/>
          <w:szCs w:val="22"/>
          <w:lang w:val="sr-Latn-BA"/>
        </w:rPr>
        <w:t>j</w:t>
      </w:r>
      <w:r w:rsidRPr="0051150C">
        <w:rPr>
          <w:noProof/>
          <w:szCs w:val="22"/>
          <w:lang w:val="sr-Latn-BA"/>
        </w:rPr>
        <w:t>erenim oštećenjem funkcije jetre (</w:t>
      </w:r>
      <w:r w:rsidRPr="00410EF6">
        <w:rPr>
          <w:i/>
          <w:noProof/>
          <w:szCs w:val="22"/>
          <w:lang w:val="sr-Latn-BA"/>
        </w:rPr>
        <w:t>Child-Pugh</w:t>
      </w:r>
      <w:r w:rsidRPr="0051150C">
        <w:rPr>
          <w:noProof/>
          <w:szCs w:val="22"/>
          <w:lang w:val="sr-Latn-BA"/>
        </w:rPr>
        <w:t xml:space="preserve"> klase A, odnosno B) i </w:t>
      </w:r>
      <w:r w:rsidR="001F1EFC" w:rsidRPr="0051150C">
        <w:rPr>
          <w:noProof/>
          <w:szCs w:val="22"/>
          <w:lang w:val="sr-Latn-BA"/>
        </w:rPr>
        <w:t>kontrolne grupe</w:t>
      </w:r>
      <w:r w:rsidRPr="0051150C">
        <w:rPr>
          <w:noProof/>
          <w:szCs w:val="22"/>
          <w:lang w:val="sr-Latn-BA"/>
        </w:rPr>
        <w:t xml:space="preserve"> zdravih ispitanika. Sistemsk</w:t>
      </w:r>
      <w:r w:rsidR="006166CF" w:rsidRPr="0051150C">
        <w:rPr>
          <w:noProof/>
          <w:szCs w:val="22"/>
          <w:lang w:val="sr-Latn-BA"/>
        </w:rPr>
        <w:t xml:space="preserve">a izloženost </w:t>
      </w:r>
      <w:r w:rsidRPr="0051150C">
        <w:rPr>
          <w:noProof/>
          <w:szCs w:val="22"/>
          <w:lang w:val="sr-Latn-BA"/>
        </w:rPr>
        <w:t xml:space="preserve">abirateronu </w:t>
      </w:r>
      <w:r w:rsidR="0060303D" w:rsidRPr="0051150C">
        <w:rPr>
          <w:noProof/>
          <w:szCs w:val="22"/>
          <w:lang w:val="sr-Latn-BA"/>
        </w:rPr>
        <w:t>nakon</w:t>
      </w:r>
      <w:r w:rsidRPr="0051150C">
        <w:rPr>
          <w:noProof/>
          <w:szCs w:val="22"/>
          <w:lang w:val="sr-Latn-BA"/>
        </w:rPr>
        <w:t xml:space="preserve"> jedne oralne doze od 1000 mg povećava se za oko 11% kod ispitanika sa </w:t>
      </w:r>
      <w:r w:rsidR="00D33011" w:rsidRPr="0051150C">
        <w:rPr>
          <w:noProof/>
          <w:szCs w:val="22"/>
          <w:lang w:val="sr-Latn-BA"/>
        </w:rPr>
        <w:t>blag</w:t>
      </w:r>
      <w:r w:rsidR="00D33011">
        <w:rPr>
          <w:noProof/>
          <w:szCs w:val="22"/>
          <w:lang w:val="sr-Latn-BA"/>
        </w:rPr>
        <w:t>i</w:t>
      </w:r>
      <w:r w:rsidR="00D33011" w:rsidRPr="0051150C">
        <w:rPr>
          <w:noProof/>
          <w:szCs w:val="22"/>
          <w:lang w:val="sr-Latn-BA"/>
        </w:rPr>
        <w:t xml:space="preserve">m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Pr="0051150C">
        <w:rPr>
          <w:noProof/>
          <w:szCs w:val="22"/>
          <w:lang w:val="sr-Latn-BA"/>
        </w:rPr>
        <w:t>jetre, a 260% kod onih koji čija je funkcija jetre um</w:t>
      </w:r>
      <w:r w:rsidR="00A7584C" w:rsidRPr="0051150C">
        <w:rPr>
          <w:noProof/>
          <w:szCs w:val="22"/>
          <w:lang w:val="sr-Latn-BA"/>
        </w:rPr>
        <w:t>j</w:t>
      </w:r>
      <w:r w:rsidRPr="0051150C">
        <w:rPr>
          <w:noProof/>
          <w:szCs w:val="22"/>
          <w:lang w:val="sr-Latn-BA"/>
        </w:rPr>
        <w:t>ereno oštećena. Srednje poluvr</w:t>
      </w:r>
      <w:r w:rsidR="00A7584C" w:rsidRPr="0051150C">
        <w:rPr>
          <w:noProof/>
          <w:szCs w:val="22"/>
          <w:lang w:val="sr-Latn-BA"/>
        </w:rPr>
        <w:t>ij</w:t>
      </w:r>
      <w:r w:rsidRPr="0051150C">
        <w:rPr>
          <w:noProof/>
          <w:szCs w:val="22"/>
          <w:lang w:val="sr-Latn-BA"/>
        </w:rPr>
        <w:t xml:space="preserve">eme eliminacije abiraterona </w:t>
      </w:r>
      <w:r w:rsidR="0060303D" w:rsidRPr="0051150C">
        <w:rPr>
          <w:noProof/>
          <w:szCs w:val="22"/>
          <w:lang w:val="sr-Latn-BA"/>
        </w:rPr>
        <w:t xml:space="preserve">je produženo </w:t>
      </w:r>
      <w:r w:rsidRPr="0051150C">
        <w:rPr>
          <w:noProof/>
          <w:szCs w:val="22"/>
          <w:lang w:val="sr-Latn-BA"/>
        </w:rPr>
        <w:t xml:space="preserve">na oko 18 časova kod ispitanika sa </w:t>
      </w:r>
      <w:r w:rsidR="00D33011" w:rsidRPr="0051150C">
        <w:rPr>
          <w:noProof/>
          <w:szCs w:val="22"/>
          <w:lang w:val="sr-Latn-BA"/>
        </w:rPr>
        <w:t>blag</w:t>
      </w:r>
      <w:r w:rsidR="00D33011">
        <w:rPr>
          <w:noProof/>
          <w:szCs w:val="22"/>
          <w:lang w:val="sr-Latn-BA"/>
        </w:rPr>
        <w:t>i</w:t>
      </w:r>
      <w:r w:rsidR="00D33011" w:rsidRPr="0051150C">
        <w:rPr>
          <w:noProof/>
          <w:szCs w:val="22"/>
          <w:lang w:val="sr-Latn-BA"/>
        </w:rPr>
        <w:t xml:space="preserve">m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Pr="0051150C">
        <w:rPr>
          <w:noProof/>
          <w:szCs w:val="22"/>
          <w:lang w:val="sr-Latn-BA"/>
        </w:rPr>
        <w:t>jetre</w:t>
      </w:r>
      <w:r w:rsidR="00D33011">
        <w:rPr>
          <w:noProof/>
          <w:szCs w:val="22"/>
          <w:lang w:val="sr-Latn-BA"/>
        </w:rPr>
        <w:t>,</w:t>
      </w:r>
      <w:r w:rsidRPr="0051150C">
        <w:rPr>
          <w:noProof/>
          <w:szCs w:val="22"/>
          <w:lang w:val="sr-Latn-BA"/>
        </w:rPr>
        <w:t xml:space="preserve"> i na oko 19 časova kod ispitanika sa </w:t>
      </w:r>
      <w:r w:rsidR="00D33011" w:rsidRPr="0051150C">
        <w:rPr>
          <w:noProof/>
          <w:szCs w:val="22"/>
          <w:lang w:val="sr-Latn-BA"/>
        </w:rPr>
        <w:t>umjeren</w:t>
      </w:r>
      <w:r w:rsidR="00D33011">
        <w:rPr>
          <w:noProof/>
          <w:szCs w:val="22"/>
          <w:lang w:val="sr-Latn-BA"/>
        </w:rPr>
        <w:t>i</w:t>
      </w:r>
      <w:r w:rsidR="00D33011" w:rsidRPr="0051150C">
        <w:rPr>
          <w:noProof/>
          <w:szCs w:val="22"/>
          <w:lang w:val="sr-Latn-BA"/>
        </w:rPr>
        <w:t xml:space="preserve">m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Pr="0051150C">
        <w:rPr>
          <w:noProof/>
          <w:szCs w:val="22"/>
          <w:lang w:val="sr-Latn-BA"/>
        </w:rPr>
        <w:t>jetre.</w:t>
      </w:r>
    </w:p>
    <w:p w14:paraId="666F3BF8" w14:textId="77777777" w:rsidR="00DD24F9" w:rsidRPr="0051150C" w:rsidRDefault="00DD24F9" w:rsidP="009173F4">
      <w:pPr>
        <w:rPr>
          <w:noProof/>
          <w:szCs w:val="22"/>
          <w:highlight w:val="yellow"/>
          <w:lang w:val="sr-Latn-BA"/>
        </w:rPr>
      </w:pPr>
    </w:p>
    <w:p w14:paraId="61447FCB" w14:textId="2EEA4646" w:rsidR="00F35022" w:rsidRPr="0051150C" w:rsidRDefault="0060303D" w:rsidP="009173F4">
      <w:pPr>
        <w:rPr>
          <w:noProof/>
          <w:szCs w:val="22"/>
          <w:lang w:val="sr-Latn-BA"/>
        </w:rPr>
      </w:pPr>
      <w:r w:rsidRPr="0051150C">
        <w:rPr>
          <w:noProof/>
          <w:szCs w:val="22"/>
          <w:lang w:val="sr-Latn-BA"/>
        </w:rPr>
        <w:t>U drugoj studiji</w:t>
      </w:r>
      <w:r w:rsidR="00DD24F9" w:rsidRPr="0051150C">
        <w:rPr>
          <w:noProof/>
          <w:szCs w:val="22"/>
          <w:lang w:val="sr-Latn-BA"/>
        </w:rPr>
        <w:t xml:space="preserve">, ispitivana je famakokinetika abiraterona kod ispitanika sa </w:t>
      </w:r>
      <w:r w:rsidR="00D33011" w:rsidRPr="0051150C">
        <w:rPr>
          <w:noProof/>
          <w:szCs w:val="22"/>
          <w:lang w:val="sr-Latn-BA"/>
        </w:rPr>
        <w:t>tešk</w:t>
      </w:r>
      <w:r w:rsidR="00D33011">
        <w:rPr>
          <w:noProof/>
          <w:szCs w:val="22"/>
          <w:lang w:val="sr-Latn-BA"/>
        </w:rPr>
        <w:t>i</w:t>
      </w:r>
      <w:r w:rsidR="00D33011" w:rsidRPr="0051150C">
        <w:rPr>
          <w:noProof/>
          <w:szCs w:val="22"/>
          <w:lang w:val="sr-Latn-BA"/>
        </w:rPr>
        <w:t xml:space="preserve">m </w:t>
      </w:r>
      <w:r w:rsidR="00DD24F9" w:rsidRPr="0051150C">
        <w:rPr>
          <w:noProof/>
          <w:szCs w:val="22"/>
          <w:lang w:val="sr-Latn-BA"/>
        </w:rPr>
        <w:t xml:space="preserve">(n=8)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00DD24F9" w:rsidRPr="0051150C">
        <w:rPr>
          <w:noProof/>
          <w:szCs w:val="22"/>
          <w:lang w:val="sr-Latn-BA"/>
        </w:rPr>
        <w:t>jetre (</w:t>
      </w:r>
      <w:r w:rsidR="00DD24F9" w:rsidRPr="00410EF6">
        <w:rPr>
          <w:i/>
          <w:noProof/>
          <w:szCs w:val="22"/>
          <w:lang w:val="sr-Latn-BA"/>
        </w:rPr>
        <w:t>Child-Pugh</w:t>
      </w:r>
      <w:r w:rsidR="00DD24F9" w:rsidRPr="0051150C">
        <w:rPr>
          <w:noProof/>
          <w:szCs w:val="22"/>
          <w:lang w:val="sr-Latn-BA"/>
        </w:rPr>
        <w:t xml:space="preserve"> Class C) i 8 kontrolnih zdravih ispitanika sa normalnom funkcijom jetre. </w:t>
      </w:r>
      <w:r w:rsidRPr="0051150C">
        <w:rPr>
          <w:noProof/>
          <w:szCs w:val="22"/>
          <w:lang w:val="sr-Latn-BA"/>
        </w:rPr>
        <w:t xml:space="preserve">Kod ispitanika sa </w:t>
      </w:r>
      <w:r w:rsidR="00D33011" w:rsidRPr="0051150C">
        <w:rPr>
          <w:noProof/>
          <w:szCs w:val="22"/>
          <w:lang w:val="sr-Latn-BA"/>
        </w:rPr>
        <w:t>tešk</w:t>
      </w:r>
      <w:r w:rsidR="00D33011">
        <w:rPr>
          <w:noProof/>
          <w:szCs w:val="22"/>
          <w:lang w:val="sr-Latn-BA"/>
        </w:rPr>
        <w:t>i</w:t>
      </w:r>
      <w:r w:rsidR="00D33011" w:rsidRPr="0051150C">
        <w:rPr>
          <w:noProof/>
          <w:szCs w:val="22"/>
          <w:lang w:val="sr-Latn-BA"/>
        </w:rPr>
        <w:t xml:space="preserve">m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Pr="0051150C">
        <w:rPr>
          <w:noProof/>
          <w:szCs w:val="22"/>
          <w:lang w:val="sr-Latn-BA"/>
        </w:rPr>
        <w:t>jetre u odnosu na ispitanike sa normalnom funkcijom jetre, s</w:t>
      </w:r>
      <w:r w:rsidR="00DD24F9" w:rsidRPr="0051150C">
        <w:rPr>
          <w:noProof/>
          <w:szCs w:val="22"/>
          <w:lang w:val="sr-Latn-BA"/>
        </w:rPr>
        <w:t>istemska izloženost (PIK) abirat</w:t>
      </w:r>
      <w:r w:rsidRPr="0051150C">
        <w:rPr>
          <w:noProof/>
          <w:szCs w:val="22"/>
          <w:lang w:val="sr-Latn-BA"/>
        </w:rPr>
        <w:t>eronu je bila povećana za oko 600%, dok je</w:t>
      </w:r>
      <w:r w:rsidR="00DD24F9" w:rsidRPr="0051150C">
        <w:rPr>
          <w:noProof/>
          <w:szCs w:val="22"/>
          <w:lang w:val="sr-Latn-BA"/>
        </w:rPr>
        <w:t xml:space="preserve"> frakc</w:t>
      </w:r>
      <w:r w:rsidRPr="0051150C">
        <w:rPr>
          <w:noProof/>
          <w:szCs w:val="22"/>
          <w:lang w:val="sr-Latn-BA"/>
        </w:rPr>
        <w:t xml:space="preserve">ija slobodnog </w:t>
      </w:r>
      <w:r w:rsidR="00096FAA" w:rsidRPr="0051150C">
        <w:rPr>
          <w:noProof/>
          <w:szCs w:val="22"/>
          <w:lang w:val="sr-Latn-BA"/>
        </w:rPr>
        <w:t>lijek</w:t>
      </w:r>
      <w:r w:rsidRPr="0051150C">
        <w:rPr>
          <w:noProof/>
          <w:szCs w:val="22"/>
          <w:lang w:val="sr-Latn-BA"/>
        </w:rPr>
        <w:t xml:space="preserve">a </w:t>
      </w:r>
      <w:r w:rsidR="00DD24F9" w:rsidRPr="0051150C">
        <w:rPr>
          <w:noProof/>
          <w:szCs w:val="22"/>
          <w:lang w:val="sr-Latn-BA"/>
        </w:rPr>
        <w:t>bila povećana za 80%</w:t>
      </w:r>
      <w:r w:rsidRPr="0051150C">
        <w:rPr>
          <w:noProof/>
          <w:szCs w:val="22"/>
          <w:lang w:val="sr-Latn-BA"/>
        </w:rPr>
        <w:t>.</w:t>
      </w:r>
    </w:p>
    <w:p w14:paraId="7DA04128" w14:textId="77777777" w:rsidR="00F35022" w:rsidRPr="0051150C" w:rsidRDefault="00F35022" w:rsidP="009173F4">
      <w:pPr>
        <w:rPr>
          <w:noProof/>
          <w:szCs w:val="22"/>
          <w:highlight w:val="yellow"/>
          <w:lang w:val="sr-Latn-BA"/>
        </w:rPr>
      </w:pPr>
    </w:p>
    <w:p w14:paraId="7E40F468" w14:textId="1A7EE9CB" w:rsidR="00DD24F9" w:rsidRPr="0051150C" w:rsidRDefault="00DD24F9" w:rsidP="009173F4">
      <w:pPr>
        <w:rPr>
          <w:noProof/>
          <w:szCs w:val="22"/>
          <w:lang w:val="sr-Latn-BA"/>
        </w:rPr>
      </w:pPr>
      <w:r w:rsidRPr="0051150C">
        <w:rPr>
          <w:noProof/>
          <w:szCs w:val="22"/>
          <w:lang w:val="sr-Latn-BA"/>
        </w:rPr>
        <w:t xml:space="preserve">Nije potrebno </w:t>
      </w:r>
      <w:r w:rsidR="001F1EFC" w:rsidRPr="0051150C">
        <w:rPr>
          <w:noProof/>
          <w:szCs w:val="22"/>
          <w:lang w:val="sr-Latn-BA"/>
        </w:rPr>
        <w:t>prilagođavanje</w:t>
      </w:r>
      <w:r w:rsidRPr="0051150C">
        <w:rPr>
          <w:noProof/>
          <w:szCs w:val="22"/>
          <w:lang w:val="sr-Latn-BA"/>
        </w:rPr>
        <w:t xml:space="preserve"> doze kod pacijenata sa </w:t>
      </w:r>
      <w:r w:rsidR="00D33011" w:rsidRPr="0051150C">
        <w:rPr>
          <w:noProof/>
          <w:szCs w:val="22"/>
          <w:lang w:val="sr-Latn-BA"/>
        </w:rPr>
        <w:t>postojeć</w:t>
      </w:r>
      <w:r w:rsidR="00D33011">
        <w:rPr>
          <w:noProof/>
          <w:szCs w:val="22"/>
          <w:lang w:val="sr-Latn-BA"/>
        </w:rPr>
        <w:t>i</w:t>
      </w:r>
      <w:r w:rsidR="00D33011" w:rsidRPr="0051150C">
        <w:rPr>
          <w:noProof/>
          <w:szCs w:val="22"/>
          <w:lang w:val="sr-Latn-BA"/>
        </w:rPr>
        <w:t>m blag</w:t>
      </w:r>
      <w:r w:rsidR="00D33011">
        <w:rPr>
          <w:noProof/>
          <w:szCs w:val="22"/>
          <w:lang w:val="sr-Latn-BA"/>
        </w:rPr>
        <w:t>i</w:t>
      </w:r>
      <w:r w:rsidR="00D33011" w:rsidRPr="0051150C">
        <w:rPr>
          <w:noProof/>
          <w:szCs w:val="22"/>
          <w:lang w:val="sr-Latn-BA"/>
        </w:rPr>
        <w:t xml:space="preserve">m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Pr="0051150C">
        <w:rPr>
          <w:noProof/>
          <w:szCs w:val="22"/>
          <w:lang w:val="sr-Latn-BA"/>
        </w:rPr>
        <w:t xml:space="preserve">jetre. </w:t>
      </w:r>
      <w:r w:rsidR="00621417" w:rsidRPr="0051150C">
        <w:rPr>
          <w:noProof/>
          <w:szCs w:val="22"/>
          <w:lang w:val="sr-Latn-BA"/>
        </w:rPr>
        <w:t xml:space="preserve">S druge strane, pacijenti sa </w:t>
      </w:r>
      <w:r w:rsidR="00D33011" w:rsidRPr="0051150C">
        <w:rPr>
          <w:noProof/>
          <w:szCs w:val="22"/>
          <w:lang w:val="sr-Latn-BA"/>
        </w:rPr>
        <w:t>umjeren</w:t>
      </w:r>
      <w:r w:rsidR="00D33011">
        <w:rPr>
          <w:noProof/>
          <w:szCs w:val="22"/>
          <w:lang w:val="sr-Latn-BA"/>
        </w:rPr>
        <w:t>i</w:t>
      </w:r>
      <w:r w:rsidR="00D33011" w:rsidRPr="0051150C">
        <w:rPr>
          <w:noProof/>
          <w:szCs w:val="22"/>
          <w:lang w:val="sr-Latn-BA"/>
        </w:rPr>
        <w:t xml:space="preserve">m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00621417" w:rsidRPr="0051150C">
        <w:rPr>
          <w:noProof/>
          <w:szCs w:val="22"/>
          <w:lang w:val="sr-Latn-BA"/>
        </w:rPr>
        <w:t>jetre k</w:t>
      </w:r>
      <w:r w:rsidRPr="0051150C">
        <w:rPr>
          <w:noProof/>
          <w:szCs w:val="22"/>
          <w:lang w:val="sr-Latn-BA"/>
        </w:rPr>
        <w:t xml:space="preserve">od kojih korist jasno prevazilazi mogući rizik </w:t>
      </w:r>
      <w:r w:rsidR="00621417" w:rsidRPr="0051150C">
        <w:rPr>
          <w:noProof/>
          <w:szCs w:val="22"/>
          <w:lang w:val="sr-Latn-BA"/>
        </w:rPr>
        <w:t>zaht</w:t>
      </w:r>
      <w:r w:rsidR="00A7584C" w:rsidRPr="0051150C">
        <w:rPr>
          <w:noProof/>
          <w:szCs w:val="22"/>
          <w:lang w:val="sr-Latn-BA"/>
        </w:rPr>
        <w:t>ij</w:t>
      </w:r>
      <w:r w:rsidR="00621417" w:rsidRPr="0051150C">
        <w:rPr>
          <w:noProof/>
          <w:szCs w:val="22"/>
          <w:lang w:val="sr-Latn-BA"/>
        </w:rPr>
        <w:t xml:space="preserve">evaju pažljiv pristup pri </w:t>
      </w:r>
      <w:r w:rsidR="00096FAA" w:rsidRPr="0051150C">
        <w:rPr>
          <w:noProof/>
          <w:szCs w:val="22"/>
          <w:lang w:val="sr-Latn-BA"/>
        </w:rPr>
        <w:t>primjen</w:t>
      </w:r>
      <w:r w:rsidR="00621417" w:rsidRPr="0051150C">
        <w:rPr>
          <w:noProof/>
          <w:szCs w:val="22"/>
          <w:lang w:val="sr-Latn-BA"/>
        </w:rPr>
        <w:t xml:space="preserve">i </w:t>
      </w:r>
      <w:r w:rsidR="001F1EFC" w:rsidRPr="0051150C">
        <w:rPr>
          <w:noProof/>
          <w:szCs w:val="22"/>
          <w:lang w:val="sr-Latn-BA"/>
        </w:rPr>
        <w:t xml:space="preserve">abirateron </w:t>
      </w:r>
      <w:r w:rsidR="00621417" w:rsidRPr="0051150C">
        <w:rPr>
          <w:noProof/>
          <w:szCs w:val="22"/>
          <w:lang w:val="sr-Latn-BA"/>
        </w:rPr>
        <w:t xml:space="preserve">acetata </w:t>
      </w:r>
      <w:r w:rsidRPr="0051150C">
        <w:rPr>
          <w:noProof/>
          <w:szCs w:val="22"/>
          <w:lang w:val="sr-Latn-BA"/>
        </w:rPr>
        <w:t>(</w:t>
      </w:r>
      <w:r w:rsidR="00096FAA" w:rsidRPr="00410EF6">
        <w:rPr>
          <w:noProof/>
          <w:szCs w:val="22"/>
          <w:lang w:val="sr-Latn-BA"/>
        </w:rPr>
        <w:t>vidjeti</w:t>
      </w:r>
      <w:r w:rsidRPr="00410EF6">
        <w:rPr>
          <w:noProof/>
          <w:szCs w:val="22"/>
          <w:lang w:val="sr-Latn-BA"/>
        </w:rPr>
        <w:t xml:space="preserve"> </w:t>
      </w:r>
      <w:r w:rsidR="00D33011" w:rsidRPr="00410EF6">
        <w:rPr>
          <w:noProof/>
          <w:szCs w:val="22"/>
          <w:lang w:val="sr-Latn-BA"/>
        </w:rPr>
        <w:t xml:space="preserve">djelove </w:t>
      </w:r>
      <w:r w:rsidRPr="00410EF6">
        <w:rPr>
          <w:noProof/>
          <w:szCs w:val="22"/>
          <w:lang w:val="sr-Latn-BA"/>
        </w:rPr>
        <w:t>4.2 i 4.4</w:t>
      </w:r>
      <w:r w:rsidRPr="0051150C">
        <w:rPr>
          <w:noProof/>
          <w:szCs w:val="22"/>
          <w:lang w:val="sr-Latn-BA"/>
        </w:rPr>
        <w:t>).</w:t>
      </w:r>
      <w:r w:rsidR="00621417" w:rsidRPr="0051150C">
        <w:rPr>
          <w:noProof/>
          <w:szCs w:val="22"/>
          <w:lang w:val="sr-Latn-BA"/>
        </w:rPr>
        <w:t xml:space="preserve"> </w:t>
      </w:r>
      <w:r w:rsidR="001F1EFC" w:rsidRPr="0051150C">
        <w:rPr>
          <w:noProof/>
          <w:szCs w:val="22"/>
          <w:lang w:val="sr-Latn-BA"/>
        </w:rPr>
        <w:t xml:space="preserve">Abirateron </w:t>
      </w:r>
      <w:r w:rsidRPr="0051150C">
        <w:rPr>
          <w:noProof/>
          <w:szCs w:val="22"/>
          <w:lang w:val="sr-Latn-BA"/>
        </w:rPr>
        <w:t xml:space="preserve">acetat ne treba davati pacijentima sa </w:t>
      </w:r>
      <w:r w:rsidR="00D33011" w:rsidRPr="0051150C">
        <w:rPr>
          <w:noProof/>
          <w:szCs w:val="22"/>
          <w:lang w:val="sr-Latn-BA"/>
        </w:rPr>
        <w:t>tešk</w:t>
      </w:r>
      <w:r w:rsidR="00D33011">
        <w:rPr>
          <w:noProof/>
          <w:szCs w:val="22"/>
          <w:lang w:val="sr-Latn-BA"/>
        </w:rPr>
        <w:t>i</w:t>
      </w:r>
      <w:r w:rsidR="00D33011" w:rsidRPr="0051150C">
        <w:rPr>
          <w:noProof/>
          <w:szCs w:val="22"/>
          <w:lang w:val="sr-Latn-BA"/>
        </w:rPr>
        <w:t xml:space="preserve">m </w:t>
      </w:r>
      <w:r w:rsidR="00D33011">
        <w:rPr>
          <w:noProof/>
          <w:szCs w:val="22"/>
          <w:lang w:val="sr-Latn-BA"/>
        </w:rPr>
        <w:t>oštećenje</w:t>
      </w:r>
      <w:r w:rsidR="00D33011" w:rsidRPr="0051150C">
        <w:rPr>
          <w:noProof/>
          <w:szCs w:val="22"/>
          <w:lang w:val="sr-Latn-BA"/>
        </w:rPr>
        <w:t xml:space="preserve">m </w:t>
      </w:r>
      <w:r w:rsidR="009A187D">
        <w:rPr>
          <w:noProof/>
          <w:szCs w:val="22"/>
          <w:lang w:val="sr-Latn-BA"/>
        </w:rPr>
        <w:t xml:space="preserve">funkcije </w:t>
      </w:r>
      <w:r w:rsidRPr="0051150C">
        <w:rPr>
          <w:noProof/>
          <w:szCs w:val="22"/>
          <w:lang w:val="sr-Latn-BA"/>
        </w:rPr>
        <w:t>jetre (</w:t>
      </w:r>
      <w:r w:rsidR="00096FAA" w:rsidRPr="00410EF6">
        <w:rPr>
          <w:noProof/>
          <w:szCs w:val="22"/>
          <w:lang w:val="sr-Latn-BA"/>
        </w:rPr>
        <w:t>vidjeti</w:t>
      </w:r>
      <w:r w:rsidRPr="00410EF6">
        <w:rPr>
          <w:noProof/>
          <w:szCs w:val="22"/>
          <w:lang w:val="sr-Latn-BA"/>
        </w:rPr>
        <w:t xml:space="preserve"> </w:t>
      </w:r>
      <w:r w:rsidR="00D33011" w:rsidRPr="00410EF6">
        <w:rPr>
          <w:noProof/>
          <w:szCs w:val="22"/>
          <w:lang w:val="sr-Latn-BA"/>
        </w:rPr>
        <w:t xml:space="preserve">djelove </w:t>
      </w:r>
      <w:r w:rsidRPr="00410EF6">
        <w:rPr>
          <w:noProof/>
          <w:szCs w:val="22"/>
          <w:lang w:val="sr-Latn-BA"/>
        </w:rPr>
        <w:t>4.2</w:t>
      </w:r>
      <w:r w:rsidR="00D33011">
        <w:rPr>
          <w:noProof/>
          <w:szCs w:val="22"/>
          <w:lang w:val="sr-Latn-BA"/>
        </w:rPr>
        <w:t>,</w:t>
      </w:r>
      <w:r w:rsidRPr="00410EF6">
        <w:rPr>
          <w:noProof/>
          <w:szCs w:val="22"/>
          <w:lang w:val="sr-Latn-BA"/>
        </w:rPr>
        <w:t xml:space="preserve"> 4.3, 4.4</w:t>
      </w:r>
      <w:r w:rsidRPr="0051150C">
        <w:rPr>
          <w:noProof/>
          <w:szCs w:val="22"/>
          <w:lang w:val="sr-Latn-BA"/>
        </w:rPr>
        <w:t>).</w:t>
      </w:r>
    </w:p>
    <w:p w14:paraId="687EAB5F" w14:textId="77777777" w:rsidR="00DD24F9" w:rsidRPr="0051150C" w:rsidRDefault="00DD24F9" w:rsidP="009173F4">
      <w:pPr>
        <w:rPr>
          <w:noProof/>
          <w:szCs w:val="22"/>
          <w:lang w:val="sr-Latn-BA"/>
        </w:rPr>
      </w:pPr>
    </w:p>
    <w:p w14:paraId="0E3B9415" w14:textId="3D924AF9" w:rsidR="00DD24F9" w:rsidRPr="0051150C" w:rsidRDefault="00621417" w:rsidP="009173F4">
      <w:pPr>
        <w:rPr>
          <w:noProof/>
          <w:szCs w:val="22"/>
          <w:lang w:val="sr-Latn-BA"/>
        </w:rPr>
      </w:pPr>
      <w:r w:rsidRPr="0051150C">
        <w:rPr>
          <w:noProof/>
          <w:szCs w:val="22"/>
          <w:lang w:val="sr-Latn-BA"/>
        </w:rPr>
        <w:t>Ukoliko se tokom terapije kod pacijenata</w:t>
      </w:r>
      <w:r w:rsidR="00DD24F9" w:rsidRPr="0051150C">
        <w:rPr>
          <w:noProof/>
          <w:szCs w:val="22"/>
          <w:lang w:val="sr-Latn-BA"/>
        </w:rPr>
        <w:t xml:space="preserve"> razvije hepatotoksičnost</w:t>
      </w:r>
      <w:r w:rsidR="001F1EFC" w:rsidRPr="0051150C">
        <w:rPr>
          <w:noProof/>
          <w:szCs w:val="22"/>
          <w:lang w:val="sr-Latn-BA"/>
        </w:rPr>
        <w:t>,</w:t>
      </w:r>
      <w:r w:rsidR="00DD24F9" w:rsidRPr="0051150C">
        <w:rPr>
          <w:noProof/>
          <w:szCs w:val="22"/>
          <w:lang w:val="sr-Latn-BA"/>
        </w:rPr>
        <w:t xml:space="preserve"> </w:t>
      </w:r>
      <w:r w:rsidRPr="0051150C">
        <w:rPr>
          <w:noProof/>
          <w:szCs w:val="22"/>
          <w:lang w:val="sr-Latn-BA"/>
        </w:rPr>
        <w:t>obustava</w:t>
      </w:r>
      <w:r w:rsidR="00DD24F9" w:rsidRPr="0051150C">
        <w:rPr>
          <w:noProof/>
          <w:szCs w:val="22"/>
          <w:lang w:val="sr-Latn-BA"/>
        </w:rPr>
        <w:t xml:space="preserve"> terapije </w:t>
      </w:r>
      <w:r w:rsidR="006166CF" w:rsidRPr="0051150C">
        <w:rPr>
          <w:noProof/>
          <w:szCs w:val="22"/>
          <w:lang w:val="sr-Latn-BA"/>
        </w:rPr>
        <w:t xml:space="preserve">i </w:t>
      </w:r>
      <w:r w:rsidR="00DD24F9" w:rsidRPr="0051150C">
        <w:rPr>
          <w:noProof/>
          <w:szCs w:val="22"/>
          <w:lang w:val="sr-Latn-BA"/>
        </w:rPr>
        <w:t xml:space="preserve">prilagođavanje doze </w:t>
      </w:r>
      <w:r w:rsidRPr="0051150C">
        <w:rPr>
          <w:noProof/>
          <w:szCs w:val="22"/>
          <w:lang w:val="sr-Latn-BA"/>
        </w:rPr>
        <w:t xml:space="preserve">mogu biti neophodni </w:t>
      </w:r>
      <w:r w:rsidR="00DD24F9" w:rsidRPr="0051150C">
        <w:rPr>
          <w:noProof/>
          <w:szCs w:val="22"/>
          <w:lang w:val="sr-Latn-BA"/>
        </w:rPr>
        <w:t>(</w:t>
      </w:r>
      <w:r w:rsidR="00096FAA" w:rsidRPr="00D33011">
        <w:rPr>
          <w:noProof/>
          <w:szCs w:val="22"/>
          <w:lang w:val="sr-Latn-BA"/>
        </w:rPr>
        <w:t>vidjeti</w:t>
      </w:r>
      <w:r w:rsidR="00DD24F9" w:rsidRPr="00D33011">
        <w:rPr>
          <w:noProof/>
          <w:szCs w:val="22"/>
          <w:lang w:val="sr-Latn-BA"/>
        </w:rPr>
        <w:t xml:space="preserve"> </w:t>
      </w:r>
      <w:r w:rsidR="00AC5F8D" w:rsidRPr="00D33011">
        <w:rPr>
          <w:noProof/>
          <w:szCs w:val="22"/>
          <w:lang w:val="sr-Latn-BA"/>
        </w:rPr>
        <w:t>djelove</w:t>
      </w:r>
      <w:r w:rsidR="00DD24F9" w:rsidRPr="00D33011">
        <w:rPr>
          <w:noProof/>
          <w:szCs w:val="22"/>
          <w:lang w:val="sr-Latn-BA"/>
        </w:rPr>
        <w:t xml:space="preserve"> </w:t>
      </w:r>
      <w:r w:rsidR="00DD24F9" w:rsidRPr="0051150C">
        <w:rPr>
          <w:noProof/>
          <w:szCs w:val="22"/>
          <w:lang w:val="sr-Latn-BA"/>
        </w:rPr>
        <w:t>4.2 i 4.4).</w:t>
      </w:r>
    </w:p>
    <w:p w14:paraId="4B158129" w14:textId="4B9084F1" w:rsidR="00DD24F9" w:rsidRPr="0051150C" w:rsidRDefault="00DD24F9" w:rsidP="009173F4">
      <w:pPr>
        <w:rPr>
          <w:noProof/>
          <w:szCs w:val="22"/>
          <w:highlight w:val="yellow"/>
          <w:lang w:val="sr-Latn-BA"/>
        </w:rPr>
      </w:pPr>
    </w:p>
    <w:p w14:paraId="2FFC91B1" w14:textId="77777777" w:rsidR="004E3BC2" w:rsidRDefault="004E3BC2" w:rsidP="009173F4">
      <w:pPr>
        <w:rPr>
          <w:i/>
          <w:noProof/>
          <w:szCs w:val="22"/>
          <w:u w:val="single"/>
          <w:lang w:val="sr-Latn-BA"/>
        </w:rPr>
      </w:pPr>
    </w:p>
    <w:p w14:paraId="63DEE143" w14:textId="021663BA" w:rsidR="00DD24F9" w:rsidRPr="0051150C" w:rsidRDefault="00DD24F9" w:rsidP="009173F4">
      <w:pPr>
        <w:rPr>
          <w:i/>
          <w:noProof/>
          <w:szCs w:val="22"/>
          <w:u w:val="single"/>
          <w:lang w:val="sr-Latn-BA"/>
        </w:rPr>
      </w:pPr>
      <w:r w:rsidRPr="0051150C">
        <w:rPr>
          <w:i/>
          <w:noProof/>
          <w:szCs w:val="22"/>
          <w:u w:val="single"/>
          <w:lang w:val="sr-Latn-BA"/>
        </w:rPr>
        <w:lastRenderedPageBreak/>
        <w:t xml:space="preserve">Pacijenti sa </w:t>
      </w:r>
      <w:r w:rsidR="009A187D">
        <w:rPr>
          <w:i/>
          <w:noProof/>
          <w:szCs w:val="22"/>
          <w:u w:val="single"/>
          <w:lang w:val="sr-Latn-BA"/>
        </w:rPr>
        <w:t>oštećenjem funkcije bubrega</w:t>
      </w:r>
    </w:p>
    <w:p w14:paraId="0248EBD8" w14:textId="4B546360" w:rsidR="00DD24F9" w:rsidRPr="0051150C" w:rsidRDefault="00DD24F9" w:rsidP="009173F4">
      <w:pPr>
        <w:rPr>
          <w:noProof/>
          <w:szCs w:val="22"/>
          <w:lang w:val="sr-Latn-BA"/>
        </w:rPr>
      </w:pPr>
      <w:r w:rsidRPr="0051150C">
        <w:rPr>
          <w:noProof/>
          <w:szCs w:val="22"/>
          <w:lang w:val="sr-Latn-BA"/>
        </w:rPr>
        <w:t xml:space="preserve">Farmakokinetika abirateron acetata </w:t>
      </w:r>
      <w:r w:rsidR="006166CF" w:rsidRPr="0051150C">
        <w:rPr>
          <w:noProof/>
          <w:szCs w:val="22"/>
          <w:lang w:val="sr-Latn-BA"/>
        </w:rPr>
        <w:t>je upoređena</w:t>
      </w:r>
      <w:r w:rsidR="00F35022" w:rsidRPr="0051150C">
        <w:rPr>
          <w:noProof/>
          <w:szCs w:val="22"/>
          <w:lang w:val="sr-Latn-BA"/>
        </w:rPr>
        <w:t xml:space="preserve"> kod pacijenata sa terminalnim oblikom </w:t>
      </w:r>
      <w:r w:rsidRPr="0051150C">
        <w:rPr>
          <w:noProof/>
          <w:szCs w:val="22"/>
          <w:lang w:val="sr-Latn-BA"/>
        </w:rPr>
        <w:t xml:space="preserve">bubrežne bolesti koji su na stabilnom programu hemodijalize sa kontrolnim ispitanicima </w:t>
      </w:r>
      <w:r w:rsidR="00621417" w:rsidRPr="0051150C">
        <w:rPr>
          <w:noProof/>
          <w:szCs w:val="22"/>
          <w:lang w:val="sr-Latn-BA"/>
        </w:rPr>
        <w:t>normalne bubrežne funkcije</w:t>
      </w:r>
      <w:r w:rsidR="006166CF" w:rsidRPr="0051150C">
        <w:rPr>
          <w:noProof/>
          <w:szCs w:val="22"/>
          <w:lang w:val="sr-Latn-BA"/>
        </w:rPr>
        <w:t>. Sistemska izloženost</w:t>
      </w:r>
      <w:r w:rsidRPr="0051150C">
        <w:rPr>
          <w:noProof/>
          <w:szCs w:val="22"/>
          <w:lang w:val="sr-Latn-BA"/>
        </w:rPr>
        <w:t xml:space="preserve"> abirateronu posl</w:t>
      </w:r>
      <w:r w:rsidR="00C41C0F" w:rsidRPr="0051150C">
        <w:rPr>
          <w:noProof/>
          <w:szCs w:val="22"/>
          <w:lang w:val="sr-Latn-BA"/>
        </w:rPr>
        <w:t>ij</w:t>
      </w:r>
      <w:r w:rsidRPr="0051150C">
        <w:rPr>
          <w:noProof/>
          <w:szCs w:val="22"/>
          <w:lang w:val="sr-Latn-BA"/>
        </w:rPr>
        <w:t>e pojedinačne oralne doze od 1000 mg nije poveć</w:t>
      </w:r>
      <w:r w:rsidR="006166CF" w:rsidRPr="0051150C">
        <w:rPr>
          <w:noProof/>
          <w:szCs w:val="22"/>
          <w:lang w:val="sr-Latn-BA"/>
        </w:rPr>
        <w:t>ana</w:t>
      </w:r>
      <w:r w:rsidRPr="0051150C">
        <w:rPr>
          <w:noProof/>
          <w:szCs w:val="22"/>
          <w:lang w:val="sr-Latn-BA"/>
        </w:rPr>
        <w:t xml:space="preserve"> kod ispitanika u terminalnoj fazi bubrežne bolesti koji su na dijalizi. Davanje ovog </w:t>
      </w:r>
      <w:r w:rsidR="00096FAA" w:rsidRPr="0051150C">
        <w:rPr>
          <w:noProof/>
          <w:szCs w:val="22"/>
          <w:lang w:val="sr-Latn-BA"/>
        </w:rPr>
        <w:t>lijek</w:t>
      </w:r>
      <w:r w:rsidRPr="0051150C">
        <w:rPr>
          <w:noProof/>
          <w:szCs w:val="22"/>
          <w:lang w:val="sr-Latn-BA"/>
        </w:rPr>
        <w:t xml:space="preserve">a pacijentima sa </w:t>
      </w:r>
      <w:r w:rsidR="009A187D">
        <w:rPr>
          <w:noProof/>
          <w:szCs w:val="22"/>
          <w:lang w:val="sr-Latn-BA"/>
        </w:rPr>
        <w:t>oštećenjem funkcije bubrega</w:t>
      </w:r>
      <w:r w:rsidRPr="0051150C">
        <w:rPr>
          <w:noProof/>
          <w:szCs w:val="22"/>
          <w:lang w:val="sr-Latn-BA"/>
        </w:rPr>
        <w:t xml:space="preserve">, uključujući i </w:t>
      </w:r>
      <w:r w:rsidR="009A187D" w:rsidRPr="0051150C">
        <w:rPr>
          <w:noProof/>
          <w:szCs w:val="22"/>
          <w:lang w:val="sr-Latn-BA"/>
        </w:rPr>
        <w:t>tešk</w:t>
      </w:r>
      <w:r w:rsidR="009A187D">
        <w:rPr>
          <w:noProof/>
          <w:szCs w:val="22"/>
          <w:lang w:val="sr-Latn-BA"/>
        </w:rPr>
        <w:t>o</w:t>
      </w:r>
      <w:r w:rsidR="009A187D" w:rsidRPr="0051150C">
        <w:rPr>
          <w:noProof/>
          <w:szCs w:val="22"/>
          <w:lang w:val="sr-Latn-BA"/>
        </w:rPr>
        <w:t xml:space="preserve"> </w:t>
      </w:r>
      <w:r w:rsidR="009A187D">
        <w:rPr>
          <w:noProof/>
          <w:szCs w:val="22"/>
          <w:lang w:val="sr-Latn-BA"/>
        </w:rPr>
        <w:t>oštećenje funkcije bubrega</w:t>
      </w:r>
      <w:r w:rsidRPr="0051150C">
        <w:rPr>
          <w:noProof/>
          <w:szCs w:val="22"/>
          <w:lang w:val="sr-Latn-BA"/>
        </w:rPr>
        <w:t>, ne iziskuje smanjenje doze (</w:t>
      </w:r>
      <w:r w:rsidR="00F43B54" w:rsidRPr="00410EF6">
        <w:rPr>
          <w:noProof/>
          <w:szCs w:val="22"/>
          <w:lang w:val="sr-Latn-BA"/>
        </w:rPr>
        <w:t>vidjeti dio</w:t>
      </w:r>
      <w:r w:rsidR="00D10BC6" w:rsidRPr="00410EF6">
        <w:rPr>
          <w:noProof/>
          <w:szCs w:val="22"/>
          <w:lang w:val="sr-Latn-BA"/>
        </w:rPr>
        <w:t xml:space="preserve"> </w:t>
      </w:r>
      <w:r w:rsidRPr="00410EF6">
        <w:rPr>
          <w:noProof/>
          <w:szCs w:val="22"/>
          <w:lang w:val="sr-Latn-BA"/>
        </w:rPr>
        <w:t>4.2</w:t>
      </w:r>
      <w:r w:rsidRPr="0051150C">
        <w:rPr>
          <w:noProof/>
          <w:szCs w:val="22"/>
          <w:lang w:val="sr-Latn-BA"/>
        </w:rPr>
        <w:t>). Međutim, nema kliničk</w:t>
      </w:r>
      <w:r w:rsidR="00D10BC6">
        <w:rPr>
          <w:noProof/>
          <w:szCs w:val="22"/>
          <w:lang w:val="sr-Latn-BA"/>
        </w:rPr>
        <w:t>og</w:t>
      </w:r>
      <w:r w:rsidRPr="0051150C">
        <w:rPr>
          <w:noProof/>
          <w:szCs w:val="22"/>
          <w:lang w:val="sr-Latn-BA"/>
        </w:rPr>
        <w:t xml:space="preserve"> iskustva kod pacijenata sa karcinomom prostate i </w:t>
      </w:r>
      <w:r w:rsidR="009A187D" w:rsidRPr="0051150C">
        <w:rPr>
          <w:noProof/>
          <w:szCs w:val="22"/>
          <w:lang w:val="sr-Latn-BA"/>
        </w:rPr>
        <w:t>tešk</w:t>
      </w:r>
      <w:r w:rsidR="009A187D">
        <w:rPr>
          <w:noProof/>
          <w:szCs w:val="22"/>
          <w:lang w:val="sr-Latn-BA"/>
        </w:rPr>
        <w:t>i</w:t>
      </w:r>
      <w:r w:rsidR="009A187D" w:rsidRPr="0051150C">
        <w:rPr>
          <w:noProof/>
          <w:szCs w:val="22"/>
          <w:lang w:val="sr-Latn-BA"/>
        </w:rPr>
        <w:t xml:space="preserve">m </w:t>
      </w:r>
      <w:r w:rsidR="009A187D">
        <w:rPr>
          <w:noProof/>
          <w:szCs w:val="22"/>
          <w:lang w:val="sr-Latn-BA"/>
        </w:rPr>
        <w:t>oštećenjem funkcije bubrega</w:t>
      </w:r>
      <w:r w:rsidRPr="0051150C">
        <w:rPr>
          <w:noProof/>
          <w:szCs w:val="22"/>
          <w:lang w:val="sr-Latn-BA"/>
        </w:rPr>
        <w:t>. Stoga se kod ovih pacijenata sav</w:t>
      </w:r>
      <w:r w:rsidR="00C41C0F" w:rsidRPr="0051150C">
        <w:rPr>
          <w:noProof/>
          <w:szCs w:val="22"/>
          <w:lang w:val="sr-Latn-BA"/>
        </w:rPr>
        <w:t>j</w:t>
      </w:r>
      <w:r w:rsidRPr="0051150C">
        <w:rPr>
          <w:noProof/>
          <w:szCs w:val="22"/>
          <w:lang w:val="sr-Latn-BA"/>
        </w:rPr>
        <w:t>etuje oprez.</w:t>
      </w:r>
    </w:p>
    <w:p w14:paraId="628D6033" w14:textId="77777777" w:rsidR="00280E47" w:rsidRPr="0051150C" w:rsidRDefault="00280E47" w:rsidP="009173F4">
      <w:pPr>
        <w:rPr>
          <w:noProof/>
          <w:szCs w:val="22"/>
          <w:lang w:val="sr-Latn-BA"/>
        </w:rPr>
      </w:pPr>
    </w:p>
    <w:p w14:paraId="584B0D8B" w14:textId="5F233F34" w:rsidR="00CE09F3" w:rsidRPr="0051150C" w:rsidRDefault="00CE09F3" w:rsidP="009173F4">
      <w:pPr>
        <w:rPr>
          <w:b/>
          <w:bCs/>
          <w:noProof/>
          <w:szCs w:val="22"/>
          <w:lang w:val="sr-Latn-BA"/>
        </w:rPr>
      </w:pPr>
      <w:r w:rsidRPr="0051150C">
        <w:rPr>
          <w:b/>
          <w:bCs/>
          <w:noProof/>
          <w:szCs w:val="22"/>
          <w:lang w:val="sr-Latn-BA"/>
        </w:rPr>
        <w:t>5.3. Pretklinički podaci o bezb</w:t>
      </w:r>
      <w:r w:rsidR="00C41C0F" w:rsidRPr="0051150C">
        <w:rPr>
          <w:b/>
          <w:bCs/>
          <w:noProof/>
          <w:szCs w:val="22"/>
          <w:lang w:val="sr-Latn-BA"/>
        </w:rPr>
        <w:t>j</w:t>
      </w:r>
      <w:r w:rsidRPr="0051150C">
        <w:rPr>
          <w:b/>
          <w:bCs/>
          <w:noProof/>
          <w:szCs w:val="22"/>
          <w:lang w:val="sr-Latn-BA"/>
        </w:rPr>
        <w:t xml:space="preserve">ednosti </w:t>
      </w:r>
    </w:p>
    <w:p w14:paraId="584B0D8C" w14:textId="77777777" w:rsidR="00CE09F3" w:rsidRPr="0051150C" w:rsidRDefault="00CE09F3" w:rsidP="009173F4">
      <w:pPr>
        <w:rPr>
          <w:noProof/>
          <w:szCs w:val="22"/>
          <w:lang w:val="sr-Latn-BA"/>
        </w:rPr>
      </w:pPr>
    </w:p>
    <w:p w14:paraId="744921D5" w14:textId="7E9A8E21" w:rsidR="000C12C1" w:rsidRPr="0051150C" w:rsidRDefault="000C12C1" w:rsidP="009173F4">
      <w:pPr>
        <w:rPr>
          <w:noProof/>
          <w:szCs w:val="22"/>
          <w:lang w:val="sr-Latn-BA"/>
        </w:rPr>
      </w:pPr>
      <w:r w:rsidRPr="0051150C">
        <w:rPr>
          <w:noProof/>
          <w:szCs w:val="22"/>
          <w:lang w:val="sr-Latn-BA"/>
        </w:rPr>
        <w:t xml:space="preserve">U svim studijama toksičnosti na životinjama, koncentracije testosterona u krvi su bile značajno </w:t>
      </w:r>
      <w:r w:rsidR="007E4198" w:rsidRPr="0051150C">
        <w:rPr>
          <w:noProof/>
          <w:szCs w:val="22"/>
          <w:lang w:val="sr-Latn-BA"/>
        </w:rPr>
        <w:t>smanjene. Kao rezultat,</w:t>
      </w:r>
      <w:r w:rsidRPr="0051150C">
        <w:rPr>
          <w:noProof/>
          <w:szCs w:val="22"/>
          <w:lang w:val="sr-Latn-BA"/>
        </w:rPr>
        <w:t xml:space="preserve"> uočene </w:t>
      </w:r>
      <w:r w:rsidR="007E4198" w:rsidRPr="0051150C">
        <w:rPr>
          <w:noProof/>
          <w:szCs w:val="22"/>
          <w:lang w:val="sr-Latn-BA"/>
        </w:rPr>
        <w:t xml:space="preserve">su </w:t>
      </w:r>
      <w:r w:rsidRPr="0051150C">
        <w:rPr>
          <w:noProof/>
          <w:szCs w:val="22"/>
          <w:lang w:val="sr-Latn-BA"/>
        </w:rPr>
        <w:t>prom</w:t>
      </w:r>
      <w:r w:rsidR="00C41C0F" w:rsidRPr="0051150C">
        <w:rPr>
          <w:noProof/>
          <w:szCs w:val="22"/>
          <w:lang w:val="sr-Latn-BA"/>
        </w:rPr>
        <w:t>j</w:t>
      </w:r>
      <w:r w:rsidRPr="0051150C">
        <w:rPr>
          <w:noProof/>
          <w:szCs w:val="22"/>
          <w:lang w:val="sr-Latn-BA"/>
        </w:rPr>
        <w:t>ene u vidu smanjene težine organa i morfoloških i/ili histopatoloških prom</w:t>
      </w:r>
      <w:r w:rsidR="00C41C0F" w:rsidRPr="0051150C">
        <w:rPr>
          <w:noProof/>
          <w:szCs w:val="22"/>
          <w:lang w:val="sr-Latn-BA"/>
        </w:rPr>
        <w:t>j</w:t>
      </w:r>
      <w:r w:rsidRPr="0051150C">
        <w:rPr>
          <w:noProof/>
          <w:szCs w:val="22"/>
          <w:lang w:val="sr-Latn-BA"/>
        </w:rPr>
        <w:t xml:space="preserve">ena </w:t>
      </w:r>
      <w:r w:rsidR="007E4198" w:rsidRPr="0051150C">
        <w:rPr>
          <w:noProof/>
          <w:szCs w:val="22"/>
          <w:lang w:val="sr-Latn-BA"/>
        </w:rPr>
        <w:t>na nivou reproduktivnih organa, nadbubrežnih žl</w:t>
      </w:r>
      <w:r w:rsidR="00C41C0F" w:rsidRPr="0051150C">
        <w:rPr>
          <w:noProof/>
          <w:szCs w:val="22"/>
          <w:lang w:val="sr-Latn-BA"/>
        </w:rPr>
        <w:t>ij</w:t>
      </w:r>
      <w:r w:rsidR="007E4198" w:rsidRPr="0051150C">
        <w:rPr>
          <w:noProof/>
          <w:szCs w:val="22"/>
          <w:lang w:val="sr-Latn-BA"/>
        </w:rPr>
        <w:t>ezda, hipofize i ml</w:t>
      </w:r>
      <w:r w:rsidR="00C41C0F" w:rsidRPr="0051150C">
        <w:rPr>
          <w:noProof/>
          <w:szCs w:val="22"/>
          <w:lang w:val="sr-Latn-BA"/>
        </w:rPr>
        <w:t>ij</w:t>
      </w:r>
      <w:r w:rsidR="007E4198" w:rsidRPr="0051150C">
        <w:rPr>
          <w:noProof/>
          <w:szCs w:val="22"/>
          <w:lang w:val="sr-Latn-BA"/>
        </w:rPr>
        <w:t>ečnih</w:t>
      </w:r>
      <w:r w:rsidRPr="0051150C">
        <w:rPr>
          <w:noProof/>
          <w:szCs w:val="22"/>
          <w:lang w:val="sr-Latn-BA"/>
        </w:rPr>
        <w:t xml:space="preserve"> </w:t>
      </w:r>
      <w:r w:rsidR="007E4198" w:rsidRPr="0051150C">
        <w:rPr>
          <w:noProof/>
          <w:szCs w:val="22"/>
          <w:lang w:val="sr-Latn-BA"/>
        </w:rPr>
        <w:t>žl</w:t>
      </w:r>
      <w:r w:rsidR="00C41C0F" w:rsidRPr="0051150C">
        <w:rPr>
          <w:noProof/>
          <w:szCs w:val="22"/>
          <w:lang w:val="sr-Latn-BA"/>
        </w:rPr>
        <w:t>ij</w:t>
      </w:r>
      <w:r w:rsidR="007E4198" w:rsidRPr="0051150C">
        <w:rPr>
          <w:noProof/>
          <w:szCs w:val="22"/>
          <w:lang w:val="sr-Latn-BA"/>
        </w:rPr>
        <w:t>ezda</w:t>
      </w:r>
      <w:r w:rsidRPr="0051150C">
        <w:rPr>
          <w:noProof/>
          <w:szCs w:val="22"/>
          <w:lang w:val="sr-Latn-BA"/>
        </w:rPr>
        <w:t>. Sve prom</w:t>
      </w:r>
      <w:r w:rsidR="00C41C0F" w:rsidRPr="0051150C">
        <w:rPr>
          <w:noProof/>
          <w:szCs w:val="22"/>
          <w:lang w:val="sr-Latn-BA"/>
        </w:rPr>
        <w:t>j</w:t>
      </w:r>
      <w:r w:rsidRPr="0051150C">
        <w:rPr>
          <w:noProof/>
          <w:szCs w:val="22"/>
          <w:lang w:val="sr-Latn-BA"/>
        </w:rPr>
        <w:t xml:space="preserve">ene su </w:t>
      </w:r>
      <w:r w:rsidR="007E4198" w:rsidRPr="0051150C">
        <w:rPr>
          <w:noProof/>
          <w:szCs w:val="22"/>
          <w:lang w:val="sr-Latn-BA"/>
        </w:rPr>
        <w:t>pokazale potpunu ili d</w:t>
      </w:r>
      <w:r w:rsidR="00C41C0F" w:rsidRPr="0051150C">
        <w:rPr>
          <w:noProof/>
          <w:szCs w:val="22"/>
          <w:lang w:val="sr-Latn-BA"/>
        </w:rPr>
        <w:t>j</w:t>
      </w:r>
      <w:r w:rsidR="007E4198" w:rsidRPr="0051150C">
        <w:rPr>
          <w:noProof/>
          <w:szCs w:val="22"/>
          <w:lang w:val="sr-Latn-BA"/>
        </w:rPr>
        <w:t>elimičnu</w:t>
      </w:r>
      <w:r w:rsidRPr="0051150C">
        <w:rPr>
          <w:noProof/>
          <w:szCs w:val="22"/>
          <w:lang w:val="sr-Latn-BA"/>
        </w:rPr>
        <w:t xml:space="preserve"> </w:t>
      </w:r>
      <w:r w:rsidR="007E4198" w:rsidRPr="0051150C">
        <w:rPr>
          <w:noProof/>
          <w:szCs w:val="22"/>
          <w:lang w:val="sr-Latn-BA"/>
        </w:rPr>
        <w:t>reverzibilnost</w:t>
      </w:r>
      <w:r w:rsidRPr="0051150C">
        <w:rPr>
          <w:noProof/>
          <w:szCs w:val="22"/>
          <w:lang w:val="sr-Latn-BA"/>
        </w:rPr>
        <w:t>. Prom</w:t>
      </w:r>
      <w:r w:rsidR="00C41C0F" w:rsidRPr="0051150C">
        <w:rPr>
          <w:noProof/>
          <w:szCs w:val="22"/>
          <w:lang w:val="sr-Latn-BA"/>
        </w:rPr>
        <w:t>j</w:t>
      </w:r>
      <w:r w:rsidRPr="0051150C">
        <w:rPr>
          <w:noProof/>
          <w:szCs w:val="22"/>
          <w:lang w:val="sr-Latn-BA"/>
        </w:rPr>
        <w:t>ene u rep</w:t>
      </w:r>
      <w:r w:rsidR="000E03B6">
        <w:rPr>
          <w:noProof/>
          <w:szCs w:val="22"/>
          <w:lang w:val="sr-Latn-BA"/>
        </w:rPr>
        <w:t>r</w:t>
      </w:r>
      <w:r w:rsidRPr="0051150C">
        <w:rPr>
          <w:noProof/>
          <w:szCs w:val="22"/>
          <w:lang w:val="sr-Latn-BA"/>
        </w:rPr>
        <w:t xml:space="preserve">oduktivnim organima i androgen-senzitivnim organima su u skladu sa farmakologijom abiraterona. Sve </w:t>
      </w:r>
      <w:r w:rsidR="006166CF" w:rsidRPr="0051150C">
        <w:rPr>
          <w:noProof/>
          <w:szCs w:val="22"/>
          <w:lang w:val="sr-Latn-BA"/>
        </w:rPr>
        <w:t>hormonske prom</w:t>
      </w:r>
      <w:r w:rsidR="00C41C0F" w:rsidRPr="0051150C">
        <w:rPr>
          <w:noProof/>
          <w:szCs w:val="22"/>
          <w:lang w:val="sr-Latn-BA"/>
        </w:rPr>
        <w:t>j</w:t>
      </w:r>
      <w:r w:rsidR="006166CF" w:rsidRPr="0051150C">
        <w:rPr>
          <w:noProof/>
          <w:szCs w:val="22"/>
          <w:lang w:val="sr-Latn-BA"/>
        </w:rPr>
        <w:t>ene uslovljene</w:t>
      </w:r>
      <w:r w:rsidRPr="0051150C">
        <w:rPr>
          <w:noProof/>
          <w:szCs w:val="22"/>
          <w:lang w:val="sr-Latn-BA"/>
        </w:rPr>
        <w:t xml:space="preserve"> terap</w:t>
      </w:r>
      <w:r w:rsidR="00334198" w:rsidRPr="0051150C">
        <w:rPr>
          <w:noProof/>
          <w:szCs w:val="22"/>
          <w:lang w:val="sr-Latn-BA"/>
        </w:rPr>
        <w:t>ijom su bile reverzibilne ili su pokazale tendenciju</w:t>
      </w:r>
      <w:r w:rsidRPr="0051150C">
        <w:rPr>
          <w:noProof/>
          <w:szCs w:val="22"/>
          <w:lang w:val="sr-Latn-BA"/>
        </w:rPr>
        <w:t xml:space="preserve"> poboljšanja nakon 4-ned</w:t>
      </w:r>
      <w:r w:rsidR="00C41C0F" w:rsidRPr="0051150C">
        <w:rPr>
          <w:noProof/>
          <w:szCs w:val="22"/>
          <w:lang w:val="sr-Latn-BA"/>
        </w:rPr>
        <w:t>j</w:t>
      </w:r>
      <w:r w:rsidRPr="0051150C">
        <w:rPr>
          <w:noProof/>
          <w:szCs w:val="22"/>
          <w:lang w:val="sr-Latn-BA"/>
        </w:rPr>
        <w:t>eljnog perioda oporavka.</w:t>
      </w:r>
    </w:p>
    <w:p w14:paraId="2120CBAD" w14:textId="77777777" w:rsidR="000C12C1" w:rsidRPr="0051150C" w:rsidRDefault="000C12C1" w:rsidP="009173F4">
      <w:pPr>
        <w:rPr>
          <w:noProof/>
          <w:szCs w:val="22"/>
          <w:lang w:val="sr-Latn-BA"/>
        </w:rPr>
      </w:pPr>
    </w:p>
    <w:p w14:paraId="513F1E28" w14:textId="4D8B5325" w:rsidR="000C12C1" w:rsidRPr="0051150C" w:rsidRDefault="000C12C1" w:rsidP="009173F4">
      <w:pPr>
        <w:rPr>
          <w:noProof/>
          <w:szCs w:val="22"/>
          <w:lang w:val="sr-Latn-BA"/>
        </w:rPr>
      </w:pPr>
      <w:r w:rsidRPr="0051150C">
        <w:rPr>
          <w:noProof/>
          <w:szCs w:val="22"/>
          <w:lang w:val="sr-Latn-BA"/>
        </w:rPr>
        <w:t>U studijama ispitivanja plodnosti kod žen</w:t>
      </w:r>
      <w:r w:rsidR="006166CF" w:rsidRPr="0051150C">
        <w:rPr>
          <w:noProof/>
          <w:szCs w:val="22"/>
          <w:lang w:val="sr-Latn-BA"/>
        </w:rPr>
        <w:t xml:space="preserve">ki i mužjaka pacova, abirateron </w:t>
      </w:r>
      <w:r w:rsidRPr="0051150C">
        <w:rPr>
          <w:noProof/>
          <w:szCs w:val="22"/>
          <w:lang w:val="sr-Latn-BA"/>
        </w:rPr>
        <w:t xml:space="preserve">acetat je smanjio plodnost, što je </w:t>
      </w:r>
      <w:r w:rsidR="006166CF" w:rsidRPr="0051150C">
        <w:rPr>
          <w:noProof/>
          <w:szCs w:val="22"/>
          <w:lang w:val="sr-Latn-BA"/>
        </w:rPr>
        <w:t>bilo potpuno reverzibilno tokom</w:t>
      </w:r>
      <w:r w:rsidRPr="0051150C">
        <w:rPr>
          <w:noProof/>
          <w:szCs w:val="22"/>
          <w:lang w:val="sr-Latn-BA"/>
        </w:rPr>
        <w:t xml:space="preserve"> 4 do 16 ned</w:t>
      </w:r>
      <w:r w:rsidR="00C41C0F" w:rsidRPr="0051150C">
        <w:rPr>
          <w:noProof/>
          <w:szCs w:val="22"/>
          <w:lang w:val="sr-Latn-BA"/>
        </w:rPr>
        <w:t>j</w:t>
      </w:r>
      <w:r w:rsidRPr="0051150C">
        <w:rPr>
          <w:noProof/>
          <w:szCs w:val="22"/>
          <w:lang w:val="sr-Latn-BA"/>
        </w:rPr>
        <w:t>elja nak</w:t>
      </w:r>
      <w:r w:rsidR="006166CF" w:rsidRPr="0051150C">
        <w:rPr>
          <w:noProof/>
          <w:szCs w:val="22"/>
          <w:lang w:val="sr-Latn-BA"/>
        </w:rPr>
        <w:t xml:space="preserve">on prestanka </w:t>
      </w:r>
      <w:r w:rsidR="00096FAA" w:rsidRPr="0051150C">
        <w:rPr>
          <w:noProof/>
          <w:szCs w:val="22"/>
          <w:lang w:val="sr-Latn-BA"/>
        </w:rPr>
        <w:t>primjen</w:t>
      </w:r>
      <w:r w:rsidR="006166CF" w:rsidRPr="0051150C">
        <w:rPr>
          <w:noProof/>
          <w:szCs w:val="22"/>
          <w:lang w:val="sr-Latn-BA"/>
        </w:rPr>
        <w:t xml:space="preserve">e abirateron </w:t>
      </w:r>
      <w:r w:rsidRPr="0051150C">
        <w:rPr>
          <w:noProof/>
          <w:szCs w:val="22"/>
          <w:lang w:val="sr-Latn-BA"/>
        </w:rPr>
        <w:t xml:space="preserve">acetata. </w:t>
      </w:r>
    </w:p>
    <w:p w14:paraId="51C03970" w14:textId="77777777" w:rsidR="000C12C1" w:rsidRPr="0051150C" w:rsidRDefault="000C12C1" w:rsidP="009173F4">
      <w:pPr>
        <w:rPr>
          <w:noProof/>
          <w:szCs w:val="22"/>
          <w:lang w:val="sr-Latn-BA"/>
        </w:rPr>
      </w:pPr>
    </w:p>
    <w:p w14:paraId="033E9B17" w14:textId="3E073148" w:rsidR="000C12C1" w:rsidRPr="0051150C" w:rsidRDefault="00334198" w:rsidP="009173F4">
      <w:pPr>
        <w:rPr>
          <w:noProof/>
          <w:szCs w:val="22"/>
          <w:lang w:val="sr-Latn-BA"/>
        </w:rPr>
      </w:pPr>
      <w:r w:rsidRPr="0051150C">
        <w:rPr>
          <w:noProof/>
          <w:szCs w:val="22"/>
          <w:lang w:val="sr-Latn-BA"/>
        </w:rPr>
        <w:t>U ispitivanjima</w:t>
      </w:r>
      <w:r w:rsidR="000C12C1" w:rsidRPr="0051150C">
        <w:rPr>
          <w:noProof/>
          <w:szCs w:val="22"/>
          <w:lang w:val="sr-Latn-BA"/>
        </w:rPr>
        <w:t xml:space="preserve"> razvojne toksičnosti kod </w:t>
      </w:r>
      <w:r w:rsidR="006166CF" w:rsidRPr="0051150C">
        <w:rPr>
          <w:noProof/>
          <w:szCs w:val="22"/>
          <w:lang w:val="sr-Latn-BA"/>
        </w:rPr>
        <w:t xml:space="preserve">pacova, abirateron </w:t>
      </w:r>
      <w:r w:rsidR="000C12C1" w:rsidRPr="0051150C">
        <w:rPr>
          <w:noProof/>
          <w:szCs w:val="22"/>
          <w:lang w:val="sr-Latn-BA"/>
        </w:rPr>
        <w:t>acetat je uticao na trudnoću</w:t>
      </w:r>
      <w:r w:rsidR="000E03B6">
        <w:rPr>
          <w:noProof/>
          <w:szCs w:val="22"/>
          <w:lang w:val="sr-Latn-BA"/>
        </w:rPr>
        <w:t>,</w:t>
      </w:r>
      <w:r w:rsidR="000C12C1" w:rsidRPr="0051150C">
        <w:rPr>
          <w:noProof/>
          <w:szCs w:val="22"/>
          <w:lang w:val="sr-Latn-BA"/>
        </w:rPr>
        <w:t xml:space="preserve"> uključujući smanjenje fetalne težine i preživljavanje. Uočeni su efekti na spol</w:t>
      </w:r>
      <w:r w:rsidR="006166CF" w:rsidRPr="0051150C">
        <w:rPr>
          <w:noProof/>
          <w:szCs w:val="22"/>
          <w:lang w:val="sr-Latn-BA"/>
        </w:rPr>
        <w:t xml:space="preserve">jne genitalije, iako abirateron </w:t>
      </w:r>
      <w:r w:rsidR="000C12C1" w:rsidRPr="0051150C">
        <w:rPr>
          <w:noProof/>
          <w:szCs w:val="22"/>
          <w:lang w:val="sr-Latn-BA"/>
        </w:rPr>
        <w:t xml:space="preserve">acetat nije bio teratogen. </w:t>
      </w:r>
    </w:p>
    <w:p w14:paraId="73C21DD3" w14:textId="77777777" w:rsidR="000C12C1" w:rsidRPr="0051150C" w:rsidRDefault="000C12C1" w:rsidP="009173F4">
      <w:pPr>
        <w:rPr>
          <w:noProof/>
          <w:szCs w:val="22"/>
          <w:lang w:val="sr-Latn-BA"/>
        </w:rPr>
      </w:pPr>
    </w:p>
    <w:p w14:paraId="12E3361B" w14:textId="7F753044" w:rsidR="000C12C1" w:rsidRPr="0051150C" w:rsidRDefault="000C12C1" w:rsidP="009173F4">
      <w:pPr>
        <w:rPr>
          <w:noProof/>
          <w:szCs w:val="22"/>
          <w:lang w:val="sr-Latn-BA"/>
        </w:rPr>
      </w:pPr>
      <w:r w:rsidRPr="0051150C">
        <w:rPr>
          <w:noProof/>
          <w:szCs w:val="22"/>
          <w:lang w:val="sr-Latn-BA"/>
        </w:rPr>
        <w:t xml:space="preserve">U </w:t>
      </w:r>
      <w:r w:rsidR="006166CF" w:rsidRPr="0051150C">
        <w:rPr>
          <w:noProof/>
          <w:szCs w:val="22"/>
          <w:lang w:val="sr-Latn-BA"/>
        </w:rPr>
        <w:t>datim</w:t>
      </w:r>
      <w:r w:rsidRPr="0051150C">
        <w:rPr>
          <w:noProof/>
          <w:szCs w:val="22"/>
          <w:lang w:val="sr-Latn-BA"/>
        </w:rPr>
        <w:t xml:space="preserve"> ispitivanjima plodnosti i razvojne toksičnosti koje su rađene na pacovima, svi efekti su bili povezani sa farmakološkom aktivnošću </w:t>
      </w:r>
      <w:r w:rsidR="000E03B6" w:rsidRPr="0051150C">
        <w:rPr>
          <w:noProof/>
          <w:szCs w:val="22"/>
          <w:lang w:val="sr-Latn-BA"/>
        </w:rPr>
        <w:t>abi</w:t>
      </w:r>
      <w:r w:rsidR="000E03B6">
        <w:rPr>
          <w:noProof/>
          <w:szCs w:val="22"/>
          <w:lang w:val="sr-Latn-BA"/>
        </w:rPr>
        <w:t>r</w:t>
      </w:r>
      <w:r w:rsidR="000E03B6" w:rsidRPr="0051150C">
        <w:rPr>
          <w:noProof/>
          <w:szCs w:val="22"/>
          <w:lang w:val="sr-Latn-BA"/>
        </w:rPr>
        <w:t>aterona</w:t>
      </w:r>
      <w:r w:rsidRPr="0051150C">
        <w:rPr>
          <w:noProof/>
          <w:szCs w:val="22"/>
          <w:lang w:val="sr-Latn-BA"/>
        </w:rPr>
        <w:t>.</w:t>
      </w:r>
    </w:p>
    <w:p w14:paraId="3B51D6D4" w14:textId="77777777" w:rsidR="000C12C1" w:rsidRPr="0051150C" w:rsidRDefault="000C12C1" w:rsidP="009173F4">
      <w:pPr>
        <w:rPr>
          <w:noProof/>
          <w:szCs w:val="22"/>
          <w:lang w:val="sr-Latn-BA"/>
        </w:rPr>
      </w:pPr>
    </w:p>
    <w:p w14:paraId="4228967B" w14:textId="09D933CE" w:rsidR="000C12C1" w:rsidRPr="0051150C" w:rsidRDefault="000C12C1" w:rsidP="009173F4">
      <w:pPr>
        <w:rPr>
          <w:noProof/>
          <w:szCs w:val="22"/>
          <w:lang w:val="sr-Latn-BA"/>
        </w:rPr>
      </w:pPr>
      <w:r w:rsidRPr="0051150C">
        <w:rPr>
          <w:noProof/>
          <w:szCs w:val="22"/>
          <w:lang w:val="sr-Latn-BA"/>
        </w:rPr>
        <w:t>Izuzev prom</w:t>
      </w:r>
      <w:r w:rsidR="00707E6A" w:rsidRPr="0051150C">
        <w:rPr>
          <w:noProof/>
          <w:szCs w:val="22"/>
          <w:lang w:val="sr-Latn-BA"/>
        </w:rPr>
        <w:t>j</w:t>
      </w:r>
      <w:r w:rsidRPr="0051150C">
        <w:rPr>
          <w:noProof/>
          <w:szCs w:val="22"/>
          <w:lang w:val="sr-Latn-BA"/>
        </w:rPr>
        <w:t xml:space="preserve">ena na reproduktivnim organima koje su </w:t>
      </w:r>
      <w:r w:rsidR="00A120E1" w:rsidRPr="0051150C">
        <w:rPr>
          <w:noProof/>
          <w:szCs w:val="22"/>
          <w:lang w:val="sr-Latn-BA"/>
        </w:rPr>
        <w:t>zabilježen</w:t>
      </w:r>
      <w:r w:rsidRPr="0051150C">
        <w:rPr>
          <w:noProof/>
          <w:szCs w:val="22"/>
          <w:lang w:val="sr-Latn-BA"/>
        </w:rPr>
        <w:t xml:space="preserve">e u svim toksikološkim ispitivanjima na životinjama, </w:t>
      </w:r>
      <w:r w:rsidR="00334198" w:rsidRPr="0051150C">
        <w:rPr>
          <w:noProof/>
          <w:szCs w:val="22"/>
          <w:lang w:val="sr-Latn-BA"/>
        </w:rPr>
        <w:t>pretklinički</w:t>
      </w:r>
      <w:r w:rsidRPr="0051150C">
        <w:rPr>
          <w:noProof/>
          <w:szCs w:val="22"/>
          <w:lang w:val="sr-Latn-BA"/>
        </w:rPr>
        <w:t xml:space="preserve"> po</w:t>
      </w:r>
      <w:r w:rsidR="006166CF" w:rsidRPr="0051150C">
        <w:rPr>
          <w:noProof/>
          <w:szCs w:val="22"/>
          <w:lang w:val="sr-Latn-BA"/>
        </w:rPr>
        <w:t>daci ne ukazuju na posebnu</w:t>
      </w:r>
      <w:r w:rsidR="00334198" w:rsidRPr="0051150C">
        <w:rPr>
          <w:noProof/>
          <w:szCs w:val="22"/>
          <w:lang w:val="sr-Latn-BA"/>
        </w:rPr>
        <w:t xml:space="preserve"> opasnost</w:t>
      </w:r>
      <w:r w:rsidRPr="0051150C">
        <w:rPr>
          <w:noProof/>
          <w:szCs w:val="22"/>
          <w:lang w:val="sr-Latn-BA"/>
        </w:rPr>
        <w:t xml:space="preserve"> za ljude na osnovu konvencionalnih ispitivanja farmakološke bezb</w:t>
      </w:r>
      <w:r w:rsidR="00707E6A" w:rsidRPr="0051150C">
        <w:rPr>
          <w:noProof/>
          <w:szCs w:val="22"/>
          <w:lang w:val="sr-Latn-BA"/>
        </w:rPr>
        <w:t>j</w:t>
      </w:r>
      <w:r w:rsidRPr="0051150C">
        <w:rPr>
          <w:noProof/>
          <w:szCs w:val="22"/>
          <w:lang w:val="sr-Latn-BA"/>
        </w:rPr>
        <w:t xml:space="preserve">ednosti, toksičnosti ponovljenih doza, genotoksičnosti i karcinogenog </w:t>
      </w:r>
      <w:r w:rsidR="006166CF" w:rsidRPr="0051150C">
        <w:rPr>
          <w:noProof/>
          <w:szCs w:val="22"/>
          <w:lang w:val="sr-Latn-BA"/>
        </w:rPr>
        <w:t xml:space="preserve">potencijala. Abirateron </w:t>
      </w:r>
      <w:r w:rsidRPr="0051150C">
        <w:rPr>
          <w:noProof/>
          <w:szCs w:val="22"/>
          <w:lang w:val="sr-Latn-BA"/>
        </w:rPr>
        <w:t>acetat nije bio karcinogen u 6-m</w:t>
      </w:r>
      <w:r w:rsidR="00707E6A" w:rsidRPr="0051150C">
        <w:rPr>
          <w:noProof/>
          <w:szCs w:val="22"/>
          <w:lang w:val="sr-Latn-BA"/>
        </w:rPr>
        <w:t>j</w:t>
      </w:r>
      <w:r w:rsidRPr="0051150C">
        <w:rPr>
          <w:noProof/>
          <w:szCs w:val="22"/>
          <w:lang w:val="sr-Latn-BA"/>
        </w:rPr>
        <w:t>es</w:t>
      </w:r>
      <w:r w:rsidR="00334198" w:rsidRPr="0051150C">
        <w:rPr>
          <w:noProof/>
          <w:szCs w:val="22"/>
          <w:lang w:val="sr-Latn-BA"/>
        </w:rPr>
        <w:t xml:space="preserve">ečnom ispitivanju na </w:t>
      </w:r>
      <w:r w:rsidR="005552EB" w:rsidRPr="0051150C">
        <w:rPr>
          <w:noProof/>
          <w:szCs w:val="22"/>
          <w:lang w:val="sr-Latn-BA"/>
        </w:rPr>
        <w:t>transgensk</w:t>
      </w:r>
      <w:r w:rsidR="005552EB">
        <w:rPr>
          <w:noProof/>
          <w:szCs w:val="22"/>
          <w:lang w:val="sr-Latn-BA"/>
        </w:rPr>
        <w:t>i</w:t>
      </w:r>
      <w:r w:rsidR="005552EB" w:rsidRPr="0051150C">
        <w:rPr>
          <w:noProof/>
          <w:szCs w:val="22"/>
          <w:lang w:val="sr-Latn-BA"/>
        </w:rPr>
        <w:t xml:space="preserve">m </w:t>
      </w:r>
      <w:r w:rsidRPr="0051150C">
        <w:rPr>
          <w:noProof/>
          <w:szCs w:val="22"/>
          <w:lang w:val="sr-Latn-BA"/>
        </w:rPr>
        <w:t>(</w:t>
      </w:r>
      <w:r w:rsidR="00334198" w:rsidRPr="0051150C">
        <w:rPr>
          <w:noProof/>
          <w:szCs w:val="22"/>
          <w:lang w:val="sr-Latn-BA"/>
        </w:rPr>
        <w:t xml:space="preserve">Tg.rasH2) </w:t>
      </w:r>
      <w:r w:rsidR="005552EB" w:rsidRPr="0051150C">
        <w:rPr>
          <w:noProof/>
          <w:szCs w:val="22"/>
          <w:lang w:val="sr-Latn-BA"/>
        </w:rPr>
        <w:t>miš</w:t>
      </w:r>
      <w:r w:rsidR="005552EB">
        <w:rPr>
          <w:noProof/>
          <w:szCs w:val="22"/>
          <w:lang w:val="sr-Latn-BA"/>
        </w:rPr>
        <w:t>evima</w:t>
      </w:r>
      <w:r w:rsidRPr="0051150C">
        <w:rPr>
          <w:noProof/>
          <w:szCs w:val="22"/>
          <w:lang w:val="sr-Latn-BA"/>
        </w:rPr>
        <w:t>. U 24-m</w:t>
      </w:r>
      <w:r w:rsidR="00707E6A" w:rsidRPr="0051150C">
        <w:rPr>
          <w:noProof/>
          <w:szCs w:val="22"/>
          <w:lang w:val="sr-Latn-BA"/>
        </w:rPr>
        <w:t>j</w:t>
      </w:r>
      <w:r w:rsidRPr="0051150C">
        <w:rPr>
          <w:noProof/>
          <w:szCs w:val="22"/>
          <w:lang w:val="sr-Latn-BA"/>
        </w:rPr>
        <w:t>esečnom ispitivanju karcin</w:t>
      </w:r>
      <w:r w:rsidR="006166CF" w:rsidRPr="0051150C">
        <w:rPr>
          <w:noProof/>
          <w:szCs w:val="22"/>
          <w:lang w:val="sr-Latn-BA"/>
        </w:rPr>
        <w:t xml:space="preserve">ogenosti kod pacova, abirateron </w:t>
      </w:r>
      <w:r w:rsidRPr="0051150C">
        <w:rPr>
          <w:noProof/>
          <w:szCs w:val="22"/>
          <w:lang w:val="sr-Latn-BA"/>
        </w:rPr>
        <w:t xml:space="preserve">acetat je povećao incidencu neoplazmi intersticijalnih ćelija u testisima. </w:t>
      </w:r>
      <w:r w:rsidR="006166CF" w:rsidRPr="0051150C">
        <w:rPr>
          <w:noProof/>
          <w:szCs w:val="22"/>
          <w:lang w:val="sr-Latn-BA"/>
        </w:rPr>
        <w:t xml:space="preserve">Smatra se da je ovaj </w:t>
      </w:r>
      <w:r w:rsidR="005552EB">
        <w:rPr>
          <w:noProof/>
          <w:szCs w:val="22"/>
          <w:lang w:val="sr-Latn-BA"/>
        </w:rPr>
        <w:t>nalaz</w:t>
      </w:r>
      <w:r w:rsidR="005552EB" w:rsidRPr="0051150C">
        <w:rPr>
          <w:noProof/>
          <w:szCs w:val="22"/>
          <w:lang w:val="sr-Latn-BA"/>
        </w:rPr>
        <w:t xml:space="preserve"> </w:t>
      </w:r>
      <w:r w:rsidR="006166CF" w:rsidRPr="0051150C">
        <w:rPr>
          <w:noProof/>
          <w:szCs w:val="22"/>
          <w:lang w:val="sr-Latn-BA"/>
        </w:rPr>
        <w:t>p</w:t>
      </w:r>
      <w:r w:rsidRPr="0051150C">
        <w:rPr>
          <w:noProof/>
          <w:szCs w:val="22"/>
          <w:lang w:val="sr-Latn-BA"/>
        </w:rPr>
        <w:t xml:space="preserve">ovezan sa </w:t>
      </w:r>
      <w:r w:rsidR="006166CF" w:rsidRPr="0051150C">
        <w:rPr>
          <w:noProof/>
          <w:szCs w:val="22"/>
          <w:lang w:val="sr-Latn-BA"/>
        </w:rPr>
        <w:t xml:space="preserve">farmakološkim dejstvom </w:t>
      </w:r>
      <w:r w:rsidRPr="0051150C">
        <w:rPr>
          <w:noProof/>
          <w:szCs w:val="22"/>
          <w:lang w:val="sr-Latn-BA"/>
        </w:rPr>
        <w:t>abiraterona i da je s</w:t>
      </w:r>
      <w:r w:rsidR="006166CF" w:rsidRPr="0051150C">
        <w:rPr>
          <w:noProof/>
          <w:szCs w:val="22"/>
          <w:lang w:val="sr-Latn-BA"/>
        </w:rPr>
        <w:t xml:space="preserve">pecifičan za pacove. Abirateron </w:t>
      </w:r>
      <w:r w:rsidRPr="0051150C">
        <w:rPr>
          <w:noProof/>
          <w:szCs w:val="22"/>
          <w:lang w:val="sr-Latn-BA"/>
        </w:rPr>
        <w:t>acetat nije bio karcinogen kod ženki pacova.</w:t>
      </w:r>
    </w:p>
    <w:p w14:paraId="44134EBF" w14:textId="1756C74C" w:rsidR="000C12C1" w:rsidRDefault="000C12C1" w:rsidP="009173F4">
      <w:pPr>
        <w:rPr>
          <w:noProof/>
          <w:szCs w:val="22"/>
          <w:lang w:val="sr-Latn-BA"/>
        </w:rPr>
      </w:pPr>
    </w:p>
    <w:p w14:paraId="77287809" w14:textId="7A16C155" w:rsidR="007D4B8D" w:rsidRPr="007D4B8D" w:rsidRDefault="007D4B8D" w:rsidP="009173F4">
      <w:pPr>
        <w:rPr>
          <w:noProof/>
          <w:szCs w:val="22"/>
          <w:u w:val="single"/>
          <w:lang w:val="sr-Latn-BA"/>
        </w:rPr>
      </w:pPr>
      <w:r w:rsidRPr="007D4B8D">
        <w:rPr>
          <w:noProof/>
          <w:szCs w:val="22"/>
          <w:u w:val="single"/>
          <w:lang w:val="sr-Latn-BA"/>
        </w:rPr>
        <w:t>Procjena rizika za okolinu</w:t>
      </w:r>
    </w:p>
    <w:p w14:paraId="584B0D8D" w14:textId="409CB818" w:rsidR="00CE09F3" w:rsidRDefault="000C12C1" w:rsidP="009173F4">
      <w:pPr>
        <w:rPr>
          <w:noProof/>
          <w:szCs w:val="22"/>
          <w:lang w:val="sr-Latn-BA"/>
        </w:rPr>
      </w:pPr>
      <w:r w:rsidRPr="0051150C">
        <w:rPr>
          <w:noProof/>
          <w:szCs w:val="22"/>
          <w:lang w:val="sr-Latn-BA"/>
        </w:rPr>
        <w:t xml:space="preserve">Aktivna supstanca, abirateron, pokazuje ekološki rizik </w:t>
      </w:r>
      <w:r w:rsidR="005552EB">
        <w:rPr>
          <w:noProof/>
          <w:szCs w:val="22"/>
          <w:lang w:val="sr-Latn-BA"/>
        </w:rPr>
        <w:t>za</w:t>
      </w:r>
      <w:r w:rsidR="005552EB" w:rsidRPr="0051150C">
        <w:rPr>
          <w:noProof/>
          <w:szCs w:val="22"/>
          <w:lang w:val="sr-Latn-BA"/>
        </w:rPr>
        <w:t xml:space="preserve"> </w:t>
      </w:r>
      <w:r w:rsidRPr="0051150C">
        <w:rPr>
          <w:noProof/>
          <w:szCs w:val="22"/>
          <w:lang w:val="sr-Latn-BA"/>
        </w:rPr>
        <w:t xml:space="preserve">vodenu sredinu, naročito </w:t>
      </w:r>
      <w:r w:rsidR="005552EB">
        <w:rPr>
          <w:noProof/>
          <w:szCs w:val="22"/>
          <w:lang w:val="sr-Latn-BA"/>
        </w:rPr>
        <w:t>za</w:t>
      </w:r>
      <w:r w:rsidR="005552EB" w:rsidRPr="0051150C">
        <w:rPr>
          <w:noProof/>
          <w:szCs w:val="22"/>
          <w:lang w:val="sr-Latn-BA"/>
        </w:rPr>
        <w:t xml:space="preserve"> rib</w:t>
      </w:r>
      <w:r w:rsidR="005552EB">
        <w:rPr>
          <w:noProof/>
          <w:szCs w:val="22"/>
          <w:lang w:val="sr-Latn-BA"/>
        </w:rPr>
        <w:t>e</w:t>
      </w:r>
      <w:r w:rsidRPr="0051150C">
        <w:rPr>
          <w:noProof/>
          <w:szCs w:val="22"/>
          <w:lang w:val="sr-Latn-BA"/>
        </w:rPr>
        <w:t>.</w:t>
      </w:r>
    </w:p>
    <w:p w14:paraId="229D510D" w14:textId="77777777" w:rsidR="000E03B6" w:rsidRPr="0051150C" w:rsidRDefault="000E03B6" w:rsidP="009173F4">
      <w:pPr>
        <w:rPr>
          <w:noProof/>
          <w:szCs w:val="22"/>
          <w:lang w:val="sr-Latn-BA"/>
        </w:rPr>
      </w:pPr>
    </w:p>
    <w:p w14:paraId="584B0D8E" w14:textId="77777777" w:rsidR="00CE09F3" w:rsidRPr="0051150C" w:rsidRDefault="00CE09F3" w:rsidP="009173F4">
      <w:pPr>
        <w:pStyle w:val="NASLOV123"/>
        <w:rPr>
          <w:noProof/>
          <w:lang w:val="sr-Latn-BA"/>
        </w:rPr>
      </w:pPr>
      <w:r w:rsidRPr="0051150C">
        <w:rPr>
          <w:noProof/>
          <w:lang w:val="sr-Latn-BA"/>
        </w:rPr>
        <w:t>6. FARMACEUTSKI PODACI</w:t>
      </w:r>
    </w:p>
    <w:p w14:paraId="584B0D8F" w14:textId="35E6926D" w:rsidR="00CE09F3" w:rsidRPr="0051150C" w:rsidRDefault="00CE09F3" w:rsidP="009173F4">
      <w:pPr>
        <w:rPr>
          <w:b/>
          <w:bCs/>
          <w:noProof/>
          <w:szCs w:val="22"/>
          <w:lang w:val="sr-Latn-BA"/>
        </w:rPr>
      </w:pPr>
      <w:r w:rsidRPr="0051150C">
        <w:rPr>
          <w:b/>
          <w:bCs/>
          <w:noProof/>
          <w:szCs w:val="22"/>
          <w:lang w:val="sr-Latn-BA"/>
        </w:rPr>
        <w:t>6.1. Lista pomoćnih supstanci</w:t>
      </w:r>
      <w:r w:rsidR="009B1650">
        <w:rPr>
          <w:b/>
          <w:bCs/>
          <w:noProof/>
          <w:szCs w:val="22"/>
          <w:lang w:val="sr-Latn-BA"/>
        </w:rPr>
        <w:t>(ekscipijenasa)</w:t>
      </w:r>
    </w:p>
    <w:p w14:paraId="584B0D90" w14:textId="092154D4" w:rsidR="00CE09F3" w:rsidRPr="0051150C" w:rsidRDefault="00CE09F3" w:rsidP="009173F4">
      <w:pPr>
        <w:rPr>
          <w:noProof/>
          <w:szCs w:val="22"/>
          <w:lang w:val="sr-Latn-BA"/>
        </w:rPr>
      </w:pPr>
    </w:p>
    <w:p w14:paraId="4E984800" w14:textId="574F3667" w:rsidR="00EC44D0" w:rsidRPr="0051150C" w:rsidRDefault="005A2DCA" w:rsidP="00EC44D0">
      <w:pPr>
        <w:rPr>
          <w:bCs/>
          <w:i/>
          <w:iCs/>
          <w:noProof/>
          <w:szCs w:val="22"/>
          <w:lang w:val="sr-Latn-BA"/>
        </w:rPr>
      </w:pPr>
      <w:bookmarkStart w:id="0" w:name="_Hlk80360555"/>
      <w:r w:rsidRPr="0051150C">
        <w:rPr>
          <w:i/>
          <w:noProof/>
          <w:color w:val="000000" w:themeColor="text1"/>
          <w:szCs w:val="22"/>
          <w:lang w:val="sr-Latn-BA"/>
        </w:rPr>
        <w:t>Jonosol</w:t>
      </w:r>
      <w:r w:rsidR="00EC44D0" w:rsidRPr="0051150C">
        <w:rPr>
          <w:bCs/>
          <w:i/>
          <w:iCs/>
          <w:noProof/>
          <w:szCs w:val="22"/>
          <w:lang w:val="sr-Latn-BA"/>
        </w:rPr>
        <w:t>, 250 mg, film tablete</w:t>
      </w:r>
    </w:p>
    <w:bookmarkEnd w:id="0"/>
    <w:p w14:paraId="19EDACBC" w14:textId="281C1CC5" w:rsidR="0050007D" w:rsidRPr="0051150C" w:rsidRDefault="00EC44D0" w:rsidP="0050007D">
      <w:pPr>
        <w:rPr>
          <w:noProof/>
          <w:szCs w:val="22"/>
          <w:lang w:val="sr-Latn-BA"/>
        </w:rPr>
      </w:pPr>
      <w:r w:rsidRPr="0051150C">
        <w:rPr>
          <w:noProof/>
          <w:szCs w:val="22"/>
          <w:lang w:val="sr-Latn-BA"/>
        </w:rPr>
        <w:tab/>
        <w:t>Jezgro</w:t>
      </w:r>
      <w:r w:rsidR="001E19CC">
        <w:rPr>
          <w:noProof/>
          <w:szCs w:val="22"/>
          <w:lang w:val="sr-Latn-BA"/>
        </w:rPr>
        <w:t xml:space="preserve"> tablete</w:t>
      </w:r>
      <w:r w:rsidRPr="0051150C">
        <w:rPr>
          <w:noProof/>
          <w:szCs w:val="22"/>
          <w:lang w:val="sr-Latn-BA"/>
        </w:rPr>
        <w:t>:</w:t>
      </w:r>
      <w:r w:rsidR="0050007D" w:rsidRPr="0051150C">
        <w:rPr>
          <w:noProof/>
          <w:szCs w:val="22"/>
          <w:lang w:val="sr-Latn-BA"/>
        </w:rPr>
        <w:t xml:space="preserve"> </w:t>
      </w:r>
    </w:p>
    <w:p w14:paraId="50C9C0D2" w14:textId="01A0946A" w:rsidR="0050007D" w:rsidRPr="0051150C" w:rsidRDefault="0050007D" w:rsidP="0050007D">
      <w:pPr>
        <w:pStyle w:val="ListParagraph"/>
        <w:numPr>
          <w:ilvl w:val="0"/>
          <w:numId w:val="10"/>
        </w:numPr>
        <w:rPr>
          <w:noProof/>
          <w:szCs w:val="22"/>
          <w:lang w:val="sr-Latn-BA"/>
        </w:rPr>
      </w:pPr>
      <w:r w:rsidRPr="0051150C">
        <w:rPr>
          <w:noProof/>
          <w:szCs w:val="22"/>
          <w:lang w:val="sr-Latn-BA"/>
        </w:rPr>
        <w:t>Kroskarameloza natrijum</w:t>
      </w:r>
    </w:p>
    <w:p w14:paraId="086A54E4" w14:textId="08E99BB5" w:rsidR="0050007D" w:rsidRPr="0051150C" w:rsidRDefault="0050007D" w:rsidP="0050007D">
      <w:pPr>
        <w:pStyle w:val="ListParagraph"/>
        <w:numPr>
          <w:ilvl w:val="0"/>
          <w:numId w:val="10"/>
        </w:numPr>
        <w:rPr>
          <w:noProof/>
          <w:szCs w:val="22"/>
          <w:lang w:val="sr-Latn-BA"/>
        </w:rPr>
      </w:pPr>
      <w:r w:rsidRPr="0051150C">
        <w:rPr>
          <w:noProof/>
          <w:szCs w:val="22"/>
          <w:lang w:val="sr-Latn-BA"/>
        </w:rPr>
        <w:t>Natrijum</w:t>
      </w:r>
      <w:r w:rsidR="009B1650">
        <w:rPr>
          <w:noProof/>
          <w:szCs w:val="22"/>
          <w:lang w:val="sr-Latn-BA"/>
        </w:rPr>
        <w:t xml:space="preserve"> </w:t>
      </w:r>
      <w:r w:rsidRPr="0051150C">
        <w:rPr>
          <w:noProof/>
          <w:szCs w:val="22"/>
          <w:lang w:val="sr-Latn-BA"/>
        </w:rPr>
        <w:t>laurilsulfat</w:t>
      </w:r>
    </w:p>
    <w:p w14:paraId="3D8BA698" w14:textId="51890028" w:rsidR="0050007D" w:rsidRPr="0051150C" w:rsidRDefault="0050007D" w:rsidP="0050007D">
      <w:pPr>
        <w:pStyle w:val="ListParagraph"/>
        <w:numPr>
          <w:ilvl w:val="0"/>
          <w:numId w:val="10"/>
        </w:numPr>
        <w:rPr>
          <w:noProof/>
          <w:szCs w:val="22"/>
          <w:lang w:val="sr-Latn-BA"/>
        </w:rPr>
      </w:pPr>
      <w:r w:rsidRPr="0051150C">
        <w:rPr>
          <w:noProof/>
          <w:szCs w:val="22"/>
          <w:lang w:val="sr-Latn-BA"/>
        </w:rPr>
        <w:t>Povidon, K 30 (E1201)</w:t>
      </w:r>
    </w:p>
    <w:p w14:paraId="0FD7DAFF" w14:textId="38550D4B" w:rsidR="0050007D" w:rsidRPr="0051150C" w:rsidRDefault="0050007D" w:rsidP="0050007D">
      <w:pPr>
        <w:pStyle w:val="ListParagraph"/>
        <w:numPr>
          <w:ilvl w:val="0"/>
          <w:numId w:val="10"/>
        </w:numPr>
        <w:rPr>
          <w:noProof/>
          <w:szCs w:val="22"/>
          <w:lang w:val="sr-Latn-BA"/>
        </w:rPr>
      </w:pPr>
      <w:r w:rsidRPr="0051150C">
        <w:rPr>
          <w:noProof/>
          <w:szCs w:val="22"/>
          <w:lang w:val="sr-Latn-BA"/>
        </w:rPr>
        <w:t>Celuloza, mikrokristalna 102 (E460)</w:t>
      </w:r>
    </w:p>
    <w:p w14:paraId="2C43DE90" w14:textId="411CE5D0" w:rsidR="0050007D" w:rsidRPr="0051150C" w:rsidRDefault="0050007D" w:rsidP="0050007D">
      <w:pPr>
        <w:pStyle w:val="ListParagraph"/>
        <w:numPr>
          <w:ilvl w:val="0"/>
          <w:numId w:val="10"/>
        </w:numPr>
        <w:rPr>
          <w:noProof/>
          <w:szCs w:val="22"/>
          <w:lang w:val="sr-Latn-BA"/>
        </w:rPr>
      </w:pPr>
      <w:r w:rsidRPr="0051150C">
        <w:rPr>
          <w:noProof/>
          <w:szCs w:val="22"/>
          <w:lang w:val="sr-Latn-BA"/>
        </w:rPr>
        <w:t>Laktoza, monohidrat</w:t>
      </w:r>
    </w:p>
    <w:p w14:paraId="0CA94551" w14:textId="00AA213A" w:rsidR="0050007D" w:rsidRPr="0051150C" w:rsidRDefault="0050007D" w:rsidP="0050007D">
      <w:pPr>
        <w:pStyle w:val="ListParagraph"/>
        <w:numPr>
          <w:ilvl w:val="0"/>
          <w:numId w:val="10"/>
        </w:numPr>
        <w:rPr>
          <w:noProof/>
          <w:szCs w:val="22"/>
          <w:lang w:val="sr-Latn-BA"/>
        </w:rPr>
      </w:pPr>
      <w:r w:rsidRPr="0051150C">
        <w:rPr>
          <w:noProof/>
          <w:szCs w:val="22"/>
          <w:lang w:val="sr-Latn-BA"/>
        </w:rPr>
        <w:t>Silicijum</w:t>
      </w:r>
      <w:r w:rsidR="009B1650">
        <w:rPr>
          <w:noProof/>
          <w:szCs w:val="22"/>
          <w:lang w:val="sr-Latn-BA"/>
        </w:rPr>
        <w:t xml:space="preserve"> </w:t>
      </w:r>
      <w:r w:rsidRPr="0051150C">
        <w:rPr>
          <w:noProof/>
          <w:szCs w:val="22"/>
          <w:lang w:val="sr-Latn-BA"/>
        </w:rPr>
        <w:t>dioksid koloidni bezvodni (E551)</w:t>
      </w:r>
    </w:p>
    <w:p w14:paraId="6DA5E595" w14:textId="43DA8B7B" w:rsidR="0050007D" w:rsidRPr="0051150C" w:rsidRDefault="0050007D" w:rsidP="0050007D">
      <w:pPr>
        <w:pStyle w:val="ListParagraph"/>
        <w:numPr>
          <w:ilvl w:val="0"/>
          <w:numId w:val="10"/>
        </w:numPr>
        <w:rPr>
          <w:noProof/>
          <w:szCs w:val="22"/>
          <w:lang w:val="sr-Latn-BA"/>
        </w:rPr>
      </w:pPr>
      <w:r w:rsidRPr="0051150C">
        <w:rPr>
          <w:noProof/>
          <w:szCs w:val="22"/>
          <w:lang w:val="sr-Latn-BA"/>
        </w:rPr>
        <w:t>Magnezijum</w:t>
      </w:r>
      <w:r w:rsidR="009B1650">
        <w:rPr>
          <w:noProof/>
          <w:szCs w:val="22"/>
          <w:lang w:val="sr-Latn-BA"/>
        </w:rPr>
        <w:t xml:space="preserve"> </w:t>
      </w:r>
      <w:r w:rsidRPr="0051150C">
        <w:rPr>
          <w:noProof/>
          <w:szCs w:val="22"/>
          <w:lang w:val="sr-Latn-BA"/>
        </w:rPr>
        <w:t>stearat (E470b)</w:t>
      </w:r>
    </w:p>
    <w:p w14:paraId="20997EE3" w14:textId="1EB9A1D3" w:rsidR="00EC44D0" w:rsidRPr="0051150C" w:rsidRDefault="00EC44D0" w:rsidP="009173F4">
      <w:pPr>
        <w:rPr>
          <w:noProof/>
          <w:szCs w:val="22"/>
          <w:lang w:val="sr-Latn-BA"/>
        </w:rPr>
      </w:pPr>
    </w:p>
    <w:p w14:paraId="1A3CB2EC" w14:textId="067C9830" w:rsidR="00EC44D0" w:rsidRPr="0051150C" w:rsidRDefault="00EC44D0" w:rsidP="0050007D">
      <w:pPr>
        <w:rPr>
          <w:noProof/>
          <w:szCs w:val="22"/>
          <w:lang w:val="sr-Latn-BA"/>
        </w:rPr>
      </w:pPr>
      <w:r w:rsidRPr="0051150C">
        <w:rPr>
          <w:noProof/>
          <w:szCs w:val="22"/>
          <w:lang w:val="sr-Latn-BA"/>
        </w:rPr>
        <w:lastRenderedPageBreak/>
        <w:tab/>
        <w:t>Film</w:t>
      </w:r>
      <w:r w:rsidR="006A5CBC">
        <w:rPr>
          <w:noProof/>
          <w:szCs w:val="22"/>
          <w:lang w:val="sr-Latn-BA"/>
        </w:rPr>
        <w:t xml:space="preserve"> omotač tablete</w:t>
      </w:r>
      <w:r w:rsidRPr="0051150C">
        <w:rPr>
          <w:noProof/>
          <w:szCs w:val="22"/>
          <w:lang w:val="sr-Latn-BA"/>
        </w:rPr>
        <w:t>:</w:t>
      </w:r>
    </w:p>
    <w:p w14:paraId="2C8262A9" w14:textId="0E16F1F5" w:rsidR="0050007D" w:rsidRPr="0051150C" w:rsidRDefault="0050007D" w:rsidP="0050007D">
      <w:pPr>
        <w:pStyle w:val="ListParagraph"/>
        <w:numPr>
          <w:ilvl w:val="0"/>
          <w:numId w:val="10"/>
        </w:numPr>
        <w:rPr>
          <w:noProof/>
          <w:szCs w:val="22"/>
          <w:lang w:val="sr-Latn-BA"/>
        </w:rPr>
      </w:pPr>
      <w:r w:rsidRPr="0051150C">
        <w:rPr>
          <w:noProof/>
          <w:szCs w:val="22"/>
          <w:lang w:val="sr-Latn-BA"/>
        </w:rPr>
        <w:t>Polivinil al</w:t>
      </w:r>
      <w:r w:rsidR="00CD77A0" w:rsidRPr="0051150C">
        <w:rPr>
          <w:noProof/>
          <w:szCs w:val="22"/>
          <w:lang w:val="sr-Latn-BA"/>
        </w:rPr>
        <w:t>k</w:t>
      </w:r>
      <w:r w:rsidRPr="0051150C">
        <w:rPr>
          <w:noProof/>
          <w:szCs w:val="22"/>
          <w:lang w:val="sr-Latn-BA"/>
        </w:rPr>
        <w:t>ohol (E1203)</w:t>
      </w:r>
    </w:p>
    <w:p w14:paraId="4314A5BB" w14:textId="596D6842" w:rsidR="0050007D" w:rsidRPr="0051150C" w:rsidRDefault="0050007D" w:rsidP="0050007D">
      <w:pPr>
        <w:pStyle w:val="ListParagraph"/>
        <w:numPr>
          <w:ilvl w:val="0"/>
          <w:numId w:val="10"/>
        </w:numPr>
        <w:rPr>
          <w:noProof/>
          <w:szCs w:val="22"/>
          <w:lang w:val="sr-Latn-BA"/>
        </w:rPr>
      </w:pPr>
      <w:r w:rsidRPr="0051150C">
        <w:rPr>
          <w:noProof/>
          <w:szCs w:val="22"/>
          <w:lang w:val="sr-Latn-BA"/>
        </w:rPr>
        <w:t>Titan</w:t>
      </w:r>
      <w:r w:rsidR="009B1650">
        <w:rPr>
          <w:noProof/>
          <w:szCs w:val="22"/>
          <w:lang w:val="sr-Latn-BA"/>
        </w:rPr>
        <w:t xml:space="preserve"> </w:t>
      </w:r>
      <w:r w:rsidRPr="0051150C">
        <w:rPr>
          <w:noProof/>
          <w:szCs w:val="22"/>
          <w:lang w:val="sr-Latn-BA"/>
        </w:rPr>
        <w:t>dioksid (E171)</w:t>
      </w:r>
    </w:p>
    <w:p w14:paraId="17352E71" w14:textId="6EF4C707" w:rsidR="0050007D" w:rsidRPr="0051150C" w:rsidRDefault="0050007D" w:rsidP="0050007D">
      <w:pPr>
        <w:pStyle w:val="ListParagraph"/>
        <w:numPr>
          <w:ilvl w:val="0"/>
          <w:numId w:val="10"/>
        </w:numPr>
        <w:rPr>
          <w:noProof/>
          <w:szCs w:val="22"/>
          <w:lang w:val="sr-Latn-BA"/>
        </w:rPr>
      </w:pPr>
      <w:r w:rsidRPr="0051150C">
        <w:rPr>
          <w:noProof/>
          <w:szCs w:val="22"/>
          <w:lang w:val="sr-Latn-BA"/>
        </w:rPr>
        <w:t>Makrog</w:t>
      </w:r>
      <w:r w:rsidR="00CD77A0" w:rsidRPr="0051150C">
        <w:rPr>
          <w:noProof/>
          <w:szCs w:val="22"/>
          <w:lang w:val="sr-Latn-BA"/>
        </w:rPr>
        <w:t>o</w:t>
      </w:r>
      <w:r w:rsidRPr="0051150C">
        <w:rPr>
          <w:noProof/>
          <w:szCs w:val="22"/>
          <w:lang w:val="sr-Latn-BA"/>
        </w:rPr>
        <w:t>l 3350 (E1521)</w:t>
      </w:r>
    </w:p>
    <w:p w14:paraId="37654905" w14:textId="690BCF89" w:rsidR="0050007D" w:rsidRPr="0051150C" w:rsidRDefault="0050007D" w:rsidP="00CD77A0">
      <w:pPr>
        <w:pStyle w:val="ListParagraph"/>
        <w:numPr>
          <w:ilvl w:val="0"/>
          <w:numId w:val="10"/>
        </w:numPr>
        <w:rPr>
          <w:noProof/>
          <w:szCs w:val="22"/>
          <w:lang w:val="sr-Latn-BA"/>
        </w:rPr>
      </w:pPr>
      <w:r w:rsidRPr="0051150C">
        <w:rPr>
          <w:noProof/>
          <w:szCs w:val="22"/>
          <w:lang w:val="sr-Latn-BA"/>
        </w:rPr>
        <w:t>Talk (E553b)</w:t>
      </w:r>
    </w:p>
    <w:p w14:paraId="46595067" w14:textId="20121748" w:rsidR="00EC44D0" w:rsidRPr="0051150C" w:rsidRDefault="00EC44D0" w:rsidP="009173F4">
      <w:pPr>
        <w:rPr>
          <w:noProof/>
          <w:szCs w:val="22"/>
          <w:lang w:val="sr-Latn-BA"/>
        </w:rPr>
      </w:pPr>
    </w:p>
    <w:p w14:paraId="584B0D92" w14:textId="12F1673B" w:rsidR="00CE09F3" w:rsidRPr="0051150C" w:rsidRDefault="00CE09F3" w:rsidP="009173F4">
      <w:pPr>
        <w:rPr>
          <w:b/>
          <w:bCs/>
          <w:noProof/>
          <w:szCs w:val="22"/>
          <w:lang w:val="sr-Latn-BA"/>
        </w:rPr>
      </w:pPr>
      <w:r w:rsidRPr="0051150C">
        <w:rPr>
          <w:b/>
          <w:bCs/>
          <w:noProof/>
          <w:szCs w:val="22"/>
          <w:lang w:val="sr-Latn-BA"/>
        </w:rPr>
        <w:t>6.2. Inkompatibilnost</w:t>
      </w:r>
      <w:r w:rsidR="00334CA1">
        <w:rPr>
          <w:b/>
          <w:bCs/>
          <w:noProof/>
          <w:szCs w:val="22"/>
          <w:lang w:val="sr-Latn-BA"/>
        </w:rPr>
        <w:t>i</w:t>
      </w:r>
    </w:p>
    <w:p w14:paraId="584B0D93" w14:textId="0EA1D87D" w:rsidR="00CE09F3" w:rsidRPr="0051150C" w:rsidRDefault="00CE09F3" w:rsidP="009173F4">
      <w:pPr>
        <w:rPr>
          <w:noProof/>
          <w:szCs w:val="22"/>
          <w:lang w:val="sr-Latn-BA"/>
        </w:rPr>
      </w:pPr>
    </w:p>
    <w:p w14:paraId="71FAE10A" w14:textId="55A3886A" w:rsidR="00EC44D0" w:rsidRPr="0051150C" w:rsidRDefault="00107C0A" w:rsidP="009173F4">
      <w:pPr>
        <w:rPr>
          <w:noProof/>
          <w:szCs w:val="22"/>
          <w:lang w:val="sr-Latn-BA"/>
        </w:rPr>
      </w:pPr>
      <w:r w:rsidRPr="0051150C">
        <w:rPr>
          <w:noProof/>
          <w:szCs w:val="22"/>
          <w:lang w:val="sr-Latn-BA"/>
        </w:rPr>
        <w:t xml:space="preserve">Nije </w:t>
      </w:r>
      <w:r w:rsidR="00096FAA" w:rsidRPr="0051150C">
        <w:rPr>
          <w:noProof/>
          <w:szCs w:val="22"/>
          <w:lang w:val="sr-Latn-BA"/>
        </w:rPr>
        <w:t>primjen</w:t>
      </w:r>
      <w:r w:rsidRPr="0051150C">
        <w:rPr>
          <w:noProof/>
          <w:szCs w:val="22"/>
          <w:lang w:val="sr-Latn-BA"/>
        </w:rPr>
        <w:t>j</w:t>
      </w:r>
      <w:r w:rsidR="009B1650">
        <w:rPr>
          <w:noProof/>
          <w:szCs w:val="22"/>
          <w:lang w:val="sr-Latn-BA"/>
        </w:rPr>
        <w:t>lj</w:t>
      </w:r>
      <w:r w:rsidRPr="0051150C">
        <w:rPr>
          <w:noProof/>
          <w:szCs w:val="22"/>
          <w:lang w:val="sr-Latn-BA"/>
        </w:rPr>
        <w:t>ivo.</w:t>
      </w:r>
    </w:p>
    <w:p w14:paraId="584B0D94" w14:textId="77777777" w:rsidR="00CE09F3" w:rsidRPr="0051150C" w:rsidRDefault="00CE09F3" w:rsidP="009173F4">
      <w:pPr>
        <w:rPr>
          <w:noProof/>
          <w:szCs w:val="22"/>
          <w:lang w:val="sr-Latn-BA"/>
        </w:rPr>
      </w:pPr>
    </w:p>
    <w:p w14:paraId="584B0D95" w14:textId="77777777" w:rsidR="00CE09F3" w:rsidRPr="0051150C" w:rsidRDefault="00CE09F3" w:rsidP="009173F4">
      <w:pPr>
        <w:rPr>
          <w:b/>
          <w:bCs/>
          <w:noProof/>
          <w:szCs w:val="22"/>
          <w:lang w:val="sr-Latn-BA"/>
        </w:rPr>
      </w:pPr>
      <w:r w:rsidRPr="0051150C">
        <w:rPr>
          <w:b/>
          <w:bCs/>
          <w:noProof/>
          <w:szCs w:val="22"/>
          <w:lang w:val="sr-Latn-BA"/>
        </w:rPr>
        <w:t>6.3. Rok upotrebe</w:t>
      </w:r>
    </w:p>
    <w:p w14:paraId="584B0D96" w14:textId="1897FE87" w:rsidR="00CE09F3" w:rsidRPr="0051150C" w:rsidRDefault="00CE09F3" w:rsidP="009173F4">
      <w:pPr>
        <w:rPr>
          <w:noProof/>
          <w:szCs w:val="22"/>
          <w:lang w:val="sr-Latn-BA"/>
        </w:rPr>
      </w:pPr>
    </w:p>
    <w:p w14:paraId="1A0C357F" w14:textId="07095A21" w:rsidR="00EC44D0" w:rsidRPr="0051150C" w:rsidRDefault="00911F0F" w:rsidP="009173F4">
      <w:pPr>
        <w:rPr>
          <w:noProof/>
          <w:szCs w:val="22"/>
          <w:lang w:val="sr-Latn-BA"/>
        </w:rPr>
      </w:pPr>
      <w:r>
        <w:rPr>
          <w:noProof/>
          <w:szCs w:val="22"/>
          <w:lang w:val="sr-Latn-BA"/>
        </w:rPr>
        <w:t>36</w:t>
      </w:r>
      <w:r w:rsidR="00EC44D0" w:rsidRPr="0051150C">
        <w:rPr>
          <w:noProof/>
          <w:szCs w:val="22"/>
          <w:lang w:val="sr-Latn-BA"/>
        </w:rPr>
        <w:t xml:space="preserve"> </w:t>
      </w:r>
      <w:r w:rsidR="00834D3E" w:rsidRPr="0051150C">
        <w:rPr>
          <w:noProof/>
          <w:szCs w:val="22"/>
          <w:lang w:val="sr-Latn-BA"/>
        </w:rPr>
        <w:t>mjesec</w:t>
      </w:r>
      <w:r>
        <w:rPr>
          <w:noProof/>
          <w:szCs w:val="22"/>
          <w:lang w:val="sr-Latn-BA"/>
        </w:rPr>
        <w:t>i</w:t>
      </w:r>
      <w:r w:rsidR="00012654" w:rsidRPr="0051150C">
        <w:rPr>
          <w:noProof/>
          <w:szCs w:val="22"/>
          <w:lang w:val="sr-Latn-BA"/>
        </w:rPr>
        <w:t>.</w:t>
      </w:r>
    </w:p>
    <w:p w14:paraId="584B0D97" w14:textId="77777777" w:rsidR="00CE09F3" w:rsidRPr="0051150C" w:rsidRDefault="00CE09F3" w:rsidP="009173F4">
      <w:pPr>
        <w:rPr>
          <w:noProof/>
          <w:szCs w:val="22"/>
          <w:lang w:val="sr-Latn-BA"/>
        </w:rPr>
      </w:pPr>
    </w:p>
    <w:p w14:paraId="584B0D98" w14:textId="21989325" w:rsidR="00CE09F3" w:rsidRPr="0051150C" w:rsidRDefault="00CE09F3" w:rsidP="009173F4">
      <w:pPr>
        <w:rPr>
          <w:b/>
          <w:bCs/>
          <w:noProof/>
          <w:szCs w:val="22"/>
          <w:lang w:val="sr-Latn-BA"/>
        </w:rPr>
      </w:pPr>
      <w:r w:rsidRPr="0051150C">
        <w:rPr>
          <w:b/>
          <w:bCs/>
          <w:noProof/>
          <w:szCs w:val="22"/>
          <w:lang w:val="sr-Latn-BA"/>
        </w:rPr>
        <w:t>6.4. Posebne m</w:t>
      </w:r>
      <w:r w:rsidR="00707E6A" w:rsidRPr="0051150C">
        <w:rPr>
          <w:b/>
          <w:bCs/>
          <w:noProof/>
          <w:szCs w:val="22"/>
          <w:lang w:val="sr-Latn-BA"/>
        </w:rPr>
        <w:t>j</w:t>
      </w:r>
      <w:r w:rsidRPr="0051150C">
        <w:rPr>
          <w:b/>
          <w:bCs/>
          <w:noProof/>
          <w:szCs w:val="22"/>
          <w:lang w:val="sr-Latn-BA"/>
        </w:rPr>
        <w:t>ere opreza pri čuvanju</w:t>
      </w:r>
      <w:r w:rsidR="00EA0CAD">
        <w:rPr>
          <w:b/>
          <w:bCs/>
          <w:noProof/>
          <w:szCs w:val="22"/>
          <w:lang w:val="sr-Latn-BA"/>
        </w:rPr>
        <w:t xml:space="preserve"> lijeka</w:t>
      </w:r>
    </w:p>
    <w:p w14:paraId="584B0D99" w14:textId="757C5D1B" w:rsidR="00CE09F3" w:rsidRPr="0051150C" w:rsidRDefault="00CE09F3" w:rsidP="009173F4">
      <w:pPr>
        <w:rPr>
          <w:noProof/>
          <w:szCs w:val="22"/>
          <w:lang w:val="sr-Latn-BA"/>
        </w:rPr>
      </w:pPr>
    </w:p>
    <w:p w14:paraId="0287E6B7" w14:textId="66C3EAE5" w:rsidR="00707E6A" w:rsidRPr="0051150C" w:rsidRDefault="0042302D" w:rsidP="00707E6A">
      <w:pPr>
        <w:widowControl w:val="0"/>
        <w:autoSpaceDE w:val="0"/>
        <w:autoSpaceDN w:val="0"/>
        <w:rPr>
          <w:noProof/>
          <w:szCs w:val="22"/>
          <w:lang w:val="sr-Latn-BA"/>
        </w:rPr>
      </w:pPr>
      <w:r>
        <w:rPr>
          <w:noProof/>
          <w:szCs w:val="22"/>
          <w:lang w:val="sr-Latn-BA"/>
        </w:rPr>
        <w:t>Lijek ne zahtijeva posebne uslove čuvanja.</w:t>
      </w:r>
    </w:p>
    <w:p w14:paraId="584B0D9A" w14:textId="77777777" w:rsidR="00CE09F3" w:rsidRPr="0051150C" w:rsidRDefault="00CE09F3" w:rsidP="009173F4">
      <w:pPr>
        <w:rPr>
          <w:noProof/>
          <w:szCs w:val="22"/>
          <w:lang w:val="sr-Latn-BA"/>
        </w:rPr>
      </w:pPr>
    </w:p>
    <w:p w14:paraId="2D9734A0" w14:textId="6A1B76FD" w:rsidR="00EC44D0" w:rsidRDefault="0022223A" w:rsidP="009B1650">
      <w:pPr>
        <w:rPr>
          <w:b/>
          <w:bCs/>
          <w:noProof/>
          <w:szCs w:val="22"/>
          <w:lang w:val="sr-Latn-BA"/>
        </w:rPr>
      </w:pPr>
      <w:r w:rsidRPr="0051150C">
        <w:rPr>
          <w:b/>
          <w:bCs/>
          <w:noProof/>
          <w:szCs w:val="22"/>
          <w:lang w:val="sr-Latn-BA"/>
        </w:rPr>
        <w:t xml:space="preserve">6.5. </w:t>
      </w:r>
      <w:r w:rsidR="009B1650">
        <w:rPr>
          <w:b/>
          <w:bCs/>
          <w:noProof/>
          <w:szCs w:val="22"/>
          <w:lang w:val="sr-Latn-BA"/>
        </w:rPr>
        <w:t xml:space="preserve">Vrsta </w:t>
      </w:r>
      <w:r w:rsidR="00CE09F3" w:rsidRPr="0051150C">
        <w:rPr>
          <w:b/>
          <w:bCs/>
          <w:noProof/>
          <w:szCs w:val="22"/>
          <w:lang w:val="sr-Latn-BA"/>
        </w:rPr>
        <w:t>i sadržaj pakovanja</w:t>
      </w:r>
      <w:r w:rsidR="00F42610" w:rsidRPr="0051150C">
        <w:rPr>
          <w:b/>
          <w:bCs/>
          <w:noProof/>
          <w:szCs w:val="22"/>
          <w:lang w:val="sr-Latn-BA"/>
        </w:rPr>
        <w:t xml:space="preserve"> </w:t>
      </w:r>
    </w:p>
    <w:p w14:paraId="3AB0BAA0" w14:textId="76722216" w:rsidR="009B1650" w:rsidRDefault="009B1650" w:rsidP="009B1650">
      <w:pPr>
        <w:rPr>
          <w:noProof/>
          <w:color w:val="000000" w:themeColor="text1"/>
          <w:szCs w:val="22"/>
          <w:lang w:val="sr-Latn-BA"/>
        </w:rPr>
      </w:pPr>
    </w:p>
    <w:p w14:paraId="13929590" w14:textId="3ADAD16C" w:rsidR="001022E6" w:rsidRPr="0051150C" w:rsidRDefault="005A2DCA" w:rsidP="009B1650">
      <w:pPr>
        <w:rPr>
          <w:noProof/>
          <w:color w:val="000000" w:themeColor="text1"/>
          <w:szCs w:val="22"/>
          <w:lang w:val="sr-Latn-BA"/>
        </w:rPr>
      </w:pPr>
      <w:r w:rsidRPr="001022E6">
        <w:rPr>
          <w:i/>
          <w:noProof/>
          <w:color w:val="000000" w:themeColor="text1"/>
          <w:szCs w:val="22"/>
          <w:lang w:val="sr-Latn-BA"/>
        </w:rPr>
        <w:t>Jonosol</w:t>
      </w:r>
      <w:r w:rsidR="001022E6" w:rsidRPr="001022E6">
        <w:rPr>
          <w:bCs/>
          <w:i/>
          <w:iCs/>
          <w:noProof/>
          <w:color w:val="000000" w:themeColor="text1"/>
          <w:szCs w:val="22"/>
          <w:lang w:val="sr-Latn-BA"/>
        </w:rPr>
        <w:t>, 250 mg, film tablete</w:t>
      </w:r>
    </w:p>
    <w:p w14:paraId="3451E099" w14:textId="77A0E19D" w:rsidR="00EC44D0" w:rsidRPr="0051150C" w:rsidRDefault="00012654" w:rsidP="00012654">
      <w:pPr>
        <w:jc w:val="left"/>
        <w:rPr>
          <w:bCs/>
          <w:noProof/>
          <w:szCs w:val="22"/>
          <w:lang w:val="sr-Latn-BA"/>
        </w:rPr>
      </w:pPr>
      <w:bookmarkStart w:id="1" w:name="_Hlk80360678"/>
      <w:r w:rsidRPr="0051150C">
        <w:rPr>
          <w:noProof/>
          <w:szCs w:val="22"/>
          <w:lang w:val="sr-Latn-BA"/>
        </w:rPr>
        <w:t xml:space="preserve">Unutrašnje pakovanje </w:t>
      </w:r>
      <w:r w:rsidR="00096FAA" w:rsidRPr="0051150C">
        <w:rPr>
          <w:noProof/>
          <w:szCs w:val="22"/>
          <w:lang w:val="sr-Latn-BA"/>
        </w:rPr>
        <w:t>lijek</w:t>
      </w:r>
      <w:r w:rsidRPr="0051150C">
        <w:rPr>
          <w:noProof/>
          <w:szCs w:val="22"/>
          <w:lang w:val="sr-Latn-BA"/>
        </w:rPr>
        <w:t>a</w:t>
      </w:r>
      <w:r w:rsidR="00EC44D0" w:rsidRPr="0051150C">
        <w:rPr>
          <w:noProof/>
          <w:szCs w:val="22"/>
          <w:lang w:val="sr-Latn-BA"/>
        </w:rPr>
        <w:t xml:space="preserve"> je </w:t>
      </w:r>
      <w:r w:rsidRPr="0051150C">
        <w:rPr>
          <w:noProof/>
          <w:color w:val="000000" w:themeColor="text1"/>
          <w:szCs w:val="22"/>
          <w:lang w:val="sr-Latn-BA"/>
        </w:rPr>
        <w:t>Al-OPA/Al/PVC blister</w:t>
      </w:r>
      <w:r w:rsidR="0063625D">
        <w:rPr>
          <w:noProof/>
          <w:color w:val="000000" w:themeColor="text1"/>
          <w:szCs w:val="22"/>
          <w:lang w:val="sr-Latn-BA"/>
        </w:rPr>
        <w:t xml:space="preserve"> ili</w:t>
      </w:r>
      <w:r w:rsidRPr="0051150C">
        <w:rPr>
          <w:noProof/>
          <w:color w:val="000000" w:themeColor="text1"/>
          <w:szCs w:val="22"/>
          <w:lang w:val="sr-Latn-BA"/>
        </w:rPr>
        <w:t xml:space="preserve"> Al-PVC/PE/PVDC blister</w:t>
      </w:r>
      <w:r w:rsidR="00EC44D0" w:rsidRPr="0051150C">
        <w:rPr>
          <w:noProof/>
          <w:szCs w:val="22"/>
          <w:lang w:val="sr-Latn-BA"/>
        </w:rPr>
        <w:t xml:space="preserve">. </w:t>
      </w:r>
    </w:p>
    <w:bookmarkEnd w:id="1"/>
    <w:p w14:paraId="0F6441CE" w14:textId="45BC648F" w:rsidR="00AA3DC9" w:rsidRPr="00AA3DC9" w:rsidRDefault="00AA3DC9" w:rsidP="00AA3DC9">
      <w:pPr>
        <w:jc w:val="left"/>
        <w:rPr>
          <w:noProof/>
          <w:szCs w:val="22"/>
          <w:lang w:val="hr-HR"/>
        </w:rPr>
      </w:pPr>
      <w:r w:rsidRPr="00AA3DC9">
        <w:rPr>
          <w:noProof/>
          <w:szCs w:val="22"/>
          <w:lang w:val="hr-HR"/>
        </w:rPr>
        <w:t>Spoljašnje pakovanje je složiva kartonska kutija u kojoj se nala</w:t>
      </w:r>
      <w:r>
        <w:rPr>
          <w:noProof/>
          <w:szCs w:val="22"/>
          <w:lang w:val="hr-HR"/>
        </w:rPr>
        <w:t>i</w:t>
      </w:r>
      <w:r w:rsidRPr="00AA3DC9">
        <w:rPr>
          <w:noProof/>
          <w:szCs w:val="22"/>
          <w:lang w:val="hr-HR"/>
        </w:rPr>
        <w:t xml:space="preserve">e </w:t>
      </w:r>
      <w:r>
        <w:rPr>
          <w:noProof/>
          <w:szCs w:val="22"/>
          <w:lang w:val="hr-HR"/>
        </w:rPr>
        <w:t xml:space="preserve">12 </w:t>
      </w:r>
      <w:r w:rsidRPr="00AA3DC9">
        <w:rPr>
          <w:noProof/>
          <w:szCs w:val="22"/>
          <w:lang w:val="hr-HR"/>
        </w:rPr>
        <w:t xml:space="preserve">blistera sa po 10 film tableta (ukupno </w:t>
      </w:r>
      <w:r>
        <w:rPr>
          <w:noProof/>
          <w:szCs w:val="22"/>
          <w:lang w:val="hr-HR"/>
        </w:rPr>
        <w:t>120</w:t>
      </w:r>
      <w:r w:rsidRPr="00AA3DC9">
        <w:rPr>
          <w:noProof/>
          <w:szCs w:val="22"/>
          <w:lang w:val="hr-HR"/>
        </w:rPr>
        <w:t xml:space="preserve"> film tableta) i Uputstvo za lijek.</w:t>
      </w:r>
    </w:p>
    <w:p w14:paraId="584B0D9C" w14:textId="3682CD4D" w:rsidR="00CE09F3" w:rsidRDefault="00CE09F3" w:rsidP="00EC44D0">
      <w:pPr>
        <w:jc w:val="left"/>
        <w:rPr>
          <w:noProof/>
          <w:szCs w:val="22"/>
          <w:lang w:val="sr-Latn-BA"/>
        </w:rPr>
      </w:pPr>
    </w:p>
    <w:p w14:paraId="1F207FC1" w14:textId="77777777" w:rsidR="001022E6" w:rsidRPr="0051150C" w:rsidRDefault="001022E6" w:rsidP="00EC44D0">
      <w:pPr>
        <w:jc w:val="left"/>
        <w:rPr>
          <w:noProof/>
          <w:szCs w:val="22"/>
          <w:lang w:val="sr-Latn-BA"/>
        </w:rPr>
      </w:pPr>
    </w:p>
    <w:p w14:paraId="584B0D9D" w14:textId="5ACE536C" w:rsidR="00CE09F3" w:rsidRPr="0051150C" w:rsidRDefault="00CE09F3" w:rsidP="009173F4">
      <w:pPr>
        <w:rPr>
          <w:b/>
          <w:bCs/>
          <w:noProof/>
          <w:szCs w:val="22"/>
          <w:lang w:val="sr-Latn-BA"/>
        </w:rPr>
      </w:pPr>
      <w:r w:rsidRPr="0051150C">
        <w:rPr>
          <w:b/>
          <w:bCs/>
          <w:noProof/>
          <w:szCs w:val="22"/>
          <w:lang w:val="sr-Latn-BA"/>
        </w:rPr>
        <w:t>6.6. Posebne m</w:t>
      </w:r>
      <w:r w:rsidR="00707E6A" w:rsidRPr="0051150C">
        <w:rPr>
          <w:b/>
          <w:bCs/>
          <w:noProof/>
          <w:szCs w:val="22"/>
          <w:lang w:val="sr-Latn-BA"/>
        </w:rPr>
        <w:t>j</w:t>
      </w:r>
      <w:r w:rsidRPr="0051150C">
        <w:rPr>
          <w:b/>
          <w:bCs/>
          <w:noProof/>
          <w:szCs w:val="22"/>
          <w:lang w:val="sr-Latn-BA"/>
        </w:rPr>
        <w:t xml:space="preserve">ere opreza pri odlaganju materijala koji treba odbaciti nakon </w:t>
      </w:r>
      <w:r w:rsidR="00096FAA" w:rsidRPr="0051150C">
        <w:rPr>
          <w:b/>
          <w:bCs/>
          <w:noProof/>
          <w:szCs w:val="22"/>
          <w:lang w:val="sr-Latn-BA"/>
        </w:rPr>
        <w:t>primjen</w:t>
      </w:r>
      <w:r w:rsidRPr="0051150C">
        <w:rPr>
          <w:b/>
          <w:bCs/>
          <w:noProof/>
          <w:szCs w:val="22"/>
          <w:lang w:val="sr-Latn-BA"/>
        </w:rPr>
        <w:t xml:space="preserve">e </w:t>
      </w:r>
      <w:r w:rsidR="00096FAA" w:rsidRPr="0051150C">
        <w:rPr>
          <w:b/>
          <w:bCs/>
          <w:noProof/>
          <w:szCs w:val="22"/>
          <w:lang w:val="sr-Latn-BA"/>
        </w:rPr>
        <w:t>lijek</w:t>
      </w:r>
      <w:r w:rsidRPr="0051150C">
        <w:rPr>
          <w:b/>
          <w:bCs/>
          <w:noProof/>
          <w:szCs w:val="22"/>
          <w:lang w:val="sr-Latn-BA"/>
        </w:rPr>
        <w:t xml:space="preserve">a (i druga uputstva za rukovanje </w:t>
      </w:r>
      <w:r w:rsidR="00096FAA" w:rsidRPr="0051150C">
        <w:rPr>
          <w:b/>
          <w:bCs/>
          <w:noProof/>
          <w:szCs w:val="22"/>
          <w:lang w:val="sr-Latn-BA"/>
        </w:rPr>
        <w:t>lijek</w:t>
      </w:r>
      <w:r w:rsidRPr="0051150C">
        <w:rPr>
          <w:b/>
          <w:bCs/>
          <w:noProof/>
          <w:szCs w:val="22"/>
          <w:lang w:val="sr-Latn-BA"/>
        </w:rPr>
        <w:t>om)</w:t>
      </w:r>
    </w:p>
    <w:p w14:paraId="584B0D9E" w14:textId="77777777" w:rsidR="00CE09F3" w:rsidRPr="0051150C" w:rsidRDefault="00CE09F3" w:rsidP="009173F4">
      <w:pPr>
        <w:rPr>
          <w:noProof/>
          <w:szCs w:val="22"/>
          <w:lang w:val="sr-Latn-BA"/>
        </w:rPr>
      </w:pPr>
    </w:p>
    <w:p w14:paraId="4B44407D" w14:textId="1B1618CC" w:rsidR="00972DCA" w:rsidRPr="0051150C" w:rsidRDefault="00972DCA" w:rsidP="009173F4">
      <w:pPr>
        <w:rPr>
          <w:noProof/>
          <w:szCs w:val="22"/>
          <w:lang w:val="sr-Latn-BA"/>
        </w:rPr>
      </w:pPr>
      <w:r w:rsidRPr="0051150C">
        <w:rPr>
          <w:noProof/>
          <w:szCs w:val="22"/>
          <w:lang w:val="sr-Latn-BA"/>
        </w:rPr>
        <w:t xml:space="preserve">Svu neiskorišćenu količinu </w:t>
      </w:r>
      <w:r w:rsidR="00096FAA" w:rsidRPr="0051150C">
        <w:rPr>
          <w:noProof/>
          <w:szCs w:val="22"/>
          <w:lang w:val="sr-Latn-BA"/>
        </w:rPr>
        <w:t>lijek</w:t>
      </w:r>
      <w:r w:rsidRPr="0051150C">
        <w:rPr>
          <w:noProof/>
          <w:szCs w:val="22"/>
          <w:lang w:val="sr-Latn-BA"/>
        </w:rPr>
        <w:t>a ili otpadnog materijala nakon njegove upotrebe treba ukloniti u skladu sa važećim propisima.</w:t>
      </w:r>
    </w:p>
    <w:p w14:paraId="75F64C3D" w14:textId="77777777" w:rsidR="00DE144C" w:rsidRDefault="00DE144C" w:rsidP="009B1650">
      <w:pPr>
        <w:tabs>
          <w:tab w:val="clear" w:pos="284"/>
          <w:tab w:val="left" w:pos="540"/>
          <w:tab w:val="left" w:pos="569"/>
        </w:tabs>
        <w:jc w:val="left"/>
        <w:rPr>
          <w:b/>
          <w:bCs/>
          <w:szCs w:val="22"/>
        </w:rPr>
      </w:pPr>
    </w:p>
    <w:p w14:paraId="59F67427" w14:textId="4547FE5F" w:rsidR="009B1650" w:rsidRPr="00E43C68" w:rsidRDefault="009B1650" w:rsidP="009B1650">
      <w:pPr>
        <w:tabs>
          <w:tab w:val="clear" w:pos="284"/>
          <w:tab w:val="left" w:pos="540"/>
          <w:tab w:val="left" w:pos="569"/>
        </w:tabs>
        <w:jc w:val="left"/>
        <w:rPr>
          <w:b/>
          <w:bCs/>
          <w:szCs w:val="22"/>
        </w:rPr>
      </w:pPr>
      <w:r w:rsidRPr="00E43C68">
        <w:rPr>
          <w:b/>
          <w:bCs/>
          <w:szCs w:val="22"/>
        </w:rPr>
        <w:t xml:space="preserve">7. </w:t>
      </w:r>
      <w:r w:rsidRPr="00E43C68">
        <w:rPr>
          <w:b/>
          <w:bCs/>
          <w:szCs w:val="22"/>
        </w:rPr>
        <w:tab/>
        <w:t xml:space="preserve">NOSILAC DOZVOLE </w:t>
      </w:r>
    </w:p>
    <w:p w14:paraId="5ED2EF55" w14:textId="77777777" w:rsidR="009B1650" w:rsidRPr="00E43C68" w:rsidRDefault="009B1650" w:rsidP="009B1650">
      <w:pPr>
        <w:tabs>
          <w:tab w:val="clear" w:pos="284"/>
          <w:tab w:val="left" w:pos="540"/>
          <w:tab w:val="left" w:pos="569"/>
        </w:tabs>
        <w:jc w:val="left"/>
        <w:rPr>
          <w:bCs/>
          <w:szCs w:val="22"/>
        </w:rPr>
      </w:pPr>
    </w:p>
    <w:p w14:paraId="47DD214D" w14:textId="0456CD32" w:rsidR="009B1650" w:rsidRDefault="006937D9" w:rsidP="009B1650">
      <w:pPr>
        <w:rPr>
          <w:szCs w:val="22"/>
        </w:rPr>
      </w:pPr>
      <w:r>
        <w:rPr>
          <w:szCs w:val="22"/>
        </w:rPr>
        <w:t>Hemofarm A.D. Vršac P.J. Podgorica</w:t>
      </w:r>
    </w:p>
    <w:p w14:paraId="0953713A" w14:textId="77777777" w:rsidR="009B1650" w:rsidRPr="00D2252B" w:rsidRDefault="009B1650" w:rsidP="009B1650">
      <w:pPr>
        <w:rPr>
          <w:szCs w:val="22"/>
          <w:lang w:val="pl-PL"/>
        </w:rPr>
      </w:pPr>
      <w:r w:rsidRPr="00D2252B">
        <w:rPr>
          <w:szCs w:val="22"/>
          <w:lang w:val="pl-PL"/>
        </w:rPr>
        <w:t>8 marta 55A, Podgorica, Crna G</w:t>
      </w:r>
      <w:r>
        <w:rPr>
          <w:szCs w:val="22"/>
          <w:lang w:val="pl-PL"/>
        </w:rPr>
        <w:t>ora</w:t>
      </w:r>
    </w:p>
    <w:p w14:paraId="5D3470AF" w14:textId="29425FC8" w:rsidR="009B1650" w:rsidRDefault="009B1650" w:rsidP="009B1650">
      <w:pPr>
        <w:tabs>
          <w:tab w:val="clear" w:pos="284"/>
          <w:tab w:val="left" w:pos="540"/>
          <w:tab w:val="left" w:pos="569"/>
        </w:tabs>
        <w:jc w:val="left"/>
        <w:rPr>
          <w:bCs/>
          <w:szCs w:val="22"/>
          <w:lang w:val="pl-PL"/>
        </w:rPr>
      </w:pPr>
    </w:p>
    <w:p w14:paraId="72614190" w14:textId="77777777" w:rsidR="00334CA1" w:rsidRPr="009B1650" w:rsidRDefault="00334CA1" w:rsidP="009B1650">
      <w:pPr>
        <w:tabs>
          <w:tab w:val="clear" w:pos="284"/>
          <w:tab w:val="left" w:pos="540"/>
          <w:tab w:val="left" w:pos="569"/>
        </w:tabs>
        <w:jc w:val="left"/>
        <w:rPr>
          <w:bCs/>
          <w:szCs w:val="22"/>
          <w:lang w:val="pl-PL"/>
        </w:rPr>
      </w:pPr>
    </w:p>
    <w:p w14:paraId="3FD3DD7D" w14:textId="77777777" w:rsidR="009B1650" w:rsidRPr="009B1650" w:rsidRDefault="009B1650" w:rsidP="009B1650">
      <w:pPr>
        <w:tabs>
          <w:tab w:val="clear" w:pos="284"/>
          <w:tab w:val="left" w:pos="540"/>
          <w:tab w:val="left" w:pos="569"/>
        </w:tabs>
        <w:jc w:val="left"/>
        <w:rPr>
          <w:b/>
          <w:bCs/>
          <w:szCs w:val="22"/>
          <w:lang w:val="pl-PL"/>
        </w:rPr>
      </w:pPr>
      <w:r w:rsidRPr="009B1650">
        <w:rPr>
          <w:b/>
          <w:bCs/>
          <w:szCs w:val="22"/>
          <w:lang w:val="pl-PL"/>
        </w:rPr>
        <w:t xml:space="preserve">8. </w:t>
      </w:r>
      <w:r w:rsidRPr="009B1650">
        <w:rPr>
          <w:b/>
          <w:bCs/>
          <w:szCs w:val="22"/>
          <w:lang w:val="pl-PL"/>
        </w:rPr>
        <w:tab/>
        <w:t>BROJ DOZVOLE ZA STAVLJANJE LIJEKA U PROMET</w:t>
      </w:r>
    </w:p>
    <w:p w14:paraId="102C2F0E" w14:textId="18ACDE97" w:rsidR="009B1650" w:rsidRDefault="009B1650" w:rsidP="009B1650">
      <w:pPr>
        <w:tabs>
          <w:tab w:val="clear" w:pos="284"/>
          <w:tab w:val="left" w:pos="540"/>
          <w:tab w:val="left" w:pos="569"/>
        </w:tabs>
        <w:jc w:val="left"/>
        <w:rPr>
          <w:bCs/>
          <w:szCs w:val="22"/>
          <w:lang w:val="pl-PL"/>
        </w:rPr>
      </w:pPr>
    </w:p>
    <w:p w14:paraId="1A4D3E68" w14:textId="686BAB22" w:rsidR="006571F8" w:rsidRPr="00EE5EB5" w:rsidRDefault="00073703" w:rsidP="006571F8">
      <w:pPr>
        <w:tabs>
          <w:tab w:val="clear" w:pos="284"/>
        </w:tabs>
        <w:rPr>
          <w:rFonts w:ascii="TimesNewRoman" w:hAnsi="TimesNewRoman" w:cs="TimesNewRoman"/>
          <w:noProof/>
          <w:szCs w:val="22"/>
        </w:rPr>
      </w:pPr>
      <w:r w:rsidRPr="00EE5EB5">
        <w:rPr>
          <w:szCs w:val="22"/>
          <w:lang w:val="sr-Latn-ME"/>
        </w:rPr>
        <w:t>Jonosol</w:t>
      </w:r>
      <w:r w:rsidR="006571F8" w:rsidRPr="00EE5EB5">
        <w:rPr>
          <w:szCs w:val="22"/>
          <w:lang w:val="sr-Latn-ME"/>
        </w:rPr>
        <w:t>, film table</w:t>
      </w:r>
      <w:r w:rsidR="006571F8">
        <w:rPr>
          <w:szCs w:val="22"/>
          <w:lang w:val="sr-Latn-ME"/>
        </w:rPr>
        <w:t xml:space="preserve">ta, 250mg, blister, 120 film tableta: </w:t>
      </w:r>
      <w:r w:rsidR="006571F8">
        <w:rPr>
          <w:rFonts w:ascii="TimesNewRoman" w:hAnsi="TimesNewRoman" w:cs="TimesNewRoman"/>
          <w:szCs w:val="22"/>
        </w:rPr>
        <w:t>2030/22/2405 – 5578 od 29.09.2022</w:t>
      </w:r>
      <w:r w:rsidR="006571F8">
        <w:rPr>
          <w:rFonts w:ascii="TimesNewRoman" w:hAnsi="TimesNewRoman" w:cs="TimesNewRoman"/>
          <w:noProof/>
          <w:szCs w:val="22"/>
        </w:rPr>
        <w:t>. godine</w:t>
      </w:r>
    </w:p>
    <w:p w14:paraId="18904126" w14:textId="77777777" w:rsidR="006571F8" w:rsidRDefault="006571F8" w:rsidP="006571F8">
      <w:pPr>
        <w:tabs>
          <w:tab w:val="clear" w:pos="284"/>
          <w:tab w:val="left" w:pos="540"/>
          <w:tab w:val="left" w:pos="569"/>
        </w:tabs>
        <w:jc w:val="left"/>
        <w:rPr>
          <w:bCs/>
          <w:szCs w:val="22"/>
          <w:lang w:val="pl-PL"/>
        </w:rPr>
      </w:pPr>
    </w:p>
    <w:p w14:paraId="5EA33F47" w14:textId="77777777" w:rsidR="006937D9" w:rsidRPr="009B1650" w:rsidRDefault="006937D9" w:rsidP="009B1650">
      <w:pPr>
        <w:tabs>
          <w:tab w:val="clear" w:pos="284"/>
          <w:tab w:val="left" w:pos="540"/>
          <w:tab w:val="left" w:pos="569"/>
        </w:tabs>
        <w:jc w:val="left"/>
        <w:rPr>
          <w:bCs/>
          <w:szCs w:val="22"/>
          <w:lang w:val="pl-PL"/>
        </w:rPr>
      </w:pPr>
    </w:p>
    <w:p w14:paraId="0A15E33D" w14:textId="77777777" w:rsidR="009B1650" w:rsidRPr="009B1650" w:rsidRDefault="009B1650" w:rsidP="009B1650">
      <w:pPr>
        <w:tabs>
          <w:tab w:val="clear" w:pos="284"/>
          <w:tab w:val="left" w:pos="540"/>
          <w:tab w:val="left" w:pos="569"/>
        </w:tabs>
        <w:jc w:val="left"/>
        <w:rPr>
          <w:b/>
          <w:bCs/>
          <w:szCs w:val="22"/>
          <w:lang w:val="pl-PL"/>
        </w:rPr>
      </w:pPr>
      <w:r w:rsidRPr="009B1650">
        <w:rPr>
          <w:b/>
          <w:bCs/>
          <w:szCs w:val="22"/>
          <w:lang w:val="pl-PL"/>
        </w:rPr>
        <w:t xml:space="preserve">9. </w:t>
      </w:r>
      <w:r w:rsidRPr="009B1650">
        <w:rPr>
          <w:b/>
          <w:bCs/>
          <w:szCs w:val="22"/>
          <w:lang w:val="pl-PL"/>
        </w:rPr>
        <w:tab/>
        <w:t>DATUM PRVE DOZVOLE/OBNOVE DOZVOLE ZA STAVLJANJE LIJEKA U PROMET</w:t>
      </w:r>
    </w:p>
    <w:p w14:paraId="04BB42A7" w14:textId="77777777" w:rsidR="009B1650" w:rsidRPr="009B1650" w:rsidRDefault="009B1650" w:rsidP="009B1650">
      <w:pPr>
        <w:tabs>
          <w:tab w:val="clear" w:pos="284"/>
          <w:tab w:val="left" w:pos="540"/>
          <w:tab w:val="left" w:pos="569"/>
        </w:tabs>
        <w:jc w:val="left"/>
        <w:rPr>
          <w:bCs/>
          <w:szCs w:val="22"/>
          <w:lang w:val="pl-PL"/>
        </w:rPr>
      </w:pPr>
    </w:p>
    <w:p w14:paraId="1EF8A995" w14:textId="75114E97" w:rsidR="009B1650" w:rsidRDefault="00073703" w:rsidP="009B1650">
      <w:pPr>
        <w:tabs>
          <w:tab w:val="clear" w:pos="284"/>
          <w:tab w:val="left" w:pos="540"/>
          <w:tab w:val="left" w:pos="569"/>
        </w:tabs>
        <w:jc w:val="left"/>
        <w:rPr>
          <w:bCs/>
          <w:szCs w:val="22"/>
          <w:lang w:val="pl-PL"/>
        </w:rPr>
      </w:pPr>
      <w:r>
        <w:rPr>
          <w:bCs/>
          <w:szCs w:val="22"/>
          <w:lang w:val="pl-PL"/>
        </w:rPr>
        <w:t>29.09.2022. godine</w:t>
      </w:r>
    </w:p>
    <w:p w14:paraId="0777C34B" w14:textId="3C71D8C8" w:rsidR="006937D9" w:rsidRDefault="006937D9" w:rsidP="009B1650">
      <w:pPr>
        <w:tabs>
          <w:tab w:val="clear" w:pos="284"/>
          <w:tab w:val="left" w:pos="540"/>
          <w:tab w:val="left" w:pos="569"/>
        </w:tabs>
        <w:jc w:val="left"/>
        <w:rPr>
          <w:bCs/>
          <w:szCs w:val="22"/>
          <w:lang w:val="pl-PL"/>
        </w:rPr>
      </w:pPr>
    </w:p>
    <w:p w14:paraId="769647A5" w14:textId="77777777" w:rsidR="00611B30" w:rsidRPr="009B1650" w:rsidRDefault="00611B30" w:rsidP="009B1650">
      <w:pPr>
        <w:tabs>
          <w:tab w:val="clear" w:pos="284"/>
          <w:tab w:val="left" w:pos="540"/>
          <w:tab w:val="left" w:pos="569"/>
        </w:tabs>
        <w:jc w:val="left"/>
        <w:rPr>
          <w:bCs/>
          <w:szCs w:val="22"/>
          <w:lang w:val="pl-PL"/>
        </w:rPr>
      </w:pPr>
    </w:p>
    <w:p w14:paraId="448E7359" w14:textId="77777777" w:rsidR="009B1650" w:rsidRPr="009B1650" w:rsidRDefault="009B1650" w:rsidP="009B1650">
      <w:pPr>
        <w:tabs>
          <w:tab w:val="clear" w:pos="284"/>
          <w:tab w:val="left" w:pos="540"/>
          <w:tab w:val="left" w:pos="569"/>
        </w:tabs>
        <w:ind w:left="540" w:hanging="540"/>
        <w:jc w:val="left"/>
        <w:rPr>
          <w:bCs/>
          <w:szCs w:val="22"/>
        </w:rPr>
      </w:pPr>
      <w:r w:rsidRPr="009B1650">
        <w:rPr>
          <w:b/>
          <w:bCs/>
          <w:szCs w:val="22"/>
        </w:rPr>
        <w:t xml:space="preserve">10. </w:t>
      </w:r>
      <w:r w:rsidRPr="009B1650">
        <w:rPr>
          <w:b/>
          <w:bCs/>
          <w:szCs w:val="22"/>
        </w:rPr>
        <w:tab/>
        <w:t xml:space="preserve">DATUM REVIZIJE TEKSTA </w:t>
      </w:r>
    </w:p>
    <w:p w14:paraId="584B0DB2" w14:textId="0F3A7797" w:rsidR="00923865" w:rsidRDefault="00923865" w:rsidP="00923865">
      <w:pPr>
        <w:rPr>
          <w:bCs/>
          <w:noProof/>
          <w:szCs w:val="22"/>
          <w:lang w:val="sr-Latn-BA"/>
        </w:rPr>
      </w:pPr>
    </w:p>
    <w:p w14:paraId="510A9D31" w14:textId="68D24393" w:rsidR="009B1650" w:rsidRPr="0051150C" w:rsidRDefault="005A2DCA" w:rsidP="00923865">
      <w:pPr>
        <w:rPr>
          <w:bCs/>
          <w:noProof/>
          <w:szCs w:val="22"/>
          <w:lang w:val="sr-Latn-BA"/>
        </w:rPr>
      </w:pPr>
      <w:r>
        <w:rPr>
          <w:bCs/>
          <w:noProof/>
          <w:szCs w:val="22"/>
          <w:lang w:val="sr-Latn-BA"/>
        </w:rPr>
        <w:t xml:space="preserve">Septembar, </w:t>
      </w:r>
      <w:r w:rsidR="009B1650">
        <w:rPr>
          <w:bCs/>
          <w:noProof/>
          <w:szCs w:val="22"/>
          <w:lang w:val="sr-Latn-BA"/>
        </w:rPr>
        <w:t>202</w:t>
      </w:r>
      <w:r w:rsidR="00911F0F">
        <w:rPr>
          <w:bCs/>
          <w:noProof/>
          <w:szCs w:val="22"/>
          <w:lang w:val="sr-Latn-BA"/>
        </w:rPr>
        <w:t>4</w:t>
      </w:r>
      <w:bookmarkStart w:id="2" w:name="_GoBack"/>
      <w:bookmarkEnd w:id="2"/>
      <w:r w:rsidR="009B1650">
        <w:rPr>
          <w:bCs/>
          <w:noProof/>
          <w:szCs w:val="22"/>
          <w:lang w:val="sr-Latn-BA"/>
        </w:rPr>
        <w:t>.</w:t>
      </w:r>
      <w:r>
        <w:rPr>
          <w:bCs/>
          <w:noProof/>
          <w:szCs w:val="22"/>
          <w:lang w:val="sr-Latn-BA"/>
        </w:rPr>
        <w:t xml:space="preserve"> godine</w:t>
      </w:r>
    </w:p>
    <w:sectPr w:rsidR="009B1650" w:rsidRPr="0051150C" w:rsidSect="00724142">
      <w:footerReference w:type="even" r:id="rId17"/>
      <w:footerReference w:type="default" r:id="rId18"/>
      <w:pgSz w:w="11907" w:h="16840" w:code="9"/>
      <w:pgMar w:top="1440" w:right="1134" w:bottom="1440" w:left="1440"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4BBAE" w14:textId="77777777" w:rsidR="00C02D19" w:rsidRDefault="00C02D19">
      <w:r>
        <w:separator/>
      </w:r>
    </w:p>
  </w:endnote>
  <w:endnote w:type="continuationSeparator" w:id="0">
    <w:p w14:paraId="1632CD5E" w14:textId="77777777" w:rsidR="00C02D19" w:rsidRDefault="00C0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TimesNewRoman">
    <w:altName w:val="Times New Roman"/>
    <w:panose1 w:val="00000000000000000000"/>
    <w:charset w:val="00"/>
    <w:family w:val="auto"/>
    <w:notTrueType/>
    <w:pitch w:val="default"/>
    <w:sig w:usb0="00000005" w:usb1="08070000" w:usb2="00000010" w:usb3="00000000" w:csb0="00020003" w:csb1="00000000"/>
  </w:font>
  <w:font w:name="TimesNewRoman,Bold">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B0DB9" w14:textId="37B9F8AF" w:rsidR="00F36A33" w:rsidRDefault="00F36A33"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84B0DBA" w14:textId="77777777" w:rsidR="00F36A33" w:rsidRDefault="00F36A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2235"/>
      <w:docPartObj>
        <w:docPartGallery w:val="Page Numbers (Bottom of Page)"/>
        <w:docPartUnique/>
      </w:docPartObj>
    </w:sdtPr>
    <w:sdtEndPr>
      <w:rPr>
        <w:szCs w:val="20"/>
      </w:rPr>
    </w:sdtEndPr>
    <w:sdtContent>
      <w:sdt>
        <w:sdtPr>
          <w:id w:val="1728636285"/>
          <w:docPartObj>
            <w:docPartGallery w:val="Page Numbers (Top of Page)"/>
            <w:docPartUnique/>
          </w:docPartObj>
        </w:sdtPr>
        <w:sdtEndPr>
          <w:rPr>
            <w:szCs w:val="20"/>
          </w:rPr>
        </w:sdtEndPr>
        <w:sdtContent>
          <w:p w14:paraId="471EFF8D" w14:textId="06CF7860" w:rsidR="00BF5A5C" w:rsidRPr="00156F1E" w:rsidRDefault="00BF5A5C">
            <w:pPr>
              <w:pStyle w:val="Footer"/>
              <w:jc w:val="center"/>
              <w:rPr>
                <w:szCs w:val="20"/>
              </w:rPr>
            </w:pPr>
            <w:r w:rsidRPr="00410EF6">
              <w:rPr>
                <w:bCs/>
                <w:szCs w:val="20"/>
              </w:rPr>
              <w:fldChar w:fldCharType="begin"/>
            </w:r>
            <w:r w:rsidRPr="00410EF6">
              <w:rPr>
                <w:bCs/>
                <w:szCs w:val="20"/>
              </w:rPr>
              <w:instrText xml:space="preserve"> PAGE </w:instrText>
            </w:r>
            <w:r w:rsidRPr="00410EF6">
              <w:rPr>
                <w:bCs/>
                <w:szCs w:val="20"/>
              </w:rPr>
              <w:fldChar w:fldCharType="separate"/>
            </w:r>
            <w:r w:rsidR="00911F0F">
              <w:rPr>
                <w:bCs/>
                <w:noProof/>
                <w:szCs w:val="20"/>
              </w:rPr>
              <w:t>24</w:t>
            </w:r>
            <w:r w:rsidRPr="00410EF6">
              <w:rPr>
                <w:bCs/>
                <w:szCs w:val="20"/>
              </w:rPr>
              <w:fldChar w:fldCharType="end"/>
            </w:r>
            <w:r w:rsidRPr="00156F1E">
              <w:rPr>
                <w:szCs w:val="20"/>
              </w:rPr>
              <w:t xml:space="preserve"> / </w:t>
            </w:r>
            <w:r w:rsidRPr="00410EF6">
              <w:rPr>
                <w:bCs/>
                <w:szCs w:val="20"/>
              </w:rPr>
              <w:fldChar w:fldCharType="begin"/>
            </w:r>
            <w:r w:rsidRPr="00410EF6">
              <w:rPr>
                <w:bCs/>
                <w:szCs w:val="20"/>
              </w:rPr>
              <w:instrText xml:space="preserve"> NUMPAGES  </w:instrText>
            </w:r>
            <w:r w:rsidRPr="00410EF6">
              <w:rPr>
                <w:bCs/>
                <w:szCs w:val="20"/>
              </w:rPr>
              <w:fldChar w:fldCharType="separate"/>
            </w:r>
            <w:r w:rsidR="00911F0F">
              <w:rPr>
                <w:bCs/>
                <w:noProof/>
                <w:szCs w:val="20"/>
              </w:rPr>
              <w:t>24</w:t>
            </w:r>
            <w:r w:rsidRPr="00410EF6">
              <w:rPr>
                <w:bCs/>
                <w:szCs w:val="20"/>
              </w:rPr>
              <w:fldChar w:fldCharType="end"/>
            </w:r>
          </w:p>
        </w:sdtContent>
      </w:sdt>
    </w:sdtContent>
  </w:sdt>
  <w:p w14:paraId="584B0DBC" w14:textId="77777777" w:rsidR="00F36A33" w:rsidRPr="00C536C2" w:rsidRDefault="00F36A33" w:rsidP="00C536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D865B" w14:textId="77777777" w:rsidR="00C02D19" w:rsidRDefault="00C02D19">
      <w:r>
        <w:separator/>
      </w:r>
    </w:p>
  </w:footnote>
  <w:footnote w:type="continuationSeparator" w:id="0">
    <w:p w14:paraId="0992E680" w14:textId="77777777" w:rsidR="00C02D19" w:rsidRDefault="00C02D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8C5745C"/>
    <w:multiLevelType w:val="hybridMultilevel"/>
    <w:tmpl w:val="D77C6E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6136306"/>
    <w:multiLevelType w:val="hybridMultilevel"/>
    <w:tmpl w:val="C62AE714"/>
    <w:lvl w:ilvl="0" w:tplc="0409000F">
      <w:start w:val="7"/>
      <w:numFmt w:val="decimal"/>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4" w15:restartNumberingAfterBreak="0">
    <w:nsid w:val="3AAC1418"/>
    <w:multiLevelType w:val="hybridMultilevel"/>
    <w:tmpl w:val="0584ED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24275A"/>
    <w:multiLevelType w:val="hybridMultilevel"/>
    <w:tmpl w:val="E116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D2773"/>
    <w:multiLevelType w:val="hybridMultilevel"/>
    <w:tmpl w:val="CDFA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9429E"/>
    <w:multiLevelType w:val="hybridMultilevel"/>
    <w:tmpl w:val="B3D8F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64867B5"/>
    <w:multiLevelType w:val="hybridMultilevel"/>
    <w:tmpl w:val="CFBC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CBF0D89"/>
    <w:multiLevelType w:val="hybridMultilevel"/>
    <w:tmpl w:val="E07A3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C84BDE"/>
    <w:multiLevelType w:val="hybridMultilevel"/>
    <w:tmpl w:val="8B4A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38521A"/>
    <w:multiLevelType w:val="hybridMultilevel"/>
    <w:tmpl w:val="44F6EF6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FC4B8A"/>
    <w:multiLevelType w:val="hybridMultilevel"/>
    <w:tmpl w:val="8EF0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7"/>
    </w:lvlOverride>
  </w:num>
  <w:num w:numId="3">
    <w:abstractNumId w:val="9"/>
  </w:num>
  <w:num w:numId="4">
    <w:abstractNumId w:val="6"/>
  </w:num>
  <w:num w:numId="5">
    <w:abstractNumId w:val="13"/>
  </w:num>
  <w:num w:numId="6">
    <w:abstractNumId w:val="12"/>
  </w:num>
  <w:num w:numId="7">
    <w:abstractNumId w:val="10"/>
  </w:num>
  <w:num w:numId="8">
    <w:abstractNumId w:val="4"/>
  </w:num>
  <w:num w:numId="9">
    <w:abstractNumId w:val="7"/>
  </w:num>
  <w:num w:numId="10">
    <w:abstractNumId w:val="1"/>
  </w:num>
  <w:num w:numId="11">
    <w:abstractNumId w:val="11"/>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pl-PL"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98A"/>
    <w:rsid w:val="00006C32"/>
    <w:rsid w:val="00011C72"/>
    <w:rsid w:val="00012654"/>
    <w:rsid w:val="00017801"/>
    <w:rsid w:val="00017C2E"/>
    <w:rsid w:val="000246DF"/>
    <w:rsid w:val="00041046"/>
    <w:rsid w:val="00044234"/>
    <w:rsid w:val="0005798D"/>
    <w:rsid w:val="00057D00"/>
    <w:rsid w:val="00064273"/>
    <w:rsid w:val="00073703"/>
    <w:rsid w:val="00083A08"/>
    <w:rsid w:val="00083BE0"/>
    <w:rsid w:val="00095FB6"/>
    <w:rsid w:val="00096FAA"/>
    <w:rsid w:val="0009758B"/>
    <w:rsid w:val="000A0F4A"/>
    <w:rsid w:val="000A58D3"/>
    <w:rsid w:val="000B3B68"/>
    <w:rsid w:val="000C12C1"/>
    <w:rsid w:val="000C145F"/>
    <w:rsid w:val="000D5631"/>
    <w:rsid w:val="000D6983"/>
    <w:rsid w:val="000E03B6"/>
    <w:rsid w:val="000E2561"/>
    <w:rsid w:val="000E75C0"/>
    <w:rsid w:val="000F1649"/>
    <w:rsid w:val="000F386E"/>
    <w:rsid w:val="000F791B"/>
    <w:rsid w:val="001022E6"/>
    <w:rsid w:val="00107C0A"/>
    <w:rsid w:val="00115257"/>
    <w:rsid w:val="00137E33"/>
    <w:rsid w:val="00141639"/>
    <w:rsid w:val="0014180A"/>
    <w:rsid w:val="00151B9C"/>
    <w:rsid w:val="001522E0"/>
    <w:rsid w:val="001534B1"/>
    <w:rsid w:val="00156F1E"/>
    <w:rsid w:val="00166174"/>
    <w:rsid w:val="001714E7"/>
    <w:rsid w:val="00173D18"/>
    <w:rsid w:val="00175772"/>
    <w:rsid w:val="00175A7E"/>
    <w:rsid w:val="0018601D"/>
    <w:rsid w:val="001919EE"/>
    <w:rsid w:val="001B706A"/>
    <w:rsid w:val="001C5676"/>
    <w:rsid w:val="001D0C01"/>
    <w:rsid w:val="001D10C9"/>
    <w:rsid w:val="001D2619"/>
    <w:rsid w:val="001D77AE"/>
    <w:rsid w:val="001E0A07"/>
    <w:rsid w:val="001E1413"/>
    <w:rsid w:val="001E19CC"/>
    <w:rsid w:val="001E6145"/>
    <w:rsid w:val="001F1EFC"/>
    <w:rsid w:val="001F2D4E"/>
    <w:rsid w:val="001F39B6"/>
    <w:rsid w:val="0021331C"/>
    <w:rsid w:val="00214A5D"/>
    <w:rsid w:val="0022218E"/>
    <w:rsid w:val="0022223A"/>
    <w:rsid w:val="002241FD"/>
    <w:rsid w:val="00230170"/>
    <w:rsid w:val="00235F53"/>
    <w:rsid w:val="0024132F"/>
    <w:rsid w:val="00242DCD"/>
    <w:rsid w:val="00244DA6"/>
    <w:rsid w:val="002479D1"/>
    <w:rsid w:val="00247C5C"/>
    <w:rsid w:val="00256BBA"/>
    <w:rsid w:val="00267578"/>
    <w:rsid w:val="00272EAD"/>
    <w:rsid w:val="00273BE0"/>
    <w:rsid w:val="00280E47"/>
    <w:rsid w:val="00282376"/>
    <w:rsid w:val="00285070"/>
    <w:rsid w:val="00294842"/>
    <w:rsid w:val="002B6F6A"/>
    <w:rsid w:val="002C0FBF"/>
    <w:rsid w:val="002E4C62"/>
    <w:rsid w:val="002F23C3"/>
    <w:rsid w:val="002F5E2F"/>
    <w:rsid w:val="00316929"/>
    <w:rsid w:val="00316FC0"/>
    <w:rsid w:val="00334198"/>
    <w:rsid w:val="00334CA1"/>
    <w:rsid w:val="003452C0"/>
    <w:rsid w:val="00347BD5"/>
    <w:rsid w:val="00351684"/>
    <w:rsid w:val="003628F2"/>
    <w:rsid w:val="003647B3"/>
    <w:rsid w:val="00365D86"/>
    <w:rsid w:val="00366EAF"/>
    <w:rsid w:val="003732F5"/>
    <w:rsid w:val="00383195"/>
    <w:rsid w:val="003A08C3"/>
    <w:rsid w:val="003A1A44"/>
    <w:rsid w:val="003A2DF8"/>
    <w:rsid w:val="003B2082"/>
    <w:rsid w:val="003C18A4"/>
    <w:rsid w:val="003C2E70"/>
    <w:rsid w:val="003C57EB"/>
    <w:rsid w:val="003C5F8C"/>
    <w:rsid w:val="003D2A4E"/>
    <w:rsid w:val="003D7942"/>
    <w:rsid w:val="003E3EC7"/>
    <w:rsid w:val="0040024E"/>
    <w:rsid w:val="00402825"/>
    <w:rsid w:val="004059D5"/>
    <w:rsid w:val="00410EF6"/>
    <w:rsid w:val="004123CD"/>
    <w:rsid w:val="00416533"/>
    <w:rsid w:val="004227C1"/>
    <w:rsid w:val="0042302D"/>
    <w:rsid w:val="004234ED"/>
    <w:rsid w:val="004266C7"/>
    <w:rsid w:val="00427D41"/>
    <w:rsid w:val="0044078C"/>
    <w:rsid w:val="00446111"/>
    <w:rsid w:val="00460994"/>
    <w:rsid w:val="00462C33"/>
    <w:rsid w:val="004725CF"/>
    <w:rsid w:val="0047524A"/>
    <w:rsid w:val="00480CBB"/>
    <w:rsid w:val="00492248"/>
    <w:rsid w:val="00497648"/>
    <w:rsid w:val="00497992"/>
    <w:rsid w:val="004A18EE"/>
    <w:rsid w:val="004A1C16"/>
    <w:rsid w:val="004A228D"/>
    <w:rsid w:val="004A4DDA"/>
    <w:rsid w:val="004A7E03"/>
    <w:rsid w:val="004B368F"/>
    <w:rsid w:val="004B5A11"/>
    <w:rsid w:val="004B6E44"/>
    <w:rsid w:val="004B7A50"/>
    <w:rsid w:val="004D230F"/>
    <w:rsid w:val="004E3BC2"/>
    <w:rsid w:val="004E52E8"/>
    <w:rsid w:val="004F067E"/>
    <w:rsid w:val="004F6B34"/>
    <w:rsid w:val="004F7547"/>
    <w:rsid w:val="0050007D"/>
    <w:rsid w:val="00500BE2"/>
    <w:rsid w:val="00503974"/>
    <w:rsid w:val="005060C3"/>
    <w:rsid w:val="0051150C"/>
    <w:rsid w:val="00512ABF"/>
    <w:rsid w:val="0052230B"/>
    <w:rsid w:val="00525A8A"/>
    <w:rsid w:val="005276F0"/>
    <w:rsid w:val="00530909"/>
    <w:rsid w:val="0053241E"/>
    <w:rsid w:val="00532FD3"/>
    <w:rsid w:val="00534FB1"/>
    <w:rsid w:val="005552EB"/>
    <w:rsid w:val="00555B43"/>
    <w:rsid w:val="00561587"/>
    <w:rsid w:val="005708B9"/>
    <w:rsid w:val="00584958"/>
    <w:rsid w:val="005878FB"/>
    <w:rsid w:val="005952EC"/>
    <w:rsid w:val="005A2DCA"/>
    <w:rsid w:val="005A3584"/>
    <w:rsid w:val="005A3843"/>
    <w:rsid w:val="005A6546"/>
    <w:rsid w:val="005B3388"/>
    <w:rsid w:val="005C3F73"/>
    <w:rsid w:val="005C7891"/>
    <w:rsid w:val="005D0C31"/>
    <w:rsid w:val="005D6BF6"/>
    <w:rsid w:val="005F2563"/>
    <w:rsid w:val="00600092"/>
    <w:rsid w:val="00601562"/>
    <w:rsid w:val="0060303D"/>
    <w:rsid w:val="00603302"/>
    <w:rsid w:val="00604E4F"/>
    <w:rsid w:val="006054EE"/>
    <w:rsid w:val="006069FE"/>
    <w:rsid w:val="006118B6"/>
    <w:rsid w:val="00611B30"/>
    <w:rsid w:val="006166CF"/>
    <w:rsid w:val="00621417"/>
    <w:rsid w:val="00623D47"/>
    <w:rsid w:val="006270C0"/>
    <w:rsid w:val="00630195"/>
    <w:rsid w:val="006303D6"/>
    <w:rsid w:val="0063625D"/>
    <w:rsid w:val="006559AF"/>
    <w:rsid w:val="006571F8"/>
    <w:rsid w:val="00660ED5"/>
    <w:rsid w:val="00660FC7"/>
    <w:rsid w:val="00664C90"/>
    <w:rsid w:val="0066552D"/>
    <w:rsid w:val="006678CD"/>
    <w:rsid w:val="00672F0B"/>
    <w:rsid w:val="00674EB2"/>
    <w:rsid w:val="00676BD1"/>
    <w:rsid w:val="006856A9"/>
    <w:rsid w:val="006928EF"/>
    <w:rsid w:val="006937D9"/>
    <w:rsid w:val="00693874"/>
    <w:rsid w:val="00693F46"/>
    <w:rsid w:val="006A5CBC"/>
    <w:rsid w:val="006D1764"/>
    <w:rsid w:val="006D6C79"/>
    <w:rsid w:val="006E1407"/>
    <w:rsid w:val="006F158F"/>
    <w:rsid w:val="006F2218"/>
    <w:rsid w:val="006F2A69"/>
    <w:rsid w:val="006F3012"/>
    <w:rsid w:val="0070540E"/>
    <w:rsid w:val="00707E6A"/>
    <w:rsid w:val="00715734"/>
    <w:rsid w:val="00723DFC"/>
    <w:rsid w:val="00724142"/>
    <w:rsid w:val="00726443"/>
    <w:rsid w:val="00736DF5"/>
    <w:rsid w:val="00740D73"/>
    <w:rsid w:val="00746598"/>
    <w:rsid w:val="007626ED"/>
    <w:rsid w:val="00764648"/>
    <w:rsid w:val="007672F3"/>
    <w:rsid w:val="00785A07"/>
    <w:rsid w:val="007935BF"/>
    <w:rsid w:val="007A7D2F"/>
    <w:rsid w:val="007B16C4"/>
    <w:rsid w:val="007B28F0"/>
    <w:rsid w:val="007B5A16"/>
    <w:rsid w:val="007C2D7E"/>
    <w:rsid w:val="007D17FD"/>
    <w:rsid w:val="007D2C9A"/>
    <w:rsid w:val="007D48C5"/>
    <w:rsid w:val="007D4B8D"/>
    <w:rsid w:val="007E06F0"/>
    <w:rsid w:val="007E4198"/>
    <w:rsid w:val="007F365A"/>
    <w:rsid w:val="00802DFC"/>
    <w:rsid w:val="008048A4"/>
    <w:rsid w:val="00814781"/>
    <w:rsid w:val="008173C0"/>
    <w:rsid w:val="008246AE"/>
    <w:rsid w:val="00833CC6"/>
    <w:rsid w:val="00834D3E"/>
    <w:rsid w:val="00834DBB"/>
    <w:rsid w:val="00842FDE"/>
    <w:rsid w:val="00842FFB"/>
    <w:rsid w:val="00845DDD"/>
    <w:rsid w:val="0086351A"/>
    <w:rsid w:val="00864208"/>
    <w:rsid w:val="00874B61"/>
    <w:rsid w:val="008A48B7"/>
    <w:rsid w:val="008B3DFE"/>
    <w:rsid w:val="008B3EB5"/>
    <w:rsid w:val="008C5809"/>
    <w:rsid w:val="008D5E69"/>
    <w:rsid w:val="008D78C9"/>
    <w:rsid w:val="008E0FC9"/>
    <w:rsid w:val="008F4C10"/>
    <w:rsid w:val="00903E41"/>
    <w:rsid w:val="00906F2B"/>
    <w:rsid w:val="009070B2"/>
    <w:rsid w:val="00911F0F"/>
    <w:rsid w:val="00913684"/>
    <w:rsid w:val="009173F4"/>
    <w:rsid w:val="00923865"/>
    <w:rsid w:val="0093016E"/>
    <w:rsid w:val="00934AE1"/>
    <w:rsid w:val="00934B4D"/>
    <w:rsid w:val="00945807"/>
    <w:rsid w:val="00954137"/>
    <w:rsid w:val="00955C75"/>
    <w:rsid w:val="009677DF"/>
    <w:rsid w:val="00970130"/>
    <w:rsid w:val="00971CC6"/>
    <w:rsid w:val="00972DCA"/>
    <w:rsid w:val="009848FD"/>
    <w:rsid w:val="0099001B"/>
    <w:rsid w:val="00992DF7"/>
    <w:rsid w:val="009946F8"/>
    <w:rsid w:val="00996E6B"/>
    <w:rsid w:val="009A187D"/>
    <w:rsid w:val="009A1D64"/>
    <w:rsid w:val="009B1292"/>
    <w:rsid w:val="009B1650"/>
    <w:rsid w:val="009B2430"/>
    <w:rsid w:val="009B338B"/>
    <w:rsid w:val="009B58AD"/>
    <w:rsid w:val="009B7935"/>
    <w:rsid w:val="009C080D"/>
    <w:rsid w:val="009C0B62"/>
    <w:rsid w:val="009C4267"/>
    <w:rsid w:val="009C7BA2"/>
    <w:rsid w:val="009D1161"/>
    <w:rsid w:val="009D1A0E"/>
    <w:rsid w:val="009D667B"/>
    <w:rsid w:val="009E1679"/>
    <w:rsid w:val="009E50A0"/>
    <w:rsid w:val="009E7888"/>
    <w:rsid w:val="009F4449"/>
    <w:rsid w:val="00A02252"/>
    <w:rsid w:val="00A0639C"/>
    <w:rsid w:val="00A0722B"/>
    <w:rsid w:val="00A120E1"/>
    <w:rsid w:val="00A127F1"/>
    <w:rsid w:val="00A16A94"/>
    <w:rsid w:val="00A27130"/>
    <w:rsid w:val="00A271CC"/>
    <w:rsid w:val="00A41BA4"/>
    <w:rsid w:val="00A435C9"/>
    <w:rsid w:val="00A55820"/>
    <w:rsid w:val="00A60654"/>
    <w:rsid w:val="00A625E2"/>
    <w:rsid w:val="00A63A82"/>
    <w:rsid w:val="00A7147C"/>
    <w:rsid w:val="00A7584C"/>
    <w:rsid w:val="00A7660B"/>
    <w:rsid w:val="00A86897"/>
    <w:rsid w:val="00A925BA"/>
    <w:rsid w:val="00A95733"/>
    <w:rsid w:val="00AA0D3F"/>
    <w:rsid w:val="00AA2EEE"/>
    <w:rsid w:val="00AA3DC9"/>
    <w:rsid w:val="00AA4543"/>
    <w:rsid w:val="00AB5465"/>
    <w:rsid w:val="00AC5F8D"/>
    <w:rsid w:val="00AD3B97"/>
    <w:rsid w:val="00AE6A4F"/>
    <w:rsid w:val="00B17294"/>
    <w:rsid w:val="00B23113"/>
    <w:rsid w:val="00B2336C"/>
    <w:rsid w:val="00B26FAC"/>
    <w:rsid w:val="00B30522"/>
    <w:rsid w:val="00B31AA2"/>
    <w:rsid w:val="00B35C3C"/>
    <w:rsid w:val="00B437DC"/>
    <w:rsid w:val="00B748CC"/>
    <w:rsid w:val="00B74C0B"/>
    <w:rsid w:val="00B76A82"/>
    <w:rsid w:val="00B8400D"/>
    <w:rsid w:val="00B8783A"/>
    <w:rsid w:val="00B93A37"/>
    <w:rsid w:val="00B93F6A"/>
    <w:rsid w:val="00BA025C"/>
    <w:rsid w:val="00BA122A"/>
    <w:rsid w:val="00BA1819"/>
    <w:rsid w:val="00BA5A22"/>
    <w:rsid w:val="00BB55E5"/>
    <w:rsid w:val="00BB6464"/>
    <w:rsid w:val="00BD1478"/>
    <w:rsid w:val="00BD4C60"/>
    <w:rsid w:val="00BD725A"/>
    <w:rsid w:val="00BE063A"/>
    <w:rsid w:val="00BE5D41"/>
    <w:rsid w:val="00BF3750"/>
    <w:rsid w:val="00BF5A5C"/>
    <w:rsid w:val="00C02D19"/>
    <w:rsid w:val="00C060A5"/>
    <w:rsid w:val="00C06244"/>
    <w:rsid w:val="00C11A4C"/>
    <w:rsid w:val="00C315BF"/>
    <w:rsid w:val="00C33CE7"/>
    <w:rsid w:val="00C41C0F"/>
    <w:rsid w:val="00C536C2"/>
    <w:rsid w:val="00C55F47"/>
    <w:rsid w:val="00C56CF1"/>
    <w:rsid w:val="00C56E2E"/>
    <w:rsid w:val="00C57863"/>
    <w:rsid w:val="00C605D8"/>
    <w:rsid w:val="00C64A31"/>
    <w:rsid w:val="00C65DB1"/>
    <w:rsid w:val="00C82E8B"/>
    <w:rsid w:val="00C84184"/>
    <w:rsid w:val="00C8558A"/>
    <w:rsid w:val="00C916DD"/>
    <w:rsid w:val="00C92AC3"/>
    <w:rsid w:val="00CA44CC"/>
    <w:rsid w:val="00CB1AD2"/>
    <w:rsid w:val="00CB671B"/>
    <w:rsid w:val="00CC263B"/>
    <w:rsid w:val="00CC4C88"/>
    <w:rsid w:val="00CD0B1F"/>
    <w:rsid w:val="00CD3F96"/>
    <w:rsid w:val="00CD77A0"/>
    <w:rsid w:val="00CE09F3"/>
    <w:rsid w:val="00CE2D97"/>
    <w:rsid w:val="00CE4670"/>
    <w:rsid w:val="00CE46F6"/>
    <w:rsid w:val="00CE57F5"/>
    <w:rsid w:val="00CE76DA"/>
    <w:rsid w:val="00CF0A6C"/>
    <w:rsid w:val="00CF47D6"/>
    <w:rsid w:val="00CF7C69"/>
    <w:rsid w:val="00D10BC6"/>
    <w:rsid w:val="00D11E94"/>
    <w:rsid w:val="00D23C1D"/>
    <w:rsid w:val="00D30389"/>
    <w:rsid w:val="00D33011"/>
    <w:rsid w:val="00D337F6"/>
    <w:rsid w:val="00D469A0"/>
    <w:rsid w:val="00D47802"/>
    <w:rsid w:val="00D519B9"/>
    <w:rsid w:val="00D52CDB"/>
    <w:rsid w:val="00D53846"/>
    <w:rsid w:val="00D53958"/>
    <w:rsid w:val="00D55E91"/>
    <w:rsid w:val="00D61710"/>
    <w:rsid w:val="00D650D7"/>
    <w:rsid w:val="00D6611E"/>
    <w:rsid w:val="00D812DA"/>
    <w:rsid w:val="00D84D2D"/>
    <w:rsid w:val="00D85F37"/>
    <w:rsid w:val="00DA01A2"/>
    <w:rsid w:val="00DB4534"/>
    <w:rsid w:val="00DC1424"/>
    <w:rsid w:val="00DC5069"/>
    <w:rsid w:val="00DD24F9"/>
    <w:rsid w:val="00DD2A82"/>
    <w:rsid w:val="00DE0679"/>
    <w:rsid w:val="00DE144C"/>
    <w:rsid w:val="00DF46E4"/>
    <w:rsid w:val="00DF4AE0"/>
    <w:rsid w:val="00E04856"/>
    <w:rsid w:val="00E211C0"/>
    <w:rsid w:val="00E43C68"/>
    <w:rsid w:val="00E50CD3"/>
    <w:rsid w:val="00E51ED5"/>
    <w:rsid w:val="00E56089"/>
    <w:rsid w:val="00E571E9"/>
    <w:rsid w:val="00E6050A"/>
    <w:rsid w:val="00E61B67"/>
    <w:rsid w:val="00E6297A"/>
    <w:rsid w:val="00E84575"/>
    <w:rsid w:val="00E87BE1"/>
    <w:rsid w:val="00E9688D"/>
    <w:rsid w:val="00EA020F"/>
    <w:rsid w:val="00EA0CAD"/>
    <w:rsid w:val="00EA1F85"/>
    <w:rsid w:val="00EC44D0"/>
    <w:rsid w:val="00ED4585"/>
    <w:rsid w:val="00ED735F"/>
    <w:rsid w:val="00ED7524"/>
    <w:rsid w:val="00ED764A"/>
    <w:rsid w:val="00EE23D8"/>
    <w:rsid w:val="00EF1593"/>
    <w:rsid w:val="00EF566D"/>
    <w:rsid w:val="00EF5BCD"/>
    <w:rsid w:val="00EF5DA5"/>
    <w:rsid w:val="00F236BE"/>
    <w:rsid w:val="00F35022"/>
    <w:rsid w:val="00F36A33"/>
    <w:rsid w:val="00F42610"/>
    <w:rsid w:val="00F43B54"/>
    <w:rsid w:val="00F4493A"/>
    <w:rsid w:val="00F5038D"/>
    <w:rsid w:val="00F52D0C"/>
    <w:rsid w:val="00F559B9"/>
    <w:rsid w:val="00F5775F"/>
    <w:rsid w:val="00F60E41"/>
    <w:rsid w:val="00F63F24"/>
    <w:rsid w:val="00F66F22"/>
    <w:rsid w:val="00F856E9"/>
    <w:rsid w:val="00F90D33"/>
    <w:rsid w:val="00F96C05"/>
    <w:rsid w:val="00FA3AAE"/>
    <w:rsid w:val="00FC00D7"/>
    <w:rsid w:val="00FC3A20"/>
    <w:rsid w:val="00FD06AC"/>
    <w:rsid w:val="00FE67BD"/>
    <w:rsid w:val="00FE69FA"/>
    <w:rsid w:val="00FE7532"/>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B0D3E"/>
  <w15:docId w15:val="{3EC1B03F-9398-4075-869B-97241BD8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qFormat/>
    <w:rsid w:val="00C92AC3"/>
    <w:pPr>
      <w:ind w:left="720"/>
      <w:contextualSpacing/>
    </w:pPr>
  </w:style>
  <w:style w:type="table" w:styleId="TableGrid">
    <w:name w:val="Table Grid"/>
    <w:basedOn w:val="TableNormal"/>
    <w:rsid w:val="00BA1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2654"/>
    <w:pPr>
      <w:autoSpaceDE w:val="0"/>
      <w:autoSpaceDN w:val="0"/>
      <w:adjustRightInd w:val="0"/>
    </w:pPr>
    <w:rPr>
      <w:color w:val="000000"/>
      <w:sz w:val="24"/>
      <w:szCs w:val="24"/>
      <w:lang w:val="en-GB"/>
    </w:rPr>
  </w:style>
  <w:style w:type="character" w:styleId="Hyperlink">
    <w:name w:val="Hyperlink"/>
    <w:basedOn w:val="DefaultParagraphFont"/>
    <w:semiHidden/>
    <w:unhideWhenUsed/>
    <w:rsid w:val="00DC5069"/>
    <w:rPr>
      <w:color w:val="0000FF" w:themeColor="hyperlink"/>
      <w:u w:val="single"/>
    </w:rPr>
  </w:style>
  <w:style w:type="paragraph" w:styleId="BodyText">
    <w:name w:val="Body Text"/>
    <w:basedOn w:val="Normal"/>
    <w:link w:val="BodyTextChar"/>
    <w:uiPriority w:val="1"/>
    <w:qFormat/>
    <w:rsid w:val="00CA44CC"/>
    <w:pPr>
      <w:widowControl w:val="0"/>
      <w:tabs>
        <w:tab w:val="clear" w:pos="284"/>
      </w:tabs>
      <w:autoSpaceDE w:val="0"/>
      <w:autoSpaceDN w:val="0"/>
      <w:jc w:val="left"/>
    </w:pPr>
    <w:rPr>
      <w:sz w:val="24"/>
      <w:lang w:val="sr-Latn-CS" w:bidi="en-US"/>
    </w:rPr>
  </w:style>
  <w:style w:type="character" w:customStyle="1" w:styleId="BodyTextChar">
    <w:name w:val="Body Text Char"/>
    <w:basedOn w:val="DefaultParagraphFont"/>
    <w:link w:val="BodyText"/>
    <w:uiPriority w:val="1"/>
    <w:rsid w:val="00CA44CC"/>
    <w:rPr>
      <w:sz w:val="24"/>
      <w:szCs w:val="24"/>
      <w:lang w:val="sr-Latn-CS" w:bidi="en-US"/>
    </w:rPr>
  </w:style>
  <w:style w:type="paragraph" w:styleId="Revision">
    <w:name w:val="Revision"/>
    <w:hidden/>
    <w:uiPriority w:val="99"/>
    <w:semiHidden/>
    <w:rsid w:val="00410EF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95E11-7A7C-4DBB-B8E3-141153C3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10022</Words>
  <Characters>57129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67017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Ljumović</cp:lastModifiedBy>
  <cp:revision>2</cp:revision>
  <cp:lastPrinted>2021-08-20T12:05:00Z</cp:lastPrinted>
  <dcterms:created xsi:type="dcterms:W3CDTF">2024-09-07T04:21:00Z</dcterms:created>
  <dcterms:modified xsi:type="dcterms:W3CDTF">2024-09-07T04:21:00Z</dcterms:modified>
</cp:coreProperties>
</file>