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6FE1E" w14:textId="77777777" w:rsidR="001A5518" w:rsidRPr="00A44302" w:rsidRDefault="001A5518" w:rsidP="001A5518">
      <w:pPr>
        <w:rPr>
          <w:b/>
          <w:bCs/>
          <w:i/>
          <w:iCs/>
          <w:sz w:val="22"/>
          <w:szCs w:val="22"/>
          <w:u w:val="single"/>
          <w:lang w:val="sr-Latn-ME"/>
        </w:rPr>
      </w:pPr>
    </w:p>
    <w:p w14:paraId="68FFB31E" w14:textId="77777777" w:rsidR="00F91C7B" w:rsidRPr="00A44302" w:rsidRDefault="00F91C7B" w:rsidP="001A5518">
      <w:pPr>
        <w:rPr>
          <w:b/>
          <w:bCs/>
          <w:i/>
          <w:iCs/>
          <w:sz w:val="22"/>
          <w:szCs w:val="22"/>
          <w:u w:val="single"/>
          <w:lang w:val="sr-Latn-ME"/>
        </w:rPr>
      </w:pPr>
    </w:p>
    <w:p w14:paraId="34876728" w14:textId="77777777" w:rsidR="002510A5" w:rsidRPr="00A44302" w:rsidRDefault="002510A5" w:rsidP="002510A5">
      <w:pPr>
        <w:jc w:val="center"/>
        <w:rPr>
          <w:b/>
          <w:bCs/>
          <w:iCs/>
          <w:sz w:val="22"/>
          <w:szCs w:val="22"/>
          <w:u w:val="single"/>
          <w:lang w:val="sr-Latn-ME"/>
        </w:rPr>
      </w:pPr>
      <w:r w:rsidRPr="00A44302">
        <w:rPr>
          <w:b/>
          <w:bCs/>
          <w:iCs/>
          <w:sz w:val="22"/>
          <w:szCs w:val="22"/>
          <w:u w:val="single"/>
          <w:lang w:val="sr-Latn-ME"/>
        </w:rPr>
        <w:t>SAŽETAK KARAKTERISTIKA LIJEKA</w:t>
      </w:r>
    </w:p>
    <w:p w14:paraId="4A0B3472" w14:textId="77777777" w:rsidR="003C17AB" w:rsidRPr="00A44302" w:rsidRDefault="003C17AB" w:rsidP="00CA1FEB">
      <w:pPr>
        <w:rPr>
          <w:sz w:val="22"/>
          <w:szCs w:val="22"/>
          <w:lang w:val="sr-Latn-ME"/>
        </w:rPr>
      </w:pPr>
    </w:p>
    <w:p w14:paraId="780042B6" w14:textId="77777777" w:rsidR="00C37FD7" w:rsidRPr="00A44302" w:rsidRDefault="00C37FD7" w:rsidP="00F5167F">
      <w:pPr>
        <w:tabs>
          <w:tab w:val="left" w:pos="540"/>
          <w:tab w:val="left" w:pos="569"/>
        </w:tabs>
        <w:rPr>
          <w:bCs/>
          <w:sz w:val="22"/>
          <w:szCs w:val="22"/>
          <w:lang w:val="sr-Latn-ME"/>
        </w:rPr>
      </w:pPr>
    </w:p>
    <w:p w14:paraId="3D0C40FF" w14:textId="77777777" w:rsidR="00411B4B" w:rsidRPr="00A44302" w:rsidRDefault="00411B4B" w:rsidP="00F5167F">
      <w:pPr>
        <w:tabs>
          <w:tab w:val="left" w:pos="540"/>
          <w:tab w:val="left" w:pos="569"/>
        </w:tabs>
        <w:rPr>
          <w:b/>
          <w:bCs/>
          <w:sz w:val="22"/>
          <w:szCs w:val="22"/>
          <w:lang w:val="sr-Latn-ME"/>
        </w:rPr>
      </w:pPr>
      <w:r w:rsidRPr="00A44302">
        <w:rPr>
          <w:b/>
          <w:bCs/>
          <w:sz w:val="22"/>
          <w:szCs w:val="22"/>
          <w:lang w:val="sr-Latn-ME"/>
        </w:rPr>
        <w:t>1.</w:t>
      </w:r>
      <w:r w:rsidR="00F5167F" w:rsidRPr="00A44302">
        <w:rPr>
          <w:b/>
          <w:bCs/>
          <w:sz w:val="22"/>
          <w:szCs w:val="22"/>
          <w:lang w:val="sr-Latn-ME"/>
        </w:rPr>
        <w:tab/>
      </w:r>
      <w:r w:rsidR="002846DB" w:rsidRPr="00A44302">
        <w:rPr>
          <w:b/>
          <w:bCs/>
          <w:sz w:val="22"/>
          <w:szCs w:val="22"/>
          <w:lang w:val="sr-Latn-ME"/>
        </w:rPr>
        <w:t xml:space="preserve">NAZIV </w:t>
      </w:r>
      <w:r w:rsidRPr="00A44302">
        <w:rPr>
          <w:b/>
          <w:bCs/>
          <w:sz w:val="22"/>
          <w:szCs w:val="22"/>
          <w:lang w:val="sr-Latn-ME"/>
        </w:rPr>
        <w:t>LIJEKA</w:t>
      </w:r>
    </w:p>
    <w:p w14:paraId="1A263A4D" w14:textId="77777777" w:rsidR="00EC2532" w:rsidRPr="00A44302" w:rsidRDefault="00EC2532">
      <w:pPr>
        <w:rPr>
          <w:sz w:val="22"/>
          <w:szCs w:val="22"/>
          <w:lang w:val="sr-Latn-ME"/>
        </w:rPr>
      </w:pPr>
    </w:p>
    <w:p w14:paraId="76BCB461" w14:textId="77777777" w:rsidR="00F77A8D" w:rsidRPr="00A44302" w:rsidRDefault="00F77A8D" w:rsidP="00F77A8D">
      <w:pPr>
        <w:rPr>
          <w:iCs/>
          <w:sz w:val="22"/>
          <w:szCs w:val="22"/>
          <w:lang w:val="sr-Latn-ME"/>
        </w:rPr>
      </w:pPr>
      <w:r w:rsidRPr="00A44302">
        <w:rPr>
          <w:iCs/>
          <w:sz w:val="22"/>
          <w:szCs w:val="22"/>
          <w:lang w:val="sr-Latn-ME"/>
        </w:rPr>
        <w:t>Paracetamol PharmaSwiss, 10 mg/ml, rastvor za infuziju</w:t>
      </w:r>
    </w:p>
    <w:p w14:paraId="4060E161" w14:textId="77777777" w:rsidR="00F77A8D" w:rsidRPr="00A44302" w:rsidRDefault="00F77A8D" w:rsidP="00F77A8D">
      <w:pPr>
        <w:rPr>
          <w:bCs/>
          <w:sz w:val="22"/>
          <w:szCs w:val="22"/>
          <w:lang w:val="sr-Latn-ME"/>
        </w:rPr>
      </w:pPr>
    </w:p>
    <w:p w14:paraId="5FB30EB1" w14:textId="0FCD4CC4" w:rsidR="00F77A8D" w:rsidRPr="00A44302" w:rsidRDefault="00F77A8D" w:rsidP="00F77A8D">
      <w:pPr>
        <w:rPr>
          <w:sz w:val="22"/>
          <w:szCs w:val="22"/>
          <w:lang w:val="sr-Latn-ME"/>
        </w:rPr>
      </w:pPr>
      <w:r w:rsidRPr="00A44302">
        <w:rPr>
          <w:sz w:val="22"/>
          <w:szCs w:val="22"/>
          <w:lang w:val="sr-Latn-ME"/>
        </w:rPr>
        <w:t>INN:</w:t>
      </w:r>
      <w:r w:rsidRPr="00A44302">
        <w:rPr>
          <w:lang w:val="sr-Latn-ME"/>
        </w:rPr>
        <w:t xml:space="preserve"> </w:t>
      </w:r>
      <w:r w:rsidRPr="00A44302">
        <w:rPr>
          <w:sz w:val="22"/>
          <w:szCs w:val="22"/>
          <w:lang w:val="sr-Latn-ME"/>
        </w:rPr>
        <w:t>paracetamol</w:t>
      </w:r>
    </w:p>
    <w:p w14:paraId="5206BA4B" w14:textId="77777777" w:rsidR="00197441" w:rsidRPr="00A44302" w:rsidRDefault="00197441" w:rsidP="00F77A8D">
      <w:pPr>
        <w:rPr>
          <w:sz w:val="22"/>
          <w:szCs w:val="22"/>
          <w:lang w:val="sr-Latn-ME"/>
        </w:rPr>
      </w:pPr>
    </w:p>
    <w:p w14:paraId="76441313" w14:textId="77777777" w:rsidR="006D20A5" w:rsidRPr="00A44302" w:rsidRDefault="006D20A5">
      <w:pPr>
        <w:rPr>
          <w:bCs/>
          <w:sz w:val="22"/>
          <w:szCs w:val="22"/>
          <w:lang w:val="sr-Latn-ME"/>
        </w:rPr>
      </w:pPr>
    </w:p>
    <w:p w14:paraId="1257D698" w14:textId="77777777" w:rsidR="00411B4B" w:rsidRPr="00A44302" w:rsidRDefault="00411B4B" w:rsidP="00F5167F">
      <w:pPr>
        <w:tabs>
          <w:tab w:val="left" w:pos="540"/>
          <w:tab w:val="left" w:pos="569"/>
        </w:tabs>
        <w:rPr>
          <w:b/>
          <w:bCs/>
          <w:sz w:val="22"/>
          <w:szCs w:val="22"/>
          <w:lang w:val="sr-Latn-ME"/>
        </w:rPr>
      </w:pPr>
      <w:r w:rsidRPr="00A44302">
        <w:rPr>
          <w:b/>
          <w:bCs/>
          <w:sz w:val="22"/>
          <w:szCs w:val="22"/>
          <w:lang w:val="sr-Latn-ME"/>
        </w:rPr>
        <w:t xml:space="preserve">2. </w:t>
      </w:r>
      <w:r w:rsidR="00F5167F" w:rsidRPr="00A44302">
        <w:rPr>
          <w:b/>
          <w:bCs/>
          <w:sz w:val="22"/>
          <w:szCs w:val="22"/>
          <w:lang w:val="sr-Latn-ME"/>
        </w:rPr>
        <w:tab/>
      </w:r>
      <w:r w:rsidRPr="00A44302">
        <w:rPr>
          <w:b/>
          <w:bCs/>
          <w:sz w:val="22"/>
          <w:szCs w:val="22"/>
          <w:lang w:val="sr-Latn-ME"/>
        </w:rPr>
        <w:t>KVALITATIVNI I KVANTITATIVNI SASTAV</w:t>
      </w:r>
    </w:p>
    <w:p w14:paraId="4ED03BEA" w14:textId="77777777" w:rsidR="005A0B2E" w:rsidRPr="00A44302" w:rsidRDefault="005A0B2E">
      <w:pPr>
        <w:rPr>
          <w:sz w:val="22"/>
          <w:szCs w:val="22"/>
          <w:lang w:val="sr-Latn-ME"/>
        </w:rPr>
      </w:pPr>
    </w:p>
    <w:p w14:paraId="3165CFF9" w14:textId="77777777" w:rsidR="00F77A8D" w:rsidRPr="00A44302" w:rsidRDefault="00F77A8D" w:rsidP="00F77A8D">
      <w:pPr>
        <w:rPr>
          <w:sz w:val="22"/>
          <w:szCs w:val="22"/>
          <w:lang w:val="sr-Latn-ME"/>
        </w:rPr>
      </w:pPr>
      <w:r w:rsidRPr="00A44302">
        <w:rPr>
          <w:sz w:val="22"/>
          <w:szCs w:val="22"/>
          <w:lang w:val="sr-Latn-ME"/>
        </w:rPr>
        <w:t>1 ml rastvora za infuziju sadrži 10 mg paracetamola.</w:t>
      </w:r>
    </w:p>
    <w:p w14:paraId="29E843BF" w14:textId="1C14D3C7" w:rsidR="00F77A8D" w:rsidRPr="00A44302" w:rsidRDefault="00F77A8D" w:rsidP="00F77A8D">
      <w:pPr>
        <w:rPr>
          <w:sz w:val="22"/>
          <w:szCs w:val="22"/>
          <w:lang w:val="sr-Latn-ME"/>
        </w:rPr>
      </w:pPr>
      <w:r w:rsidRPr="00A44302">
        <w:rPr>
          <w:sz w:val="22"/>
          <w:szCs w:val="22"/>
          <w:lang w:val="sr-Latn-ME"/>
        </w:rPr>
        <w:t xml:space="preserve">Jedna </w:t>
      </w:r>
      <w:r w:rsidR="00197441" w:rsidRPr="00A44302">
        <w:rPr>
          <w:sz w:val="22"/>
          <w:szCs w:val="22"/>
          <w:lang w:val="sr-Latn-ME"/>
        </w:rPr>
        <w:t>bo</w:t>
      </w:r>
      <w:r w:rsidR="004A6DFA" w:rsidRPr="00A44302">
        <w:rPr>
          <w:sz w:val="22"/>
          <w:szCs w:val="22"/>
          <w:lang w:val="sr-Latn-ME"/>
        </w:rPr>
        <w:t>c</w:t>
      </w:r>
      <w:r w:rsidR="00197441" w:rsidRPr="00A44302">
        <w:rPr>
          <w:sz w:val="22"/>
          <w:szCs w:val="22"/>
          <w:lang w:val="sr-Latn-ME"/>
        </w:rPr>
        <w:t xml:space="preserve">a staklena </w:t>
      </w:r>
      <w:r w:rsidRPr="00A44302">
        <w:rPr>
          <w:sz w:val="22"/>
          <w:szCs w:val="22"/>
          <w:lang w:val="sr-Latn-ME"/>
        </w:rPr>
        <w:t>od 100 ml sadrži 1</w:t>
      </w:r>
      <w:r w:rsidR="00021E04" w:rsidRPr="00A44302">
        <w:rPr>
          <w:sz w:val="22"/>
          <w:szCs w:val="22"/>
          <w:lang w:val="sr-Latn-ME"/>
        </w:rPr>
        <w:t xml:space="preserve"> </w:t>
      </w:r>
      <w:r w:rsidRPr="00A44302">
        <w:rPr>
          <w:sz w:val="22"/>
          <w:szCs w:val="22"/>
          <w:lang w:val="sr-Latn-ME"/>
        </w:rPr>
        <w:t>g paracetamola.</w:t>
      </w:r>
    </w:p>
    <w:p w14:paraId="4E7BCA61" w14:textId="77777777" w:rsidR="00F77A8D" w:rsidRPr="00A44302" w:rsidRDefault="00F77A8D" w:rsidP="00F77A8D">
      <w:pPr>
        <w:rPr>
          <w:sz w:val="22"/>
          <w:szCs w:val="22"/>
          <w:lang w:val="sr-Latn-ME"/>
        </w:rPr>
      </w:pPr>
    </w:p>
    <w:p w14:paraId="7E0FDCD3" w14:textId="77777777" w:rsidR="00F77A8D" w:rsidRPr="00A44302" w:rsidRDefault="00F77A8D" w:rsidP="00F77A8D">
      <w:pPr>
        <w:rPr>
          <w:sz w:val="22"/>
          <w:szCs w:val="22"/>
          <w:u w:val="single"/>
          <w:lang w:val="sr-Latn-ME"/>
        </w:rPr>
      </w:pPr>
      <w:r w:rsidRPr="00A44302">
        <w:rPr>
          <w:sz w:val="22"/>
          <w:szCs w:val="22"/>
          <w:u w:val="single"/>
          <w:lang w:val="sr-Latn-ME"/>
        </w:rPr>
        <w:t xml:space="preserve">Pomoćna supstanca sa potvrđenim dejstvom: </w:t>
      </w:r>
    </w:p>
    <w:p w14:paraId="419798F1" w14:textId="3AF963D0" w:rsidR="00F77A8D" w:rsidRPr="00A44302" w:rsidRDefault="00F77A8D" w:rsidP="00F77A8D">
      <w:pPr>
        <w:rPr>
          <w:sz w:val="22"/>
          <w:szCs w:val="22"/>
          <w:lang w:val="sr-Latn-ME"/>
        </w:rPr>
      </w:pPr>
      <w:r w:rsidRPr="00A44302">
        <w:rPr>
          <w:sz w:val="22"/>
          <w:szCs w:val="22"/>
          <w:lang w:val="sr-Latn-ME"/>
        </w:rPr>
        <w:t xml:space="preserve">Jedna </w:t>
      </w:r>
      <w:r w:rsidR="00197441" w:rsidRPr="00A44302">
        <w:rPr>
          <w:sz w:val="22"/>
          <w:szCs w:val="22"/>
          <w:lang w:val="sr-Latn-ME"/>
        </w:rPr>
        <w:t xml:space="preserve">boca staklena </w:t>
      </w:r>
      <w:r w:rsidRPr="00A44302">
        <w:rPr>
          <w:sz w:val="22"/>
          <w:szCs w:val="22"/>
          <w:lang w:val="sr-Latn-ME"/>
        </w:rPr>
        <w:t>od 100 ml sadrži manje od 1 mmol natrijuma (23 mg).</w:t>
      </w:r>
    </w:p>
    <w:p w14:paraId="6FD32CFD" w14:textId="77777777" w:rsidR="00F77A8D" w:rsidRPr="00A44302" w:rsidRDefault="00F77A8D" w:rsidP="00F77A8D">
      <w:pPr>
        <w:rPr>
          <w:sz w:val="22"/>
          <w:szCs w:val="22"/>
          <w:lang w:val="sr-Latn-ME"/>
        </w:rPr>
      </w:pPr>
    </w:p>
    <w:p w14:paraId="259770C7" w14:textId="1F24EB13" w:rsidR="0003793F" w:rsidRPr="00A44302" w:rsidRDefault="0003793F">
      <w:pPr>
        <w:rPr>
          <w:sz w:val="22"/>
          <w:szCs w:val="22"/>
          <w:lang w:val="sr-Latn-ME"/>
        </w:rPr>
      </w:pPr>
      <w:r w:rsidRPr="00A44302">
        <w:rPr>
          <w:sz w:val="22"/>
          <w:szCs w:val="22"/>
          <w:lang w:val="sr-Latn-ME"/>
        </w:rPr>
        <w:t>Za spisak svih ekscipijenasa, pogledati dio 6.1.</w:t>
      </w:r>
    </w:p>
    <w:p w14:paraId="665AEFA6" w14:textId="77777777" w:rsidR="00197441" w:rsidRPr="00A44302" w:rsidRDefault="00197441">
      <w:pPr>
        <w:rPr>
          <w:sz w:val="22"/>
          <w:szCs w:val="22"/>
          <w:lang w:val="sr-Latn-ME"/>
        </w:rPr>
      </w:pPr>
    </w:p>
    <w:p w14:paraId="3DCE43EE" w14:textId="77777777" w:rsidR="0003793F" w:rsidRPr="00A44302" w:rsidRDefault="0003793F">
      <w:pPr>
        <w:rPr>
          <w:sz w:val="22"/>
          <w:szCs w:val="22"/>
          <w:lang w:val="sr-Latn-ME"/>
        </w:rPr>
      </w:pPr>
    </w:p>
    <w:p w14:paraId="7B6662E2" w14:textId="77777777" w:rsidR="00411B4B" w:rsidRPr="00A44302" w:rsidRDefault="00411B4B" w:rsidP="00F5167F">
      <w:pPr>
        <w:tabs>
          <w:tab w:val="left" w:pos="540"/>
          <w:tab w:val="left" w:pos="569"/>
        </w:tabs>
        <w:rPr>
          <w:b/>
          <w:bCs/>
          <w:sz w:val="22"/>
          <w:szCs w:val="22"/>
          <w:lang w:val="sr-Latn-ME"/>
        </w:rPr>
      </w:pPr>
      <w:r w:rsidRPr="00A44302">
        <w:rPr>
          <w:b/>
          <w:bCs/>
          <w:sz w:val="22"/>
          <w:szCs w:val="22"/>
          <w:lang w:val="sr-Latn-ME"/>
        </w:rPr>
        <w:t xml:space="preserve">3. </w:t>
      </w:r>
      <w:r w:rsidR="00F5167F" w:rsidRPr="00A44302">
        <w:rPr>
          <w:b/>
          <w:bCs/>
          <w:sz w:val="22"/>
          <w:szCs w:val="22"/>
          <w:lang w:val="sr-Latn-ME"/>
        </w:rPr>
        <w:tab/>
      </w:r>
      <w:r w:rsidRPr="00A44302">
        <w:rPr>
          <w:b/>
          <w:bCs/>
          <w:sz w:val="22"/>
          <w:szCs w:val="22"/>
          <w:lang w:val="sr-Latn-ME"/>
        </w:rPr>
        <w:t>FARMACEUTSKI OBLIK</w:t>
      </w:r>
      <w:r w:rsidR="009F2D23" w:rsidRPr="00A44302">
        <w:rPr>
          <w:b/>
          <w:bCs/>
          <w:sz w:val="22"/>
          <w:szCs w:val="22"/>
          <w:lang w:val="sr-Latn-ME"/>
        </w:rPr>
        <w:t xml:space="preserve"> </w:t>
      </w:r>
    </w:p>
    <w:p w14:paraId="21EC66C6" w14:textId="77777777" w:rsidR="00411B4B" w:rsidRPr="00A44302" w:rsidRDefault="00411B4B">
      <w:pPr>
        <w:rPr>
          <w:bCs/>
          <w:sz w:val="22"/>
          <w:szCs w:val="22"/>
          <w:lang w:val="sr-Latn-ME"/>
        </w:rPr>
      </w:pPr>
    </w:p>
    <w:p w14:paraId="19EC5241" w14:textId="77777777" w:rsidR="00F77A8D" w:rsidRPr="00A44302" w:rsidRDefault="00F77A8D" w:rsidP="00F77A8D">
      <w:pPr>
        <w:rPr>
          <w:bCs/>
          <w:sz w:val="22"/>
          <w:szCs w:val="22"/>
          <w:lang w:val="sr-Latn-ME"/>
        </w:rPr>
      </w:pPr>
      <w:r w:rsidRPr="00A44302">
        <w:rPr>
          <w:bCs/>
          <w:sz w:val="22"/>
          <w:szCs w:val="22"/>
          <w:lang w:val="sr-Latn-ME"/>
        </w:rPr>
        <w:t>Rastvor za infuziju.</w:t>
      </w:r>
    </w:p>
    <w:p w14:paraId="1A1C479B" w14:textId="1F536D57" w:rsidR="00F77A8D" w:rsidRPr="00A44302" w:rsidRDefault="00F77A8D" w:rsidP="00F77A8D">
      <w:pPr>
        <w:rPr>
          <w:bCs/>
          <w:sz w:val="22"/>
          <w:szCs w:val="22"/>
          <w:lang w:val="sr-Latn-ME"/>
        </w:rPr>
      </w:pPr>
      <w:r w:rsidRPr="00A44302">
        <w:rPr>
          <w:bCs/>
          <w:sz w:val="22"/>
          <w:szCs w:val="22"/>
          <w:lang w:val="sr-Latn-ME"/>
        </w:rPr>
        <w:t>Bistar rastvor sv</w:t>
      </w:r>
      <w:r w:rsidR="009D3CE0" w:rsidRPr="00A44302">
        <w:rPr>
          <w:bCs/>
          <w:sz w:val="22"/>
          <w:szCs w:val="22"/>
          <w:lang w:val="sr-Latn-ME"/>
        </w:rPr>
        <w:t>i</w:t>
      </w:r>
      <w:r w:rsidRPr="00A44302">
        <w:rPr>
          <w:bCs/>
          <w:sz w:val="22"/>
          <w:szCs w:val="22"/>
          <w:lang w:val="sr-Latn-ME"/>
        </w:rPr>
        <w:t>jetložute boje.</w:t>
      </w:r>
    </w:p>
    <w:p w14:paraId="5E96777F" w14:textId="77777777" w:rsidR="00197441" w:rsidRPr="00A44302" w:rsidRDefault="00197441" w:rsidP="00F77A8D">
      <w:pPr>
        <w:rPr>
          <w:bCs/>
          <w:sz w:val="22"/>
          <w:szCs w:val="22"/>
          <w:lang w:val="sr-Latn-ME"/>
        </w:rPr>
      </w:pPr>
    </w:p>
    <w:p w14:paraId="052F7859" w14:textId="77777777" w:rsidR="00EC2532" w:rsidRPr="00A44302" w:rsidRDefault="00EC2532">
      <w:pPr>
        <w:rPr>
          <w:bCs/>
          <w:sz w:val="22"/>
          <w:szCs w:val="22"/>
          <w:lang w:val="sr-Latn-ME"/>
        </w:rPr>
      </w:pPr>
    </w:p>
    <w:p w14:paraId="0928AD93" w14:textId="77777777" w:rsidR="00411B4B" w:rsidRPr="00A44302" w:rsidRDefault="00411B4B" w:rsidP="00C67274">
      <w:pPr>
        <w:tabs>
          <w:tab w:val="left" w:pos="540"/>
          <w:tab w:val="left" w:pos="569"/>
        </w:tabs>
        <w:jc w:val="both"/>
        <w:rPr>
          <w:b/>
          <w:bCs/>
          <w:sz w:val="22"/>
          <w:szCs w:val="22"/>
          <w:lang w:val="sr-Latn-ME"/>
        </w:rPr>
      </w:pPr>
      <w:r w:rsidRPr="00A44302">
        <w:rPr>
          <w:b/>
          <w:bCs/>
          <w:sz w:val="22"/>
          <w:szCs w:val="22"/>
          <w:lang w:val="sr-Latn-ME"/>
        </w:rPr>
        <w:t xml:space="preserve">4. </w:t>
      </w:r>
      <w:r w:rsidR="00480FB1" w:rsidRPr="00A44302">
        <w:rPr>
          <w:b/>
          <w:bCs/>
          <w:sz w:val="22"/>
          <w:szCs w:val="22"/>
          <w:lang w:val="sr-Latn-ME"/>
        </w:rPr>
        <w:tab/>
      </w:r>
      <w:r w:rsidRPr="00A44302">
        <w:rPr>
          <w:b/>
          <w:bCs/>
          <w:sz w:val="22"/>
          <w:szCs w:val="22"/>
          <w:lang w:val="sr-Latn-ME"/>
        </w:rPr>
        <w:t>KLINIČKI PODACI</w:t>
      </w:r>
    </w:p>
    <w:p w14:paraId="78979F90" w14:textId="77777777" w:rsidR="00CD6F02" w:rsidRPr="00A44302" w:rsidRDefault="00CD6F02" w:rsidP="00C67274">
      <w:pPr>
        <w:tabs>
          <w:tab w:val="left" w:pos="540"/>
          <w:tab w:val="left" w:pos="569"/>
        </w:tabs>
        <w:jc w:val="both"/>
        <w:rPr>
          <w:bCs/>
          <w:sz w:val="22"/>
          <w:szCs w:val="22"/>
          <w:lang w:val="sr-Latn-ME"/>
        </w:rPr>
      </w:pPr>
    </w:p>
    <w:p w14:paraId="6BD15C3C" w14:textId="77777777" w:rsidR="00411B4B" w:rsidRPr="00A44302" w:rsidRDefault="00411B4B" w:rsidP="00C67274">
      <w:pPr>
        <w:tabs>
          <w:tab w:val="left" w:pos="540"/>
          <w:tab w:val="left" w:pos="569"/>
        </w:tabs>
        <w:jc w:val="both"/>
        <w:rPr>
          <w:b/>
          <w:bCs/>
          <w:sz w:val="22"/>
          <w:szCs w:val="22"/>
          <w:lang w:val="sr-Latn-ME"/>
        </w:rPr>
      </w:pPr>
      <w:r w:rsidRPr="00A44302">
        <w:rPr>
          <w:b/>
          <w:bCs/>
          <w:sz w:val="22"/>
          <w:szCs w:val="22"/>
          <w:lang w:val="sr-Latn-ME"/>
        </w:rPr>
        <w:t xml:space="preserve">4.1. </w:t>
      </w:r>
      <w:r w:rsidR="00480FB1" w:rsidRPr="00A44302">
        <w:rPr>
          <w:b/>
          <w:bCs/>
          <w:sz w:val="22"/>
          <w:szCs w:val="22"/>
          <w:lang w:val="sr-Latn-ME"/>
        </w:rPr>
        <w:tab/>
      </w:r>
      <w:r w:rsidRPr="00A44302">
        <w:rPr>
          <w:b/>
          <w:bCs/>
          <w:sz w:val="22"/>
          <w:szCs w:val="22"/>
          <w:lang w:val="sr-Latn-ME"/>
        </w:rPr>
        <w:t>Terapijske indikacije</w:t>
      </w:r>
    </w:p>
    <w:p w14:paraId="59CC4CA0" w14:textId="11C70158" w:rsidR="00411B4B" w:rsidRPr="00A44302" w:rsidRDefault="00411B4B" w:rsidP="00C67274">
      <w:pPr>
        <w:tabs>
          <w:tab w:val="left" w:pos="540"/>
          <w:tab w:val="left" w:pos="569"/>
        </w:tabs>
        <w:jc w:val="both"/>
        <w:rPr>
          <w:bCs/>
          <w:sz w:val="22"/>
          <w:szCs w:val="22"/>
          <w:lang w:val="sr-Latn-ME"/>
        </w:rPr>
      </w:pPr>
    </w:p>
    <w:p w14:paraId="6B50E5CA" w14:textId="1FEE1DAD" w:rsidR="00F77A8D" w:rsidRPr="00A44302" w:rsidRDefault="003576B5">
      <w:pPr>
        <w:tabs>
          <w:tab w:val="left" w:pos="540"/>
          <w:tab w:val="left" w:pos="569"/>
        </w:tabs>
        <w:jc w:val="both"/>
        <w:rPr>
          <w:bCs/>
          <w:sz w:val="22"/>
          <w:szCs w:val="22"/>
          <w:lang w:val="sr-Latn-ME"/>
        </w:rPr>
      </w:pPr>
      <w:r w:rsidRPr="00A44302">
        <w:rPr>
          <w:bCs/>
          <w:sz w:val="22"/>
          <w:szCs w:val="22"/>
          <w:lang w:val="sr-Latn-ME"/>
        </w:rPr>
        <w:t xml:space="preserve">Lijek </w:t>
      </w:r>
      <w:r w:rsidR="00F77A8D" w:rsidRPr="00A44302">
        <w:rPr>
          <w:bCs/>
          <w:sz w:val="22"/>
          <w:szCs w:val="22"/>
          <w:lang w:val="sr-Latn-ME"/>
        </w:rPr>
        <w:t xml:space="preserve">Paracetamol PharmaSwiss je indikovan za kratkotrajno liječenje umjereno jakih bolova, posebno nakon operacija ili za kratkotrajnu terapiju </w:t>
      </w:r>
      <w:r w:rsidR="009D3CE0" w:rsidRPr="00A44302">
        <w:rPr>
          <w:bCs/>
          <w:sz w:val="22"/>
          <w:szCs w:val="22"/>
          <w:lang w:val="sr-Latn-ME"/>
        </w:rPr>
        <w:t>povišene tjelesne temperature</w:t>
      </w:r>
      <w:r w:rsidR="00F77A8D" w:rsidRPr="00A44302">
        <w:rPr>
          <w:bCs/>
          <w:sz w:val="22"/>
          <w:szCs w:val="22"/>
          <w:lang w:val="sr-Latn-ME"/>
        </w:rPr>
        <w:t>, kada je intravenska primjena klinički opravdana hitnom potrebom da se ublaži bol ili hipertermija i/ili kada drugi načini primjene ni</w:t>
      </w:r>
      <w:r w:rsidR="005C75BE" w:rsidRPr="00A44302">
        <w:rPr>
          <w:bCs/>
          <w:sz w:val="22"/>
          <w:szCs w:val="22"/>
          <w:lang w:val="sr-Latn-ME"/>
        </w:rPr>
        <w:t>je</w:t>
      </w:r>
      <w:r w:rsidR="00F77A8D" w:rsidRPr="00A44302">
        <w:rPr>
          <w:bCs/>
          <w:sz w:val="22"/>
          <w:szCs w:val="22"/>
          <w:lang w:val="sr-Latn-ME"/>
        </w:rPr>
        <w:t>su mogući.</w:t>
      </w:r>
    </w:p>
    <w:p w14:paraId="1A8B4132" w14:textId="77777777" w:rsidR="00F77A8D" w:rsidRPr="00A44302" w:rsidRDefault="00F77A8D" w:rsidP="00C67274">
      <w:pPr>
        <w:tabs>
          <w:tab w:val="left" w:pos="540"/>
          <w:tab w:val="left" w:pos="569"/>
        </w:tabs>
        <w:jc w:val="both"/>
        <w:rPr>
          <w:bCs/>
          <w:sz w:val="22"/>
          <w:szCs w:val="22"/>
          <w:lang w:val="sr-Latn-ME"/>
        </w:rPr>
      </w:pPr>
    </w:p>
    <w:p w14:paraId="0DA48672" w14:textId="77777777" w:rsidR="00411B4B" w:rsidRPr="00A44302" w:rsidRDefault="00411B4B" w:rsidP="00C67274">
      <w:pPr>
        <w:tabs>
          <w:tab w:val="left" w:pos="540"/>
          <w:tab w:val="left" w:pos="569"/>
        </w:tabs>
        <w:jc w:val="both"/>
        <w:rPr>
          <w:b/>
          <w:bCs/>
          <w:sz w:val="22"/>
          <w:szCs w:val="22"/>
          <w:lang w:val="sr-Latn-ME"/>
        </w:rPr>
      </w:pPr>
      <w:r w:rsidRPr="00A44302">
        <w:rPr>
          <w:b/>
          <w:bCs/>
          <w:sz w:val="22"/>
          <w:szCs w:val="22"/>
          <w:lang w:val="sr-Latn-ME"/>
        </w:rPr>
        <w:t xml:space="preserve">4.2. </w:t>
      </w:r>
      <w:r w:rsidR="00480FB1" w:rsidRPr="00A44302">
        <w:rPr>
          <w:b/>
          <w:bCs/>
          <w:sz w:val="22"/>
          <w:szCs w:val="22"/>
          <w:lang w:val="sr-Latn-ME"/>
        </w:rPr>
        <w:tab/>
      </w:r>
      <w:r w:rsidRPr="00A44302">
        <w:rPr>
          <w:b/>
          <w:bCs/>
          <w:sz w:val="22"/>
          <w:szCs w:val="22"/>
          <w:lang w:val="sr-Latn-ME"/>
        </w:rPr>
        <w:t>Doziranje i način primjene</w:t>
      </w:r>
    </w:p>
    <w:p w14:paraId="7BC6819A" w14:textId="77777777" w:rsidR="0072020E" w:rsidRPr="00A44302" w:rsidRDefault="0072020E" w:rsidP="00C67274">
      <w:pPr>
        <w:tabs>
          <w:tab w:val="left" w:pos="540"/>
          <w:tab w:val="left" w:pos="569"/>
        </w:tabs>
        <w:jc w:val="both"/>
        <w:rPr>
          <w:bCs/>
          <w:sz w:val="22"/>
          <w:szCs w:val="22"/>
          <w:lang w:val="sr-Latn-ME"/>
        </w:rPr>
      </w:pPr>
    </w:p>
    <w:p w14:paraId="05BCB22B" w14:textId="77777777" w:rsidR="00F77A8D" w:rsidRPr="00A44302" w:rsidRDefault="00F77A8D">
      <w:pPr>
        <w:tabs>
          <w:tab w:val="left" w:pos="540"/>
          <w:tab w:val="left" w:pos="569"/>
        </w:tabs>
        <w:jc w:val="both"/>
        <w:rPr>
          <w:bCs/>
          <w:sz w:val="22"/>
          <w:szCs w:val="22"/>
          <w:lang w:val="sr-Latn-ME"/>
        </w:rPr>
      </w:pPr>
      <w:bookmarkStart w:id="0" w:name="_Hlk80096093"/>
      <w:r w:rsidRPr="00A44302">
        <w:rPr>
          <w:bCs/>
          <w:sz w:val="22"/>
          <w:szCs w:val="22"/>
          <w:lang w:val="sr-Latn-ME"/>
        </w:rPr>
        <w:t>Lijek se primjenjuje intravenski.</w:t>
      </w:r>
    </w:p>
    <w:bookmarkEnd w:id="0"/>
    <w:p w14:paraId="5B155EEE" w14:textId="62EFAF11" w:rsidR="003576B5" w:rsidRPr="00A44302" w:rsidRDefault="003576B5">
      <w:pPr>
        <w:tabs>
          <w:tab w:val="left" w:pos="540"/>
          <w:tab w:val="left" w:pos="569"/>
        </w:tabs>
        <w:jc w:val="both"/>
        <w:rPr>
          <w:bCs/>
          <w:color w:val="FF0000"/>
          <w:sz w:val="22"/>
          <w:szCs w:val="22"/>
          <w:lang w:val="sr-Latn-ME"/>
        </w:rPr>
      </w:pPr>
      <w:r w:rsidRPr="00A44302">
        <w:rPr>
          <w:bCs/>
          <w:sz w:val="22"/>
          <w:szCs w:val="22"/>
          <w:lang w:val="sr-Latn-ME"/>
        </w:rPr>
        <w:t xml:space="preserve">Boca od 100 ml je namijenjena </w:t>
      </w:r>
      <w:r w:rsidR="00042EAC" w:rsidRPr="00A44302">
        <w:rPr>
          <w:bCs/>
          <w:sz w:val="22"/>
          <w:szCs w:val="22"/>
          <w:lang w:val="sr-Latn-ME"/>
        </w:rPr>
        <w:t xml:space="preserve">za </w:t>
      </w:r>
      <w:r w:rsidRPr="00A44302">
        <w:rPr>
          <w:bCs/>
          <w:sz w:val="22"/>
          <w:szCs w:val="22"/>
          <w:lang w:val="sr-Latn-ME"/>
        </w:rPr>
        <w:t>liječenj</w:t>
      </w:r>
      <w:r w:rsidR="00042EAC" w:rsidRPr="00A44302">
        <w:rPr>
          <w:bCs/>
          <w:sz w:val="22"/>
          <w:szCs w:val="22"/>
          <w:lang w:val="sr-Latn-ME"/>
        </w:rPr>
        <w:t>e</w:t>
      </w:r>
      <w:r w:rsidRPr="00A44302">
        <w:rPr>
          <w:bCs/>
          <w:sz w:val="22"/>
          <w:szCs w:val="22"/>
          <w:lang w:val="sr-Latn-ME"/>
        </w:rPr>
        <w:t xml:space="preserve"> odraslih, adolescenata i djece tjelesne mase veće od 33</w:t>
      </w:r>
      <w:r w:rsidR="00042EAC" w:rsidRPr="00A44302">
        <w:rPr>
          <w:bCs/>
          <w:sz w:val="22"/>
          <w:szCs w:val="22"/>
          <w:lang w:val="sr-Latn-ME"/>
        </w:rPr>
        <w:t xml:space="preserve"> </w:t>
      </w:r>
      <w:r w:rsidRPr="00A44302">
        <w:rPr>
          <w:bCs/>
          <w:sz w:val="22"/>
          <w:szCs w:val="22"/>
          <w:lang w:val="sr-Latn-ME"/>
        </w:rPr>
        <w:t>kg.</w:t>
      </w:r>
    </w:p>
    <w:p w14:paraId="5C943FF2" w14:textId="77777777" w:rsidR="00F77A8D" w:rsidRPr="00A44302" w:rsidRDefault="00F77A8D" w:rsidP="00C67274">
      <w:pPr>
        <w:tabs>
          <w:tab w:val="left" w:pos="540"/>
          <w:tab w:val="left" w:pos="569"/>
        </w:tabs>
        <w:jc w:val="both"/>
        <w:rPr>
          <w:bCs/>
          <w:sz w:val="22"/>
          <w:szCs w:val="22"/>
          <w:u w:val="single"/>
          <w:lang w:val="sr-Latn-ME"/>
        </w:rPr>
      </w:pPr>
    </w:p>
    <w:p w14:paraId="0966E803" w14:textId="185E82E8" w:rsidR="00452E9D" w:rsidRPr="00A44302" w:rsidRDefault="00452E9D" w:rsidP="00C67274">
      <w:pPr>
        <w:tabs>
          <w:tab w:val="left" w:pos="540"/>
          <w:tab w:val="left" w:pos="569"/>
        </w:tabs>
        <w:jc w:val="both"/>
        <w:rPr>
          <w:bCs/>
          <w:sz w:val="22"/>
          <w:szCs w:val="22"/>
          <w:u w:val="single"/>
          <w:lang w:val="sr-Latn-ME"/>
        </w:rPr>
      </w:pPr>
      <w:r w:rsidRPr="00A44302">
        <w:rPr>
          <w:bCs/>
          <w:sz w:val="22"/>
          <w:szCs w:val="22"/>
          <w:u w:val="single"/>
          <w:lang w:val="sr-Latn-ME"/>
        </w:rPr>
        <w:t>Doziranje</w:t>
      </w:r>
    </w:p>
    <w:p w14:paraId="7CD0BA4C" w14:textId="77777777" w:rsidR="00F77A8D" w:rsidRPr="00A44302" w:rsidRDefault="00F77A8D" w:rsidP="00C67274">
      <w:pPr>
        <w:tabs>
          <w:tab w:val="left" w:pos="540"/>
          <w:tab w:val="left" w:pos="569"/>
        </w:tabs>
        <w:jc w:val="both"/>
        <w:rPr>
          <w:bCs/>
          <w:sz w:val="22"/>
          <w:szCs w:val="22"/>
          <w:u w:val="single"/>
          <w:lang w:val="sr-Latn-ME"/>
        </w:rPr>
      </w:pPr>
    </w:p>
    <w:p w14:paraId="23594BE6" w14:textId="77777777" w:rsidR="00F77A8D" w:rsidRPr="00A44302" w:rsidRDefault="00F77A8D">
      <w:pPr>
        <w:pStyle w:val="Header"/>
        <w:tabs>
          <w:tab w:val="left" w:pos="284"/>
        </w:tabs>
        <w:jc w:val="both"/>
        <w:rPr>
          <w:sz w:val="22"/>
          <w:szCs w:val="22"/>
          <w:lang w:val="sr-Latn-ME"/>
        </w:rPr>
      </w:pPr>
      <w:r w:rsidRPr="00A44302">
        <w:rPr>
          <w:sz w:val="22"/>
          <w:szCs w:val="22"/>
          <w:lang w:val="sr-Latn-ME"/>
        </w:rPr>
        <w:t xml:space="preserve">Doziranje na osnovu  tjelesne mase pacijenata (vidjeti tabelu za doziranje u nastavku). </w:t>
      </w:r>
    </w:p>
    <w:p w14:paraId="33C16F20" w14:textId="77777777" w:rsidR="00F77A8D" w:rsidRPr="00A44302" w:rsidRDefault="00F77A8D">
      <w:pPr>
        <w:tabs>
          <w:tab w:val="left" w:pos="540"/>
          <w:tab w:val="left" w:pos="569"/>
        </w:tabs>
        <w:jc w:val="both"/>
        <w:rPr>
          <w:bCs/>
          <w:sz w:val="22"/>
          <w:szCs w:val="22"/>
          <w:u w:val="single"/>
          <w:lang w:val="sr-Latn-ME"/>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19"/>
        <w:gridCol w:w="1991"/>
        <w:gridCol w:w="1992"/>
        <w:gridCol w:w="1992"/>
      </w:tblGrid>
      <w:tr w:rsidR="00F77A8D" w:rsidRPr="00A44302" w14:paraId="04B60694" w14:textId="77777777" w:rsidTr="0072545C">
        <w:tc>
          <w:tcPr>
            <w:tcW w:w="2263" w:type="dxa"/>
            <w:shd w:val="clear" w:color="auto" w:fill="auto"/>
          </w:tcPr>
          <w:p w14:paraId="1ED0FDC9" w14:textId="77777777" w:rsidR="00F77A8D" w:rsidRPr="00A44302" w:rsidRDefault="00F77A8D" w:rsidP="00C67274">
            <w:pPr>
              <w:pStyle w:val="Header"/>
              <w:tabs>
                <w:tab w:val="left" w:pos="284"/>
              </w:tabs>
              <w:jc w:val="both"/>
              <w:rPr>
                <w:b/>
                <w:sz w:val="22"/>
                <w:szCs w:val="22"/>
                <w:lang w:val="sr-Latn-ME"/>
              </w:rPr>
            </w:pPr>
            <w:r w:rsidRPr="00A44302">
              <w:rPr>
                <w:b/>
                <w:sz w:val="22"/>
                <w:szCs w:val="22"/>
                <w:lang w:val="sr-Latn-ME"/>
              </w:rPr>
              <w:t>Tjelesna masa pacijenta</w:t>
            </w:r>
          </w:p>
        </w:tc>
        <w:tc>
          <w:tcPr>
            <w:tcW w:w="1719" w:type="dxa"/>
            <w:shd w:val="clear" w:color="auto" w:fill="auto"/>
          </w:tcPr>
          <w:p w14:paraId="52A4D5B8" w14:textId="77777777" w:rsidR="00F77A8D" w:rsidRPr="00A44302" w:rsidRDefault="00F77A8D" w:rsidP="00C67274">
            <w:pPr>
              <w:pStyle w:val="Header"/>
              <w:tabs>
                <w:tab w:val="left" w:pos="284"/>
              </w:tabs>
              <w:jc w:val="both"/>
              <w:rPr>
                <w:b/>
                <w:sz w:val="22"/>
                <w:szCs w:val="22"/>
                <w:lang w:val="sr-Latn-ME"/>
              </w:rPr>
            </w:pPr>
            <w:r w:rsidRPr="00A44302">
              <w:rPr>
                <w:b/>
                <w:sz w:val="22"/>
                <w:szCs w:val="22"/>
                <w:lang w:val="sr-Latn-ME"/>
              </w:rPr>
              <w:t>Pojedinačna doza</w:t>
            </w:r>
          </w:p>
        </w:tc>
        <w:tc>
          <w:tcPr>
            <w:tcW w:w="1991" w:type="dxa"/>
            <w:shd w:val="clear" w:color="auto" w:fill="auto"/>
          </w:tcPr>
          <w:p w14:paraId="18A7DB8C" w14:textId="77777777" w:rsidR="00F77A8D" w:rsidRPr="00A44302" w:rsidRDefault="00F77A8D" w:rsidP="00C67274">
            <w:pPr>
              <w:pStyle w:val="Header"/>
              <w:tabs>
                <w:tab w:val="left" w:pos="284"/>
              </w:tabs>
              <w:jc w:val="both"/>
              <w:rPr>
                <w:b/>
                <w:sz w:val="22"/>
                <w:szCs w:val="22"/>
                <w:lang w:val="sr-Latn-ME"/>
              </w:rPr>
            </w:pPr>
            <w:r w:rsidRPr="00A44302">
              <w:rPr>
                <w:b/>
                <w:bCs/>
                <w:sz w:val="22"/>
                <w:szCs w:val="22"/>
                <w:lang w:val="sr-Latn-ME"/>
              </w:rPr>
              <w:t>Zapremina pojedinačne doze</w:t>
            </w:r>
          </w:p>
        </w:tc>
        <w:tc>
          <w:tcPr>
            <w:tcW w:w="1992" w:type="dxa"/>
            <w:shd w:val="clear" w:color="auto" w:fill="auto"/>
          </w:tcPr>
          <w:p w14:paraId="7A9E4C51" w14:textId="77777777" w:rsidR="00F77A8D" w:rsidRPr="00A44302" w:rsidRDefault="00F77A8D" w:rsidP="00C67274">
            <w:pPr>
              <w:pStyle w:val="Header"/>
              <w:jc w:val="both"/>
              <w:rPr>
                <w:b/>
                <w:bCs/>
                <w:sz w:val="22"/>
                <w:szCs w:val="22"/>
                <w:lang w:val="sr-Latn-ME"/>
              </w:rPr>
            </w:pPr>
            <w:r w:rsidRPr="00A44302">
              <w:rPr>
                <w:b/>
                <w:bCs/>
                <w:sz w:val="22"/>
                <w:szCs w:val="22"/>
                <w:lang w:val="sr-Latn-ME"/>
              </w:rPr>
              <w:t>Maksimalna zapremina pojedinačne doze lijeka Paracetamol PharmaSwiss (10 mg/ml) zasnovana na</w:t>
            </w:r>
          </w:p>
          <w:p w14:paraId="25E2C40D" w14:textId="77777777" w:rsidR="00F77A8D" w:rsidRPr="00A44302" w:rsidRDefault="00F77A8D" w:rsidP="00C67274">
            <w:pPr>
              <w:pStyle w:val="Header"/>
              <w:jc w:val="both"/>
              <w:rPr>
                <w:b/>
                <w:bCs/>
                <w:sz w:val="22"/>
                <w:szCs w:val="22"/>
                <w:lang w:val="sr-Latn-ME"/>
              </w:rPr>
            </w:pPr>
            <w:r w:rsidRPr="00A44302">
              <w:rPr>
                <w:b/>
                <w:bCs/>
                <w:sz w:val="22"/>
                <w:szCs w:val="22"/>
                <w:lang w:val="sr-Latn-ME"/>
              </w:rPr>
              <w:t xml:space="preserve">gornjoj granici tjelesne mase grupe (ml) </w:t>
            </w:r>
            <w:r w:rsidRPr="00A44302">
              <w:rPr>
                <w:b/>
                <w:bCs/>
                <w:sz w:val="22"/>
                <w:szCs w:val="22"/>
                <w:vertAlign w:val="superscript"/>
                <w:lang w:val="sr-Latn-ME"/>
              </w:rPr>
              <w:t>**</w:t>
            </w:r>
          </w:p>
        </w:tc>
        <w:tc>
          <w:tcPr>
            <w:tcW w:w="1992" w:type="dxa"/>
            <w:shd w:val="clear" w:color="auto" w:fill="auto"/>
          </w:tcPr>
          <w:p w14:paraId="0787EDAF" w14:textId="77777777" w:rsidR="00F77A8D" w:rsidRPr="00A44302" w:rsidRDefault="00F77A8D" w:rsidP="00C67274">
            <w:pPr>
              <w:pStyle w:val="Header"/>
              <w:tabs>
                <w:tab w:val="left" w:pos="284"/>
              </w:tabs>
              <w:jc w:val="both"/>
              <w:rPr>
                <w:b/>
                <w:sz w:val="22"/>
                <w:szCs w:val="22"/>
                <w:lang w:val="sr-Latn-ME"/>
              </w:rPr>
            </w:pPr>
            <w:r w:rsidRPr="00A44302">
              <w:rPr>
                <w:b/>
                <w:bCs/>
                <w:sz w:val="22"/>
                <w:szCs w:val="22"/>
                <w:lang w:val="sr-Latn-ME"/>
              </w:rPr>
              <w:t>Maksimalna dnevna doza ***</w:t>
            </w:r>
          </w:p>
        </w:tc>
      </w:tr>
      <w:tr w:rsidR="00F77A8D" w:rsidRPr="00A44302" w14:paraId="64D67098" w14:textId="77777777" w:rsidTr="0072545C">
        <w:tc>
          <w:tcPr>
            <w:tcW w:w="2263" w:type="dxa"/>
            <w:shd w:val="clear" w:color="auto" w:fill="auto"/>
          </w:tcPr>
          <w:p w14:paraId="5627117D" w14:textId="77777777" w:rsidR="00F77A8D" w:rsidRPr="00A44302" w:rsidRDefault="00F77A8D" w:rsidP="00C67274">
            <w:pPr>
              <w:pStyle w:val="Header"/>
              <w:tabs>
                <w:tab w:val="left" w:pos="284"/>
              </w:tabs>
              <w:jc w:val="both"/>
              <w:rPr>
                <w:b/>
                <w:sz w:val="22"/>
                <w:szCs w:val="22"/>
                <w:lang w:val="sr-Latn-ME"/>
              </w:rPr>
            </w:pPr>
            <w:r w:rsidRPr="00A44302">
              <w:rPr>
                <w:b/>
                <w:sz w:val="22"/>
                <w:szCs w:val="22"/>
                <w:lang w:val="sr-Latn-ME"/>
              </w:rPr>
              <w:lastRenderedPageBreak/>
              <w:t>≤ 10 kg *</w:t>
            </w:r>
          </w:p>
        </w:tc>
        <w:tc>
          <w:tcPr>
            <w:tcW w:w="1719" w:type="dxa"/>
            <w:shd w:val="clear" w:color="auto" w:fill="auto"/>
          </w:tcPr>
          <w:p w14:paraId="33D6CB51" w14:textId="77777777" w:rsidR="00F77A8D" w:rsidRPr="00A44302" w:rsidRDefault="00F77A8D" w:rsidP="00C67274">
            <w:pPr>
              <w:pStyle w:val="Header"/>
              <w:tabs>
                <w:tab w:val="left" w:pos="284"/>
              </w:tabs>
              <w:jc w:val="both"/>
              <w:rPr>
                <w:sz w:val="22"/>
                <w:szCs w:val="22"/>
                <w:lang w:val="sr-Latn-ME"/>
              </w:rPr>
            </w:pPr>
            <w:r w:rsidRPr="00A44302">
              <w:rPr>
                <w:sz w:val="22"/>
                <w:szCs w:val="22"/>
                <w:lang w:val="sr-Latn-ME"/>
              </w:rPr>
              <w:t>7,5 mg/kg</w:t>
            </w:r>
          </w:p>
        </w:tc>
        <w:tc>
          <w:tcPr>
            <w:tcW w:w="1991" w:type="dxa"/>
            <w:shd w:val="clear" w:color="auto" w:fill="auto"/>
          </w:tcPr>
          <w:p w14:paraId="5242B346" w14:textId="77777777" w:rsidR="00F77A8D" w:rsidRPr="00A44302" w:rsidRDefault="00F77A8D" w:rsidP="00C67274">
            <w:pPr>
              <w:pStyle w:val="Header"/>
              <w:tabs>
                <w:tab w:val="left" w:pos="284"/>
              </w:tabs>
              <w:jc w:val="both"/>
              <w:rPr>
                <w:bCs/>
                <w:sz w:val="22"/>
                <w:szCs w:val="22"/>
                <w:lang w:val="sr-Latn-ME"/>
              </w:rPr>
            </w:pPr>
            <w:r w:rsidRPr="00A44302">
              <w:rPr>
                <w:bCs/>
                <w:sz w:val="22"/>
                <w:szCs w:val="22"/>
                <w:lang w:val="sr-Latn-ME"/>
              </w:rPr>
              <w:t>0,75 ml/kg</w:t>
            </w:r>
          </w:p>
        </w:tc>
        <w:tc>
          <w:tcPr>
            <w:tcW w:w="1992" w:type="dxa"/>
            <w:shd w:val="clear" w:color="auto" w:fill="auto"/>
          </w:tcPr>
          <w:p w14:paraId="63E45DE4" w14:textId="77777777" w:rsidR="00F77A8D" w:rsidRPr="00A44302" w:rsidRDefault="00F77A8D" w:rsidP="00C67274">
            <w:pPr>
              <w:pStyle w:val="Header"/>
              <w:jc w:val="both"/>
              <w:rPr>
                <w:bCs/>
                <w:sz w:val="22"/>
                <w:szCs w:val="22"/>
                <w:lang w:val="sr-Latn-ME"/>
              </w:rPr>
            </w:pPr>
            <w:r w:rsidRPr="00A44302">
              <w:rPr>
                <w:bCs/>
                <w:sz w:val="22"/>
                <w:szCs w:val="22"/>
                <w:lang w:val="sr-Latn-ME"/>
              </w:rPr>
              <w:t>7,5 ml</w:t>
            </w:r>
          </w:p>
        </w:tc>
        <w:tc>
          <w:tcPr>
            <w:tcW w:w="1992" w:type="dxa"/>
            <w:shd w:val="clear" w:color="auto" w:fill="auto"/>
          </w:tcPr>
          <w:p w14:paraId="4AF2EF62" w14:textId="77777777" w:rsidR="00F77A8D" w:rsidRPr="00A44302" w:rsidRDefault="00F77A8D" w:rsidP="00C67274">
            <w:pPr>
              <w:pStyle w:val="Header"/>
              <w:tabs>
                <w:tab w:val="left" w:pos="284"/>
              </w:tabs>
              <w:jc w:val="both"/>
              <w:rPr>
                <w:bCs/>
                <w:sz w:val="22"/>
                <w:szCs w:val="22"/>
                <w:lang w:val="sr-Latn-ME"/>
              </w:rPr>
            </w:pPr>
            <w:r w:rsidRPr="00A44302">
              <w:rPr>
                <w:bCs/>
                <w:sz w:val="22"/>
                <w:szCs w:val="22"/>
                <w:lang w:val="sr-Latn-ME"/>
              </w:rPr>
              <w:t>30 mg/kg</w:t>
            </w:r>
          </w:p>
        </w:tc>
      </w:tr>
      <w:tr w:rsidR="00F77A8D" w:rsidRPr="00A44302" w14:paraId="770555FD" w14:textId="77777777" w:rsidTr="0072545C">
        <w:tc>
          <w:tcPr>
            <w:tcW w:w="2263" w:type="dxa"/>
            <w:shd w:val="clear" w:color="auto" w:fill="auto"/>
          </w:tcPr>
          <w:p w14:paraId="11AA69F0" w14:textId="77777777" w:rsidR="00F77A8D" w:rsidRPr="00A44302" w:rsidRDefault="00F77A8D" w:rsidP="00C67274">
            <w:pPr>
              <w:pStyle w:val="Header"/>
              <w:jc w:val="both"/>
              <w:rPr>
                <w:b/>
                <w:sz w:val="22"/>
                <w:szCs w:val="22"/>
                <w:lang w:val="sr-Latn-ME"/>
              </w:rPr>
            </w:pPr>
            <w:r w:rsidRPr="00A44302">
              <w:rPr>
                <w:b/>
                <w:sz w:val="22"/>
                <w:szCs w:val="22"/>
                <w:lang w:val="sr-Latn-ME"/>
              </w:rPr>
              <w:t>&gt; 10 kg do ≤ 33 kg</w:t>
            </w:r>
          </w:p>
        </w:tc>
        <w:tc>
          <w:tcPr>
            <w:tcW w:w="1719" w:type="dxa"/>
            <w:shd w:val="clear" w:color="auto" w:fill="auto"/>
          </w:tcPr>
          <w:p w14:paraId="51AED32F" w14:textId="77777777" w:rsidR="00F77A8D" w:rsidRPr="00A44302" w:rsidRDefault="00F77A8D" w:rsidP="00C67274">
            <w:pPr>
              <w:pStyle w:val="Header"/>
              <w:tabs>
                <w:tab w:val="left" w:pos="284"/>
              </w:tabs>
              <w:jc w:val="both"/>
              <w:rPr>
                <w:sz w:val="22"/>
                <w:szCs w:val="22"/>
                <w:lang w:val="sr-Latn-ME"/>
              </w:rPr>
            </w:pPr>
            <w:r w:rsidRPr="00A44302">
              <w:rPr>
                <w:sz w:val="22"/>
                <w:szCs w:val="22"/>
                <w:lang w:val="sr-Latn-ME"/>
              </w:rPr>
              <w:t>15 mg/kg</w:t>
            </w:r>
          </w:p>
        </w:tc>
        <w:tc>
          <w:tcPr>
            <w:tcW w:w="1991" w:type="dxa"/>
            <w:shd w:val="clear" w:color="auto" w:fill="auto"/>
          </w:tcPr>
          <w:p w14:paraId="3AE8985A" w14:textId="77777777" w:rsidR="00F77A8D" w:rsidRPr="00A44302" w:rsidRDefault="00F77A8D" w:rsidP="00C67274">
            <w:pPr>
              <w:pStyle w:val="Header"/>
              <w:tabs>
                <w:tab w:val="left" w:pos="284"/>
              </w:tabs>
              <w:jc w:val="both"/>
              <w:rPr>
                <w:bCs/>
                <w:sz w:val="22"/>
                <w:szCs w:val="22"/>
                <w:lang w:val="sr-Latn-ME"/>
              </w:rPr>
            </w:pPr>
            <w:r w:rsidRPr="00A44302">
              <w:rPr>
                <w:bCs/>
                <w:sz w:val="22"/>
                <w:szCs w:val="22"/>
                <w:lang w:val="sr-Latn-ME"/>
              </w:rPr>
              <w:t>1,5 ml/kg</w:t>
            </w:r>
          </w:p>
        </w:tc>
        <w:tc>
          <w:tcPr>
            <w:tcW w:w="1992" w:type="dxa"/>
            <w:shd w:val="clear" w:color="auto" w:fill="auto"/>
          </w:tcPr>
          <w:p w14:paraId="08298C37" w14:textId="77777777" w:rsidR="00F77A8D" w:rsidRPr="00A44302" w:rsidRDefault="00F77A8D" w:rsidP="00C67274">
            <w:pPr>
              <w:pStyle w:val="Header"/>
              <w:jc w:val="both"/>
              <w:rPr>
                <w:bCs/>
                <w:sz w:val="22"/>
                <w:szCs w:val="22"/>
                <w:lang w:val="sr-Latn-ME"/>
              </w:rPr>
            </w:pPr>
            <w:r w:rsidRPr="00A44302">
              <w:rPr>
                <w:bCs/>
                <w:sz w:val="22"/>
                <w:szCs w:val="22"/>
                <w:lang w:val="sr-Latn-ME"/>
              </w:rPr>
              <w:t>49,5 ml</w:t>
            </w:r>
          </w:p>
        </w:tc>
        <w:tc>
          <w:tcPr>
            <w:tcW w:w="1992" w:type="dxa"/>
            <w:shd w:val="clear" w:color="auto" w:fill="auto"/>
          </w:tcPr>
          <w:p w14:paraId="3CF4D373" w14:textId="77777777" w:rsidR="00F77A8D" w:rsidRPr="00A44302" w:rsidRDefault="00F77A8D" w:rsidP="00C67274">
            <w:pPr>
              <w:pStyle w:val="Header"/>
              <w:jc w:val="both"/>
              <w:rPr>
                <w:bCs/>
                <w:sz w:val="22"/>
                <w:szCs w:val="22"/>
                <w:lang w:val="sr-Latn-ME"/>
              </w:rPr>
            </w:pPr>
            <w:r w:rsidRPr="00A44302">
              <w:rPr>
                <w:bCs/>
                <w:sz w:val="22"/>
                <w:szCs w:val="22"/>
                <w:lang w:val="sr-Latn-ME"/>
              </w:rPr>
              <w:t>60 mg/kg pri čemu</w:t>
            </w:r>
          </w:p>
          <w:p w14:paraId="1760C8D5" w14:textId="77777777" w:rsidR="00F77A8D" w:rsidRPr="00A44302" w:rsidRDefault="00F77A8D" w:rsidP="00C67274">
            <w:pPr>
              <w:pStyle w:val="Header"/>
              <w:jc w:val="both"/>
              <w:rPr>
                <w:bCs/>
                <w:sz w:val="22"/>
                <w:szCs w:val="22"/>
                <w:lang w:val="sr-Latn-ME"/>
              </w:rPr>
            </w:pPr>
            <w:r w:rsidRPr="00A44302">
              <w:rPr>
                <w:bCs/>
                <w:sz w:val="22"/>
                <w:szCs w:val="22"/>
                <w:lang w:val="sr-Latn-ME"/>
              </w:rPr>
              <w:t>ukupna doza ne smije preći 2 g</w:t>
            </w:r>
          </w:p>
        </w:tc>
      </w:tr>
      <w:tr w:rsidR="00F77A8D" w:rsidRPr="00A44302" w14:paraId="791B04D6" w14:textId="77777777" w:rsidTr="0072545C">
        <w:tc>
          <w:tcPr>
            <w:tcW w:w="2263" w:type="dxa"/>
            <w:shd w:val="clear" w:color="auto" w:fill="auto"/>
          </w:tcPr>
          <w:p w14:paraId="22C0B71C" w14:textId="77777777" w:rsidR="00F77A8D" w:rsidRPr="00A44302" w:rsidRDefault="00F77A8D" w:rsidP="00C67274">
            <w:pPr>
              <w:pStyle w:val="Header"/>
              <w:tabs>
                <w:tab w:val="left" w:pos="284"/>
              </w:tabs>
              <w:jc w:val="both"/>
              <w:rPr>
                <w:b/>
                <w:sz w:val="22"/>
                <w:szCs w:val="22"/>
                <w:lang w:val="sr-Latn-ME"/>
              </w:rPr>
            </w:pPr>
            <w:r w:rsidRPr="00A44302">
              <w:rPr>
                <w:b/>
                <w:bCs/>
                <w:sz w:val="22"/>
                <w:szCs w:val="22"/>
                <w:lang w:val="sr-Latn-ME"/>
              </w:rPr>
              <w:t>&gt; 33 kg do ≤ 50kg</w:t>
            </w:r>
          </w:p>
        </w:tc>
        <w:tc>
          <w:tcPr>
            <w:tcW w:w="1719" w:type="dxa"/>
            <w:shd w:val="clear" w:color="auto" w:fill="auto"/>
          </w:tcPr>
          <w:p w14:paraId="563D6BBC"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15 mg/kg</w:t>
            </w:r>
          </w:p>
        </w:tc>
        <w:tc>
          <w:tcPr>
            <w:tcW w:w="1991" w:type="dxa"/>
            <w:shd w:val="clear" w:color="auto" w:fill="auto"/>
          </w:tcPr>
          <w:p w14:paraId="0D5AFED7"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1,5 ml/kg</w:t>
            </w:r>
          </w:p>
        </w:tc>
        <w:tc>
          <w:tcPr>
            <w:tcW w:w="1992" w:type="dxa"/>
            <w:shd w:val="clear" w:color="auto" w:fill="auto"/>
          </w:tcPr>
          <w:p w14:paraId="76EF3506"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75 ml</w:t>
            </w:r>
          </w:p>
        </w:tc>
        <w:tc>
          <w:tcPr>
            <w:tcW w:w="1992" w:type="dxa"/>
            <w:shd w:val="clear" w:color="auto" w:fill="auto"/>
          </w:tcPr>
          <w:p w14:paraId="51D22CDA" w14:textId="77777777" w:rsidR="00F77A8D" w:rsidRPr="00A44302" w:rsidRDefault="00F77A8D" w:rsidP="00C67274">
            <w:pPr>
              <w:pStyle w:val="Header"/>
              <w:jc w:val="both"/>
              <w:rPr>
                <w:sz w:val="22"/>
                <w:szCs w:val="22"/>
                <w:lang w:val="sr-Latn-ME"/>
              </w:rPr>
            </w:pPr>
            <w:r w:rsidRPr="00A44302">
              <w:rPr>
                <w:sz w:val="22"/>
                <w:szCs w:val="22"/>
                <w:lang w:val="sr-Latn-ME"/>
              </w:rPr>
              <w:t>60 mg/kg pri čemu</w:t>
            </w:r>
          </w:p>
          <w:p w14:paraId="070F82D6" w14:textId="77777777" w:rsidR="00F77A8D" w:rsidRPr="00A44302" w:rsidRDefault="00F77A8D" w:rsidP="00C67274">
            <w:pPr>
              <w:pStyle w:val="Header"/>
              <w:jc w:val="both"/>
              <w:rPr>
                <w:sz w:val="22"/>
                <w:szCs w:val="22"/>
                <w:lang w:val="sr-Latn-ME"/>
              </w:rPr>
            </w:pPr>
            <w:r w:rsidRPr="00A44302">
              <w:rPr>
                <w:sz w:val="22"/>
                <w:szCs w:val="22"/>
                <w:lang w:val="sr-Latn-ME"/>
              </w:rPr>
              <w:t>ukupna doza ne smije preći 3 g</w:t>
            </w:r>
          </w:p>
        </w:tc>
      </w:tr>
      <w:tr w:rsidR="00F77A8D" w:rsidRPr="00A44302" w14:paraId="0334C109" w14:textId="77777777" w:rsidTr="0072545C">
        <w:tc>
          <w:tcPr>
            <w:tcW w:w="2263" w:type="dxa"/>
            <w:shd w:val="clear" w:color="auto" w:fill="auto"/>
          </w:tcPr>
          <w:p w14:paraId="77ED10E1" w14:textId="77777777" w:rsidR="00F77A8D" w:rsidRPr="00A44302" w:rsidRDefault="00F77A8D" w:rsidP="00C67274">
            <w:pPr>
              <w:pStyle w:val="Header"/>
              <w:tabs>
                <w:tab w:val="left" w:pos="284"/>
              </w:tabs>
              <w:jc w:val="both"/>
              <w:rPr>
                <w:b/>
                <w:sz w:val="22"/>
                <w:szCs w:val="22"/>
                <w:lang w:val="sr-Latn-ME"/>
              </w:rPr>
            </w:pPr>
            <w:r w:rsidRPr="00A44302">
              <w:rPr>
                <w:b/>
                <w:bCs/>
                <w:sz w:val="22"/>
                <w:szCs w:val="22"/>
                <w:lang w:val="sr-Latn-ME"/>
              </w:rPr>
              <w:t>&gt; 50 kg sa dodatnim faktorima rizika za hepatotoksičnost</w:t>
            </w:r>
          </w:p>
        </w:tc>
        <w:tc>
          <w:tcPr>
            <w:tcW w:w="1719" w:type="dxa"/>
            <w:shd w:val="clear" w:color="auto" w:fill="auto"/>
          </w:tcPr>
          <w:p w14:paraId="5CAD6D6A"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 g</w:t>
            </w:r>
          </w:p>
        </w:tc>
        <w:tc>
          <w:tcPr>
            <w:tcW w:w="1991" w:type="dxa"/>
            <w:shd w:val="clear" w:color="auto" w:fill="auto"/>
          </w:tcPr>
          <w:p w14:paraId="044B6815"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100 ml</w:t>
            </w:r>
          </w:p>
        </w:tc>
        <w:tc>
          <w:tcPr>
            <w:tcW w:w="1992" w:type="dxa"/>
            <w:shd w:val="clear" w:color="auto" w:fill="auto"/>
          </w:tcPr>
          <w:p w14:paraId="5BE4A8AC"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100 ml</w:t>
            </w:r>
          </w:p>
        </w:tc>
        <w:tc>
          <w:tcPr>
            <w:tcW w:w="1992" w:type="dxa"/>
            <w:shd w:val="clear" w:color="auto" w:fill="auto"/>
          </w:tcPr>
          <w:p w14:paraId="6E27AD6B"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3 g</w:t>
            </w:r>
          </w:p>
        </w:tc>
      </w:tr>
      <w:tr w:rsidR="00F77A8D" w:rsidRPr="00A44302" w14:paraId="0A1D3C0D" w14:textId="77777777" w:rsidTr="0072545C">
        <w:tc>
          <w:tcPr>
            <w:tcW w:w="2263" w:type="dxa"/>
            <w:shd w:val="clear" w:color="auto" w:fill="auto"/>
          </w:tcPr>
          <w:p w14:paraId="19DE1DC2" w14:textId="77777777" w:rsidR="00F77A8D" w:rsidRPr="00A44302" w:rsidRDefault="00F77A8D" w:rsidP="00C67274">
            <w:pPr>
              <w:pStyle w:val="Header"/>
              <w:tabs>
                <w:tab w:val="left" w:pos="284"/>
              </w:tabs>
              <w:jc w:val="both"/>
              <w:rPr>
                <w:b/>
                <w:sz w:val="22"/>
                <w:szCs w:val="22"/>
                <w:lang w:val="sr-Latn-ME"/>
              </w:rPr>
            </w:pPr>
            <w:r w:rsidRPr="00A44302">
              <w:rPr>
                <w:b/>
                <w:bCs/>
                <w:sz w:val="22"/>
                <w:szCs w:val="22"/>
                <w:lang w:val="sr-Latn-ME"/>
              </w:rPr>
              <w:t>&gt; 50 kg bez dodatnih faktora rizika za hepatotoksičnost</w:t>
            </w:r>
          </w:p>
        </w:tc>
        <w:tc>
          <w:tcPr>
            <w:tcW w:w="1719" w:type="dxa"/>
            <w:shd w:val="clear" w:color="auto" w:fill="auto"/>
          </w:tcPr>
          <w:p w14:paraId="79286AC0"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 g</w:t>
            </w:r>
          </w:p>
        </w:tc>
        <w:tc>
          <w:tcPr>
            <w:tcW w:w="1991" w:type="dxa"/>
            <w:shd w:val="clear" w:color="auto" w:fill="auto"/>
          </w:tcPr>
          <w:p w14:paraId="1E943F57"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100 ml</w:t>
            </w:r>
          </w:p>
        </w:tc>
        <w:tc>
          <w:tcPr>
            <w:tcW w:w="1992" w:type="dxa"/>
            <w:shd w:val="clear" w:color="auto" w:fill="auto"/>
          </w:tcPr>
          <w:p w14:paraId="384E9C30"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100 ml</w:t>
            </w:r>
          </w:p>
        </w:tc>
        <w:tc>
          <w:tcPr>
            <w:tcW w:w="1992" w:type="dxa"/>
            <w:shd w:val="clear" w:color="auto" w:fill="auto"/>
          </w:tcPr>
          <w:p w14:paraId="3ACA9E07" w14:textId="77777777" w:rsidR="00F77A8D" w:rsidRPr="00A44302" w:rsidRDefault="00F77A8D" w:rsidP="00C67274">
            <w:pPr>
              <w:pStyle w:val="Header"/>
              <w:tabs>
                <w:tab w:val="left" w:pos="284"/>
              </w:tabs>
              <w:jc w:val="both"/>
              <w:rPr>
                <w:b/>
                <w:sz w:val="22"/>
                <w:szCs w:val="22"/>
                <w:lang w:val="sr-Latn-ME"/>
              </w:rPr>
            </w:pPr>
            <w:r w:rsidRPr="00A44302">
              <w:rPr>
                <w:sz w:val="22"/>
                <w:szCs w:val="22"/>
                <w:lang w:val="sr-Latn-ME"/>
              </w:rPr>
              <w:t>4 g</w:t>
            </w:r>
          </w:p>
        </w:tc>
      </w:tr>
    </w:tbl>
    <w:p w14:paraId="1E957978" w14:textId="54AFCC7C" w:rsidR="00F77A8D" w:rsidRPr="00A44302" w:rsidRDefault="00F77A8D">
      <w:pPr>
        <w:pStyle w:val="Header"/>
        <w:jc w:val="both"/>
        <w:rPr>
          <w:sz w:val="22"/>
          <w:szCs w:val="22"/>
          <w:lang w:val="sr-Latn-ME"/>
        </w:rPr>
      </w:pPr>
      <w:r w:rsidRPr="00A44302">
        <w:rPr>
          <w:sz w:val="22"/>
          <w:szCs w:val="22"/>
          <w:lang w:val="sr-Latn-ME"/>
        </w:rPr>
        <w:t xml:space="preserve">* </w:t>
      </w:r>
      <w:r w:rsidRPr="00A44302">
        <w:rPr>
          <w:b/>
          <w:sz w:val="22"/>
          <w:szCs w:val="22"/>
          <w:lang w:val="sr-Latn-ME"/>
        </w:rPr>
        <w:t>Prijevremeno rođena djeca:</w:t>
      </w:r>
      <w:r w:rsidRPr="00A44302">
        <w:rPr>
          <w:sz w:val="22"/>
          <w:szCs w:val="22"/>
          <w:lang w:val="sr-Latn-ME"/>
        </w:rPr>
        <w:t xml:space="preserve"> Nema dostupnih podataka o bezbjednosti i efikasnosti lijeka prilikom primjene kod prijevremeno rođene djece (vidjeti </w:t>
      </w:r>
      <w:r w:rsidR="005C75BE" w:rsidRPr="00A44302">
        <w:rPr>
          <w:sz w:val="22"/>
          <w:szCs w:val="22"/>
          <w:lang w:val="sr-Latn-ME"/>
        </w:rPr>
        <w:t>dio</w:t>
      </w:r>
      <w:r w:rsidRPr="00A44302">
        <w:rPr>
          <w:sz w:val="22"/>
          <w:szCs w:val="22"/>
          <w:lang w:val="sr-Latn-ME"/>
        </w:rPr>
        <w:t xml:space="preserve"> 5.2).</w:t>
      </w:r>
    </w:p>
    <w:p w14:paraId="6761B3A7" w14:textId="77777777" w:rsidR="00F77A8D" w:rsidRPr="00A44302" w:rsidRDefault="00F77A8D">
      <w:pPr>
        <w:pStyle w:val="Header"/>
        <w:jc w:val="both"/>
        <w:rPr>
          <w:sz w:val="22"/>
          <w:szCs w:val="22"/>
          <w:lang w:val="sr-Latn-ME"/>
        </w:rPr>
      </w:pPr>
    </w:p>
    <w:p w14:paraId="2A35FD50" w14:textId="32773C65" w:rsidR="00F77A8D" w:rsidRPr="00A44302" w:rsidRDefault="00F77A8D">
      <w:pPr>
        <w:pStyle w:val="Header"/>
        <w:tabs>
          <w:tab w:val="left" w:pos="284"/>
        </w:tabs>
        <w:jc w:val="both"/>
        <w:rPr>
          <w:sz w:val="22"/>
          <w:szCs w:val="22"/>
          <w:lang w:val="sr-Latn-ME"/>
        </w:rPr>
      </w:pPr>
      <w:r w:rsidRPr="00A44302">
        <w:rPr>
          <w:b/>
          <w:sz w:val="22"/>
          <w:szCs w:val="22"/>
          <w:lang w:val="sr-Latn-ME"/>
        </w:rPr>
        <w:t>**</w:t>
      </w:r>
      <w:r w:rsidRPr="00A44302">
        <w:rPr>
          <w:sz w:val="22"/>
          <w:szCs w:val="22"/>
          <w:lang w:val="sr-Latn-ME"/>
        </w:rPr>
        <w:t xml:space="preserve"> Pacijenti</w:t>
      </w:r>
      <w:r w:rsidR="00DF6459" w:rsidRPr="00A44302">
        <w:rPr>
          <w:sz w:val="22"/>
          <w:szCs w:val="22"/>
          <w:lang w:val="sr-Latn-ME"/>
        </w:rPr>
        <w:t>ma</w:t>
      </w:r>
      <w:r w:rsidRPr="00A44302">
        <w:rPr>
          <w:sz w:val="22"/>
          <w:szCs w:val="22"/>
          <w:lang w:val="sr-Latn-ME"/>
        </w:rPr>
        <w:t xml:space="preserve"> manje tjelesne mase će </w:t>
      </w:r>
      <w:r w:rsidR="00DF6459" w:rsidRPr="00A44302">
        <w:rPr>
          <w:sz w:val="22"/>
          <w:szCs w:val="22"/>
          <w:lang w:val="sr-Latn-ME"/>
        </w:rPr>
        <w:t>biti potrebna</w:t>
      </w:r>
      <w:r w:rsidRPr="00A44302">
        <w:rPr>
          <w:sz w:val="22"/>
          <w:szCs w:val="22"/>
          <w:lang w:val="sr-Latn-ME"/>
        </w:rPr>
        <w:t xml:space="preserve"> manj</w:t>
      </w:r>
      <w:r w:rsidR="00DF6459" w:rsidRPr="00A44302">
        <w:rPr>
          <w:sz w:val="22"/>
          <w:szCs w:val="22"/>
          <w:lang w:val="sr-Latn-ME"/>
        </w:rPr>
        <w:t>a</w:t>
      </w:r>
      <w:r w:rsidRPr="00A44302">
        <w:rPr>
          <w:sz w:val="22"/>
          <w:szCs w:val="22"/>
          <w:lang w:val="sr-Latn-ME"/>
        </w:rPr>
        <w:t xml:space="preserve"> zapremin</w:t>
      </w:r>
      <w:r w:rsidR="00DF6459" w:rsidRPr="00A44302">
        <w:rPr>
          <w:sz w:val="22"/>
          <w:szCs w:val="22"/>
          <w:lang w:val="sr-Latn-ME"/>
        </w:rPr>
        <w:t>a</w:t>
      </w:r>
      <w:r w:rsidRPr="00A44302">
        <w:rPr>
          <w:sz w:val="22"/>
          <w:szCs w:val="22"/>
          <w:lang w:val="sr-Latn-ME"/>
        </w:rPr>
        <w:t>.</w:t>
      </w:r>
    </w:p>
    <w:p w14:paraId="14AA8557" w14:textId="77777777" w:rsidR="00042EAC" w:rsidRPr="00A44302" w:rsidRDefault="00042EAC">
      <w:pPr>
        <w:pStyle w:val="Header"/>
        <w:tabs>
          <w:tab w:val="left" w:pos="284"/>
        </w:tabs>
        <w:jc w:val="both"/>
        <w:rPr>
          <w:sz w:val="22"/>
          <w:szCs w:val="22"/>
          <w:lang w:val="sr-Latn-ME"/>
        </w:rPr>
      </w:pPr>
    </w:p>
    <w:p w14:paraId="7443B243" w14:textId="77777777" w:rsidR="00F77A8D" w:rsidRPr="00A44302" w:rsidRDefault="00F77A8D">
      <w:pPr>
        <w:pStyle w:val="Header"/>
        <w:jc w:val="both"/>
        <w:rPr>
          <w:sz w:val="22"/>
          <w:szCs w:val="22"/>
          <w:lang w:val="sr-Latn-ME"/>
        </w:rPr>
      </w:pPr>
      <w:r w:rsidRPr="00A44302">
        <w:rPr>
          <w:sz w:val="22"/>
          <w:szCs w:val="22"/>
          <w:lang w:val="sr-Latn-ME"/>
        </w:rPr>
        <w:t>Minimalni interval između dvije primjene lijeka mora biti najmanje 4 sata. Ne smiju se dati više od 4 doze u toku 24 sata.</w:t>
      </w:r>
    </w:p>
    <w:p w14:paraId="641AAA20" w14:textId="77777777" w:rsidR="00F77A8D" w:rsidRPr="00A44302" w:rsidRDefault="00F77A8D">
      <w:pPr>
        <w:pStyle w:val="Header"/>
        <w:tabs>
          <w:tab w:val="center" w:pos="4536"/>
          <w:tab w:val="right" w:pos="9072"/>
        </w:tabs>
        <w:jc w:val="both"/>
        <w:rPr>
          <w:sz w:val="22"/>
          <w:szCs w:val="22"/>
          <w:lang w:val="sr-Latn-ME"/>
        </w:rPr>
      </w:pPr>
      <w:r w:rsidRPr="00A44302">
        <w:rPr>
          <w:sz w:val="22"/>
          <w:szCs w:val="22"/>
          <w:lang w:val="sr-Latn-ME"/>
        </w:rPr>
        <w:t>Minimalni interval između dvije primjene lijeka kod pacijenata sa teškom bubrežnom insuficijencijom mora biti najmanje 6 sati.</w:t>
      </w:r>
    </w:p>
    <w:p w14:paraId="6DFD7C24" w14:textId="77777777" w:rsidR="00F77A8D" w:rsidRPr="00A44302" w:rsidRDefault="00F77A8D">
      <w:pPr>
        <w:pStyle w:val="Header"/>
        <w:tabs>
          <w:tab w:val="left" w:pos="284"/>
        </w:tabs>
        <w:jc w:val="both"/>
        <w:rPr>
          <w:sz w:val="22"/>
          <w:szCs w:val="22"/>
          <w:lang w:val="sr-Latn-ME"/>
        </w:rPr>
      </w:pPr>
    </w:p>
    <w:p w14:paraId="30906E36" w14:textId="6A87BCC0" w:rsidR="00F77A8D" w:rsidRPr="00A44302" w:rsidRDefault="00F77A8D">
      <w:pPr>
        <w:pStyle w:val="Header"/>
        <w:tabs>
          <w:tab w:val="center" w:pos="4536"/>
          <w:tab w:val="right" w:pos="9072"/>
        </w:tabs>
        <w:jc w:val="both"/>
        <w:rPr>
          <w:sz w:val="22"/>
          <w:szCs w:val="22"/>
          <w:lang w:val="sr-Latn-ME"/>
        </w:rPr>
      </w:pPr>
      <w:r w:rsidRPr="00A44302">
        <w:rPr>
          <w:b/>
          <w:sz w:val="22"/>
          <w:szCs w:val="22"/>
          <w:lang w:val="sr-Latn-ME"/>
        </w:rPr>
        <w:t>***Maksimalna dnevna doza</w:t>
      </w:r>
      <w:r w:rsidRPr="00A44302">
        <w:rPr>
          <w:sz w:val="22"/>
          <w:szCs w:val="22"/>
          <w:lang w:val="sr-Latn-ME"/>
        </w:rPr>
        <w:t xml:space="preserve">: Maksimalna dnevna doza prikazana u gornjoj tabeli je namijenjena pacijentima koji ne </w:t>
      </w:r>
      <w:r w:rsidR="009D3CE0" w:rsidRPr="00A44302">
        <w:rPr>
          <w:sz w:val="22"/>
          <w:szCs w:val="22"/>
          <w:lang w:val="sr-Latn-ME"/>
        </w:rPr>
        <w:t>primaju</w:t>
      </w:r>
      <w:r w:rsidRPr="00A44302">
        <w:rPr>
          <w:sz w:val="22"/>
          <w:szCs w:val="22"/>
          <w:lang w:val="sr-Latn-ME"/>
        </w:rPr>
        <w:t xml:space="preserve"> druge lekove koji sadrže paracetamol i treba da se prilagodi uzimajući u obzir te l</w:t>
      </w:r>
      <w:r w:rsidR="00042EAC" w:rsidRPr="00A44302">
        <w:rPr>
          <w:sz w:val="22"/>
          <w:szCs w:val="22"/>
          <w:lang w:val="sr-Latn-ME"/>
        </w:rPr>
        <w:t>j</w:t>
      </w:r>
      <w:r w:rsidRPr="00A44302">
        <w:rPr>
          <w:sz w:val="22"/>
          <w:szCs w:val="22"/>
          <w:lang w:val="sr-Latn-ME"/>
        </w:rPr>
        <w:t>ekove.</w:t>
      </w:r>
    </w:p>
    <w:p w14:paraId="2FE0CE48" w14:textId="77777777" w:rsidR="00F77A8D" w:rsidRPr="00A44302" w:rsidRDefault="00F77A8D">
      <w:pPr>
        <w:pStyle w:val="Header"/>
        <w:tabs>
          <w:tab w:val="center" w:pos="4536"/>
          <w:tab w:val="right" w:pos="9072"/>
        </w:tabs>
        <w:jc w:val="both"/>
        <w:rPr>
          <w:sz w:val="22"/>
          <w:szCs w:val="22"/>
          <w:lang w:val="sr-Latn-ME"/>
        </w:rPr>
      </w:pPr>
    </w:p>
    <w:p w14:paraId="5E5670A1" w14:textId="77777777" w:rsidR="00F77A8D" w:rsidRPr="00A44302" w:rsidRDefault="00F77A8D">
      <w:pPr>
        <w:pStyle w:val="Header"/>
        <w:tabs>
          <w:tab w:val="left" w:pos="284"/>
        </w:tabs>
        <w:jc w:val="both"/>
        <w:rPr>
          <w:sz w:val="22"/>
          <w:szCs w:val="22"/>
          <w:lang w:val="sr-Latn-ME"/>
        </w:rPr>
      </w:pPr>
      <w:r w:rsidRPr="00A44302">
        <w:rPr>
          <w:sz w:val="22"/>
          <w:szCs w:val="22"/>
          <w:u w:val="single"/>
          <w:lang w:val="sr-Latn-ME"/>
        </w:rPr>
        <w:t>Pacijenti sa oštećenjem funkcije bubrega:</w:t>
      </w:r>
    </w:p>
    <w:p w14:paraId="352BAD7A" w14:textId="702CC9B0" w:rsidR="00F77A8D" w:rsidRPr="00A44302" w:rsidRDefault="00F77A8D">
      <w:pPr>
        <w:pStyle w:val="Header"/>
        <w:tabs>
          <w:tab w:val="left" w:pos="284"/>
        </w:tabs>
        <w:jc w:val="both"/>
        <w:rPr>
          <w:i/>
          <w:sz w:val="22"/>
          <w:szCs w:val="22"/>
          <w:lang w:val="sr-Latn-ME"/>
        </w:rPr>
      </w:pPr>
      <w:r w:rsidRPr="00A44302">
        <w:rPr>
          <w:sz w:val="22"/>
          <w:szCs w:val="22"/>
          <w:lang w:val="sr-Latn-ME"/>
        </w:rPr>
        <w:cr/>
        <w:t xml:space="preserve">Pri davanju paracetamola pacijentima sa teškim oštećenjem funkcije bubrega (klirens kreatinina  ≤ 30 ml/min) preporučuje se da se minimalni interval između primjena lijeka poveća na 6 sati (vidjeti </w:t>
      </w:r>
      <w:r w:rsidR="005C75BE" w:rsidRPr="00A44302">
        <w:rPr>
          <w:sz w:val="22"/>
          <w:szCs w:val="22"/>
          <w:lang w:val="sr-Latn-ME"/>
        </w:rPr>
        <w:t>dio</w:t>
      </w:r>
      <w:r w:rsidRPr="00A44302">
        <w:rPr>
          <w:sz w:val="22"/>
          <w:szCs w:val="22"/>
          <w:lang w:val="sr-Latn-ME"/>
        </w:rPr>
        <w:t xml:space="preserve"> 5.2).</w:t>
      </w:r>
    </w:p>
    <w:p w14:paraId="67AAE4C1" w14:textId="77777777" w:rsidR="00F77A8D" w:rsidRPr="00A44302" w:rsidRDefault="00F77A8D">
      <w:pPr>
        <w:pStyle w:val="Header"/>
        <w:tabs>
          <w:tab w:val="left" w:pos="284"/>
        </w:tabs>
        <w:spacing w:before="40" w:after="40"/>
        <w:jc w:val="both"/>
        <w:rPr>
          <w:sz w:val="22"/>
          <w:szCs w:val="22"/>
          <w:u w:val="single"/>
          <w:lang w:val="sr-Latn-ME"/>
        </w:rPr>
      </w:pPr>
    </w:p>
    <w:p w14:paraId="2216AC3D" w14:textId="77777777" w:rsidR="00F77A8D" w:rsidRPr="00A44302" w:rsidRDefault="00F77A8D">
      <w:pPr>
        <w:pStyle w:val="Header"/>
        <w:tabs>
          <w:tab w:val="left" w:pos="284"/>
        </w:tabs>
        <w:spacing w:before="40" w:after="40"/>
        <w:jc w:val="both"/>
        <w:rPr>
          <w:sz w:val="22"/>
          <w:szCs w:val="22"/>
          <w:u w:val="single"/>
          <w:lang w:val="sr-Latn-ME"/>
        </w:rPr>
      </w:pPr>
      <w:r w:rsidRPr="00A44302">
        <w:rPr>
          <w:sz w:val="22"/>
          <w:szCs w:val="22"/>
          <w:u w:val="single"/>
          <w:lang w:val="sr-Latn-ME"/>
        </w:rPr>
        <w:t>Pacijenti sa oštećenjem funkcije jetre:</w:t>
      </w:r>
    </w:p>
    <w:p w14:paraId="5ADA57C1" w14:textId="77777777" w:rsidR="00F77A8D" w:rsidRPr="00A44302" w:rsidRDefault="00F77A8D">
      <w:pPr>
        <w:pStyle w:val="Header"/>
        <w:tabs>
          <w:tab w:val="left" w:pos="284"/>
        </w:tabs>
        <w:spacing w:before="40" w:after="40"/>
        <w:jc w:val="both"/>
        <w:rPr>
          <w:sz w:val="22"/>
          <w:szCs w:val="22"/>
          <w:lang w:val="sr-Latn-ME"/>
        </w:rPr>
      </w:pPr>
    </w:p>
    <w:p w14:paraId="05657EC7" w14:textId="5A1D75A3" w:rsidR="00F77A8D" w:rsidRPr="00A44302" w:rsidRDefault="00F77A8D">
      <w:pPr>
        <w:pStyle w:val="Header"/>
        <w:tabs>
          <w:tab w:val="left" w:pos="284"/>
        </w:tabs>
        <w:spacing w:before="40" w:after="40"/>
        <w:jc w:val="both"/>
        <w:rPr>
          <w:sz w:val="22"/>
          <w:szCs w:val="22"/>
          <w:lang w:val="sr-Latn-ME"/>
        </w:rPr>
      </w:pPr>
      <w:r w:rsidRPr="00A44302">
        <w:rPr>
          <w:sz w:val="22"/>
          <w:szCs w:val="22"/>
          <w:lang w:val="sr-Latn-ME"/>
        </w:rPr>
        <w:t xml:space="preserve">Kod odraslih </w:t>
      </w:r>
      <w:r w:rsidR="009D3CE0" w:rsidRPr="00A44302">
        <w:rPr>
          <w:sz w:val="22"/>
          <w:szCs w:val="22"/>
          <w:lang w:val="sr-Latn-ME"/>
        </w:rPr>
        <w:t xml:space="preserve">pacijenata </w:t>
      </w:r>
      <w:r w:rsidRPr="00A44302">
        <w:rPr>
          <w:sz w:val="22"/>
          <w:szCs w:val="22"/>
          <w:lang w:val="sr-Latn-ME"/>
        </w:rPr>
        <w:t>sa hepatocelularnom insuficijencijom, hroničnim alkoholizmom, hroničnom malnutricijom (</w:t>
      </w:r>
      <w:r w:rsidR="009D3CE0" w:rsidRPr="00A44302">
        <w:rPr>
          <w:sz w:val="22"/>
          <w:szCs w:val="22"/>
          <w:lang w:val="sr-Latn-ME"/>
        </w:rPr>
        <w:t>male</w:t>
      </w:r>
      <w:r w:rsidRPr="00A44302">
        <w:rPr>
          <w:sz w:val="22"/>
          <w:szCs w:val="22"/>
          <w:lang w:val="sr-Latn-ME"/>
        </w:rPr>
        <w:t xml:space="preserve"> rezerve glutationa u jetri) i dehidratacijom: maksimalna dnevna doza ne smije da premaši 3 g (vidjeti </w:t>
      </w:r>
      <w:r w:rsidR="005C75BE" w:rsidRPr="00A44302">
        <w:rPr>
          <w:sz w:val="22"/>
          <w:szCs w:val="22"/>
          <w:lang w:val="sr-Latn-ME"/>
        </w:rPr>
        <w:t>dio</w:t>
      </w:r>
      <w:r w:rsidRPr="00A44302">
        <w:rPr>
          <w:sz w:val="22"/>
          <w:szCs w:val="22"/>
          <w:lang w:val="sr-Latn-ME"/>
        </w:rPr>
        <w:t xml:space="preserve"> 4.4).</w:t>
      </w:r>
    </w:p>
    <w:p w14:paraId="4BDF6054" w14:textId="77777777" w:rsidR="00452E9D" w:rsidRPr="00A44302" w:rsidRDefault="00452E9D" w:rsidP="00C67274">
      <w:pPr>
        <w:tabs>
          <w:tab w:val="left" w:pos="540"/>
          <w:tab w:val="left" w:pos="569"/>
        </w:tabs>
        <w:jc w:val="both"/>
        <w:rPr>
          <w:bCs/>
          <w:sz w:val="22"/>
          <w:szCs w:val="22"/>
          <w:u w:val="single"/>
          <w:lang w:val="sr-Latn-ME"/>
        </w:rPr>
      </w:pPr>
    </w:p>
    <w:p w14:paraId="537F5AEB" w14:textId="6401FB94" w:rsidR="00452E9D" w:rsidRPr="00A44302" w:rsidRDefault="00452E9D" w:rsidP="00C67274">
      <w:pPr>
        <w:tabs>
          <w:tab w:val="left" w:pos="540"/>
          <w:tab w:val="left" w:pos="569"/>
        </w:tabs>
        <w:jc w:val="both"/>
        <w:rPr>
          <w:bCs/>
          <w:sz w:val="22"/>
          <w:szCs w:val="22"/>
          <w:u w:val="single"/>
          <w:lang w:val="sr-Latn-ME"/>
        </w:rPr>
      </w:pPr>
      <w:r w:rsidRPr="00A44302">
        <w:rPr>
          <w:bCs/>
          <w:sz w:val="22"/>
          <w:szCs w:val="22"/>
          <w:u w:val="single"/>
          <w:lang w:val="sr-Latn-ME"/>
        </w:rPr>
        <w:t>Način primjene</w:t>
      </w:r>
    </w:p>
    <w:p w14:paraId="3B1D4418" w14:textId="77777777" w:rsidR="00F77A8D" w:rsidRPr="00A44302" w:rsidRDefault="00F77A8D" w:rsidP="00C67274">
      <w:pPr>
        <w:tabs>
          <w:tab w:val="left" w:pos="540"/>
          <w:tab w:val="left" w:pos="569"/>
        </w:tabs>
        <w:jc w:val="both"/>
        <w:rPr>
          <w:bCs/>
          <w:sz w:val="22"/>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7"/>
      </w:tblGrid>
      <w:tr w:rsidR="00F77A8D" w:rsidRPr="00A44302" w14:paraId="7BDB3372" w14:textId="77777777" w:rsidTr="0072545C">
        <w:tc>
          <w:tcPr>
            <w:tcW w:w="9957" w:type="dxa"/>
            <w:shd w:val="clear" w:color="auto" w:fill="auto"/>
          </w:tcPr>
          <w:p w14:paraId="10D94FE8" w14:textId="418DD692" w:rsidR="00F77A8D" w:rsidRPr="00A44302" w:rsidRDefault="00F77A8D">
            <w:pPr>
              <w:pStyle w:val="Header"/>
              <w:tabs>
                <w:tab w:val="left" w:pos="1928"/>
              </w:tabs>
              <w:spacing w:before="40" w:after="40"/>
              <w:jc w:val="both"/>
              <w:rPr>
                <w:sz w:val="22"/>
                <w:szCs w:val="22"/>
                <w:lang w:val="sr-Latn-ME"/>
              </w:rPr>
            </w:pPr>
            <w:bookmarkStart w:id="1" w:name="_Hlk80096122"/>
            <w:r w:rsidRPr="00A44302">
              <w:rPr>
                <w:sz w:val="22"/>
                <w:szCs w:val="22"/>
                <w:lang w:val="sr-Latn-ME"/>
              </w:rPr>
              <w:t>Kod propisivanja i primjene lijeka Paracetamol PharmaSwiss pripazite na mogućnost miješanja miligrama (mg) i mililitara (ml), kako biste izbjegli greške u doziranju koje bi mogle dovesti do slučajnog predoziranja i smrt</w:t>
            </w:r>
            <w:r w:rsidR="009D3CE0" w:rsidRPr="00A44302">
              <w:rPr>
                <w:sz w:val="22"/>
                <w:szCs w:val="22"/>
                <w:lang w:val="sr-Latn-ME"/>
              </w:rPr>
              <w:t>nog ishoda</w:t>
            </w:r>
            <w:r w:rsidRPr="00A44302">
              <w:rPr>
                <w:sz w:val="22"/>
                <w:szCs w:val="22"/>
                <w:lang w:val="sr-Latn-ME"/>
              </w:rPr>
              <w:t>. Pripazite na to da se odgovarajuća doza navede u komunikaciji i primjeni. Kod pisanja recepata, navedite ob</w:t>
            </w:r>
            <w:r w:rsidR="005C75BE" w:rsidRPr="00A44302">
              <w:rPr>
                <w:sz w:val="22"/>
                <w:szCs w:val="22"/>
                <w:lang w:val="sr-Latn-ME"/>
              </w:rPr>
              <w:t>j</w:t>
            </w:r>
            <w:r w:rsidRPr="00A44302">
              <w:rPr>
                <w:sz w:val="22"/>
                <w:szCs w:val="22"/>
                <w:lang w:val="sr-Latn-ME"/>
              </w:rPr>
              <w:t xml:space="preserve">e doze, ukupnu dozu u mg i ukupnu dozu po zapremini. </w:t>
            </w:r>
          </w:p>
        </w:tc>
      </w:tr>
      <w:bookmarkEnd w:id="1"/>
    </w:tbl>
    <w:p w14:paraId="57CFD27F" w14:textId="265B670F" w:rsidR="00452E9D" w:rsidRPr="00A44302" w:rsidRDefault="00452E9D" w:rsidP="00C67274">
      <w:pPr>
        <w:tabs>
          <w:tab w:val="left" w:pos="540"/>
          <w:tab w:val="left" w:pos="569"/>
        </w:tabs>
        <w:jc w:val="both"/>
        <w:rPr>
          <w:bCs/>
          <w:sz w:val="22"/>
          <w:szCs w:val="22"/>
          <w:lang w:val="sr-Latn-ME"/>
        </w:rPr>
      </w:pPr>
    </w:p>
    <w:p w14:paraId="5751C7E7" w14:textId="77777777" w:rsidR="00F77A8D" w:rsidRPr="00A44302" w:rsidRDefault="00F77A8D">
      <w:pPr>
        <w:pStyle w:val="Header"/>
        <w:tabs>
          <w:tab w:val="left" w:pos="284"/>
        </w:tabs>
        <w:spacing w:before="40" w:after="40"/>
        <w:jc w:val="both"/>
        <w:rPr>
          <w:sz w:val="22"/>
          <w:szCs w:val="22"/>
          <w:lang w:val="sr-Latn-ME"/>
        </w:rPr>
      </w:pPr>
      <w:r w:rsidRPr="00A44302">
        <w:rPr>
          <w:sz w:val="22"/>
          <w:szCs w:val="22"/>
          <w:lang w:val="sr-Latn-ME"/>
        </w:rPr>
        <w:t>Rastvor paracetamola se primjenjuje kao 15-minutna intravenska infuzija.</w:t>
      </w:r>
    </w:p>
    <w:p w14:paraId="776EC35A" w14:textId="77777777" w:rsidR="00F77A8D" w:rsidRPr="00A44302" w:rsidRDefault="00F77A8D">
      <w:pPr>
        <w:pStyle w:val="Header"/>
        <w:tabs>
          <w:tab w:val="left" w:pos="284"/>
        </w:tabs>
        <w:spacing w:before="40" w:after="40"/>
        <w:jc w:val="both"/>
        <w:rPr>
          <w:sz w:val="22"/>
          <w:szCs w:val="22"/>
          <w:lang w:val="sr-Latn-ME"/>
        </w:rPr>
      </w:pPr>
    </w:p>
    <w:p w14:paraId="6F495D1C" w14:textId="77777777" w:rsidR="00F77A8D" w:rsidRPr="00A44302" w:rsidRDefault="00F77A8D">
      <w:pPr>
        <w:pStyle w:val="Header"/>
        <w:tabs>
          <w:tab w:val="left" w:pos="284"/>
        </w:tabs>
        <w:spacing w:before="40" w:after="40"/>
        <w:jc w:val="both"/>
        <w:rPr>
          <w:sz w:val="22"/>
          <w:szCs w:val="22"/>
          <w:u w:val="single"/>
          <w:lang w:val="sr-Latn-ME"/>
        </w:rPr>
      </w:pPr>
      <w:r w:rsidRPr="00A44302">
        <w:rPr>
          <w:sz w:val="22"/>
          <w:szCs w:val="22"/>
          <w:u w:val="single"/>
          <w:lang w:val="sr-Latn-ME"/>
        </w:rPr>
        <w:t>Pacijenti tjelesne mase ≤ 10 kg:</w:t>
      </w:r>
    </w:p>
    <w:p w14:paraId="7A886F29" w14:textId="1F847462" w:rsidR="00042EAC" w:rsidRPr="00A44302" w:rsidRDefault="00042EAC">
      <w:pPr>
        <w:pStyle w:val="ListParagraph"/>
        <w:numPr>
          <w:ilvl w:val="0"/>
          <w:numId w:val="15"/>
        </w:numPr>
        <w:tabs>
          <w:tab w:val="left" w:pos="284"/>
        </w:tabs>
        <w:spacing w:before="40" w:after="40"/>
        <w:jc w:val="both"/>
        <w:rPr>
          <w:sz w:val="22"/>
          <w:szCs w:val="22"/>
          <w:lang w:val="sr-Latn-ME" w:eastAsia="x-none"/>
        </w:rPr>
      </w:pPr>
      <w:r w:rsidRPr="00A44302">
        <w:rPr>
          <w:sz w:val="22"/>
          <w:szCs w:val="22"/>
          <w:lang w:val="sr-Latn-ME" w:eastAsia="x-none"/>
        </w:rPr>
        <w:t>Boca lijeka Paracetamol PharmaSwiss ne smije da visi kao infuzija zbog male zapremine lijeka koji se primjenjuje kod ove populacije;</w:t>
      </w:r>
    </w:p>
    <w:p w14:paraId="5F1D6CDB" w14:textId="7544E42D" w:rsidR="00042EAC" w:rsidRPr="00A44302" w:rsidRDefault="00042EAC">
      <w:pPr>
        <w:pStyle w:val="ListParagraph"/>
        <w:numPr>
          <w:ilvl w:val="0"/>
          <w:numId w:val="15"/>
        </w:numPr>
        <w:tabs>
          <w:tab w:val="left" w:pos="284"/>
        </w:tabs>
        <w:spacing w:before="40" w:after="40"/>
        <w:jc w:val="both"/>
        <w:rPr>
          <w:sz w:val="22"/>
          <w:szCs w:val="22"/>
          <w:lang w:val="sr-Latn-ME" w:eastAsia="x-none"/>
        </w:rPr>
      </w:pPr>
      <w:r w:rsidRPr="00A44302">
        <w:rPr>
          <w:sz w:val="22"/>
          <w:szCs w:val="22"/>
          <w:lang w:val="sr-Latn-ME" w:eastAsia="x-none"/>
        </w:rPr>
        <w:t>Zapremina lijeka koja treba da se prim</w:t>
      </w:r>
      <w:r w:rsidR="005C75BE" w:rsidRPr="00A44302">
        <w:rPr>
          <w:sz w:val="22"/>
          <w:szCs w:val="22"/>
          <w:lang w:val="sr-Latn-ME" w:eastAsia="x-none"/>
        </w:rPr>
        <w:t>i</w:t>
      </w:r>
      <w:r w:rsidRPr="00A44302">
        <w:rPr>
          <w:sz w:val="22"/>
          <w:szCs w:val="22"/>
          <w:lang w:val="sr-Latn-ME" w:eastAsia="x-none"/>
        </w:rPr>
        <w:t>jeni treba da se povuče iz boce; može da se prim</w:t>
      </w:r>
      <w:r w:rsidR="005C75BE" w:rsidRPr="00A44302">
        <w:rPr>
          <w:sz w:val="22"/>
          <w:szCs w:val="22"/>
          <w:lang w:val="sr-Latn-ME" w:eastAsia="x-none"/>
        </w:rPr>
        <w:t>i</w:t>
      </w:r>
      <w:r w:rsidRPr="00A44302">
        <w:rPr>
          <w:sz w:val="22"/>
          <w:szCs w:val="22"/>
          <w:lang w:val="sr-Latn-ME" w:eastAsia="x-none"/>
        </w:rPr>
        <w:t>jeni nerazblažen ili razblažen sa 9 mg/ml (0,9%) rastvorom natrijum</w:t>
      </w:r>
      <w:r w:rsidR="005C75BE" w:rsidRPr="00A44302">
        <w:rPr>
          <w:sz w:val="22"/>
          <w:szCs w:val="22"/>
          <w:lang w:val="sr-Latn-ME" w:eastAsia="x-none"/>
        </w:rPr>
        <w:t xml:space="preserve"> </w:t>
      </w:r>
      <w:r w:rsidRPr="00A44302">
        <w:rPr>
          <w:sz w:val="22"/>
          <w:szCs w:val="22"/>
          <w:lang w:val="sr-Latn-ME" w:eastAsia="x-none"/>
        </w:rPr>
        <w:t xml:space="preserve">hlorida za infuziju ili 50 mg/ml (5%) rastvorom glukoze za infuziju do jedne desetine zapremine (jedna zapremina lijeka </w:t>
      </w:r>
      <w:r w:rsidRPr="00A44302">
        <w:rPr>
          <w:sz w:val="22"/>
          <w:szCs w:val="22"/>
          <w:lang w:val="sr-Latn-ME" w:eastAsia="x-none"/>
        </w:rPr>
        <w:lastRenderedPageBreak/>
        <w:t xml:space="preserve">Paracetamol PharmaSwiss, rastvor za infuziju u devet zapremina rastvora za razblaživanje) i primjenjuje se tokom 15 minuta. Vidjeti takođe </w:t>
      </w:r>
      <w:r w:rsidR="005C75BE" w:rsidRPr="00A44302">
        <w:rPr>
          <w:sz w:val="22"/>
          <w:szCs w:val="22"/>
          <w:lang w:val="sr-Latn-ME" w:eastAsia="x-none"/>
        </w:rPr>
        <w:t>dio</w:t>
      </w:r>
      <w:r w:rsidRPr="00A44302">
        <w:rPr>
          <w:sz w:val="22"/>
          <w:szCs w:val="22"/>
          <w:lang w:val="sr-Latn-ME" w:eastAsia="x-none"/>
        </w:rPr>
        <w:t xml:space="preserve"> 6.6.</w:t>
      </w:r>
    </w:p>
    <w:p w14:paraId="06E5FC3B" w14:textId="4C115C13" w:rsidR="00042EAC" w:rsidRPr="00A44302" w:rsidRDefault="00042EAC" w:rsidP="00C67274">
      <w:pPr>
        <w:pStyle w:val="ListParagraph"/>
        <w:spacing w:before="40" w:after="40"/>
        <w:jc w:val="both"/>
        <w:rPr>
          <w:sz w:val="22"/>
          <w:szCs w:val="22"/>
          <w:lang w:val="sr-Latn-ME" w:eastAsia="x-none"/>
        </w:rPr>
      </w:pPr>
      <w:r w:rsidRPr="00A44302">
        <w:rPr>
          <w:sz w:val="22"/>
          <w:szCs w:val="22"/>
          <w:lang w:val="sr-Latn-ME" w:eastAsia="x-none"/>
        </w:rPr>
        <w:t>Pripremljeni razblaženi rastvor treba iskoristiti maksimalno sat vremena nakon pripreme (uključujući i vrijeme davanja infuzije).</w:t>
      </w:r>
    </w:p>
    <w:p w14:paraId="5FBE8790" w14:textId="244C7629" w:rsidR="00042EAC" w:rsidRPr="00A44302" w:rsidRDefault="00042EAC">
      <w:pPr>
        <w:pStyle w:val="ListParagraph"/>
        <w:numPr>
          <w:ilvl w:val="0"/>
          <w:numId w:val="15"/>
        </w:numPr>
        <w:tabs>
          <w:tab w:val="left" w:pos="284"/>
        </w:tabs>
        <w:spacing w:before="40" w:after="40"/>
        <w:ind w:left="709"/>
        <w:jc w:val="both"/>
        <w:rPr>
          <w:sz w:val="22"/>
          <w:szCs w:val="22"/>
          <w:lang w:val="sr-Latn-ME" w:eastAsia="x-none"/>
        </w:rPr>
      </w:pPr>
      <w:r w:rsidRPr="00A44302">
        <w:rPr>
          <w:sz w:val="22"/>
          <w:szCs w:val="22"/>
          <w:lang w:val="sr-Latn-ME" w:eastAsia="x-none"/>
        </w:rPr>
        <w:t>Špric od 5 ili 10 ml treba koristiti za mjerenje doze na odgovarajuću tjelesnu masu d</w:t>
      </w:r>
      <w:r w:rsidR="009D3CE0" w:rsidRPr="00A44302">
        <w:rPr>
          <w:sz w:val="22"/>
          <w:szCs w:val="22"/>
          <w:lang w:val="sr-Latn-ME" w:eastAsia="x-none"/>
        </w:rPr>
        <w:t>i</w:t>
      </w:r>
      <w:r w:rsidRPr="00A44302">
        <w:rPr>
          <w:sz w:val="22"/>
          <w:szCs w:val="22"/>
          <w:lang w:val="sr-Latn-ME" w:eastAsia="x-none"/>
        </w:rPr>
        <w:t>jeteta i željenu zapreminu. Međutim, nikada ne smije da prelazi 7,5 ml po dozi.</w:t>
      </w:r>
    </w:p>
    <w:p w14:paraId="2B6388F7" w14:textId="646F50AC" w:rsidR="00042EAC" w:rsidRPr="00A44302" w:rsidRDefault="00042EAC">
      <w:pPr>
        <w:pStyle w:val="ListParagraph"/>
        <w:numPr>
          <w:ilvl w:val="0"/>
          <w:numId w:val="15"/>
        </w:numPr>
        <w:tabs>
          <w:tab w:val="left" w:pos="284"/>
        </w:tabs>
        <w:spacing w:before="40" w:after="40"/>
        <w:jc w:val="both"/>
        <w:rPr>
          <w:sz w:val="22"/>
          <w:szCs w:val="22"/>
          <w:lang w:val="sr-Latn-ME" w:eastAsia="x-none"/>
        </w:rPr>
      </w:pPr>
      <w:r w:rsidRPr="00A44302">
        <w:rPr>
          <w:sz w:val="22"/>
          <w:szCs w:val="22"/>
          <w:lang w:val="sr-Latn-ME" w:eastAsia="x-none"/>
        </w:rPr>
        <w:t>Pacijent treba da bude upoznat da se informacije o smjernicama vezanim za doziranje nalaze u</w:t>
      </w:r>
    </w:p>
    <w:p w14:paraId="248A238E" w14:textId="64421FD0" w:rsidR="00042EAC" w:rsidRPr="00A44302" w:rsidRDefault="00042EAC" w:rsidP="00C67274">
      <w:pPr>
        <w:spacing w:before="40" w:after="40"/>
        <w:ind w:left="709"/>
        <w:jc w:val="both"/>
        <w:rPr>
          <w:sz w:val="22"/>
          <w:szCs w:val="22"/>
          <w:lang w:val="sr-Latn-ME" w:eastAsia="x-none"/>
        </w:rPr>
      </w:pPr>
      <w:r w:rsidRPr="00A44302">
        <w:rPr>
          <w:sz w:val="22"/>
          <w:szCs w:val="22"/>
          <w:lang w:val="sr-Latn-ME" w:eastAsia="x-none"/>
        </w:rPr>
        <w:t>Uputstvu za lijek (dio „Sljedeće informacije namijenjene su isključivo zdravstvenim stručnjacima:”).</w:t>
      </w:r>
    </w:p>
    <w:p w14:paraId="6C860078" w14:textId="77777777" w:rsidR="00F77A8D" w:rsidRPr="00A44302" w:rsidRDefault="00F77A8D">
      <w:pPr>
        <w:pStyle w:val="Header"/>
        <w:tabs>
          <w:tab w:val="left" w:pos="284"/>
        </w:tabs>
        <w:spacing w:before="40" w:after="40"/>
        <w:jc w:val="both"/>
        <w:rPr>
          <w:sz w:val="22"/>
          <w:szCs w:val="22"/>
          <w:lang w:val="sr-Latn-ME"/>
        </w:rPr>
      </w:pPr>
    </w:p>
    <w:p w14:paraId="2CF3CBC3" w14:textId="3E224F2F" w:rsidR="00F77A8D" w:rsidRPr="00A44302" w:rsidRDefault="00042EAC">
      <w:pPr>
        <w:pStyle w:val="Header"/>
        <w:tabs>
          <w:tab w:val="left" w:pos="284"/>
        </w:tabs>
        <w:spacing w:before="40" w:after="40"/>
        <w:jc w:val="both"/>
        <w:rPr>
          <w:sz w:val="22"/>
          <w:szCs w:val="22"/>
          <w:lang w:val="sr-Latn-ME"/>
        </w:rPr>
      </w:pPr>
      <w:r w:rsidRPr="00A44302">
        <w:rPr>
          <w:sz w:val="22"/>
          <w:szCs w:val="22"/>
          <w:lang w:val="sr-Latn-ME"/>
        </w:rPr>
        <w:t>Lijek</w:t>
      </w:r>
      <w:r w:rsidR="00F77A8D" w:rsidRPr="00A44302">
        <w:rPr>
          <w:sz w:val="22"/>
          <w:szCs w:val="22"/>
          <w:lang w:val="sr-Latn-ME"/>
        </w:rPr>
        <w:t xml:space="preserve"> Paracetamol PharmaSwiss može se razblažiti </w:t>
      </w:r>
      <w:r w:rsidRPr="00A44302">
        <w:rPr>
          <w:sz w:val="22"/>
          <w:szCs w:val="22"/>
          <w:lang w:val="sr-Latn-ME"/>
        </w:rPr>
        <w:t>sa 9 mg/ml (</w:t>
      </w:r>
      <w:r w:rsidR="00F77A8D" w:rsidRPr="00A44302">
        <w:rPr>
          <w:sz w:val="22"/>
          <w:szCs w:val="22"/>
          <w:lang w:val="sr-Latn-ME"/>
        </w:rPr>
        <w:t>0,9 %</w:t>
      </w:r>
      <w:r w:rsidRPr="00A44302">
        <w:rPr>
          <w:sz w:val="22"/>
          <w:szCs w:val="22"/>
          <w:lang w:val="sr-Latn-ME"/>
        </w:rPr>
        <w:t>)</w:t>
      </w:r>
      <w:r w:rsidR="00F77A8D" w:rsidRPr="00A44302">
        <w:rPr>
          <w:sz w:val="22"/>
          <w:szCs w:val="22"/>
          <w:lang w:val="sr-Latn-ME"/>
        </w:rPr>
        <w:t xml:space="preserve"> rastvorom natrijum</w:t>
      </w:r>
      <w:r w:rsidR="004A6DFA" w:rsidRPr="00A44302">
        <w:rPr>
          <w:sz w:val="22"/>
          <w:szCs w:val="22"/>
          <w:lang w:val="sr-Latn-ME"/>
        </w:rPr>
        <w:t xml:space="preserve"> </w:t>
      </w:r>
      <w:r w:rsidR="00F77A8D" w:rsidRPr="00A44302">
        <w:rPr>
          <w:sz w:val="22"/>
          <w:szCs w:val="22"/>
          <w:lang w:val="sr-Latn-ME"/>
        </w:rPr>
        <w:t>hlorida</w:t>
      </w:r>
      <w:r w:rsidRPr="00A44302">
        <w:rPr>
          <w:sz w:val="22"/>
          <w:szCs w:val="22"/>
          <w:lang w:val="sr-Latn-ME"/>
        </w:rPr>
        <w:t xml:space="preserve"> za infuziju</w:t>
      </w:r>
      <w:r w:rsidR="00F77A8D" w:rsidRPr="00A44302">
        <w:rPr>
          <w:sz w:val="22"/>
          <w:szCs w:val="22"/>
          <w:lang w:val="sr-Latn-ME"/>
        </w:rPr>
        <w:t xml:space="preserve"> ili </w:t>
      </w:r>
      <w:r w:rsidRPr="00A44302">
        <w:rPr>
          <w:sz w:val="22"/>
          <w:szCs w:val="22"/>
          <w:lang w:val="sr-Latn-ME"/>
        </w:rPr>
        <w:t>50 mg/ml (</w:t>
      </w:r>
      <w:r w:rsidR="00F77A8D" w:rsidRPr="00A44302">
        <w:rPr>
          <w:sz w:val="22"/>
          <w:szCs w:val="22"/>
          <w:lang w:val="sr-Latn-ME"/>
        </w:rPr>
        <w:t>5 %</w:t>
      </w:r>
      <w:r w:rsidRPr="00A44302">
        <w:rPr>
          <w:sz w:val="22"/>
          <w:szCs w:val="22"/>
          <w:lang w:val="sr-Latn-ME"/>
        </w:rPr>
        <w:t>)</w:t>
      </w:r>
      <w:r w:rsidR="00F77A8D" w:rsidRPr="00A44302">
        <w:rPr>
          <w:sz w:val="22"/>
          <w:szCs w:val="22"/>
          <w:lang w:val="sr-Latn-ME"/>
        </w:rPr>
        <w:t xml:space="preserve">  rastvorom glukoze </w:t>
      </w:r>
      <w:r w:rsidR="00C026F1" w:rsidRPr="00A44302">
        <w:rPr>
          <w:sz w:val="22"/>
          <w:szCs w:val="22"/>
          <w:lang w:val="sr-Latn-ME"/>
        </w:rPr>
        <w:t>za infuziju do jedne desetine zapremine (jedna zapremina lijeka Paracetamol PharmaSwiss, rastvora za infuziju u devet zapremina rastvora za razblaživanje)</w:t>
      </w:r>
      <w:r w:rsidR="00F77A8D" w:rsidRPr="00A44302">
        <w:rPr>
          <w:sz w:val="22"/>
          <w:szCs w:val="22"/>
          <w:lang w:val="sr-Latn-ME"/>
        </w:rPr>
        <w:t>.</w:t>
      </w:r>
      <w:r w:rsidR="00C026F1" w:rsidRPr="00A44302">
        <w:rPr>
          <w:sz w:val="22"/>
          <w:szCs w:val="22"/>
          <w:lang w:val="sr-Latn-ME"/>
        </w:rPr>
        <w:t xml:space="preserve"> </w:t>
      </w:r>
      <w:r w:rsidR="00F77A8D" w:rsidRPr="00A44302">
        <w:rPr>
          <w:sz w:val="22"/>
          <w:szCs w:val="22"/>
          <w:lang w:val="sr-Latn-ME"/>
        </w:rPr>
        <w:t>U tom slučaju, pripremljeni razblaženi rastvor treba iskoristiti maksimalno sat vremena nakon pripreme (uključujući i vrijeme davanja infuzije).</w:t>
      </w:r>
    </w:p>
    <w:p w14:paraId="1FDCBC1A" w14:textId="77777777" w:rsidR="00F77A8D" w:rsidRPr="00A44302" w:rsidRDefault="00F77A8D">
      <w:pPr>
        <w:pStyle w:val="Header"/>
        <w:tabs>
          <w:tab w:val="left" w:pos="284"/>
        </w:tabs>
        <w:spacing w:before="40" w:after="40"/>
        <w:jc w:val="both"/>
        <w:rPr>
          <w:sz w:val="22"/>
          <w:szCs w:val="22"/>
          <w:lang w:val="sr-Latn-ME"/>
        </w:rPr>
      </w:pPr>
    </w:p>
    <w:p w14:paraId="7228F720" w14:textId="6B45C6C4" w:rsidR="00F77A8D" w:rsidRPr="00A44302" w:rsidRDefault="00F77A8D">
      <w:pPr>
        <w:pStyle w:val="Header"/>
        <w:tabs>
          <w:tab w:val="left" w:pos="284"/>
        </w:tabs>
        <w:spacing w:before="40" w:after="40"/>
        <w:jc w:val="both"/>
        <w:rPr>
          <w:sz w:val="22"/>
          <w:szCs w:val="22"/>
          <w:lang w:val="sr-Latn-ME"/>
        </w:rPr>
      </w:pPr>
      <w:r w:rsidRPr="00A44302">
        <w:rPr>
          <w:sz w:val="22"/>
          <w:szCs w:val="22"/>
          <w:lang w:val="sr-Latn-ME"/>
        </w:rPr>
        <w:t>Za izvlačenje rastvora iz boce koristite iglu od 0,8 mm (21 G) i vertikalno probušite čep na boci na tačno označenom mjestu.</w:t>
      </w:r>
    </w:p>
    <w:p w14:paraId="289D83FB" w14:textId="77777777" w:rsidR="00F77A8D" w:rsidRPr="00A44302" w:rsidRDefault="00F77A8D">
      <w:pPr>
        <w:pStyle w:val="Header"/>
        <w:tabs>
          <w:tab w:val="left" w:pos="284"/>
        </w:tabs>
        <w:spacing w:before="40" w:after="40"/>
        <w:jc w:val="both"/>
        <w:rPr>
          <w:sz w:val="22"/>
          <w:szCs w:val="22"/>
          <w:lang w:val="sr-Latn-ME"/>
        </w:rPr>
      </w:pPr>
    </w:p>
    <w:p w14:paraId="63C9155A" w14:textId="4076BFB5" w:rsidR="00F77A8D" w:rsidRPr="00A44302" w:rsidRDefault="00F77A8D" w:rsidP="00C67274">
      <w:pPr>
        <w:pStyle w:val="Header"/>
        <w:tabs>
          <w:tab w:val="left" w:pos="284"/>
        </w:tabs>
        <w:spacing w:before="40" w:after="40"/>
        <w:jc w:val="both"/>
        <w:rPr>
          <w:lang w:val="sr-Latn-ME"/>
        </w:rPr>
      </w:pPr>
      <w:r w:rsidRPr="00A44302">
        <w:rPr>
          <w:sz w:val="22"/>
          <w:szCs w:val="22"/>
          <w:lang w:val="sr-Latn-ME"/>
        </w:rPr>
        <w:t>Kao i kod svih rastvora za infuziju u staklenim bocama, potrebna je pažljiva kontrola naročito na kraju infuzije, bez obzira na put primjene. Kontrola na kraju infuzije se naročito odnosi na put primjene infuzije preko centralne vene, da bi se izbegla vazdušna embolija.</w:t>
      </w:r>
    </w:p>
    <w:p w14:paraId="1B8D7B00" w14:textId="77777777" w:rsidR="00F77A8D" w:rsidRPr="00A44302" w:rsidRDefault="00F77A8D" w:rsidP="00C67274">
      <w:pPr>
        <w:tabs>
          <w:tab w:val="left" w:pos="540"/>
          <w:tab w:val="left" w:pos="569"/>
        </w:tabs>
        <w:jc w:val="both"/>
        <w:rPr>
          <w:bCs/>
          <w:sz w:val="22"/>
          <w:szCs w:val="22"/>
          <w:lang w:val="sr-Latn-ME"/>
        </w:rPr>
      </w:pPr>
    </w:p>
    <w:p w14:paraId="5ACB25E8" w14:textId="77777777" w:rsidR="00411B4B" w:rsidRPr="00A44302" w:rsidRDefault="00411B4B" w:rsidP="00C67274">
      <w:pPr>
        <w:tabs>
          <w:tab w:val="left" w:pos="540"/>
          <w:tab w:val="left" w:pos="569"/>
        </w:tabs>
        <w:jc w:val="both"/>
        <w:rPr>
          <w:b/>
          <w:bCs/>
          <w:sz w:val="22"/>
          <w:szCs w:val="22"/>
          <w:lang w:val="sr-Latn-ME"/>
        </w:rPr>
      </w:pPr>
      <w:r w:rsidRPr="00A44302">
        <w:rPr>
          <w:b/>
          <w:bCs/>
          <w:sz w:val="22"/>
          <w:szCs w:val="22"/>
          <w:lang w:val="sr-Latn-ME"/>
        </w:rPr>
        <w:t xml:space="preserve">4.3. </w:t>
      </w:r>
      <w:r w:rsidR="00480FB1" w:rsidRPr="00A44302">
        <w:rPr>
          <w:b/>
          <w:bCs/>
          <w:sz w:val="22"/>
          <w:szCs w:val="22"/>
          <w:lang w:val="sr-Latn-ME"/>
        </w:rPr>
        <w:tab/>
      </w:r>
      <w:r w:rsidRPr="00A44302">
        <w:rPr>
          <w:b/>
          <w:bCs/>
          <w:sz w:val="22"/>
          <w:szCs w:val="22"/>
          <w:lang w:val="sr-Latn-ME"/>
        </w:rPr>
        <w:t>Kontraindikacije</w:t>
      </w:r>
    </w:p>
    <w:p w14:paraId="3E7A11F8" w14:textId="35CA484D" w:rsidR="0072020E" w:rsidRPr="00A44302" w:rsidRDefault="0072020E" w:rsidP="00C67274">
      <w:pPr>
        <w:tabs>
          <w:tab w:val="left" w:pos="540"/>
          <w:tab w:val="left" w:pos="569"/>
        </w:tabs>
        <w:jc w:val="both"/>
        <w:rPr>
          <w:bCs/>
          <w:sz w:val="22"/>
          <w:szCs w:val="22"/>
          <w:lang w:val="sr-Latn-ME"/>
        </w:rPr>
      </w:pPr>
    </w:p>
    <w:p w14:paraId="5B334D90" w14:textId="4C02EF50" w:rsidR="00F77A8D" w:rsidRPr="00A44302" w:rsidRDefault="00C026F1">
      <w:pPr>
        <w:tabs>
          <w:tab w:val="left" w:pos="540"/>
          <w:tab w:val="left" w:pos="569"/>
        </w:tabs>
        <w:jc w:val="both"/>
        <w:rPr>
          <w:bCs/>
          <w:sz w:val="22"/>
          <w:szCs w:val="22"/>
          <w:lang w:val="sr-Latn-ME"/>
        </w:rPr>
      </w:pPr>
      <w:r w:rsidRPr="00A44302">
        <w:rPr>
          <w:bCs/>
          <w:sz w:val="22"/>
          <w:szCs w:val="22"/>
          <w:lang w:val="sr-Latn-ME"/>
        </w:rPr>
        <w:t xml:space="preserve">Lijek </w:t>
      </w:r>
      <w:r w:rsidR="00F77A8D" w:rsidRPr="00A44302">
        <w:rPr>
          <w:bCs/>
          <w:sz w:val="22"/>
          <w:szCs w:val="22"/>
          <w:lang w:val="sr-Latn-ME"/>
        </w:rPr>
        <w:t>Paracetamol PharmaSwiss je kontraindikovan u slučaju:</w:t>
      </w:r>
    </w:p>
    <w:p w14:paraId="5A3375D6" w14:textId="6C09C563"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 preosjetljivosti na paracetamol ili propacetamol hidrohlorid (pro-lijek paracetamola) ili </w:t>
      </w:r>
      <w:r w:rsidR="00C026F1" w:rsidRPr="00A44302">
        <w:rPr>
          <w:bCs/>
          <w:sz w:val="22"/>
          <w:szCs w:val="22"/>
          <w:lang w:val="sr-Latn-ME"/>
        </w:rPr>
        <w:t xml:space="preserve">na bilo koju od pomoćnih supstanci lijeka navedenih u </w:t>
      </w:r>
      <w:r w:rsidR="007B6F63" w:rsidRPr="00A44302">
        <w:rPr>
          <w:bCs/>
          <w:sz w:val="22"/>
          <w:szCs w:val="22"/>
          <w:lang w:val="sr-Latn-ME"/>
        </w:rPr>
        <w:t>dijelu</w:t>
      </w:r>
      <w:r w:rsidR="00C026F1" w:rsidRPr="00A44302">
        <w:rPr>
          <w:bCs/>
          <w:sz w:val="22"/>
          <w:szCs w:val="22"/>
          <w:lang w:val="sr-Latn-ME"/>
        </w:rPr>
        <w:t xml:space="preserve"> 6.1</w:t>
      </w:r>
      <w:r w:rsidRPr="00A44302">
        <w:rPr>
          <w:bCs/>
          <w:sz w:val="22"/>
          <w:szCs w:val="22"/>
          <w:lang w:val="sr-Latn-ME"/>
        </w:rPr>
        <w:t>,</w:t>
      </w:r>
    </w:p>
    <w:p w14:paraId="033C7B7F" w14:textId="77777777" w:rsidR="00F77A8D" w:rsidRPr="00A44302" w:rsidRDefault="00F77A8D">
      <w:pPr>
        <w:tabs>
          <w:tab w:val="left" w:pos="540"/>
          <w:tab w:val="left" w:pos="569"/>
        </w:tabs>
        <w:jc w:val="both"/>
        <w:rPr>
          <w:bCs/>
          <w:sz w:val="22"/>
          <w:szCs w:val="22"/>
          <w:lang w:val="sr-Latn-ME"/>
        </w:rPr>
      </w:pPr>
      <w:r w:rsidRPr="00A44302">
        <w:rPr>
          <w:bCs/>
          <w:sz w:val="22"/>
          <w:szCs w:val="22"/>
          <w:lang w:val="sr-Latn-ME"/>
        </w:rPr>
        <w:t>- teške hepatocelularne insuficijencije.</w:t>
      </w:r>
    </w:p>
    <w:p w14:paraId="2C4481C6" w14:textId="77777777" w:rsidR="00F77A8D" w:rsidRPr="00A44302" w:rsidRDefault="00F77A8D" w:rsidP="00C67274">
      <w:pPr>
        <w:tabs>
          <w:tab w:val="left" w:pos="540"/>
          <w:tab w:val="left" w:pos="569"/>
        </w:tabs>
        <w:jc w:val="both"/>
        <w:rPr>
          <w:bCs/>
          <w:sz w:val="22"/>
          <w:szCs w:val="22"/>
          <w:lang w:val="sr-Latn-ME"/>
        </w:rPr>
      </w:pPr>
    </w:p>
    <w:p w14:paraId="6C102504" w14:textId="77777777" w:rsidR="00411B4B" w:rsidRPr="00A44302" w:rsidRDefault="00411B4B" w:rsidP="00C67274">
      <w:pPr>
        <w:tabs>
          <w:tab w:val="left" w:pos="540"/>
          <w:tab w:val="left" w:pos="569"/>
        </w:tabs>
        <w:jc w:val="both"/>
        <w:rPr>
          <w:b/>
          <w:bCs/>
          <w:sz w:val="22"/>
          <w:szCs w:val="22"/>
          <w:lang w:val="sr-Latn-ME"/>
        </w:rPr>
      </w:pPr>
      <w:r w:rsidRPr="00A44302">
        <w:rPr>
          <w:b/>
          <w:bCs/>
          <w:sz w:val="22"/>
          <w:szCs w:val="22"/>
          <w:lang w:val="sr-Latn-ME"/>
        </w:rPr>
        <w:t xml:space="preserve">4.4. </w:t>
      </w:r>
      <w:r w:rsidR="00480FB1" w:rsidRPr="00A44302">
        <w:rPr>
          <w:b/>
          <w:bCs/>
          <w:sz w:val="22"/>
          <w:szCs w:val="22"/>
          <w:lang w:val="sr-Latn-ME"/>
        </w:rPr>
        <w:tab/>
      </w:r>
      <w:r w:rsidRPr="00A44302">
        <w:rPr>
          <w:b/>
          <w:bCs/>
          <w:sz w:val="22"/>
          <w:szCs w:val="22"/>
          <w:lang w:val="sr-Latn-ME"/>
        </w:rPr>
        <w:t>Posebna upozorenja i mjere opreza pri upotrebi lijeka</w:t>
      </w:r>
    </w:p>
    <w:p w14:paraId="4269070F" w14:textId="77777777" w:rsidR="0072020E" w:rsidRPr="00A44302" w:rsidRDefault="0072020E" w:rsidP="00C67274">
      <w:pPr>
        <w:tabs>
          <w:tab w:val="left" w:pos="540"/>
          <w:tab w:val="left" w:pos="569"/>
        </w:tabs>
        <w:jc w:val="both"/>
        <w:rPr>
          <w:bCs/>
          <w:sz w:val="22"/>
          <w:szCs w:val="22"/>
          <w:lang w:val="sr-Latn-ME"/>
        </w:rPr>
      </w:pPr>
    </w:p>
    <w:p w14:paraId="6B8A7028" w14:textId="77777777" w:rsidR="00F77A8D" w:rsidRPr="00A44302" w:rsidRDefault="00F77A8D" w:rsidP="00C67274">
      <w:pPr>
        <w:tabs>
          <w:tab w:val="left" w:pos="540"/>
          <w:tab w:val="left" w:pos="569"/>
        </w:tabs>
        <w:jc w:val="both"/>
        <w:rPr>
          <w:b/>
          <w:bCs/>
          <w:sz w:val="22"/>
          <w:szCs w:val="22"/>
          <w:lang w:val="sr-Latn-ME"/>
        </w:rPr>
      </w:pPr>
      <w:r w:rsidRPr="00A44302">
        <w:rPr>
          <w:b/>
          <w:bCs/>
          <w:noProof/>
          <w:sz w:val="22"/>
          <w:szCs w:val="22"/>
          <w:lang w:val="sr-Latn-ME"/>
        </w:rPr>
        <mc:AlternateContent>
          <mc:Choice Requires="wps">
            <w:drawing>
              <wp:anchor distT="45720" distB="45720" distL="114300" distR="114300" simplePos="0" relativeHeight="251659264" behindDoc="0" locked="0" layoutInCell="1" allowOverlap="1" wp14:anchorId="27CD39AB" wp14:editId="072A0FA5">
                <wp:simplePos x="0" y="0"/>
                <wp:positionH relativeFrom="margin">
                  <wp:posOffset>-1270</wp:posOffset>
                </wp:positionH>
                <wp:positionV relativeFrom="paragraph">
                  <wp:posOffset>307340</wp:posOffset>
                </wp:positionV>
                <wp:extent cx="5743575" cy="609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09600"/>
                        </a:xfrm>
                        <a:prstGeom prst="rect">
                          <a:avLst/>
                        </a:prstGeom>
                        <a:solidFill>
                          <a:srgbClr val="FFFFFF"/>
                        </a:solidFill>
                        <a:ln w="9525">
                          <a:solidFill>
                            <a:srgbClr val="000000"/>
                          </a:solidFill>
                          <a:miter lim="800000"/>
                          <a:headEnd/>
                          <a:tailEnd/>
                        </a:ln>
                      </wps:spPr>
                      <wps:txbx>
                        <w:txbxContent>
                          <w:p w14:paraId="33FF9EC1" w14:textId="77777777" w:rsidR="000F5348" w:rsidRDefault="000F5348" w:rsidP="00F77A8D">
                            <w:pPr>
                              <w:pStyle w:val="Header"/>
                              <w:tabs>
                                <w:tab w:val="left" w:pos="284"/>
                              </w:tabs>
                              <w:rPr>
                                <w:b/>
                                <w:sz w:val="22"/>
                                <w:szCs w:val="22"/>
                                <w:lang w:val="sr-Latn-CS"/>
                              </w:rPr>
                            </w:pPr>
                            <w:r w:rsidRPr="00411DE6">
                              <w:rPr>
                                <w:b/>
                                <w:sz w:val="22"/>
                                <w:szCs w:val="22"/>
                                <w:lang w:val="sr-Latn-CS"/>
                              </w:rPr>
                              <w:t xml:space="preserve">RIZIK OD MEDICINSKIH GREŠAKA </w:t>
                            </w:r>
                          </w:p>
                          <w:p w14:paraId="707A1DDD" w14:textId="67E68613" w:rsidR="000F5348" w:rsidRPr="0072545C" w:rsidRDefault="000F5348" w:rsidP="00F77A8D">
                            <w:pPr>
                              <w:rPr>
                                <w:lang w:val="sr-Latn-CS"/>
                              </w:rPr>
                            </w:pPr>
                            <w:r>
                              <w:rPr>
                                <w:sz w:val="22"/>
                                <w:szCs w:val="22"/>
                                <w:lang w:val="sr-Latn-CS"/>
                              </w:rPr>
                              <w:t>Pazite da ne napravite grešku u doziranju zbog zabune</w:t>
                            </w:r>
                            <w:r w:rsidRPr="00411DE6">
                              <w:rPr>
                                <w:sz w:val="22"/>
                                <w:szCs w:val="22"/>
                                <w:lang w:val="sr-Latn-CS"/>
                              </w:rPr>
                              <w:t xml:space="preserve"> između miligrama (mg) i mililitara (m</w:t>
                            </w:r>
                            <w:r>
                              <w:rPr>
                                <w:sz w:val="22"/>
                                <w:szCs w:val="22"/>
                                <w:lang w:val="sr-Latn-CS"/>
                              </w:rPr>
                              <w:t>l</w:t>
                            </w:r>
                            <w:r w:rsidRPr="00411DE6">
                              <w:rPr>
                                <w:sz w:val="22"/>
                                <w:szCs w:val="22"/>
                                <w:lang w:val="sr-Latn-CS"/>
                              </w:rPr>
                              <w:t>), jer može doći do slučajnog predoziranja i smrt</w:t>
                            </w:r>
                            <w:r>
                              <w:rPr>
                                <w:sz w:val="22"/>
                                <w:szCs w:val="22"/>
                                <w:lang w:val="sr-Latn-CS"/>
                              </w:rPr>
                              <w:t>nog ishoda</w:t>
                            </w:r>
                            <w:r w:rsidRPr="00411DE6">
                              <w:rPr>
                                <w:sz w:val="22"/>
                                <w:szCs w:val="22"/>
                                <w:lang w:val="sr-Latn-CS"/>
                              </w:rPr>
                              <w:t xml:space="preserve"> (vid</w:t>
                            </w:r>
                            <w:r>
                              <w:rPr>
                                <w:sz w:val="22"/>
                                <w:szCs w:val="22"/>
                                <w:lang w:val="sr-Latn-CS"/>
                              </w:rPr>
                              <w:t>j</w:t>
                            </w:r>
                            <w:r w:rsidRPr="00411DE6">
                              <w:rPr>
                                <w:sz w:val="22"/>
                                <w:szCs w:val="22"/>
                                <w:lang w:val="sr-Latn-CS"/>
                              </w:rPr>
                              <w:t xml:space="preserve">eti </w:t>
                            </w:r>
                            <w:r>
                              <w:rPr>
                                <w:sz w:val="22"/>
                                <w:szCs w:val="22"/>
                                <w:lang w:val="sr-Latn-CS"/>
                              </w:rPr>
                              <w:t>dio</w:t>
                            </w:r>
                            <w:r w:rsidRPr="00411DE6">
                              <w:rPr>
                                <w:sz w:val="22"/>
                                <w:szCs w:val="22"/>
                                <w:lang w:val="sr-Latn-CS"/>
                              </w:rPr>
                              <w:t xml:space="preserve"> 4.2)</w:t>
                            </w:r>
                            <w:r>
                              <w:rPr>
                                <w:sz w:val="22"/>
                                <w:szCs w:val="22"/>
                                <w:lang w:val="sr-Latn-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7CD39AB" id="_x0000_t202" coordsize="21600,21600" o:spt="202" path="m,l,21600r21600,l21600,xe">
                <v:stroke joinstyle="miter"/>
                <v:path gradientshapeok="t" o:connecttype="rect"/>
              </v:shapetype>
              <v:shape id="Text Box 2" o:spid="_x0000_s1026" type="#_x0000_t202" style="position:absolute;left:0;text-align:left;margin-left:-.1pt;margin-top:24.2pt;width:45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hiEQIAAB8EAAAOAAAAZHJzL2Uyb0RvYy54bWysU9uO2yAQfa/Uf0C8N3bSOLux4qy22aaq&#10;tL1I234AxjhGBYYCiZ1+/Q44m4227UtVHhDDDIeZM2dWN4NW5CCcl2AqOp3klAjDoZFmV9Hv37Zv&#10;rin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">
                <v:textbox>
                  <w:txbxContent>
                    <w:p w14:paraId="33FF9EC1" w14:textId="77777777" w:rsidR="000F5348" w:rsidRDefault="000F5348" w:rsidP="00F77A8D">
                      <w:pPr>
                        <w:pStyle w:val="Header"/>
                        <w:tabs>
                          <w:tab w:val="left" w:pos="284"/>
                        </w:tabs>
                        <w:rPr>
                          <w:b/>
                          <w:sz w:val="22"/>
                          <w:szCs w:val="22"/>
                          <w:lang w:val="sr-Latn-CS"/>
                        </w:rPr>
                      </w:pPr>
                      <w:r w:rsidRPr="00411DE6">
                        <w:rPr>
                          <w:b/>
                          <w:sz w:val="22"/>
                          <w:szCs w:val="22"/>
                          <w:lang w:val="sr-Latn-CS"/>
                        </w:rPr>
                        <w:t xml:space="preserve">RIZIK OD MEDICINSKIH GREŠAKA </w:t>
                      </w:r>
                    </w:p>
                    <w:p w14:paraId="707A1DDD" w14:textId="67E68613" w:rsidR="000F5348" w:rsidRPr="0072545C" w:rsidRDefault="000F5348" w:rsidP="00F77A8D">
                      <w:pPr>
                        <w:rPr>
                          <w:lang w:val="sr-Latn-CS"/>
                        </w:rPr>
                      </w:pPr>
                      <w:r>
                        <w:rPr>
                          <w:sz w:val="22"/>
                          <w:szCs w:val="22"/>
                          <w:lang w:val="sr-Latn-CS"/>
                        </w:rPr>
                        <w:t>Pazite da ne napravite grešku u doziranju zbog zabune</w:t>
                      </w:r>
                      <w:r w:rsidRPr="00411DE6">
                        <w:rPr>
                          <w:sz w:val="22"/>
                          <w:szCs w:val="22"/>
                          <w:lang w:val="sr-Latn-CS"/>
                        </w:rPr>
                        <w:t xml:space="preserve"> između miligrama (mg) i mililitara (m</w:t>
                      </w:r>
                      <w:r>
                        <w:rPr>
                          <w:sz w:val="22"/>
                          <w:szCs w:val="22"/>
                          <w:lang w:val="sr-Latn-CS"/>
                        </w:rPr>
                        <w:t>l</w:t>
                      </w:r>
                      <w:r w:rsidRPr="00411DE6">
                        <w:rPr>
                          <w:sz w:val="22"/>
                          <w:szCs w:val="22"/>
                          <w:lang w:val="sr-Latn-CS"/>
                        </w:rPr>
                        <w:t>), jer može doći do slučajnog predoziranja i smrt</w:t>
                      </w:r>
                      <w:r>
                        <w:rPr>
                          <w:sz w:val="22"/>
                          <w:szCs w:val="22"/>
                          <w:lang w:val="sr-Latn-CS"/>
                        </w:rPr>
                        <w:t>nog ishoda</w:t>
                      </w:r>
                      <w:r w:rsidRPr="00411DE6">
                        <w:rPr>
                          <w:sz w:val="22"/>
                          <w:szCs w:val="22"/>
                          <w:lang w:val="sr-Latn-CS"/>
                        </w:rPr>
                        <w:t xml:space="preserve"> (vid</w:t>
                      </w:r>
                      <w:r>
                        <w:rPr>
                          <w:sz w:val="22"/>
                          <w:szCs w:val="22"/>
                          <w:lang w:val="sr-Latn-CS"/>
                        </w:rPr>
                        <w:t>j</w:t>
                      </w:r>
                      <w:r w:rsidRPr="00411DE6">
                        <w:rPr>
                          <w:sz w:val="22"/>
                          <w:szCs w:val="22"/>
                          <w:lang w:val="sr-Latn-CS"/>
                        </w:rPr>
                        <w:t xml:space="preserve">eti </w:t>
                      </w:r>
                      <w:r>
                        <w:rPr>
                          <w:sz w:val="22"/>
                          <w:szCs w:val="22"/>
                          <w:lang w:val="sr-Latn-CS"/>
                        </w:rPr>
                        <w:t>dio</w:t>
                      </w:r>
                      <w:r w:rsidRPr="00411DE6">
                        <w:rPr>
                          <w:sz w:val="22"/>
                          <w:szCs w:val="22"/>
                          <w:lang w:val="sr-Latn-CS"/>
                        </w:rPr>
                        <w:t xml:space="preserve"> 4.2)</w:t>
                      </w:r>
                      <w:r>
                        <w:rPr>
                          <w:sz w:val="22"/>
                          <w:szCs w:val="22"/>
                          <w:lang w:val="sr-Latn-CS"/>
                        </w:rPr>
                        <w:t>.</w:t>
                      </w:r>
                    </w:p>
                  </w:txbxContent>
                </v:textbox>
                <w10:wrap type="square" anchorx="margin"/>
              </v:shape>
            </w:pict>
          </mc:Fallback>
        </mc:AlternateContent>
      </w:r>
      <w:r w:rsidRPr="00A44302">
        <w:rPr>
          <w:b/>
          <w:bCs/>
          <w:sz w:val="22"/>
          <w:szCs w:val="22"/>
          <w:lang w:val="sr-Latn-ME"/>
        </w:rPr>
        <w:t>Upozorenja</w:t>
      </w:r>
    </w:p>
    <w:p w14:paraId="38FD90FD" w14:textId="30DDBCDD" w:rsidR="00F77A8D" w:rsidRPr="00A44302" w:rsidRDefault="00F77A8D">
      <w:pPr>
        <w:tabs>
          <w:tab w:val="left" w:pos="540"/>
          <w:tab w:val="left" w:pos="569"/>
        </w:tabs>
        <w:jc w:val="both"/>
        <w:rPr>
          <w:bCs/>
          <w:sz w:val="22"/>
          <w:szCs w:val="22"/>
          <w:lang w:val="sr-Latn-ME"/>
        </w:rPr>
      </w:pPr>
      <w:r w:rsidRPr="00A44302">
        <w:rPr>
          <w:bCs/>
          <w:sz w:val="22"/>
          <w:szCs w:val="22"/>
          <w:lang w:val="sr-Latn-ME"/>
        </w:rPr>
        <w:t>Preporučuje se primjena odgovarajućeg analgetika za oralnu primjenu čim taj način primjene postane moguć.</w:t>
      </w:r>
    </w:p>
    <w:p w14:paraId="45A33151" w14:textId="77777777" w:rsidR="00C026F1" w:rsidRPr="00A44302" w:rsidRDefault="00C026F1">
      <w:pPr>
        <w:tabs>
          <w:tab w:val="left" w:pos="540"/>
          <w:tab w:val="left" w:pos="569"/>
        </w:tabs>
        <w:jc w:val="both"/>
        <w:rPr>
          <w:bCs/>
          <w:sz w:val="22"/>
          <w:szCs w:val="22"/>
          <w:lang w:val="sr-Latn-ME"/>
        </w:rPr>
      </w:pPr>
    </w:p>
    <w:p w14:paraId="6126D771" w14:textId="446BE880" w:rsidR="00C026F1" w:rsidRPr="00A44302" w:rsidRDefault="00F77A8D">
      <w:pPr>
        <w:tabs>
          <w:tab w:val="left" w:pos="540"/>
          <w:tab w:val="left" w:pos="569"/>
        </w:tabs>
        <w:jc w:val="both"/>
        <w:rPr>
          <w:bCs/>
          <w:sz w:val="22"/>
          <w:szCs w:val="22"/>
          <w:lang w:val="sr-Latn-ME"/>
        </w:rPr>
      </w:pPr>
      <w:r w:rsidRPr="00A44302">
        <w:rPr>
          <w:bCs/>
          <w:sz w:val="22"/>
          <w:szCs w:val="22"/>
          <w:lang w:val="sr-Latn-ME"/>
        </w:rPr>
        <w:t>Da bi se izbjegao rizik od predoziranja,</w:t>
      </w:r>
      <w:r w:rsidR="00C026F1" w:rsidRPr="00A44302">
        <w:rPr>
          <w:sz w:val="22"/>
          <w:szCs w:val="22"/>
          <w:lang w:val="sr-Latn-ME"/>
        </w:rPr>
        <w:t xml:space="preserve"> </w:t>
      </w:r>
      <w:r w:rsidR="00C026F1" w:rsidRPr="00A44302">
        <w:rPr>
          <w:bCs/>
          <w:sz w:val="22"/>
          <w:szCs w:val="22"/>
          <w:lang w:val="sr-Latn-ME"/>
        </w:rPr>
        <w:t>provjerite da drugi ljekovi koji se primjenjuju ne sadrže paracetamol ni propacetamol</w:t>
      </w:r>
      <w:r w:rsidRPr="00A44302">
        <w:rPr>
          <w:bCs/>
          <w:sz w:val="22"/>
          <w:szCs w:val="22"/>
          <w:lang w:val="sr-Latn-ME"/>
        </w:rPr>
        <w:t>.</w:t>
      </w:r>
    </w:p>
    <w:p w14:paraId="72B00775" w14:textId="20A7D1C3"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 </w:t>
      </w:r>
    </w:p>
    <w:p w14:paraId="661B13A1" w14:textId="0BAF55DA" w:rsidR="00F77A8D" w:rsidRPr="00A44302" w:rsidRDefault="00C026F1">
      <w:pPr>
        <w:tabs>
          <w:tab w:val="left" w:pos="540"/>
          <w:tab w:val="left" w:pos="569"/>
        </w:tabs>
        <w:jc w:val="both"/>
        <w:rPr>
          <w:bCs/>
          <w:sz w:val="22"/>
          <w:szCs w:val="22"/>
          <w:lang w:val="sr-Latn-ME"/>
        </w:rPr>
      </w:pPr>
      <w:r w:rsidRPr="00A44302">
        <w:rPr>
          <w:bCs/>
          <w:sz w:val="22"/>
          <w:szCs w:val="22"/>
          <w:lang w:val="sr-Latn-ME"/>
        </w:rPr>
        <w:t>Doze veće od preporučenih nose rizik za ozbiljna oštećenja jetre.</w:t>
      </w:r>
      <w:r w:rsidR="00F77A8D" w:rsidRPr="00A44302">
        <w:rPr>
          <w:bCs/>
          <w:sz w:val="22"/>
          <w:szCs w:val="22"/>
          <w:lang w:val="sr-Latn-ME"/>
        </w:rPr>
        <w:t xml:space="preserve"> Klinički simptomi i znaci oštećenja jetre (uključujući fulminantni hepatitis, insuficijenciju jetre, holestatski hepatitis, citolitički hepatitis) se </w:t>
      </w:r>
      <w:r w:rsidRPr="00A44302">
        <w:rPr>
          <w:bCs/>
          <w:sz w:val="22"/>
          <w:szCs w:val="22"/>
          <w:lang w:val="sr-Latn-ME"/>
        </w:rPr>
        <w:t>obično</w:t>
      </w:r>
      <w:r w:rsidR="00F77A8D" w:rsidRPr="00A44302">
        <w:rPr>
          <w:bCs/>
          <w:sz w:val="22"/>
          <w:szCs w:val="22"/>
          <w:lang w:val="sr-Latn-ME"/>
        </w:rPr>
        <w:t xml:space="preserve"> mogu primijetiti najranije poslije dva dana nakon </w:t>
      </w:r>
      <w:r w:rsidRPr="00A44302">
        <w:rPr>
          <w:bCs/>
          <w:sz w:val="22"/>
          <w:szCs w:val="22"/>
          <w:lang w:val="sr-Latn-ME"/>
        </w:rPr>
        <w:t>primjene lijeka</w:t>
      </w:r>
      <w:r w:rsidR="00F77A8D" w:rsidRPr="00A44302">
        <w:rPr>
          <w:bCs/>
          <w:sz w:val="22"/>
          <w:szCs w:val="22"/>
          <w:lang w:val="sr-Latn-ME"/>
        </w:rPr>
        <w:t xml:space="preserve">, a najizraženiji su 4-6 dana nakon primjene. U tom slučaju treba što prije dati antidot (vidjeti </w:t>
      </w:r>
      <w:r w:rsidR="007B6F63" w:rsidRPr="00A44302">
        <w:rPr>
          <w:bCs/>
          <w:sz w:val="22"/>
          <w:szCs w:val="22"/>
          <w:lang w:val="sr-Latn-ME"/>
        </w:rPr>
        <w:t>dio</w:t>
      </w:r>
      <w:r w:rsidRPr="00A44302">
        <w:rPr>
          <w:bCs/>
          <w:sz w:val="22"/>
          <w:szCs w:val="22"/>
          <w:lang w:val="sr-Latn-ME"/>
        </w:rPr>
        <w:t xml:space="preserve"> </w:t>
      </w:r>
      <w:r w:rsidR="00F77A8D" w:rsidRPr="00A44302">
        <w:rPr>
          <w:bCs/>
          <w:sz w:val="22"/>
          <w:szCs w:val="22"/>
          <w:lang w:val="sr-Latn-ME"/>
        </w:rPr>
        <w:t xml:space="preserve">4.9). </w:t>
      </w:r>
    </w:p>
    <w:p w14:paraId="37CCF8B5" w14:textId="77777777" w:rsidR="00F77A8D" w:rsidRPr="00A44302" w:rsidRDefault="00F77A8D">
      <w:pPr>
        <w:tabs>
          <w:tab w:val="left" w:pos="540"/>
          <w:tab w:val="left" w:pos="569"/>
        </w:tabs>
        <w:jc w:val="both"/>
        <w:rPr>
          <w:bCs/>
          <w:sz w:val="22"/>
          <w:szCs w:val="22"/>
          <w:lang w:val="sr-Latn-ME"/>
        </w:rPr>
      </w:pPr>
    </w:p>
    <w:p w14:paraId="4D6DFCD6" w14:textId="3B55DCD5" w:rsidR="00F77A8D" w:rsidRPr="00A44302" w:rsidRDefault="00C026F1">
      <w:pPr>
        <w:tabs>
          <w:tab w:val="left" w:pos="540"/>
          <w:tab w:val="left" w:pos="569"/>
        </w:tabs>
        <w:jc w:val="both"/>
        <w:rPr>
          <w:bCs/>
          <w:sz w:val="22"/>
          <w:szCs w:val="22"/>
          <w:lang w:val="sr-Latn-ME"/>
        </w:rPr>
      </w:pPr>
      <w:r w:rsidRPr="00A44302">
        <w:rPr>
          <w:bCs/>
          <w:sz w:val="22"/>
          <w:szCs w:val="22"/>
          <w:lang w:val="sr-Latn-ME"/>
        </w:rPr>
        <w:t>Paracetamol može izazvati ozbiljne reakcije na koži. Pacijente je potrebno informisati o ranim znacima ozbiljnih reakcija na koži. Primjenu paracetamola treba prekinuti ukoliko se pojave znaci osipa ili drugi simptomi preosjetljivosti.</w:t>
      </w:r>
    </w:p>
    <w:p w14:paraId="0F8989B8" w14:textId="77777777" w:rsidR="00F77A8D" w:rsidRPr="00A44302" w:rsidRDefault="00F77A8D">
      <w:pPr>
        <w:tabs>
          <w:tab w:val="left" w:pos="540"/>
          <w:tab w:val="left" w:pos="569"/>
        </w:tabs>
        <w:jc w:val="both"/>
        <w:rPr>
          <w:bCs/>
          <w:sz w:val="22"/>
          <w:szCs w:val="22"/>
          <w:lang w:val="sr-Latn-ME"/>
        </w:rPr>
      </w:pPr>
    </w:p>
    <w:p w14:paraId="2A750181" w14:textId="0DFBB039"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Kao i kod svih rastvora za infuziju u staklenim bocama, potrebna je pažljiva kontrola naročito na kraju infuzije (vidjeti </w:t>
      </w:r>
      <w:r w:rsidR="007B6F63" w:rsidRPr="00A44302">
        <w:rPr>
          <w:bCs/>
          <w:sz w:val="22"/>
          <w:szCs w:val="22"/>
          <w:lang w:val="sr-Latn-ME"/>
        </w:rPr>
        <w:t>dio</w:t>
      </w:r>
      <w:r w:rsidRPr="00A44302">
        <w:rPr>
          <w:bCs/>
          <w:sz w:val="22"/>
          <w:szCs w:val="22"/>
          <w:lang w:val="sr-Latn-ME"/>
        </w:rPr>
        <w:t xml:space="preserve"> 4.2).</w:t>
      </w:r>
    </w:p>
    <w:p w14:paraId="65C78B67" w14:textId="77777777" w:rsidR="00F77A8D" w:rsidRPr="00A44302" w:rsidRDefault="00F77A8D">
      <w:pPr>
        <w:tabs>
          <w:tab w:val="left" w:pos="540"/>
          <w:tab w:val="left" w:pos="569"/>
        </w:tabs>
        <w:jc w:val="both"/>
        <w:rPr>
          <w:bCs/>
          <w:sz w:val="22"/>
          <w:szCs w:val="22"/>
          <w:lang w:val="sr-Latn-ME"/>
        </w:rPr>
      </w:pPr>
    </w:p>
    <w:p w14:paraId="333BCA95" w14:textId="308F56AF" w:rsidR="00F77A8D" w:rsidRPr="00A44302" w:rsidRDefault="00F77A8D">
      <w:pPr>
        <w:tabs>
          <w:tab w:val="left" w:pos="540"/>
          <w:tab w:val="left" w:pos="569"/>
        </w:tabs>
        <w:jc w:val="both"/>
        <w:rPr>
          <w:b/>
          <w:bCs/>
          <w:sz w:val="22"/>
          <w:szCs w:val="22"/>
          <w:lang w:val="sr-Latn-ME"/>
        </w:rPr>
      </w:pPr>
      <w:bookmarkStart w:id="2" w:name="_GoBack"/>
      <w:bookmarkEnd w:id="2"/>
      <w:r w:rsidRPr="00A44302">
        <w:rPr>
          <w:b/>
          <w:bCs/>
          <w:sz w:val="22"/>
          <w:szCs w:val="22"/>
          <w:lang w:val="sr-Latn-ME"/>
        </w:rPr>
        <w:lastRenderedPageBreak/>
        <w:t>Mjere opreza</w:t>
      </w:r>
    </w:p>
    <w:p w14:paraId="17D779A4" w14:textId="77777777" w:rsidR="00F77A8D" w:rsidRPr="00A44302" w:rsidRDefault="00F77A8D">
      <w:pPr>
        <w:tabs>
          <w:tab w:val="left" w:pos="540"/>
          <w:tab w:val="left" w:pos="569"/>
        </w:tabs>
        <w:jc w:val="both"/>
        <w:rPr>
          <w:bCs/>
          <w:sz w:val="22"/>
          <w:szCs w:val="22"/>
          <w:lang w:val="sr-Latn-ME"/>
        </w:rPr>
      </w:pPr>
    </w:p>
    <w:p w14:paraId="4062554E" w14:textId="77777777" w:rsidR="00F77A8D" w:rsidRPr="00A44302" w:rsidRDefault="00F77A8D">
      <w:pPr>
        <w:tabs>
          <w:tab w:val="left" w:pos="540"/>
          <w:tab w:val="left" w:pos="569"/>
        </w:tabs>
        <w:jc w:val="both"/>
        <w:rPr>
          <w:bCs/>
          <w:sz w:val="22"/>
          <w:szCs w:val="22"/>
          <w:lang w:val="sr-Latn-ME"/>
        </w:rPr>
      </w:pPr>
      <w:r w:rsidRPr="00A44302">
        <w:rPr>
          <w:bCs/>
          <w:sz w:val="22"/>
          <w:szCs w:val="22"/>
          <w:lang w:val="sr-Latn-ME"/>
        </w:rPr>
        <w:t>Paracetamol treba oprezno koristiti u slučaju:</w:t>
      </w:r>
    </w:p>
    <w:p w14:paraId="176F6B2E" w14:textId="63127C03" w:rsidR="00F77A8D" w:rsidRPr="00A44302" w:rsidRDefault="00F77A8D">
      <w:pPr>
        <w:pStyle w:val="ListParagraph"/>
        <w:numPr>
          <w:ilvl w:val="0"/>
          <w:numId w:val="12"/>
        </w:numPr>
        <w:tabs>
          <w:tab w:val="left" w:pos="540"/>
          <w:tab w:val="left" w:pos="569"/>
        </w:tabs>
        <w:jc w:val="both"/>
        <w:rPr>
          <w:bCs/>
          <w:sz w:val="22"/>
          <w:szCs w:val="22"/>
          <w:lang w:val="sr-Latn-ME"/>
        </w:rPr>
      </w:pPr>
      <w:r w:rsidRPr="00A44302">
        <w:rPr>
          <w:bCs/>
          <w:sz w:val="22"/>
          <w:szCs w:val="22"/>
          <w:lang w:val="sr-Latn-ME"/>
        </w:rPr>
        <w:t>hepatocelularne insuficijencije,</w:t>
      </w:r>
      <w:r w:rsidR="00C026F1" w:rsidRPr="00A44302">
        <w:rPr>
          <w:sz w:val="22"/>
          <w:szCs w:val="22"/>
          <w:lang w:val="sr-Latn-ME"/>
        </w:rPr>
        <w:t xml:space="preserve"> </w:t>
      </w:r>
      <w:r w:rsidR="00C026F1" w:rsidRPr="00A44302">
        <w:rPr>
          <w:bCs/>
          <w:sz w:val="22"/>
          <w:szCs w:val="22"/>
          <w:lang w:val="sr-Latn-ME"/>
        </w:rPr>
        <w:t>Gilbertovog sindroma,</w:t>
      </w:r>
    </w:p>
    <w:p w14:paraId="286F6F05" w14:textId="7D70D5F3" w:rsidR="00F77A8D" w:rsidRPr="00A44302" w:rsidRDefault="00F77A8D">
      <w:pPr>
        <w:pStyle w:val="ListParagraph"/>
        <w:numPr>
          <w:ilvl w:val="0"/>
          <w:numId w:val="12"/>
        </w:numPr>
        <w:tabs>
          <w:tab w:val="left" w:pos="540"/>
          <w:tab w:val="left" w:pos="569"/>
        </w:tabs>
        <w:jc w:val="both"/>
        <w:rPr>
          <w:bCs/>
          <w:sz w:val="22"/>
          <w:szCs w:val="22"/>
          <w:lang w:val="sr-Latn-ME"/>
        </w:rPr>
      </w:pPr>
      <w:r w:rsidRPr="00A44302">
        <w:rPr>
          <w:bCs/>
          <w:sz w:val="22"/>
          <w:szCs w:val="22"/>
          <w:lang w:val="sr-Latn-ME"/>
        </w:rPr>
        <w:t xml:space="preserve">teške renalne insuficijencije (klirens kreatinina ≤ 30 ml/min) (vidjeti </w:t>
      </w:r>
      <w:r w:rsidR="007B6F63" w:rsidRPr="00A44302">
        <w:rPr>
          <w:bCs/>
          <w:sz w:val="22"/>
          <w:szCs w:val="22"/>
          <w:lang w:val="sr-Latn-ME"/>
        </w:rPr>
        <w:t>djelove</w:t>
      </w:r>
      <w:r w:rsidR="00C026F1" w:rsidRPr="00A44302">
        <w:rPr>
          <w:bCs/>
          <w:sz w:val="22"/>
          <w:szCs w:val="22"/>
          <w:lang w:val="sr-Latn-ME"/>
        </w:rPr>
        <w:t xml:space="preserve"> </w:t>
      </w:r>
      <w:r w:rsidRPr="00A44302">
        <w:rPr>
          <w:bCs/>
          <w:sz w:val="22"/>
          <w:szCs w:val="22"/>
          <w:lang w:val="sr-Latn-ME"/>
        </w:rPr>
        <w:t>4.2. i 5.2.),</w:t>
      </w:r>
    </w:p>
    <w:p w14:paraId="5602EC34" w14:textId="77777777" w:rsidR="00F77A8D" w:rsidRPr="00A44302" w:rsidRDefault="00F77A8D">
      <w:pPr>
        <w:pStyle w:val="ListParagraph"/>
        <w:numPr>
          <w:ilvl w:val="0"/>
          <w:numId w:val="12"/>
        </w:numPr>
        <w:tabs>
          <w:tab w:val="left" w:pos="540"/>
          <w:tab w:val="left" w:pos="569"/>
        </w:tabs>
        <w:jc w:val="both"/>
        <w:rPr>
          <w:bCs/>
          <w:sz w:val="22"/>
          <w:szCs w:val="22"/>
          <w:lang w:val="sr-Latn-ME"/>
        </w:rPr>
      </w:pPr>
      <w:r w:rsidRPr="00A44302">
        <w:rPr>
          <w:bCs/>
          <w:sz w:val="22"/>
          <w:szCs w:val="22"/>
          <w:lang w:val="sr-Latn-ME"/>
        </w:rPr>
        <w:t>hroničnog alkoholizma,</w:t>
      </w:r>
    </w:p>
    <w:p w14:paraId="492C7B7B" w14:textId="5D85F697" w:rsidR="00F77A8D" w:rsidRPr="00A44302" w:rsidRDefault="00C026F1">
      <w:pPr>
        <w:pStyle w:val="ListParagraph"/>
        <w:numPr>
          <w:ilvl w:val="0"/>
          <w:numId w:val="12"/>
        </w:numPr>
        <w:tabs>
          <w:tab w:val="left" w:pos="540"/>
        </w:tabs>
        <w:ind w:left="567" w:hanging="294"/>
        <w:jc w:val="both"/>
        <w:rPr>
          <w:bCs/>
          <w:sz w:val="22"/>
          <w:szCs w:val="22"/>
          <w:lang w:val="sr-Latn-ME"/>
        </w:rPr>
      </w:pPr>
      <w:r w:rsidRPr="00A44302">
        <w:rPr>
          <w:bCs/>
          <w:sz w:val="22"/>
          <w:szCs w:val="22"/>
          <w:lang w:val="sr-Latn-ME"/>
        </w:rPr>
        <w:t>male rezerve hepatičkog glutationa, kao rezultat hronične malnutricije, anoreksije, bulimije ili kaheksije</w:t>
      </w:r>
      <w:r w:rsidR="00F77A8D" w:rsidRPr="00A44302">
        <w:rPr>
          <w:bCs/>
          <w:sz w:val="22"/>
          <w:szCs w:val="22"/>
          <w:lang w:val="sr-Latn-ME"/>
        </w:rPr>
        <w:t>,</w:t>
      </w:r>
    </w:p>
    <w:p w14:paraId="4C9995A6" w14:textId="77777777" w:rsidR="00C026F1" w:rsidRPr="00A44302" w:rsidRDefault="00F77A8D">
      <w:pPr>
        <w:pStyle w:val="ListParagraph"/>
        <w:numPr>
          <w:ilvl w:val="0"/>
          <w:numId w:val="12"/>
        </w:numPr>
        <w:tabs>
          <w:tab w:val="left" w:pos="540"/>
          <w:tab w:val="left" w:pos="569"/>
        </w:tabs>
        <w:jc w:val="both"/>
        <w:rPr>
          <w:bCs/>
          <w:sz w:val="22"/>
          <w:szCs w:val="22"/>
          <w:lang w:val="sr-Latn-ME"/>
        </w:rPr>
      </w:pPr>
      <w:r w:rsidRPr="00A44302">
        <w:rPr>
          <w:bCs/>
          <w:sz w:val="22"/>
          <w:szCs w:val="22"/>
          <w:lang w:val="sr-Latn-ME"/>
        </w:rPr>
        <w:t>dehidratacije</w:t>
      </w:r>
      <w:r w:rsidR="00C026F1" w:rsidRPr="00A44302">
        <w:rPr>
          <w:bCs/>
          <w:sz w:val="22"/>
          <w:szCs w:val="22"/>
          <w:lang w:val="sr-Latn-ME"/>
        </w:rPr>
        <w:t>,</w:t>
      </w:r>
    </w:p>
    <w:p w14:paraId="4A89E970" w14:textId="47998B07" w:rsidR="00F77A8D" w:rsidRPr="00A44302" w:rsidRDefault="00C026F1">
      <w:pPr>
        <w:pStyle w:val="ListParagraph"/>
        <w:numPr>
          <w:ilvl w:val="0"/>
          <w:numId w:val="12"/>
        </w:numPr>
        <w:tabs>
          <w:tab w:val="left" w:pos="540"/>
          <w:tab w:val="left" w:pos="569"/>
        </w:tabs>
        <w:jc w:val="both"/>
        <w:rPr>
          <w:bCs/>
          <w:sz w:val="22"/>
          <w:szCs w:val="22"/>
          <w:lang w:val="sr-Latn-ME"/>
        </w:rPr>
      </w:pPr>
      <w:r w:rsidRPr="00A44302">
        <w:rPr>
          <w:bCs/>
          <w:sz w:val="22"/>
          <w:szCs w:val="22"/>
          <w:lang w:val="sr-Latn-ME"/>
        </w:rPr>
        <w:t>deficita glukoza-6-fosfat dehidrogenaze (može izazvati hemolitičku anemiju)</w:t>
      </w:r>
      <w:r w:rsidR="00F77A8D" w:rsidRPr="00A44302">
        <w:rPr>
          <w:bCs/>
          <w:sz w:val="22"/>
          <w:szCs w:val="22"/>
          <w:lang w:val="sr-Latn-ME"/>
        </w:rPr>
        <w:t>.</w:t>
      </w:r>
    </w:p>
    <w:p w14:paraId="1552F7E7" w14:textId="6CB19682" w:rsidR="00057E35" w:rsidRPr="00A44302" w:rsidRDefault="00057E35" w:rsidP="00C67274">
      <w:pPr>
        <w:tabs>
          <w:tab w:val="left" w:pos="540"/>
          <w:tab w:val="left" w:pos="569"/>
        </w:tabs>
        <w:jc w:val="both"/>
        <w:rPr>
          <w:bCs/>
          <w:sz w:val="22"/>
          <w:szCs w:val="22"/>
          <w:lang w:val="sr-Latn-ME"/>
        </w:rPr>
      </w:pPr>
    </w:p>
    <w:p w14:paraId="582EE8D6" w14:textId="365ADAFA" w:rsidR="008932A2" w:rsidRPr="00A44302" w:rsidRDefault="008932A2">
      <w:pPr>
        <w:tabs>
          <w:tab w:val="left" w:pos="284"/>
        </w:tabs>
        <w:jc w:val="both"/>
        <w:rPr>
          <w:sz w:val="22"/>
          <w:szCs w:val="22"/>
          <w:lang w:val="sr-Latn-ME"/>
        </w:rPr>
      </w:pPr>
      <w:r w:rsidRPr="00A44302">
        <w:rPr>
          <w:sz w:val="22"/>
          <w:szCs w:val="22"/>
          <w:lang w:val="sr-Latn-ME"/>
        </w:rPr>
        <w:t xml:space="preserve">Savjetuje se oprez ako se paracetamol primjenjuje istovremeno sa flukloksacilinom, zbog povećanog rizika od metaboličke acidoze sa povišenim anjonskim jazom (eng. </w:t>
      </w:r>
      <w:r w:rsidRPr="00A44302">
        <w:rPr>
          <w:i/>
          <w:iCs/>
          <w:sz w:val="22"/>
          <w:szCs w:val="22"/>
          <w:lang w:val="sr-Latn-ME"/>
        </w:rPr>
        <w:t>high anion gap metabolic acidosis, HAGMA</w:t>
      </w:r>
      <w:r w:rsidRPr="00A44302">
        <w:rPr>
          <w:sz w:val="22"/>
          <w:szCs w:val="22"/>
          <w:lang w:val="sr-Latn-ME"/>
        </w:rPr>
        <w:t>), naročito kod pacijenata sa teškim oštećenjem funkcije bubrega, sepsom, malnutricijom i drugim uzrocima nedostatka glutationa (npr. hronični alkoholizam), kao i kod onih koji uzimaju maksimalne dnevne doze paracetamola. Preporučuje se pažljivo praćenje, uključujući i praćenje preko m</w:t>
      </w:r>
      <w:r w:rsidR="007B6F63" w:rsidRPr="00A44302">
        <w:rPr>
          <w:sz w:val="22"/>
          <w:szCs w:val="22"/>
          <w:lang w:val="sr-Latn-ME"/>
        </w:rPr>
        <w:t>j</w:t>
      </w:r>
      <w:r w:rsidRPr="00A44302">
        <w:rPr>
          <w:sz w:val="22"/>
          <w:szCs w:val="22"/>
          <w:lang w:val="sr-Latn-ME"/>
        </w:rPr>
        <w:t>erenja 5-oksoprolina u urinu.</w:t>
      </w:r>
    </w:p>
    <w:p w14:paraId="7DCA9E2C" w14:textId="77777777" w:rsidR="008932A2" w:rsidRPr="00A44302" w:rsidRDefault="008932A2" w:rsidP="00C67274">
      <w:pPr>
        <w:tabs>
          <w:tab w:val="left" w:pos="540"/>
          <w:tab w:val="left" w:pos="569"/>
        </w:tabs>
        <w:jc w:val="both"/>
        <w:rPr>
          <w:bCs/>
          <w:sz w:val="22"/>
          <w:szCs w:val="22"/>
          <w:lang w:val="sr-Latn-ME"/>
        </w:rPr>
      </w:pPr>
    </w:p>
    <w:p w14:paraId="73E7E917" w14:textId="7C8A3594" w:rsidR="00C026F1" w:rsidRPr="00A44302" w:rsidRDefault="00C026F1" w:rsidP="00C67274">
      <w:pPr>
        <w:jc w:val="both"/>
        <w:rPr>
          <w:b/>
          <w:sz w:val="22"/>
          <w:szCs w:val="22"/>
          <w:lang w:val="sr-Latn-ME" w:eastAsia="x-none"/>
        </w:rPr>
      </w:pPr>
      <w:r w:rsidRPr="00A44302">
        <w:rPr>
          <w:b/>
          <w:sz w:val="22"/>
          <w:szCs w:val="22"/>
          <w:lang w:val="sr-Latn-ME" w:eastAsia="x-none"/>
        </w:rPr>
        <w:t>Lijek Paracetamol PharmaSwiss sadrži manje od 1 mmol natrijuma (23 mg) u 100 ml rastvora za infuziju, odnosno suštinski je bez natrijuma.</w:t>
      </w:r>
    </w:p>
    <w:p w14:paraId="713C4E05" w14:textId="77777777" w:rsidR="00C026F1" w:rsidRPr="00A44302" w:rsidRDefault="00C026F1" w:rsidP="00C67274">
      <w:pPr>
        <w:tabs>
          <w:tab w:val="left" w:pos="540"/>
          <w:tab w:val="left" w:pos="569"/>
        </w:tabs>
        <w:jc w:val="both"/>
        <w:rPr>
          <w:bCs/>
          <w:sz w:val="22"/>
          <w:szCs w:val="22"/>
          <w:lang w:val="sr-Latn-ME"/>
        </w:rPr>
      </w:pPr>
    </w:p>
    <w:p w14:paraId="2AFD110A" w14:textId="77777777" w:rsidR="00411B4B" w:rsidRPr="00A44302" w:rsidRDefault="00411B4B" w:rsidP="00C67274">
      <w:pPr>
        <w:tabs>
          <w:tab w:val="left" w:pos="540"/>
          <w:tab w:val="left" w:pos="569"/>
        </w:tabs>
        <w:jc w:val="both"/>
        <w:rPr>
          <w:b/>
          <w:bCs/>
          <w:sz w:val="22"/>
          <w:szCs w:val="22"/>
          <w:lang w:val="sr-Latn-ME"/>
        </w:rPr>
      </w:pPr>
      <w:r w:rsidRPr="00A44302">
        <w:rPr>
          <w:b/>
          <w:bCs/>
          <w:sz w:val="22"/>
          <w:szCs w:val="22"/>
          <w:lang w:val="sr-Latn-ME"/>
        </w:rPr>
        <w:t>4.5.</w:t>
      </w:r>
      <w:r w:rsidR="000D60CC" w:rsidRPr="00A44302">
        <w:rPr>
          <w:b/>
          <w:bCs/>
          <w:sz w:val="22"/>
          <w:szCs w:val="22"/>
          <w:lang w:val="sr-Latn-ME"/>
        </w:rPr>
        <w:tab/>
      </w:r>
      <w:r w:rsidRPr="00A44302">
        <w:rPr>
          <w:b/>
          <w:bCs/>
          <w:sz w:val="22"/>
          <w:szCs w:val="22"/>
          <w:lang w:val="sr-Latn-ME"/>
        </w:rPr>
        <w:t>Interakcije sa drugim ljekovima i druge vrste interakcija</w:t>
      </w:r>
    </w:p>
    <w:p w14:paraId="49838858" w14:textId="1E520DE9" w:rsidR="0072020E" w:rsidRPr="00A44302" w:rsidRDefault="0072020E" w:rsidP="00C67274">
      <w:pPr>
        <w:tabs>
          <w:tab w:val="left" w:pos="540"/>
          <w:tab w:val="left" w:pos="569"/>
        </w:tabs>
        <w:jc w:val="both"/>
        <w:rPr>
          <w:bCs/>
          <w:sz w:val="22"/>
          <w:szCs w:val="22"/>
          <w:lang w:val="sr-Latn-ME"/>
        </w:rPr>
      </w:pPr>
    </w:p>
    <w:p w14:paraId="256EE88D" w14:textId="260469EC" w:rsidR="00F77A8D" w:rsidRPr="00A44302" w:rsidRDefault="00F77A8D">
      <w:pPr>
        <w:pStyle w:val="ListParagraph"/>
        <w:numPr>
          <w:ilvl w:val="0"/>
          <w:numId w:val="13"/>
        </w:numPr>
        <w:tabs>
          <w:tab w:val="left" w:pos="540"/>
          <w:tab w:val="left" w:pos="569"/>
        </w:tabs>
        <w:ind w:left="527" w:hanging="170"/>
        <w:jc w:val="both"/>
        <w:rPr>
          <w:bCs/>
          <w:sz w:val="22"/>
          <w:szCs w:val="22"/>
          <w:lang w:val="sr-Latn-ME"/>
        </w:rPr>
      </w:pPr>
      <w:r w:rsidRPr="00A44302">
        <w:rPr>
          <w:bCs/>
          <w:sz w:val="22"/>
          <w:szCs w:val="22"/>
          <w:lang w:val="sr-Latn-ME"/>
        </w:rPr>
        <w:t>Probenecid izaziva skoro dvostruko smanjenje klirensa paracetamola tako što inhibira njegovu konjugaciju sa  glukuronskom kiselinom. U slučaju istovremene primjene s</w:t>
      </w:r>
      <w:r w:rsidR="009D3CE0" w:rsidRPr="00A44302">
        <w:rPr>
          <w:bCs/>
          <w:sz w:val="22"/>
          <w:szCs w:val="22"/>
          <w:lang w:val="sr-Latn-ME"/>
        </w:rPr>
        <w:t>a</w:t>
      </w:r>
      <w:r w:rsidRPr="00A44302">
        <w:rPr>
          <w:bCs/>
          <w:sz w:val="22"/>
          <w:szCs w:val="22"/>
          <w:lang w:val="sr-Latn-ME"/>
        </w:rPr>
        <w:t xml:space="preserve"> probenecidom treba razmotriti smanjenje doze paracetamola.</w:t>
      </w:r>
    </w:p>
    <w:p w14:paraId="2ADC343A" w14:textId="7751E641" w:rsidR="00F77A8D" w:rsidRPr="00A44302" w:rsidRDefault="00F77A8D">
      <w:pPr>
        <w:pStyle w:val="ListParagraph"/>
        <w:numPr>
          <w:ilvl w:val="0"/>
          <w:numId w:val="13"/>
        </w:numPr>
        <w:tabs>
          <w:tab w:val="left" w:pos="540"/>
          <w:tab w:val="left" w:pos="569"/>
        </w:tabs>
        <w:ind w:left="527" w:hanging="170"/>
        <w:jc w:val="both"/>
        <w:rPr>
          <w:bCs/>
          <w:sz w:val="22"/>
          <w:szCs w:val="22"/>
          <w:lang w:val="sr-Latn-ME"/>
        </w:rPr>
      </w:pPr>
      <w:r w:rsidRPr="00A44302">
        <w:rPr>
          <w:bCs/>
          <w:sz w:val="22"/>
          <w:szCs w:val="22"/>
          <w:lang w:val="sr-Latn-ME"/>
        </w:rPr>
        <w:t>Salicilamid može da produži poluvrijeme eliminacije paracetamola.</w:t>
      </w:r>
    </w:p>
    <w:p w14:paraId="5CCC6817" w14:textId="2A39454A" w:rsidR="00F77A8D" w:rsidRPr="00A44302" w:rsidRDefault="00F77A8D">
      <w:pPr>
        <w:pStyle w:val="ListParagraph"/>
        <w:numPr>
          <w:ilvl w:val="0"/>
          <w:numId w:val="13"/>
        </w:numPr>
        <w:tabs>
          <w:tab w:val="left" w:pos="540"/>
          <w:tab w:val="left" w:pos="569"/>
        </w:tabs>
        <w:ind w:left="527" w:hanging="170"/>
        <w:jc w:val="both"/>
        <w:rPr>
          <w:bCs/>
          <w:sz w:val="22"/>
          <w:szCs w:val="22"/>
          <w:lang w:val="sr-Latn-ME"/>
        </w:rPr>
      </w:pPr>
      <w:r w:rsidRPr="00A44302">
        <w:rPr>
          <w:bCs/>
          <w:sz w:val="22"/>
          <w:szCs w:val="22"/>
          <w:lang w:val="sr-Latn-ME"/>
        </w:rPr>
        <w:t xml:space="preserve">Treba obratiti pažnju </w:t>
      </w:r>
      <w:r w:rsidR="00C026F1" w:rsidRPr="00A44302">
        <w:rPr>
          <w:bCs/>
          <w:sz w:val="22"/>
          <w:szCs w:val="22"/>
          <w:lang w:val="sr-Latn-ME"/>
        </w:rPr>
        <w:t xml:space="preserve">kod istovremene primjene sa supstancama koje indukuju enzime, a koje uključuju: barbiturate, izoniazid, karbamazepin, rifampicin, etanol i druge (vidjeti </w:t>
      </w:r>
      <w:r w:rsidR="007B6F63" w:rsidRPr="00A44302">
        <w:rPr>
          <w:bCs/>
          <w:sz w:val="22"/>
          <w:szCs w:val="22"/>
          <w:lang w:val="sr-Latn-ME"/>
        </w:rPr>
        <w:t>dio</w:t>
      </w:r>
      <w:r w:rsidR="00C026F1" w:rsidRPr="00A44302">
        <w:rPr>
          <w:bCs/>
          <w:sz w:val="22"/>
          <w:szCs w:val="22"/>
          <w:lang w:val="sr-Latn-ME"/>
        </w:rPr>
        <w:t xml:space="preserve"> 4.9)</w:t>
      </w:r>
      <w:r w:rsidRPr="00A44302">
        <w:rPr>
          <w:bCs/>
          <w:sz w:val="22"/>
          <w:szCs w:val="22"/>
          <w:lang w:val="sr-Latn-ME"/>
        </w:rPr>
        <w:t>.</w:t>
      </w:r>
    </w:p>
    <w:p w14:paraId="28C21E16" w14:textId="4BA884F4" w:rsidR="00F77A8D" w:rsidRPr="00A44302" w:rsidRDefault="00F77A8D">
      <w:pPr>
        <w:pStyle w:val="ListParagraph"/>
        <w:numPr>
          <w:ilvl w:val="0"/>
          <w:numId w:val="13"/>
        </w:numPr>
        <w:tabs>
          <w:tab w:val="left" w:pos="540"/>
          <w:tab w:val="left" w:pos="569"/>
        </w:tabs>
        <w:ind w:left="527" w:hanging="170"/>
        <w:jc w:val="both"/>
        <w:rPr>
          <w:bCs/>
          <w:sz w:val="22"/>
          <w:szCs w:val="22"/>
          <w:lang w:val="sr-Latn-ME"/>
        </w:rPr>
      </w:pPr>
      <w:r w:rsidRPr="00A44302">
        <w:rPr>
          <w:bCs/>
          <w:sz w:val="22"/>
          <w:szCs w:val="22"/>
          <w:lang w:val="sr-Latn-ME"/>
        </w:rPr>
        <w:t xml:space="preserve">Istovremena primjena paracetamola (4 g dnevno najmanje </w:t>
      </w:r>
      <w:r w:rsidR="009D3CE0" w:rsidRPr="00A44302">
        <w:rPr>
          <w:bCs/>
          <w:sz w:val="22"/>
          <w:szCs w:val="22"/>
          <w:lang w:val="sr-Latn-ME"/>
        </w:rPr>
        <w:t>4</w:t>
      </w:r>
      <w:r w:rsidRPr="00A44302">
        <w:rPr>
          <w:bCs/>
          <w:sz w:val="22"/>
          <w:szCs w:val="22"/>
          <w:lang w:val="sr-Latn-ME"/>
        </w:rPr>
        <w:t xml:space="preserve"> dana) sa oralnim antikoagulansima može da dovede do blagih promjena vrijednosti</w:t>
      </w:r>
      <w:r w:rsidR="000A5B99" w:rsidRPr="00A44302">
        <w:rPr>
          <w:sz w:val="22"/>
          <w:szCs w:val="22"/>
          <w:lang w:val="sr-Latn-ME"/>
        </w:rPr>
        <w:t xml:space="preserve"> </w:t>
      </w:r>
      <w:r w:rsidR="000A5B99" w:rsidRPr="00A44302">
        <w:rPr>
          <w:bCs/>
          <w:sz w:val="22"/>
          <w:szCs w:val="22"/>
          <w:lang w:val="sr-Latn-ME"/>
        </w:rPr>
        <w:t>internacionalnog normalizovanog odnosa</w:t>
      </w:r>
      <w:r w:rsidRPr="00A44302">
        <w:rPr>
          <w:bCs/>
          <w:sz w:val="22"/>
          <w:szCs w:val="22"/>
          <w:lang w:val="sr-Latn-ME"/>
        </w:rPr>
        <w:t xml:space="preserve"> </w:t>
      </w:r>
      <w:r w:rsidR="000A5B99" w:rsidRPr="00A44302">
        <w:rPr>
          <w:bCs/>
          <w:sz w:val="22"/>
          <w:szCs w:val="22"/>
          <w:lang w:val="sr-Latn-ME"/>
        </w:rPr>
        <w:t>(</w:t>
      </w:r>
      <w:r w:rsidRPr="00A44302">
        <w:rPr>
          <w:bCs/>
          <w:sz w:val="22"/>
          <w:szCs w:val="22"/>
          <w:lang w:val="sr-Latn-ME"/>
        </w:rPr>
        <w:t>INR</w:t>
      </w:r>
      <w:r w:rsidR="000A5B99" w:rsidRPr="00A44302">
        <w:rPr>
          <w:bCs/>
          <w:sz w:val="22"/>
          <w:szCs w:val="22"/>
          <w:lang w:val="sr-Latn-ME"/>
        </w:rPr>
        <w:t>)</w:t>
      </w:r>
      <w:r w:rsidRPr="00A44302">
        <w:rPr>
          <w:bCs/>
          <w:sz w:val="22"/>
          <w:szCs w:val="22"/>
          <w:lang w:val="sr-Latn-ME"/>
        </w:rPr>
        <w:t>. U tom slučaju treba sprovesti učestalo praćenje</w:t>
      </w:r>
      <w:r w:rsidR="000A5B99" w:rsidRPr="00A44302">
        <w:rPr>
          <w:bCs/>
          <w:sz w:val="22"/>
          <w:szCs w:val="22"/>
          <w:lang w:val="sr-Latn-ME"/>
        </w:rPr>
        <w:t xml:space="preserve"> vrijednosti</w:t>
      </w:r>
      <w:r w:rsidRPr="00A44302">
        <w:rPr>
          <w:bCs/>
          <w:sz w:val="22"/>
          <w:szCs w:val="22"/>
          <w:lang w:val="sr-Latn-ME"/>
        </w:rPr>
        <w:t xml:space="preserve"> INR tokom perioda istovremene primjene, kao i nedjelju dana nakon prekida </w:t>
      </w:r>
      <w:r w:rsidR="000A5B99" w:rsidRPr="00A44302">
        <w:rPr>
          <w:bCs/>
          <w:sz w:val="22"/>
          <w:szCs w:val="22"/>
          <w:lang w:val="sr-Latn-ME"/>
        </w:rPr>
        <w:t xml:space="preserve">terapije </w:t>
      </w:r>
      <w:r w:rsidRPr="00A44302">
        <w:rPr>
          <w:bCs/>
          <w:sz w:val="22"/>
          <w:szCs w:val="22"/>
          <w:lang w:val="sr-Latn-ME"/>
        </w:rPr>
        <w:t>paracetamol</w:t>
      </w:r>
      <w:r w:rsidR="000A5B99" w:rsidRPr="00A44302">
        <w:rPr>
          <w:bCs/>
          <w:sz w:val="22"/>
          <w:szCs w:val="22"/>
          <w:lang w:val="sr-Latn-ME"/>
        </w:rPr>
        <w:t>om</w:t>
      </w:r>
      <w:r w:rsidRPr="00A44302">
        <w:rPr>
          <w:bCs/>
          <w:sz w:val="22"/>
          <w:szCs w:val="22"/>
          <w:lang w:val="sr-Latn-ME"/>
        </w:rPr>
        <w:t>.</w:t>
      </w:r>
    </w:p>
    <w:p w14:paraId="77E5550F" w14:textId="77F06D65" w:rsidR="008932A2" w:rsidRPr="00A44302" w:rsidRDefault="008932A2">
      <w:pPr>
        <w:pStyle w:val="ListParagraph"/>
        <w:numPr>
          <w:ilvl w:val="0"/>
          <w:numId w:val="13"/>
        </w:numPr>
        <w:tabs>
          <w:tab w:val="left" w:pos="540"/>
          <w:tab w:val="left" w:pos="569"/>
        </w:tabs>
        <w:ind w:left="527" w:hanging="170"/>
        <w:jc w:val="both"/>
        <w:rPr>
          <w:bCs/>
          <w:sz w:val="22"/>
          <w:szCs w:val="22"/>
          <w:lang w:val="sr-Latn-ME"/>
        </w:rPr>
      </w:pPr>
      <w:r w:rsidRPr="00A44302">
        <w:rPr>
          <w:bCs/>
          <w:sz w:val="22"/>
          <w:szCs w:val="22"/>
          <w:lang w:val="sr-Latn-ME"/>
        </w:rPr>
        <w:t xml:space="preserve">Potreban je oprez pri istovremenoj primjeni paracetamola i flukloksacilina, jer je istovremena primjena ovih ljekova povezana sa metaboličkom acidozom sa povišenim anjonskim jazom, posebno kod pacijenata kod kojih su prisutni faktori rizika (vidjeti </w:t>
      </w:r>
      <w:r w:rsidR="00760F8F" w:rsidRPr="00A44302">
        <w:rPr>
          <w:bCs/>
          <w:sz w:val="22"/>
          <w:szCs w:val="22"/>
          <w:lang w:val="sr-Latn-ME"/>
        </w:rPr>
        <w:t>dio</w:t>
      </w:r>
      <w:r w:rsidRPr="00A44302">
        <w:rPr>
          <w:bCs/>
          <w:sz w:val="22"/>
          <w:szCs w:val="22"/>
          <w:lang w:val="sr-Latn-ME"/>
        </w:rPr>
        <w:t xml:space="preserve"> 4.4).</w:t>
      </w:r>
    </w:p>
    <w:p w14:paraId="4CEC6F19" w14:textId="77777777" w:rsidR="00F77A8D" w:rsidRPr="00A44302" w:rsidRDefault="00F77A8D" w:rsidP="00C67274">
      <w:pPr>
        <w:tabs>
          <w:tab w:val="left" w:pos="540"/>
          <w:tab w:val="left" w:pos="569"/>
        </w:tabs>
        <w:jc w:val="both"/>
        <w:rPr>
          <w:bCs/>
          <w:sz w:val="22"/>
          <w:szCs w:val="22"/>
          <w:lang w:val="sr-Latn-ME"/>
        </w:rPr>
      </w:pPr>
    </w:p>
    <w:p w14:paraId="56127E65" w14:textId="77777777" w:rsidR="0072020E" w:rsidRPr="00A44302" w:rsidRDefault="0072020E" w:rsidP="00C67274">
      <w:pPr>
        <w:tabs>
          <w:tab w:val="left" w:pos="540"/>
          <w:tab w:val="left" w:pos="569"/>
        </w:tabs>
        <w:jc w:val="both"/>
        <w:rPr>
          <w:b/>
          <w:sz w:val="22"/>
          <w:szCs w:val="22"/>
          <w:lang w:val="sr-Latn-ME"/>
        </w:rPr>
      </w:pPr>
      <w:r w:rsidRPr="00A44302">
        <w:rPr>
          <w:b/>
          <w:bCs/>
          <w:sz w:val="22"/>
          <w:szCs w:val="22"/>
          <w:lang w:val="sr-Latn-ME"/>
        </w:rPr>
        <w:t xml:space="preserve">4.6. </w:t>
      </w:r>
      <w:r w:rsidR="00480FB1" w:rsidRPr="00A44302">
        <w:rPr>
          <w:b/>
          <w:bCs/>
          <w:sz w:val="22"/>
          <w:szCs w:val="22"/>
          <w:lang w:val="sr-Latn-ME"/>
        </w:rPr>
        <w:tab/>
      </w:r>
      <w:r w:rsidR="006D20A5" w:rsidRPr="00A44302">
        <w:rPr>
          <w:b/>
          <w:sz w:val="22"/>
          <w:szCs w:val="22"/>
          <w:lang w:val="sr-Latn-ME"/>
        </w:rPr>
        <w:t>Plodnost, trudnoća i dojenje</w:t>
      </w:r>
    </w:p>
    <w:p w14:paraId="1E87CE26" w14:textId="77777777" w:rsidR="002031B3" w:rsidRPr="00A44302" w:rsidRDefault="002031B3" w:rsidP="00C67274">
      <w:pPr>
        <w:tabs>
          <w:tab w:val="left" w:pos="540"/>
          <w:tab w:val="left" w:pos="569"/>
        </w:tabs>
        <w:jc w:val="both"/>
        <w:rPr>
          <w:sz w:val="22"/>
          <w:szCs w:val="22"/>
          <w:u w:val="single"/>
          <w:lang w:val="sr-Latn-ME"/>
        </w:rPr>
      </w:pPr>
    </w:p>
    <w:p w14:paraId="341AD7B0" w14:textId="77777777" w:rsidR="007A3ECB" w:rsidRPr="00A44302" w:rsidRDefault="007A3ECB" w:rsidP="00C67274">
      <w:pPr>
        <w:tabs>
          <w:tab w:val="left" w:pos="540"/>
          <w:tab w:val="left" w:pos="569"/>
        </w:tabs>
        <w:jc w:val="both"/>
        <w:rPr>
          <w:sz w:val="22"/>
          <w:szCs w:val="22"/>
          <w:u w:val="single"/>
          <w:lang w:val="sr-Latn-ME"/>
        </w:rPr>
      </w:pPr>
      <w:r w:rsidRPr="00A44302">
        <w:rPr>
          <w:sz w:val="22"/>
          <w:szCs w:val="22"/>
          <w:u w:val="single"/>
          <w:lang w:val="sr-Latn-ME"/>
        </w:rPr>
        <w:t>Trudnoća</w:t>
      </w:r>
    </w:p>
    <w:p w14:paraId="606CED9D" w14:textId="0E74D176" w:rsidR="00F77A8D" w:rsidRPr="00A44302" w:rsidRDefault="000A5B99">
      <w:pPr>
        <w:tabs>
          <w:tab w:val="left" w:pos="540"/>
          <w:tab w:val="left" w:pos="569"/>
        </w:tabs>
        <w:jc w:val="both"/>
        <w:rPr>
          <w:sz w:val="22"/>
          <w:szCs w:val="22"/>
          <w:lang w:val="sr-Latn-ME"/>
        </w:rPr>
      </w:pPr>
      <w:r w:rsidRPr="00A44302">
        <w:rPr>
          <w:sz w:val="22"/>
          <w:szCs w:val="22"/>
          <w:lang w:val="sr-Latn-ME"/>
        </w:rPr>
        <w:t xml:space="preserve">Mnogobrojni podaci dobijeni kod trudnica ne ukazuju na pojavu malformacija ni na feto/neonatalno toksično dejstvo. Epidemiološka ispitivanja neurološkog razvoja djece izložene paracetamolu </w:t>
      </w:r>
      <w:r w:rsidRPr="00A44302">
        <w:rPr>
          <w:i/>
          <w:iCs/>
          <w:sz w:val="22"/>
          <w:szCs w:val="22"/>
          <w:lang w:val="sr-Latn-ME"/>
        </w:rPr>
        <w:t>in utero</w:t>
      </w:r>
      <w:r w:rsidRPr="00A44302">
        <w:rPr>
          <w:sz w:val="22"/>
          <w:szCs w:val="22"/>
          <w:lang w:val="sr-Latn-ME"/>
        </w:rPr>
        <w:t xml:space="preserve"> ni</w:t>
      </w:r>
      <w:r w:rsidR="00760F8F" w:rsidRPr="00A44302">
        <w:rPr>
          <w:sz w:val="22"/>
          <w:szCs w:val="22"/>
          <w:lang w:val="sr-Latn-ME"/>
        </w:rPr>
        <w:t>je</w:t>
      </w:r>
      <w:r w:rsidRPr="00A44302">
        <w:rPr>
          <w:sz w:val="22"/>
          <w:szCs w:val="22"/>
          <w:lang w:val="sr-Latn-ME"/>
        </w:rPr>
        <w:t>su dala rezultate na osnovu kojih se može donijeti konačan zaključak. Paracetamol se može primijeniti tokom trudnoće ukoliko je to klinički potrebno. Međutim, potrebno ga je primjenjivati u najnižoj efektivnoj dozi, uz najkraće moguće trajanje liječenja i najmanju moguću učestalost doziranja.</w:t>
      </w:r>
    </w:p>
    <w:p w14:paraId="4DE47BAC" w14:textId="77777777" w:rsidR="00F77A8D" w:rsidRPr="00A44302" w:rsidRDefault="00F77A8D" w:rsidP="00C67274">
      <w:pPr>
        <w:tabs>
          <w:tab w:val="left" w:pos="540"/>
          <w:tab w:val="left" w:pos="569"/>
        </w:tabs>
        <w:jc w:val="both"/>
        <w:rPr>
          <w:sz w:val="22"/>
          <w:szCs w:val="22"/>
          <w:u w:val="single"/>
          <w:lang w:val="sr-Latn-ME"/>
        </w:rPr>
      </w:pPr>
    </w:p>
    <w:p w14:paraId="6A416F68" w14:textId="77777777" w:rsidR="0072020E" w:rsidRPr="00A44302" w:rsidRDefault="007A3ECB" w:rsidP="00C67274">
      <w:pPr>
        <w:tabs>
          <w:tab w:val="left" w:pos="540"/>
          <w:tab w:val="left" w:pos="569"/>
        </w:tabs>
        <w:jc w:val="both"/>
        <w:rPr>
          <w:b/>
          <w:bCs/>
          <w:sz w:val="22"/>
          <w:szCs w:val="22"/>
          <w:lang w:val="sr-Latn-ME"/>
        </w:rPr>
      </w:pPr>
      <w:r w:rsidRPr="00A44302">
        <w:rPr>
          <w:sz w:val="22"/>
          <w:szCs w:val="22"/>
          <w:u w:val="single"/>
          <w:lang w:val="sr-Latn-ME"/>
        </w:rPr>
        <w:t xml:space="preserve">Dojenje </w:t>
      </w:r>
    </w:p>
    <w:p w14:paraId="4198E443" w14:textId="74C8ED97" w:rsidR="004A6DFA" w:rsidRPr="00A44302" w:rsidRDefault="00F77A8D" w:rsidP="00A44302">
      <w:pPr>
        <w:tabs>
          <w:tab w:val="left" w:pos="540"/>
          <w:tab w:val="left" w:pos="569"/>
        </w:tabs>
        <w:jc w:val="both"/>
        <w:rPr>
          <w:bCs/>
          <w:sz w:val="22"/>
          <w:szCs w:val="22"/>
          <w:lang w:val="sr-Latn-ME"/>
        </w:rPr>
      </w:pPr>
      <w:r w:rsidRPr="00A44302">
        <w:rPr>
          <w:bCs/>
          <w:sz w:val="22"/>
          <w:szCs w:val="22"/>
          <w:lang w:val="sr-Latn-ME"/>
        </w:rPr>
        <w:t>Nakon oralne primjene, paracetamol se u malim količinama izlučuje u majčino mlijeko. N</w:t>
      </w:r>
      <w:r w:rsidR="009D3CE0" w:rsidRPr="00A44302">
        <w:rPr>
          <w:bCs/>
          <w:sz w:val="22"/>
          <w:szCs w:val="22"/>
          <w:lang w:val="sr-Latn-ME"/>
        </w:rPr>
        <w:t>i</w:t>
      </w:r>
      <w:r w:rsidR="00760F8F" w:rsidRPr="00A44302">
        <w:rPr>
          <w:bCs/>
          <w:sz w:val="22"/>
          <w:szCs w:val="22"/>
          <w:lang w:val="sr-Latn-ME"/>
        </w:rPr>
        <w:t>je</w:t>
      </w:r>
      <w:r w:rsidR="009D3CE0" w:rsidRPr="00A44302">
        <w:rPr>
          <w:bCs/>
          <w:sz w:val="22"/>
          <w:szCs w:val="22"/>
          <w:lang w:val="sr-Latn-ME"/>
        </w:rPr>
        <w:t>su prijavljena</w:t>
      </w:r>
      <w:r w:rsidRPr="00A44302">
        <w:rPr>
          <w:bCs/>
          <w:sz w:val="22"/>
          <w:szCs w:val="22"/>
          <w:lang w:val="sr-Latn-ME"/>
        </w:rPr>
        <w:t xml:space="preserve"> neželjen</w:t>
      </w:r>
      <w:r w:rsidR="009D3CE0" w:rsidRPr="00A44302">
        <w:rPr>
          <w:bCs/>
          <w:sz w:val="22"/>
          <w:szCs w:val="22"/>
          <w:lang w:val="sr-Latn-ME"/>
        </w:rPr>
        <w:t>a</w:t>
      </w:r>
      <w:r w:rsidRPr="00A44302">
        <w:rPr>
          <w:bCs/>
          <w:sz w:val="22"/>
          <w:szCs w:val="22"/>
          <w:lang w:val="sr-Latn-ME"/>
        </w:rPr>
        <w:t xml:space="preserve"> </w:t>
      </w:r>
      <w:r w:rsidR="009D3CE0" w:rsidRPr="00A44302">
        <w:rPr>
          <w:bCs/>
          <w:sz w:val="22"/>
          <w:szCs w:val="22"/>
          <w:lang w:val="sr-Latn-ME"/>
        </w:rPr>
        <w:t>dejstva</w:t>
      </w:r>
      <w:r w:rsidRPr="00A44302">
        <w:rPr>
          <w:bCs/>
          <w:sz w:val="22"/>
          <w:szCs w:val="22"/>
          <w:lang w:val="sr-Latn-ME"/>
        </w:rPr>
        <w:t xml:space="preserve"> kod odojčadi. Stoga se </w:t>
      </w:r>
      <w:r w:rsidR="009D3CE0" w:rsidRPr="00A44302">
        <w:rPr>
          <w:bCs/>
          <w:sz w:val="22"/>
          <w:szCs w:val="22"/>
          <w:lang w:val="sr-Latn-ME"/>
        </w:rPr>
        <w:t xml:space="preserve">lijek </w:t>
      </w:r>
      <w:r w:rsidRPr="00A44302">
        <w:rPr>
          <w:bCs/>
          <w:sz w:val="22"/>
          <w:szCs w:val="22"/>
          <w:lang w:val="sr-Latn-ME"/>
        </w:rPr>
        <w:t>Paracetamol PharmaSwiss može koristiti tokom dojenja.</w:t>
      </w:r>
    </w:p>
    <w:p w14:paraId="2A191391" w14:textId="77777777" w:rsidR="004A6DFA" w:rsidRPr="00A44302" w:rsidRDefault="004A6DFA" w:rsidP="00C67274">
      <w:pPr>
        <w:tabs>
          <w:tab w:val="left" w:pos="540"/>
          <w:tab w:val="left" w:pos="569"/>
        </w:tabs>
        <w:ind w:left="540" w:hanging="540"/>
        <w:jc w:val="both"/>
        <w:rPr>
          <w:b/>
          <w:bCs/>
          <w:sz w:val="22"/>
          <w:szCs w:val="22"/>
          <w:lang w:val="sr-Latn-ME"/>
        </w:rPr>
      </w:pPr>
    </w:p>
    <w:p w14:paraId="3E98CDA5" w14:textId="5A4F2A5D" w:rsidR="0072020E" w:rsidRPr="00A44302" w:rsidRDefault="0072020E" w:rsidP="00C67274">
      <w:pPr>
        <w:tabs>
          <w:tab w:val="left" w:pos="540"/>
          <w:tab w:val="left" w:pos="569"/>
        </w:tabs>
        <w:ind w:left="540" w:hanging="540"/>
        <w:jc w:val="both"/>
        <w:rPr>
          <w:b/>
          <w:bCs/>
          <w:sz w:val="22"/>
          <w:szCs w:val="22"/>
          <w:lang w:val="sr-Latn-ME"/>
        </w:rPr>
      </w:pPr>
      <w:r w:rsidRPr="00A44302">
        <w:rPr>
          <w:b/>
          <w:bCs/>
          <w:sz w:val="22"/>
          <w:szCs w:val="22"/>
          <w:lang w:val="sr-Latn-ME"/>
        </w:rPr>
        <w:t xml:space="preserve">4.7. </w:t>
      </w:r>
      <w:r w:rsidR="00480FB1" w:rsidRPr="00A44302">
        <w:rPr>
          <w:b/>
          <w:bCs/>
          <w:sz w:val="22"/>
          <w:szCs w:val="22"/>
          <w:lang w:val="sr-Latn-ME"/>
        </w:rPr>
        <w:tab/>
      </w:r>
      <w:r w:rsidRPr="00A44302">
        <w:rPr>
          <w:b/>
          <w:bCs/>
          <w:sz w:val="22"/>
          <w:szCs w:val="22"/>
          <w:lang w:val="sr-Latn-ME"/>
        </w:rPr>
        <w:t xml:space="preserve">Uticaj na </w:t>
      </w:r>
      <w:bookmarkStart w:id="3" w:name="_Hlk80700479"/>
      <w:r w:rsidR="002031B3" w:rsidRPr="00A44302">
        <w:rPr>
          <w:b/>
          <w:bCs/>
          <w:sz w:val="22"/>
          <w:szCs w:val="22"/>
          <w:lang w:val="sr-Latn-ME"/>
        </w:rPr>
        <w:t xml:space="preserve">sposobnost </w:t>
      </w:r>
      <w:r w:rsidR="00F34554" w:rsidRPr="00A44302">
        <w:rPr>
          <w:b/>
          <w:bCs/>
          <w:sz w:val="22"/>
          <w:szCs w:val="22"/>
          <w:lang w:val="sr-Latn-ME"/>
        </w:rPr>
        <w:t>upravljanja vozili</w:t>
      </w:r>
      <w:r w:rsidRPr="00A44302">
        <w:rPr>
          <w:b/>
          <w:bCs/>
          <w:sz w:val="22"/>
          <w:szCs w:val="22"/>
          <w:lang w:val="sr-Latn-ME"/>
        </w:rPr>
        <w:t>m</w:t>
      </w:r>
      <w:r w:rsidR="00F34554" w:rsidRPr="00A44302">
        <w:rPr>
          <w:b/>
          <w:bCs/>
          <w:sz w:val="22"/>
          <w:szCs w:val="22"/>
          <w:lang w:val="sr-Latn-ME"/>
        </w:rPr>
        <w:t>a</w:t>
      </w:r>
      <w:r w:rsidRPr="00A44302">
        <w:rPr>
          <w:b/>
          <w:bCs/>
          <w:sz w:val="22"/>
          <w:szCs w:val="22"/>
          <w:lang w:val="sr-Latn-ME"/>
        </w:rPr>
        <w:t xml:space="preserve"> i </w:t>
      </w:r>
      <w:r w:rsidR="000D3449" w:rsidRPr="00A44302">
        <w:rPr>
          <w:b/>
          <w:bCs/>
          <w:sz w:val="22"/>
          <w:szCs w:val="22"/>
          <w:lang w:val="sr-Latn-ME"/>
        </w:rPr>
        <w:t xml:space="preserve">rukovanje </w:t>
      </w:r>
      <w:r w:rsidRPr="00A44302">
        <w:rPr>
          <w:b/>
          <w:bCs/>
          <w:sz w:val="22"/>
          <w:szCs w:val="22"/>
          <w:lang w:val="sr-Latn-ME"/>
        </w:rPr>
        <w:t>mašinama</w:t>
      </w:r>
      <w:bookmarkEnd w:id="3"/>
    </w:p>
    <w:p w14:paraId="0715FEB3" w14:textId="3E3D884C" w:rsidR="0072020E" w:rsidRPr="00A44302" w:rsidRDefault="0072020E" w:rsidP="00C67274">
      <w:pPr>
        <w:tabs>
          <w:tab w:val="left" w:pos="540"/>
          <w:tab w:val="left" w:pos="569"/>
        </w:tabs>
        <w:jc w:val="both"/>
        <w:rPr>
          <w:b/>
          <w:bCs/>
          <w:sz w:val="22"/>
          <w:szCs w:val="22"/>
          <w:lang w:val="sr-Latn-ME"/>
        </w:rPr>
      </w:pPr>
    </w:p>
    <w:p w14:paraId="4E61AD94" w14:textId="12032B05"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Lijek nema uticaj na </w:t>
      </w:r>
      <w:r w:rsidR="000A5B99" w:rsidRPr="00A44302">
        <w:rPr>
          <w:bCs/>
          <w:sz w:val="22"/>
          <w:szCs w:val="22"/>
          <w:lang w:val="sr-Latn-ME"/>
        </w:rPr>
        <w:t>sposobnost upravljanja vozilima i rukovanje mašinama</w:t>
      </w:r>
      <w:r w:rsidRPr="00A44302">
        <w:rPr>
          <w:bCs/>
          <w:sz w:val="22"/>
          <w:szCs w:val="22"/>
          <w:lang w:val="sr-Latn-ME"/>
        </w:rPr>
        <w:t>.</w:t>
      </w:r>
    </w:p>
    <w:p w14:paraId="59A29CAE" w14:textId="77777777" w:rsidR="00F77A8D" w:rsidRPr="00A44302" w:rsidRDefault="00F77A8D" w:rsidP="00C67274">
      <w:pPr>
        <w:tabs>
          <w:tab w:val="left" w:pos="540"/>
          <w:tab w:val="left" w:pos="569"/>
        </w:tabs>
        <w:jc w:val="both"/>
        <w:rPr>
          <w:b/>
          <w:bCs/>
          <w:sz w:val="22"/>
          <w:szCs w:val="22"/>
          <w:lang w:val="sr-Latn-ME"/>
        </w:rPr>
      </w:pPr>
    </w:p>
    <w:p w14:paraId="259FC0F4" w14:textId="77777777" w:rsidR="00A44302" w:rsidRDefault="00A44302" w:rsidP="00C67274">
      <w:pPr>
        <w:tabs>
          <w:tab w:val="left" w:pos="540"/>
          <w:tab w:val="left" w:pos="569"/>
        </w:tabs>
        <w:jc w:val="both"/>
        <w:rPr>
          <w:b/>
          <w:bCs/>
          <w:sz w:val="22"/>
          <w:szCs w:val="22"/>
          <w:lang w:val="sr-Latn-ME"/>
        </w:rPr>
      </w:pPr>
    </w:p>
    <w:p w14:paraId="2B737287" w14:textId="77777777" w:rsidR="00A44302" w:rsidRDefault="00A44302" w:rsidP="00C67274">
      <w:pPr>
        <w:tabs>
          <w:tab w:val="left" w:pos="540"/>
          <w:tab w:val="left" w:pos="569"/>
        </w:tabs>
        <w:jc w:val="both"/>
        <w:rPr>
          <w:b/>
          <w:bCs/>
          <w:sz w:val="22"/>
          <w:szCs w:val="22"/>
          <w:lang w:val="sr-Latn-ME"/>
        </w:rPr>
      </w:pPr>
    </w:p>
    <w:p w14:paraId="71D8BEA3" w14:textId="512C4C2E" w:rsidR="0072020E" w:rsidRPr="00A44302" w:rsidRDefault="0072020E" w:rsidP="00C67274">
      <w:pPr>
        <w:tabs>
          <w:tab w:val="left" w:pos="540"/>
          <w:tab w:val="left" w:pos="569"/>
        </w:tabs>
        <w:jc w:val="both"/>
        <w:rPr>
          <w:b/>
          <w:bCs/>
          <w:sz w:val="22"/>
          <w:szCs w:val="22"/>
          <w:lang w:val="sr-Latn-ME"/>
        </w:rPr>
      </w:pPr>
      <w:r w:rsidRPr="00A44302">
        <w:rPr>
          <w:b/>
          <w:bCs/>
          <w:sz w:val="22"/>
          <w:szCs w:val="22"/>
          <w:lang w:val="sr-Latn-ME"/>
        </w:rPr>
        <w:lastRenderedPageBreak/>
        <w:t xml:space="preserve">4.8. </w:t>
      </w:r>
      <w:r w:rsidR="00480FB1" w:rsidRPr="00A44302">
        <w:rPr>
          <w:b/>
          <w:bCs/>
          <w:sz w:val="22"/>
          <w:szCs w:val="22"/>
          <w:lang w:val="sr-Latn-ME"/>
        </w:rPr>
        <w:tab/>
      </w:r>
      <w:r w:rsidRPr="00A44302">
        <w:rPr>
          <w:b/>
          <w:bCs/>
          <w:sz w:val="22"/>
          <w:szCs w:val="22"/>
          <w:lang w:val="sr-Latn-ME"/>
        </w:rPr>
        <w:t>Neželjena dejstva</w:t>
      </w:r>
    </w:p>
    <w:p w14:paraId="674B5726" w14:textId="77777777" w:rsidR="00F77A8D" w:rsidRPr="00A44302" w:rsidRDefault="00F77A8D" w:rsidP="00C67274">
      <w:pPr>
        <w:tabs>
          <w:tab w:val="left" w:pos="540"/>
          <w:tab w:val="left" w:pos="569"/>
        </w:tabs>
        <w:jc w:val="both"/>
        <w:rPr>
          <w:b/>
          <w:bCs/>
          <w:sz w:val="22"/>
          <w:szCs w:val="22"/>
          <w:lang w:val="sr-Latn-ME"/>
        </w:rPr>
      </w:pPr>
    </w:p>
    <w:p w14:paraId="2C6BE09D" w14:textId="55BFC2EF" w:rsidR="00F77A8D" w:rsidRPr="00A44302" w:rsidRDefault="0072545C">
      <w:pPr>
        <w:tabs>
          <w:tab w:val="left" w:pos="540"/>
          <w:tab w:val="left" w:pos="569"/>
        </w:tabs>
        <w:jc w:val="both"/>
        <w:rPr>
          <w:bCs/>
          <w:sz w:val="22"/>
          <w:szCs w:val="22"/>
          <w:lang w:val="sr-Latn-ME"/>
        </w:rPr>
      </w:pPr>
      <w:r w:rsidRPr="00A44302">
        <w:rPr>
          <w:bCs/>
          <w:sz w:val="22"/>
          <w:szCs w:val="22"/>
          <w:lang w:val="sr-Latn-ME"/>
        </w:rPr>
        <w:t>Neželjene reakcije na paracetamol opisane su u tabeli u nastavku, prema učestalosti i opadajućoj ozbiljnosti neželjenih reakcija u okviru svake od grupa učestalosti:</w:t>
      </w:r>
    </w:p>
    <w:p w14:paraId="5E45AF31" w14:textId="77777777" w:rsidR="00F77A8D" w:rsidRPr="00A44302" w:rsidRDefault="00F77A8D">
      <w:pPr>
        <w:tabs>
          <w:tab w:val="left" w:pos="540"/>
          <w:tab w:val="left" w:pos="569"/>
        </w:tabs>
        <w:jc w:val="both"/>
        <w:rPr>
          <w:bCs/>
          <w:sz w:val="22"/>
          <w:szCs w:val="22"/>
          <w:lang w:val="sr-Latn-ME"/>
        </w:rPr>
      </w:pPr>
    </w:p>
    <w:tbl>
      <w:tblPr>
        <w:tblW w:w="4702"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1680"/>
        <w:gridCol w:w="1664"/>
        <w:gridCol w:w="1664"/>
        <w:gridCol w:w="1760"/>
        <w:gridCol w:w="1760"/>
      </w:tblGrid>
      <w:tr w:rsidR="0072545C" w:rsidRPr="00A44302" w14:paraId="3467B2EF" w14:textId="77777777" w:rsidTr="0072545C">
        <w:trPr>
          <w:trHeight w:val="98"/>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055CDB10"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Sistem organa</w:t>
            </w:r>
          </w:p>
        </w:tc>
        <w:tc>
          <w:tcPr>
            <w:tcW w:w="1796" w:type="dxa"/>
            <w:tcBorders>
              <w:top w:val="outset" w:sz="6" w:space="0" w:color="auto"/>
              <w:left w:val="outset" w:sz="6" w:space="0" w:color="auto"/>
              <w:bottom w:val="outset" w:sz="6" w:space="0" w:color="auto"/>
              <w:right w:val="outset" w:sz="6" w:space="0" w:color="auto"/>
            </w:tcBorders>
          </w:tcPr>
          <w:p w14:paraId="564CBA1F"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Često (≥1/100 do &lt; 1/10)</w:t>
            </w:r>
          </w:p>
        </w:tc>
        <w:tc>
          <w:tcPr>
            <w:tcW w:w="1796" w:type="dxa"/>
            <w:tcBorders>
              <w:top w:val="outset" w:sz="6" w:space="0" w:color="auto"/>
              <w:left w:val="outset" w:sz="6" w:space="0" w:color="auto"/>
              <w:bottom w:val="outset" w:sz="6" w:space="0" w:color="auto"/>
              <w:right w:val="outset" w:sz="6" w:space="0" w:color="auto"/>
            </w:tcBorders>
          </w:tcPr>
          <w:p w14:paraId="588D11C6" w14:textId="5915113A"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Rijetko (≥1/10000 do &lt; 1/1000)</w:t>
            </w:r>
          </w:p>
        </w:tc>
        <w:tc>
          <w:tcPr>
            <w:tcW w:w="1900" w:type="dxa"/>
            <w:tcBorders>
              <w:top w:val="outset" w:sz="6" w:space="0" w:color="auto"/>
              <w:left w:val="outset" w:sz="6" w:space="0" w:color="auto"/>
              <w:bottom w:val="outset" w:sz="6" w:space="0" w:color="auto"/>
              <w:right w:val="outset" w:sz="6" w:space="0" w:color="auto"/>
            </w:tcBorders>
          </w:tcPr>
          <w:p w14:paraId="36EFC2F4" w14:textId="5602EFDF"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Veoma rijetko (&lt; 1/10000)</w:t>
            </w:r>
          </w:p>
        </w:tc>
        <w:tc>
          <w:tcPr>
            <w:tcW w:w="1900" w:type="dxa"/>
            <w:tcBorders>
              <w:top w:val="outset" w:sz="6" w:space="0" w:color="auto"/>
              <w:left w:val="outset" w:sz="6" w:space="0" w:color="auto"/>
              <w:bottom w:val="outset" w:sz="6" w:space="0" w:color="auto"/>
              <w:right w:val="outset" w:sz="6" w:space="0" w:color="auto"/>
            </w:tcBorders>
          </w:tcPr>
          <w:p w14:paraId="2716E54E" w14:textId="5E1F68FE"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Nepoznata učestalost (ne može se procijeniti na osnovu dostupnih podataka)</w:t>
            </w:r>
          </w:p>
        </w:tc>
      </w:tr>
      <w:tr w:rsidR="0072545C" w:rsidRPr="00A44302" w14:paraId="33F92BED"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09484D40"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Poremećaji krvi i limfnog sistema</w:t>
            </w:r>
          </w:p>
        </w:tc>
        <w:tc>
          <w:tcPr>
            <w:tcW w:w="1796" w:type="dxa"/>
            <w:tcBorders>
              <w:top w:val="outset" w:sz="6" w:space="0" w:color="auto"/>
              <w:left w:val="outset" w:sz="6" w:space="0" w:color="auto"/>
              <w:bottom w:val="outset" w:sz="6" w:space="0" w:color="auto"/>
              <w:right w:val="outset" w:sz="6" w:space="0" w:color="auto"/>
            </w:tcBorders>
          </w:tcPr>
          <w:p w14:paraId="35C83C3C" w14:textId="77777777" w:rsidR="0072545C" w:rsidRPr="00A44302" w:rsidRDefault="0072545C" w:rsidP="00C67274">
            <w:pPr>
              <w:spacing w:before="100" w:beforeAutospacing="1" w:after="100" w:afterAutospacing="1"/>
              <w:jc w:val="both"/>
              <w:rPr>
                <w:sz w:val="22"/>
                <w:szCs w:val="22"/>
                <w:lang w:val="sr-Latn-ME" w:eastAsia="sr-Latn-CS"/>
              </w:rPr>
            </w:pPr>
          </w:p>
        </w:tc>
        <w:tc>
          <w:tcPr>
            <w:tcW w:w="1796" w:type="dxa"/>
            <w:tcBorders>
              <w:top w:val="outset" w:sz="6" w:space="0" w:color="auto"/>
              <w:left w:val="outset" w:sz="6" w:space="0" w:color="auto"/>
              <w:bottom w:val="outset" w:sz="6" w:space="0" w:color="auto"/>
              <w:right w:val="outset" w:sz="6" w:space="0" w:color="auto"/>
            </w:tcBorders>
          </w:tcPr>
          <w:p w14:paraId="5DBB952C" w14:textId="77777777" w:rsidR="0072545C" w:rsidRPr="00A44302" w:rsidRDefault="0072545C">
            <w:pPr>
              <w:spacing w:before="100" w:beforeAutospacing="1" w:after="100" w:afterAutospacing="1"/>
              <w:rPr>
                <w:sz w:val="22"/>
                <w:szCs w:val="22"/>
                <w:lang w:val="sr-Latn-ME" w:eastAsia="sr-Latn-CS"/>
              </w:rPr>
            </w:pPr>
            <w:r w:rsidRPr="00A44302">
              <w:rPr>
                <w:sz w:val="22"/>
                <w:szCs w:val="22"/>
                <w:lang w:val="sr-Latn-ME" w:eastAsia="sr-Latn-CS"/>
              </w:rPr>
              <w:t> </w:t>
            </w:r>
          </w:p>
          <w:p w14:paraId="0056AEDA" w14:textId="77777777" w:rsidR="0072545C" w:rsidRPr="00A44302" w:rsidRDefault="0072545C">
            <w:pPr>
              <w:rPr>
                <w:sz w:val="22"/>
                <w:szCs w:val="22"/>
                <w:lang w:val="sr-Latn-ME"/>
              </w:rPr>
            </w:pPr>
            <w:r w:rsidRPr="00A44302">
              <w:rPr>
                <w:sz w:val="22"/>
                <w:szCs w:val="22"/>
                <w:lang w:val="sr-Latn-ME"/>
              </w:rPr>
              <w:t> </w:t>
            </w:r>
          </w:p>
        </w:tc>
        <w:tc>
          <w:tcPr>
            <w:tcW w:w="1900" w:type="dxa"/>
            <w:tcBorders>
              <w:top w:val="outset" w:sz="6" w:space="0" w:color="auto"/>
              <w:left w:val="outset" w:sz="6" w:space="0" w:color="auto"/>
              <w:bottom w:val="outset" w:sz="6" w:space="0" w:color="auto"/>
              <w:right w:val="outset" w:sz="6" w:space="0" w:color="auto"/>
            </w:tcBorders>
          </w:tcPr>
          <w:p w14:paraId="187E89F6" w14:textId="4577E3BD" w:rsidR="0072545C" w:rsidRPr="00A44302" w:rsidRDefault="0072545C">
            <w:pPr>
              <w:spacing w:before="100" w:beforeAutospacing="1" w:after="100" w:afterAutospacing="1"/>
              <w:rPr>
                <w:sz w:val="22"/>
                <w:szCs w:val="22"/>
                <w:lang w:val="sr-Latn-ME" w:eastAsia="sr-Latn-CS"/>
              </w:rPr>
            </w:pPr>
            <w:r w:rsidRPr="00A44302">
              <w:rPr>
                <w:sz w:val="22"/>
                <w:szCs w:val="22"/>
                <w:lang w:val="sr-Latn-ME" w:eastAsia="sr-Latn-CS"/>
              </w:rPr>
              <w:t>Trombocitopenij</w:t>
            </w:r>
            <w:r w:rsidR="00760F8F" w:rsidRPr="00A44302">
              <w:rPr>
                <w:sz w:val="22"/>
                <w:szCs w:val="22"/>
                <w:lang w:val="sr-Latn-ME" w:eastAsia="sr-Latn-CS"/>
              </w:rPr>
              <w:t>a</w:t>
            </w:r>
            <w:r w:rsidRPr="00A44302">
              <w:rPr>
                <w:sz w:val="22"/>
                <w:szCs w:val="22"/>
                <w:lang w:val="sr-Latn-ME" w:eastAsia="sr-Latn-CS"/>
              </w:rPr>
              <w:t>, Leukopenija, Neutropenija.</w:t>
            </w:r>
          </w:p>
        </w:tc>
        <w:tc>
          <w:tcPr>
            <w:tcW w:w="1900" w:type="dxa"/>
            <w:tcBorders>
              <w:top w:val="outset" w:sz="6" w:space="0" w:color="auto"/>
              <w:left w:val="outset" w:sz="6" w:space="0" w:color="auto"/>
              <w:bottom w:val="outset" w:sz="6" w:space="0" w:color="auto"/>
              <w:right w:val="outset" w:sz="6" w:space="0" w:color="auto"/>
            </w:tcBorders>
          </w:tcPr>
          <w:p w14:paraId="497F4EA7" w14:textId="77777777" w:rsidR="0072545C" w:rsidRPr="00A44302" w:rsidRDefault="0072545C" w:rsidP="00C67274">
            <w:pPr>
              <w:spacing w:before="100" w:beforeAutospacing="1" w:after="100" w:afterAutospacing="1"/>
              <w:jc w:val="both"/>
              <w:rPr>
                <w:sz w:val="22"/>
                <w:szCs w:val="22"/>
                <w:lang w:val="sr-Latn-ME" w:eastAsia="sr-Latn-CS"/>
              </w:rPr>
            </w:pPr>
          </w:p>
        </w:tc>
      </w:tr>
      <w:tr w:rsidR="0072545C" w:rsidRPr="00A44302" w14:paraId="7F763FF1"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7916E52E"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Poremećaji imunskog sistema</w:t>
            </w:r>
          </w:p>
        </w:tc>
        <w:tc>
          <w:tcPr>
            <w:tcW w:w="1796" w:type="dxa"/>
            <w:tcBorders>
              <w:top w:val="outset" w:sz="6" w:space="0" w:color="auto"/>
              <w:left w:val="outset" w:sz="6" w:space="0" w:color="auto"/>
              <w:bottom w:val="outset" w:sz="6" w:space="0" w:color="auto"/>
              <w:right w:val="outset" w:sz="6" w:space="0" w:color="auto"/>
            </w:tcBorders>
          </w:tcPr>
          <w:p w14:paraId="7E631DDA" w14:textId="77777777" w:rsidR="0072545C" w:rsidRPr="00A44302" w:rsidRDefault="0072545C" w:rsidP="00C67274">
            <w:pPr>
              <w:spacing w:before="100" w:beforeAutospacing="1" w:after="100" w:afterAutospacing="1"/>
              <w:jc w:val="both"/>
              <w:rPr>
                <w:sz w:val="22"/>
                <w:szCs w:val="22"/>
                <w:lang w:val="sr-Latn-ME" w:eastAsia="sr-Latn-CS"/>
              </w:rPr>
            </w:pPr>
          </w:p>
        </w:tc>
        <w:tc>
          <w:tcPr>
            <w:tcW w:w="1796" w:type="dxa"/>
            <w:tcBorders>
              <w:top w:val="outset" w:sz="6" w:space="0" w:color="auto"/>
              <w:left w:val="outset" w:sz="6" w:space="0" w:color="auto"/>
              <w:bottom w:val="outset" w:sz="6" w:space="0" w:color="auto"/>
              <w:right w:val="outset" w:sz="6" w:space="0" w:color="auto"/>
            </w:tcBorders>
          </w:tcPr>
          <w:p w14:paraId="3B7D360C" w14:textId="77777777" w:rsidR="0072545C" w:rsidRPr="00A44302" w:rsidRDefault="0072545C" w:rsidP="00C67274">
            <w:pPr>
              <w:spacing w:before="100" w:beforeAutospacing="1" w:after="100" w:afterAutospacing="1"/>
              <w:jc w:val="both"/>
              <w:rPr>
                <w:sz w:val="22"/>
                <w:szCs w:val="22"/>
                <w:lang w:val="sr-Latn-ME" w:eastAsia="sr-Latn-CS"/>
              </w:rPr>
            </w:pPr>
          </w:p>
        </w:tc>
        <w:tc>
          <w:tcPr>
            <w:tcW w:w="1900" w:type="dxa"/>
            <w:tcBorders>
              <w:top w:val="outset" w:sz="6" w:space="0" w:color="auto"/>
              <w:left w:val="outset" w:sz="6" w:space="0" w:color="auto"/>
              <w:bottom w:val="outset" w:sz="6" w:space="0" w:color="auto"/>
              <w:right w:val="outset" w:sz="6" w:space="0" w:color="auto"/>
            </w:tcBorders>
          </w:tcPr>
          <w:p w14:paraId="4D8F3BF5" w14:textId="17223831"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Anafilaktički šok*, reakcije preosjetljivosti*</w:t>
            </w:r>
          </w:p>
        </w:tc>
        <w:tc>
          <w:tcPr>
            <w:tcW w:w="1900" w:type="dxa"/>
            <w:tcBorders>
              <w:top w:val="outset" w:sz="6" w:space="0" w:color="auto"/>
              <w:left w:val="outset" w:sz="6" w:space="0" w:color="auto"/>
              <w:bottom w:val="outset" w:sz="6" w:space="0" w:color="auto"/>
              <w:right w:val="outset" w:sz="6" w:space="0" w:color="auto"/>
            </w:tcBorders>
          </w:tcPr>
          <w:p w14:paraId="0AFBF86E" w14:textId="77777777" w:rsidR="0072545C" w:rsidRPr="00A44302" w:rsidRDefault="0072545C" w:rsidP="00C67274">
            <w:pPr>
              <w:spacing w:before="100" w:beforeAutospacing="1" w:after="100" w:afterAutospacing="1"/>
              <w:jc w:val="both"/>
              <w:rPr>
                <w:sz w:val="22"/>
                <w:szCs w:val="22"/>
                <w:lang w:val="sr-Latn-ME" w:eastAsia="sr-Latn-CS"/>
              </w:rPr>
            </w:pPr>
          </w:p>
        </w:tc>
      </w:tr>
      <w:tr w:rsidR="0072545C" w:rsidRPr="00A44302" w14:paraId="120DF1AE"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767FF24A"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Kardiološki poremećaji</w:t>
            </w:r>
          </w:p>
        </w:tc>
        <w:tc>
          <w:tcPr>
            <w:tcW w:w="1796" w:type="dxa"/>
            <w:tcBorders>
              <w:top w:val="outset" w:sz="6" w:space="0" w:color="auto"/>
              <w:left w:val="outset" w:sz="6" w:space="0" w:color="auto"/>
              <w:bottom w:val="outset" w:sz="6" w:space="0" w:color="auto"/>
              <w:right w:val="outset" w:sz="6" w:space="0" w:color="auto"/>
            </w:tcBorders>
          </w:tcPr>
          <w:p w14:paraId="257EF6E6" w14:textId="77777777" w:rsidR="0072545C" w:rsidRPr="00A44302" w:rsidRDefault="0072545C" w:rsidP="00C67274">
            <w:pPr>
              <w:spacing w:before="100" w:beforeAutospacing="1" w:after="100" w:afterAutospacing="1"/>
              <w:jc w:val="both"/>
              <w:rPr>
                <w:sz w:val="22"/>
                <w:szCs w:val="22"/>
                <w:lang w:val="sr-Latn-ME" w:eastAsia="sr-Latn-CS"/>
              </w:rPr>
            </w:pPr>
          </w:p>
        </w:tc>
        <w:tc>
          <w:tcPr>
            <w:tcW w:w="1796" w:type="dxa"/>
            <w:tcBorders>
              <w:top w:val="outset" w:sz="6" w:space="0" w:color="auto"/>
              <w:left w:val="outset" w:sz="6" w:space="0" w:color="auto"/>
              <w:bottom w:val="outset" w:sz="6" w:space="0" w:color="auto"/>
              <w:right w:val="outset" w:sz="6" w:space="0" w:color="auto"/>
            </w:tcBorders>
          </w:tcPr>
          <w:p w14:paraId="12D28C55" w14:textId="77777777" w:rsidR="0072545C" w:rsidRPr="00A44302" w:rsidRDefault="0072545C" w:rsidP="00C67274">
            <w:pPr>
              <w:spacing w:before="100" w:beforeAutospacing="1" w:after="100" w:afterAutospacing="1"/>
              <w:jc w:val="both"/>
              <w:rPr>
                <w:sz w:val="22"/>
                <w:szCs w:val="22"/>
                <w:lang w:val="sr-Latn-ME" w:eastAsia="sr-Latn-CS"/>
              </w:rPr>
            </w:pPr>
          </w:p>
        </w:tc>
        <w:tc>
          <w:tcPr>
            <w:tcW w:w="1900" w:type="dxa"/>
            <w:tcBorders>
              <w:top w:val="outset" w:sz="6" w:space="0" w:color="auto"/>
              <w:left w:val="outset" w:sz="6" w:space="0" w:color="auto"/>
              <w:bottom w:val="outset" w:sz="6" w:space="0" w:color="auto"/>
              <w:right w:val="outset" w:sz="6" w:space="0" w:color="auto"/>
            </w:tcBorders>
          </w:tcPr>
          <w:p w14:paraId="325E43E4" w14:textId="77777777" w:rsidR="0072545C" w:rsidRPr="00A44302" w:rsidRDefault="0072545C" w:rsidP="00C67274">
            <w:pPr>
              <w:spacing w:before="100" w:beforeAutospacing="1" w:after="100" w:afterAutospacing="1"/>
              <w:jc w:val="both"/>
              <w:rPr>
                <w:sz w:val="22"/>
                <w:szCs w:val="22"/>
                <w:lang w:val="sr-Latn-ME" w:eastAsia="sr-Latn-CS"/>
              </w:rPr>
            </w:pPr>
          </w:p>
        </w:tc>
        <w:tc>
          <w:tcPr>
            <w:tcW w:w="1900" w:type="dxa"/>
            <w:tcBorders>
              <w:top w:val="outset" w:sz="6" w:space="0" w:color="auto"/>
              <w:left w:val="outset" w:sz="6" w:space="0" w:color="auto"/>
              <w:bottom w:val="outset" w:sz="6" w:space="0" w:color="auto"/>
              <w:right w:val="outset" w:sz="6" w:space="0" w:color="auto"/>
            </w:tcBorders>
          </w:tcPr>
          <w:p w14:paraId="655F3F58"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Tahikardija</w:t>
            </w:r>
          </w:p>
        </w:tc>
      </w:tr>
      <w:tr w:rsidR="0072545C" w:rsidRPr="00A44302" w14:paraId="7B67227F"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3BFD6A77"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rPr>
              <w:t>Vaskularni poremećaji</w:t>
            </w:r>
          </w:p>
        </w:tc>
        <w:tc>
          <w:tcPr>
            <w:tcW w:w="1796" w:type="dxa"/>
            <w:tcBorders>
              <w:top w:val="outset" w:sz="6" w:space="0" w:color="auto"/>
              <w:left w:val="outset" w:sz="6" w:space="0" w:color="auto"/>
              <w:bottom w:val="outset" w:sz="6" w:space="0" w:color="auto"/>
              <w:right w:val="outset" w:sz="6" w:space="0" w:color="auto"/>
            </w:tcBorders>
          </w:tcPr>
          <w:p w14:paraId="03EA314C" w14:textId="77777777" w:rsidR="0072545C" w:rsidRPr="00A44302" w:rsidRDefault="0072545C" w:rsidP="00C67274">
            <w:pPr>
              <w:spacing w:before="100" w:beforeAutospacing="1" w:after="100" w:afterAutospacing="1"/>
              <w:jc w:val="both"/>
              <w:rPr>
                <w:sz w:val="22"/>
                <w:szCs w:val="22"/>
                <w:lang w:val="sr-Latn-ME" w:eastAsia="sr-Latn-CS"/>
              </w:rPr>
            </w:pPr>
          </w:p>
        </w:tc>
        <w:tc>
          <w:tcPr>
            <w:tcW w:w="1796" w:type="dxa"/>
            <w:tcBorders>
              <w:top w:val="outset" w:sz="6" w:space="0" w:color="auto"/>
              <w:left w:val="outset" w:sz="6" w:space="0" w:color="auto"/>
              <w:bottom w:val="outset" w:sz="6" w:space="0" w:color="auto"/>
              <w:right w:val="outset" w:sz="6" w:space="0" w:color="auto"/>
            </w:tcBorders>
          </w:tcPr>
          <w:p w14:paraId="4A71F0D3"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rPr>
              <w:t>Hipotenzija</w:t>
            </w:r>
          </w:p>
        </w:tc>
        <w:tc>
          <w:tcPr>
            <w:tcW w:w="1900" w:type="dxa"/>
            <w:tcBorders>
              <w:top w:val="outset" w:sz="6" w:space="0" w:color="auto"/>
              <w:left w:val="outset" w:sz="6" w:space="0" w:color="auto"/>
              <w:bottom w:val="outset" w:sz="6" w:space="0" w:color="auto"/>
              <w:right w:val="outset" w:sz="6" w:space="0" w:color="auto"/>
            </w:tcBorders>
          </w:tcPr>
          <w:p w14:paraId="10309BAF"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rPr>
              <w:t xml:space="preserve"> </w:t>
            </w:r>
          </w:p>
        </w:tc>
        <w:tc>
          <w:tcPr>
            <w:tcW w:w="1900" w:type="dxa"/>
            <w:tcBorders>
              <w:top w:val="outset" w:sz="6" w:space="0" w:color="auto"/>
              <w:left w:val="outset" w:sz="6" w:space="0" w:color="auto"/>
              <w:bottom w:val="outset" w:sz="6" w:space="0" w:color="auto"/>
              <w:right w:val="outset" w:sz="6" w:space="0" w:color="auto"/>
            </w:tcBorders>
          </w:tcPr>
          <w:p w14:paraId="33D13190" w14:textId="77777777" w:rsidR="0072545C" w:rsidRPr="00A44302" w:rsidRDefault="0072545C" w:rsidP="00C67274">
            <w:pPr>
              <w:spacing w:before="100" w:beforeAutospacing="1" w:after="100" w:afterAutospacing="1"/>
              <w:jc w:val="both"/>
              <w:rPr>
                <w:sz w:val="22"/>
                <w:szCs w:val="22"/>
                <w:lang w:val="sr-Latn-ME" w:eastAsia="sr-Latn-CS"/>
              </w:rPr>
            </w:pPr>
          </w:p>
        </w:tc>
      </w:tr>
      <w:tr w:rsidR="0072545C" w:rsidRPr="00A44302" w14:paraId="786FD7A0"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3EA36363" w14:textId="77777777" w:rsidR="0072545C" w:rsidRPr="00A44302" w:rsidRDefault="0072545C" w:rsidP="00C67274">
            <w:pPr>
              <w:spacing w:before="100" w:beforeAutospacing="1" w:after="100" w:afterAutospacing="1"/>
              <w:jc w:val="both"/>
              <w:rPr>
                <w:sz w:val="22"/>
                <w:szCs w:val="22"/>
                <w:lang w:val="sr-Latn-ME"/>
              </w:rPr>
            </w:pPr>
            <w:r w:rsidRPr="00A44302">
              <w:rPr>
                <w:sz w:val="22"/>
                <w:szCs w:val="22"/>
                <w:lang w:val="sr-Latn-ME" w:eastAsia="sr-Latn-CS"/>
              </w:rPr>
              <w:t>Hepatobilijarni poremećaji</w:t>
            </w:r>
          </w:p>
        </w:tc>
        <w:tc>
          <w:tcPr>
            <w:tcW w:w="1796" w:type="dxa"/>
            <w:tcBorders>
              <w:top w:val="outset" w:sz="6" w:space="0" w:color="auto"/>
              <w:left w:val="outset" w:sz="6" w:space="0" w:color="auto"/>
              <w:bottom w:val="outset" w:sz="6" w:space="0" w:color="auto"/>
              <w:right w:val="outset" w:sz="6" w:space="0" w:color="auto"/>
            </w:tcBorders>
          </w:tcPr>
          <w:p w14:paraId="1D28B38B" w14:textId="77777777" w:rsidR="0072545C" w:rsidRPr="00A44302" w:rsidRDefault="0072545C" w:rsidP="00C67274">
            <w:pPr>
              <w:spacing w:before="100" w:beforeAutospacing="1" w:after="100" w:afterAutospacing="1"/>
              <w:jc w:val="both"/>
              <w:rPr>
                <w:sz w:val="22"/>
                <w:szCs w:val="22"/>
                <w:lang w:val="sr-Latn-ME" w:eastAsia="sr-Latn-CS"/>
              </w:rPr>
            </w:pPr>
          </w:p>
        </w:tc>
        <w:tc>
          <w:tcPr>
            <w:tcW w:w="1796" w:type="dxa"/>
            <w:tcBorders>
              <w:top w:val="outset" w:sz="6" w:space="0" w:color="auto"/>
              <w:left w:val="outset" w:sz="6" w:space="0" w:color="auto"/>
              <w:bottom w:val="outset" w:sz="6" w:space="0" w:color="auto"/>
              <w:right w:val="outset" w:sz="6" w:space="0" w:color="auto"/>
            </w:tcBorders>
          </w:tcPr>
          <w:p w14:paraId="3D7CA886" w14:textId="20B8C6A6" w:rsidR="0072545C" w:rsidRPr="00A44302" w:rsidRDefault="0072545C" w:rsidP="00C67274">
            <w:pPr>
              <w:spacing w:before="100" w:beforeAutospacing="1" w:after="100" w:afterAutospacing="1"/>
              <w:jc w:val="both"/>
              <w:rPr>
                <w:sz w:val="22"/>
                <w:szCs w:val="22"/>
                <w:lang w:val="sr-Latn-ME"/>
              </w:rPr>
            </w:pPr>
            <w:r w:rsidRPr="00A44302">
              <w:rPr>
                <w:sz w:val="22"/>
                <w:szCs w:val="22"/>
                <w:lang w:val="sr-Latn-ME" w:eastAsia="sr-Latn-CS"/>
              </w:rPr>
              <w:t>Povećane vrijednosti transaminaza jetre</w:t>
            </w:r>
          </w:p>
        </w:tc>
        <w:tc>
          <w:tcPr>
            <w:tcW w:w="1900" w:type="dxa"/>
            <w:tcBorders>
              <w:top w:val="outset" w:sz="6" w:space="0" w:color="auto"/>
              <w:left w:val="outset" w:sz="6" w:space="0" w:color="auto"/>
              <w:bottom w:val="outset" w:sz="6" w:space="0" w:color="auto"/>
              <w:right w:val="outset" w:sz="6" w:space="0" w:color="auto"/>
            </w:tcBorders>
          </w:tcPr>
          <w:p w14:paraId="7259EC07"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 </w:t>
            </w:r>
          </w:p>
          <w:p w14:paraId="7EC0B017" w14:textId="77777777" w:rsidR="0072545C" w:rsidRPr="00A44302" w:rsidRDefault="0072545C" w:rsidP="00C67274">
            <w:pPr>
              <w:spacing w:before="100" w:beforeAutospacing="1" w:after="100" w:afterAutospacing="1"/>
              <w:jc w:val="both"/>
              <w:rPr>
                <w:sz w:val="22"/>
                <w:szCs w:val="22"/>
                <w:lang w:val="sr-Latn-ME"/>
              </w:rPr>
            </w:pPr>
            <w:r w:rsidRPr="00A44302">
              <w:rPr>
                <w:sz w:val="22"/>
                <w:szCs w:val="22"/>
                <w:lang w:val="sr-Latn-ME"/>
              </w:rPr>
              <w:t> </w:t>
            </w:r>
          </w:p>
        </w:tc>
        <w:tc>
          <w:tcPr>
            <w:tcW w:w="1900" w:type="dxa"/>
            <w:tcBorders>
              <w:top w:val="outset" w:sz="6" w:space="0" w:color="auto"/>
              <w:left w:val="outset" w:sz="6" w:space="0" w:color="auto"/>
              <w:bottom w:val="outset" w:sz="6" w:space="0" w:color="auto"/>
              <w:right w:val="outset" w:sz="6" w:space="0" w:color="auto"/>
            </w:tcBorders>
          </w:tcPr>
          <w:p w14:paraId="413063C2" w14:textId="77777777" w:rsidR="0072545C" w:rsidRPr="00A44302" w:rsidRDefault="0072545C" w:rsidP="00C67274">
            <w:pPr>
              <w:spacing w:before="100" w:beforeAutospacing="1" w:after="100" w:afterAutospacing="1"/>
              <w:jc w:val="both"/>
              <w:rPr>
                <w:sz w:val="22"/>
                <w:szCs w:val="22"/>
                <w:lang w:val="sr-Latn-ME" w:eastAsia="sr-Latn-CS"/>
              </w:rPr>
            </w:pPr>
          </w:p>
        </w:tc>
      </w:tr>
      <w:tr w:rsidR="0072545C" w:rsidRPr="00A44302" w14:paraId="7AB65C0A"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75B00045"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Poremećaji kože i potkožnog tkiva</w:t>
            </w:r>
          </w:p>
        </w:tc>
        <w:tc>
          <w:tcPr>
            <w:tcW w:w="1796" w:type="dxa"/>
            <w:tcBorders>
              <w:top w:val="outset" w:sz="6" w:space="0" w:color="auto"/>
              <w:left w:val="outset" w:sz="6" w:space="0" w:color="auto"/>
              <w:bottom w:val="outset" w:sz="6" w:space="0" w:color="auto"/>
              <w:right w:val="outset" w:sz="6" w:space="0" w:color="auto"/>
            </w:tcBorders>
          </w:tcPr>
          <w:p w14:paraId="7C074DAD" w14:textId="77777777" w:rsidR="0072545C" w:rsidRPr="00A44302" w:rsidRDefault="0072545C" w:rsidP="00C67274">
            <w:pPr>
              <w:spacing w:before="100" w:beforeAutospacing="1" w:after="100" w:afterAutospacing="1"/>
              <w:jc w:val="both"/>
              <w:rPr>
                <w:sz w:val="22"/>
                <w:szCs w:val="22"/>
                <w:lang w:val="sr-Latn-ME" w:eastAsia="sr-Latn-CS"/>
              </w:rPr>
            </w:pPr>
          </w:p>
        </w:tc>
        <w:tc>
          <w:tcPr>
            <w:tcW w:w="1796" w:type="dxa"/>
            <w:tcBorders>
              <w:top w:val="outset" w:sz="6" w:space="0" w:color="auto"/>
              <w:left w:val="outset" w:sz="6" w:space="0" w:color="auto"/>
              <w:bottom w:val="outset" w:sz="6" w:space="0" w:color="auto"/>
              <w:right w:val="outset" w:sz="6" w:space="0" w:color="auto"/>
            </w:tcBorders>
          </w:tcPr>
          <w:p w14:paraId="3F3BD45E" w14:textId="77777777" w:rsidR="0072545C" w:rsidRPr="00A44302" w:rsidRDefault="0072545C" w:rsidP="00C67274">
            <w:pPr>
              <w:spacing w:before="100" w:beforeAutospacing="1" w:after="100" w:afterAutospacing="1"/>
              <w:jc w:val="both"/>
              <w:rPr>
                <w:sz w:val="22"/>
                <w:szCs w:val="22"/>
                <w:lang w:val="sr-Latn-ME" w:eastAsia="sr-Latn-CS"/>
              </w:rPr>
            </w:pPr>
          </w:p>
        </w:tc>
        <w:tc>
          <w:tcPr>
            <w:tcW w:w="1900" w:type="dxa"/>
            <w:tcBorders>
              <w:top w:val="outset" w:sz="6" w:space="0" w:color="auto"/>
              <w:left w:val="outset" w:sz="6" w:space="0" w:color="auto"/>
              <w:bottom w:val="outset" w:sz="6" w:space="0" w:color="auto"/>
              <w:right w:val="outset" w:sz="6" w:space="0" w:color="auto"/>
            </w:tcBorders>
          </w:tcPr>
          <w:p w14:paraId="754EF0FD"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Ozbiljne reakcije na koži**, osip*, urtikarija*</w:t>
            </w:r>
          </w:p>
        </w:tc>
        <w:tc>
          <w:tcPr>
            <w:tcW w:w="1900" w:type="dxa"/>
            <w:tcBorders>
              <w:top w:val="outset" w:sz="6" w:space="0" w:color="auto"/>
              <w:left w:val="outset" w:sz="6" w:space="0" w:color="auto"/>
              <w:bottom w:val="outset" w:sz="6" w:space="0" w:color="auto"/>
              <w:right w:val="outset" w:sz="6" w:space="0" w:color="auto"/>
            </w:tcBorders>
          </w:tcPr>
          <w:p w14:paraId="708007C1" w14:textId="6BA987B3"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Eritem, pruritus, naleti crvenila praćeni osjećajem vrućine</w:t>
            </w:r>
          </w:p>
        </w:tc>
      </w:tr>
      <w:tr w:rsidR="0072545C" w:rsidRPr="00A44302" w14:paraId="3F316136" w14:textId="77777777" w:rsidTr="0072545C">
        <w:trPr>
          <w:trHeight w:val="565"/>
          <w:tblCellSpacing w:w="0" w:type="dxa"/>
          <w:jc w:val="center"/>
        </w:trPr>
        <w:tc>
          <w:tcPr>
            <w:tcW w:w="1814" w:type="dxa"/>
            <w:tcBorders>
              <w:top w:val="outset" w:sz="6" w:space="0" w:color="auto"/>
              <w:left w:val="outset" w:sz="6" w:space="0" w:color="auto"/>
              <w:bottom w:val="outset" w:sz="6" w:space="0" w:color="auto"/>
              <w:right w:val="outset" w:sz="6" w:space="0" w:color="auto"/>
            </w:tcBorders>
          </w:tcPr>
          <w:p w14:paraId="40F5DF3F" w14:textId="46AEC858"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Opšti poremećaji i reakcije na mjestu primjene</w:t>
            </w:r>
          </w:p>
        </w:tc>
        <w:tc>
          <w:tcPr>
            <w:tcW w:w="1796" w:type="dxa"/>
            <w:tcBorders>
              <w:top w:val="outset" w:sz="6" w:space="0" w:color="auto"/>
              <w:left w:val="outset" w:sz="6" w:space="0" w:color="auto"/>
              <w:bottom w:val="outset" w:sz="6" w:space="0" w:color="auto"/>
              <w:right w:val="outset" w:sz="6" w:space="0" w:color="auto"/>
            </w:tcBorders>
          </w:tcPr>
          <w:p w14:paraId="33825837" w14:textId="5D62F0F9"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Reakcije na mjestu primjene infuzije (bol i osjećaj pečenja)</w:t>
            </w:r>
          </w:p>
        </w:tc>
        <w:tc>
          <w:tcPr>
            <w:tcW w:w="1796" w:type="dxa"/>
            <w:tcBorders>
              <w:top w:val="outset" w:sz="6" w:space="0" w:color="auto"/>
              <w:left w:val="outset" w:sz="6" w:space="0" w:color="auto"/>
              <w:bottom w:val="outset" w:sz="6" w:space="0" w:color="auto"/>
              <w:right w:val="outset" w:sz="6" w:space="0" w:color="auto"/>
            </w:tcBorders>
          </w:tcPr>
          <w:p w14:paraId="2A7F1823" w14:textId="77777777" w:rsidR="0072545C" w:rsidRPr="00A44302" w:rsidRDefault="0072545C" w:rsidP="00C67274">
            <w:pPr>
              <w:spacing w:before="100" w:beforeAutospacing="1" w:after="100" w:afterAutospacing="1"/>
              <w:jc w:val="both"/>
              <w:rPr>
                <w:sz w:val="22"/>
                <w:szCs w:val="22"/>
                <w:lang w:val="sr-Latn-ME" w:eastAsia="sr-Latn-CS"/>
              </w:rPr>
            </w:pPr>
            <w:r w:rsidRPr="00A44302">
              <w:rPr>
                <w:sz w:val="22"/>
                <w:szCs w:val="22"/>
                <w:lang w:val="sr-Latn-ME" w:eastAsia="sr-Latn-CS"/>
              </w:rPr>
              <w:t>Malaksalost</w:t>
            </w:r>
          </w:p>
        </w:tc>
        <w:tc>
          <w:tcPr>
            <w:tcW w:w="1900" w:type="dxa"/>
            <w:tcBorders>
              <w:top w:val="outset" w:sz="6" w:space="0" w:color="auto"/>
              <w:left w:val="outset" w:sz="6" w:space="0" w:color="auto"/>
              <w:bottom w:val="outset" w:sz="6" w:space="0" w:color="auto"/>
              <w:right w:val="outset" w:sz="6" w:space="0" w:color="auto"/>
            </w:tcBorders>
          </w:tcPr>
          <w:p w14:paraId="68CDCE9B" w14:textId="77777777" w:rsidR="0072545C" w:rsidRPr="00A44302" w:rsidRDefault="0072545C" w:rsidP="00C67274">
            <w:pPr>
              <w:spacing w:before="100" w:beforeAutospacing="1" w:after="100" w:afterAutospacing="1"/>
              <w:jc w:val="both"/>
              <w:rPr>
                <w:sz w:val="22"/>
                <w:szCs w:val="22"/>
                <w:lang w:val="sr-Latn-ME" w:eastAsia="sr-Latn-CS"/>
              </w:rPr>
            </w:pPr>
          </w:p>
        </w:tc>
        <w:tc>
          <w:tcPr>
            <w:tcW w:w="1900" w:type="dxa"/>
            <w:tcBorders>
              <w:top w:val="outset" w:sz="6" w:space="0" w:color="auto"/>
              <w:left w:val="outset" w:sz="6" w:space="0" w:color="auto"/>
              <w:bottom w:val="outset" w:sz="6" w:space="0" w:color="auto"/>
              <w:right w:val="outset" w:sz="6" w:space="0" w:color="auto"/>
            </w:tcBorders>
          </w:tcPr>
          <w:p w14:paraId="3A7BEC9F" w14:textId="77777777" w:rsidR="0072545C" w:rsidRPr="00A44302" w:rsidRDefault="0072545C" w:rsidP="00C67274">
            <w:pPr>
              <w:spacing w:before="100" w:beforeAutospacing="1" w:after="100" w:afterAutospacing="1"/>
              <w:jc w:val="both"/>
              <w:rPr>
                <w:sz w:val="22"/>
                <w:szCs w:val="22"/>
                <w:lang w:val="sr-Latn-ME" w:eastAsia="sr-Latn-CS"/>
              </w:rPr>
            </w:pPr>
          </w:p>
        </w:tc>
      </w:tr>
    </w:tbl>
    <w:p w14:paraId="3D87B6FF" w14:textId="77777777" w:rsidR="0072545C" w:rsidRPr="00A44302" w:rsidRDefault="0072545C">
      <w:pPr>
        <w:tabs>
          <w:tab w:val="left" w:pos="540"/>
          <w:tab w:val="left" w:pos="569"/>
        </w:tabs>
        <w:jc w:val="both"/>
        <w:rPr>
          <w:bCs/>
          <w:sz w:val="22"/>
          <w:szCs w:val="22"/>
          <w:lang w:val="sr-Latn-ME"/>
        </w:rPr>
      </w:pPr>
    </w:p>
    <w:p w14:paraId="3D269729" w14:textId="77777777" w:rsidR="0072545C" w:rsidRPr="00A44302" w:rsidRDefault="0072545C">
      <w:pPr>
        <w:tabs>
          <w:tab w:val="left" w:pos="540"/>
          <w:tab w:val="left" w:pos="569"/>
        </w:tabs>
        <w:jc w:val="both"/>
        <w:rPr>
          <w:bCs/>
          <w:sz w:val="22"/>
          <w:szCs w:val="22"/>
          <w:lang w:val="sr-Latn-ME"/>
        </w:rPr>
      </w:pPr>
      <w:r w:rsidRPr="00A44302">
        <w:rPr>
          <w:bCs/>
          <w:sz w:val="22"/>
          <w:szCs w:val="22"/>
          <w:lang w:val="sr-Latn-ME"/>
        </w:rPr>
        <w:t>* Prijavljeni su veoma rijetki slučajevi reakcija preosjetljivosti kao što su anafilaktički šok, urtikarija i osip na koži, koji zahtijevaju prekid terapije.</w:t>
      </w:r>
    </w:p>
    <w:p w14:paraId="632D2F84" w14:textId="0FA1F885" w:rsidR="00F77A8D" w:rsidRPr="00A44302" w:rsidRDefault="0072545C">
      <w:pPr>
        <w:tabs>
          <w:tab w:val="left" w:pos="540"/>
          <w:tab w:val="left" w:pos="569"/>
        </w:tabs>
        <w:jc w:val="both"/>
        <w:rPr>
          <w:bCs/>
          <w:sz w:val="22"/>
          <w:szCs w:val="22"/>
          <w:lang w:val="sr-Latn-ME"/>
        </w:rPr>
      </w:pPr>
      <w:r w:rsidRPr="00A44302">
        <w:rPr>
          <w:bCs/>
          <w:sz w:val="22"/>
          <w:szCs w:val="22"/>
          <w:lang w:val="sr-Latn-ME"/>
        </w:rPr>
        <w:t xml:space="preserve">** </w:t>
      </w:r>
      <w:r w:rsidR="00F77A8D" w:rsidRPr="00A44302">
        <w:rPr>
          <w:bCs/>
          <w:sz w:val="22"/>
          <w:szCs w:val="22"/>
          <w:lang w:val="sr-Latn-ME"/>
        </w:rPr>
        <w:t xml:space="preserve">Prijavljeni su veoma rijetki slučajevi </w:t>
      </w:r>
      <w:r w:rsidRPr="00A44302">
        <w:rPr>
          <w:bCs/>
          <w:sz w:val="22"/>
          <w:szCs w:val="22"/>
          <w:lang w:val="sr-Latn-ME"/>
        </w:rPr>
        <w:t xml:space="preserve">ozbiljnih reakcija na koži (akutni generalizovani pustulozni egzantem, toksična epidermalna nekroliza i </w:t>
      </w:r>
      <w:r w:rsidRPr="00A44302">
        <w:rPr>
          <w:bCs/>
          <w:i/>
          <w:iCs/>
          <w:sz w:val="22"/>
          <w:szCs w:val="22"/>
          <w:lang w:val="sr-Latn-ME"/>
        </w:rPr>
        <w:t>Stevens-Johnson</w:t>
      </w:r>
      <w:r w:rsidRPr="00A44302">
        <w:rPr>
          <w:bCs/>
          <w:sz w:val="22"/>
          <w:szCs w:val="22"/>
          <w:lang w:val="sr-Latn-ME"/>
        </w:rPr>
        <w:t>-ov sindrom), koji zahtijevaju prekid terapije.</w:t>
      </w:r>
    </w:p>
    <w:p w14:paraId="55D4C35E" w14:textId="77777777" w:rsidR="00F77A8D" w:rsidRPr="00A44302" w:rsidRDefault="00F77A8D">
      <w:pPr>
        <w:tabs>
          <w:tab w:val="left" w:pos="540"/>
          <w:tab w:val="left" w:pos="569"/>
        </w:tabs>
        <w:jc w:val="both"/>
        <w:rPr>
          <w:bCs/>
          <w:sz w:val="22"/>
          <w:szCs w:val="22"/>
          <w:lang w:val="sr-Latn-ME"/>
        </w:rPr>
      </w:pPr>
    </w:p>
    <w:p w14:paraId="13AD15E9" w14:textId="77777777" w:rsidR="005823AE" w:rsidRPr="00A44302" w:rsidRDefault="005823AE" w:rsidP="00C67274">
      <w:pPr>
        <w:spacing w:after="200" w:line="276" w:lineRule="auto"/>
        <w:jc w:val="both"/>
        <w:rPr>
          <w:rFonts w:eastAsia="Calibri"/>
          <w:sz w:val="22"/>
          <w:szCs w:val="22"/>
          <w:u w:val="single"/>
          <w:lang w:val="sr-Latn-ME"/>
        </w:rPr>
      </w:pPr>
      <w:r w:rsidRPr="00A44302">
        <w:rPr>
          <w:rFonts w:eastAsia="Calibri"/>
          <w:sz w:val="22"/>
          <w:szCs w:val="22"/>
          <w:u w:val="single"/>
          <w:lang w:val="sr-Latn-ME"/>
        </w:rPr>
        <w:t>Prijavljivanje sumnji na neželjena dejstva</w:t>
      </w:r>
    </w:p>
    <w:p w14:paraId="722E4BB5" w14:textId="77777777" w:rsidR="005823AE" w:rsidRPr="00A44302" w:rsidRDefault="005823AE">
      <w:pPr>
        <w:spacing w:after="200"/>
        <w:jc w:val="both"/>
        <w:rPr>
          <w:rFonts w:eastAsia="Calibri"/>
          <w:sz w:val="22"/>
          <w:szCs w:val="22"/>
          <w:lang w:val="sr-Latn-ME"/>
        </w:rPr>
      </w:pPr>
      <w:r w:rsidRPr="00A4430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51B4434" w14:textId="77777777" w:rsidR="005823AE" w:rsidRPr="00A44302" w:rsidRDefault="005823AE">
      <w:pPr>
        <w:pStyle w:val="NoSpacing"/>
        <w:jc w:val="both"/>
        <w:rPr>
          <w:rFonts w:eastAsia="Calibri"/>
          <w:sz w:val="22"/>
          <w:szCs w:val="22"/>
          <w:lang w:val="sr-Latn-ME"/>
        </w:rPr>
      </w:pPr>
      <w:r w:rsidRPr="00A44302">
        <w:rPr>
          <w:rFonts w:eastAsia="Calibri"/>
          <w:sz w:val="22"/>
          <w:szCs w:val="22"/>
          <w:lang w:val="sr-Latn-ME"/>
        </w:rPr>
        <w:t xml:space="preserve">Institut za ljekove i medicinska sredstva </w:t>
      </w:r>
    </w:p>
    <w:p w14:paraId="32147CFF" w14:textId="77777777" w:rsidR="005823AE" w:rsidRPr="00A44302" w:rsidRDefault="005823AE">
      <w:pPr>
        <w:pStyle w:val="NoSpacing"/>
        <w:jc w:val="both"/>
        <w:rPr>
          <w:rFonts w:eastAsia="Calibri"/>
          <w:sz w:val="22"/>
          <w:szCs w:val="22"/>
          <w:lang w:val="sr-Latn-ME"/>
        </w:rPr>
      </w:pPr>
      <w:r w:rsidRPr="00A44302">
        <w:rPr>
          <w:rFonts w:eastAsia="Calibri"/>
          <w:sz w:val="22"/>
          <w:szCs w:val="22"/>
          <w:lang w:val="sr-Latn-ME"/>
        </w:rPr>
        <w:t>Odjeljenje za farmakovigilancu</w:t>
      </w:r>
    </w:p>
    <w:p w14:paraId="570C1116" w14:textId="77777777" w:rsidR="005823AE" w:rsidRPr="00A44302" w:rsidRDefault="005823AE">
      <w:pPr>
        <w:pStyle w:val="NoSpacing"/>
        <w:jc w:val="both"/>
        <w:rPr>
          <w:rFonts w:eastAsia="Calibri"/>
          <w:sz w:val="22"/>
          <w:szCs w:val="22"/>
          <w:lang w:val="sr-Latn-ME"/>
        </w:rPr>
      </w:pPr>
      <w:r w:rsidRPr="00A44302">
        <w:rPr>
          <w:rFonts w:eastAsia="Calibri"/>
          <w:sz w:val="22"/>
          <w:szCs w:val="22"/>
          <w:lang w:val="sr-Latn-ME"/>
        </w:rPr>
        <w:t>Bulevar Ivana Crnojevića 64a, 81000 Podgorica</w:t>
      </w:r>
    </w:p>
    <w:p w14:paraId="04F859A7" w14:textId="77777777" w:rsidR="005823AE" w:rsidRPr="00A44302" w:rsidRDefault="005823AE" w:rsidP="00C67274">
      <w:pPr>
        <w:pStyle w:val="NoSpacing"/>
        <w:jc w:val="both"/>
        <w:rPr>
          <w:rFonts w:eastAsia="Calibri"/>
          <w:sz w:val="22"/>
          <w:szCs w:val="22"/>
          <w:lang w:val="sr-Latn-ME"/>
        </w:rPr>
      </w:pPr>
    </w:p>
    <w:p w14:paraId="46941B48" w14:textId="77777777" w:rsidR="005823AE" w:rsidRPr="00A44302" w:rsidRDefault="005823AE">
      <w:pPr>
        <w:pStyle w:val="NoSpacing"/>
        <w:jc w:val="both"/>
        <w:rPr>
          <w:rFonts w:eastAsia="Calibri"/>
          <w:sz w:val="22"/>
          <w:szCs w:val="22"/>
          <w:lang w:val="sr-Latn-ME"/>
        </w:rPr>
      </w:pPr>
      <w:r w:rsidRPr="00A44302">
        <w:rPr>
          <w:rFonts w:eastAsia="Calibri"/>
          <w:sz w:val="22"/>
          <w:szCs w:val="22"/>
          <w:lang w:val="sr-Latn-ME"/>
        </w:rPr>
        <w:t>tel: +382 (0) 20 310 280</w:t>
      </w:r>
    </w:p>
    <w:p w14:paraId="3AE77B2A" w14:textId="77777777" w:rsidR="005823AE" w:rsidRPr="00A44302" w:rsidRDefault="005823AE">
      <w:pPr>
        <w:pStyle w:val="NoSpacing"/>
        <w:tabs>
          <w:tab w:val="left" w:pos="6720"/>
        </w:tabs>
        <w:jc w:val="both"/>
        <w:rPr>
          <w:rFonts w:eastAsia="Calibri"/>
          <w:sz w:val="22"/>
          <w:szCs w:val="22"/>
          <w:lang w:val="sr-Latn-ME"/>
        </w:rPr>
      </w:pPr>
      <w:r w:rsidRPr="00A44302">
        <w:rPr>
          <w:rFonts w:eastAsia="Calibri"/>
          <w:sz w:val="22"/>
          <w:szCs w:val="22"/>
          <w:lang w:val="sr-Latn-ME"/>
        </w:rPr>
        <w:t>fax: +382 (0) 20 310 581</w:t>
      </w:r>
      <w:r w:rsidRPr="00A44302">
        <w:rPr>
          <w:rFonts w:eastAsia="Calibri"/>
          <w:sz w:val="22"/>
          <w:szCs w:val="22"/>
          <w:lang w:val="sr-Latn-ME"/>
        </w:rPr>
        <w:tab/>
      </w:r>
    </w:p>
    <w:p w14:paraId="5D6CC436" w14:textId="77777777" w:rsidR="005823AE" w:rsidRPr="00A44302" w:rsidRDefault="00506AC1">
      <w:pPr>
        <w:pStyle w:val="NoSpacing"/>
        <w:jc w:val="both"/>
        <w:rPr>
          <w:rFonts w:eastAsia="Calibri"/>
          <w:sz w:val="22"/>
          <w:szCs w:val="22"/>
          <w:lang w:val="sr-Latn-ME"/>
        </w:rPr>
      </w:pPr>
      <w:hyperlink r:id="rId8" w:history="1">
        <w:r w:rsidR="005823AE" w:rsidRPr="00A44302">
          <w:rPr>
            <w:rStyle w:val="Hyperlink"/>
            <w:rFonts w:eastAsia="Calibri"/>
            <w:sz w:val="22"/>
            <w:szCs w:val="22"/>
            <w:lang w:val="sr-Latn-ME"/>
          </w:rPr>
          <w:t>www.cinmed.me</w:t>
        </w:r>
      </w:hyperlink>
    </w:p>
    <w:p w14:paraId="30B0302C" w14:textId="77777777" w:rsidR="005823AE" w:rsidRPr="00A44302" w:rsidRDefault="00506AC1">
      <w:pPr>
        <w:pStyle w:val="NoSpacing"/>
        <w:jc w:val="both"/>
        <w:rPr>
          <w:rFonts w:eastAsia="Calibri"/>
          <w:color w:val="0000FF"/>
          <w:sz w:val="22"/>
          <w:szCs w:val="22"/>
          <w:u w:val="single"/>
          <w:lang w:val="sr-Latn-ME"/>
        </w:rPr>
      </w:pPr>
      <w:hyperlink r:id="rId9" w:history="1">
        <w:r w:rsidR="005823AE" w:rsidRPr="00A44302">
          <w:rPr>
            <w:rStyle w:val="Hyperlink"/>
            <w:rFonts w:eastAsia="Calibri"/>
            <w:sz w:val="22"/>
            <w:szCs w:val="22"/>
            <w:lang w:val="sr-Latn-ME"/>
          </w:rPr>
          <w:t>nezeljenadejstva@cinmed.me</w:t>
        </w:r>
      </w:hyperlink>
    </w:p>
    <w:p w14:paraId="7234D8AE" w14:textId="77777777" w:rsidR="005823AE" w:rsidRPr="00A44302" w:rsidRDefault="005823AE">
      <w:pPr>
        <w:pStyle w:val="NoSpacing"/>
        <w:jc w:val="both"/>
        <w:rPr>
          <w:rFonts w:eastAsia="Calibri"/>
          <w:sz w:val="22"/>
          <w:szCs w:val="22"/>
          <w:lang w:val="sr-Latn-ME"/>
        </w:rPr>
      </w:pPr>
      <w:r w:rsidRPr="00A44302">
        <w:rPr>
          <w:rFonts w:eastAsia="Calibri"/>
          <w:sz w:val="22"/>
          <w:szCs w:val="22"/>
          <w:lang w:val="sr-Latn-ME"/>
        </w:rPr>
        <w:t>putem IS zdravstvene zaštite</w:t>
      </w:r>
    </w:p>
    <w:p w14:paraId="70697D19" w14:textId="77777777" w:rsidR="005823AE" w:rsidRPr="00A44302" w:rsidRDefault="005823AE">
      <w:pPr>
        <w:pStyle w:val="NoSpacing"/>
        <w:jc w:val="both"/>
        <w:rPr>
          <w:rFonts w:eastAsia="Calibri"/>
          <w:sz w:val="22"/>
          <w:szCs w:val="22"/>
          <w:lang w:val="sr-Latn-ME"/>
        </w:rPr>
      </w:pPr>
      <w:r w:rsidRPr="00A44302">
        <w:rPr>
          <w:rFonts w:eastAsia="Calibri"/>
          <w:sz w:val="22"/>
          <w:szCs w:val="22"/>
          <w:lang w:val="sr-Latn-ME"/>
        </w:rPr>
        <w:t>QR kod za online prijavu sumnje na neželjeno dejstvo lijeka:</w:t>
      </w:r>
    </w:p>
    <w:p w14:paraId="19F12BE2" w14:textId="77777777" w:rsidR="005823AE" w:rsidRPr="00A44302" w:rsidRDefault="005823AE">
      <w:pPr>
        <w:pStyle w:val="NoSpacing"/>
        <w:jc w:val="both"/>
        <w:rPr>
          <w:rFonts w:eastAsia="Calibri"/>
          <w:sz w:val="22"/>
          <w:szCs w:val="22"/>
          <w:lang w:val="sr-Latn-ME"/>
        </w:rPr>
      </w:pPr>
    </w:p>
    <w:p w14:paraId="542D440F" w14:textId="77777777" w:rsidR="005823AE" w:rsidRPr="00A44302" w:rsidRDefault="005823AE" w:rsidP="00C67274">
      <w:pPr>
        <w:pStyle w:val="NoSpacing"/>
        <w:jc w:val="both"/>
        <w:rPr>
          <w:rFonts w:eastAsia="Calibri"/>
          <w:sz w:val="22"/>
          <w:szCs w:val="22"/>
          <w:lang w:val="sr-Latn-ME"/>
        </w:rPr>
      </w:pPr>
      <w:r w:rsidRPr="00A44302">
        <w:rPr>
          <w:noProof/>
          <w:sz w:val="22"/>
          <w:szCs w:val="22"/>
          <w:lang w:val="sr-Latn-ME"/>
        </w:rPr>
        <w:drawing>
          <wp:inline distT="0" distB="0" distL="0" distR="0" wp14:anchorId="6798CDD0" wp14:editId="6C1C80A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06EBA8D" w14:textId="77777777" w:rsidR="00836B35" w:rsidRPr="00A44302" w:rsidRDefault="00836B35" w:rsidP="00C67274">
      <w:pPr>
        <w:tabs>
          <w:tab w:val="left" w:pos="540"/>
          <w:tab w:val="left" w:pos="569"/>
        </w:tabs>
        <w:jc w:val="both"/>
        <w:rPr>
          <w:b/>
          <w:bCs/>
          <w:sz w:val="22"/>
          <w:szCs w:val="22"/>
          <w:lang w:val="sr-Latn-ME"/>
        </w:rPr>
      </w:pPr>
    </w:p>
    <w:p w14:paraId="72F79274" w14:textId="77777777" w:rsidR="00CD6F02" w:rsidRPr="00A44302" w:rsidRDefault="0072020E" w:rsidP="00C67274">
      <w:pPr>
        <w:tabs>
          <w:tab w:val="left" w:pos="540"/>
          <w:tab w:val="left" w:pos="569"/>
        </w:tabs>
        <w:jc w:val="both"/>
        <w:rPr>
          <w:b/>
          <w:bCs/>
          <w:sz w:val="22"/>
          <w:szCs w:val="22"/>
          <w:lang w:val="sr-Latn-ME"/>
        </w:rPr>
      </w:pPr>
      <w:r w:rsidRPr="00A44302">
        <w:rPr>
          <w:b/>
          <w:bCs/>
          <w:sz w:val="22"/>
          <w:szCs w:val="22"/>
          <w:lang w:val="sr-Latn-ME"/>
        </w:rPr>
        <w:t xml:space="preserve">4.9. </w:t>
      </w:r>
      <w:r w:rsidR="00480FB1" w:rsidRPr="00A44302">
        <w:rPr>
          <w:b/>
          <w:bCs/>
          <w:sz w:val="22"/>
          <w:szCs w:val="22"/>
          <w:lang w:val="sr-Latn-ME"/>
        </w:rPr>
        <w:tab/>
      </w:r>
      <w:r w:rsidRPr="00A44302">
        <w:rPr>
          <w:b/>
          <w:bCs/>
          <w:sz w:val="22"/>
          <w:szCs w:val="22"/>
          <w:lang w:val="sr-Latn-ME"/>
        </w:rPr>
        <w:t>Predoziranje</w:t>
      </w:r>
      <w:r w:rsidR="002846DB" w:rsidRPr="00A44302">
        <w:rPr>
          <w:b/>
          <w:bCs/>
          <w:sz w:val="22"/>
          <w:szCs w:val="22"/>
          <w:lang w:val="sr-Latn-ME"/>
        </w:rPr>
        <w:t xml:space="preserve"> </w:t>
      </w:r>
    </w:p>
    <w:p w14:paraId="1EBA672D" w14:textId="77777777" w:rsidR="00CD6F02" w:rsidRPr="00A44302" w:rsidRDefault="00CD6F02" w:rsidP="00C67274">
      <w:pPr>
        <w:tabs>
          <w:tab w:val="left" w:pos="540"/>
          <w:tab w:val="left" w:pos="569"/>
        </w:tabs>
        <w:jc w:val="both"/>
        <w:rPr>
          <w:b/>
          <w:bCs/>
          <w:sz w:val="22"/>
          <w:szCs w:val="22"/>
          <w:lang w:val="sr-Latn-ME"/>
        </w:rPr>
      </w:pPr>
    </w:p>
    <w:p w14:paraId="0ED5D734" w14:textId="79D3374B"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Postoji rizik od oštećenja jetre (uključujući fulminantni hepatitis, insuficijenciju jetre, holestatski hepatitis, citolitički hepatitis), posebno kod starijih pacijenata, kod djece, kod pacijenata sa oboljenjima jetre, u slučaju hroničnog alkoholizma, kod pacijenata sa hroničnom malnutricijom i kod pacijenata koji primaju induktore enzima. U ovim slučajevima predoziranje može </w:t>
      </w:r>
      <w:r w:rsidR="0072545C" w:rsidRPr="00A44302">
        <w:rPr>
          <w:bCs/>
          <w:sz w:val="22"/>
          <w:szCs w:val="22"/>
          <w:lang w:val="sr-Latn-ME"/>
        </w:rPr>
        <w:t>imati smrtne posljedice</w:t>
      </w:r>
      <w:r w:rsidRPr="00A44302">
        <w:rPr>
          <w:bCs/>
          <w:sz w:val="22"/>
          <w:szCs w:val="22"/>
          <w:lang w:val="sr-Latn-ME"/>
        </w:rPr>
        <w:t>.</w:t>
      </w:r>
    </w:p>
    <w:p w14:paraId="2CF4F8C0" w14:textId="77777777" w:rsidR="0072545C" w:rsidRPr="00A44302" w:rsidRDefault="0072545C">
      <w:pPr>
        <w:tabs>
          <w:tab w:val="left" w:pos="540"/>
          <w:tab w:val="left" w:pos="569"/>
        </w:tabs>
        <w:jc w:val="both"/>
        <w:rPr>
          <w:bCs/>
          <w:sz w:val="22"/>
          <w:szCs w:val="22"/>
          <w:lang w:val="sr-Latn-ME"/>
        </w:rPr>
      </w:pPr>
    </w:p>
    <w:p w14:paraId="590F0993" w14:textId="0AB4B79F" w:rsidR="00DF6459" w:rsidRPr="00A44302" w:rsidRDefault="00F77A8D">
      <w:pPr>
        <w:tabs>
          <w:tab w:val="left" w:pos="540"/>
          <w:tab w:val="left" w:pos="569"/>
        </w:tabs>
        <w:jc w:val="both"/>
        <w:rPr>
          <w:bCs/>
          <w:sz w:val="22"/>
          <w:szCs w:val="22"/>
          <w:lang w:val="sr-Latn-ME"/>
        </w:rPr>
      </w:pPr>
      <w:r w:rsidRPr="00A44302">
        <w:rPr>
          <w:bCs/>
          <w:sz w:val="22"/>
          <w:szCs w:val="22"/>
          <w:lang w:val="sr-Latn-ME"/>
        </w:rPr>
        <w:t>Simptomi se obično pojavljuju tokom prva 24 sata i uključuju: mučninu, povraćanje, anoreksiju, bl</w:t>
      </w:r>
      <w:r w:rsidR="004A6DFA" w:rsidRPr="00A44302">
        <w:rPr>
          <w:bCs/>
          <w:sz w:val="22"/>
          <w:szCs w:val="22"/>
          <w:lang w:val="sr-Latn-ME"/>
        </w:rPr>
        <w:t>ij</w:t>
      </w:r>
      <w:r w:rsidRPr="00A44302">
        <w:rPr>
          <w:bCs/>
          <w:sz w:val="22"/>
          <w:szCs w:val="22"/>
          <w:lang w:val="sr-Latn-ME"/>
        </w:rPr>
        <w:t xml:space="preserve">edilo, bol u stomaku. </w:t>
      </w:r>
      <w:r w:rsidR="00DF6459" w:rsidRPr="00A44302">
        <w:rPr>
          <w:bCs/>
          <w:sz w:val="22"/>
          <w:szCs w:val="22"/>
          <w:lang w:val="sr-Latn-ME"/>
        </w:rPr>
        <w:t>Urgentne mjere su neophodne u slučaju predoziranja paracetamolom</w:t>
      </w:r>
      <w:r w:rsidR="004A6DFA" w:rsidRPr="00A44302">
        <w:rPr>
          <w:bCs/>
          <w:sz w:val="22"/>
          <w:szCs w:val="22"/>
          <w:lang w:val="sr-Latn-ME"/>
        </w:rPr>
        <w:t xml:space="preserve"> </w:t>
      </w:r>
      <w:r w:rsidR="00DF6459" w:rsidRPr="00A44302">
        <w:rPr>
          <w:bCs/>
          <w:sz w:val="22"/>
          <w:szCs w:val="22"/>
          <w:lang w:val="sr-Latn-ME"/>
        </w:rPr>
        <w:t xml:space="preserve">čak i kada simptomi nijesu prisutni. </w:t>
      </w:r>
    </w:p>
    <w:p w14:paraId="3CAD9911" w14:textId="5D57573F"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Predoziranje, odnosno 7,5 g ili više paracetamola </w:t>
      </w:r>
      <w:r w:rsidR="0072545C" w:rsidRPr="00A44302">
        <w:rPr>
          <w:bCs/>
          <w:sz w:val="22"/>
          <w:szCs w:val="22"/>
          <w:lang w:val="sr-Latn-ME"/>
        </w:rPr>
        <w:t>po</w:t>
      </w:r>
      <w:r w:rsidRPr="00A44302">
        <w:rPr>
          <w:bCs/>
          <w:sz w:val="22"/>
          <w:szCs w:val="22"/>
          <w:lang w:val="sr-Latn-ME"/>
        </w:rPr>
        <w:t xml:space="preserve"> dozi kod odraslih ili 140 mg/kg tjelesne mase ili više po dozi kod djece, izaziva citolitički hepatitis  koji može da izazove potpunu i ireverzibilnu nekrozu jetre, koja dalje prouzrokuje hepatocelularnu insuficijenciju, metaboličku acidozu i encefalopatiju koje mogu da dovedu do kome i smrt</w:t>
      </w:r>
      <w:r w:rsidR="009D3CE0" w:rsidRPr="00A44302">
        <w:rPr>
          <w:bCs/>
          <w:sz w:val="22"/>
          <w:szCs w:val="22"/>
          <w:lang w:val="sr-Latn-ME"/>
        </w:rPr>
        <w:t>n</w:t>
      </w:r>
      <w:r w:rsidR="0072545C" w:rsidRPr="00A44302">
        <w:rPr>
          <w:bCs/>
          <w:sz w:val="22"/>
          <w:szCs w:val="22"/>
          <w:lang w:val="sr-Latn-ME"/>
        </w:rPr>
        <w:t>og ishoda</w:t>
      </w:r>
      <w:r w:rsidRPr="00A44302">
        <w:rPr>
          <w:bCs/>
          <w:sz w:val="22"/>
          <w:szCs w:val="22"/>
          <w:lang w:val="sr-Latn-ME"/>
        </w:rPr>
        <w:t>. Istovremeno, primijećene su pov</w:t>
      </w:r>
      <w:r w:rsidR="009D3CE0" w:rsidRPr="00A44302">
        <w:rPr>
          <w:bCs/>
          <w:sz w:val="22"/>
          <w:szCs w:val="22"/>
          <w:lang w:val="sr-Latn-ME"/>
        </w:rPr>
        <w:t>ećane</w:t>
      </w:r>
      <w:r w:rsidR="004A6DFA" w:rsidRPr="00A44302">
        <w:rPr>
          <w:bCs/>
          <w:sz w:val="22"/>
          <w:szCs w:val="22"/>
          <w:lang w:val="sr-Latn-ME"/>
        </w:rPr>
        <w:t xml:space="preserve"> </w:t>
      </w:r>
      <w:r w:rsidR="0072545C" w:rsidRPr="00A44302">
        <w:rPr>
          <w:bCs/>
          <w:sz w:val="22"/>
          <w:szCs w:val="22"/>
          <w:lang w:val="sr-Latn-ME"/>
        </w:rPr>
        <w:t xml:space="preserve">vrijednosti </w:t>
      </w:r>
      <w:r w:rsidRPr="00A44302">
        <w:rPr>
          <w:bCs/>
          <w:sz w:val="22"/>
          <w:szCs w:val="22"/>
          <w:lang w:val="sr-Latn-ME"/>
        </w:rPr>
        <w:t xml:space="preserve">transaminaza jetre (AST, ALT), laktat dehidrogenaze i bilirubina zajedno sa smanjenim koncentracijama protrombina koji mogu da se jave 12 do 48 sati nakon primjene. </w:t>
      </w:r>
    </w:p>
    <w:p w14:paraId="2AEB085F" w14:textId="77777777" w:rsidR="0072545C" w:rsidRPr="00A44302" w:rsidRDefault="0072545C">
      <w:pPr>
        <w:tabs>
          <w:tab w:val="left" w:pos="540"/>
          <w:tab w:val="left" w:pos="569"/>
        </w:tabs>
        <w:jc w:val="both"/>
        <w:rPr>
          <w:bCs/>
          <w:sz w:val="22"/>
          <w:szCs w:val="22"/>
          <w:lang w:val="sr-Latn-ME"/>
        </w:rPr>
      </w:pPr>
    </w:p>
    <w:p w14:paraId="6AD5FD56" w14:textId="77777777" w:rsidR="00F77A8D" w:rsidRPr="00A44302" w:rsidRDefault="00F77A8D">
      <w:pPr>
        <w:tabs>
          <w:tab w:val="left" w:pos="540"/>
          <w:tab w:val="left" w:pos="569"/>
        </w:tabs>
        <w:jc w:val="both"/>
        <w:rPr>
          <w:bCs/>
          <w:sz w:val="22"/>
          <w:szCs w:val="22"/>
          <w:lang w:val="sr-Latn-ME"/>
        </w:rPr>
      </w:pPr>
      <w:r w:rsidRPr="00A44302">
        <w:rPr>
          <w:bCs/>
          <w:sz w:val="22"/>
          <w:szCs w:val="22"/>
          <w:lang w:val="sr-Latn-ME"/>
        </w:rPr>
        <w:t>Klinički simptomi poremećaja jetre obično postanu očigledni nakon dva dana, a najizraženiji su nakon 4 do 6 dana.</w:t>
      </w:r>
    </w:p>
    <w:p w14:paraId="2E64B61E" w14:textId="77777777" w:rsidR="00F77A8D" w:rsidRPr="00A44302" w:rsidRDefault="00F77A8D">
      <w:pPr>
        <w:tabs>
          <w:tab w:val="left" w:pos="540"/>
          <w:tab w:val="left" w:pos="569"/>
        </w:tabs>
        <w:jc w:val="both"/>
        <w:rPr>
          <w:bCs/>
          <w:sz w:val="22"/>
          <w:szCs w:val="22"/>
          <w:lang w:val="sr-Latn-ME"/>
        </w:rPr>
      </w:pPr>
    </w:p>
    <w:p w14:paraId="68AB69B3" w14:textId="77777777" w:rsidR="00F77A8D" w:rsidRPr="00A44302" w:rsidRDefault="00F77A8D">
      <w:pPr>
        <w:tabs>
          <w:tab w:val="left" w:pos="540"/>
          <w:tab w:val="left" w:pos="569"/>
        </w:tabs>
        <w:jc w:val="both"/>
        <w:rPr>
          <w:bCs/>
          <w:sz w:val="22"/>
          <w:szCs w:val="22"/>
          <w:u w:val="single"/>
          <w:lang w:val="sr-Latn-ME"/>
        </w:rPr>
      </w:pPr>
      <w:r w:rsidRPr="00A44302">
        <w:rPr>
          <w:bCs/>
          <w:sz w:val="22"/>
          <w:szCs w:val="22"/>
          <w:u w:val="single"/>
          <w:lang w:val="sr-Latn-ME"/>
        </w:rPr>
        <w:t>Urgentne mjere:</w:t>
      </w:r>
    </w:p>
    <w:p w14:paraId="1302D8D6" w14:textId="77777777" w:rsidR="00F77A8D" w:rsidRPr="00A44302" w:rsidRDefault="00F77A8D">
      <w:pPr>
        <w:pStyle w:val="ListParagraph"/>
        <w:numPr>
          <w:ilvl w:val="0"/>
          <w:numId w:val="14"/>
        </w:numPr>
        <w:tabs>
          <w:tab w:val="left" w:pos="540"/>
          <w:tab w:val="left" w:pos="569"/>
        </w:tabs>
        <w:ind w:left="527" w:hanging="170"/>
        <w:jc w:val="both"/>
        <w:rPr>
          <w:bCs/>
          <w:sz w:val="22"/>
          <w:szCs w:val="22"/>
          <w:lang w:val="sr-Latn-ME"/>
        </w:rPr>
      </w:pPr>
      <w:r w:rsidRPr="00A44302">
        <w:rPr>
          <w:bCs/>
          <w:sz w:val="22"/>
          <w:szCs w:val="22"/>
          <w:lang w:val="sr-Latn-ME"/>
        </w:rPr>
        <w:t xml:space="preserve">hitna hospitalizacija pacijenta, </w:t>
      </w:r>
    </w:p>
    <w:p w14:paraId="6F45574A" w14:textId="77777777" w:rsidR="00F77A8D" w:rsidRPr="00A44302" w:rsidRDefault="00F77A8D">
      <w:pPr>
        <w:pStyle w:val="ListParagraph"/>
        <w:numPr>
          <w:ilvl w:val="0"/>
          <w:numId w:val="14"/>
        </w:numPr>
        <w:tabs>
          <w:tab w:val="left" w:pos="540"/>
          <w:tab w:val="left" w:pos="569"/>
        </w:tabs>
        <w:ind w:left="527" w:hanging="170"/>
        <w:jc w:val="both"/>
        <w:rPr>
          <w:bCs/>
          <w:sz w:val="22"/>
          <w:szCs w:val="22"/>
          <w:lang w:val="sr-Latn-ME"/>
        </w:rPr>
      </w:pPr>
      <w:r w:rsidRPr="00A44302">
        <w:rPr>
          <w:bCs/>
          <w:sz w:val="22"/>
          <w:szCs w:val="22"/>
          <w:lang w:val="sr-Latn-ME"/>
        </w:rPr>
        <w:t>prije početka terapije, treba uzeti uzorak krvi za određivanje koncentracije paracetamola u plazmi odmah poslije predoziranja,</w:t>
      </w:r>
    </w:p>
    <w:p w14:paraId="5232B202" w14:textId="46A045E4" w:rsidR="00F77A8D" w:rsidRPr="00A44302" w:rsidRDefault="00F77A8D">
      <w:pPr>
        <w:pStyle w:val="ListParagraph"/>
        <w:numPr>
          <w:ilvl w:val="0"/>
          <w:numId w:val="14"/>
        </w:numPr>
        <w:tabs>
          <w:tab w:val="left" w:pos="540"/>
          <w:tab w:val="left" w:pos="569"/>
        </w:tabs>
        <w:ind w:left="527" w:hanging="170"/>
        <w:jc w:val="both"/>
        <w:rPr>
          <w:bCs/>
          <w:sz w:val="22"/>
          <w:szCs w:val="22"/>
          <w:lang w:val="sr-Latn-ME"/>
        </w:rPr>
      </w:pPr>
      <w:r w:rsidRPr="00A44302">
        <w:rPr>
          <w:bCs/>
          <w:sz w:val="22"/>
          <w:szCs w:val="22"/>
          <w:lang w:val="sr-Latn-ME"/>
        </w:rPr>
        <w:t>liječenje uključuje primjenu antidota, N-acetilcisteina (NAC), i.v. ili oraln</w:t>
      </w:r>
      <w:r w:rsidR="00A24153" w:rsidRPr="00A44302">
        <w:rPr>
          <w:bCs/>
          <w:sz w:val="22"/>
          <w:szCs w:val="22"/>
          <w:lang w:val="sr-Latn-ME"/>
        </w:rPr>
        <w:t>im</w:t>
      </w:r>
      <w:r w:rsidRPr="00A44302">
        <w:rPr>
          <w:bCs/>
          <w:sz w:val="22"/>
          <w:szCs w:val="22"/>
          <w:lang w:val="sr-Latn-ME"/>
        </w:rPr>
        <w:t xml:space="preserve"> </w:t>
      </w:r>
      <w:r w:rsidR="00A24153" w:rsidRPr="00A44302">
        <w:rPr>
          <w:bCs/>
          <w:sz w:val="22"/>
          <w:szCs w:val="22"/>
          <w:lang w:val="sr-Latn-ME"/>
        </w:rPr>
        <w:t>putem</w:t>
      </w:r>
      <w:r w:rsidRPr="00A44302">
        <w:rPr>
          <w:bCs/>
          <w:sz w:val="22"/>
          <w:szCs w:val="22"/>
          <w:lang w:val="sr-Latn-ME"/>
        </w:rPr>
        <w:t>, ako je moguće prije isteka desetog sata od predoziranja. NAC može obezbijediti i određeni stepen zaštite čak i po isteku deset sati, ali u tim slučajevima treba produžiti liječenje</w:t>
      </w:r>
      <w:r w:rsidR="004A6DFA" w:rsidRPr="00A44302">
        <w:rPr>
          <w:bCs/>
          <w:sz w:val="22"/>
          <w:szCs w:val="22"/>
          <w:lang w:val="sr-Latn-ME"/>
        </w:rPr>
        <w:t>,</w:t>
      </w:r>
    </w:p>
    <w:p w14:paraId="7DE3E7F1" w14:textId="77777777" w:rsidR="00F77A8D" w:rsidRPr="00A44302" w:rsidRDefault="00F77A8D">
      <w:pPr>
        <w:pStyle w:val="ListParagraph"/>
        <w:numPr>
          <w:ilvl w:val="0"/>
          <w:numId w:val="14"/>
        </w:numPr>
        <w:tabs>
          <w:tab w:val="left" w:pos="540"/>
          <w:tab w:val="left" w:pos="569"/>
        </w:tabs>
        <w:ind w:left="527" w:hanging="170"/>
        <w:jc w:val="both"/>
        <w:rPr>
          <w:bCs/>
          <w:sz w:val="22"/>
          <w:szCs w:val="22"/>
          <w:lang w:val="sr-Latn-ME"/>
        </w:rPr>
      </w:pPr>
      <w:r w:rsidRPr="00A44302">
        <w:rPr>
          <w:bCs/>
          <w:sz w:val="22"/>
          <w:szCs w:val="22"/>
          <w:lang w:val="sr-Latn-ME"/>
        </w:rPr>
        <w:t>simptomatska terapija,</w:t>
      </w:r>
    </w:p>
    <w:p w14:paraId="2B45F400" w14:textId="6D87D960" w:rsidR="00F77A8D" w:rsidRPr="00A44302" w:rsidRDefault="00F77A8D">
      <w:pPr>
        <w:pStyle w:val="ListParagraph"/>
        <w:numPr>
          <w:ilvl w:val="0"/>
          <w:numId w:val="14"/>
        </w:numPr>
        <w:tabs>
          <w:tab w:val="left" w:pos="540"/>
          <w:tab w:val="left" w:pos="569"/>
        </w:tabs>
        <w:ind w:left="527" w:hanging="170"/>
        <w:jc w:val="both"/>
        <w:rPr>
          <w:bCs/>
          <w:sz w:val="22"/>
          <w:szCs w:val="22"/>
          <w:lang w:val="sr-Latn-ME"/>
        </w:rPr>
      </w:pPr>
      <w:r w:rsidRPr="00A44302">
        <w:rPr>
          <w:bCs/>
          <w:sz w:val="22"/>
          <w:szCs w:val="22"/>
          <w:lang w:val="sr-Latn-ME"/>
        </w:rPr>
        <w:t xml:space="preserve">testovi funkcije jetre se moraju izvesti na početku terapije i ponavljati svaka 24 sata. U većini slučajeva </w:t>
      </w:r>
      <w:r w:rsidR="00A24153" w:rsidRPr="00A44302">
        <w:rPr>
          <w:bCs/>
          <w:sz w:val="22"/>
          <w:szCs w:val="22"/>
          <w:lang w:val="sr-Latn-ME"/>
        </w:rPr>
        <w:t xml:space="preserve">vrijednost </w:t>
      </w:r>
      <w:r w:rsidRPr="00A44302">
        <w:rPr>
          <w:bCs/>
          <w:sz w:val="22"/>
          <w:szCs w:val="22"/>
          <w:lang w:val="sr-Latn-ME"/>
        </w:rPr>
        <w:t>transaminaza jetre se vraćaju  na normalan</w:t>
      </w:r>
      <w:r w:rsidR="009D3CE0" w:rsidRPr="00A44302">
        <w:rPr>
          <w:bCs/>
          <w:sz w:val="22"/>
          <w:szCs w:val="22"/>
          <w:lang w:val="sr-Latn-ME"/>
        </w:rPr>
        <w:t>e</w:t>
      </w:r>
      <w:r w:rsidRPr="00A44302">
        <w:rPr>
          <w:bCs/>
          <w:sz w:val="22"/>
          <w:szCs w:val="22"/>
          <w:lang w:val="sr-Latn-ME"/>
        </w:rPr>
        <w:t xml:space="preserve"> </w:t>
      </w:r>
      <w:r w:rsidR="009D3CE0" w:rsidRPr="00A44302">
        <w:rPr>
          <w:bCs/>
          <w:sz w:val="22"/>
          <w:szCs w:val="22"/>
          <w:lang w:val="sr-Latn-ME"/>
        </w:rPr>
        <w:t>vrijednosti</w:t>
      </w:r>
      <w:r w:rsidRPr="00A44302">
        <w:rPr>
          <w:bCs/>
          <w:sz w:val="22"/>
          <w:szCs w:val="22"/>
          <w:lang w:val="sr-Latn-ME"/>
        </w:rPr>
        <w:t xml:space="preserve"> nakon jedne do dvije nedjelje uz potpuno obnavljanje funkcije jetre. Međutim, u veoma </w:t>
      </w:r>
      <w:r w:rsidR="009D3CE0" w:rsidRPr="00A44302">
        <w:rPr>
          <w:bCs/>
          <w:sz w:val="22"/>
          <w:szCs w:val="22"/>
          <w:lang w:val="sr-Latn-ME"/>
        </w:rPr>
        <w:t>teškim</w:t>
      </w:r>
      <w:r w:rsidRPr="00A44302">
        <w:rPr>
          <w:bCs/>
          <w:sz w:val="22"/>
          <w:szCs w:val="22"/>
          <w:lang w:val="sr-Latn-ME"/>
        </w:rPr>
        <w:t xml:space="preserve"> slučajevima, mora se pribjeći transplantaciji jetre. </w:t>
      </w:r>
    </w:p>
    <w:p w14:paraId="7014E6B6" w14:textId="77777777" w:rsidR="00227BDB" w:rsidRPr="00A44302" w:rsidRDefault="00227BDB" w:rsidP="008869B8">
      <w:pPr>
        <w:tabs>
          <w:tab w:val="left" w:pos="540"/>
          <w:tab w:val="left" w:pos="569"/>
        </w:tabs>
        <w:jc w:val="both"/>
        <w:rPr>
          <w:b/>
          <w:bCs/>
          <w:sz w:val="22"/>
          <w:szCs w:val="22"/>
          <w:lang w:val="sr-Latn-ME"/>
        </w:rPr>
      </w:pPr>
    </w:p>
    <w:p w14:paraId="70589E9C" w14:textId="77777777" w:rsidR="004A6DFA" w:rsidRPr="00A44302" w:rsidRDefault="004A6DFA" w:rsidP="008869B8">
      <w:pPr>
        <w:tabs>
          <w:tab w:val="left" w:pos="540"/>
          <w:tab w:val="left" w:pos="569"/>
        </w:tabs>
        <w:jc w:val="both"/>
        <w:rPr>
          <w:b/>
          <w:bCs/>
          <w:sz w:val="22"/>
          <w:szCs w:val="22"/>
          <w:lang w:val="sr-Latn-ME"/>
        </w:rPr>
      </w:pPr>
    </w:p>
    <w:p w14:paraId="6CE3CB40" w14:textId="0B0F9876" w:rsidR="0072020E" w:rsidRPr="00A44302" w:rsidRDefault="0072020E" w:rsidP="008869B8">
      <w:pPr>
        <w:tabs>
          <w:tab w:val="left" w:pos="540"/>
          <w:tab w:val="left" w:pos="569"/>
        </w:tabs>
        <w:jc w:val="both"/>
        <w:rPr>
          <w:b/>
          <w:bCs/>
          <w:sz w:val="22"/>
          <w:szCs w:val="22"/>
          <w:lang w:val="sr-Latn-ME"/>
        </w:rPr>
      </w:pPr>
      <w:r w:rsidRPr="00A44302">
        <w:rPr>
          <w:b/>
          <w:bCs/>
          <w:sz w:val="22"/>
          <w:szCs w:val="22"/>
          <w:lang w:val="sr-Latn-ME"/>
        </w:rPr>
        <w:t xml:space="preserve">5. </w:t>
      </w:r>
      <w:r w:rsidR="00480FB1" w:rsidRPr="00A44302">
        <w:rPr>
          <w:b/>
          <w:bCs/>
          <w:sz w:val="22"/>
          <w:szCs w:val="22"/>
          <w:lang w:val="sr-Latn-ME"/>
        </w:rPr>
        <w:tab/>
      </w:r>
      <w:r w:rsidRPr="00A44302">
        <w:rPr>
          <w:b/>
          <w:bCs/>
          <w:sz w:val="22"/>
          <w:szCs w:val="22"/>
          <w:lang w:val="sr-Latn-ME"/>
        </w:rPr>
        <w:t>FARMAKOLOŠK</w:t>
      </w:r>
      <w:r w:rsidR="000D425A" w:rsidRPr="00A44302">
        <w:rPr>
          <w:b/>
          <w:bCs/>
          <w:sz w:val="22"/>
          <w:szCs w:val="22"/>
          <w:lang w:val="sr-Latn-ME"/>
        </w:rPr>
        <w:t>I</w:t>
      </w:r>
      <w:r w:rsidRPr="00A44302">
        <w:rPr>
          <w:b/>
          <w:bCs/>
          <w:sz w:val="22"/>
          <w:szCs w:val="22"/>
          <w:lang w:val="sr-Latn-ME"/>
        </w:rPr>
        <w:t xml:space="preserve"> PODACI</w:t>
      </w:r>
    </w:p>
    <w:p w14:paraId="79F94F42" w14:textId="77777777" w:rsidR="0072020E" w:rsidRPr="00A44302" w:rsidRDefault="0072020E" w:rsidP="008869B8">
      <w:pPr>
        <w:tabs>
          <w:tab w:val="left" w:pos="540"/>
          <w:tab w:val="left" w:pos="569"/>
        </w:tabs>
        <w:jc w:val="both"/>
        <w:rPr>
          <w:b/>
          <w:bCs/>
          <w:sz w:val="22"/>
          <w:szCs w:val="22"/>
          <w:lang w:val="sr-Latn-ME"/>
        </w:rPr>
      </w:pPr>
    </w:p>
    <w:p w14:paraId="6C627E4D" w14:textId="77777777" w:rsidR="0072020E" w:rsidRPr="00A44302" w:rsidRDefault="0072020E" w:rsidP="008869B8">
      <w:pPr>
        <w:tabs>
          <w:tab w:val="left" w:pos="540"/>
          <w:tab w:val="left" w:pos="569"/>
        </w:tabs>
        <w:jc w:val="both"/>
        <w:rPr>
          <w:b/>
          <w:bCs/>
          <w:sz w:val="22"/>
          <w:szCs w:val="22"/>
          <w:lang w:val="sr-Latn-ME"/>
        </w:rPr>
      </w:pPr>
      <w:r w:rsidRPr="00A44302">
        <w:rPr>
          <w:b/>
          <w:bCs/>
          <w:sz w:val="22"/>
          <w:szCs w:val="22"/>
          <w:lang w:val="sr-Latn-ME"/>
        </w:rPr>
        <w:t xml:space="preserve">5.1. </w:t>
      </w:r>
      <w:r w:rsidR="00480FB1" w:rsidRPr="00A44302">
        <w:rPr>
          <w:b/>
          <w:bCs/>
          <w:sz w:val="22"/>
          <w:szCs w:val="22"/>
          <w:lang w:val="sr-Latn-ME"/>
        </w:rPr>
        <w:tab/>
      </w:r>
      <w:r w:rsidRPr="00A44302">
        <w:rPr>
          <w:b/>
          <w:bCs/>
          <w:sz w:val="22"/>
          <w:szCs w:val="22"/>
          <w:lang w:val="sr-Latn-ME"/>
        </w:rPr>
        <w:t>Farmakodinamski podaci</w:t>
      </w:r>
      <w:r w:rsidR="003A7059" w:rsidRPr="00A44302">
        <w:rPr>
          <w:b/>
          <w:bCs/>
          <w:sz w:val="22"/>
          <w:szCs w:val="22"/>
          <w:lang w:val="sr-Latn-ME"/>
        </w:rPr>
        <w:t xml:space="preserve"> </w:t>
      </w:r>
    </w:p>
    <w:p w14:paraId="19943C66" w14:textId="77777777" w:rsidR="00F45F77" w:rsidRPr="00A44302" w:rsidRDefault="00F45F77" w:rsidP="008869B8">
      <w:pPr>
        <w:tabs>
          <w:tab w:val="left" w:pos="540"/>
          <w:tab w:val="left" w:pos="569"/>
        </w:tabs>
        <w:jc w:val="both"/>
        <w:rPr>
          <w:b/>
          <w:bCs/>
          <w:sz w:val="22"/>
          <w:szCs w:val="22"/>
          <w:lang w:val="sr-Latn-ME"/>
        </w:rPr>
      </w:pPr>
    </w:p>
    <w:p w14:paraId="66DDC23C" w14:textId="1688C70B" w:rsidR="0072020E" w:rsidRPr="00A44302" w:rsidRDefault="0072020E" w:rsidP="008869B8">
      <w:pPr>
        <w:tabs>
          <w:tab w:val="left" w:pos="540"/>
          <w:tab w:val="left" w:pos="569"/>
        </w:tabs>
        <w:jc w:val="both"/>
        <w:rPr>
          <w:bCs/>
          <w:sz w:val="22"/>
          <w:szCs w:val="22"/>
          <w:lang w:val="sr-Latn-ME"/>
        </w:rPr>
      </w:pPr>
      <w:r w:rsidRPr="00A44302">
        <w:rPr>
          <w:bCs/>
          <w:sz w:val="22"/>
          <w:szCs w:val="22"/>
          <w:lang w:val="sr-Latn-ME"/>
        </w:rPr>
        <w:t>Farmakoterapijska grupa:</w:t>
      </w:r>
      <w:r w:rsidR="00F77A8D" w:rsidRPr="00A44302">
        <w:rPr>
          <w:bCs/>
          <w:sz w:val="22"/>
          <w:szCs w:val="22"/>
          <w:lang w:val="sr-Latn-ME"/>
        </w:rPr>
        <w:t xml:space="preserve"> Ostali analgetici i antipiretici</w:t>
      </w:r>
      <w:r w:rsidR="00F61814" w:rsidRPr="00A44302">
        <w:rPr>
          <w:bCs/>
          <w:sz w:val="22"/>
          <w:szCs w:val="22"/>
          <w:lang w:val="sr-Latn-ME"/>
        </w:rPr>
        <w:t>; anilidi</w:t>
      </w:r>
    </w:p>
    <w:p w14:paraId="647165F1" w14:textId="77777777" w:rsidR="0072020E" w:rsidRPr="00A44302" w:rsidRDefault="0072020E" w:rsidP="008869B8">
      <w:pPr>
        <w:tabs>
          <w:tab w:val="left" w:pos="540"/>
          <w:tab w:val="left" w:pos="569"/>
        </w:tabs>
        <w:jc w:val="both"/>
        <w:rPr>
          <w:bCs/>
          <w:sz w:val="22"/>
          <w:szCs w:val="22"/>
          <w:lang w:val="sr-Latn-ME"/>
        </w:rPr>
      </w:pPr>
    </w:p>
    <w:p w14:paraId="6D60A8D6" w14:textId="018942E7" w:rsidR="0072020E" w:rsidRPr="00A44302" w:rsidRDefault="0072020E" w:rsidP="008869B8">
      <w:pPr>
        <w:tabs>
          <w:tab w:val="left" w:pos="540"/>
          <w:tab w:val="left" w:pos="569"/>
        </w:tabs>
        <w:jc w:val="both"/>
        <w:rPr>
          <w:bCs/>
          <w:sz w:val="22"/>
          <w:szCs w:val="22"/>
          <w:lang w:val="sr-Latn-ME"/>
        </w:rPr>
      </w:pPr>
      <w:r w:rsidRPr="00A44302">
        <w:rPr>
          <w:bCs/>
          <w:sz w:val="22"/>
          <w:szCs w:val="22"/>
          <w:lang w:val="sr-Latn-ME"/>
        </w:rPr>
        <w:t>ATC kod:</w:t>
      </w:r>
      <w:r w:rsidR="00F77A8D" w:rsidRPr="00A44302">
        <w:rPr>
          <w:bCs/>
          <w:sz w:val="22"/>
          <w:szCs w:val="22"/>
          <w:lang w:val="sr-Latn-ME"/>
        </w:rPr>
        <w:t xml:space="preserve"> N02BE01</w:t>
      </w:r>
    </w:p>
    <w:p w14:paraId="303A153A" w14:textId="76695C8C" w:rsidR="002E37A5" w:rsidRPr="00A44302" w:rsidRDefault="002E37A5" w:rsidP="008869B8">
      <w:pPr>
        <w:tabs>
          <w:tab w:val="left" w:pos="540"/>
          <w:tab w:val="left" w:pos="569"/>
        </w:tabs>
        <w:jc w:val="both"/>
        <w:rPr>
          <w:b/>
          <w:bCs/>
          <w:sz w:val="22"/>
          <w:szCs w:val="22"/>
          <w:lang w:val="sr-Latn-ME"/>
        </w:rPr>
      </w:pPr>
    </w:p>
    <w:p w14:paraId="657737C4" w14:textId="1848B3FC"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Precizan mehanizam analgetskog i antipiretičkog djelovanja paracetamola nije ustanovljen; smatra se da uključuje centralno i periferno djelovanje. </w:t>
      </w:r>
    </w:p>
    <w:p w14:paraId="382D8CDC" w14:textId="77777777" w:rsidR="00F61814" w:rsidRPr="00A44302" w:rsidRDefault="00F61814">
      <w:pPr>
        <w:tabs>
          <w:tab w:val="left" w:pos="540"/>
          <w:tab w:val="left" w:pos="569"/>
        </w:tabs>
        <w:jc w:val="both"/>
        <w:rPr>
          <w:bCs/>
          <w:sz w:val="22"/>
          <w:szCs w:val="22"/>
          <w:lang w:val="sr-Latn-ME"/>
        </w:rPr>
      </w:pPr>
    </w:p>
    <w:p w14:paraId="29A3523D" w14:textId="0FAB2499" w:rsidR="00F77A8D" w:rsidRPr="00A44302" w:rsidRDefault="00F77A8D">
      <w:pPr>
        <w:tabs>
          <w:tab w:val="left" w:pos="540"/>
          <w:tab w:val="left" w:pos="569"/>
        </w:tabs>
        <w:jc w:val="both"/>
        <w:rPr>
          <w:bCs/>
          <w:sz w:val="22"/>
          <w:szCs w:val="22"/>
          <w:lang w:val="sr-Latn-ME"/>
        </w:rPr>
      </w:pPr>
      <w:r w:rsidRPr="00A44302">
        <w:rPr>
          <w:bCs/>
          <w:sz w:val="22"/>
          <w:szCs w:val="22"/>
          <w:lang w:val="sr-Latn-ME"/>
        </w:rPr>
        <w:lastRenderedPageBreak/>
        <w:t>Paracetamol ublažava bol u roku od 5 do 10 minuta nakon početka primjene. Maksimalno analgetsko djelovanje ostvaruje se 1</w:t>
      </w:r>
      <w:r w:rsidR="00F61814" w:rsidRPr="00A44302">
        <w:rPr>
          <w:bCs/>
          <w:sz w:val="22"/>
          <w:szCs w:val="22"/>
          <w:lang w:val="sr-Latn-ME"/>
        </w:rPr>
        <w:t xml:space="preserve"> sat</w:t>
      </w:r>
      <w:r w:rsidRPr="00A44302">
        <w:rPr>
          <w:bCs/>
          <w:sz w:val="22"/>
          <w:szCs w:val="22"/>
          <w:lang w:val="sr-Latn-ME"/>
        </w:rPr>
        <w:t xml:space="preserve"> nakon primjene i traje obično 4 do 6 sati. </w:t>
      </w:r>
    </w:p>
    <w:p w14:paraId="7686D3EF" w14:textId="77777777" w:rsidR="00F61814" w:rsidRPr="00A44302" w:rsidRDefault="00F61814">
      <w:pPr>
        <w:tabs>
          <w:tab w:val="left" w:pos="540"/>
          <w:tab w:val="left" w:pos="569"/>
        </w:tabs>
        <w:jc w:val="both"/>
        <w:rPr>
          <w:bCs/>
          <w:sz w:val="22"/>
          <w:szCs w:val="22"/>
          <w:lang w:val="sr-Latn-ME"/>
        </w:rPr>
      </w:pPr>
    </w:p>
    <w:p w14:paraId="7996C78C" w14:textId="33A7CAA3"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Paracetamol snižava </w:t>
      </w:r>
      <w:r w:rsidR="00F61814" w:rsidRPr="00A44302">
        <w:rPr>
          <w:bCs/>
          <w:sz w:val="22"/>
          <w:szCs w:val="22"/>
          <w:lang w:val="sr-Latn-ME"/>
        </w:rPr>
        <w:t xml:space="preserve">povišenu tjelesnu </w:t>
      </w:r>
      <w:r w:rsidRPr="00A44302">
        <w:rPr>
          <w:bCs/>
          <w:sz w:val="22"/>
          <w:szCs w:val="22"/>
          <w:lang w:val="sr-Latn-ME"/>
        </w:rPr>
        <w:t xml:space="preserve">temperaturu u roku od 30 minuta od početka primjene sa trajanjem antipiretičkog </w:t>
      </w:r>
      <w:r w:rsidR="00F61814" w:rsidRPr="00A44302">
        <w:rPr>
          <w:bCs/>
          <w:sz w:val="22"/>
          <w:szCs w:val="22"/>
          <w:lang w:val="sr-Latn-ME"/>
        </w:rPr>
        <w:t xml:space="preserve">dejstva </w:t>
      </w:r>
      <w:r w:rsidRPr="00A44302">
        <w:rPr>
          <w:bCs/>
          <w:sz w:val="22"/>
          <w:szCs w:val="22"/>
          <w:lang w:val="sr-Latn-ME"/>
        </w:rPr>
        <w:t>najmanje 6 sati.</w:t>
      </w:r>
    </w:p>
    <w:p w14:paraId="28723A73" w14:textId="77777777" w:rsidR="00F77A8D" w:rsidRPr="00A44302" w:rsidRDefault="00F77A8D" w:rsidP="008869B8">
      <w:pPr>
        <w:tabs>
          <w:tab w:val="left" w:pos="540"/>
          <w:tab w:val="left" w:pos="569"/>
        </w:tabs>
        <w:jc w:val="both"/>
        <w:rPr>
          <w:b/>
          <w:bCs/>
          <w:sz w:val="22"/>
          <w:szCs w:val="22"/>
          <w:lang w:val="sr-Latn-ME"/>
        </w:rPr>
      </w:pPr>
    </w:p>
    <w:p w14:paraId="3F4D12BC" w14:textId="77777777" w:rsidR="0072020E" w:rsidRPr="00A44302" w:rsidRDefault="0072020E" w:rsidP="008869B8">
      <w:pPr>
        <w:tabs>
          <w:tab w:val="left" w:pos="540"/>
          <w:tab w:val="left" w:pos="569"/>
        </w:tabs>
        <w:jc w:val="both"/>
        <w:rPr>
          <w:b/>
          <w:bCs/>
          <w:sz w:val="22"/>
          <w:szCs w:val="22"/>
          <w:lang w:val="sr-Latn-ME"/>
        </w:rPr>
      </w:pPr>
      <w:r w:rsidRPr="00A44302">
        <w:rPr>
          <w:b/>
          <w:bCs/>
          <w:sz w:val="22"/>
          <w:szCs w:val="22"/>
          <w:lang w:val="sr-Latn-ME"/>
        </w:rPr>
        <w:t xml:space="preserve">5.2. </w:t>
      </w:r>
      <w:r w:rsidR="00480FB1" w:rsidRPr="00A44302">
        <w:rPr>
          <w:b/>
          <w:bCs/>
          <w:sz w:val="22"/>
          <w:szCs w:val="22"/>
          <w:lang w:val="sr-Latn-ME"/>
        </w:rPr>
        <w:tab/>
      </w:r>
      <w:r w:rsidRPr="00A44302">
        <w:rPr>
          <w:b/>
          <w:bCs/>
          <w:sz w:val="22"/>
          <w:szCs w:val="22"/>
          <w:lang w:val="sr-Latn-ME"/>
        </w:rPr>
        <w:t>Farmakokinetički podaci</w:t>
      </w:r>
      <w:r w:rsidR="003A7059" w:rsidRPr="00A44302">
        <w:rPr>
          <w:b/>
          <w:bCs/>
          <w:sz w:val="22"/>
          <w:szCs w:val="22"/>
          <w:lang w:val="sr-Latn-ME"/>
        </w:rPr>
        <w:t xml:space="preserve"> </w:t>
      </w:r>
    </w:p>
    <w:p w14:paraId="0AD486C6" w14:textId="4AA3AA7A" w:rsidR="0072020E" w:rsidRPr="00A44302" w:rsidRDefault="0072020E" w:rsidP="008869B8">
      <w:pPr>
        <w:tabs>
          <w:tab w:val="left" w:pos="540"/>
          <w:tab w:val="left" w:pos="569"/>
        </w:tabs>
        <w:jc w:val="both"/>
        <w:rPr>
          <w:bCs/>
          <w:sz w:val="22"/>
          <w:szCs w:val="22"/>
          <w:lang w:val="sr-Latn-ME"/>
        </w:rPr>
      </w:pPr>
    </w:p>
    <w:p w14:paraId="5C258B66" w14:textId="6A9C8051" w:rsidR="00F77A8D" w:rsidRPr="00A44302" w:rsidRDefault="00F77A8D">
      <w:pPr>
        <w:tabs>
          <w:tab w:val="left" w:pos="540"/>
          <w:tab w:val="left" w:pos="569"/>
        </w:tabs>
        <w:jc w:val="both"/>
        <w:rPr>
          <w:b/>
          <w:bCs/>
          <w:sz w:val="22"/>
          <w:szCs w:val="22"/>
          <w:lang w:val="sr-Latn-ME"/>
        </w:rPr>
      </w:pPr>
      <w:r w:rsidRPr="00A44302">
        <w:rPr>
          <w:b/>
          <w:bCs/>
          <w:sz w:val="22"/>
          <w:szCs w:val="22"/>
          <w:lang w:val="sr-Latn-ME"/>
        </w:rPr>
        <w:t>Odrasli</w:t>
      </w:r>
    </w:p>
    <w:p w14:paraId="10F3A31B" w14:textId="77777777" w:rsidR="00F61814" w:rsidRPr="00A44302" w:rsidRDefault="00F61814">
      <w:pPr>
        <w:tabs>
          <w:tab w:val="left" w:pos="540"/>
          <w:tab w:val="left" w:pos="569"/>
        </w:tabs>
        <w:jc w:val="both"/>
        <w:rPr>
          <w:b/>
          <w:bCs/>
          <w:sz w:val="22"/>
          <w:szCs w:val="22"/>
          <w:lang w:val="sr-Latn-ME"/>
        </w:rPr>
      </w:pPr>
    </w:p>
    <w:p w14:paraId="2761A5B8" w14:textId="77777777" w:rsidR="00F77A8D" w:rsidRPr="00A44302" w:rsidRDefault="00F77A8D">
      <w:pPr>
        <w:tabs>
          <w:tab w:val="left" w:pos="540"/>
          <w:tab w:val="left" w:pos="569"/>
        </w:tabs>
        <w:jc w:val="both"/>
        <w:rPr>
          <w:bCs/>
          <w:i/>
          <w:sz w:val="22"/>
          <w:szCs w:val="22"/>
          <w:lang w:val="sr-Latn-ME"/>
        </w:rPr>
      </w:pPr>
      <w:r w:rsidRPr="00A44302">
        <w:rPr>
          <w:bCs/>
          <w:i/>
          <w:sz w:val="22"/>
          <w:szCs w:val="22"/>
          <w:lang w:val="sr-Latn-ME"/>
        </w:rPr>
        <w:t>Resorpcija</w:t>
      </w:r>
    </w:p>
    <w:p w14:paraId="681F3944" w14:textId="031EB74B"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Farmakokinetika paracetamola je linearna do 2 g </w:t>
      </w:r>
      <w:r w:rsidR="009D3CE0" w:rsidRPr="00A44302">
        <w:rPr>
          <w:bCs/>
          <w:sz w:val="22"/>
          <w:szCs w:val="22"/>
          <w:lang w:val="sr-Latn-ME"/>
        </w:rPr>
        <w:t>nakon</w:t>
      </w:r>
      <w:r w:rsidRPr="00A44302">
        <w:rPr>
          <w:bCs/>
          <w:sz w:val="22"/>
          <w:szCs w:val="22"/>
          <w:lang w:val="sr-Latn-ME"/>
        </w:rPr>
        <w:t xml:space="preserve"> pojedinačn</w:t>
      </w:r>
      <w:r w:rsidR="009D3CE0" w:rsidRPr="00A44302">
        <w:rPr>
          <w:bCs/>
          <w:sz w:val="22"/>
          <w:szCs w:val="22"/>
          <w:lang w:val="sr-Latn-ME"/>
        </w:rPr>
        <w:t>e</w:t>
      </w:r>
      <w:r w:rsidRPr="00A44302">
        <w:rPr>
          <w:bCs/>
          <w:sz w:val="22"/>
          <w:szCs w:val="22"/>
          <w:lang w:val="sr-Latn-ME"/>
        </w:rPr>
        <w:t xml:space="preserve"> doz</w:t>
      </w:r>
      <w:r w:rsidR="009D3CE0" w:rsidRPr="00A44302">
        <w:rPr>
          <w:bCs/>
          <w:sz w:val="22"/>
          <w:szCs w:val="22"/>
          <w:lang w:val="sr-Latn-ME"/>
        </w:rPr>
        <w:t>e</w:t>
      </w:r>
      <w:r w:rsidRPr="00A44302">
        <w:rPr>
          <w:bCs/>
          <w:sz w:val="22"/>
          <w:szCs w:val="22"/>
          <w:lang w:val="sr-Latn-ME"/>
        </w:rPr>
        <w:t xml:space="preserve"> i nakon ponovljene primjene tokom 24 sata. </w:t>
      </w:r>
    </w:p>
    <w:p w14:paraId="10E4D31A" w14:textId="3034BC0A" w:rsidR="00F77A8D" w:rsidRPr="00A44302" w:rsidRDefault="00F77A8D">
      <w:pPr>
        <w:tabs>
          <w:tab w:val="left" w:pos="540"/>
          <w:tab w:val="left" w:pos="569"/>
        </w:tabs>
        <w:jc w:val="both"/>
        <w:rPr>
          <w:bCs/>
          <w:sz w:val="22"/>
          <w:szCs w:val="22"/>
          <w:lang w:val="sr-Latn-ME"/>
        </w:rPr>
      </w:pPr>
      <w:r w:rsidRPr="00A44302">
        <w:rPr>
          <w:bCs/>
          <w:sz w:val="22"/>
          <w:szCs w:val="22"/>
          <w:lang w:val="sr-Latn-ME"/>
        </w:rPr>
        <w:t>Bioraspoloživost paracetamola nakon primjene 500 mg i 1</w:t>
      </w:r>
      <w:r w:rsidR="00E1120E" w:rsidRPr="00A44302">
        <w:rPr>
          <w:bCs/>
          <w:sz w:val="22"/>
          <w:szCs w:val="22"/>
          <w:lang w:val="sr-Latn-ME"/>
        </w:rPr>
        <w:t xml:space="preserve"> </w:t>
      </w:r>
      <w:r w:rsidRPr="00A44302">
        <w:rPr>
          <w:bCs/>
          <w:sz w:val="22"/>
          <w:szCs w:val="22"/>
          <w:lang w:val="sr-Latn-ME"/>
        </w:rPr>
        <w:t>g lijeka putem infuzije je slična onoj nakon primjene 1 g i 2 g propacetamola putem infuzije (što odgovara 500 mg</w:t>
      </w:r>
      <w:r w:rsidR="00E1120E" w:rsidRPr="00A44302">
        <w:rPr>
          <w:bCs/>
          <w:sz w:val="22"/>
          <w:szCs w:val="22"/>
          <w:lang w:val="sr-Latn-ME"/>
        </w:rPr>
        <w:t>,</w:t>
      </w:r>
      <w:r w:rsidRPr="00A44302">
        <w:rPr>
          <w:bCs/>
          <w:sz w:val="22"/>
          <w:szCs w:val="22"/>
          <w:lang w:val="sr-Latn-ME"/>
        </w:rPr>
        <w:t xml:space="preserve"> </w:t>
      </w:r>
      <w:r w:rsidR="00E1120E" w:rsidRPr="00A44302">
        <w:rPr>
          <w:bCs/>
          <w:sz w:val="22"/>
          <w:szCs w:val="22"/>
          <w:lang w:val="sr-Latn-ME"/>
        </w:rPr>
        <w:t>odnosno</w:t>
      </w:r>
      <w:r w:rsidRPr="00A44302">
        <w:rPr>
          <w:bCs/>
          <w:sz w:val="22"/>
          <w:szCs w:val="22"/>
          <w:lang w:val="sr-Latn-ME"/>
        </w:rPr>
        <w:t xml:space="preserve"> 1</w:t>
      </w:r>
      <w:r w:rsidR="00E1120E" w:rsidRPr="00A44302">
        <w:rPr>
          <w:bCs/>
          <w:sz w:val="22"/>
          <w:szCs w:val="22"/>
          <w:lang w:val="sr-Latn-ME"/>
        </w:rPr>
        <w:t xml:space="preserve"> </w:t>
      </w:r>
      <w:r w:rsidRPr="00A44302">
        <w:rPr>
          <w:bCs/>
          <w:sz w:val="22"/>
          <w:szCs w:val="22"/>
          <w:lang w:val="sr-Latn-ME"/>
        </w:rPr>
        <w:t>g paracetamola). Maksimalna koncentracija paracetamola u plazmi (C</w:t>
      </w:r>
      <w:r w:rsidRPr="00A44302">
        <w:rPr>
          <w:bCs/>
          <w:sz w:val="22"/>
          <w:szCs w:val="22"/>
          <w:vertAlign w:val="subscript"/>
          <w:lang w:val="sr-Latn-ME"/>
        </w:rPr>
        <w:t>max</w:t>
      </w:r>
      <w:r w:rsidRPr="00A44302">
        <w:rPr>
          <w:bCs/>
          <w:sz w:val="22"/>
          <w:szCs w:val="22"/>
          <w:lang w:val="sr-Latn-ME"/>
        </w:rPr>
        <w:t>) zabilježena na kraju 15-minutne intravenske primjene 500 mg i 1</w:t>
      </w:r>
      <w:r w:rsidR="00E1120E" w:rsidRPr="00A44302">
        <w:rPr>
          <w:bCs/>
          <w:sz w:val="22"/>
          <w:szCs w:val="22"/>
          <w:lang w:val="sr-Latn-ME"/>
        </w:rPr>
        <w:t xml:space="preserve"> </w:t>
      </w:r>
      <w:r w:rsidRPr="00A44302">
        <w:rPr>
          <w:bCs/>
          <w:sz w:val="22"/>
          <w:szCs w:val="22"/>
          <w:lang w:val="sr-Latn-ME"/>
        </w:rPr>
        <w:t>g lijeka je oko 15 μg/ml</w:t>
      </w:r>
      <w:r w:rsidR="00E1120E" w:rsidRPr="00A44302">
        <w:rPr>
          <w:bCs/>
          <w:sz w:val="22"/>
          <w:szCs w:val="22"/>
          <w:lang w:val="sr-Latn-ME"/>
        </w:rPr>
        <w:t>, odnosno</w:t>
      </w:r>
      <w:r w:rsidRPr="00A44302">
        <w:rPr>
          <w:bCs/>
          <w:sz w:val="22"/>
          <w:szCs w:val="22"/>
          <w:lang w:val="sr-Latn-ME"/>
        </w:rPr>
        <w:t xml:space="preserve"> 30 μg/ml. </w:t>
      </w:r>
    </w:p>
    <w:p w14:paraId="3583476A" w14:textId="77777777" w:rsidR="00F77A8D" w:rsidRPr="00A44302" w:rsidRDefault="00F77A8D">
      <w:pPr>
        <w:tabs>
          <w:tab w:val="left" w:pos="540"/>
          <w:tab w:val="left" w:pos="569"/>
        </w:tabs>
        <w:jc w:val="both"/>
        <w:rPr>
          <w:bCs/>
          <w:sz w:val="22"/>
          <w:szCs w:val="22"/>
          <w:lang w:val="sr-Latn-ME"/>
        </w:rPr>
      </w:pPr>
    </w:p>
    <w:p w14:paraId="0857857A" w14:textId="77777777" w:rsidR="00F77A8D" w:rsidRPr="00A44302" w:rsidRDefault="00F77A8D">
      <w:pPr>
        <w:tabs>
          <w:tab w:val="left" w:pos="540"/>
          <w:tab w:val="left" w:pos="569"/>
        </w:tabs>
        <w:jc w:val="both"/>
        <w:rPr>
          <w:bCs/>
          <w:i/>
          <w:sz w:val="22"/>
          <w:szCs w:val="22"/>
          <w:lang w:val="sr-Latn-ME"/>
        </w:rPr>
      </w:pPr>
      <w:r w:rsidRPr="00A44302">
        <w:rPr>
          <w:bCs/>
          <w:i/>
          <w:sz w:val="22"/>
          <w:szCs w:val="22"/>
          <w:lang w:val="sr-Latn-ME"/>
        </w:rPr>
        <w:t>Distribucija</w:t>
      </w:r>
    </w:p>
    <w:p w14:paraId="20A8563D" w14:textId="77777777" w:rsidR="00F77A8D" w:rsidRPr="00A44302" w:rsidRDefault="00F77A8D">
      <w:pPr>
        <w:tabs>
          <w:tab w:val="left" w:pos="540"/>
          <w:tab w:val="left" w:pos="569"/>
        </w:tabs>
        <w:jc w:val="both"/>
        <w:rPr>
          <w:bCs/>
          <w:sz w:val="22"/>
          <w:szCs w:val="22"/>
          <w:lang w:val="sr-Latn-ME"/>
        </w:rPr>
      </w:pPr>
      <w:r w:rsidRPr="00A44302">
        <w:rPr>
          <w:bCs/>
          <w:sz w:val="22"/>
          <w:szCs w:val="22"/>
          <w:lang w:val="sr-Latn-ME"/>
        </w:rPr>
        <w:t>Volumen distribucije paracetamola je oko 1 l/kg.</w:t>
      </w:r>
    </w:p>
    <w:p w14:paraId="75012F7C" w14:textId="721E9CED"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Paracetamol se ne vezuje </w:t>
      </w:r>
      <w:r w:rsidR="00E1120E" w:rsidRPr="00A44302">
        <w:rPr>
          <w:bCs/>
          <w:sz w:val="22"/>
          <w:szCs w:val="22"/>
          <w:lang w:val="sr-Latn-ME"/>
        </w:rPr>
        <w:t>u velikoj mjeri</w:t>
      </w:r>
      <w:r w:rsidRPr="00A44302">
        <w:rPr>
          <w:bCs/>
          <w:sz w:val="22"/>
          <w:szCs w:val="22"/>
          <w:lang w:val="sr-Latn-ME"/>
        </w:rPr>
        <w:t xml:space="preserve"> za proteine plazme.</w:t>
      </w:r>
    </w:p>
    <w:p w14:paraId="49879345" w14:textId="46FAA658" w:rsidR="00F77A8D" w:rsidRPr="00A44302" w:rsidRDefault="00F77A8D">
      <w:pPr>
        <w:tabs>
          <w:tab w:val="left" w:pos="540"/>
          <w:tab w:val="left" w:pos="569"/>
        </w:tabs>
        <w:jc w:val="both"/>
        <w:rPr>
          <w:bCs/>
          <w:sz w:val="22"/>
          <w:szCs w:val="22"/>
          <w:lang w:val="sr-Latn-ME"/>
        </w:rPr>
      </w:pPr>
      <w:r w:rsidRPr="00A44302">
        <w:rPr>
          <w:bCs/>
          <w:sz w:val="22"/>
          <w:szCs w:val="22"/>
          <w:lang w:val="sr-Latn-ME"/>
        </w:rPr>
        <w:t>Nakon infuzije 1</w:t>
      </w:r>
      <w:r w:rsidR="00E1120E" w:rsidRPr="00A44302">
        <w:rPr>
          <w:bCs/>
          <w:sz w:val="22"/>
          <w:szCs w:val="22"/>
          <w:lang w:val="sr-Latn-ME"/>
        </w:rPr>
        <w:t xml:space="preserve"> </w:t>
      </w:r>
      <w:r w:rsidRPr="00A44302">
        <w:rPr>
          <w:bCs/>
          <w:sz w:val="22"/>
          <w:szCs w:val="22"/>
          <w:lang w:val="sr-Latn-ME"/>
        </w:rPr>
        <w:t xml:space="preserve">g paracetamola, primijećene su značajne </w:t>
      </w:r>
      <w:r w:rsidR="00E1120E" w:rsidRPr="00A44302">
        <w:rPr>
          <w:bCs/>
          <w:sz w:val="22"/>
          <w:szCs w:val="22"/>
          <w:lang w:val="sr-Latn-ME"/>
        </w:rPr>
        <w:t xml:space="preserve">koncentracije </w:t>
      </w:r>
      <w:r w:rsidRPr="00A44302">
        <w:rPr>
          <w:bCs/>
          <w:sz w:val="22"/>
          <w:szCs w:val="22"/>
          <w:lang w:val="sr-Latn-ME"/>
        </w:rPr>
        <w:t>paracetamola (oko 1,5 μg/ml) u cerebrospinalnoj tečnosti o</w:t>
      </w:r>
      <w:r w:rsidR="009D3CE0" w:rsidRPr="00A44302">
        <w:rPr>
          <w:bCs/>
          <w:sz w:val="22"/>
          <w:szCs w:val="22"/>
          <w:lang w:val="sr-Latn-ME"/>
        </w:rPr>
        <w:t>d</w:t>
      </w:r>
      <w:r w:rsidRPr="00A44302">
        <w:rPr>
          <w:bCs/>
          <w:sz w:val="22"/>
          <w:szCs w:val="22"/>
          <w:lang w:val="sr-Latn-ME"/>
        </w:rPr>
        <w:t xml:space="preserve"> 20 minuta nakon infuzije</w:t>
      </w:r>
      <w:r w:rsidR="00E1120E" w:rsidRPr="00A44302">
        <w:rPr>
          <w:bCs/>
          <w:sz w:val="22"/>
          <w:szCs w:val="22"/>
          <w:lang w:val="sr-Latn-ME"/>
        </w:rPr>
        <w:t xml:space="preserve"> pa nadalje</w:t>
      </w:r>
      <w:r w:rsidRPr="00A44302">
        <w:rPr>
          <w:bCs/>
          <w:sz w:val="22"/>
          <w:szCs w:val="22"/>
          <w:lang w:val="sr-Latn-ME"/>
        </w:rPr>
        <w:t>.</w:t>
      </w:r>
    </w:p>
    <w:p w14:paraId="71299535" w14:textId="77777777" w:rsidR="00F77A8D" w:rsidRPr="00A44302" w:rsidRDefault="00F77A8D">
      <w:pPr>
        <w:tabs>
          <w:tab w:val="left" w:pos="540"/>
          <w:tab w:val="left" w:pos="569"/>
        </w:tabs>
        <w:jc w:val="both"/>
        <w:rPr>
          <w:bCs/>
          <w:sz w:val="22"/>
          <w:szCs w:val="22"/>
          <w:lang w:val="sr-Latn-ME"/>
        </w:rPr>
      </w:pPr>
    </w:p>
    <w:p w14:paraId="634DF59B" w14:textId="18CC47DA" w:rsidR="00F77A8D" w:rsidRPr="00A44302" w:rsidRDefault="00E1120E">
      <w:pPr>
        <w:tabs>
          <w:tab w:val="left" w:pos="540"/>
          <w:tab w:val="left" w:pos="569"/>
        </w:tabs>
        <w:jc w:val="both"/>
        <w:rPr>
          <w:bCs/>
          <w:i/>
          <w:sz w:val="22"/>
          <w:szCs w:val="22"/>
          <w:lang w:val="sr-Latn-ME"/>
        </w:rPr>
      </w:pPr>
      <w:r w:rsidRPr="00A44302">
        <w:rPr>
          <w:bCs/>
          <w:i/>
          <w:sz w:val="22"/>
          <w:szCs w:val="22"/>
          <w:lang w:val="sr-Latn-ME"/>
        </w:rPr>
        <w:t>Biotransformacija</w:t>
      </w:r>
    </w:p>
    <w:p w14:paraId="40D4361E" w14:textId="78F436B0" w:rsidR="00F77A8D" w:rsidRPr="00A44302" w:rsidRDefault="00F77A8D">
      <w:pPr>
        <w:tabs>
          <w:tab w:val="left" w:pos="540"/>
          <w:tab w:val="left" w:pos="569"/>
        </w:tabs>
        <w:jc w:val="both"/>
        <w:rPr>
          <w:bCs/>
          <w:sz w:val="22"/>
          <w:szCs w:val="22"/>
          <w:lang w:val="sr-Latn-ME"/>
        </w:rPr>
      </w:pPr>
      <w:r w:rsidRPr="00A44302">
        <w:rPr>
          <w:bCs/>
          <w:sz w:val="22"/>
          <w:szCs w:val="22"/>
          <w:lang w:val="sr-Latn-ME"/>
        </w:rPr>
        <w:t>Paracetamol se metaboliše uglavnom u jetri kroz dva glavna hepatička puta: putem konjugacije sa glukuronskom  kiselinom i putem konjugacije sa sumpornom kiselinom. Drugi put konjugacije se brzo saturira dozama većim od terapijskih</w:t>
      </w:r>
      <w:r w:rsidR="00371093" w:rsidRPr="00A44302">
        <w:rPr>
          <w:bCs/>
          <w:sz w:val="22"/>
          <w:szCs w:val="22"/>
          <w:lang w:val="sr-Latn-ME"/>
        </w:rPr>
        <w:t xml:space="preserve"> doza</w:t>
      </w:r>
      <w:r w:rsidRPr="00A44302">
        <w:rPr>
          <w:bCs/>
          <w:sz w:val="22"/>
          <w:szCs w:val="22"/>
          <w:lang w:val="sr-Latn-ME"/>
        </w:rPr>
        <w:t>. Mala frakcija (manje od 4%) se metaboliše preko citohroma P450  u reaktivni intermedijer (N-acetil benzohinon imin) koji se, pod normalnim uslovima primjene, brzo detoksikuje redukcijom glutationa i eliminiše urin</w:t>
      </w:r>
      <w:r w:rsidR="00371093" w:rsidRPr="00A44302">
        <w:rPr>
          <w:bCs/>
          <w:sz w:val="22"/>
          <w:szCs w:val="22"/>
          <w:lang w:val="sr-Latn-ME"/>
        </w:rPr>
        <w:t>om</w:t>
      </w:r>
      <w:r w:rsidRPr="00A44302">
        <w:rPr>
          <w:bCs/>
          <w:sz w:val="22"/>
          <w:szCs w:val="22"/>
          <w:lang w:val="sr-Latn-ME"/>
        </w:rPr>
        <w:t xml:space="preserve"> nakon konjugacije sa cisteinom i merkapturnom kiselinom. Međutim, tokom velikog predoziranja, količina ovog toksičnog metabolita se povećava.</w:t>
      </w:r>
    </w:p>
    <w:p w14:paraId="282CEB93" w14:textId="77777777" w:rsidR="00F77A8D" w:rsidRPr="00A44302" w:rsidRDefault="00F77A8D">
      <w:pPr>
        <w:tabs>
          <w:tab w:val="left" w:pos="540"/>
          <w:tab w:val="left" w:pos="569"/>
        </w:tabs>
        <w:jc w:val="both"/>
        <w:rPr>
          <w:bCs/>
          <w:sz w:val="22"/>
          <w:szCs w:val="22"/>
          <w:lang w:val="sr-Latn-ME"/>
        </w:rPr>
      </w:pPr>
    </w:p>
    <w:p w14:paraId="5E56359A" w14:textId="77777777" w:rsidR="00F77A8D" w:rsidRPr="00A44302" w:rsidRDefault="00F77A8D">
      <w:pPr>
        <w:tabs>
          <w:tab w:val="left" w:pos="540"/>
          <w:tab w:val="left" w:pos="569"/>
        </w:tabs>
        <w:jc w:val="both"/>
        <w:rPr>
          <w:bCs/>
          <w:i/>
          <w:sz w:val="22"/>
          <w:szCs w:val="22"/>
          <w:lang w:val="sr-Latn-ME"/>
        </w:rPr>
      </w:pPr>
      <w:r w:rsidRPr="00A44302">
        <w:rPr>
          <w:bCs/>
          <w:i/>
          <w:sz w:val="22"/>
          <w:szCs w:val="22"/>
          <w:lang w:val="sr-Latn-ME"/>
        </w:rPr>
        <w:t>Eliminacija</w:t>
      </w:r>
    </w:p>
    <w:p w14:paraId="2C532E90" w14:textId="4BE2EF74" w:rsidR="00F77A8D" w:rsidRPr="00A44302" w:rsidRDefault="00F77A8D">
      <w:pPr>
        <w:tabs>
          <w:tab w:val="left" w:pos="540"/>
          <w:tab w:val="left" w:pos="569"/>
        </w:tabs>
        <w:jc w:val="both"/>
        <w:rPr>
          <w:bCs/>
          <w:sz w:val="22"/>
          <w:szCs w:val="22"/>
          <w:lang w:val="sr-Latn-ME"/>
        </w:rPr>
      </w:pPr>
      <w:r w:rsidRPr="00A44302">
        <w:rPr>
          <w:bCs/>
          <w:sz w:val="22"/>
          <w:szCs w:val="22"/>
          <w:lang w:val="sr-Latn-ME"/>
        </w:rPr>
        <w:t>Metaboliti paracetamola se uglavnom izlučuju putem urina. 90% primijenjene doze se izluči u toku 24 sata, uglavnom u obliku glukuronidnih (60-80%) i sulfatnih (20-30%) konjugata. Manje od 5%  lijeka se izlučuje nepromijenjeno. Poluvrijeme eliminacije je 2,7 sati, a ukupan klirens lijeka je 18 l/h.</w:t>
      </w:r>
    </w:p>
    <w:p w14:paraId="0E2E0715" w14:textId="77777777" w:rsidR="00F77A8D" w:rsidRPr="00A44302" w:rsidRDefault="00F77A8D">
      <w:pPr>
        <w:tabs>
          <w:tab w:val="left" w:pos="540"/>
          <w:tab w:val="left" w:pos="569"/>
        </w:tabs>
        <w:jc w:val="both"/>
        <w:rPr>
          <w:bCs/>
          <w:sz w:val="22"/>
          <w:szCs w:val="22"/>
          <w:lang w:val="sr-Latn-ME"/>
        </w:rPr>
      </w:pPr>
    </w:p>
    <w:p w14:paraId="5C01FF4C" w14:textId="04209AA1" w:rsidR="00F61814" w:rsidRPr="00A44302" w:rsidRDefault="00F61814">
      <w:pPr>
        <w:tabs>
          <w:tab w:val="left" w:pos="540"/>
          <w:tab w:val="left" w:pos="569"/>
        </w:tabs>
        <w:jc w:val="both"/>
        <w:rPr>
          <w:i/>
          <w:iCs/>
          <w:sz w:val="22"/>
          <w:szCs w:val="22"/>
          <w:lang w:val="sr-Latn-ME"/>
        </w:rPr>
      </w:pPr>
      <w:r w:rsidRPr="00A44302">
        <w:rPr>
          <w:i/>
          <w:iCs/>
          <w:sz w:val="22"/>
          <w:szCs w:val="22"/>
          <w:lang w:val="sr-Latn-ME"/>
        </w:rPr>
        <w:t>Posebne grupe pacijenata</w:t>
      </w:r>
    </w:p>
    <w:p w14:paraId="71D8B5C7" w14:textId="77777777" w:rsidR="00660676" w:rsidRPr="00A44302" w:rsidRDefault="00660676">
      <w:pPr>
        <w:tabs>
          <w:tab w:val="left" w:pos="540"/>
          <w:tab w:val="left" w:pos="569"/>
        </w:tabs>
        <w:jc w:val="both"/>
        <w:rPr>
          <w:b/>
          <w:bCs/>
          <w:sz w:val="22"/>
          <w:szCs w:val="22"/>
          <w:lang w:val="sr-Latn-ME"/>
        </w:rPr>
      </w:pPr>
    </w:p>
    <w:p w14:paraId="53ABF7FA" w14:textId="5C09162C" w:rsidR="00F61814" w:rsidRPr="00A44302" w:rsidRDefault="00F61814">
      <w:pPr>
        <w:tabs>
          <w:tab w:val="left" w:pos="540"/>
          <w:tab w:val="left" w:pos="569"/>
        </w:tabs>
        <w:jc w:val="both"/>
        <w:rPr>
          <w:b/>
          <w:iCs/>
          <w:sz w:val="22"/>
          <w:szCs w:val="22"/>
          <w:lang w:val="sr-Latn-ME"/>
        </w:rPr>
      </w:pPr>
      <w:r w:rsidRPr="00A44302">
        <w:rPr>
          <w:b/>
          <w:iCs/>
          <w:sz w:val="22"/>
          <w:szCs w:val="22"/>
          <w:lang w:val="sr-Latn-ME"/>
        </w:rPr>
        <w:t>Pacijenti sa renalnom insuficijencijom</w:t>
      </w:r>
    </w:p>
    <w:p w14:paraId="371244D3" w14:textId="77777777" w:rsidR="00371093" w:rsidRPr="00A44302" w:rsidRDefault="00371093">
      <w:pPr>
        <w:tabs>
          <w:tab w:val="left" w:pos="540"/>
          <w:tab w:val="left" w:pos="569"/>
        </w:tabs>
        <w:jc w:val="both"/>
        <w:rPr>
          <w:b/>
          <w:iCs/>
          <w:sz w:val="22"/>
          <w:szCs w:val="22"/>
          <w:lang w:val="sr-Latn-ME"/>
        </w:rPr>
      </w:pPr>
    </w:p>
    <w:p w14:paraId="075504D8" w14:textId="45F7F155" w:rsidR="00F61814" w:rsidRPr="00A44302" w:rsidRDefault="00F61814">
      <w:pPr>
        <w:tabs>
          <w:tab w:val="left" w:pos="540"/>
          <w:tab w:val="left" w:pos="569"/>
        </w:tabs>
        <w:jc w:val="both"/>
        <w:rPr>
          <w:bCs/>
          <w:sz w:val="22"/>
          <w:szCs w:val="22"/>
          <w:lang w:val="sr-Latn-ME"/>
        </w:rPr>
      </w:pPr>
      <w:r w:rsidRPr="00A44302">
        <w:rPr>
          <w:bCs/>
          <w:sz w:val="22"/>
          <w:szCs w:val="22"/>
          <w:lang w:val="sr-Latn-ME"/>
        </w:rPr>
        <w:t>U slučajevima teško</w:t>
      </w:r>
      <w:r w:rsidR="00371093" w:rsidRPr="00A44302">
        <w:rPr>
          <w:bCs/>
          <w:sz w:val="22"/>
          <w:szCs w:val="22"/>
          <w:lang w:val="sr-Latn-ME"/>
        </w:rPr>
        <w:t>g</w:t>
      </w:r>
      <w:r w:rsidRPr="00A44302">
        <w:rPr>
          <w:bCs/>
          <w:sz w:val="22"/>
          <w:szCs w:val="22"/>
          <w:lang w:val="sr-Latn-ME"/>
        </w:rPr>
        <w:t xml:space="preserve"> </w:t>
      </w:r>
      <w:r w:rsidR="00371093" w:rsidRPr="00A44302">
        <w:rPr>
          <w:bCs/>
          <w:sz w:val="22"/>
          <w:szCs w:val="22"/>
          <w:lang w:val="sr-Latn-ME"/>
        </w:rPr>
        <w:t>oštećenja</w:t>
      </w:r>
      <w:r w:rsidRPr="00A44302">
        <w:rPr>
          <w:bCs/>
          <w:sz w:val="22"/>
          <w:szCs w:val="22"/>
          <w:lang w:val="sr-Latn-ME"/>
        </w:rPr>
        <w:t xml:space="preserve"> funkcije bubrega (klirens kreatinina 10-30 ml/min), eliminacija paracetamola je </w:t>
      </w:r>
      <w:r w:rsidR="00371093" w:rsidRPr="00A44302">
        <w:rPr>
          <w:bCs/>
          <w:sz w:val="22"/>
          <w:szCs w:val="22"/>
          <w:lang w:val="sr-Latn-ME"/>
        </w:rPr>
        <w:t>donekle</w:t>
      </w:r>
      <w:r w:rsidRPr="00A44302">
        <w:rPr>
          <w:bCs/>
          <w:sz w:val="22"/>
          <w:szCs w:val="22"/>
          <w:lang w:val="sr-Latn-ME"/>
        </w:rPr>
        <w:t xml:space="preserve"> odložena, poluvrijeme eliminacije je od 2 do 5,3 sata. Eliminacija glukuronidnih i sulfatnih konjugata je 3 puta sporija kod pacijenata sa tešk</w:t>
      </w:r>
      <w:r w:rsidR="00371093" w:rsidRPr="00A44302">
        <w:rPr>
          <w:bCs/>
          <w:sz w:val="22"/>
          <w:szCs w:val="22"/>
          <w:lang w:val="sr-Latn-ME"/>
        </w:rPr>
        <w:t>im</w:t>
      </w:r>
      <w:r w:rsidRPr="00A44302">
        <w:rPr>
          <w:bCs/>
          <w:sz w:val="22"/>
          <w:szCs w:val="22"/>
          <w:lang w:val="sr-Latn-ME"/>
        </w:rPr>
        <w:t xml:space="preserve"> </w:t>
      </w:r>
      <w:r w:rsidR="00371093" w:rsidRPr="00A44302">
        <w:rPr>
          <w:bCs/>
          <w:sz w:val="22"/>
          <w:szCs w:val="22"/>
          <w:lang w:val="sr-Latn-ME"/>
        </w:rPr>
        <w:t>oštećenjem</w:t>
      </w:r>
      <w:r w:rsidRPr="00A44302">
        <w:rPr>
          <w:bCs/>
          <w:sz w:val="22"/>
          <w:szCs w:val="22"/>
          <w:lang w:val="sr-Latn-ME"/>
        </w:rPr>
        <w:t xml:space="preserve"> funkcij</w:t>
      </w:r>
      <w:r w:rsidR="00371093" w:rsidRPr="00A44302">
        <w:rPr>
          <w:bCs/>
          <w:sz w:val="22"/>
          <w:szCs w:val="22"/>
          <w:lang w:val="sr-Latn-ME"/>
        </w:rPr>
        <w:t>e</w:t>
      </w:r>
      <w:r w:rsidRPr="00A44302">
        <w:rPr>
          <w:bCs/>
          <w:sz w:val="22"/>
          <w:szCs w:val="22"/>
          <w:lang w:val="sr-Latn-ME"/>
        </w:rPr>
        <w:t xml:space="preserve"> bubrega nego kod zdravih osoba. Stoga se, pri </w:t>
      </w:r>
      <w:r w:rsidR="00371093" w:rsidRPr="00A44302">
        <w:rPr>
          <w:bCs/>
          <w:sz w:val="22"/>
          <w:szCs w:val="22"/>
          <w:lang w:val="sr-Latn-ME"/>
        </w:rPr>
        <w:t>primjeni</w:t>
      </w:r>
      <w:r w:rsidRPr="00A44302">
        <w:rPr>
          <w:bCs/>
          <w:sz w:val="22"/>
          <w:szCs w:val="22"/>
          <w:lang w:val="sr-Latn-ME"/>
        </w:rPr>
        <w:t xml:space="preserve"> paracetamola </w:t>
      </w:r>
      <w:r w:rsidR="00371093" w:rsidRPr="00A44302">
        <w:rPr>
          <w:bCs/>
          <w:sz w:val="22"/>
          <w:szCs w:val="22"/>
          <w:lang w:val="sr-Latn-ME"/>
        </w:rPr>
        <w:t xml:space="preserve">kod </w:t>
      </w:r>
      <w:r w:rsidRPr="00A44302">
        <w:rPr>
          <w:bCs/>
          <w:sz w:val="22"/>
          <w:szCs w:val="22"/>
          <w:lang w:val="sr-Latn-ME"/>
        </w:rPr>
        <w:t>pacijen</w:t>
      </w:r>
      <w:r w:rsidR="00371093" w:rsidRPr="00A44302">
        <w:rPr>
          <w:bCs/>
          <w:sz w:val="22"/>
          <w:szCs w:val="22"/>
          <w:lang w:val="sr-Latn-ME"/>
        </w:rPr>
        <w:t>a</w:t>
      </w:r>
      <w:r w:rsidRPr="00A44302">
        <w:rPr>
          <w:bCs/>
          <w:sz w:val="22"/>
          <w:szCs w:val="22"/>
          <w:lang w:val="sr-Latn-ME"/>
        </w:rPr>
        <w:t>ta sa</w:t>
      </w:r>
      <w:r w:rsidR="00AE359D" w:rsidRPr="00A44302">
        <w:rPr>
          <w:bCs/>
          <w:sz w:val="22"/>
          <w:szCs w:val="22"/>
          <w:lang w:val="sr-Latn-ME"/>
        </w:rPr>
        <w:t xml:space="preserve"> </w:t>
      </w:r>
      <w:r w:rsidR="00371093" w:rsidRPr="00A44302">
        <w:rPr>
          <w:bCs/>
          <w:sz w:val="22"/>
          <w:szCs w:val="22"/>
          <w:lang w:val="sr-Latn-ME"/>
        </w:rPr>
        <w:t>teškim</w:t>
      </w:r>
      <w:r w:rsidRPr="00A44302">
        <w:rPr>
          <w:bCs/>
          <w:sz w:val="22"/>
          <w:szCs w:val="22"/>
          <w:lang w:val="sr-Latn-ME"/>
        </w:rPr>
        <w:t xml:space="preserve"> oštećenjem funkcije bubrega (klirens kreatinina ≤</w:t>
      </w:r>
      <w:r w:rsidR="00371093" w:rsidRPr="00A44302">
        <w:rPr>
          <w:bCs/>
          <w:sz w:val="22"/>
          <w:szCs w:val="22"/>
          <w:lang w:val="sr-Latn-ME"/>
        </w:rPr>
        <w:t xml:space="preserve"> </w:t>
      </w:r>
      <w:r w:rsidRPr="00A44302">
        <w:rPr>
          <w:bCs/>
          <w:sz w:val="22"/>
          <w:szCs w:val="22"/>
          <w:lang w:val="sr-Latn-ME"/>
        </w:rPr>
        <w:t xml:space="preserve">30 ml/ min), preporučuje produženje minimalnog intervala između dvije primjene lijeka na 6 sati (vidjeti </w:t>
      </w:r>
      <w:r w:rsidR="00F278E7" w:rsidRPr="00A44302">
        <w:rPr>
          <w:bCs/>
          <w:sz w:val="22"/>
          <w:szCs w:val="22"/>
          <w:lang w:val="sr-Latn-ME"/>
        </w:rPr>
        <w:t>dio</w:t>
      </w:r>
      <w:r w:rsidRPr="00A44302">
        <w:rPr>
          <w:bCs/>
          <w:sz w:val="22"/>
          <w:szCs w:val="22"/>
          <w:lang w:val="sr-Latn-ME"/>
        </w:rPr>
        <w:t xml:space="preserve"> 4.2).</w:t>
      </w:r>
    </w:p>
    <w:p w14:paraId="63A78FD5" w14:textId="77777777" w:rsidR="00F61814" w:rsidRPr="00A44302" w:rsidRDefault="00F61814">
      <w:pPr>
        <w:tabs>
          <w:tab w:val="left" w:pos="540"/>
          <w:tab w:val="left" w:pos="569"/>
        </w:tabs>
        <w:jc w:val="both"/>
        <w:rPr>
          <w:bCs/>
          <w:sz w:val="22"/>
          <w:szCs w:val="22"/>
          <w:lang w:val="sr-Latn-ME"/>
        </w:rPr>
      </w:pPr>
    </w:p>
    <w:p w14:paraId="2E45D584" w14:textId="52E7187C" w:rsidR="00F61814" w:rsidRPr="00A44302" w:rsidRDefault="00F61814">
      <w:pPr>
        <w:tabs>
          <w:tab w:val="left" w:pos="540"/>
          <w:tab w:val="left" w:pos="569"/>
        </w:tabs>
        <w:jc w:val="both"/>
        <w:rPr>
          <w:b/>
          <w:iCs/>
          <w:sz w:val="22"/>
          <w:szCs w:val="22"/>
          <w:lang w:val="sr-Latn-ME"/>
        </w:rPr>
      </w:pPr>
      <w:r w:rsidRPr="00A44302">
        <w:rPr>
          <w:b/>
          <w:iCs/>
          <w:sz w:val="22"/>
          <w:szCs w:val="22"/>
          <w:lang w:val="sr-Latn-ME"/>
        </w:rPr>
        <w:t xml:space="preserve">Starije osobe </w:t>
      </w:r>
    </w:p>
    <w:p w14:paraId="06A331FB" w14:textId="77777777" w:rsidR="00371093" w:rsidRPr="00A44302" w:rsidRDefault="00371093">
      <w:pPr>
        <w:tabs>
          <w:tab w:val="left" w:pos="540"/>
          <w:tab w:val="left" w:pos="569"/>
        </w:tabs>
        <w:jc w:val="both"/>
        <w:rPr>
          <w:b/>
          <w:iCs/>
          <w:sz w:val="22"/>
          <w:szCs w:val="22"/>
          <w:lang w:val="sr-Latn-ME"/>
        </w:rPr>
      </w:pPr>
    </w:p>
    <w:p w14:paraId="481CFB73" w14:textId="77777777" w:rsidR="00F61814" w:rsidRPr="00A44302" w:rsidRDefault="00F61814">
      <w:pPr>
        <w:tabs>
          <w:tab w:val="left" w:pos="540"/>
          <w:tab w:val="left" w:pos="569"/>
        </w:tabs>
        <w:jc w:val="both"/>
        <w:rPr>
          <w:bCs/>
          <w:sz w:val="22"/>
          <w:szCs w:val="22"/>
          <w:lang w:val="sr-Latn-ME"/>
        </w:rPr>
      </w:pPr>
      <w:r w:rsidRPr="00A44302">
        <w:rPr>
          <w:bCs/>
          <w:sz w:val="22"/>
          <w:szCs w:val="22"/>
          <w:lang w:val="sr-Latn-ME"/>
        </w:rPr>
        <w:t>Farmakokinetika i metabolizam paracetamola nijesu izmijenjeni kod starijih osoba. Nema potrebe za prilagođavanjem doza kod ove grupe pacijenata.</w:t>
      </w:r>
    </w:p>
    <w:p w14:paraId="352C13FA" w14:textId="77777777" w:rsidR="00F61814" w:rsidRPr="00A44302" w:rsidRDefault="00F61814">
      <w:pPr>
        <w:tabs>
          <w:tab w:val="left" w:pos="540"/>
          <w:tab w:val="left" w:pos="569"/>
        </w:tabs>
        <w:jc w:val="both"/>
        <w:rPr>
          <w:b/>
          <w:bCs/>
          <w:sz w:val="22"/>
          <w:szCs w:val="22"/>
          <w:lang w:val="sr-Latn-ME"/>
        </w:rPr>
      </w:pPr>
    </w:p>
    <w:p w14:paraId="4160BAC8" w14:textId="77777777" w:rsidR="00A44302" w:rsidRDefault="00A44302">
      <w:pPr>
        <w:tabs>
          <w:tab w:val="left" w:pos="540"/>
          <w:tab w:val="left" w:pos="569"/>
        </w:tabs>
        <w:jc w:val="both"/>
        <w:rPr>
          <w:b/>
          <w:bCs/>
          <w:sz w:val="22"/>
          <w:szCs w:val="22"/>
          <w:lang w:val="sr-Latn-ME"/>
        </w:rPr>
      </w:pPr>
    </w:p>
    <w:p w14:paraId="2EA94079" w14:textId="77777777" w:rsidR="00A44302" w:rsidRDefault="00A44302">
      <w:pPr>
        <w:tabs>
          <w:tab w:val="left" w:pos="540"/>
          <w:tab w:val="left" w:pos="569"/>
        </w:tabs>
        <w:jc w:val="both"/>
        <w:rPr>
          <w:b/>
          <w:bCs/>
          <w:sz w:val="22"/>
          <w:szCs w:val="22"/>
          <w:lang w:val="sr-Latn-ME"/>
        </w:rPr>
      </w:pPr>
    </w:p>
    <w:p w14:paraId="2101A053" w14:textId="77777777" w:rsidR="00A44302" w:rsidRDefault="00A44302">
      <w:pPr>
        <w:tabs>
          <w:tab w:val="left" w:pos="540"/>
          <w:tab w:val="left" w:pos="569"/>
        </w:tabs>
        <w:jc w:val="both"/>
        <w:rPr>
          <w:b/>
          <w:bCs/>
          <w:sz w:val="22"/>
          <w:szCs w:val="22"/>
          <w:lang w:val="sr-Latn-ME"/>
        </w:rPr>
      </w:pPr>
    </w:p>
    <w:p w14:paraId="16D27005" w14:textId="3ED58950" w:rsidR="00F77A8D" w:rsidRPr="00A44302" w:rsidRDefault="00371093">
      <w:pPr>
        <w:tabs>
          <w:tab w:val="left" w:pos="540"/>
          <w:tab w:val="left" w:pos="569"/>
        </w:tabs>
        <w:jc w:val="both"/>
        <w:rPr>
          <w:b/>
          <w:bCs/>
          <w:sz w:val="22"/>
          <w:szCs w:val="22"/>
          <w:lang w:val="sr-Latn-ME"/>
        </w:rPr>
      </w:pPr>
      <w:r w:rsidRPr="00A44302">
        <w:rPr>
          <w:b/>
          <w:bCs/>
          <w:sz w:val="22"/>
          <w:szCs w:val="22"/>
          <w:lang w:val="sr-Latn-ME"/>
        </w:rPr>
        <w:lastRenderedPageBreak/>
        <w:t>Pedijatrijska populacija</w:t>
      </w:r>
    </w:p>
    <w:p w14:paraId="3DE2D365" w14:textId="77777777" w:rsidR="00371093" w:rsidRPr="00A44302" w:rsidRDefault="00371093">
      <w:pPr>
        <w:tabs>
          <w:tab w:val="left" w:pos="540"/>
          <w:tab w:val="left" w:pos="569"/>
        </w:tabs>
        <w:jc w:val="both"/>
        <w:rPr>
          <w:b/>
          <w:bCs/>
          <w:sz w:val="22"/>
          <w:szCs w:val="22"/>
          <w:lang w:val="sr-Latn-ME"/>
        </w:rPr>
      </w:pPr>
    </w:p>
    <w:p w14:paraId="22203CEB" w14:textId="30F2E0A5"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Farmakokinetički parametri paracetamola kod odojčadi i djece su slični onim kod odraslih, osim što je poluvrijeme eliminacije malo kraće (1,5 do 2 </w:t>
      </w:r>
      <w:r w:rsidR="00371093" w:rsidRPr="00A44302">
        <w:rPr>
          <w:bCs/>
          <w:sz w:val="22"/>
          <w:szCs w:val="22"/>
          <w:lang w:val="sr-Latn-ME"/>
        </w:rPr>
        <w:t>sata</w:t>
      </w:r>
      <w:r w:rsidRPr="00A44302">
        <w:rPr>
          <w:bCs/>
          <w:sz w:val="22"/>
          <w:szCs w:val="22"/>
          <w:lang w:val="sr-Latn-ME"/>
        </w:rPr>
        <w:t xml:space="preserve">) nego kod odraslih. Kod novorođenčadi, poluvrijeme eliminacije je duže nego kod odojčadi i iznosi oko 3,5 </w:t>
      </w:r>
      <w:r w:rsidR="00371093" w:rsidRPr="00A44302">
        <w:rPr>
          <w:bCs/>
          <w:sz w:val="22"/>
          <w:szCs w:val="22"/>
          <w:lang w:val="sr-Latn-ME"/>
        </w:rPr>
        <w:t>sata</w:t>
      </w:r>
      <w:r w:rsidRPr="00A44302">
        <w:rPr>
          <w:bCs/>
          <w:sz w:val="22"/>
          <w:szCs w:val="22"/>
          <w:lang w:val="sr-Latn-ME"/>
        </w:rPr>
        <w:t xml:space="preserve">. Novorođenčad, odojčad i djeca </w:t>
      </w:r>
      <w:r w:rsidR="00F278E7" w:rsidRPr="00A44302">
        <w:rPr>
          <w:bCs/>
          <w:sz w:val="22"/>
          <w:szCs w:val="22"/>
          <w:lang w:val="sr-Latn-ME"/>
        </w:rPr>
        <w:t xml:space="preserve">uzrasta </w:t>
      </w:r>
      <w:r w:rsidRPr="00A44302">
        <w:rPr>
          <w:bCs/>
          <w:sz w:val="22"/>
          <w:szCs w:val="22"/>
          <w:lang w:val="sr-Latn-ME"/>
        </w:rPr>
        <w:t>do 10 godina izlučuju znatno manje glukuronidnih i više sulfatnih konjugata nego odrasli.</w:t>
      </w:r>
    </w:p>
    <w:p w14:paraId="49CDD9B0" w14:textId="77777777" w:rsidR="00F77A8D" w:rsidRPr="00A44302" w:rsidRDefault="00F77A8D">
      <w:pPr>
        <w:tabs>
          <w:tab w:val="left" w:pos="540"/>
          <w:tab w:val="left" w:pos="569"/>
        </w:tabs>
        <w:jc w:val="both"/>
        <w:rPr>
          <w:bCs/>
          <w:sz w:val="22"/>
          <w:szCs w:val="22"/>
          <w:lang w:val="sr-Latn-ME"/>
        </w:rPr>
      </w:pPr>
    </w:p>
    <w:p w14:paraId="7925185D" w14:textId="02B4C801" w:rsidR="00F77A8D" w:rsidRPr="00A44302" w:rsidRDefault="00F77A8D">
      <w:pPr>
        <w:tabs>
          <w:tab w:val="left" w:pos="540"/>
          <w:tab w:val="left" w:pos="569"/>
        </w:tabs>
        <w:jc w:val="both"/>
        <w:rPr>
          <w:bCs/>
          <w:i/>
          <w:sz w:val="22"/>
          <w:szCs w:val="22"/>
          <w:lang w:val="sr-Latn-ME"/>
        </w:rPr>
      </w:pPr>
      <w:r w:rsidRPr="00A44302">
        <w:rPr>
          <w:bCs/>
          <w:i/>
          <w:sz w:val="22"/>
          <w:szCs w:val="22"/>
          <w:lang w:val="sr-Latn-ME"/>
        </w:rPr>
        <w:t>Tabela: Farmakokinetički parametri u odnosu na uzrast (standardni klirens, *CL</w:t>
      </w:r>
      <w:r w:rsidRPr="00A44302">
        <w:rPr>
          <w:bCs/>
          <w:i/>
          <w:sz w:val="22"/>
          <w:szCs w:val="22"/>
          <w:vertAlign w:val="subscript"/>
          <w:lang w:val="sr-Latn-ME"/>
        </w:rPr>
        <w:t>std</w:t>
      </w:r>
      <w:r w:rsidRPr="00A44302">
        <w:rPr>
          <w:bCs/>
          <w:i/>
          <w:sz w:val="22"/>
          <w:szCs w:val="22"/>
          <w:lang w:val="sr-Latn-ME"/>
        </w:rPr>
        <w:t>/F</w:t>
      </w:r>
      <w:r w:rsidRPr="00A44302">
        <w:rPr>
          <w:bCs/>
          <w:i/>
          <w:sz w:val="22"/>
          <w:szCs w:val="22"/>
          <w:vertAlign w:val="subscript"/>
          <w:lang w:val="sr-Latn-ME"/>
        </w:rPr>
        <w:t>oral</w:t>
      </w:r>
      <w:r w:rsidRPr="00A44302">
        <w:rPr>
          <w:bCs/>
          <w:i/>
          <w:sz w:val="22"/>
          <w:szCs w:val="22"/>
          <w:lang w:val="sr-Latn-ME"/>
        </w:rPr>
        <w:t xml:space="preserve"> (l.h</w:t>
      </w:r>
      <w:r w:rsidRPr="00A44302">
        <w:rPr>
          <w:bCs/>
          <w:i/>
          <w:sz w:val="22"/>
          <w:szCs w:val="22"/>
          <w:vertAlign w:val="superscript"/>
          <w:lang w:val="sr-Latn-ME"/>
        </w:rPr>
        <w:t>-1</w:t>
      </w:r>
      <w:r w:rsidRPr="00A44302">
        <w:rPr>
          <w:bCs/>
          <w:i/>
          <w:sz w:val="22"/>
          <w:szCs w:val="22"/>
          <w:lang w:val="sr-Latn-ME"/>
        </w:rPr>
        <w:t xml:space="preserve"> 70</w:t>
      </w:r>
      <w:r w:rsidR="0011762E" w:rsidRPr="00A44302">
        <w:rPr>
          <w:bCs/>
          <w:i/>
          <w:sz w:val="22"/>
          <w:szCs w:val="22"/>
          <w:lang w:val="sr-Latn-ME"/>
        </w:rPr>
        <w:t xml:space="preserve"> </w:t>
      </w:r>
      <w:r w:rsidRPr="00A44302">
        <w:rPr>
          <w:bCs/>
          <w:i/>
          <w:sz w:val="22"/>
          <w:szCs w:val="22"/>
          <w:lang w:val="sr-Latn-ME"/>
        </w:rPr>
        <w:t>kg</w:t>
      </w:r>
      <w:r w:rsidRPr="00A44302">
        <w:rPr>
          <w:bCs/>
          <w:i/>
          <w:sz w:val="22"/>
          <w:szCs w:val="22"/>
          <w:vertAlign w:val="superscript"/>
          <w:lang w:val="sr-Latn-ME"/>
        </w:rPr>
        <w:t>-1</w:t>
      </w:r>
      <w:r w:rsidRPr="00A44302">
        <w:rPr>
          <w:bCs/>
          <w:i/>
          <w:sz w:val="22"/>
          <w:szCs w:val="22"/>
          <w:lang w:val="sr-Latn-ME"/>
        </w:rPr>
        <w:t>), prikazani su u nastavku.</w:t>
      </w:r>
    </w:p>
    <w:p w14:paraId="1F24A96A" w14:textId="77777777" w:rsidR="00F77A8D" w:rsidRPr="00A44302" w:rsidRDefault="00F77A8D" w:rsidP="008869B8">
      <w:pPr>
        <w:tabs>
          <w:tab w:val="left" w:pos="540"/>
          <w:tab w:val="left" w:pos="569"/>
        </w:tabs>
        <w:jc w:val="both"/>
        <w:rPr>
          <w:bCs/>
          <w:sz w:val="22"/>
          <w:szCs w:val="22"/>
          <w:lang w:val="sr-Latn-ME"/>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3058"/>
        <w:gridCol w:w="2223"/>
        <w:gridCol w:w="3335"/>
      </w:tblGrid>
      <w:tr w:rsidR="00F77A8D" w:rsidRPr="00A44302" w14:paraId="0780DBAB"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5C840446" w14:textId="77777777" w:rsidR="00F77A8D" w:rsidRPr="00A44302" w:rsidRDefault="00F77A8D" w:rsidP="008869B8">
            <w:pPr>
              <w:pStyle w:val="NormalWeb"/>
              <w:jc w:val="both"/>
              <w:rPr>
                <w:sz w:val="22"/>
                <w:szCs w:val="22"/>
                <w:lang w:val="sr-Latn-ME"/>
              </w:rPr>
            </w:pPr>
            <w:r w:rsidRPr="00A44302">
              <w:rPr>
                <w:b/>
                <w:bCs/>
                <w:sz w:val="22"/>
                <w:szCs w:val="22"/>
                <w:lang w:val="sr-Latn-ME"/>
              </w:rPr>
              <w:t>Uzrast</w:t>
            </w:r>
          </w:p>
        </w:tc>
        <w:tc>
          <w:tcPr>
            <w:tcW w:w="2223" w:type="dxa"/>
            <w:tcBorders>
              <w:top w:val="outset" w:sz="6" w:space="0" w:color="auto"/>
              <w:left w:val="outset" w:sz="6" w:space="0" w:color="auto"/>
              <w:bottom w:val="outset" w:sz="6" w:space="0" w:color="auto"/>
              <w:right w:val="outset" w:sz="6" w:space="0" w:color="auto"/>
            </w:tcBorders>
          </w:tcPr>
          <w:p w14:paraId="4FA4D72F" w14:textId="23DC19B5" w:rsidR="00F77A8D" w:rsidRPr="00A44302" w:rsidRDefault="00F77A8D" w:rsidP="008869B8">
            <w:pPr>
              <w:pStyle w:val="NormalWeb"/>
              <w:jc w:val="both"/>
              <w:rPr>
                <w:sz w:val="22"/>
                <w:szCs w:val="22"/>
                <w:lang w:val="sr-Latn-ME"/>
              </w:rPr>
            </w:pPr>
            <w:r w:rsidRPr="00A44302">
              <w:rPr>
                <w:b/>
                <w:bCs/>
                <w:sz w:val="22"/>
                <w:szCs w:val="22"/>
                <w:lang w:val="sr-Latn-ME"/>
              </w:rPr>
              <w:t>Tjelesna masa (kg)</w:t>
            </w:r>
          </w:p>
        </w:tc>
        <w:tc>
          <w:tcPr>
            <w:tcW w:w="3335" w:type="dxa"/>
            <w:tcBorders>
              <w:top w:val="outset" w:sz="6" w:space="0" w:color="auto"/>
              <w:left w:val="outset" w:sz="6" w:space="0" w:color="auto"/>
              <w:bottom w:val="outset" w:sz="6" w:space="0" w:color="auto"/>
              <w:right w:val="outset" w:sz="6" w:space="0" w:color="auto"/>
            </w:tcBorders>
          </w:tcPr>
          <w:p w14:paraId="01DFF32E" w14:textId="4DD2FA36" w:rsidR="00F77A8D" w:rsidRPr="00A44302" w:rsidRDefault="00F77A8D" w:rsidP="008869B8">
            <w:pPr>
              <w:pStyle w:val="NormalWeb"/>
              <w:jc w:val="both"/>
              <w:rPr>
                <w:sz w:val="22"/>
                <w:szCs w:val="22"/>
                <w:lang w:val="sr-Latn-ME"/>
              </w:rPr>
            </w:pPr>
            <w:r w:rsidRPr="00A44302">
              <w:rPr>
                <w:b/>
                <w:bCs/>
                <w:sz w:val="22"/>
                <w:szCs w:val="22"/>
                <w:lang w:val="sr-Latn-ME"/>
              </w:rPr>
              <w:t>CL</w:t>
            </w:r>
            <w:r w:rsidRPr="00A44302">
              <w:rPr>
                <w:b/>
                <w:bCs/>
                <w:sz w:val="22"/>
                <w:szCs w:val="22"/>
                <w:vertAlign w:val="subscript"/>
                <w:lang w:val="sr-Latn-ME"/>
              </w:rPr>
              <w:t>std</w:t>
            </w:r>
            <w:r w:rsidRPr="00A44302">
              <w:rPr>
                <w:b/>
                <w:bCs/>
                <w:sz w:val="22"/>
                <w:szCs w:val="22"/>
                <w:lang w:val="sr-Latn-ME"/>
              </w:rPr>
              <w:t xml:space="preserve"> /F</w:t>
            </w:r>
            <w:r w:rsidRPr="00A44302">
              <w:rPr>
                <w:b/>
                <w:bCs/>
                <w:sz w:val="22"/>
                <w:szCs w:val="22"/>
                <w:vertAlign w:val="subscript"/>
                <w:lang w:val="sr-Latn-ME"/>
              </w:rPr>
              <w:t>oral</w:t>
            </w:r>
            <w:r w:rsidRPr="00A44302">
              <w:rPr>
                <w:b/>
                <w:bCs/>
                <w:sz w:val="22"/>
                <w:szCs w:val="22"/>
                <w:lang w:val="sr-Latn-ME"/>
              </w:rPr>
              <w:t xml:space="preserve"> (l.h</w:t>
            </w:r>
            <w:r w:rsidRPr="00A44302">
              <w:rPr>
                <w:b/>
                <w:bCs/>
                <w:sz w:val="22"/>
                <w:szCs w:val="22"/>
                <w:vertAlign w:val="superscript"/>
                <w:lang w:val="sr-Latn-ME"/>
              </w:rPr>
              <w:t>-1</w:t>
            </w:r>
            <w:r w:rsidRPr="00A44302">
              <w:rPr>
                <w:b/>
                <w:bCs/>
                <w:sz w:val="22"/>
                <w:szCs w:val="22"/>
                <w:lang w:val="sr-Latn-ME"/>
              </w:rPr>
              <w:t xml:space="preserve"> 70</w:t>
            </w:r>
            <w:r w:rsidR="0011762E" w:rsidRPr="00A44302">
              <w:rPr>
                <w:b/>
                <w:bCs/>
                <w:sz w:val="22"/>
                <w:szCs w:val="22"/>
                <w:lang w:val="sr-Latn-ME"/>
              </w:rPr>
              <w:t xml:space="preserve"> </w:t>
            </w:r>
            <w:r w:rsidRPr="00A44302">
              <w:rPr>
                <w:b/>
                <w:bCs/>
                <w:sz w:val="22"/>
                <w:szCs w:val="22"/>
                <w:lang w:val="sr-Latn-ME"/>
              </w:rPr>
              <w:t>kg</w:t>
            </w:r>
            <w:r w:rsidRPr="00A44302">
              <w:rPr>
                <w:b/>
                <w:bCs/>
                <w:sz w:val="22"/>
                <w:szCs w:val="22"/>
                <w:vertAlign w:val="superscript"/>
                <w:lang w:val="sr-Latn-ME"/>
              </w:rPr>
              <w:t>-1</w:t>
            </w:r>
            <w:r w:rsidRPr="00A44302">
              <w:rPr>
                <w:b/>
                <w:bCs/>
                <w:sz w:val="22"/>
                <w:szCs w:val="22"/>
                <w:lang w:val="sr-Latn-ME"/>
              </w:rPr>
              <w:t>)</w:t>
            </w:r>
          </w:p>
        </w:tc>
      </w:tr>
      <w:tr w:rsidR="00F77A8D" w:rsidRPr="00A44302" w14:paraId="117945AA"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7577EC30" w14:textId="77777777" w:rsidR="00F77A8D" w:rsidRPr="00A44302" w:rsidRDefault="00F77A8D" w:rsidP="008869B8">
            <w:pPr>
              <w:pStyle w:val="NormalWeb"/>
              <w:jc w:val="both"/>
              <w:rPr>
                <w:sz w:val="22"/>
                <w:szCs w:val="22"/>
                <w:lang w:val="sr-Latn-ME"/>
              </w:rPr>
            </w:pPr>
            <w:r w:rsidRPr="00A44302">
              <w:rPr>
                <w:sz w:val="22"/>
                <w:szCs w:val="22"/>
                <w:lang w:val="sr-Latn-ME"/>
              </w:rPr>
              <w:t>40 nedjelja PCA</w:t>
            </w:r>
          </w:p>
        </w:tc>
        <w:tc>
          <w:tcPr>
            <w:tcW w:w="2223" w:type="dxa"/>
            <w:tcBorders>
              <w:top w:val="outset" w:sz="6" w:space="0" w:color="auto"/>
              <w:left w:val="outset" w:sz="6" w:space="0" w:color="auto"/>
              <w:bottom w:val="outset" w:sz="6" w:space="0" w:color="auto"/>
              <w:right w:val="outset" w:sz="6" w:space="0" w:color="auto"/>
            </w:tcBorders>
          </w:tcPr>
          <w:p w14:paraId="14ACDFB2" w14:textId="31D5D212" w:rsidR="00F77A8D" w:rsidRPr="00A44302" w:rsidRDefault="00F77A8D" w:rsidP="008869B8">
            <w:pPr>
              <w:pStyle w:val="NormalWeb"/>
              <w:jc w:val="both"/>
              <w:rPr>
                <w:sz w:val="22"/>
                <w:szCs w:val="22"/>
                <w:lang w:val="sr-Latn-ME"/>
              </w:rPr>
            </w:pPr>
            <w:r w:rsidRPr="00A44302">
              <w:rPr>
                <w:sz w:val="22"/>
                <w:szCs w:val="22"/>
                <w:lang w:val="sr-Latn-ME"/>
              </w:rPr>
              <w:t>3</w:t>
            </w:r>
            <w:r w:rsidR="0011762E" w:rsidRPr="00A44302">
              <w:rPr>
                <w:sz w:val="22"/>
                <w:szCs w:val="22"/>
                <w:lang w:val="sr-Latn-ME"/>
              </w:rPr>
              <w:t>,</w:t>
            </w:r>
            <w:r w:rsidRPr="00A44302">
              <w:rPr>
                <w:sz w:val="22"/>
                <w:szCs w:val="22"/>
                <w:lang w:val="sr-Latn-ME"/>
              </w:rPr>
              <w:t>3</w:t>
            </w:r>
          </w:p>
        </w:tc>
        <w:tc>
          <w:tcPr>
            <w:tcW w:w="3335" w:type="dxa"/>
            <w:tcBorders>
              <w:top w:val="outset" w:sz="6" w:space="0" w:color="auto"/>
              <w:left w:val="outset" w:sz="6" w:space="0" w:color="auto"/>
              <w:bottom w:val="outset" w:sz="6" w:space="0" w:color="auto"/>
              <w:right w:val="outset" w:sz="6" w:space="0" w:color="auto"/>
            </w:tcBorders>
          </w:tcPr>
          <w:p w14:paraId="470E7A5E" w14:textId="72E8B7F4" w:rsidR="00F77A8D" w:rsidRPr="00A44302" w:rsidRDefault="00F77A8D" w:rsidP="008869B8">
            <w:pPr>
              <w:pStyle w:val="NormalWeb"/>
              <w:jc w:val="both"/>
              <w:rPr>
                <w:sz w:val="22"/>
                <w:szCs w:val="22"/>
                <w:lang w:val="sr-Latn-ME"/>
              </w:rPr>
            </w:pPr>
            <w:r w:rsidRPr="00A44302">
              <w:rPr>
                <w:sz w:val="22"/>
                <w:szCs w:val="22"/>
                <w:lang w:val="sr-Latn-ME"/>
              </w:rPr>
              <w:t>5</w:t>
            </w:r>
            <w:r w:rsidR="0011762E" w:rsidRPr="00A44302">
              <w:rPr>
                <w:sz w:val="22"/>
                <w:szCs w:val="22"/>
                <w:lang w:val="sr-Latn-ME"/>
              </w:rPr>
              <w:t>,</w:t>
            </w:r>
            <w:r w:rsidRPr="00A44302">
              <w:rPr>
                <w:sz w:val="22"/>
                <w:szCs w:val="22"/>
                <w:lang w:val="sr-Latn-ME"/>
              </w:rPr>
              <w:t>9</w:t>
            </w:r>
          </w:p>
        </w:tc>
      </w:tr>
      <w:tr w:rsidR="00F77A8D" w:rsidRPr="00A44302" w14:paraId="68CEF212"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7472323E" w14:textId="77777777" w:rsidR="00F77A8D" w:rsidRPr="00A44302" w:rsidRDefault="00F77A8D" w:rsidP="008869B8">
            <w:pPr>
              <w:pStyle w:val="NormalWeb"/>
              <w:jc w:val="both"/>
              <w:rPr>
                <w:sz w:val="22"/>
                <w:szCs w:val="22"/>
                <w:lang w:val="sr-Latn-ME"/>
              </w:rPr>
            </w:pPr>
            <w:r w:rsidRPr="00A44302">
              <w:rPr>
                <w:sz w:val="22"/>
                <w:szCs w:val="22"/>
                <w:lang w:val="sr-Latn-ME"/>
              </w:rPr>
              <w:t>3 mjeseca PNA</w:t>
            </w:r>
          </w:p>
        </w:tc>
        <w:tc>
          <w:tcPr>
            <w:tcW w:w="2223" w:type="dxa"/>
            <w:tcBorders>
              <w:top w:val="outset" w:sz="6" w:space="0" w:color="auto"/>
              <w:left w:val="outset" w:sz="6" w:space="0" w:color="auto"/>
              <w:bottom w:val="outset" w:sz="6" w:space="0" w:color="auto"/>
              <w:right w:val="outset" w:sz="6" w:space="0" w:color="auto"/>
            </w:tcBorders>
          </w:tcPr>
          <w:p w14:paraId="5BFE6A29" w14:textId="77777777" w:rsidR="00F77A8D" w:rsidRPr="00A44302" w:rsidRDefault="00F77A8D" w:rsidP="008869B8">
            <w:pPr>
              <w:pStyle w:val="NormalWeb"/>
              <w:jc w:val="both"/>
              <w:rPr>
                <w:sz w:val="22"/>
                <w:szCs w:val="22"/>
                <w:lang w:val="sr-Latn-ME"/>
              </w:rPr>
            </w:pPr>
            <w:r w:rsidRPr="00A44302">
              <w:rPr>
                <w:sz w:val="22"/>
                <w:szCs w:val="22"/>
                <w:lang w:val="sr-Latn-ME"/>
              </w:rPr>
              <w:t>6</w:t>
            </w:r>
          </w:p>
        </w:tc>
        <w:tc>
          <w:tcPr>
            <w:tcW w:w="3335" w:type="dxa"/>
            <w:tcBorders>
              <w:top w:val="outset" w:sz="6" w:space="0" w:color="auto"/>
              <w:left w:val="outset" w:sz="6" w:space="0" w:color="auto"/>
              <w:bottom w:val="outset" w:sz="6" w:space="0" w:color="auto"/>
              <w:right w:val="outset" w:sz="6" w:space="0" w:color="auto"/>
            </w:tcBorders>
          </w:tcPr>
          <w:p w14:paraId="4A3B87A0" w14:textId="64E60D6A" w:rsidR="00F77A8D" w:rsidRPr="00A44302" w:rsidRDefault="00F77A8D" w:rsidP="008869B8">
            <w:pPr>
              <w:pStyle w:val="NormalWeb"/>
              <w:jc w:val="both"/>
              <w:rPr>
                <w:sz w:val="22"/>
                <w:szCs w:val="22"/>
                <w:lang w:val="sr-Latn-ME"/>
              </w:rPr>
            </w:pPr>
            <w:r w:rsidRPr="00A44302">
              <w:rPr>
                <w:sz w:val="22"/>
                <w:szCs w:val="22"/>
                <w:lang w:val="sr-Latn-ME"/>
              </w:rPr>
              <w:t>8</w:t>
            </w:r>
            <w:r w:rsidR="0011762E" w:rsidRPr="00A44302">
              <w:rPr>
                <w:sz w:val="22"/>
                <w:szCs w:val="22"/>
                <w:lang w:val="sr-Latn-ME"/>
              </w:rPr>
              <w:t>,</w:t>
            </w:r>
            <w:r w:rsidRPr="00A44302">
              <w:rPr>
                <w:sz w:val="22"/>
                <w:szCs w:val="22"/>
                <w:lang w:val="sr-Latn-ME"/>
              </w:rPr>
              <w:t>8</w:t>
            </w:r>
          </w:p>
        </w:tc>
      </w:tr>
      <w:tr w:rsidR="00F77A8D" w:rsidRPr="00A44302" w14:paraId="09843E73"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66297A6C" w14:textId="77777777" w:rsidR="00F77A8D" w:rsidRPr="00A44302" w:rsidRDefault="00F77A8D" w:rsidP="008869B8">
            <w:pPr>
              <w:pStyle w:val="NormalWeb"/>
              <w:jc w:val="both"/>
              <w:rPr>
                <w:sz w:val="22"/>
                <w:szCs w:val="22"/>
                <w:lang w:val="sr-Latn-ME"/>
              </w:rPr>
            </w:pPr>
            <w:r w:rsidRPr="00A44302">
              <w:rPr>
                <w:sz w:val="22"/>
                <w:szCs w:val="22"/>
                <w:lang w:val="sr-Latn-ME"/>
              </w:rPr>
              <w:t>6 mjeseci PNA</w:t>
            </w:r>
          </w:p>
        </w:tc>
        <w:tc>
          <w:tcPr>
            <w:tcW w:w="2223" w:type="dxa"/>
            <w:tcBorders>
              <w:top w:val="outset" w:sz="6" w:space="0" w:color="auto"/>
              <w:left w:val="outset" w:sz="6" w:space="0" w:color="auto"/>
              <w:bottom w:val="outset" w:sz="6" w:space="0" w:color="auto"/>
              <w:right w:val="outset" w:sz="6" w:space="0" w:color="auto"/>
            </w:tcBorders>
          </w:tcPr>
          <w:p w14:paraId="604A71ED" w14:textId="689D8C6C" w:rsidR="00F77A8D" w:rsidRPr="00A44302" w:rsidRDefault="00F77A8D" w:rsidP="008869B8">
            <w:pPr>
              <w:pStyle w:val="NormalWeb"/>
              <w:jc w:val="both"/>
              <w:rPr>
                <w:sz w:val="22"/>
                <w:szCs w:val="22"/>
                <w:lang w:val="sr-Latn-ME"/>
              </w:rPr>
            </w:pPr>
            <w:r w:rsidRPr="00A44302">
              <w:rPr>
                <w:sz w:val="22"/>
                <w:szCs w:val="22"/>
                <w:lang w:val="sr-Latn-ME"/>
              </w:rPr>
              <w:t>7</w:t>
            </w:r>
            <w:r w:rsidR="0011762E" w:rsidRPr="00A44302">
              <w:rPr>
                <w:sz w:val="22"/>
                <w:szCs w:val="22"/>
                <w:lang w:val="sr-Latn-ME"/>
              </w:rPr>
              <w:t>,</w:t>
            </w:r>
            <w:r w:rsidRPr="00A44302">
              <w:rPr>
                <w:sz w:val="22"/>
                <w:szCs w:val="22"/>
                <w:lang w:val="sr-Latn-ME"/>
              </w:rPr>
              <w:t>5</w:t>
            </w:r>
          </w:p>
        </w:tc>
        <w:tc>
          <w:tcPr>
            <w:tcW w:w="3335" w:type="dxa"/>
            <w:tcBorders>
              <w:top w:val="outset" w:sz="6" w:space="0" w:color="auto"/>
              <w:left w:val="outset" w:sz="6" w:space="0" w:color="auto"/>
              <w:bottom w:val="outset" w:sz="6" w:space="0" w:color="auto"/>
              <w:right w:val="outset" w:sz="6" w:space="0" w:color="auto"/>
            </w:tcBorders>
          </w:tcPr>
          <w:p w14:paraId="23017222" w14:textId="7F21012B" w:rsidR="00F77A8D" w:rsidRPr="00A44302" w:rsidRDefault="00F77A8D" w:rsidP="008869B8">
            <w:pPr>
              <w:pStyle w:val="NormalWeb"/>
              <w:jc w:val="both"/>
              <w:rPr>
                <w:sz w:val="22"/>
                <w:szCs w:val="22"/>
                <w:lang w:val="sr-Latn-ME"/>
              </w:rPr>
            </w:pPr>
            <w:r w:rsidRPr="00A44302">
              <w:rPr>
                <w:sz w:val="22"/>
                <w:szCs w:val="22"/>
                <w:lang w:val="sr-Latn-ME"/>
              </w:rPr>
              <w:t>11</w:t>
            </w:r>
            <w:r w:rsidR="0011762E" w:rsidRPr="00A44302">
              <w:rPr>
                <w:sz w:val="22"/>
                <w:szCs w:val="22"/>
                <w:lang w:val="sr-Latn-ME"/>
              </w:rPr>
              <w:t>,</w:t>
            </w:r>
            <w:r w:rsidRPr="00A44302">
              <w:rPr>
                <w:sz w:val="22"/>
                <w:szCs w:val="22"/>
                <w:lang w:val="sr-Latn-ME"/>
              </w:rPr>
              <w:t>1</w:t>
            </w:r>
          </w:p>
        </w:tc>
      </w:tr>
      <w:tr w:rsidR="00F77A8D" w:rsidRPr="00A44302" w14:paraId="15AD4C37"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315C68D1" w14:textId="77777777" w:rsidR="00F77A8D" w:rsidRPr="00A44302" w:rsidRDefault="00F77A8D" w:rsidP="008869B8">
            <w:pPr>
              <w:pStyle w:val="NormalWeb"/>
              <w:jc w:val="both"/>
              <w:rPr>
                <w:sz w:val="22"/>
                <w:szCs w:val="22"/>
                <w:lang w:val="sr-Latn-ME"/>
              </w:rPr>
            </w:pPr>
            <w:r w:rsidRPr="00A44302">
              <w:rPr>
                <w:sz w:val="22"/>
                <w:szCs w:val="22"/>
                <w:lang w:val="sr-Latn-ME"/>
              </w:rPr>
              <w:t>1 godina PNA</w:t>
            </w:r>
          </w:p>
        </w:tc>
        <w:tc>
          <w:tcPr>
            <w:tcW w:w="2223" w:type="dxa"/>
            <w:tcBorders>
              <w:top w:val="outset" w:sz="6" w:space="0" w:color="auto"/>
              <w:left w:val="outset" w:sz="6" w:space="0" w:color="auto"/>
              <w:bottom w:val="outset" w:sz="6" w:space="0" w:color="auto"/>
              <w:right w:val="outset" w:sz="6" w:space="0" w:color="auto"/>
            </w:tcBorders>
          </w:tcPr>
          <w:p w14:paraId="412DE5C1" w14:textId="77777777" w:rsidR="00F77A8D" w:rsidRPr="00A44302" w:rsidRDefault="00F77A8D" w:rsidP="008869B8">
            <w:pPr>
              <w:pStyle w:val="NormalWeb"/>
              <w:jc w:val="both"/>
              <w:rPr>
                <w:sz w:val="22"/>
                <w:szCs w:val="22"/>
                <w:lang w:val="sr-Latn-ME"/>
              </w:rPr>
            </w:pPr>
            <w:r w:rsidRPr="00A44302">
              <w:rPr>
                <w:sz w:val="22"/>
                <w:szCs w:val="22"/>
                <w:lang w:val="sr-Latn-ME"/>
              </w:rPr>
              <w:t>10</w:t>
            </w:r>
          </w:p>
        </w:tc>
        <w:tc>
          <w:tcPr>
            <w:tcW w:w="3335" w:type="dxa"/>
            <w:tcBorders>
              <w:top w:val="outset" w:sz="6" w:space="0" w:color="auto"/>
              <w:left w:val="outset" w:sz="6" w:space="0" w:color="auto"/>
              <w:bottom w:val="outset" w:sz="6" w:space="0" w:color="auto"/>
              <w:right w:val="outset" w:sz="6" w:space="0" w:color="auto"/>
            </w:tcBorders>
          </w:tcPr>
          <w:p w14:paraId="18D3F010" w14:textId="3036CB14" w:rsidR="00F77A8D" w:rsidRPr="00A44302" w:rsidRDefault="00F77A8D" w:rsidP="008869B8">
            <w:pPr>
              <w:pStyle w:val="NormalWeb"/>
              <w:jc w:val="both"/>
              <w:rPr>
                <w:sz w:val="22"/>
                <w:szCs w:val="22"/>
                <w:lang w:val="sr-Latn-ME"/>
              </w:rPr>
            </w:pPr>
            <w:r w:rsidRPr="00A44302">
              <w:rPr>
                <w:sz w:val="22"/>
                <w:szCs w:val="22"/>
                <w:lang w:val="sr-Latn-ME"/>
              </w:rPr>
              <w:t>13</w:t>
            </w:r>
            <w:r w:rsidR="0011762E" w:rsidRPr="00A44302">
              <w:rPr>
                <w:sz w:val="22"/>
                <w:szCs w:val="22"/>
                <w:lang w:val="sr-Latn-ME"/>
              </w:rPr>
              <w:t>,</w:t>
            </w:r>
            <w:r w:rsidRPr="00A44302">
              <w:rPr>
                <w:sz w:val="22"/>
                <w:szCs w:val="22"/>
                <w:lang w:val="sr-Latn-ME"/>
              </w:rPr>
              <w:t>6</w:t>
            </w:r>
          </w:p>
        </w:tc>
      </w:tr>
      <w:tr w:rsidR="00F77A8D" w:rsidRPr="00A44302" w14:paraId="4C0AB981"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34518883" w14:textId="77777777" w:rsidR="00F77A8D" w:rsidRPr="00A44302" w:rsidRDefault="00F77A8D" w:rsidP="008869B8">
            <w:pPr>
              <w:pStyle w:val="NormalWeb"/>
              <w:jc w:val="both"/>
              <w:rPr>
                <w:sz w:val="22"/>
                <w:szCs w:val="22"/>
                <w:lang w:val="sr-Latn-ME"/>
              </w:rPr>
            </w:pPr>
            <w:r w:rsidRPr="00A44302">
              <w:rPr>
                <w:sz w:val="22"/>
                <w:szCs w:val="22"/>
                <w:lang w:val="sr-Latn-ME"/>
              </w:rPr>
              <w:t>2 godine PNA</w:t>
            </w:r>
          </w:p>
        </w:tc>
        <w:tc>
          <w:tcPr>
            <w:tcW w:w="2223" w:type="dxa"/>
            <w:tcBorders>
              <w:top w:val="outset" w:sz="6" w:space="0" w:color="auto"/>
              <w:left w:val="outset" w:sz="6" w:space="0" w:color="auto"/>
              <w:bottom w:val="outset" w:sz="6" w:space="0" w:color="auto"/>
              <w:right w:val="outset" w:sz="6" w:space="0" w:color="auto"/>
            </w:tcBorders>
          </w:tcPr>
          <w:p w14:paraId="36EEDBB6" w14:textId="77777777" w:rsidR="00F77A8D" w:rsidRPr="00A44302" w:rsidRDefault="00F77A8D" w:rsidP="008869B8">
            <w:pPr>
              <w:pStyle w:val="NormalWeb"/>
              <w:jc w:val="both"/>
              <w:rPr>
                <w:sz w:val="22"/>
                <w:szCs w:val="22"/>
                <w:lang w:val="sr-Latn-ME"/>
              </w:rPr>
            </w:pPr>
            <w:r w:rsidRPr="00A44302">
              <w:rPr>
                <w:sz w:val="22"/>
                <w:szCs w:val="22"/>
                <w:lang w:val="sr-Latn-ME"/>
              </w:rPr>
              <w:t>12</w:t>
            </w:r>
          </w:p>
        </w:tc>
        <w:tc>
          <w:tcPr>
            <w:tcW w:w="3335" w:type="dxa"/>
            <w:tcBorders>
              <w:top w:val="outset" w:sz="6" w:space="0" w:color="auto"/>
              <w:left w:val="outset" w:sz="6" w:space="0" w:color="auto"/>
              <w:bottom w:val="outset" w:sz="6" w:space="0" w:color="auto"/>
              <w:right w:val="outset" w:sz="6" w:space="0" w:color="auto"/>
            </w:tcBorders>
          </w:tcPr>
          <w:p w14:paraId="046FB1F5" w14:textId="41198CDE" w:rsidR="00F77A8D" w:rsidRPr="00A44302" w:rsidRDefault="00F77A8D" w:rsidP="008869B8">
            <w:pPr>
              <w:pStyle w:val="NormalWeb"/>
              <w:jc w:val="both"/>
              <w:rPr>
                <w:sz w:val="22"/>
                <w:szCs w:val="22"/>
                <w:lang w:val="sr-Latn-ME"/>
              </w:rPr>
            </w:pPr>
            <w:r w:rsidRPr="00A44302">
              <w:rPr>
                <w:sz w:val="22"/>
                <w:szCs w:val="22"/>
                <w:lang w:val="sr-Latn-ME"/>
              </w:rPr>
              <w:t>15</w:t>
            </w:r>
            <w:r w:rsidR="0011762E" w:rsidRPr="00A44302">
              <w:rPr>
                <w:sz w:val="22"/>
                <w:szCs w:val="22"/>
                <w:lang w:val="sr-Latn-ME"/>
              </w:rPr>
              <w:t>,</w:t>
            </w:r>
            <w:r w:rsidRPr="00A44302">
              <w:rPr>
                <w:sz w:val="22"/>
                <w:szCs w:val="22"/>
                <w:lang w:val="sr-Latn-ME"/>
              </w:rPr>
              <w:t>6</w:t>
            </w:r>
          </w:p>
        </w:tc>
      </w:tr>
      <w:tr w:rsidR="00F77A8D" w:rsidRPr="00A44302" w14:paraId="6CBD4E14"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527B57DD" w14:textId="77777777" w:rsidR="00F77A8D" w:rsidRPr="00A44302" w:rsidRDefault="00F77A8D" w:rsidP="008869B8">
            <w:pPr>
              <w:pStyle w:val="NormalWeb"/>
              <w:jc w:val="both"/>
              <w:rPr>
                <w:sz w:val="22"/>
                <w:szCs w:val="22"/>
                <w:lang w:val="sr-Latn-ME"/>
              </w:rPr>
            </w:pPr>
            <w:r w:rsidRPr="00A44302">
              <w:rPr>
                <w:sz w:val="22"/>
                <w:szCs w:val="22"/>
                <w:lang w:val="sr-Latn-ME"/>
              </w:rPr>
              <w:t>5 godina PNA</w:t>
            </w:r>
          </w:p>
        </w:tc>
        <w:tc>
          <w:tcPr>
            <w:tcW w:w="2223" w:type="dxa"/>
            <w:tcBorders>
              <w:top w:val="outset" w:sz="6" w:space="0" w:color="auto"/>
              <w:left w:val="outset" w:sz="6" w:space="0" w:color="auto"/>
              <w:bottom w:val="outset" w:sz="6" w:space="0" w:color="auto"/>
              <w:right w:val="outset" w:sz="6" w:space="0" w:color="auto"/>
            </w:tcBorders>
          </w:tcPr>
          <w:p w14:paraId="60E6967F" w14:textId="77777777" w:rsidR="00F77A8D" w:rsidRPr="00A44302" w:rsidRDefault="00F77A8D" w:rsidP="008869B8">
            <w:pPr>
              <w:pStyle w:val="NormalWeb"/>
              <w:jc w:val="both"/>
              <w:rPr>
                <w:sz w:val="22"/>
                <w:szCs w:val="22"/>
                <w:lang w:val="sr-Latn-ME"/>
              </w:rPr>
            </w:pPr>
            <w:r w:rsidRPr="00A44302">
              <w:rPr>
                <w:sz w:val="22"/>
                <w:szCs w:val="22"/>
                <w:lang w:val="sr-Latn-ME"/>
              </w:rPr>
              <w:t>20</w:t>
            </w:r>
          </w:p>
        </w:tc>
        <w:tc>
          <w:tcPr>
            <w:tcW w:w="3335" w:type="dxa"/>
            <w:tcBorders>
              <w:top w:val="outset" w:sz="6" w:space="0" w:color="auto"/>
              <w:left w:val="outset" w:sz="6" w:space="0" w:color="auto"/>
              <w:bottom w:val="outset" w:sz="6" w:space="0" w:color="auto"/>
              <w:right w:val="outset" w:sz="6" w:space="0" w:color="auto"/>
            </w:tcBorders>
          </w:tcPr>
          <w:p w14:paraId="09285E7B" w14:textId="0C3DE8E2" w:rsidR="00F77A8D" w:rsidRPr="00A44302" w:rsidRDefault="00F77A8D" w:rsidP="008869B8">
            <w:pPr>
              <w:pStyle w:val="NormalWeb"/>
              <w:jc w:val="both"/>
              <w:rPr>
                <w:sz w:val="22"/>
                <w:szCs w:val="22"/>
                <w:lang w:val="sr-Latn-ME"/>
              </w:rPr>
            </w:pPr>
            <w:r w:rsidRPr="00A44302">
              <w:rPr>
                <w:sz w:val="22"/>
                <w:szCs w:val="22"/>
                <w:lang w:val="sr-Latn-ME"/>
              </w:rPr>
              <w:t>16</w:t>
            </w:r>
            <w:r w:rsidR="0011762E" w:rsidRPr="00A44302">
              <w:rPr>
                <w:sz w:val="22"/>
                <w:szCs w:val="22"/>
                <w:lang w:val="sr-Latn-ME"/>
              </w:rPr>
              <w:t>,</w:t>
            </w:r>
            <w:r w:rsidRPr="00A44302">
              <w:rPr>
                <w:sz w:val="22"/>
                <w:szCs w:val="22"/>
                <w:lang w:val="sr-Latn-ME"/>
              </w:rPr>
              <w:t>3</w:t>
            </w:r>
          </w:p>
        </w:tc>
      </w:tr>
      <w:tr w:rsidR="00F77A8D" w:rsidRPr="00A44302" w14:paraId="7A6D9735" w14:textId="77777777" w:rsidTr="0072545C">
        <w:trPr>
          <w:tblCellSpacing w:w="0" w:type="dxa"/>
          <w:jc w:val="center"/>
        </w:trPr>
        <w:tc>
          <w:tcPr>
            <w:tcW w:w="3058" w:type="dxa"/>
            <w:tcBorders>
              <w:top w:val="outset" w:sz="6" w:space="0" w:color="auto"/>
              <w:left w:val="outset" w:sz="6" w:space="0" w:color="auto"/>
              <w:bottom w:val="outset" w:sz="6" w:space="0" w:color="auto"/>
              <w:right w:val="outset" w:sz="6" w:space="0" w:color="auto"/>
            </w:tcBorders>
          </w:tcPr>
          <w:p w14:paraId="3569345A" w14:textId="77777777" w:rsidR="00F77A8D" w:rsidRPr="00A44302" w:rsidRDefault="00F77A8D" w:rsidP="008869B8">
            <w:pPr>
              <w:pStyle w:val="NormalWeb"/>
              <w:jc w:val="both"/>
              <w:rPr>
                <w:sz w:val="22"/>
                <w:szCs w:val="22"/>
                <w:lang w:val="sr-Latn-ME"/>
              </w:rPr>
            </w:pPr>
            <w:r w:rsidRPr="00A44302">
              <w:rPr>
                <w:sz w:val="22"/>
                <w:szCs w:val="22"/>
                <w:lang w:val="sr-Latn-ME"/>
              </w:rPr>
              <w:t>8 godina PNA</w:t>
            </w:r>
          </w:p>
        </w:tc>
        <w:tc>
          <w:tcPr>
            <w:tcW w:w="2223" w:type="dxa"/>
            <w:tcBorders>
              <w:top w:val="outset" w:sz="6" w:space="0" w:color="auto"/>
              <w:left w:val="outset" w:sz="6" w:space="0" w:color="auto"/>
              <w:bottom w:val="outset" w:sz="6" w:space="0" w:color="auto"/>
              <w:right w:val="outset" w:sz="6" w:space="0" w:color="auto"/>
            </w:tcBorders>
          </w:tcPr>
          <w:p w14:paraId="200A2781" w14:textId="77777777" w:rsidR="00F77A8D" w:rsidRPr="00A44302" w:rsidRDefault="00F77A8D" w:rsidP="008869B8">
            <w:pPr>
              <w:pStyle w:val="NormalWeb"/>
              <w:jc w:val="both"/>
              <w:rPr>
                <w:sz w:val="22"/>
                <w:szCs w:val="22"/>
                <w:lang w:val="sr-Latn-ME"/>
              </w:rPr>
            </w:pPr>
            <w:r w:rsidRPr="00A44302">
              <w:rPr>
                <w:sz w:val="22"/>
                <w:szCs w:val="22"/>
                <w:lang w:val="sr-Latn-ME"/>
              </w:rPr>
              <w:t>25</w:t>
            </w:r>
          </w:p>
        </w:tc>
        <w:tc>
          <w:tcPr>
            <w:tcW w:w="3335" w:type="dxa"/>
            <w:tcBorders>
              <w:top w:val="outset" w:sz="6" w:space="0" w:color="auto"/>
              <w:left w:val="outset" w:sz="6" w:space="0" w:color="auto"/>
              <w:bottom w:val="outset" w:sz="6" w:space="0" w:color="auto"/>
              <w:right w:val="outset" w:sz="6" w:space="0" w:color="auto"/>
            </w:tcBorders>
          </w:tcPr>
          <w:p w14:paraId="409A4C4A" w14:textId="3E1BDD79" w:rsidR="00F77A8D" w:rsidRPr="00A44302" w:rsidRDefault="00F77A8D" w:rsidP="008869B8">
            <w:pPr>
              <w:pStyle w:val="NormalWeb"/>
              <w:jc w:val="both"/>
              <w:rPr>
                <w:sz w:val="22"/>
                <w:szCs w:val="22"/>
                <w:lang w:val="sr-Latn-ME"/>
              </w:rPr>
            </w:pPr>
            <w:r w:rsidRPr="00A44302">
              <w:rPr>
                <w:sz w:val="22"/>
                <w:szCs w:val="22"/>
                <w:lang w:val="sr-Latn-ME"/>
              </w:rPr>
              <w:t>16</w:t>
            </w:r>
            <w:r w:rsidR="0011762E" w:rsidRPr="00A44302">
              <w:rPr>
                <w:sz w:val="22"/>
                <w:szCs w:val="22"/>
                <w:lang w:val="sr-Latn-ME"/>
              </w:rPr>
              <w:t>,</w:t>
            </w:r>
            <w:r w:rsidRPr="00A44302">
              <w:rPr>
                <w:sz w:val="22"/>
                <w:szCs w:val="22"/>
                <w:lang w:val="sr-Latn-ME"/>
              </w:rPr>
              <w:t>3</w:t>
            </w:r>
          </w:p>
        </w:tc>
      </w:tr>
    </w:tbl>
    <w:p w14:paraId="594ED4C6" w14:textId="4E0C4DB6" w:rsidR="00F77A8D" w:rsidRPr="00A44302" w:rsidRDefault="00F77A8D" w:rsidP="008869B8">
      <w:pPr>
        <w:tabs>
          <w:tab w:val="left" w:pos="540"/>
          <w:tab w:val="left" w:pos="569"/>
        </w:tabs>
        <w:jc w:val="both"/>
        <w:rPr>
          <w:bCs/>
          <w:sz w:val="22"/>
          <w:szCs w:val="22"/>
          <w:lang w:val="sr-Latn-ME"/>
        </w:rPr>
      </w:pPr>
      <w:r w:rsidRPr="00A44302">
        <w:rPr>
          <w:bCs/>
          <w:sz w:val="22"/>
          <w:szCs w:val="22"/>
          <w:lang w:val="sr-Latn-ME"/>
        </w:rPr>
        <w:t xml:space="preserve">  *CL</w:t>
      </w:r>
      <w:r w:rsidRPr="00A44302">
        <w:rPr>
          <w:bCs/>
          <w:sz w:val="22"/>
          <w:szCs w:val="22"/>
          <w:vertAlign w:val="subscript"/>
          <w:lang w:val="sr-Latn-ME"/>
        </w:rPr>
        <w:t>std</w:t>
      </w:r>
      <w:r w:rsidRPr="00A44302">
        <w:rPr>
          <w:bCs/>
          <w:sz w:val="22"/>
          <w:szCs w:val="22"/>
          <w:lang w:val="sr-Latn-ME"/>
        </w:rPr>
        <w:t xml:space="preserve"> je populaciona procjena za CL</w:t>
      </w:r>
    </w:p>
    <w:p w14:paraId="467E1F58" w14:textId="41E950EE" w:rsidR="00F77A8D" w:rsidRPr="00A44302" w:rsidRDefault="00F77A8D" w:rsidP="008869B8">
      <w:pPr>
        <w:tabs>
          <w:tab w:val="left" w:pos="540"/>
          <w:tab w:val="left" w:pos="569"/>
        </w:tabs>
        <w:jc w:val="both"/>
        <w:rPr>
          <w:bCs/>
          <w:sz w:val="22"/>
          <w:szCs w:val="22"/>
          <w:lang w:val="sr-Latn-ME"/>
        </w:rPr>
      </w:pPr>
      <w:r w:rsidRPr="00A44302">
        <w:rPr>
          <w:bCs/>
          <w:sz w:val="22"/>
          <w:szCs w:val="22"/>
          <w:lang w:val="sr-Latn-ME"/>
        </w:rPr>
        <w:t xml:space="preserve">PCA (eng. </w:t>
      </w:r>
      <w:r w:rsidRPr="00A44302">
        <w:rPr>
          <w:bCs/>
          <w:i/>
          <w:sz w:val="22"/>
          <w:szCs w:val="22"/>
          <w:lang w:val="sr-Latn-ME"/>
        </w:rPr>
        <w:t>post-conceptional age</w:t>
      </w:r>
      <w:r w:rsidRPr="00A44302">
        <w:rPr>
          <w:bCs/>
          <w:sz w:val="22"/>
          <w:szCs w:val="22"/>
          <w:lang w:val="sr-Latn-ME"/>
        </w:rPr>
        <w:t xml:space="preserve">); PNA (eng. </w:t>
      </w:r>
      <w:r w:rsidRPr="00A44302">
        <w:rPr>
          <w:bCs/>
          <w:i/>
          <w:sz w:val="22"/>
          <w:szCs w:val="22"/>
          <w:lang w:val="sr-Latn-ME"/>
        </w:rPr>
        <w:t>postnatal age</w:t>
      </w:r>
      <w:r w:rsidRPr="00A44302">
        <w:rPr>
          <w:bCs/>
          <w:sz w:val="22"/>
          <w:szCs w:val="22"/>
          <w:lang w:val="sr-Latn-ME"/>
        </w:rPr>
        <w:t>)</w:t>
      </w:r>
    </w:p>
    <w:p w14:paraId="7DCC162B" w14:textId="77777777" w:rsidR="00F77A8D" w:rsidRPr="00A44302" w:rsidRDefault="00F77A8D" w:rsidP="008869B8">
      <w:pPr>
        <w:tabs>
          <w:tab w:val="left" w:pos="540"/>
          <w:tab w:val="left" w:pos="569"/>
        </w:tabs>
        <w:jc w:val="both"/>
        <w:rPr>
          <w:bCs/>
          <w:sz w:val="22"/>
          <w:szCs w:val="22"/>
          <w:lang w:val="sr-Latn-ME"/>
        </w:rPr>
      </w:pPr>
    </w:p>
    <w:p w14:paraId="1643108E" w14:textId="77777777" w:rsidR="0072020E" w:rsidRPr="00A44302" w:rsidRDefault="0072020E" w:rsidP="008869B8">
      <w:pPr>
        <w:tabs>
          <w:tab w:val="left" w:pos="540"/>
          <w:tab w:val="left" w:pos="569"/>
        </w:tabs>
        <w:jc w:val="both"/>
        <w:rPr>
          <w:b/>
          <w:bCs/>
          <w:sz w:val="22"/>
          <w:szCs w:val="22"/>
          <w:lang w:val="sr-Latn-ME"/>
        </w:rPr>
      </w:pPr>
      <w:r w:rsidRPr="00A44302">
        <w:rPr>
          <w:b/>
          <w:bCs/>
          <w:sz w:val="22"/>
          <w:szCs w:val="22"/>
          <w:lang w:val="sr-Latn-ME"/>
        </w:rPr>
        <w:t xml:space="preserve">5.3. </w:t>
      </w:r>
      <w:r w:rsidR="00480FB1" w:rsidRPr="00A44302">
        <w:rPr>
          <w:b/>
          <w:bCs/>
          <w:sz w:val="22"/>
          <w:szCs w:val="22"/>
          <w:lang w:val="sr-Latn-ME"/>
        </w:rPr>
        <w:tab/>
      </w:r>
      <w:r w:rsidRPr="00A44302">
        <w:rPr>
          <w:b/>
          <w:bCs/>
          <w:sz w:val="22"/>
          <w:szCs w:val="22"/>
          <w:lang w:val="sr-Latn-ME"/>
        </w:rPr>
        <w:t xml:space="preserve">Pretklinički podaci o bezbjednosti </w:t>
      </w:r>
    </w:p>
    <w:p w14:paraId="25DEDB06" w14:textId="77777777" w:rsidR="00836B35" w:rsidRPr="00A44302" w:rsidRDefault="00836B35" w:rsidP="008869B8">
      <w:pPr>
        <w:tabs>
          <w:tab w:val="left" w:pos="540"/>
          <w:tab w:val="left" w:pos="569"/>
        </w:tabs>
        <w:jc w:val="both"/>
        <w:rPr>
          <w:bCs/>
          <w:sz w:val="22"/>
          <w:szCs w:val="22"/>
          <w:lang w:val="sr-Latn-ME"/>
        </w:rPr>
      </w:pPr>
    </w:p>
    <w:p w14:paraId="32926B33" w14:textId="701540B1" w:rsidR="00F77A8D" w:rsidRPr="00A44302" w:rsidRDefault="00F77A8D">
      <w:pPr>
        <w:tabs>
          <w:tab w:val="left" w:pos="540"/>
          <w:tab w:val="left" w:pos="569"/>
        </w:tabs>
        <w:jc w:val="both"/>
        <w:rPr>
          <w:bCs/>
          <w:sz w:val="22"/>
          <w:szCs w:val="22"/>
          <w:lang w:val="sr-Latn-ME"/>
        </w:rPr>
      </w:pPr>
      <w:r w:rsidRPr="00A44302">
        <w:rPr>
          <w:bCs/>
          <w:sz w:val="22"/>
          <w:szCs w:val="22"/>
          <w:lang w:val="sr-Latn-ME"/>
        </w:rPr>
        <w:t xml:space="preserve">Pretklinički podaci ne ukazuju da postoji poseban rizik za primjenu kod ljudi, osim već navedenog u </w:t>
      </w:r>
      <w:bookmarkStart w:id="4" w:name="_Hlk80096260"/>
      <w:r w:rsidRPr="00A44302">
        <w:rPr>
          <w:bCs/>
          <w:sz w:val="22"/>
          <w:szCs w:val="22"/>
          <w:lang w:val="sr-Latn-ME"/>
        </w:rPr>
        <w:t xml:space="preserve">drugim </w:t>
      </w:r>
      <w:r w:rsidR="00F278E7" w:rsidRPr="00A44302">
        <w:rPr>
          <w:bCs/>
          <w:sz w:val="22"/>
          <w:szCs w:val="22"/>
          <w:lang w:val="sr-Latn-ME"/>
        </w:rPr>
        <w:t>djelovima</w:t>
      </w:r>
      <w:r w:rsidR="00371093" w:rsidRPr="00A44302">
        <w:rPr>
          <w:bCs/>
          <w:sz w:val="22"/>
          <w:szCs w:val="22"/>
          <w:lang w:val="sr-Latn-ME"/>
        </w:rPr>
        <w:t xml:space="preserve"> </w:t>
      </w:r>
      <w:r w:rsidRPr="00A44302">
        <w:rPr>
          <w:bCs/>
          <w:sz w:val="22"/>
          <w:szCs w:val="22"/>
          <w:lang w:val="sr-Latn-ME"/>
        </w:rPr>
        <w:t>Sažetka karakteristika lijeka.</w:t>
      </w:r>
    </w:p>
    <w:p w14:paraId="47CBC4A2" w14:textId="77777777" w:rsidR="00371093" w:rsidRPr="00A44302" w:rsidRDefault="00371093">
      <w:pPr>
        <w:tabs>
          <w:tab w:val="left" w:pos="540"/>
          <w:tab w:val="left" w:pos="569"/>
        </w:tabs>
        <w:jc w:val="both"/>
        <w:rPr>
          <w:bCs/>
          <w:sz w:val="22"/>
          <w:szCs w:val="22"/>
          <w:lang w:val="sr-Latn-ME"/>
        </w:rPr>
      </w:pPr>
    </w:p>
    <w:p w14:paraId="36274611" w14:textId="77777777" w:rsidR="00F77A8D" w:rsidRPr="00A44302" w:rsidRDefault="00F77A8D">
      <w:pPr>
        <w:tabs>
          <w:tab w:val="left" w:pos="540"/>
          <w:tab w:val="left" w:pos="569"/>
        </w:tabs>
        <w:jc w:val="both"/>
        <w:rPr>
          <w:bCs/>
          <w:sz w:val="22"/>
          <w:szCs w:val="22"/>
          <w:lang w:val="sr-Latn-ME"/>
        </w:rPr>
      </w:pPr>
      <w:r w:rsidRPr="00A44302">
        <w:rPr>
          <w:bCs/>
          <w:sz w:val="22"/>
          <w:szCs w:val="22"/>
          <w:lang w:val="sr-Latn-ME"/>
        </w:rPr>
        <w:t>Studije lokalne podnošljivosti paracetamola kod pacova i kunića pokazale su da postoji dobra podnošljivost. Odsustvo odložene kontaktne preosjetljivosti je testirano kod zamoraca.</w:t>
      </w:r>
    </w:p>
    <w:bookmarkEnd w:id="4"/>
    <w:p w14:paraId="71853AEF" w14:textId="1D9F62F0" w:rsidR="00396DFD" w:rsidRPr="00A44302" w:rsidRDefault="00396DFD" w:rsidP="008869B8">
      <w:pPr>
        <w:tabs>
          <w:tab w:val="left" w:pos="540"/>
          <w:tab w:val="left" w:pos="569"/>
        </w:tabs>
        <w:jc w:val="both"/>
        <w:rPr>
          <w:b/>
          <w:bCs/>
          <w:sz w:val="22"/>
          <w:szCs w:val="22"/>
          <w:lang w:val="sr-Latn-ME"/>
        </w:rPr>
      </w:pPr>
    </w:p>
    <w:p w14:paraId="06A3560D" w14:textId="7970C1DB" w:rsidR="00371093" w:rsidRPr="00A44302" w:rsidRDefault="00371093" w:rsidP="008869B8">
      <w:pPr>
        <w:tabs>
          <w:tab w:val="left" w:pos="540"/>
          <w:tab w:val="left" w:pos="569"/>
        </w:tabs>
        <w:jc w:val="both"/>
        <w:rPr>
          <w:sz w:val="22"/>
          <w:szCs w:val="22"/>
          <w:lang w:val="sr-Latn-ME"/>
        </w:rPr>
      </w:pPr>
      <w:r w:rsidRPr="00A44302">
        <w:rPr>
          <w:sz w:val="22"/>
          <w:szCs w:val="22"/>
          <w:lang w:val="sr-Latn-ME"/>
        </w:rPr>
        <w:t>Konvencionalna ispitivanja prema trenutno važećim standardima za procjenu reproduktivne i razvojne toksičnosti ni</w:t>
      </w:r>
      <w:r w:rsidR="00F278E7" w:rsidRPr="00A44302">
        <w:rPr>
          <w:sz w:val="22"/>
          <w:szCs w:val="22"/>
          <w:lang w:val="sr-Latn-ME"/>
        </w:rPr>
        <w:t>je</w:t>
      </w:r>
      <w:r w:rsidRPr="00A44302">
        <w:rPr>
          <w:sz w:val="22"/>
          <w:szCs w:val="22"/>
          <w:lang w:val="sr-Latn-ME"/>
        </w:rPr>
        <w:t>su dostupna.</w:t>
      </w:r>
    </w:p>
    <w:p w14:paraId="125CEEFD" w14:textId="45F31ACD" w:rsidR="00371093" w:rsidRPr="00A44302" w:rsidRDefault="00371093" w:rsidP="00480FB1">
      <w:pPr>
        <w:tabs>
          <w:tab w:val="left" w:pos="540"/>
          <w:tab w:val="left" w:pos="569"/>
        </w:tabs>
        <w:rPr>
          <w:b/>
          <w:bCs/>
          <w:sz w:val="22"/>
          <w:szCs w:val="22"/>
          <w:lang w:val="sr-Latn-ME"/>
        </w:rPr>
      </w:pPr>
    </w:p>
    <w:p w14:paraId="1A5813D3" w14:textId="77777777" w:rsidR="0061258F" w:rsidRPr="00A44302" w:rsidRDefault="0061258F" w:rsidP="00480FB1">
      <w:pPr>
        <w:tabs>
          <w:tab w:val="left" w:pos="540"/>
          <w:tab w:val="left" w:pos="569"/>
        </w:tabs>
        <w:rPr>
          <w:b/>
          <w:bCs/>
          <w:sz w:val="22"/>
          <w:szCs w:val="22"/>
          <w:lang w:val="sr-Latn-ME"/>
        </w:rPr>
      </w:pPr>
    </w:p>
    <w:p w14:paraId="1F32E726"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6. </w:t>
      </w:r>
      <w:r w:rsidR="00480FB1" w:rsidRPr="00A44302">
        <w:rPr>
          <w:b/>
          <w:bCs/>
          <w:sz w:val="22"/>
          <w:szCs w:val="22"/>
          <w:lang w:val="sr-Latn-ME"/>
        </w:rPr>
        <w:tab/>
      </w:r>
      <w:r w:rsidRPr="00A44302">
        <w:rPr>
          <w:b/>
          <w:bCs/>
          <w:sz w:val="22"/>
          <w:szCs w:val="22"/>
          <w:lang w:val="sr-Latn-ME"/>
        </w:rPr>
        <w:t>FARMACEUTSKI PODACI</w:t>
      </w:r>
    </w:p>
    <w:p w14:paraId="7EDA6E40" w14:textId="77777777" w:rsidR="00836B35" w:rsidRPr="00A44302" w:rsidRDefault="00836B35" w:rsidP="00480FB1">
      <w:pPr>
        <w:tabs>
          <w:tab w:val="left" w:pos="540"/>
          <w:tab w:val="left" w:pos="569"/>
        </w:tabs>
        <w:rPr>
          <w:bCs/>
          <w:sz w:val="22"/>
          <w:szCs w:val="22"/>
          <w:lang w:val="sr-Latn-ME"/>
        </w:rPr>
      </w:pPr>
    </w:p>
    <w:p w14:paraId="1CC4781A"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6.1. </w:t>
      </w:r>
      <w:r w:rsidR="00480FB1" w:rsidRPr="00A44302">
        <w:rPr>
          <w:b/>
          <w:bCs/>
          <w:sz w:val="22"/>
          <w:szCs w:val="22"/>
          <w:lang w:val="sr-Latn-ME"/>
        </w:rPr>
        <w:tab/>
      </w:r>
      <w:r w:rsidRPr="00A44302">
        <w:rPr>
          <w:b/>
          <w:bCs/>
          <w:sz w:val="22"/>
          <w:szCs w:val="22"/>
          <w:lang w:val="sr-Latn-ME"/>
        </w:rPr>
        <w:t>Lista pomoćnih supstanci</w:t>
      </w:r>
      <w:r w:rsidR="002E0135" w:rsidRPr="00A44302">
        <w:rPr>
          <w:b/>
          <w:bCs/>
          <w:sz w:val="22"/>
          <w:szCs w:val="22"/>
          <w:lang w:val="sr-Latn-ME"/>
        </w:rPr>
        <w:t xml:space="preserve"> (ekscipijenasa)</w:t>
      </w:r>
    </w:p>
    <w:p w14:paraId="384031D2" w14:textId="274D85A8" w:rsidR="0072020E" w:rsidRPr="00A44302" w:rsidRDefault="0072020E" w:rsidP="00480FB1">
      <w:pPr>
        <w:tabs>
          <w:tab w:val="left" w:pos="540"/>
          <w:tab w:val="left" w:pos="569"/>
        </w:tabs>
        <w:rPr>
          <w:bCs/>
          <w:sz w:val="22"/>
          <w:szCs w:val="22"/>
          <w:lang w:val="sr-Latn-ME"/>
        </w:rPr>
      </w:pPr>
    </w:p>
    <w:p w14:paraId="25EEA63A" w14:textId="33A3C254" w:rsidR="0061258F" w:rsidRPr="00A44302" w:rsidRDefault="000F5348" w:rsidP="00F77A8D">
      <w:pPr>
        <w:tabs>
          <w:tab w:val="left" w:pos="540"/>
          <w:tab w:val="left" w:pos="569"/>
        </w:tabs>
        <w:jc w:val="both"/>
        <w:rPr>
          <w:bCs/>
          <w:sz w:val="22"/>
          <w:szCs w:val="22"/>
          <w:lang w:val="sr-Latn-ME"/>
        </w:rPr>
      </w:pPr>
      <w:r w:rsidRPr="00A44302">
        <w:rPr>
          <w:bCs/>
          <w:sz w:val="22"/>
          <w:szCs w:val="22"/>
          <w:lang w:val="sr-Latn-ME"/>
        </w:rPr>
        <w:t xml:space="preserve">cistein </w:t>
      </w:r>
      <w:r w:rsidR="00F77A8D" w:rsidRPr="00A44302">
        <w:rPr>
          <w:bCs/>
          <w:sz w:val="22"/>
          <w:szCs w:val="22"/>
          <w:lang w:val="sr-Latn-ME"/>
        </w:rPr>
        <w:t>hidrohlorid monohidrat;</w:t>
      </w:r>
    </w:p>
    <w:p w14:paraId="12FD3E98" w14:textId="1E4E278E" w:rsidR="0061258F" w:rsidRPr="00A44302" w:rsidRDefault="00F77A8D" w:rsidP="00F77A8D">
      <w:pPr>
        <w:tabs>
          <w:tab w:val="left" w:pos="540"/>
          <w:tab w:val="left" w:pos="569"/>
        </w:tabs>
        <w:jc w:val="both"/>
        <w:rPr>
          <w:bCs/>
          <w:sz w:val="22"/>
          <w:szCs w:val="22"/>
          <w:lang w:val="sr-Latn-ME"/>
        </w:rPr>
      </w:pPr>
      <w:r w:rsidRPr="00A44302">
        <w:rPr>
          <w:bCs/>
          <w:sz w:val="22"/>
          <w:szCs w:val="22"/>
          <w:lang w:val="sr-Latn-ME"/>
        </w:rPr>
        <w:t xml:space="preserve">dinatrijum fosfat dihidrat; </w:t>
      </w:r>
    </w:p>
    <w:p w14:paraId="7F541038" w14:textId="0B9A7A8E" w:rsidR="0061258F" w:rsidRPr="00A44302" w:rsidRDefault="00F77A8D" w:rsidP="00F77A8D">
      <w:pPr>
        <w:tabs>
          <w:tab w:val="left" w:pos="540"/>
          <w:tab w:val="left" w:pos="569"/>
        </w:tabs>
        <w:jc w:val="both"/>
        <w:rPr>
          <w:bCs/>
          <w:sz w:val="22"/>
          <w:szCs w:val="22"/>
          <w:lang w:val="sr-Latn-ME"/>
        </w:rPr>
      </w:pPr>
      <w:r w:rsidRPr="00A44302">
        <w:rPr>
          <w:bCs/>
          <w:sz w:val="22"/>
          <w:szCs w:val="22"/>
          <w:lang w:val="sr-Latn-ME"/>
        </w:rPr>
        <w:t>hlorovodonična kiselina</w:t>
      </w:r>
      <w:r w:rsidR="001D11FD" w:rsidRPr="00A44302">
        <w:rPr>
          <w:bCs/>
          <w:sz w:val="22"/>
          <w:szCs w:val="22"/>
          <w:lang w:val="sr-Latn-ME"/>
        </w:rPr>
        <w:t xml:space="preserve"> 1</w:t>
      </w:r>
      <w:r w:rsidR="00AE359D" w:rsidRPr="00A44302">
        <w:rPr>
          <w:bCs/>
          <w:sz w:val="22"/>
          <w:szCs w:val="22"/>
          <w:lang w:val="sr-Latn-ME"/>
        </w:rPr>
        <w:t xml:space="preserve"> </w:t>
      </w:r>
      <w:r w:rsidR="001D11FD" w:rsidRPr="00A44302">
        <w:rPr>
          <w:bCs/>
          <w:sz w:val="22"/>
          <w:szCs w:val="22"/>
          <w:lang w:val="sr-Latn-ME"/>
        </w:rPr>
        <w:t>M</w:t>
      </w:r>
      <w:r w:rsidRPr="00A44302">
        <w:rPr>
          <w:bCs/>
          <w:sz w:val="22"/>
          <w:szCs w:val="22"/>
          <w:lang w:val="sr-Latn-ME"/>
        </w:rPr>
        <w:t xml:space="preserve">; </w:t>
      </w:r>
    </w:p>
    <w:p w14:paraId="02DF40BD" w14:textId="77777777" w:rsidR="0061258F" w:rsidRPr="00A44302" w:rsidRDefault="00F77A8D" w:rsidP="00F77A8D">
      <w:pPr>
        <w:tabs>
          <w:tab w:val="left" w:pos="540"/>
          <w:tab w:val="left" w:pos="569"/>
        </w:tabs>
        <w:jc w:val="both"/>
        <w:rPr>
          <w:bCs/>
          <w:sz w:val="22"/>
          <w:szCs w:val="22"/>
          <w:lang w:val="sr-Latn-ME"/>
        </w:rPr>
      </w:pPr>
      <w:r w:rsidRPr="00A44302">
        <w:rPr>
          <w:bCs/>
          <w:sz w:val="22"/>
          <w:szCs w:val="22"/>
          <w:lang w:val="sr-Latn-ME"/>
        </w:rPr>
        <w:t xml:space="preserve">manitol; </w:t>
      </w:r>
    </w:p>
    <w:p w14:paraId="7AA6109A" w14:textId="77777777" w:rsidR="0061258F" w:rsidRPr="00A44302" w:rsidRDefault="00F77A8D" w:rsidP="00F77A8D">
      <w:pPr>
        <w:tabs>
          <w:tab w:val="left" w:pos="540"/>
          <w:tab w:val="left" w:pos="569"/>
        </w:tabs>
        <w:jc w:val="both"/>
        <w:rPr>
          <w:bCs/>
          <w:sz w:val="22"/>
          <w:szCs w:val="22"/>
          <w:lang w:val="sr-Latn-ME"/>
        </w:rPr>
      </w:pPr>
      <w:r w:rsidRPr="00A44302">
        <w:rPr>
          <w:bCs/>
          <w:sz w:val="22"/>
          <w:szCs w:val="22"/>
          <w:lang w:val="sr-Latn-ME"/>
        </w:rPr>
        <w:t>natrijum hidroksid</w:t>
      </w:r>
      <w:r w:rsidR="001D11FD" w:rsidRPr="00A44302">
        <w:rPr>
          <w:bCs/>
          <w:sz w:val="22"/>
          <w:szCs w:val="22"/>
          <w:lang w:val="sr-Latn-ME"/>
        </w:rPr>
        <w:t xml:space="preserve"> 1 M</w:t>
      </w:r>
      <w:r w:rsidRPr="00A44302">
        <w:rPr>
          <w:bCs/>
          <w:sz w:val="22"/>
          <w:szCs w:val="22"/>
          <w:lang w:val="sr-Latn-ME"/>
        </w:rPr>
        <w:t xml:space="preserve">; </w:t>
      </w:r>
    </w:p>
    <w:p w14:paraId="29576548" w14:textId="3C1B33FC"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t>voda za injekcije.</w:t>
      </w:r>
    </w:p>
    <w:p w14:paraId="640D3E18" w14:textId="77777777" w:rsidR="00F77A8D" w:rsidRPr="00A44302" w:rsidRDefault="00F77A8D" w:rsidP="00480FB1">
      <w:pPr>
        <w:tabs>
          <w:tab w:val="left" w:pos="540"/>
          <w:tab w:val="left" w:pos="569"/>
        </w:tabs>
        <w:rPr>
          <w:bCs/>
          <w:sz w:val="22"/>
          <w:szCs w:val="22"/>
          <w:lang w:val="sr-Latn-ME"/>
        </w:rPr>
      </w:pPr>
    </w:p>
    <w:p w14:paraId="11C41DDC"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6.2. </w:t>
      </w:r>
      <w:r w:rsidR="00480FB1" w:rsidRPr="00A44302">
        <w:rPr>
          <w:b/>
          <w:bCs/>
          <w:sz w:val="22"/>
          <w:szCs w:val="22"/>
          <w:lang w:val="sr-Latn-ME"/>
        </w:rPr>
        <w:tab/>
      </w:r>
      <w:r w:rsidRPr="00A44302">
        <w:rPr>
          <w:b/>
          <w:bCs/>
          <w:sz w:val="22"/>
          <w:szCs w:val="22"/>
          <w:lang w:val="sr-Latn-ME"/>
        </w:rPr>
        <w:t>Inkompatibilnost</w:t>
      </w:r>
      <w:r w:rsidR="002846DB" w:rsidRPr="00A44302">
        <w:rPr>
          <w:b/>
          <w:bCs/>
          <w:sz w:val="22"/>
          <w:szCs w:val="22"/>
          <w:lang w:val="sr-Latn-ME"/>
        </w:rPr>
        <w:t>i</w:t>
      </w:r>
    </w:p>
    <w:p w14:paraId="2BBA28DC" w14:textId="612A64BD" w:rsidR="0072020E" w:rsidRPr="00A44302" w:rsidRDefault="0072020E" w:rsidP="00480FB1">
      <w:pPr>
        <w:tabs>
          <w:tab w:val="left" w:pos="540"/>
          <w:tab w:val="left" w:pos="569"/>
        </w:tabs>
        <w:rPr>
          <w:bCs/>
          <w:sz w:val="22"/>
          <w:szCs w:val="22"/>
          <w:lang w:val="sr-Latn-ME"/>
        </w:rPr>
      </w:pPr>
    </w:p>
    <w:p w14:paraId="4A2C23FA" w14:textId="52D0E933" w:rsidR="00F77A8D" w:rsidRPr="00A44302" w:rsidRDefault="001D11FD" w:rsidP="00942F9A">
      <w:pPr>
        <w:tabs>
          <w:tab w:val="left" w:pos="540"/>
          <w:tab w:val="left" w:pos="569"/>
        </w:tabs>
        <w:jc w:val="both"/>
        <w:rPr>
          <w:bCs/>
          <w:sz w:val="22"/>
          <w:szCs w:val="22"/>
          <w:lang w:val="sr-Latn-ME"/>
        </w:rPr>
      </w:pPr>
      <w:r w:rsidRPr="00A44302">
        <w:rPr>
          <w:bCs/>
          <w:sz w:val="22"/>
          <w:szCs w:val="22"/>
          <w:lang w:val="sr-Latn-ME"/>
        </w:rPr>
        <w:t xml:space="preserve">Lijek </w:t>
      </w:r>
      <w:r w:rsidR="00F77A8D" w:rsidRPr="00A44302">
        <w:rPr>
          <w:bCs/>
          <w:sz w:val="22"/>
          <w:szCs w:val="22"/>
          <w:lang w:val="sr-Latn-ME"/>
        </w:rPr>
        <w:t xml:space="preserve">Paracetamol PharmaSwiss, rastvor za infuziju, ne treba miješati sa drugim ljekovima osim sa onim koji su navedeni u </w:t>
      </w:r>
      <w:r w:rsidR="0061258F" w:rsidRPr="00A44302">
        <w:rPr>
          <w:bCs/>
          <w:sz w:val="22"/>
          <w:szCs w:val="22"/>
          <w:lang w:val="sr-Latn-ME"/>
        </w:rPr>
        <w:t xml:space="preserve">dijelu </w:t>
      </w:r>
      <w:r w:rsidR="00F77A8D" w:rsidRPr="00A44302">
        <w:rPr>
          <w:bCs/>
          <w:sz w:val="22"/>
          <w:szCs w:val="22"/>
          <w:lang w:val="sr-Latn-ME"/>
        </w:rPr>
        <w:t>4.2.</w:t>
      </w:r>
    </w:p>
    <w:p w14:paraId="341E973D" w14:textId="231D3B1F" w:rsidR="00AE359D" w:rsidRPr="00A44302" w:rsidRDefault="00AE359D" w:rsidP="00480FB1">
      <w:pPr>
        <w:tabs>
          <w:tab w:val="left" w:pos="540"/>
          <w:tab w:val="left" w:pos="569"/>
        </w:tabs>
        <w:rPr>
          <w:b/>
          <w:bCs/>
          <w:sz w:val="22"/>
          <w:szCs w:val="22"/>
          <w:lang w:val="sr-Latn-ME"/>
        </w:rPr>
      </w:pPr>
    </w:p>
    <w:p w14:paraId="1FBE52A5" w14:textId="3E17DA4D"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6.3.</w:t>
      </w:r>
      <w:r w:rsidR="00C05DF8" w:rsidRPr="00A44302">
        <w:rPr>
          <w:b/>
          <w:bCs/>
          <w:sz w:val="22"/>
          <w:szCs w:val="22"/>
          <w:lang w:val="sr-Latn-ME"/>
        </w:rPr>
        <w:t xml:space="preserve"> </w:t>
      </w:r>
      <w:r w:rsidR="00480FB1" w:rsidRPr="00A44302">
        <w:rPr>
          <w:b/>
          <w:bCs/>
          <w:sz w:val="22"/>
          <w:szCs w:val="22"/>
          <w:lang w:val="sr-Latn-ME"/>
        </w:rPr>
        <w:tab/>
      </w:r>
      <w:r w:rsidRPr="00A44302">
        <w:rPr>
          <w:b/>
          <w:bCs/>
          <w:sz w:val="22"/>
          <w:szCs w:val="22"/>
          <w:lang w:val="sr-Latn-ME"/>
        </w:rPr>
        <w:t>Rok upotrebe</w:t>
      </w:r>
    </w:p>
    <w:p w14:paraId="63754BCC" w14:textId="6C5E170B" w:rsidR="0072020E" w:rsidRPr="00A44302" w:rsidRDefault="0072020E" w:rsidP="00480FB1">
      <w:pPr>
        <w:tabs>
          <w:tab w:val="left" w:pos="540"/>
          <w:tab w:val="left" w:pos="569"/>
        </w:tabs>
        <w:rPr>
          <w:bCs/>
          <w:sz w:val="22"/>
          <w:szCs w:val="22"/>
          <w:lang w:val="sr-Latn-ME"/>
        </w:rPr>
      </w:pPr>
    </w:p>
    <w:p w14:paraId="5164792B" w14:textId="77777777" w:rsidR="00F77A8D" w:rsidRPr="00A44302" w:rsidRDefault="00F77A8D" w:rsidP="00F77A8D">
      <w:pPr>
        <w:tabs>
          <w:tab w:val="left" w:pos="540"/>
          <w:tab w:val="left" w:pos="569"/>
        </w:tabs>
        <w:jc w:val="both"/>
        <w:rPr>
          <w:bCs/>
          <w:i/>
          <w:sz w:val="22"/>
          <w:szCs w:val="22"/>
          <w:lang w:val="sr-Latn-ME"/>
        </w:rPr>
      </w:pPr>
      <w:r w:rsidRPr="00A44302">
        <w:rPr>
          <w:bCs/>
          <w:i/>
          <w:sz w:val="22"/>
          <w:szCs w:val="22"/>
          <w:lang w:val="sr-Latn-ME"/>
        </w:rPr>
        <w:t>Rok upotrebe prije prvog otvaranja:</w:t>
      </w:r>
    </w:p>
    <w:p w14:paraId="168947A8" w14:textId="77777777"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lastRenderedPageBreak/>
        <w:t>2 godine.</w:t>
      </w:r>
    </w:p>
    <w:p w14:paraId="2B8EB420" w14:textId="77777777" w:rsidR="00F77A8D" w:rsidRPr="00A44302" w:rsidRDefault="00F77A8D" w:rsidP="00F77A8D">
      <w:pPr>
        <w:tabs>
          <w:tab w:val="left" w:pos="540"/>
          <w:tab w:val="left" w:pos="569"/>
        </w:tabs>
        <w:jc w:val="both"/>
        <w:rPr>
          <w:bCs/>
          <w:sz w:val="22"/>
          <w:szCs w:val="22"/>
          <w:lang w:val="sr-Latn-ME"/>
        </w:rPr>
      </w:pPr>
    </w:p>
    <w:p w14:paraId="1CA0FD07" w14:textId="77777777" w:rsidR="00F77A8D" w:rsidRPr="00A44302" w:rsidRDefault="00F77A8D" w:rsidP="00F77A8D">
      <w:pPr>
        <w:tabs>
          <w:tab w:val="left" w:pos="540"/>
          <w:tab w:val="left" w:pos="569"/>
        </w:tabs>
        <w:jc w:val="both"/>
        <w:rPr>
          <w:bCs/>
          <w:i/>
          <w:sz w:val="22"/>
          <w:szCs w:val="22"/>
          <w:lang w:val="sr-Latn-ME"/>
        </w:rPr>
      </w:pPr>
      <w:r w:rsidRPr="00A44302">
        <w:rPr>
          <w:bCs/>
          <w:i/>
          <w:sz w:val="22"/>
          <w:szCs w:val="22"/>
          <w:lang w:val="sr-Latn-ME"/>
        </w:rPr>
        <w:t>Rok upotrebe nakon prvog otvaranja:</w:t>
      </w:r>
    </w:p>
    <w:p w14:paraId="768D64DC" w14:textId="61D69483" w:rsidR="001D11FD" w:rsidRPr="00A44302" w:rsidRDefault="001D11FD" w:rsidP="00F77A8D">
      <w:pPr>
        <w:tabs>
          <w:tab w:val="left" w:pos="540"/>
          <w:tab w:val="left" w:pos="569"/>
        </w:tabs>
        <w:jc w:val="both"/>
        <w:rPr>
          <w:bCs/>
          <w:sz w:val="22"/>
          <w:szCs w:val="22"/>
          <w:lang w:val="sr-Latn-ME"/>
        </w:rPr>
      </w:pPr>
      <w:r w:rsidRPr="00A44302">
        <w:rPr>
          <w:bCs/>
          <w:sz w:val="22"/>
          <w:szCs w:val="22"/>
          <w:lang w:val="sr-Latn-ME"/>
        </w:rPr>
        <w:t>Lijek se mora odmah iskoristiti.</w:t>
      </w:r>
    </w:p>
    <w:p w14:paraId="6717C15E" w14:textId="3A3AA309"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t xml:space="preserve">Sa mikrobiološkog stanovišta, ukoliko način otvaranja ne isključuje rizik od mikrobiološke kontaminacije,  proizvod se mora odmah iskoristiti. Ukoliko se ne upotrijebi odmah, vrijeme čuvanja u toku upotrebe, kao i uslovi prije upotrebe su odgovornost korisnika. </w:t>
      </w:r>
    </w:p>
    <w:p w14:paraId="15622C76" w14:textId="77777777" w:rsidR="00F77A8D" w:rsidRPr="00A44302" w:rsidRDefault="00F77A8D" w:rsidP="00F77A8D">
      <w:pPr>
        <w:tabs>
          <w:tab w:val="left" w:pos="540"/>
          <w:tab w:val="left" w:pos="569"/>
        </w:tabs>
        <w:jc w:val="both"/>
        <w:rPr>
          <w:bCs/>
          <w:sz w:val="22"/>
          <w:szCs w:val="22"/>
          <w:lang w:val="sr-Latn-ME"/>
        </w:rPr>
      </w:pPr>
    </w:p>
    <w:p w14:paraId="72506143" w14:textId="71986912" w:rsidR="00F77A8D" w:rsidRPr="00A44302" w:rsidRDefault="00F77A8D" w:rsidP="00F77A8D">
      <w:pPr>
        <w:tabs>
          <w:tab w:val="left" w:pos="540"/>
          <w:tab w:val="left" w:pos="569"/>
        </w:tabs>
        <w:jc w:val="both"/>
        <w:rPr>
          <w:bCs/>
          <w:i/>
          <w:sz w:val="22"/>
          <w:szCs w:val="22"/>
          <w:lang w:val="sr-Latn-ME"/>
        </w:rPr>
      </w:pPr>
      <w:r w:rsidRPr="00A44302">
        <w:rPr>
          <w:bCs/>
          <w:i/>
          <w:sz w:val="22"/>
          <w:szCs w:val="22"/>
          <w:lang w:val="sr-Latn-ME"/>
        </w:rPr>
        <w:t>Rok upotrebe nakon razblaž</w:t>
      </w:r>
      <w:r w:rsidR="009D3CE0" w:rsidRPr="00A44302">
        <w:rPr>
          <w:bCs/>
          <w:i/>
          <w:sz w:val="22"/>
          <w:szCs w:val="22"/>
          <w:lang w:val="sr-Latn-ME"/>
        </w:rPr>
        <w:t>iva</w:t>
      </w:r>
      <w:r w:rsidRPr="00A44302">
        <w:rPr>
          <w:bCs/>
          <w:i/>
          <w:sz w:val="22"/>
          <w:szCs w:val="22"/>
          <w:lang w:val="sr-Latn-ME"/>
        </w:rPr>
        <w:t>nja:</w:t>
      </w:r>
    </w:p>
    <w:p w14:paraId="10B0429A" w14:textId="79D8C17C"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t>Nakon razblaživanja 0,9</w:t>
      </w:r>
      <w:r w:rsidR="00AE359D" w:rsidRPr="00A44302">
        <w:rPr>
          <w:bCs/>
          <w:sz w:val="22"/>
          <w:szCs w:val="22"/>
          <w:lang w:val="sr-Latn-ME"/>
        </w:rPr>
        <w:t xml:space="preserve"> </w:t>
      </w:r>
      <w:r w:rsidRPr="00A44302">
        <w:rPr>
          <w:bCs/>
          <w:sz w:val="22"/>
          <w:szCs w:val="22"/>
          <w:lang w:val="sr-Latn-ME"/>
        </w:rPr>
        <w:t>%-nim rastvorom natrijum</w:t>
      </w:r>
      <w:r w:rsidR="00AE359D" w:rsidRPr="00A44302">
        <w:rPr>
          <w:bCs/>
          <w:sz w:val="22"/>
          <w:szCs w:val="22"/>
          <w:lang w:val="sr-Latn-ME"/>
        </w:rPr>
        <w:t xml:space="preserve"> </w:t>
      </w:r>
      <w:r w:rsidRPr="00A44302">
        <w:rPr>
          <w:bCs/>
          <w:sz w:val="22"/>
          <w:szCs w:val="22"/>
          <w:lang w:val="sr-Latn-ME"/>
        </w:rPr>
        <w:t>hlorida ili 5</w:t>
      </w:r>
      <w:r w:rsidR="00AE359D" w:rsidRPr="00A44302">
        <w:rPr>
          <w:bCs/>
          <w:sz w:val="22"/>
          <w:szCs w:val="22"/>
          <w:lang w:val="sr-Latn-ME"/>
        </w:rPr>
        <w:t xml:space="preserve"> </w:t>
      </w:r>
      <w:r w:rsidRPr="00A44302">
        <w:rPr>
          <w:bCs/>
          <w:sz w:val="22"/>
          <w:szCs w:val="22"/>
          <w:lang w:val="sr-Latn-ME"/>
        </w:rPr>
        <w:t xml:space="preserve">%-nim rastvorom glukoze, rastvor treba odmah </w:t>
      </w:r>
      <w:r w:rsidR="001D11FD" w:rsidRPr="00A44302">
        <w:rPr>
          <w:bCs/>
          <w:sz w:val="22"/>
          <w:szCs w:val="22"/>
          <w:lang w:val="sr-Latn-ME"/>
        </w:rPr>
        <w:t>is</w:t>
      </w:r>
      <w:r w:rsidRPr="00A44302">
        <w:rPr>
          <w:bCs/>
          <w:sz w:val="22"/>
          <w:szCs w:val="22"/>
          <w:lang w:val="sr-Latn-ME"/>
        </w:rPr>
        <w:t>koristiti. Ukoliko se ne iskoristi odmah, vrijeme čuvanja u toku upotrebe kao i uslovi prije upotrebe su odgovornost korisnika, s tim da razblaženi rastvor ne treba čuvati duže od 1</w:t>
      </w:r>
      <w:r w:rsidR="001D11FD" w:rsidRPr="00A44302">
        <w:rPr>
          <w:bCs/>
          <w:sz w:val="22"/>
          <w:szCs w:val="22"/>
          <w:lang w:val="sr-Latn-ME"/>
        </w:rPr>
        <w:t xml:space="preserve"> sat</w:t>
      </w:r>
      <w:r w:rsidRPr="00A44302">
        <w:rPr>
          <w:bCs/>
          <w:sz w:val="22"/>
          <w:szCs w:val="22"/>
          <w:lang w:val="sr-Latn-ME"/>
        </w:rPr>
        <w:t xml:space="preserve"> nakon pripreme (uključujući i vrijeme davanja infuzije).</w:t>
      </w:r>
    </w:p>
    <w:p w14:paraId="70A6FDD3" w14:textId="77777777" w:rsidR="00F77A8D" w:rsidRPr="00A44302" w:rsidRDefault="00F77A8D" w:rsidP="00480FB1">
      <w:pPr>
        <w:tabs>
          <w:tab w:val="left" w:pos="540"/>
          <w:tab w:val="left" w:pos="569"/>
        </w:tabs>
        <w:rPr>
          <w:bCs/>
          <w:sz w:val="22"/>
          <w:szCs w:val="22"/>
          <w:lang w:val="sr-Latn-ME"/>
        </w:rPr>
      </w:pPr>
    </w:p>
    <w:p w14:paraId="25E9B25E"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6.4. </w:t>
      </w:r>
      <w:r w:rsidR="00480FB1" w:rsidRPr="00A44302">
        <w:rPr>
          <w:b/>
          <w:bCs/>
          <w:sz w:val="22"/>
          <w:szCs w:val="22"/>
          <w:lang w:val="sr-Latn-ME"/>
        </w:rPr>
        <w:tab/>
      </w:r>
      <w:r w:rsidRPr="00A44302">
        <w:rPr>
          <w:b/>
          <w:bCs/>
          <w:sz w:val="22"/>
          <w:szCs w:val="22"/>
          <w:lang w:val="sr-Latn-ME"/>
        </w:rPr>
        <w:t>Posebne mjere upozorenja pri čuvanju</w:t>
      </w:r>
      <w:r w:rsidR="00F8570A" w:rsidRPr="00A44302">
        <w:rPr>
          <w:b/>
          <w:bCs/>
          <w:sz w:val="22"/>
          <w:szCs w:val="22"/>
          <w:lang w:val="sr-Latn-ME"/>
        </w:rPr>
        <w:t xml:space="preserve"> lijeka</w:t>
      </w:r>
    </w:p>
    <w:p w14:paraId="116C9126" w14:textId="6F618A6A" w:rsidR="00EC2532" w:rsidRPr="00A44302" w:rsidRDefault="00EC2532" w:rsidP="00480FB1">
      <w:pPr>
        <w:tabs>
          <w:tab w:val="left" w:pos="540"/>
          <w:tab w:val="left" w:pos="569"/>
        </w:tabs>
        <w:rPr>
          <w:bCs/>
          <w:sz w:val="22"/>
          <w:szCs w:val="22"/>
          <w:lang w:val="sr-Latn-ME"/>
        </w:rPr>
      </w:pPr>
    </w:p>
    <w:p w14:paraId="379ACCC5" w14:textId="60A3ECD8" w:rsidR="00F77A8D" w:rsidRPr="00A44302" w:rsidRDefault="00F77A8D" w:rsidP="00F77A8D">
      <w:pPr>
        <w:tabs>
          <w:tab w:val="left" w:pos="540"/>
          <w:tab w:val="left" w:pos="569"/>
        </w:tabs>
        <w:rPr>
          <w:bCs/>
          <w:sz w:val="22"/>
          <w:szCs w:val="22"/>
          <w:lang w:val="sr-Latn-ME"/>
        </w:rPr>
      </w:pPr>
      <w:r w:rsidRPr="00A44302">
        <w:rPr>
          <w:bCs/>
          <w:sz w:val="22"/>
          <w:szCs w:val="22"/>
          <w:lang w:val="sr-Latn-ME"/>
        </w:rPr>
        <w:t>Čuvati na temperaturi do 25°C, zaštićeno od svjetlosti.</w:t>
      </w:r>
    </w:p>
    <w:p w14:paraId="48AE6EAB" w14:textId="77777777" w:rsidR="00F77A8D" w:rsidRPr="00A44302" w:rsidRDefault="00F77A8D" w:rsidP="00F77A8D">
      <w:pPr>
        <w:tabs>
          <w:tab w:val="left" w:pos="540"/>
          <w:tab w:val="left" w:pos="569"/>
        </w:tabs>
        <w:rPr>
          <w:bCs/>
          <w:sz w:val="22"/>
          <w:szCs w:val="22"/>
          <w:lang w:val="sr-Latn-ME"/>
        </w:rPr>
      </w:pPr>
      <w:r w:rsidRPr="00A44302">
        <w:rPr>
          <w:bCs/>
          <w:sz w:val="22"/>
          <w:szCs w:val="22"/>
          <w:lang w:val="sr-Latn-ME"/>
        </w:rPr>
        <w:t>Ne čuvati u frižideru i ne zamrzavati.</w:t>
      </w:r>
    </w:p>
    <w:p w14:paraId="66D86C70" w14:textId="77777777" w:rsidR="00F77A8D" w:rsidRPr="00A44302" w:rsidRDefault="00F77A8D" w:rsidP="00F77A8D">
      <w:pPr>
        <w:tabs>
          <w:tab w:val="left" w:pos="540"/>
          <w:tab w:val="left" w:pos="569"/>
        </w:tabs>
        <w:rPr>
          <w:bCs/>
          <w:sz w:val="22"/>
          <w:szCs w:val="22"/>
          <w:lang w:val="sr-Latn-ME"/>
        </w:rPr>
      </w:pPr>
    </w:p>
    <w:p w14:paraId="7809A228" w14:textId="577F45CE" w:rsidR="00F77A8D" w:rsidRPr="00A44302" w:rsidRDefault="00F77A8D" w:rsidP="00F77A8D">
      <w:pPr>
        <w:tabs>
          <w:tab w:val="left" w:pos="540"/>
          <w:tab w:val="left" w:pos="569"/>
        </w:tabs>
        <w:rPr>
          <w:bCs/>
          <w:sz w:val="22"/>
          <w:szCs w:val="22"/>
          <w:lang w:val="sr-Latn-ME"/>
        </w:rPr>
      </w:pPr>
      <w:r w:rsidRPr="00A44302">
        <w:rPr>
          <w:bCs/>
          <w:sz w:val="22"/>
          <w:szCs w:val="22"/>
          <w:lang w:val="sr-Latn-ME"/>
        </w:rPr>
        <w:t>Za uslove čuvanja nakon prvog otvaranja i razblaž</w:t>
      </w:r>
      <w:r w:rsidR="001D11FD" w:rsidRPr="00A44302">
        <w:rPr>
          <w:bCs/>
          <w:sz w:val="22"/>
          <w:szCs w:val="22"/>
          <w:lang w:val="sr-Latn-ME"/>
        </w:rPr>
        <w:t>iva</w:t>
      </w:r>
      <w:r w:rsidRPr="00A44302">
        <w:rPr>
          <w:bCs/>
          <w:sz w:val="22"/>
          <w:szCs w:val="22"/>
          <w:lang w:val="sr-Latn-ME"/>
        </w:rPr>
        <w:t xml:space="preserve">nja, pogledati </w:t>
      </w:r>
      <w:r w:rsidR="0061258F" w:rsidRPr="00A44302">
        <w:rPr>
          <w:bCs/>
          <w:sz w:val="22"/>
          <w:szCs w:val="22"/>
          <w:lang w:val="sr-Latn-ME"/>
        </w:rPr>
        <w:t xml:space="preserve">dio </w:t>
      </w:r>
      <w:r w:rsidRPr="00A44302">
        <w:rPr>
          <w:bCs/>
          <w:sz w:val="22"/>
          <w:szCs w:val="22"/>
          <w:lang w:val="sr-Latn-ME"/>
        </w:rPr>
        <w:t>6.3.</w:t>
      </w:r>
    </w:p>
    <w:p w14:paraId="0C080550" w14:textId="77777777" w:rsidR="00F77A8D" w:rsidRPr="00A44302" w:rsidRDefault="00F77A8D" w:rsidP="00480FB1">
      <w:pPr>
        <w:tabs>
          <w:tab w:val="left" w:pos="540"/>
          <w:tab w:val="left" w:pos="569"/>
        </w:tabs>
        <w:rPr>
          <w:bCs/>
          <w:sz w:val="22"/>
          <w:szCs w:val="22"/>
          <w:lang w:val="sr-Latn-ME"/>
        </w:rPr>
      </w:pPr>
    </w:p>
    <w:p w14:paraId="0D091FD9"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6.5. </w:t>
      </w:r>
      <w:r w:rsidR="00480FB1" w:rsidRPr="00A44302">
        <w:rPr>
          <w:b/>
          <w:bCs/>
          <w:sz w:val="22"/>
          <w:szCs w:val="22"/>
          <w:lang w:val="sr-Latn-ME"/>
        </w:rPr>
        <w:tab/>
      </w:r>
      <w:r w:rsidR="002846DB" w:rsidRPr="00A44302">
        <w:rPr>
          <w:b/>
          <w:bCs/>
          <w:sz w:val="22"/>
          <w:szCs w:val="22"/>
          <w:lang w:val="sr-Latn-ME"/>
        </w:rPr>
        <w:t xml:space="preserve">Vrsta i sadržaj </w:t>
      </w:r>
      <w:r w:rsidR="00F8570A" w:rsidRPr="00A44302">
        <w:rPr>
          <w:b/>
          <w:bCs/>
          <w:sz w:val="22"/>
          <w:szCs w:val="22"/>
          <w:lang w:val="sr-Latn-ME"/>
        </w:rPr>
        <w:t>pakovanja</w:t>
      </w:r>
      <w:r w:rsidR="00C06864" w:rsidRPr="00A44302">
        <w:rPr>
          <w:b/>
          <w:bCs/>
          <w:sz w:val="22"/>
          <w:szCs w:val="22"/>
          <w:lang w:val="sr-Latn-ME"/>
        </w:rPr>
        <w:t xml:space="preserve"> </w:t>
      </w:r>
    </w:p>
    <w:p w14:paraId="32176E6C" w14:textId="488E2045" w:rsidR="0072020E" w:rsidRPr="00A44302" w:rsidRDefault="0072020E" w:rsidP="00480FB1">
      <w:pPr>
        <w:tabs>
          <w:tab w:val="left" w:pos="540"/>
          <w:tab w:val="left" w:pos="569"/>
        </w:tabs>
        <w:rPr>
          <w:bCs/>
          <w:sz w:val="22"/>
          <w:szCs w:val="22"/>
          <w:lang w:val="sr-Latn-ME"/>
        </w:rPr>
      </w:pPr>
    </w:p>
    <w:p w14:paraId="2A7CFFB3" w14:textId="331332F8" w:rsidR="00F77A8D" w:rsidRPr="00A44302" w:rsidRDefault="001D11FD" w:rsidP="00F77A8D">
      <w:pPr>
        <w:tabs>
          <w:tab w:val="left" w:pos="540"/>
          <w:tab w:val="left" w:pos="569"/>
        </w:tabs>
        <w:jc w:val="both"/>
        <w:rPr>
          <w:bCs/>
          <w:sz w:val="22"/>
          <w:szCs w:val="22"/>
          <w:lang w:val="sr-Latn-ME"/>
        </w:rPr>
      </w:pPr>
      <w:r w:rsidRPr="00A44302">
        <w:rPr>
          <w:bCs/>
          <w:sz w:val="22"/>
          <w:szCs w:val="22"/>
          <w:lang w:val="sr-Latn-ME"/>
        </w:rPr>
        <w:t xml:space="preserve">Unutrašnje pakovanje lijeka je </w:t>
      </w:r>
      <w:r w:rsidR="0061258F" w:rsidRPr="00A44302">
        <w:rPr>
          <w:bCs/>
          <w:sz w:val="22"/>
          <w:szCs w:val="22"/>
          <w:lang w:val="sr-Latn-ME"/>
        </w:rPr>
        <w:t xml:space="preserve">boca </w:t>
      </w:r>
      <w:r w:rsidR="00F77A8D" w:rsidRPr="00A44302">
        <w:rPr>
          <w:bCs/>
          <w:sz w:val="22"/>
          <w:szCs w:val="22"/>
          <w:lang w:val="sr-Latn-ME"/>
        </w:rPr>
        <w:t>od bezbojnog stakla tip II (100 ml), zatvoren</w:t>
      </w:r>
      <w:r w:rsidR="0011762E" w:rsidRPr="00A44302">
        <w:rPr>
          <w:bCs/>
          <w:sz w:val="22"/>
          <w:szCs w:val="22"/>
          <w:lang w:val="sr-Latn-ME"/>
        </w:rPr>
        <w:t>a</w:t>
      </w:r>
      <w:r w:rsidR="00F77A8D" w:rsidRPr="00A44302">
        <w:rPr>
          <w:bCs/>
          <w:sz w:val="22"/>
          <w:szCs w:val="22"/>
          <w:lang w:val="sr-Latn-ME"/>
        </w:rPr>
        <w:t xml:space="preserve"> sivim zatvaračem od bromobutil gume tip I</w:t>
      </w:r>
      <w:r w:rsidR="0011762E" w:rsidRPr="00A44302">
        <w:rPr>
          <w:bCs/>
          <w:sz w:val="22"/>
          <w:szCs w:val="22"/>
          <w:lang w:val="sr-Latn-ME"/>
        </w:rPr>
        <w:t xml:space="preserve"> sa </w:t>
      </w:r>
      <w:r w:rsidR="00F77A8D" w:rsidRPr="00A44302">
        <w:rPr>
          <w:bCs/>
          <w:sz w:val="22"/>
          <w:szCs w:val="22"/>
          <w:lang w:val="sr-Latn-ME"/>
        </w:rPr>
        <w:t>aluminijumsk</w:t>
      </w:r>
      <w:r w:rsidR="0011762E" w:rsidRPr="00A44302">
        <w:rPr>
          <w:bCs/>
          <w:sz w:val="22"/>
          <w:szCs w:val="22"/>
          <w:lang w:val="sr-Latn-ME"/>
        </w:rPr>
        <w:t>i</w:t>
      </w:r>
      <w:r w:rsidR="00F77A8D" w:rsidRPr="00A44302">
        <w:rPr>
          <w:bCs/>
          <w:sz w:val="22"/>
          <w:szCs w:val="22"/>
          <w:lang w:val="sr-Latn-ME"/>
        </w:rPr>
        <w:t xml:space="preserve">m </w:t>
      </w:r>
      <w:r w:rsidR="0011762E" w:rsidRPr="00A44302">
        <w:rPr>
          <w:bCs/>
          <w:sz w:val="22"/>
          <w:szCs w:val="22"/>
          <w:lang w:val="sr-Latn-ME"/>
        </w:rPr>
        <w:t>prstenom</w:t>
      </w:r>
      <w:r w:rsidR="00F77A8D" w:rsidRPr="00A44302">
        <w:rPr>
          <w:bCs/>
          <w:sz w:val="22"/>
          <w:szCs w:val="22"/>
          <w:lang w:val="sr-Latn-ME"/>
        </w:rPr>
        <w:t xml:space="preserve">.  </w:t>
      </w:r>
    </w:p>
    <w:p w14:paraId="2DD9BE89" w14:textId="77777777" w:rsidR="0011762E" w:rsidRPr="00A44302" w:rsidRDefault="0011762E" w:rsidP="00F77A8D">
      <w:pPr>
        <w:tabs>
          <w:tab w:val="left" w:pos="540"/>
          <w:tab w:val="left" w:pos="569"/>
        </w:tabs>
        <w:jc w:val="both"/>
        <w:rPr>
          <w:bCs/>
          <w:sz w:val="22"/>
          <w:szCs w:val="22"/>
          <w:lang w:val="sr-Latn-ME"/>
        </w:rPr>
      </w:pPr>
    </w:p>
    <w:p w14:paraId="186A5244" w14:textId="79F2BC36" w:rsidR="00F77A8D" w:rsidRPr="00A44302" w:rsidRDefault="001D11FD" w:rsidP="00F77A8D">
      <w:pPr>
        <w:tabs>
          <w:tab w:val="left" w:pos="540"/>
          <w:tab w:val="left" w:pos="569"/>
        </w:tabs>
        <w:jc w:val="both"/>
        <w:rPr>
          <w:bCs/>
          <w:sz w:val="22"/>
          <w:szCs w:val="22"/>
          <w:lang w:val="sr-Latn-ME"/>
        </w:rPr>
      </w:pPr>
      <w:r w:rsidRPr="00A44302">
        <w:rPr>
          <w:bCs/>
          <w:sz w:val="22"/>
          <w:szCs w:val="22"/>
          <w:lang w:val="sr-Latn-ME"/>
        </w:rPr>
        <w:t xml:space="preserve">Spoljašnje </w:t>
      </w:r>
      <w:r w:rsidR="00F44527" w:rsidRPr="00A44302">
        <w:rPr>
          <w:bCs/>
          <w:sz w:val="22"/>
          <w:szCs w:val="22"/>
          <w:lang w:val="sr-Latn-ME"/>
        </w:rPr>
        <w:t>p</w:t>
      </w:r>
      <w:r w:rsidR="00F77A8D" w:rsidRPr="00A44302">
        <w:rPr>
          <w:bCs/>
          <w:sz w:val="22"/>
          <w:szCs w:val="22"/>
          <w:lang w:val="sr-Latn-ME"/>
        </w:rPr>
        <w:t>akovanje</w:t>
      </w:r>
      <w:r w:rsidR="00F44527" w:rsidRPr="00A44302">
        <w:rPr>
          <w:bCs/>
          <w:sz w:val="22"/>
          <w:szCs w:val="22"/>
          <w:lang w:val="sr-Latn-ME"/>
        </w:rPr>
        <w:t xml:space="preserve"> lijeka je složiva</w:t>
      </w:r>
      <w:r w:rsidR="00F77A8D" w:rsidRPr="00A44302">
        <w:rPr>
          <w:bCs/>
          <w:sz w:val="22"/>
          <w:szCs w:val="22"/>
          <w:lang w:val="sr-Latn-ME"/>
        </w:rPr>
        <w:t xml:space="preserve"> kartonska kutija </w:t>
      </w:r>
      <w:r w:rsidR="0011762E" w:rsidRPr="00A44302">
        <w:rPr>
          <w:bCs/>
          <w:sz w:val="22"/>
          <w:szCs w:val="22"/>
          <w:lang w:val="sr-Latn-ME"/>
        </w:rPr>
        <w:t>u kojoj se nalazi</w:t>
      </w:r>
      <w:r w:rsidR="00F77A8D" w:rsidRPr="00A44302">
        <w:rPr>
          <w:bCs/>
          <w:sz w:val="22"/>
          <w:szCs w:val="22"/>
          <w:lang w:val="sr-Latn-ME"/>
        </w:rPr>
        <w:t xml:space="preserve"> 10 </w:t>
      </w:r>
      <w:r w:rsidR="0061258F" w:rsidRPr="00A44302">
        <w:rPr>
          <w:bCs/>
          <w:sz w:val="22"/>
          <w:szCs w:val="22"/>
          <w:lang w:val="sr-Latn-ME"/>
        </w:rPr>
        <w:t xml:space="preserve">boca </w:t>
      </w:r>
      <w:r w:rsidR="00F77A8D" w:rsidRPr="00A44302">
        <w:rPr>
          <w:bCs/>
          <w:sz w:val="22"/>
          <w:szCs w:val="22"/>
          <w:lang w:val="sr-Latn-ME"/>
        </w:rPr>
        <w:t>sa po 100 ml rastvora za infuziju</w:t>
      </w:r>
      <w:r w:rsidR="00F44527" w:rsidRPr="00A44302">
        <w:rPr>
          <w:bCs/>
          <w:sz w:val="22"/>
          <w:szCs w:val="22"/>
          <w:lang w:val="sr-Latn-ME"/>
        </w:rPr>
        <w:t xml:space="preserve"> i Uputstvo za lijek</w:t>
      </w:r>
      <w:r w:rsidR="00F77A8D" w:rsidRPr="00A44302">
        <w:rPr>
          <w:bCs/>
          <w:sz w:val="22"/>
          <w:szCs w:val="22"/>
          <w:lang w:val="sr-Latn-ME"/>
        </w:rPr>
        <w:t>.</w:t>
      </w:r>
    </w:p>
    <w:p w14:paraId="0F78DB2D" w14:textId="77777777" w:rsidR="00F77A8D" w:rsidRPr="00A44302" w:rsidRDefault="00F77A8D" w:rsidP="00480FB1">
      <w:pPr>
        <w:tabs>
          <w:tab w:val="left" w:pos="540"/>
          <w:tab w:val="left" w:pos="569"/>
        </w:tabs>
        <w:rPr>
          <w:bCs/>
          <w:sz w:val="22"/>
          <w:szCs w:val="22"/>
          <w:lang w:val="sr-Latn-ME"/>
        </w:rPr>
      </w:pPr>
    </w:p>
    <w:p w14:paraId="47F3ED9D" w14:textId="554DCA8A" w:rsidR="002846DB"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6.6. </w:t>
      </w:r>
      <w:r w:rsidR="00480FB1" w:rsidRPr="00A44302">
        <w:rPr>
          <w:b/>
          <w:bCs/>
          <w:sz w:val="22"/>
          <w:szCs w:val="22"/>
          <w:lang w:val="sr-Latn-ME"/>
        </w:rPr>
        <w:tab/>
      </w:r>
      <w:r w:rsidRPr="00A44302">
        <w:rPr>
          <w:b/>
          <w:bCs/>
          <w:color w:val="000000"/>
          <w:sz w:val="22"/>
          <w:szCs w:val="22"/>
          <w:lang w:val="sr-Latn-ME"/>
        </w:rPr>
        <w:t>Posebne mjere opreza pri odlaganju materijala koji treba odbaciti nakon primjene lijeka</w:t>
      </w:r>
      <w:r w:rsidRPr="00A44302">
        <w:rPr>
          <w:b/>
          <w:bCs/>
          <w:sz w:val="22"/>
          <w:szCs w:val="22"/>
          <w:lang w:val="sr-Latn-ME"/>
        </w:rPr>
        <w:t xml:space="preserve"> </w:t>
      </w:r>
      <w:r w:rsidR="00310F03" w:rsidRPr="00A44302">
        <w:rPr>
          <w:b/>
          <w:bCs/>
          <w:sz w:val="22"/>
          <w:szCs w:val="22"/>
          <w:lang w:val="sr-Latn-ME"/>
        </w:rPr>
        <w:t>(i druga uputs</w:t>
      </w:r>
      <w:r w:rsidR="009D3CE0" w:rsidRPr="00A44302">
        <w:rPr>
          <w:b/>
          <w:bCs/>
          <w:sz w:val="22"/>
          <w:szCs w:val="22"/>
          <w:lang w:val="sr-Latn-ME"/>
        </w:rPr>
        <w:t>t</w:t>
      </w:r>
      <w:r w:rsidR="00310F03" w:rsidRPr="00A44302">
        <w:rPr>
          <w:b/>
          <w:bCs/>
          <w:sz w:val="22"/>
          <w:szCs w:val="22"/>
          <w:lang w:val="sr-Latn-ME"/>
        </w:rPr>
        <w:t xml:space="preserve">va za rukovanje lijekom) </w:t>
      </w:r>
    </w:p>
    <w:p w14:paraId="73EF8BB4" w14:textId="77777777" w:rsidR="00B66A70" w:rsidRPr="00A44302" w:rsidRDefault="00B66A70" w:rsidP="00480FB1">
      <w:pPr>
        <w:tabs>
          <w:tab w:val="left" w:pos="540"/>
          <w:tab w:val="left" w:pos="569"/>
        </w:tabs>
        <w:rPr>
          <w:b/>
          <w:bCs/>
          <w:sz w:val="22"/>
          <w:szCs w:val="22"/>
          <w:lang w:val="sr-Latn-ME"/>
        </w:rPr>
      </w:pPr>
    </w:p>
    <w:p w14:paraId="7AFCAE45" w14:textId="50292622"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t xml:space="preserve">Za izvlačenje rastvora iz </w:t>
      </w:r>
      <w:r w:rsidR="0061258F" w:rsidRPr="00A44302">
        <w:rPr>
          <w:bCs/>
          <w:sz w:val="22"/>
          <w:szCs w:val="22"/>
          <w:lang w:val="sr-Latn-ME"/>
        </w:rPr>
        <w:t xml:space="preserve">boce </w:t>
      </w:r>
      <w:r w:rsidRPr="00A44302">
        <w:rPr>
          <w:bCs/>
          <w:sz w:val="22"/>
          <w:szCs w:val="22"/>
          <w:lang w:val="sr-Latn-ME"/>
        </w:rPr>
        <w:t xml:space="preserve">koristite iglu od 0,8 mm i vertikalno probušite čep na </w:t>
      </w:r>
      <w:r w:rsidR="0061258F" w:rsidRPr="00A44302">
        <w:rPr>
          <w:bCs/>
          <w:sz w:val="22"/>
          <w:szCs w:val="22"/>
          <w:lang w:val="sr-Latn-ME"/>
        </w:rPr>
        <w:t xml:space="preserve">boci </w:t>
      </w:r>
      <w:r w:rsidRPr="00A44302">
        <w:rPr>
          <w:bCs/>
          <w:sz w:val="22"/>
          <w:szCs w:val="22"/>
          <w:lang w:val="sr-Latn-ME"/>
        </w:rPr>
        <w:t>na tačno označenom mjestu. Prije primjene, rastvor treba provjeriti vizuelno i ne treba ga koristiti u slučaju da postoji pojava čestica ili promjena boje.</w:t>
      </w:r>
    </w:p>
    <w:p w14:paraId="4F5FFE39" w14:textId="77777777" w:rsidR="00F44527" w:rsidRPr="00A44302" w:rsidRDefault="00F44527" w:rsidP="00F77A8D">
      <w:pPr>
        <w:tabs>
          <w:tab w:val="left" w:pos="540"/>
          <w:tab w:val="left" w:pos="569"/>
        </w:tabs>
        <w:jc w:val="both"/>
        <w:rPr>
          <w:bCs/>
          <w:sz w:val="22"/>
          <w:szCs w:val="22"/>
          <w:lang w:val="sr-Latn-ME"/>
        </w:rPr>
      </w:pPr>
    </w:p>
    <w:p w14:paraId="4AB67717" w14:textId="55A8B5D9" w:rsidR="00F77A8D" w:rsidRPr="00A44302" w:rsidRDefault="00FE1CC3" w:rsidP="00F77A8D">
      <w:pPr>
        <w:tabs>
          <w:tab w:val="left" w:pos="540"/>
          <w:tab w:val="left" w:pos="569"/>
        </w:tabs>
        <w:jc w:val="both"/>
        <w:rPr>
          <w:bCs/>
          <w:sz w:val="22"/>
          <w:szCs w:val="22"/>
          <w:lang w:val="sr-Latn-ME"/>
        </w:rPr>
      </w:pPr>
      <w:r w:rsidRPr="00A44302">
        <w:rPr>
          <w:bCs/>
          <w:sz w:val="22"/>
          <w:szCs w:val="22"/>
          <w:lang w:val="sr-Latn-ME"/>
        </w:rPr>
        <w:t xml:space="preserve">Lijek </w:t>
      </w:r>
      <w:r w:rsidR="00F77A8D" w:rsidRPr="00A44302">
        <w:rPr>
          <w:bCs/>
          <w:sz w:val="22"/>
          <w:szCs w:val="22"/>
          <w:lang w:val="sr-Latn-ME"/>
        </w:rPr>
        <w:t>je namijenjen za jednokratnu upotrebu. Neiskorišćeni rastvor treba odbaciti.</w:t>
      </w:r>
    </w:p>
    <w:p w14:paraId="544CCFE1" w14:textId="77777777" w:rsidR="00F44527" w:rsidRPr="00A44302" w:rsidRDefault="00F44527" w:rsidP="00F77A8D">
      <w:pPr>
        <w:tabs>
          <w:tab w:val="left" w:pos="540"/>
          <w:tab w:val="left" w:pos="569"/>
        </w:tabs>
        <w:jc w:val="both"/>
        <w:rPr>
          <w:bCs/>
          <w:sz w:val="22"/>
          <w:szCs w:val="22"/>
          <w:lang w:val="sr-Latn-ME"/>
        </w:rPr>
      </w:pPr>
    </w:p>
    <w:p w14:paraId="55038818" w14:textId="43CFD695"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t xml:space="preserve">Razblaženi rastvor treba provjeriti vizuelno i ne treba ga koristiti u slučaju da postoji opalescencija, vidljiva mehanička onečišćenja ili talog. </w:t>
      </w:r>
    </w:p>
    <w:p w14:paraId="3DC03064" w14:textId="77777777" w:rsidR="00F44527" w:rsidRPr="00A44302" w:rsidRDefault="00F44527" w:rsidP="00F77A8D">
      <w:pPr>
        <w:tabs>
          <w:tab w:val="left" w:pos="540"/>
          <w:tab w:val="left" w:pos="569"/>
        </w:tabs>
        <w:jc w:val="both"/>
        <w:rPr>
          <w:bCs/>
          <w:sz w:val="22"/>
          <w:szCs w:val="22"/>
          <w:lang w:val="sr-Latn-ME"/>
        </w:rPr>
      </w:pPr>
    </w:p>
    <w:p w14:paraId="0388D94A" w14:textId="6AB5BAE8" w:rsidR="00F77A8D" w:rsidRPr="00A44302" w:rsidRDefault="00F77A8D" w:rsidP="00F77A8D">
      <w:pPr>
        <w:tabs>
          <w:tab w:val="left" w:pos="540"/>
          <w:tab w:val="left" w:pos="569"/>
        </w:tabs>
        <w:jc w:val="both"/>
        <w:rPr>
          <w:bCs/>
          <w:sz w:val="22"/>
          <w:szCs w:val="22"/>
          <w:lang w:val="sr-Latn-ME"/>
        </w:rPr>
      </w:pPr>
      <w:r w:rsidRPr="00A44302">
        <w:rPr>
          <w:bCs/>
          <w:sz w:val="22"/>
          <w:szCs w:val="22"/>
          <w:lang w:val="sr-Latn-ME"/>
        </w:rPr>
        <w:t>Svu neiskorišćenu količinu lijeka ili otpadnog materijala nakon njegove upotrebe treba ukloniti u skladu sa važećim propisima.</w:t>
      </w:r>
    </w:p>
    <w:p w14:paraId="58D046AC" w14:textId="77777777" w:rsidR="00FE1CC3" w:rsidRPr="00A44302" w:rsidRDefault="00FE1CC3" w:rsidP="00F77A8D">
      <w:pPr>
        <w:tabs>
          <w:tab w:val="left" w:pos="540"/>
          <w:tab w:val="left" w:pos="569"/>
        </w:tabs>
        <w:jc w:val="both"/>
        <w:rPr>
          <w:bCs/>
          <w:sz w:val="22"/>
          <w:szCs w:val="22"/>
          <w:lang w:val="sr-Latn-ME"/>
        </w:rPr>
      </w:pPr>
    </w:p>
    <w:p w14:paraId="47CF7944" w14:textId="77777777" w:rsidR="0072020E" w:rsidRPr="00A44302" w:rsidRDefault="0072020E" w:rsidP="00480FB1">
      <w:pPr>
        <w:tabs>
          <w:tab w:val="left" w:pos="540"/>
          <w:tab w:val="left" w:pos="569"/>
        </w:tabs>
        <w:rPr>
          <w:bCs/>
          <w:sz w:val="22"/>
          <w:szCs w:val="22"/>
          <w:lang w:val="sr-Latn-ME"/>
        </w:rPr>
      </w:pPr>
    </w:p>
    <w:p w14:paraId="7D6C0FB9" w14:textId="77777777" w:rsidR="00F8570A"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7. </w:t>
      </w:r>
      <w:r w:rsidR="00480FB1" w:rsidRPr="00A44302">
        <w:rPr>
          <w:b/>
          <w:bCs/>
          <w:sz w:val="22"/>
          <w:szCs w:val="22"/>
          <w:lang w:val="sr-Latn-ME"/>
        </w:rPr>
        <w:tab/>
      </w:r>
      <w:r w:rsidRPr="00A44302">
        <w:rPr>
          <w:b/>
          <w:bCs/>
          <w:sz w:val="22"/>
          <w:szCs w:val="22"/>
          <w:lang w:val="sr-Latn-ME"/>
        </w:rPr>
        <w:t>NOSILAC DOZVOLE</w:t>
      </w:r>
      <w:r w:rsidR="00483928" w:rsidRPr="00A44302">
        <w:rPr>
          <w:b/>
          <w:bCs/>
          <w:sz w:val="22"/>
          <w:szCs w:val="22"/>
          <w:lang w:val="sr-Latn-ME"/>
        </w:rPr>
        <w:t xml:space="preserve"> </w:t>
      </w:r>
    </w:p>
    <w:p w14:paraId="35A42D3C" w14:textId="77777777" w:rsidR="00C61BE0" w:rsidRPr="00A44302" w:rsidRDefault="00C61BE0" w:rsidP="00480FB1">
      <w:pPr>
        <w:tabs>
          <w:tab w:val="left" w:pos="540"/>
          <w:tab w:val="left" w:pos="569"/>
        </w:tabs>
        <w:rPr>
          <w:bCs/>
          <w:sz w:val="22"/>
          <w:szCs w:val="22"/>
          <w:lang w:val="sr-Latn-ME"/>
        </w:rPr>
      </w:pPr>
    </w:p>
    <w:p w14:paraId="2B864933" w14:textId="13EA75AB" w:rsidR="00F77A8D" w:rsidRPr="00A44302" w:rsidRDefault="00F77A8D" w:rsidP="00F77A8D">
      <w:pPr>
        <w:tabs>
          <w:tab w:val="left" w:pos="540"/>
          <w:tab w:val="left" w:pos="569"/>
        </w:tabs>
        <w:rPr>
          <w:bCs/>
          <w:sz w:val="22"/>
          <w:szCs w:val="22"/>
          <w:lang w:val="sr-Latn-ME"/>
        </w:rPr>
      </w:pPr>
      <w:r w:rsidRPr="00A44302">
        <w:rPr>
          <w:bCs/>
          <w:sz w:val="22"/>
          <w:szCs w:val="22"/>
          <w:lang w:val="sr-Latn-ME"/>
        </w:rPr>
        <w:t>PharmaSwiss - Montenegro, PharmaSwiss d</w:t>
      </w:r>
      <w:r w:rsidR="00F44527" w:rsidRPr="00A44302">
        <w:rPr>
          <w:bCs/>
          <w:sz w:val="22"/>
          <w:szCs w:val="22"/>
          <w:lang w:val="sr-Latn-ME"/>
        </w:rPr>
        <w:t>.</w:t>
      </w:r>
      <w:r w:rsidRPr="00A44302">
        <w:rPr>
          <w:bCs/>
          <w:sz w:val="22"/>
          <w:szCs w:val="22"/>
          <w:lang w:val="sr-Latn-ME"/>
        </w:rPr>
        <w:t>o</w:t>
      </w:r>
      <w:r w:rsidR="00F44527" w:rsidRPr="00A44302">
        <w:rPr>
          <w:bCs/>
          <w:sz w:val="22"/>
          <w:szCs w:val="22"/>
          <w:lang w:val="sr-Latn-ME"/>
        </w:rPr>
        <w:t>.</w:t>
      </w:r>
      <w:r w:rsidRPr="00A44302">
        <w:rPr>
          <w:bCs/>
          <w:sz w:val="22"/>
          <w:szCs w:val="22"/>
          <w:lang w:val="sr-Latn-ME"/>
        </w:rPr>
        <w:t>o</w:t>
      </w:r>
      <w:r w:rsidR="00F44527" w:rsidRPr="00A44302">
        <w:rPr>
          <w:bCs/>
          <w:sz w:val="22"/>
          <w:szCs w:val="22"/>
          <w:lang w:val="sr-Latn-ME"/>
        </w:rPr>
        <w:t>.</w:t>
      </w:r>
      <w:r w:rsidRPr="00A44302">
        <w:rPr>
          <w:bCs/>
          <w:sz w:val="22"/>
          <w:szCs w:val="22"/>
          <w:lang w:val="sr-Latn-ME"/>
        </w:rPr>
        <w:t xml:space="preserve"> Beograd, dio stranog društva u Podgorici</w:t>
      </w:r>
      <w:r w:rsidRPr="00A44302">
        <w:rPr>
          <w:bCs/>
          <w:sz w:val="22"/>
          <w:szCs w:val="22"/>
          <w:lang w:val="sr-Latn-ME"/>
        </w:rPr>
        <w:tab/>
      </w:r>
    </w:p>
    <w:p w14:paraId="59B2F115" w14:textId="6E31CF27" w:rsidR="00F77A8D" w:rsidRPr="00A44302" w:rsidRDefault="00F77A8D" w:rsidP="00F77A8D">
      <w:pPr>
        <w:tabs>
          <w:tab w:val="left" w:pos="540"/>
          <w:tab w:val="left" w:pos="569"/>
        </w:tabs>
        <w:rPr>
          <w:bCs/>
          <w:sz w:val="22"/>
          <w:szCs w:val="22"/>
          <w:lang w:val="sr-Latn-ME"/>
        </w:rPr>
      </w:pPr>
      <w:r w:rsidRPr="00A44302">
        <w:rPr>
          <w:bCs/>
          <w:sz w:val="22"/>
          <w:szCs w:val="22"/>
          <w:lang w:val="sr-Latn-ME"/>
        </w:rPr>
        <w:t>Rimski trg br. 16, Podgorica, Crna Gora</w:t>
      </w:r>
    </w:p>
    <w:p w14:paraId="07E4FEF0" w14:textId="77777777" w:rsidR="00FE1CC3" w:rsidRPr="00A44302" w:rsidRDefault="00FE1CC3" w:rsidP="00F77A8D">
      <w:pPr>
        <w:tabs>
          <w:tab w:val="left" w:pos="540"/>
          <w:tab w:val="left" w:pos="569"/>
        </w:tabs>
        <w:rPr>
          <w:bCs/>
          <w:sz w:val="22"/>
          <w:szCs w:val="22"/>
          <w:lang w:val="sr-Latn-ME"/>
        </w:rPr>
      </w:pPr>
    </w:p>
    <w:p w14:paraId="7668288A" w14:textId="77777777" w:rsidR="00C37FD7" w:rsidRPr="00A44302" w:rsidRDefault="00C37FD7" w:rsidP="00480FB1">
      <w:pPr>
        <w:tabs>
          <w:tab w:val="left" w:pos="540"/>
          <w:tab w:val="left" w:pos="569"/>
        </w:tabs>
        <w:rPr>
          <w:bCs/>
          <w:sz w:val="22"/>
          <w:szCs w:val="22"/>
          <w:lang w:val="sr-Latn-ME"/>
        </w:rPr>
      </w:pPr>
    </w:p>
    <w:p w14:paraId="14E83CDB"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t xml:space="preserve">8. </w:t>
      </w:r>
      <w:r w:rsidR="00480FB1" w:rsidRPr="00A44302">
        <w:rPr>
          <w:b/>
          <w:bCs/>
          <w:sz w:val="22"/>
          <w:szCs w:val="22"/>
          <w:lang w:val="sr-Latn-ME"/>
        </w:rPr>
        <w:tab/>
      </w:r>
      <w:r w:rsidRPr="00A44302">
        <w:rPr>
          <w:b/>
          <w:bCs/>
          <w:sz w:val="22"/>
          <w:szCs w:val="22"/>
          <w:lang w:val="sr-Latn-ME"/>
        </w:rPr>
        <w:t>BROJ DOZVOLE</w:t>
      </w:r>
      <w:r w:rsidR="008A6D43" w:rsidRPr="00A44302">
        <w:rPr>
          <w:b/>
          <w:bCs/>
          <w:sz w:val="22"/>
          <w:szCs w:val="22"/>
          <w:lang w:val="sr-Latn-ME"/>
        </w:rPr>
        <w:t xml:space="preserve"> ZA STAVLJANJE LIJEKA U PROMET</w:t>
      </w:r>
    </w:p>
    <w:p w14:paraId="2C7367D0" w14:textId="77777777" w:rsidR="0072020E" w:rsidRPr="00A44302" w:rsidRDefault="0072020E" w:rsidP="00480FB1">
      <w:pPr>
        <w:tabs>
          <w:tab w:val="left" w:pos="540"/>
          <w:tab w:val="left" w:pos="569"/>
        </w:tabs>
        <w:rPr>
          <w:bCs/>
          <w:sz w:val="22"/>
          <w:szCs w:val="22"/>
          <w:lang w:val="sr-Latn-ME"/>
        </w:rPr>
      </w:pPr>
    </w:p>
    <w:p w14:paraId="626270A0" w14:textId="28104036" w:rsidR="00F45F77" w:rsidRPr="00A44302" w:rsidRDefault="00A44302" w:rsidP="00480FB1">
      <w:pPr>
        <w:tabs>
          <w:tab w:val="left" w:pos="540"/>
          <w:tab w:val="left" w:pos="569"/>
        </w:tabs>
        <w:rPr>
          <w:bCs/>
          <w:sz w:val="22"/>
          <w:szCs w:val="22"/>
          <w:lang w:val="sr-Latn-ME"/>
        </w:rPr>
      </w:pPr>
      <w:r w:rsidRPr="00A44302">
        <w:rPr>
          <w:bCs/>
          <w:sz w:val="22"/>
          <w:szCs w:val="22"/>
          <w:lang w:val="sr-Latn-ME"/>
        </w:rPr>
        <w:t>2030/24/4512 – 9504</w:t>
      </w:r>
    </w:p>
    <w:p w14:paraId="3EC27D61" w14:textId="2EF57B05" w:rsidR="00A44302" w:rsidRDefault="00A44302" w:rsidP="00480FB1">
      <w:pPr>
        <w:tabs>
          <w:tab w:val="left" w:pos="540"/>
          <w:tab w:val="left" w:pos="569"/>
        </w:tabs>
        <w:rPr>
          <w:bCs/>
          <w:sz w:val="22"/>
          <w:szCs w:val="22"/>
          <w:lang w:val="sr-Latn-ME"/>
        </w:rPr>
      </w:pPr>
    </w:p>
    <w:p w14:paraId="1A7D2F68" w14:textId="77777777" w:rsidR="00A44302" w:rsidRPr="00A44302" w:rsidRDefault="00A44302" w:rsidP="00480FB1">
      <w:pPr>
        <w:tabs>
          <w:tab w:val="left" w:pos="540"/>
          <w:tab w:val="left" w:pos="569"/>
        </w:tabs>
        <w:rPr>
          <w:bCs/>
          <w:sz w:val="22"/>
          <w:szCs w:val="22"/>
          <w:lang w:val="sr-Latn-ME"/>
        </w:rPr>
      </w:pPr>
    </w:p>
    <w:p w14:paraId="758790B3" w14:textId="77777777" w:rsidR="0072020E" w:rsidRPr="00A44302" w:rsidRDefault="0072020E" w:rsidP="00480FB1">
      <w:pPr>
        <w:tabs>
          <w:tab w:val="left" w:pos="540"/>
          <w:tab w:val="left" w:pos="569"/>
        </w:tabs>
        <w:rPr>
          <w:b/>
          <w:bCs/>
          <w:sz w:val="22"/>
          <w:szCs w:val="22"/>
          <w:lang w:val="sr-Latn-ME"/>
        </w:rPr>
      </w:pPr>
      <w:r w:rsidRPr="00A44302">
        <w:rPr>
          <w:b/>
          <w:bCs/>
          <w:sz w:val="22"/>
          <w:szCs w:val="22"/>
          <w:lang w:val="sr-Latn-ME"/>
        </w:rPr>
        <w:lastRenderedPageBreak/>
        <w:t xml:space="preserve">9. </w:t>
      </w:r>
      <w:r w:rsidR="00480FB1" w:rsidRPr="00A44302">
        <w:rPr>
          <w:b/>
          <w:bCs/>
          <w:sz w:val="22"/>
          <w:szCs w:val="22"/>
          <w:lang w:val="sr-Latn-ME"/>
        </w:rPr>
        <w:tab/>
      </w:r>
      <w:r w:rsidRPr="00A44302">
        <w:rPr>
          <w:b/>
          <w:bCs/>
          <w:sz w:val="22"/>
          <w:szCs w:val="22"/>
          <w:lang w:val="sr-Latn-ME"/>
        </w:rPr>
        <w:t xml:space="preserve">DATUM </w:t>
      </w:r>
      <w:r w:rsidR="00C05DF8" w:rsidRPr="00A44302">
        <w:rPr>
          <w:b/>
          <w:bCs/>
          <w:sz w:val="22"/>
          <w:szCs w:val="22"/>
          <w:lang w:val="sr-Latn-ME"/>
        </w:rPr>
        <w:t xml:space="preserve">PRVE </w:t>
      </w:r>
      <w:r w:rsidR="008A6D43" w:rsidRPr="00A44302">
        <w:rPr>
          <w:b/>
          <w:bCs/>
          <w:sz w:val="22"/>
          <w:szCs w:val="22"/>
          <w:lang w:val="sr-Latn-ME"/>
        </w:rPr>
        <w:t>DOZVOLE</w:t>
      </w:r>
      <w:r w:rsidR="00C05DF8" w:rsidRPr="00A44302">
        <w:rPr>
          <w:b/>
          <w:bCs/>
          <w:sz w:val="22"/>
          <w:szCs w:val="22"/>
          <w:lang w:val="sr-Latn-ME"/>
        </w:rPr>
        <w:t>/OBNOVE DOZVOLE</w:t>
      </w:r>
      <w:r w:rsidR="008A6D43" w:rsidRPr="00A44302">
        <w:rPr>
          <w:b/>
          <w:bCs/>
          <w:sz w:val="22"/>
          <w:szCs w:val="22"/>
          <w:lang w:val="sr-Latn-ME"/>
        </w:rPr>
        <w:t xml:space="preserve"> ZA STAVLJANJE LIJEKA U PROMET</w:t>
      </w:r>
    </w:p>
    <w:p w14:paraId="48EC5568" w14:textId="0D5E7EE8" w:rsidR="00F77A8D" w:rsidRDefault="00F77A8D" w:rsidP="00F77A8D">
      <w:pPr>
        <w:tabs>
          <w:tab w:val="left" w:pos="540"/>
          <w:tab w:val="left" w:pos="569"/>
        </w:tabs>
        <w:rPr>
          <w:bCs/>
          <w:sz w:val="22"/>
          <w:szCs w:val="22"/>
          <w:lang w:val="sr-Latn-ME"/>
        </w:rPr>
      </w:pPr>
    </w:p>
    <w:p w14:paraId="680D08E0" w14:textId="5BF31675" w:rsidR="00A44302" w:rsidRPr="00A44302" w:rsidRDefault="00A44302" w:rsidP="00A44302">
      <w:pPr>
        <w:tabs>
          <w:tab w:val="left" w:pos="540"/>
          <w:tab w:val="left" w:pos="569"/>
        </w:tabs>
        <w:rPr>
          <w:bCs/>
          <w:sz w:val="22"/>
          <w:szCs w:val="22"/>
          <w:lang w:val="sr-Latn-ME"/>
        </w:rPr>
      </w:pPr>
      <w:r w:rsidRPr="00A44302">
        <w:rPr>
          <w:bCs/>
          <w:sz w:val="22"/>
          <w:szCs w:val="22"/>
          <w:lang w:val="sr-Latn-ME"/>
        </w:rPr>
        <w:t xml:space="preserve">Datum prve dozvole: </w:t>
      </w:r>
      <w:r w:rsidRPr="00A44302">
        <w:rPr>
          <w:bCs/>
          <w:sz w:val="22"/>
          <w:szCs w:val="22"/>
          <w:lang w:val="sr-Latn-ME"/>
        </w:rPr>
        <w:t>28.10.2014.</w:t>
      </w:r>
      <w:r w:rsidRPr="00A44302">
        <w:rPr>
          <w:bCs/>
          <w:sz w:val="22"/>
          <w:szCs w:val="22"/>
          <w:lang w:val="sr-Latn-ME"/>
        </w:rPr>
        <w:t xml:space="preserve"> godine </w:t>
      </w:r>
    </w:p>
    <w:p w14:paraId="7D3748B1" w14:textId="4391E2D3" w:rsidR="00A44302" w:rsidRPr="00A44302" w:rsidRDefault="00A44302" w:rsidP="00A44302">
      <w:pPr>
        <w:tabs>
          <w:tab w:val="left" w:pos="540"/>
          <w:tab w:val="left" w:pos="569"/>
        </w:tabs>
        <w:rPr>
          <w:bCs/>
          <w:sz w:val="22"/>
          <w:szCs w:val="22"/>
          <w:lang w:val="sr-Latn-ME"/>
        </w:rPr>
      </w:pPr>
      <w:r w:rsidRPr="00A44302">
        <w:rPr>
          <w:bCs/>
          <w:sz w:val="22"/>
          <w:szCs w:val="22"/>
          <w:lang w:val="sr-Latn-ME"/>
        </w:rPr>
        <w:t xml:space="preserve">Datum poslednje obnove dozvole: </w:t>
      </w:r>
      <w:r>
        <w:rPr>
          <w:bCs/>
          <w:sz w:val="22"/>
          <w:szCs w:val="22"/>
          <w:lang w:val="sr-Latn-ME"/>
        </w:rPr>
        <w:t>09.09</w:t>
      </w:r>
      <w:r w:rsidRPr="00A44302">
        <w:rPr>
          <w:bCs/>
          <w:sz w:val="22"/>
          <w:szCs w:val="22"/>
          <w:lang w:val="sr-Latn-ME"/>
        </w:rPr>
        <w:t>.2024. godine</w:t>
      </w:r>
    </w:p>
    <w:p w14:paraId="6CC7166A" w14:textId="7018F0A4" w:rsidR="0072020E" w:rsidRPr="00A44302" w:rsidRDefault="0072020E" w:rsidP="00480FB1">
      <w:pPr>
        <w:tabs>
          <w:tab w:val="left" w:pos="540"/>
          <w:tab w:val="left" w:pos="569"/>
        </w:tabs>
        <w:rPr>
          <w:bCs/>
          <w:sz w:val="22"/>
          <w:szCs w:val="22"/>
          <w:lang w:val="sr-Latn-ME"/>
        </w:rPr>
      </w:pPr>
    </w:p>
    <w:p w14:paraId="07D4BC5E" w14:textId="2988EE9B" w:rsidR="00FE1CC3" w:rsidRPr="00A44302" w:rsidRDefault="00FE1CC3" w:rsidP="00480FB1">
      <w:pPr>
        <w:tabs>
          <w:tab w:val="left" w:pos="540"/>
          <w:tab w:val="left" w:pos="569"/>
        </w:tabs>
        <w:rPr>
          <w:bCs/>
          <w:sz w:val="22"/>
          <w:szCs w:val="22"/>
          <w:lang w:val="sr-Latn-ME"/>
        </w:rPr>
      </w:pPr>
    </w:p>
    <w:p w14:paraId="0A2E09F9" w14:textId="77777777" w:rsidR="003F6A59" w:rsidRPr="00A44302" w:rsidRDefault="0072020E" w:rsidP="00C05DF8">
      <w:pPr>
        <w:tabs>
          <w:tab w:val="left" w:pos="540"/>
          <w:tab w:val="left" w:pos="569"/>
        </w:tabs>
        <w:ind w:left="540" w:hanging="540"/>
        <w:rPr>
          <w:bCs/>
          <w:sz w:val="22"/>
          <w:szCs w:val="22"/>
          <w:lang w:val="sr-Latn-ME"/>
        </w:rPr>
      </w:pPr>
      <w:r w:rsidRPr="00A44302">
        <w:rPr>
          <w:b/>
          <w:bCs/>
          <w:sz w:val="22"/>
          <w:szCs w:val="22"/>
          <w:lang w:val="sr-Latn-ME"/>
        </w:rPr>
        <w:t xml:space="preserve">10. </w:t>
      </w:r>
      <w:r w:rsidR="00480FB1" w:rsidRPr="00A44302">
        <w:rPr>
          <w:b/>
          <w:bCs/>
          <w:sz w:val="22"/>
          <w:szCs w:val="22"/>
          <w:lang w:val="sr-Latn-ME"/>
        </w:rPr>
        <w:tab/>
      </w:r>
      <w:r w:rsidR="002846DB" w:rsidRPr="00A44302">
        <w:rPr>
          <w:b/>
          <w:bCs/>
          <w:sz w:val="22"/>
          <w:szCs w:val="22"/>
          <w:lang w:val="sr-Latn-ME"/>
        </w:rPr>
        <w:t>D</w:t>
      </w:r>
      <w:r w:rsidR="00EC2532" w:rsidRPr="00A44302">
        <w:rPr>
          <w:b/>
          <w:bCs/>
          <w:sz w:val="22"/>
          <w:szCs w:val="22"/>
          <w:lang w:val="sr-Latn-ME"/>
        </w:rPr>
        <w:t xml:space="preserve">ATUM REVIZIJE TEKSTA </w:t>
      </w:r>
    </w:p>
    <w:p w14:paraId="18D7A0F1" w14:textId="4446A62D" w:rsidR="003F6A59" w:rsidRDefault="003F6A59" w:rsidP="00DE3F5C">
      <w:pPr>
        <w:rPr>
          <w:sz w:val="22"/>
          <w:szCs w:val="22"/>
          <w:lang w:val="sr-Latn-ME"/>
        </w:rPr>
      </w:pPr>
    </w:p>
    <w:p w14:paraId="6561E49C" w14:textId="17F70DF3" w:rsidR="00A44302" w:rsidRPr="00A44302" w:rsidRDefault="00A44302" w:rsidP="00DE3F5C">
      <w:pPr>
        <w:rPr>
          <w:sz w:val="22"/>
          <w:szCs w:val="22"/>
          <w:lang w:val="sr-Latn-ME"/>
        </w:rPr>
      </w:pPr>
      <w:r>
        <w:rPr>
          <w:sz w:val="22"/>
          <w:szCs w:val="22"/>
          <w:lang w:val="sr-Latn-ME"/>
        </w:rPr>
        <w:t>Septembar, 2024. godine</w:t>
      </w:r>
    </w:p>
    <w:sectPr w:rsidR="00A44302" w:rsidRPr="00A44302"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D257" w14:textId="77777777" w:rsidR="00506AC1" w:rsidRDefault="00506AC1">
      <w:r>
        <w:separator/>
      </w:r>
    </w:p>
  </w:endnote>
  <w:endnote w:type="continuationSeparator" w:id="0">
    <w:p w14:paraId="79CD686F" w14:textId="77777777" w:rsidR="00506AC1" w:rsidRDefault="0050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C0CD6" w14:textId="0145AB2B" w:rsidR="000F5348" w:rsidRPr="00B23F69" w:rsidRDefault="000F534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44302">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44302">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C364A" w14:textId="77777777" w:rsidR="00506AC1" w:rsidRDefault="00506AC1">
      <w:r>
        <w:separator/>
      </w:r>
    </w:p>
  </w:footnote>
  <w:footnote w:type="continuationSeparator" w:id="0">
    <w:p w14:paraId="3CE6C7BC" w14:textId="77777777" w:rsidR="00506AC1" w:rsidRDefault="0050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7B5662"/>
    <w:multiLevelType w:val="hybridMultilevel"/>
    <w:tmpl w:val="8014EF0E"/>
    <w:lvl w:ilvl="0" w:tplc="6F60241C">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AF90821"/>
    <w:multiLevelType w:val="hybridMultilevel"/>
    <w:tmpl w:val="F1644A68"/>
    <w:lvl w:ilvl="0" w:tplc="6F60241C">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1F66592"/>
    <w:multiLevelType w:val="hybridMultilevel"/>
    <w:tmpl w:val="53DC76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CC2494"/>
    <w:multiLevelType w:val="hybridMultilevel"/>
    <w:tmpl w:val="03007E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2"/>
  </w:num>
  <w:num w:numId="13">
    <w:abstractNumId w:val="1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E04"/>
    <w:rsid w:val="00036FA0"/>
    <w:rsid w:val="0003793F"/>
    <w:rsid w:val="00042EAC"/>
    <w:rsid w:val="00057E35"/>
    <w:rsid w:val="00076726"/>
    <w:rsid w:val="00080303"/>
    <w:rsid w:val="000A3F58"/>
    <w:rsid w:val="000A5B99"/>
    <w:rsid w:val="000D2343"/>
    <w:rsid w:val="000D3449"/>
    <w:rsid w:val="000D425A"/>
    <w:rsid w:val="000D60CC"/>
    <w:rsid w:val="000E2084"/>
    <w:rsid w:val="000E6F55"/>
    <w:rsid w:val="000F5348"/>
    <w:rsid w:val="000F5C44"/>
    <w:rsid w:val="000F77FA"/>
    <w:rsid w:val="00107BF7"/>
    <w:rsid w:val="0011762E"/>
    <w:rsid w:val="00126F53"/>
    <w:rsid w:val="0014766D"/>
    <w:rsid w:val="001536CC"/>
    <w:rsid w:val="00154D17"/>
    <w:rsid w:val="00197441"/>
    <w:rsid w:val="001A2DDE"/>
    <w:rsid w:val="001A3FBA"/>
    <w:rsid w:val="001A5518"/>
    <w:rsid w:val="001B1C6A"/>
    <w:rsid w:val="001C1263"/>
    <w:rsid w:val="001C1417"/>
    <w:rsid w:val="001D11FD"/>
    <w:rsid w:val="001E390B"/>
    <w:rsid w:val="001F42FB"/>
    <w:rsid w:val="001F719A"/>
    <w:rsid w:val="002031B3"/>
    <w:rsid w:val="00215931"/>
    <w:rsid w:val="00227BDB"/>
    <w:rsid w:val="00234CB1"/>
    <w:rsid w:val="002352F8"/>
    <w:rsid w:val="002510A5"/>
    <w:rsid w:val="00254A0A"/>
    <w:rsid w:val="00266046"/>
    <w:rsid w:val="002846DB"/>
    <w:rsid w:val="00284CCD"/>
    <w:rsid w:val="00287A25"/>
    <w:rsid w:val="00291C6D"/>
    <w:rsid w:val="002B1EBA"/>
    <w:rsid w:val="002C6637"/>
    <w:rsid w:val="002E0135"/>
    <w:rsid w:val="002E37A5"/>
    <w:rsid w:val="00310F03"/>
    <w:rsid w:val="00323CB3"/>
    <w:rsid w:val="003247D2"/>
    <w:rsid w:val="00327412"/>
    <w:rsid w:val="003445C1"/>
    <w:rsid w:val="003529D8"/>
    <w:rsid w:val="00355B61"/>
    <w:rsid w:val="003576B5"/>
    <w:rsid w:val="00362686"/>
    <w:rsid w:val="00371093"/>
    <w:rsid w:val="00371510"/>
    <w:rsid w:val="00396DFD"/>
    <w:rsid w:val="003A7059"/>
    <w:rsid w:val="003B7A36"/>
    <w:rsid w:val="003C17AB"/>
    <w:rsid w:val="003C7823"/>
    <w:rsid w:val="003E1DCC"/>
    <w:rsid w:val="003F6A59"/>
    <w:rsid w:val="004065C8"/>
    <w:rsid w:val="00411B4B"/>
    <w:rsid w:val="00415BEE"/>
    <w:rsid w:val="00427F85"/>
    <w:rsid w:val="00436F42"/>
    <w:rsid w:val="004378B4"/>
    <w:rsid w:val="00451314"/>
    <w:rsid w:val="00452E9D"/>
    <w:rsid w:val="004534C7"/>
    <w:rsid w:val="004671AA"/>
    <w:rsid w:val="00480CA6"/>
    <w:rsid w:val="00480FB1"/>
    <w:rsid w:val="00483928"/>
    <w:rsid w:val="004A6DFA"/>
    <w:rsid w:val="004D6103"/>
    <w:rsid w:val="004E3BCE"/>
    <w:rsid w:val="004F0E97"/>
    <w:rsid w:val="00501DD1"/>
    <w:rsid w:val="005053C1"/>
    <w:rsid w:val="00506AC1"/>
    <w:rsid w:val="00515C21"/>
    <w:rsid w:val="00530BD7"/>
    <w:rsid w:val="00545CD2"/>
    <w:rsid w:val="005476F3"/>
    <w:rsid w:val="00572527"/>
    <w:rsid w:val="00573E40"/>
    <w:rsid w:val="00576348"/>
    <w:rsid w:val="005823AE"/>
    <w:rsid w:val="005A0B2E"/>
    <w:rsid w:val="005A23D2"/>
    <w:rsid w:val="005A36CB"/>
    <w:rsid w:val="005B49B8"/>
    <w:rsid w:val="005B6E7B"/>
    <w:rsid w:val="005C0741"/>
    <w:rsid w:val="005C5EF4"/>
    <w:rsid w:val="005C75BE"/>
    <w:rsid w:val="005E2E0B"/>
    <w:rsid w:val="005E7A7D"/>
    <w:rsid w:val="0061258F"/>
    <w:rsid w:val="00627AAA"/>
    <w:rsid w:val="00646BD1"/>
    <w:rsid w:val="006561C2"/>
    <w:rsid w:val="00660676"/>
    <w:rsid w:val="00671CB3"/>
    <w:rsid w:val="00674BAF"/>
    <w:rsid w:val="00682200"/>
    <w:rsid w:val="00682F3B"/>
    <w:rsid w:val="006A1497"/>
    <w:rsid w:val="006A5518"/>
    <w:rsid w:val="006B0BD1"/>
    <w:rsid w:val="006D20A5"/>
    <w:rsid w:val="006D37BF"/>
    <w:rsid w:val="00702E22"/>
    <w:rsid w:val="00705D13"/>
    <w:rsid w:val="0072020E"/>
    <w:rsid w:val="0072545C"/>
    <w:rsid w:val="007419D1"/>
    <w:rsid w:val="00750701"/>
    <w:rsid w:val="00760F8F"/>
    <w:rsid w:val="00786071"/>
    <w:rsid w:val="007A3ECB"/>
    <w:rsid w:val="007B6F63"/>
    <w:rsid w:val="00800C0E"/>
    <w:rsid w:val="00824AB9"/>
    <w:rsid w:val="00824E3C"/>
    <w:rsid w:val="00836B35"/>
    <w:rsid w:val="00843BDE"/>
    <w:rsid w:val="008869B8"/>
    <w:rsid w:val="008932A2"/>
    <w:rsid w:val="0089705C"/>
    <w:rsid w:val="008A6D43"/>
    <w:rsid w:val="008B491E"/>
    <w:rsid w:val="008C1A28"/>
    <w:rsid w:val="008C2E98"/>
    <w:rsid w:val="008E49BD"/>
    <w:rsid w:val="008E53E9"/>
    <w:rsid w:val="008E5771"/>
    <w:rsid w:val="008E7639"/>
    <w:rsid w:val="008F20AB"/>
    <w:rsid w:val="00940B9B"/>
    <w:rsid w:val="00942F9A"/>
    <w:rsid w:val="0095676E"/>
    <w:rsid w:val="00956983"/>
    <w:rsid w:val="00963CF0"/>
    <w:rsid w:val="00964BB1"/>
    <w:rsid w:val="009775D9"/>
    <w:rsid w:val="00997175"/>
    <w:rsid w:val="009A1847"/>
    <w:rsid w:val="009B062A"/>
    <w:rsid w:val="009D3CE0"/>
    <w:rsid w:val="009E7C6F"/>
    <w:rsid w:val="009F1793"/>
    <w:rsid w:val="009F2D23"/>
    <w:rsid w:val="00A01D69"/>
    <w:rsid w:val="00A02335"/>
    <w:rsid w:val="00A24153"/>
    <w:rsid w:val="00A44302"/>
    <w:rsid w:val="00A46C9A"/>
    <w:rsid w:val="00A619F3"/>
    <w:rsid w:val="00A62A73"/>
    <w:rsid w:val="00A87FF6"/>
    <w:rsid w:val="00AA0A3B"/>
    <w:rsid w:val="00AA2763"/>
    <w:rsid w:val="00AA33B6"/>
    <w:rsid w:val="00AB50CA"/>
    <w:rsid w:val="00AB6D64"/>
    <w:rsid w:val="00AC53CE"/>
    <w:rsid w:val="00AD2193"/>
    <w:rsid w:val="00AE359D"/>
    <w:rsid w:val="00AF2AC7"/>
    <w:rsid w:val="00AF74CE"/>
    <w:rsid w:val="00B208DB"/>
    <w:rsid w:val="00B23F69"/>
    <w:rsid w:val="00B35ADC"/>
    <w:rsid w:val="00B60619"/>
    <w:rsid w:val="00B61B78"/>
    <w:rsid w:val="00B66A70"/>
    <w:rsid w:val="00B67366"/>
    <w:rsid w:val="00B74D5E"/>
    <w:rsid w:val="00B80EE1"/>
    <w:rsid w:val="00B84135"/>
    <w:rsid w:val="00C026F1"/>
    <w:rsid w:val="00C04D34"/>
    <w:rsid w:val="00C05DF8"/>
    <w:rsid w:val="00C06864"/>
    <w:rsid w:val="00C10F54"/>
    <w:rsid w:val="00C23D8D"/>
    <w:rsid w:val="00C37AA3"/>
    <w:rsid w:val="00C37FD7"/>
    <w:rsid w:val="00C43419"/>
    <w:rsid w:val="00C44CF3"/>
    <w:rsid w:val="00C61BE0"/>
    <w:rsid w:val="00C67274"/>
    <w:rsid w:val="00C70B0E"/>
    <w:rsid w:val="00C773CA"/>
    <w:rsid w:val="00C83785"/>
    <w:rsid w:val="00C94C0D"/>
    <w:rsid w:val="00CA1FEB"/>
    <w:rsid w:val="00CD4F85"/>
    <w:rsid w:val="00CD6AC4"/>
    <w:rsid w:val="00CD6F02"/>
    <w:rsid w:val="00CE246D"/>
    <w:rsid w:val="00CF07A0"/>
    <w:rsid w:val="00CF3E03"/>
    <w:rsid w:val="00D0082A"/>
    <w:rsid w:val="00D21455"/>
    <w:rsid w:val="00D24E2A"/>
    <w:rsid w:val="00D47634"/>
    <w:rsid w:val="00D709B3"/>
    <w:rsid w:val="00DA2ED6"/>
    <w:rsid w:val="00DB76B8"/>
    <w:rsid w:val="00DC2EA1"/>
    <w:rsid w:val="00DD6AAF"/>
    <w:rsid w:val="00DE3F5C"/>
    <w:rsid w:val="00DF1D20"/>
    <w:rsid w:val="00DF6459"/>
    <w:rsid w:val="00E043BF"/>
    <w:rsid w:val="00E1120E"/>
    <w:rsid w:val="00E21324"/>
    <w:rsid w:val="00E246B9"/>
    <w:rsid w:val="00E31FEA"/>
    <w:rsid w:val="00E45169"/>
    <w:rsid w:val="00E47787"/>
    <w:rsid w:val="00E51C30"/>
    <w:rsid w:val="00E64180"/>
    <w:rsid w:val="00E74AEE"/>
    <w:rsid w:val="00E868E5"/>
    <w:rsid w:val="00E9237A"/>
    <w:rsid w:val="00E939FA"/>
    <w:rsid w:val="00EA5765"/>
    <w:rsid w:val="00EC2532"/>
    <w:rsid w:val="00ED52D2"/>
    <w:rsid w:val="00ED7812"/>
    <w:rsid w:val="00EF3B86"/>
    <w:rsid w:val="00F278E7"/>
    <w:rsid w:val="00F317E9"/>
    <w:rsid w:val="00F34554"/>
    <w:rsid w:val="00F44527"/>
    <w:rsid w:val="00F45F77"/>
    <w:rsid w:val="00F5167F"/>
    <w:rsid w:val="00F52258"/>
    <w:rsid w:val="00F61814"/>
    <w:rsid w:val="00F77A8D"/>
    <w:rsid w:val="00F8570A"/>
    <w:rsid w:val="00F909BA"/>
    <w:rsid w:val="00F91C7B"/>
    <w:rsid w:val="00FE1CC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D7CF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basedOn w:val="DefaultParagraphFont"/>
    <w:link w:val="Header"/>
    <w:rsid w:val="00F77A8D"/>
    <w:rPr>
      <w:sz w:val="24"/>
      <w:szCs w:val="24"/>
      <w:lang w:val="en-US" w:eastAsia="en-US"/>
    </w:rPr>
  </w:style>
  <w:style w:type="paragraph" w:styleId="ListParagraph">
    <w:name w:val="List Paragraph"/>
    <w:basedOn w:val="Normal"/>
    <w:uiPriority w:val="34"/>
    <w:qFormat/>
    <w:rsid w:val="00F77A8D"/>
    <w:pPr>
      <w:ind w:left="720"/>
      <w:contextualSpacing/>
    </w:pPr>
  </w:style>
  <w:style w:type="paragraph" w:styleId="NormalWeb">
    <w:name w:val="Normal (Web)"/>
    <w:basedOn w:val="Normal"/>
    <w:rsid w:val="00F77A8D"/>
    <w:pPr>
      <w:spacing w:before="100" w:beforeAutospacing="1" w:after="100" w:afterAutospacing="1"/>
    </w:pPr>
  </w:style>
  <w:style w:type="paragraph" w:styleId="Revision">
    <w:name w:val="Revision"/>
    <w:hidden/>
    <w:uiPriority w:val="99"/>
    <w:semiHidden/>
    <w:rsid w:val="0011762E"/>
    <w:rPr>
      <w:sz w:val="24"/>
      <w:szCs w:val="24"/>
      <w:lang w:val="en-US" w:eastAsia="en-US"/>
    </w:rPr>
  </w:style>
  <w:style w:type="character" w:styleId="Hyperlink">
    <w:name w:val="Hyperlink"/>
    <w:basedOn w:val="DefaultParagraphFont"/>
    <w:unhideWhenUsed/>
    <w:rsid w:val="005823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883">
      <w:bodyDiv w:val="1"/>
      <w:marLeft w:val="0"/>
      <w:marRight w:val="0"/>
      <w:marTop w:val="0"/>
      <w:marBottom w:val="0"/>
      <w:divBdr>
        <w:top w:val="none" w:sz="0" w:space="0" w:color="auto"/>
        <w:left w:val="none" w:sz="0" w:space="0" w:color="auto"/>
        <w:bottom w:val="none" w:sz="0" w:space="0" w:color="auto"/>
        <w:right w:val="none" w:sz="0" w:space="0" w:color="auto"/>
      </w:divBdr>
    </w:div>
    <w:div w:id="1028725688">
      <w:bodyDiv w:val="1"/>
      <w:marLeft w:val="0"/>
      <w:marRight w:val="0"/>
      <w:marTop w:val="0"/>
      <w:marBottom w:val="0"/>
      <w:divBdr>
        <w:top w:val="none" w:sz="0" w:space="0" w:color="auto"/>
        <w:left w:val="none" w:sz="0" w:space="0" w:color="auto"/>
        <w:bottom w:val="none" w:sz="0" w:space="0" w:color="auto"/>
        <w:right w:val="none" w:sz="0" w:space="0" w:color="auto"/>
      </w:divBdr>
    </w:div>
    <w:div w:id="2068800446">
      <w:bodyDiv w:val="1"/>
      <w:marLeft w:val="0"/>
      <w:marRight w:val="0"/>
      <w:marTop w:val="0"/>
      <w:marBottom w:val="0"/>
      <w:divBdr>
        <w:top w:val="none" w:sz="0" w:space="0" w:color="auto"/>
        <w:left w:val="none" w:sz="0" w:space="0" w:color="auto"/>
        <w:bottom w:val="none" w:sz="0" w:space="0" w:color="auto"/>
        <w:right w:val="none" w:sz="0" w:space="0" w:color="auto"/>
      </w:divBdr>
    </w:div>
    <w:div w:id="21096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4BA5-2C3F-4D2C-BCDF-36CB27A57D25}">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21460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Jonić-Popović</cp:lastModifiedBy>
  <cp:revision>2</cp:revision>
  <dcterms:created xsi:type="dcterms:W3CDTF">2024-09-09T11:56:00Z</dcterms:created>
  <dcterms:modified xsi:type="dcterms:W3CDTF">2024-09-09T11:56:00Z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2022-09-21T10:19:47Z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56a1f14a-f956-4bbe-8362-02ec12fecb8a</vt:lpwstr>
  </property>
  <property fmtid="{D5CDD505-2E9C-101B-9397-08002B2CF9AE}" pid="9" name="MSIP_Label_4c4f55c2-b9e5-4e04-bcc7-ae1efcea4b57_ContentBits">
    <vt:lpwstr>0</vt:lpwstr>
  </property>
</Properties>
</file>