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p w:rsidR="00EC1BBC" w:rsidRPr="006E5536" w:rsidRDefault="00EC1BBC" w:rsidP="00EC1BBC">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EC1BBC" w:rsidRPr="006E5536" w:rsidTr="00CC0D12">
        <w:trPr>
          <w:trHeight w:val="530"/>
          <w:jc w:val="center"/>
        </w:trPr>
        <w:tc>
          <w:tcPr>
            <w:tcW w:w="9360" w:type="dxa"/>
            <w:gridSpan w:val="2"/>
            <w:vAlign w:val="center"/>
          </w:tcPr>
          <w:p w:rsidR="00EC1BBC" w:rsidRPr="00FF3A41" w:rsidRDefault="00497D0B" w:rsidP="00CC0D12">
            <w:pPr>
              <w:jc w:val="center"/>
              <w:rPr>
                <w:b/>
                <w:bCs/>
                <w:iCs/>
                <w:sz w:val="22"/>
                <w:szCs w:val="22"/>
              </w:rPr>
            </w:pPr>
            <w:r w:rsidRPr="00FF3A41">
              <w:rPr>
                <w:b/>
                <w:bCs/>
                <w:iCs/>
                <w:sz w:val="22"/>
                <w:szCs w:val="22"/>
              </w:rPr>
              <w:t>SAŽETAK KARAKTERISTIKA LIJEKA</w:t>
            </w:r>
          </w:p>
        </w:tc>
      </w:tr>
      <w:tr w:rsidR="00EC1BBC" w:rsidRPr="006E5536" w:rsidTr="00CC0D12">
        <w:trPr>
          <w:trHeight w:val="1969"/>
          <w:jc w:val="center"/>
        </w:trPr>
        <w:tc>
          <w:tcPr>
            <w:tcW w:w="9360" w:type="dxa"/>
            <w:gridSpan w:val="2"/>
            <w:vAlign w:val="bottom"/>
          </w:tcPr>
          <w:p w:rsidR="00EC1BBC" w:rsidRPr="006E5536" w:rsidRDefault="00EC1BBC" w:rsidP="00497D0B">
            <w:pPr>
              <w:spacing w:after="40"/>
              <w:rPr>
                <w:b/>
                <w:bCs/>
                <w:sz w:val="22"/>
                <w:szCs w:val="22"/>
                <w:u w:val="single"/>
              </w:rPr>
            </w:pPr>
          </w:p>
        </w:tc>
      </w:tr>
      <w:tr w:rsidR="00725C07" w:rsidRPr="006E5536" w:rsidTr="003B6AFE">
        <w:trPr>
          <w:trHeight w:val="1969"/>
          <w:jc w:val="center"/>
        </w:trPr>
        <w:tc>
          <w:tcPr>
            <w:tcW w:w="9360" w:type="dxa"/>
            <w:gridSpan w:val="2"/>
            <w:vAlign w:val="bottom"/>
          </w:tcPr>
          <w:p w:rsidR="00725C07" w:rsidRPr="006E5536" w:rsidRDefault="00725C07" w:rsidP="003B6AFE">
            <w:pPr>
              <w:pStyle w:val="PlainText"/>
              <w:contextualSpacing/>
              <w:jc w:val="center"/>
              <w:rPr>
                <w:rFonts w:ascii="Times New Roman" w:hAnsi="Times New Roman" w:cs="Times New Roman"/>
                <w:b/>
                <w:sz w:val="22"/>
                <w:szCs w:val="22"/>
              </w:rPr>
            </w:pPr>
          </w:p>
          <w:p w:rsidR="00CE16B2" w:rsidRPr="006E5536" w:rsidRDefault="00725C07" w:rsidP="003B6AFE">
            <w:pPr>
              <w:pStyle w:val="PlainText"/>
              <w:contextualSpacing/>
              <w:jc w:val="center"/>
              <w:rPr>
                <w:rFonts w:ascii="Times New Roman" w:hAnsi="Times New Roman" w:cs="Times New Roman"/>
                <w:sz w:val="22"/>
                <w:szCs w:val="22"/>
              </w:rPr>
            </w:pPr>
            <w:r w:rsidRPr="006E5536">
              <w:rPr>
                <w:rFonts w:ascii="Times New Roman" w:hAnsi="Times New Roman" w:cs="Times New Roman"/>
                <w:b/>
                <w:sz w:val="22"/>
                <w:szCs w:val="22"/>
              </w:rPr>
              <w:t>Incruse</w:t>
            </w:r>
            <w:r w:rsidRPr="006E5536">
              <w:rPr>
                <w:rFonts w:ascii="Times New Roman" w:hAnsi="Times New Roman" w:cs="Times New Roman"/>
                <w:b/>
                <w:sz w:val="22"/>
                <w:szCs w:val="22"/>
                <w:vertAlign w:val="superscript"/>
              </w:rPr>
              <w:t>®</w:t>
            </w:r>
            <w:r w:rsidRPr="006E5536">
              <w:rPr>
                <w:rFonts w:ascii="Times New Roman" w:hAnsi="Times New Roman" w:cs="Times New Roman"/>
                <w:b/>
                <w:sz w:val="22"/>
                <w:szCs w:val="22"/>
              </w:rPr>
              <w:t xml:space="preserve">, </w:t>
            </w:r>
            <w:r w:rsidR="00CA4919" w:rsidRPr="006E5536">
              <w:rPr>
                <w:rFonts w:ascii="Times New Roman" w:hAnsi="Times New Roman" w:cs="Times New Roman"/>
                <w:sz w:val="22"/>
                <w:szCs w:val="22"/>
              </w:rPr>
              <w:t xml:space="preserve">prašak za inhalaciju, podijeljen, </w:t>
            </w:r>
          </w:p>
          <w:p w:rsidR="00725C07" w:rsidRPr="006E5536" w:rsidRDefault="00125CAE" w:rsidP="003B6AFE">
            <w:pPr>
              <w:contextualSpacing/>
              <w:jc w:val="center"/>
              <w:rPr>
                <w:bCs/>
                <w:sz w:val="22"/>
                <w:szCs w:val="22"/>
              </w:rPr>
            </w:pPr>
            <w:r>
              <w:rPr>
                <w:sz w:val="22"/>
                <w:szCs w:val="22"/>
              </w:rPr>
              <w:t>55 mikrograma</w:t>
            </w:r>
            <w:r w:rsidR="00CA4919" w:rsidRPr="006E5536">
              <w:rPr>
                <w:sz w:val="22"/>
                <w:szCs w:val="22"/>
              </w:rPr>
              <w:t xml:space="preserve">, </w:t>
            </w:r>
            <w:r w:rsidR="00CA4919" w:rsidRPr="006E5536">
              <w:rPr>
                <w:bCs/>
                <w:sz w:val="22"/>
                <w:szCs w:val="22"/>
              </w:rPr>
              <w:t>inhaler, 1 x 30 doza</w:t>
            </w:r>
          </w:p>
          <w:p w:rsidR="00725C07" w:rsidRPr="006E5536" w:rsidRDefault="00725C07" w:rsidP="003B6AFE">
            <w:pPr>
              <w:pStyle w:val="PlainText"/>
              <w:contextualSpacing/>
              <w:rPr>
                <w:rFonts w:ascii="Times New Roman" w:hAnsi="Times New Roman" w:cs="Times New Roman"/>
                <w:b/>
                <w:sz w:val="22"/>
                <w:szCs w:val="22"/>
              </w:rPr>
            </w:pPr>
          </w:p>
          <w:p w:rsidR="00725C07" w:rsidRPr="006E5536" w:rsidRDefault="00725C07" w:rsidP="003B6AFE">
            <w:pPr>
              <w:contextualSpacing/>
              <w:jc w:val="center"/>
              <w:rPr>
                <w:b/>
                <w:bCs/>
                <w:sz w:val="22"/>
                <w:szCs w:val="22"/>
                <w:u w:val="single"/>
              </w:rPr>
            </w:pPr>
          </w:p>
          <w:p w:rsidR="00725C07" w:rsidRPr="006E5536" w:rsidRDefault="00725C07" w:rsidP="003B6AFE">
            <w:pPr>
              <w:contextualSpacing/>
              <w:jc w:val="center"/>
              <w:rPr>
                <w:b/>
                <w:bCs/>
                <w:sz w:val="22"/>
                <w:szCs w:val="22"/>
                <w:u w:val="single"/>
              </w:rPr>
            </w:pPr>
          </w:p>
        </w:tc>
      </w:tr>
      <w:tr w:rsidR="00725C07" w:rsidRPr="006E5536" w:rsidTr="006E5536">
        <w:trPr>
          <w:trHeight w:val="397"/>
          <w:jc w:val="center"/>
        </w:trPr>
        <w:tc>
          <w:tcPr>
            <w:tcW w:w="2160" w:type="dxa"/>
            <w:vAlign w:val="center"/>
          </w:tcPr>
          <w:p w:rsidR="00725C07" w:rsidRPr="006E5536" w:rsidRDefault="00725C07" w:rsidP="006E5536">
            <w:pPr>
              <w:spacing w:before="200"/>
              <w:contextualSpacing/>
              <w:jc w:val="right"/>
              <w:rPr>
                <w:sz w:val="22"/>
                <w:szCs w:val="22"/>
              </w:rPr>
            </w:pPr>
            <w:r w:rsidRPr="006E5536">
              <w:rPr>
                <w:sz w:val="22"/>
                <w:szCs w:val="22"/>
              </w:rPr>
              <w:t>Proizvođač:</w:t>
            </w:r>
          </w:p>
        </w:tc>
        <w:tc>
          <w:tcPr>
            <w:tcW w:w="7200" w:type="dxa"/>
            <w:vAlign w:val="center"/>
          </w:tcPr>
          <w:p w:rsidR="00725C07" w:rsidRPr="006E5536" w:rsidRDefault="00725C07" w:rsidP="006E5536">
            <w:pPr>
              <w:spacing w:before="200"/>
              <w:ind w:left="72" w:hanging="72"/>
              <w:contextualSpacing/>
              <w:rPr>
                <w:b/>
                <w:bCs/>
                <w:sz w:val="22"/>
                <w:szCs w:val="22"/>
              </w:rPr>
            </w:pPr>
            <w:r w:rsidRPr="006E5536">
              <w:rPr>
                <w:b/>
                <w:bCs/>
                <w:sz w:val="22"/>
                <w:szCs w:val="22"/>
              </w:rPr>
              <w:t>Glaxo Wellcome Operations</w:t>
            </w:r>
          </w:p>
        </w:tc>
      </w:tr>
      <w:tr w:rsidR="00725C07" w:rsidRPr="006E5536" w:rsidTr="006E5536">
        <w:trPr>
          <w:trHeight w:val="397"/>
          <w:jc w:val="center"/>
        </w:trPr>
        <w:tc>
          <w:tcPr>
            <w:tcW w:w="2160" w:type="dxa"/>
            <w:vAlign w:val="center"/>
          </w:tcPr>
          <w:p w:rsidR="00725C07" w:rsidRPr="006E5536" w:rsidRDefault="00725C07" w:rsidP="006E5536">
            <w:pPr>
              <w:spacing w:before="200"/>
              <w:contextualSpacing/>
              <w:jc w:val="right"/>
              <w:rPr>
                <w:sz w:val="22"/>
                <w:szCs w:val="22"/>
              </w:rPr>
            </w:pPr>
            <w:r w:rsidRPr="006E5536">
              <w:rPr>
                <w:sz w:val="22"/>
                <w:szCs w:val="22"/>
              </w:rPr>
              <w:t>Adresa:</w:t>
            </w:r>
          </w:p>
        </w:tc>
        <w:tc>
          <w:tcPr>
            <w:tcW w:w="7200" w:type="dxa"/>
            <w:vAlign w:val="center"/>
          </w:tcPr>
          <w:p w:rsidR="00725C07" w:rsidRPr="006E5536" w:rsidRDefault="00725C07" w:rsidP="006E5536">
            <w:pPr>
              <w:spacing w:before="200"/>
              <w:ind w:left="72" w:hanging="72"/>
              <w:contextualSpacing/>
              <w:rPr>
                <w:b/>
                <w:bCs/>
                <w:sz w:val="22"/>
                <w:szCs w:val="22"/>
              </w:rPr>
            </w:pPr>
            <w:r w:rsidRPr="006E5536">
              <w:rPr>
                <w:b/>
                <w:bCs/>
                <w:sz w:val="22"/>
                <w:szCs w:val="22"/>
              </w:rPr>
              <w:t>Priory Street, Ware, Hertfordshire, SG12 0DJ, Velika Britanija</w:t>
            </w:r>
          </w:p>
        </w:tc>
      </w:tr>
      <w:tr w:rsidR="00725C07" w:rsidRPr="006E5536" w:rsidTr="006E5536">
        <w:trPr>
          <w:trHeight w:val="397"/>
          <w:jc w:val="center"/>
        </w:trPr>
        <w:tc>
          <w:tcPr>
            <w:tcW w:w="2160" w:type="dxa"/>
            <w:vAlign w:val="center"/>
          </w:tcPr>
          <w:p w:rsidR="00725C07" w:rsidRPr="006E5536" w:rsidRDefault="00725C07" w:rsidP="006E5536">
            <w:pPr>
              <w:spacing w:before="200"/>
              <w:contextualSpacing/>
              <w:jc w:val="right"/>
              <w:rPr>
                <w:sz w:val="22"/>
                <w:szCs w:val="22"/>
              </w:rPr>
            </w:pPr>
            <w:r w:rsidRPr="006E5536">
              <w:rPr>
                <w:sz w:val="22"/>
                <w:szCs w:val="22"/>
              </w:rPr>
              <w:t>Podnosilac zahtjeva:</w:t>
            </w:r>
          </w:p>
        </w:tc>
        <w:tc>
          <w:tcPr>
            <w:tcW w:w="7200" w:type="dxa"/>
            <w:vAlign w:val="center"/>
          </w:tcPr>
          <w:p w:rsidR="00725C07" w:rsidRPr="006E5536" w:rsidRDefault="00725C07" w:rsidP="006E5536">
            <w:pPr>
              <w:spacing w:before="200"/>
              <w:ind w:left="-3" w:firstLine="3"/>
              <w:contextualSpacing/>
              <w:rPr>
                <w:b/>
                <w:bCs/>
                <w:sz w:val="22"/>
                <w:szCs w:val="22"/>
              </w:rPr>
            </w:pPr>
            <w:r w:rsidRPr="006E5536">
              <w:rPr>
                <w:b/>
                <w:bCs/>
                <w:sz w:val="22"/>
                <w:szCs w:val="22"/>
              </w:rPr>
              <w:t>GlaxoSmithKline Export Limited, Velika B</w:t>
            </w:r>
            <w:r w:rsidR="006E5536" w:rsidRPr="006E5536">
              <w:rPr>
                <w:b/>
                <w:bCs/>
                <w:sz w:val="22"/>
                <w:szCs w:val="22"/>
              </w:rPr>
              <w:t xml:space="preserve">ritanija - dio stranog društva, </w:t>
            </w:r>
            <w:r w:rsidRPr="006E5536">
              <w:rPr>
                <w:b/>
                <w:bCs/>
                <w:sz w:val="22"/>
                <w:szCs w:val="22"/>
              </w:rPr>
              <w:t>Podgorica</w:t>
            </w:r>
          </w:p>
        </w:tc>
      </w:tr>
      <w:tr w:rsidR="00725C07" w:rsidRPr="006E5536" w:rsidTr="006E5536">
        <w:trPr>
          <w:trHeight w:val="397"/>
          <w:jc w:val="center"/>
        </w:trPr>
        <w:tc>
          <w:tcPr>
            <w:tcW w:w="2160" w:type="dxa"/>
            <w:vAlign w:val="center"/>
          </w:tcPr>
          <w:p w:rsidR="00725C07" w:rsidRPr="006E5536" w:rsidRDefault="00725C07" w:rsidP="006E5536">
            <w:pPr>
              <w:spacing w:before="200"/>
              <w:contextualSpacing/>
              <w:jc w:val="right"/>
              <w:rPr>
                <w:sz w:val="22"/>
                <w:szCs w:val="22"/>
              </w:rPr>
            </w:pPr>
            <w:r w:rsidRPr="006E5536">
              <w:rPr>
                <w:sz w:val="22"/>
                <w:szCs w:val="22"/>
              </w:rPr>
              <w:t>Adresa:</w:t>
            </w:r>
          </w:p>
        </w:tc>
        <w:tc>
          <w:tcPr>
            <w:tcW w:w="7200" w:type="dxa"/>
            <w:vAlign w:val="center"/>
          </w:tcPr>
          <w:p w:rsidR="00725C07" w:rsidRPr="006E5536" w:rsidRDefault="00725C07" w:rsidP="006E5536">
            <w:pPr>
              <w:spacing w:before="200"/>
              <w:ind w:left="72" w:hanging="72"/>
              <w:contextualSpacing/>
              <w:rPr>
                <w:b/>
                <w:bCs/>
                <w:sz w:val="22"/>
                <w:szCs w:val="22"/>
              </w:rPr>
            </w:pPr>
            <w:r w:rsidRPr="006E5536">
              <w:rPr>
                <w:b/>
                <w:bCs/>
                <w:sz w:val="22"/>
                <w:szCs w:val="22"/>
                <w:lang w:val="sv-SE"/>
              </w:rPr>
              <w:t>Vojislavljevića 76, 81000 Podgorica, Crna Gora</w:t>
            </w:r>
          </w:p>
        </w:tc>
      </w:tr>
    </w:tbl>
    <w:p w:rsidR="00725C07" w:rsidRPr="006E5536" w:rsidRDefault="00725C07" w:rsidP="00725C07">
      <w:pPr>
        <w:pStyle w:val="Header"/>
        <w:tabs>
          <w:tab w:val="left" w:pos="284"/>
        </w:tabs>
        <w:contextualSpacing/>
        <w:rPr>
          <w:sz w:val="22"/>
          <w:szCs w:val="22"/>
        </w:rPr>
      </w:pPr>
    </w:p>
    <w:p w:rsidR="00725C07" w:rsidRPr="006E5536" w:rsidRDefault="00725C07" w:rsidP="00725C07">
      <w:pPr>
        <w:pStyle w:val="Header"/>
        <w:tabs>
          <w:tab w:val="left" w:pos="284"/>
        </w:tabs>
        <w:spacing w:before="400"/>
        <w:contextualSpacing/>
        <w:rPr>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725C07" w:rsidRPr="006E5536" w:rsidRDefault="00725C07" w:rsidP="00725C07">
      <w:pPr>
        <w:pStyle w:val="Header"/>
        <w:tabs>
          <w:tab w:val="left" w:pos="284"/>
        </w:tabs>
        <w:spacing w:before="400"/>
        <w:contextualSpacing/>
        <w:rPr>
          <w:b/>
          <w:bCs/>
          <w:sz w:val="22"/>
          <w:szCs w:val="22"/>
        </w:rPr>
      </w:pPr>
    </w:p>
    <w:p w:rsidR="00EC1BBC" w:rsidRPr="006E5536" w:rsidRDefault="00EC1BBC" w:rsidP="00EC1BBC">
      <w:pPr>
        <w:rPr>
          <w:i/>
          <w:color w:val="808080"/>
          <w:sz w:val="22"/>
          <w:szCs w:val="22"/>
          <w:lang w:val="sr-Latn-CS"/>
        </w:rPr>
      </w:pPr>
    </w:p>
    <w:p w:rsidR="00EC1BBC" w:rsidRPr="006E5536" w:rsidRDefault="00EC1BBC" w:rsidP="00552413">
      <w:pPr>
        <w:rPr>
          <w:sz w:val="22"/>
          <w:szCs w:val="22"/>
          <w:lang w:val="sr-Latn-CS"/>
        </w:rPr>
      </w:pPr>
    </w:p>
    <w:p w:rsidR="00EE1381" w:rsidRPr="006E5536" w:rsidRDefault="00EE1381" w:rsidP="006E5536">
      <w:pPr>
        <w:pStyle w:val="Header"/>
        <w:contextualSpacing/>
        <w:jc w:val="both"/>
        <w:rPr>
          <w:b/>
          <w:bCs/>
          <w:sz w:val="22"/>
          <w:szCs w:val="22"/>
        </w:rPr>
      </w:pPr>
      <w:r w:rsidRPr="006E5536">
        <w:rPr>
          <w:sz w:val="22"/>
          <w:szCs w:val="22"/>
        </w:rPr>
        <w:t>▼ Ovaj lijek je pod dodatnim praćenjem. Time se omogućava brzo otkrivanje novih bezbjednosnih informacija. Zdravstveni radnici treba da p</w:t>
      </w:r>
      <w:r w:rsidR="00003845" w:rsidRPr="006E5536">
        <w:rPr>
          <w:sz w:val="22"/>
          <w:szCs w:val="22"/>
        </w:rPr>
        <w:t>rijave svaku sumnju na neželjen</w:t>
      </w:r>
      <w:r w:rsidR="00F518EF" w:rsidRPr="006E5536">
        <w:rPr>
          <w:sz w:val="22"/>
          <w:szCs w:val="22"/>
        </w:rPr>
        <w:t>o</w:t>
      </w:r>
      <w:r w:rsidRPr="006E5536">
        <w:rPr>
          <w:sz w:val="22"/>
          <w:szCs w:val="22"/>
        </w:rPr>
        <w:t xml:space="preserve"> </w:t>
      </w:r>
      <w:r w:rsidR="00003845" w:rsidRPr="006E5536">
        <w:rPr>
          <w:sz w:val="22"/>
          <w:szCs w:val="22"/>
        </w:rPr>
        <w:t>dejstv</w:t>
      </w:r>
      <w:r w:rsidR="00F518EF" w:rsidRPr="006E5536">
        <w:rPr>
          <w:sz w:val="22"/>
          <w:szCs w:val="22"/>
        </w:rPr>
        <w:t>o</w:t>
      </w:r>
      <w:r w:rsidRPr="006E5536">
        <w:rPr>
          <w:sz w:val="22"/>
          <w:szCs w:val="22"/>
        </w:rPr>
        <w:t xml:space="preserve"> </w:t>
      </w:r>
      <w:r w:rsidR="00F518EF" w:rsidRPr="006E5536">
        <w:rPr>
          <w:sz w:val="22"/>
          <w:szCs w:val="22"/>
        </w:rPr>
        <w:t>ovog</w:t>
      </w:r>
      <w:r w:rsidRPr="006E5536">
        <w:rPr>
          <w:sz w:val="22"/>
          <w:szCs w:val="22"/>
        </w:rPr>
        <w:t xml:space="preserve"> lijek</w:t>
      </w:r>
      <w:r w:rsidR="00F518EF" w:rsidRPr="006E5536">
        <w:rPr>
          <w:sz w:val="22"/>
          <w:szCs w:val="22"/>
        </w:rPr>
        <w:t>a</w:t>
      </w:r>
      <w:r w:rsidRPr="006E5536">
        <w:rPr>
          <w:sz w:val="22"/>
          <w:szCs w:val="22"/>
        </w:rPr>
        <w:t xml:space="preserve">. Za način prijavljivanja neželjenih </w:t>
      </w:r>
      <w:r w:rsidR="00003845" w:rsidRPr="006E5536">
        <w:rPr>
          <w:sz w:val="22"/>
          <w:szCs w:val="22"/>
        </w:rPr>
        <w:t>dejstava</w:t>
      </w:r>
      <w:r w:rsidRPr="006E5536">
        <w:rPr>
          <w:sz w:val="22"/>
          <w:szCs w:val="22"/>
        </w:rPr>
        <w:t xml:space="preserve"> vidjeti odjeljak 4.8.</w:t>
      </w:r>
    </w:p>
    <w:p w:rsidR="00EC1BBC" w:rsidRPr="006E5536" w:rsidRDefault="00EC1BBC" w:rsidP="006E5536">
      <w:pPr>
        <w:jc w:val="both"/>
        <w:rPr>
          <w:sz w:val="22"/>
          <w:szCs w:val="22"/>
          <w:lang w:val="sr-Latn-CS"/>
        </w:rPr>
      </w:pPr>
    </w:p>
    <w:p w:rsidR="00EC1BBC" w:rsidRPr="006E5536" w:rsidRDefault="00EC1BBC" w:rsidP="006E5536">
      <w:pPr>
        <w:tabs>
          <w:tab w:val="left" w:pos="540"/>
          <w:tab w:val="left" w:pos="569"/>
        </w:tabs>
        <w:jc w:val="both"/>
        <w:rPr>
          <w:b/>
          <w:bCs/>
          <w:sz w:val="22"/>
          <w:szCs w:val="22"/>
        </w:rPr>
      </w:pPr>
      <w:r w:rsidRPr="006E5536">
        <w:rPr>
          <w:b/>
          <w:bCs/>
          <w:sz w:val="22"/>
          <w:szCs w:val="22"/>
        </w:rPr>
        <w:t>1.</w:t>
      </w:r>
      <w:r w:rsidRPr="006E5536">
        <w:rPr>
          <w:b/>
          <w:bCs/>
          <w:sz w:val="22"/>
          <w:szCs w:val="22"/>
        </w:rPr>
        <w:tab/>
        <w:t>NAZIV LIJEKA</w:t>
      </w:r>
    </w:p>
    <w:p w:rsidR="00EE1381" w:rsidRPr="006E5536" w:rsidRDefault="00EE1381" w:rsidP="006E5536">
      <w:pPr>
        <w:pStyle w:val="Header"/>
        <w:contextualSpacing/>
        <w:jc w:val="both"/>
        <w:rPr>
          <w:sz w:val="22"/>
          <w:szCs w:val="22"/>
        </w:rPr>
      </w:pPr>
      <w:r w:rsidRPr="006E5536">
        <w:rPr>
          <w:sz w:val="22"/>
          <w:szCs w:val="22"/>
        </w:rPr>
        <w:t>Incruse</w:t>
      </w:r>
      <w:r w:rsidRPr="006E5536">
        <w:rPr>
          <w:sz w:val="22"/>
          <w:szCs w:val="22"/>
          <w:vertAlign w:val="superscript"/>
        </w:rPr>
        <w:t>®</w:t>
      </w:r>
      <w:r w:rsidR="006C2E42">
        <w:rPr>
          <w:sz w:val="22"/>
          <w:szCs w:val="22"/>
        </w:rPr>
        <w:t>, 55 mikrograma</w:t>
      </w:r>
      <w:r w:rsidRPr="006E5536">
        <w:rPr>
          <w:sz w:val="22"/>
          <w:szCs w:val="22"/>
        </w:rPr>
        <w:t>, prašak za inhalaciju, podijeljen</w:t>
      </w:r>
    </w:p>
    <w:p w:rsidR="00EE1381" w:rsidRPr="006E5536" w:rsidRDefault="00EE1381" w:rsidP="006E5536">
      <w:pPr>
        <w:pStyle w:val="Header"/>
        <w:contextualSpacing/>
        <w:jc w:val="both"/>
        <w:rPr>
          <w:sz w:val="22"/>
          <w:szCs w:val="22"/>
        </w:rPr>
      </w:pPr>
    </w:p>
    <w:p w:rsidR="00EE1381" w:rsidRPr="006E5536" w:rsidRDefault="00EE1381" w:rsidP="006E5536">
      <w:pPr>
        <w:pStyle w:val="Header"/>
        <w:tabs>
          <w:tab w:val="left" w:pos="284"/>
        </w:tabs>
        <w:contextualSpacing/>
        <w:jc w:val="both"/>
        <w:rPr>
          <w:sz w:val="22"/>
          <w:szCs w:val="22"/>
        </w:rPr>
      </w:pPr>
      <w:r w:rsidRPr="006E5536">
        <w:rPr>
          <w:sz w:val="22"/>
          <w:szCs w:val="22"/>
        </w:rPr>
        <w:t>INN: umeklidinijum bromid</w:t>
      </w:r>
    </w:p>
    <w:p w:rsidR="00EC1BBC" w:rsidRPr="006E5536" w:rsidRDefault="00EC1BBC" w:rsidP="006E5536">
      <w:pPr>
        <w:jc w:val="both"/>
        <w:rPr>
          <w:bCs/>
          <w:sz w:val="22"/>
          <w:szCs w:val="22"/>
          <w:lang w:val="sv-SE"/>
        </w:rPr>
      </w:pPr>
    </w:p>
    <w:p w:rsidR="00EC1BBC" w:rsidRPr="006E5536" w:rsidRDefault="00EC1BBC" w:rsidP="006E5536">
      <w:pPr>
        <w:tabs>
          <w:tab w:val="left" w:pos="540"/>
          <w:tab w:val="left" w:pos="569"/>
        </w:tabs>
        <w:jc w:val="both"/>
        <w:rPr>
          <w:b/>
          <w:bCs/>
          <w:sz w:val="22"/>
          <w:szCs w:val="22"/>
        </w:rPr>
      </w:pPr>
      <w:r w:rsidRPr="006E5536">
        <w:rPr>
          <w:b/>
          <w:bCs/>
          <w:sz w:val="22"/>
          <w:szCs w:val="22"/>
        </w:rPr>
        <w:t xml:space="preserve">2. </w:t>
      </w:r>
      <w:r w:rsidRPr="006E5536">
        <w:rPr>
          <w:b/>
          <w:bCs/>
          <w:sz w:val="22"/>
          <w:szCs w:val="22"/>
        </w:rPr>
        <w:tab/>
        <w:t>KVALITATIVNI I KVANTITATIVNI SASTAV</w:t>
      </w:r>
    </w:p>
    <w:p w:rsidR="00DB0FC4" w:rsidRPr="006E5536" w:rsidRDefault="00DB0FC4" w:rsidP="006E5536">
      <w:pPr>
        <w:tabs>
          <w:tab w:val="left" w:pos="540"/>
          <w:tab w:val="left" w:pos="569"/>
        </w:tabs>
        <w:jc w:val="both"/>
        <w:rPr>
          <w:b/>
          <w:bCs/>
          <w:sz w:val="22"/>
          <w:szCs w:val="22"/>
        </w:rPr>
      </w:pPr>
    </w:p>
    <w:p w:rsidR="00DB0FC4" w:rsidRPr="006E5536" w:rsidRDefault="00DB0FC4" w:rsidP="006E5536">
      <w:pPr>
        <w:contextualSpacing/>
        <w:jc w:val="both"/>
        <w:rPr>
          <w:sz w:val="22"/>
          <w:szCs w:val="22"/>
          <w:lang w:val="sv-SE"/>
        </w:rPr>
      </w:pPr>
      <w:r w:rsidRPr="006E5536">
        <w:rPr>
          <w:sz w:val="22"/>
          <w:szCs w:val="22"/>
          <w:lang w:val="sv-SE"/>
        </w:rPr>
        <w:t xml:space="preserve">Svaka pojedinačna inhalacija obezbjeđuje isporučenu dozu (doza lijeka koja se oslobodi iz inhalatora) od </w:t>
      </w:r>
      <w:r w:rsidR="002A3A7D" w:rsidRPr="006E5536">
        <w:rPr>
          <w:sz w:val="22"/>
          <w:szCs w:val="22"/>
          <w:lang w:val="sv-SE"/>
        </w:rPr>
        <w:t xml:space="preserve">55 mikrograma umeklidinijuma </w:t>
      </w:r>
      <w:r w:rsidRPr="006E5536">
        <w:rPr>
          <w:sz w:val="22"/>
          <w:szCs w:val="22"/>
          <w:lang w:val="sv-SE"/>
        </w:rPr>
        <w:t>(odgovara</w:t>
      </w:r>
      <w:r w:rsidR="002A3A7D" w:rsidRPr="006E5536">
        <w:rPr>
          <w:sz w:val="22"/>
          <w:szCs w:val="22"/>
          <w:lang w:val="sv-SE"/>
        </w:rPr>
        <w:t xml:space="preserve"> 65 mikrograma umeklidinijum bromida</w:t>
      </w:r>
      <w:r w:rsidRPr="006E5536">
        <w:rPr>
          <w:sz w:val="22"/>
          <w:szCs w:val="22"/>
          <w:lang w:val="sv-SE"/>
        </w:rPr>
        <w:t xml:space="preserve">). Navedena količina odgovara odmjerenoj dozi od </w:t>
      </w:r>
      <w:r w:rsidR="002A3A7D" w:rsidRPr="006E5536">
        <w:rPr>
          <w:sz w:val="22"/>
          <w:szCs w:val="22"/>
          <w:lang w:val="sv-SE"/>
        </w:rPr>
        <w:t>62.5 mikrograma umeklidinijuma</w:t>
      </w:r>
      <w:r w:rsidR="00F85007" w:rsidRPr="006E5536">
        <w:rPr>
          <w:sz w:val="22"/>
          <w:szCs w:val="22"/>
          <w:lang w:val="sv-SE"/>
        </w:rPr>
        <w:t xml:space="preserve"> </w:t>
      </w:r>
      <w:r w:rsidRPr="006E5536">
        <w:rPr>
          <w:sz w:val="22"/>
          <w:szCs w:val="22"/>
          <w:lang w:val="sv-SE"/>
        </w:rPr>
        <w:t>(odgovara</w:t>
      </w:r>
      <w:r w:rsidR="00CE16B2" w:rsidRPr="006E5536">
        <w:rPr>
          <w:sz w:val="22"/>
          <w:szCs w:val="22"/>
          <w:lang w:val="sv-SE"/>
        </w:rPr>
        <w:t xml:space="preserve"> </w:t>
      </w:r>
      <w:r w:rsidR="002A3A7D" w:rsidRPr="006E5536">
        <w:rPr>
          <w:sz w:val="22"/>
          <w:szCs w:val="22"/>
          <w:lang w:val="sv-SE"/>
        </w:rPr>
        <w:t>74.2 mikrograma umeklidinijum bromida</w:t>
      </w:r>
      <w:r w:rsidRPr="006E5536">
        <w:rPr>
          <w:sz w:val="22"/>
          <w:szCs w:val="22"/>
          <w:lang w:val="sv-SE"/>
        </w:rPr>
        <w:t>).</w:t>
      </w:r>
    </w:p>
    <w:p w:rsidR="00DB0FC4" w:rsidRPr="006E5536" w:rsidRDefault="00DB0FC4" w:rsidP="006E5536">
      <w:pPr>
        <w:contextualSpacing/>
        <w:jc w:val="both"/>
        <w:rPr>
          <w:sz w:val="22"/>
          <w:szCs w:val="22"/>
          <w:lang w:val="sv-SE"/>
        </w:rPr>
      </w:pPr>
    </w:p>
    <w:p w:rsidR="00DB0FC4" w:rsidRPr="006E5536" w:rsidRDefault="00DB0FC4" w:rsidP="006E5536">
      <w:pPr>
        <w:contextualSpacing/>
        <w:jc w:val="both"/>
        <w:rPr>
          <w:sz w:val="22"/>
          <w:szCs w:val="22"/>
          <w:u w:val="single"/>
          <w:lang w:val="sv-SE"/>
        </w:rPr>
      </w:pPr>
      <w:r w:rsidRPr="006E5536">
        <w:rPr>
          <w:sz w:val="22"/>
          <w:szCs w:val="22"/>
          <w:u w:val="single"/>
          <w:lang w:val="sv-SE"/>
        </w:rPr>
        <w:t>Pomoćne supstance sa potvrđenim dejstvom:</w:t>
      </w:r>
    </w:p>
    <w:p w:rsidR="00DB0FC4" w:rsidRPr="006E5536" w:rsidRDefault="00DB0FC4" w:rsidP="006E5536">
      <w:pPr>
        <w:contextualSpacing/>
        <w:jc w:val="both"/>
        <w:rPr>
          <w:sz w:val="22"/>
          <w:szCs w:val="22"/>
          <w:lang w:val="sv-SE"/>
        </w:rPr>
      </w:pPr>
      <w:r w:rsidRPr="006E5536">
        <w:rPr>
          <w:sz w:val="22"/>
          <w:szCs w:val="22"/>
          <w:lang w:val="sv-SE"/>
        </w:rPr>
        <w:t xml:space="preserve">Svaka oslobođena doza lijeka </w:t>
      </w:r>
      <w:r w:rsidRPr="006E5536">
        <w:rPr>
          <w:sz w:val="22"/>
          <w:szCs w:val="22"/>
        </w:rPr>
        <w:t>Incruse</w:t>
      </w:r>
      <w:r w:rsidRPr="006E5536">
        <w:rPr>
          <w:sz w:val="22"/>
          <w:szCs w:val="22"/>
          <w:vertAlign w:val="superscript"/>
        </w:rPr>
        <w:t>®</w:t>
      </w:r>
      <w:r w:rsidRPr="006E5536">
        <w:rPr>
          <w:sz w:val="22"/>
          <w:szCs w:val="22"/>
        </w:rPr>
        <w:t xml:space="preserve"> </w:t>
      </w:r>
      <w:r w:rsidRPr="006E5536">
        <w:rPr>
          <w:sz w:val="22"/>
          <w:szCs w:val="22"/>
          <w:lang w:val="sv-SE"/>
        </w:rPr>
        <w:t>sadrži približno 12.5mg laktoze (u obliku laktoze, monohidrat).</w:t>
      </w:r>
    </w:p>
    <w:p w:rsidR="00DB0FC4" w:rsidRPr="006E5536" w:rsidRDefault="00DB0FC4" w:rsidP="006E5536">
      <w:pPr>
        <w:contextualSpacing/>
        <w:jc w:val="both"/>
        <w:rPr>
          <w:sz w:val="22"/>
          <w:szCs w:val="22"/>
          <w:lang w:val="sv-SE"/>
        </w:rPr>
      </w:pPr>
    </w:p>
    <w:p w:rsidR="00DB0FC4" w:rsidRPr="006E5536" w:rsidRDefault="00DB0FC4" w:rsidP="006E5536">
      <w:pPr>
        <w:pStyle w:val="Header"/>
        <w:tabs>
          <w:tab w:val="left" w:pos="284"/>
        </w:tabs>
        <w:contextualSpacing/>
        <w:jc w:val="both"/>
        <w:rPr>
          <w:sz w:val="22"/>
          <w:szCs w:val="22"/>
          <w:lang w:val="sv-SE"/>
        </w:rPr>
      </w:pPr>
      <w:r w:rsidRPr="006E5536">
        <w:rPr>
          <w:sz w:val="22"/>
          <w:szCs w:val="22"/>
          <w:lang w:val="sv-SE"/>
        </w:rPr>
        <w:t>Za kompletnu listu pomoćnih supstanci, vidjeti odjeljak 6.1.</w:t>
      </w:r>
    </w:p>
    <w:p w:rsidR="00EC1BBC" w:rsidRPr="006E5536" w:rsidRDefault="00EC1BBC" w:rsidP="006E5536">
      <w:pPr>
        <w:jc w:val="both"/>
        <w:rPr>
          <w:sz w:val="22"/>
          <w:szCs w:val="22"/>
          <w:lang w:val="sr-Latn-CS"/>
        </w:rPr>
      </w:pPr>
    </w:p>
    <w:p w:rsidR="00EC1BBC" w:rsidRPr="006E5536" w:rsidRDefault="00EC1BBC" w:rsidP="006E5536">
      <w:pPr>
        <w:tabs>
          <w:tab w:val="left" w:pos="540"/>
          <w:tab w:val="left" w:pos="569"/>
        </w:tabs>
        <w:jc w:val="both"/>
        <w:rPr>
          <w:b/>
          <w:bCs/>
          <w:sz w:val="22"/>
          <w:szCs w:val="22"/>
        </w:rPr>
      </w:pPr>
      <w:r w:rsidRPr="006E5536">
        <w:rPr>
          <w:b/>
          <w:bCs/>
          <w:sz w:val="22"/>
          <w:szCs w:val="22"/>
        </w:rPr>
        <w:t xml:space="preserve">3. </w:t>
      </w:r>
      <w:r w:rsidRPr="006E5536">
        <w:rPr>
          <w:b/>
          <w:bCs/>
          <w:sz w:val="22"/>
          <w:szCs w:val="22"/>
        </w:rPr>
        <w:tab/>
        <w:t>FARMACEUTSKI OBLIK</w:t>
      </w:r>
    </w:p>
    <w:p w:rsidR="006E61FA" w:rsidRPr="006E5536" w:rsidRDefault="006E61FA" w:rsidP="006E5536">
      <w:pPr>
        <w:tabs>
          <w:tab w:val="left" w:pos="540"/>
          <w:tab w:val="left" w:pos="569"/>
        </w:tabs>
        <w:jc w:val="both"/>
        <w:rPr>
          <w:b/>
          <w:bCs/>
          <w:sz w:val="22"/>
          <w:szCs w:val="22"/>
        </w:rPr>
      </w:pPr>
    </w:p>
    <w:p w:rsidR="006E61FA" w:rsidRPr="006E5536" w:rsidRDefault="00506912" w:rsidP="006E5536">
      <w:pPr>
        <w:pStyle w:val="BodyText"/>
        <w:contextualSpacing/>
        <w:jc w:val="both"/>
        <w:rPr>
          <w:sz w:val="22"/>
          <w:szCs w:val="22"/>
          <w:lang w:val="en-US"/>
        </w:rPr>
      </w:pPr>
      <w:r>
        <w:rPr>
          <w:sz w:val="22"/>
          <w:szCs w:val="22"/>
          <w:lang w:val="en-US"/>
        </w:rPr>
        <w:t>P</w:t>
      </w:r>
      <w:r w:rsidR="006E61FA" w:rsidRPr="006E5536">
        <w:rPr>
          <w:sz w:val="22"/>
          <w:szCs w:val="22"/>
          <w:lang w:val="en-US"/>
        </w:rPr>
        <w:t>rašak za inhalaciju, podijeljen</w:t>
      </w:r>
      <w:r>
        <w:rPr>
          <w:sz w:val="22"/>
          <w:szCs w:val="22"/>
          <w:lang w:val="en-US"/>
        </w:rPr>
        <w:t>.</w:t>
      </w:r>
    </w:p>
    <w:p w:rsidR="006E61FA" w:rsidRPr="006E5536" w:rsidRDefault="006E61FA" w:rsidP="006E5536">
      <w:pPr>
        <w:pStyle w:val="BodyText"/>
        <w:contextualSpacing/>
        <w:jc w:val="both"/>
        <w:rPr>
          <w:sz w:val="22"/>
          <w:szCs w:val="22"/>
          <w:lang w:val="en-US"/>
        </w:rPr>
      </w:pPr>
    </w:p>
    <w:p w:rsidR="006E61FA" w:rsidRPr="006E5536" w:rsidRDefault="006E61FA" w:rsidP="006E5536">
      <w:pPr>
        <w:pStyle w:val="BodyText"/>
        <w:contextualSpacing/>
        <w:jc w:val="both"/>
        <w:rPr>
          <w:sz w:val="22"/>
          <w:szCs w:val="22"/>
          <w:lang w:val="en-US"/>
        </w:rPr>
      </w:pPr>
      <w:r w:rsidRPr="006E5536">
        <w:rPr>
          <w:sz w:val="22"/>
          <w:szCs w:val="22"/>
          <w:lang w:val="en-US"/>
        </w:rPr>
        <w:t>Prašak bij</w:t>
      </w:r>
      <w:r w:rsidR="005237BC" w:rsidRPr="006E5536">
        <w:rPr>
          <w:sz w:val="22"/>
          <w:szCs w:val="22"/>
          <w:lang w:val="en-US"/>
        </w:rPr>
        <w:t xml:space="preserve">ele boje u inhaleru </w:t>
      </w:r>
      <w:r w:rsidRPr="006E5536">
        <w:rPr>
          <w:sz w:val="22"/>
          <w:szCs w:val="22"/>
          <w:lang w:val="en-US"/>
        </w:rPr>
        <w:t>sive boje (Ellipta</w:t>
      </w:r>
      <w:r w:rsidRPr="006E5536">
        <w:rPr>
          <w:sz w:val="22"/>
          <w:szCs w:val="22"/>
          <w:vertAlign w:val="superscript"/>
          <w:lang w:val="en-US"/>
        </w:rPr>
        <w:t>®</w:t>
      </w:r>
      <w:r w:rsidRPr="006E5536">
        <w:rPr>
          <w:sz w:val="22"/>
          <w:szCs w:val="22"/>
          <w:lang w:val="en-US"/>
        </w:rPr>
        <w:t>) sa poklopcem nastavka za usta svjetlozelene boje i brojačem doza.</w:t>
      </w:r>
    </w:p>
    <w:p w:rsidR="00EC1BBC" w:rsidRPr="006E5536" w:rsidRDefault="00EC1BBC" w:rsidP="006E5536">
      <w:pPr>
        <w:jc w:val="both"/>
        <w:rPr>
          <w:bCs/>
          <w:sz w:val="22"/>
          <w:szCs w:val="22"/>
          <w:lang w:val="sr-Latn-CS"/>
        </w:rPr>
      </w:pPr>
    </w:p>
    <w:p w:rsidR="00EC1BBC" w:rsidRPr="006E5536" w:rsidRDefault="00EC1BBC" w:rsidP="006E5536">
      <w:pPr>
        <w:tabs>
          <w:tab w:val="left" w:pos="540"/>
          <w:tab w:val="left" w:pos="569"/>
        </w:tabs>
        <w:jc w:val="both"/>
        <w:rPr>
          <w:b/>
          <w:bCs/>
          <w:sz w:val="22"/>
          <w:szCs w:val="22"/>
        </w:rPr>
      </w:pPr>
      <w:r w:rsidRPr="006E5536">
        <w:rPr>
          <w:b/>
          <w:bCs/>
          <w:sz w:val="22"/>
          <w:szCs w:val="22"/>
        </w:rPr>
        <w:t xml:space="preserve">4. </w:t>
      </w:r>
      <w:r w:rsidRPr="006E5536">
        <w:rPr>
          <w:b/>
          <w:bCs/>
          <w:sz w:val="22"/>
          <w:szCs w:val="22"/>
        </w:rPr>
        <w:tab/>
        <w:t>KLINIČKI PODACI</w:t>
      </w:r>
    </w:p>
    <w:p w:rsidR="00EC1BBC" w:rsidRPr="006E5536" w:rsidRDefault="00EC1BBC" w:rsidP="006E5536">
      <w:pPr>
        <w:tabs>
          <w:tab w:val="left" w:pos="540"/>
          <w:tab w:val="left" w:pos="569"/>
        </w:tabs>
        <w:jc w:val="both"/>
        <w:rPr>
          <w:bCs/>
          <w:sz w:val="22"/>
          <w:szCs w:val="22"/>
        </w:rPr>
      </w:pPr>
    </w:p>
    <w:p w:rsidR="00EC1BBC" w:rsidRPr="006E5536" w:rsidRDefault="00EC1BBC" w:rsidP="006E5536">
      <w:pPr>
        <w:tabs>
          <w:tab w:val="left" w:pos="540"/>
          <w:tab w:val="left" w:pos="569"/>
        </w:tabs>
        <w:jc w:val="both"/>
        <w:rPr>
          <w:b/>
          <w:bCs/>
          <w:sz w:val="22"/>
          <w:szCs w:val="22"/>
        </w:rPr>
      </w:pPr>
      <w:r w:rsidRPr="006E5536">
        <w:rPr>
          <w:b/>
          <w:bCs/>
          <w:sz w:val="22"/>
          <w:szCs w:val="22"/>
        </w:rPr>
        <w:t xml:space="preserve">4.1. </w:t>
      </w:r>
      <w:r w:rsidRPr="006E5536">
        <w:rPr>
          <w:b/>
          <w:bCs/>
          <w:sz w:val="22"/>
          <w:szCs w:val="22"/>
        </w:rPr>
        <w:tab/>
        <w:t>Terapijske indikacije</w:t>
      </w:r>
    </w:p>
    <w:p w:rsidR="000452D3" w:rsidRPr="006E5536" w:rsidRDefault="000452D3" w:rsidP="006E5536">
      <w:pPr>
        <w:tabs>
          <w:tab w:val="left" w:pos="540"/>
          <w:tab w:val="left" w:pos="569"/>
        </w:tabs>
        <w:jc w:val="both"/>
        <w:rPr>
          <w:b/>
          <w:bCs/>
          <w:sz w:val="22"/>
          <w:szCs w:val="22"/>
        </w:rPr>
      </w:pPr>
    </w:p>
    <w:p w:rsidR="009B6915" w:rsidRPr="006E5536" w:rsidRDefault="000452D3" w:rsidP="006E5536">
      <w:pPr>
        <w:contextualSpacing/>
        <w:jc w:val="both"/>
        <w:rPr>
          <w:sz w:val="22"/>
          <w:szCs w:val="22"/>
          <w:lang w:val="sv-SE"/>
        </w:rPr>
      </w:pPr>
      <w:r w:rsidRPr="006E5536">
        <w:rPr>
          <w:sz w:val="22"/>
          <w:szCs w:val="22"/>
        </w:rPr>
        <w:t>Lijek Incruse</w:t>
      </w:r>
      <w:r w:rsidRPr="006E5536">
        <w:rPr>
          <w:sz w:val="22"/>
          <w:szCs w:val="22"/>
          <w:vertAlign w:val="superscript"/>
        </w:rPr>
        <w:t>®</w:t>
      </w:r>
      <w:r w:rsidRPr="006E5536">
        <w:rPr>
          <w:sz w:val="22"/>
          <w:szCs w:val="22"/>
        </w:rPr>
        <w:t xml:space="preserve"> je indikovan kao bronhodilatatorna terapija </w:t>
      </w:r>
      <w:r w:rsidRPr="006E5536">
        <w:rPr>
          <w:sz w:val="22"/>
          <w:szCs w:val="22"/>
          <w:lang w:val="sv-SE"/>
        </w:rPr>
        <w:t xml:space="preserve">održavanja u cilju </w:t>
      </w:r>
      <w:r w:rsidR="002304E7" w:rsidRPr="006E5536">
        <w:rPr>
          <w:sz w:val="22"/>
          <w:szCs w:val="22"/>
          <w:lang w:val="sv-SE"/>
        </w:rPr>
        <w:t xml:space="preserve">ublažavanja </w:t>
      </w:r>
      <w:r w:rsidRPr="006E5536">
        <w:rPr>
          <w:sz w:val="22"/>
          <w:szCs w:val="22"/>
          <w:lang w:val="sv-SE"/>
        </w:rPr>
        <w:t>simptoma kod odraslih pacijenata sa hroničnom opstruktivnom bolesti pluća (HOBP).</w:t>
      </w:r>
    </w:p>
    <w:p w:rsidR="00437094" w:rsidRPr="006E5536" w:rsidRDefault="00437094" w:rsidP="006E5536">
      <w:pPr>
        <w:tabs>
          <w:tab w:val="left" w:pos="540"/>
          <w:tab w:val="left" w:pos="569"/>
        </w:tabs>
        <w:jc w:val="both"/>
        <w:rPr>
          <w:b/>
          <w:bCs/>
          <w:sz w:val="22"/>
          <w:szCs w:val="22"/>
        </w:rPr>
      </w:pPr>
    </w:p>
    <w:p w:rsidR="00437094" w:rsidRPr="006E5536" w:rsidRDefault="00437094" w:rsidP="006E5536">
      <w:pPr>
        <w:tabs>
          <w:tab w:val="left" w:pos="540"/>
          <w:tab w:val="left" w:pos="569"/>
        </w:tabs>
        <w:jc w:val="both"/>
        <w:rPr>
          <w:b/>
          <w:bCs/>
          <w:sz w:val="22"/>
          <w:szCs w:val="22"/>
          <w:lang w:val="sr-Latn-CS"/>
        </w:rPr>
      </w:pPr>
      <w:r w:rsidRPr="006E5536">
        <w:rPr>
          <w:b/>
          <w:bCs/>
          <w:sz w:val="22"/>
          <w:szCs w:val="22"/>
        </w:rPr>
        <w:t xml:space="preserve">4.2. </w:t>
      </w:r>
      <w:r w:rsidRPr="006E5536">
        <w:rPr>
          <w:b/>
          <w:bCs/>
          <w:sz w:val="22"/>
          <w:szCs w:val="22"/>
        </w:rPr>
        <w:tab/>
        <w:t>Doziranje i način primjene</w:t>
      </w:r>
    </w:p>
    <w:p w:rsidR="009B6915" w:rsidRPr="006E5536" w:rsidRDefault="00A923D8" w:rsidP="006E5536">
      <w:pPr>
        <w:contextualSpacing/>
        <w:jc w:val="both"/>
        <w:rPr>
          <w:sz w:val="22"/>
          <w:szCs w:val="22"/>
          <w:u w:val="single"/>
        </w:rPr>
      </w:pPr>
      <w:r w:rsidRPr="006E5536">
        <w:rPr>
          <w:sz w:val="22"/>
          <w:szCs w:val="22"/>
          <w:u w:val="single"/>
        </w:rPr>
        <w:t>Doziranje</w:t>
      </w:r>
    </w:p>
    <w:p w:rsidR="009B6915" w:rsidRPr="006E5536" w:rsidRDefault="009B6915" w:rsidP="006E5536">
      <w:pPr>
        <w:contextualSpacing/>
        <w:jc w:val="both"/>
        <w:rPr>
          <w:sz w:val="22"/>
          <w:szCs w:val="22"/>
        </w:rPr>
      </w:pPr>
    </w:p>
    <w:p w:rsidR="009B6915" w:rsidRPr="006E5536" w:rsidRDefault="00A923D8" w:rsidP="006E5536">
      <w:pPr>
        <w:contextualSpacing/>
        <w:jc w:val="both"/>
        <w:rPr>
          <w:i/>
          <w:sz w:val="22"/>
          <w:szCs w:val="22"/>
        </w:rPr>
      </w:pPr>
      <w:r w:rsidRPr="006E5536">
        <w:rPr>
          <w:i/>
          <w:sz w:val="22"/>
          <w:szCs w:val="22"/>
        </w:rPr>
        <w:t xml:space="preserve">Odrasle osobe </w:t>
      </w:r>
    </w:p>
    <w:p w:rsidR="009B6915" w:rsidRPr="006E5536" w:rsidRDefault="00A923D8" w:rsidP="006E5536">
      <w:pPr>
        <w:contextualSpacing/>
        <w:jc w:val="both"/>
        <w:rPr>
          <w:sz w:val="22"/>
          <w:szCs w:val="22"/>
        </w:rPr>
      </w:pPr>
      <w:r w:rsidRPr="006E5536">
        <w:rPr>
          <w:sz w:val="22"/>
          <w:szCs w:val="22"/>
        </w:rPr>
        <w:t>Preporučena doza je jedna inhalacija lijeka Incruse</w:t>
      </w:r>
      <w:r w:rsidRPr="006E5536">
        <w:rPr>
          <w:sz w:val="22"/>
          <w:szCs w:val="22"/>
          <w:vertAlign w:val="superscript"/>
        </w:rPr>
        <w:t>®</w:t>
      </w:r>
      <w:r w:rsidRPr="006E5536">
        <w:rPr>
          <w:sz w:val="22"/>
          <w:szCs w:val="22"/>
        </w:rPr>
        <w:t xml:space="preserve"> primijenjena jednom dnevno.</w:t>
      </w:r>
    </w:p>
    <w:p w:rsidR="009B6915" w:rsidRPr="006E5536" w:rsidRDefault="009B6915" w:rsidP="006E5536">
      <w:pPr>
        <w:contextualSpacing/>
        <w:jc w:val="both"/>
        <w:rPr>
          <w:sz w:val="22"/>
          <w:szCs w:val="22"/>
        </w:rPr>
      </w:pPr>
    </w:p>
    <w:p w:rsidR="009B6915" w:rsidRPr="006E5536" w:rsidRDefault="00A923D8" w:rsidP="006E5536">
      <w:pPr>
        <w:contextualSpacing/>
        <w:jc w:val="both"/>
        <w:rPr>
          <w:sz w:val="22"/>
          <w:szCs w:val="22"/>
        </w:rPr>
      </w:pPr>
      <w:r w:rsidRPr="006E5536">
        <w:rPr>
          <w:sz w:val="22"/>
          <w:szCs w:val="22"/>
        </w:rPr>
        <w:t>Lijek Incruse</w:t>
      </w:r>
      <w:r w:rsidRPr="006E5536">
        <w:rPr>
          <w:sz w:val="22"/>
          <w:szCs w:val="22"/>
          <w:vertAlign w:val="superscript"/>
        </w:rPr>
        <w:t xml:space="preserve">® </w:t>
      </w:r>
      <w:r w:rsidRPr="006E5536">
        <w:rPr>
          <w:sz w:val="22"/>
          <w:szCs w:val="22"/>
        </w:rPr>
        <w:t>je potrebno upotrebljavati jednom dnevno, svakog dana u isto vrijeme u cilju održavanja bronhodilatacije. Maksimalna doza koja može biti primijenjena je jedna inhalacija lijeka Incruse</w:t>
      </w:r>
      <w:r w:rsidRPr="006E5536">
        <w:rPr>
          <w:sz w:val="22"/>
          <w:szCs w:val="22"/>
          <w:vertAlign w:val="superscript"/>
        </w:rPr>
        <w:t>®</w:t>
      </w:r>
      <w:r w:rsidRPr="006E5536">
        <w:rPr>
          <w:sz w:val="22"/>
          <w:szCs w:val="22"/>
        </w:rPr>
        <w:t xml:space="preserve"> primijenjena jednom dnevno.</w:t>
      </w:r>
    </w:p>
    <w:p w:rsidR="009B6915" w:rsidRPr="006E5536" w:rsidRDefault="009B6915">
      <w:pPr>
        <w:contextualSpacing/>
        <w:jc w:val="both"/>
        <w:rPr>
          <w:sz w:val="22"/>
          <w:szCs w:val="22"/>
        </w:rPr>
      </w:pPr>
    </w:p>
    <w:p w:rsidR="009B6915" w:rsidRPr="006E5536" w:rsidRDefault="00A923D8">
      <w:pPr>
        <w:pStyle w:val="BodyText"/>
        <w:contextualSpacing/>
        <w:jc w:val="both"/>
        <w:rPr>
          <w:i/>
          <w:sz w:val="22"/>
          <w:szCs w:val="22"/>
          <w:u w:val="single"/>
          <w:lang w:val="sl-SI"/>
        </w:rPr>
      </w:pPr>
      <w:r w:rsidRPr="006E5536">
        <w:rPr>
          <w:i/>
          <w:sz w:val="22"/>
          <w:szCs w:val="22"/>
          <w:u w:val="single"/>
          <w:lang w:val="sl-SI"/>
        </w:rPr>
        <w:t>Posebne grupe pacijenata:</w:t>
      </w:r>
    </w:p>
    <w:p w:rsidR="009B6915" w:rsidRPr="006E5536" w:rsidRDefault="009B6915">
      <w:pPr>
        <w:pStyle w:val="BodyText"/>
        <w:contextualSpacing/>
        <w:jc w:val="both"/>
        <w:rPr>
          <w:i/>
          <w:sz w:val="22"/>
          <w:szCs w:val="22"/>
          <w:u w:val="single"/>
          <w:lang w:val="sl-SI"/>
        </w:rPr>
      </w:pPr>
    </w:p>
    <w:p w:rsidR="009B6915" w:rsidRPr="006E5536" w:rsidRDefault="00A923D8">
      <w:pPr>
        <w:contextualSpacing/>
        <w:jc w:val="both"/>
        <w:rPr>
          <w:sz w:val="22"/>
          <w:szCs w:val="22"/>
        </w:rPr>
      </w:pPr>
      <w:r w:rsidRPr="006E5536">
        <w:rPr>
          <w:i/>
          <w:sz w:val="22"/>
          <w:szCs w:val="22"/>
        </w:rPr>
        <w:lastRenderedPageBreak/>
        <w:t>Stariji pacijenti</w:t>
      </w:r>
    </w:p>
    <w:p w:rsidR="009B6915" w:rsidRPr="006E5536" w:rsidRDefault="00A923D8">
      <w:pPr>
        <w:contextualSpacing/>
        <w:jc w:val="both"/>
        <w:rPr>
          <w:sz w:val="22"/>
          <w:szCs w:val="22"/>
        </w:rPr>
      </w:pPr>
      <w:r w:rsidRPr="006E5536">
        <w:rPr>
          <w:sz w:val="22"/>
          <w:szCs w:val="22"/>
        </w:rPr>
        <w:t>Nije potrebno prilagođavanje doze kod pacijenata starijih od 65 godina (vidjeti odjeljak 5.2).</w:t>
      </w:r>
    </w:p>
    <w:p w:rsidR="009B6915" w:rsidRPr="006E5536" w:rsidRDefault="009B6915">
      <w:pPr>
        <w:contextualSpacing/>
        <w:jc w:val="both"/>
        <w:rPr>
          <w:sz w:val="22"/>
          <w:szCs w:val="22"/>
        </w:rPr>
      </w:pPr>
    </w:p>
    <w:p w:rsidR="009B6915" w:rsidRPr="006E5536" w:rsidRDefault="00A923D8">
      <w:pPr>
        <w:contextualSpacing/>
        <w:jc w:val="both"/>
        <w:rPr>
          <w:i/>
          <w:sz w:val="22"/>
          <w:szCs w:val="22"/>
        </w:rPr>
      </w:pPr>
      <w:r w:rsidRPr="006E5536">
        <w:rPr>
          <w:i/>
          <w:sz w:val="22"/>
          <w:szCs w:val="22"/>
        </w:rPr>
        <w:t>Pacijenti sa oštećenjem funkcije bubrega</w:t>
      </w:r>
    </w:p>
    <w:p w:rsidR="009B6915" w:rsidRPr="006E5536" w:rsidRDefault="00A923D8">
      <w:pPr>
        <w:contextualSpacing/>
        <w:jc w:val="both"/>
        <w:rPr>
          <w:sz w:val="22"/>
          <w:szCs w:val="22"/>
        </w:rPr>
      </w:pPr>
      <w:r w:rsidRPr="006E5536">
        <w:rPr>
          <w:sz w:val="22"/>
          <w:szCs w:val="22"/>
        </w:rPr>
        <w:t>Nije potrebno prilagođavanje doze kod pacijenata sa oštećenjem funkcije bubrega (vidjeti odjeljak 5.2).</w:t>
      </w:r>
    </w:p>
    <w:p w:rsidR="009B6915" w:rsidRPr="006E5536" w:rsidRDefault="009B6915">
      <w:pPr>
        <w:contextualSpacing/>
        <w:jc w:val="both"/>
        <w:rPr>
          <w:i/>
          <w:sz w:val="22"/>
          <w:szCs w:val="22"/>
        </w:rPr>
      </w:pPr>
    </w:p>
    <w:p w:rsidR="009B6915" w:rsidRPr="006E5536" w:rsidRDefault="00A923D8">
      <w:pPr>
        <w:contextualSpacing/>
        <w:jc w:val="both"/>
        <w:rPr>
          <w:i/>
          <w:sz w:val="22"/>
          <w:szCs w:val="22"/>
        </w:rPr>
      </w:pPr>
      <w:r w:rsidRPr="006E5536">
        <w:rPr>
          <w:i/>
          <w:sz w:val="22"/>
          <w:szCs w:val="22"/>
        </w:rPr>
        <w:t>Pacijenti sa oštećenjem funkcije jetre</w:t>
      </w:r>
    </w:p>
    <w:p w:rsidR="009B6915" w:rsidRPr="006E5536" w:rsidRDefault="00A923D8">
      <w:pPr>
        <w:contextualSpacing/>
        <w:jc w:val="both"/>
        <w:rPr>
          <w:sz w:val="22"/>
          <w:szCs w:val="22"/>
        </w:rPr>
      </w:pPr>
      <w:r w:rsidRPr="006E5536">
        <w:rPr>
          <w:sz w:val="22"/>
          <w:szCs w:val="22"/>
        </w:rPr>
        <w:t>Nije potrebno prilagođavanje doze kod pacijenata sa blagim ili umjerenim oštećenjem funkcije jetre. Primjena lijeka Incruse</w:t>
      </w:r>
      <w:r w:rsidRPr="006E5536">
        <w:rPr>
          <w:sz w:val="22"/>
          <w:szCs w:val="22"/>
          <w:vertAlign w:val="superscript"/>
        </w:rPr>
        <w:t>®</w:t>
      </w:r>
      <w:r w:rsidRPr="006E5536">
        <w:rPr>
          <w:sz w:val="22"/>
          <w:szCs w:val="22"/>
        </w:rPr>
        <w:t xml:space="preserve"> nije ispitivana kod pacijenata sa teškim oštećenjem jetre i stoga je potreban oprez prilikom primjene lijeka u navedenoj populaciji pacijenata (vidjeti odjeljak 5.2).</w:t>
      </w:r>
    </w:p>
    <w:p w:rsidR="009B6915" w:rsidRPr="006E5536" w:rsidRDefault="009B6915">
      <w:pPr>
        <w:contextualSpacing/>
        <w:jc w:val="both"/>
        <w:rPr>
          <w:sz w:val="22"/>
          <w:szCs w:val="22"/>
        </w:rPr>
      </w:pPr>
    </w:p>
    <w:p w:rsidR="009B6915" w:rsidRPr="006E5536" w:rsidRDefault="00A923D8">
      <w:pPr>
        <w:contextualSpacing/>
        <w:jc w:val="both"/>
        <w:rPr>
          <w:i/>
          <w:sz w:val="22"/>
          <w:szCs w:val="22"/>
        </w:rPr>
      </w:pPr>
      <w:r w:rsidRPr="006E5536">
        <w:rPr>
          <w:i/>
          <w:sz w:val="22"/>
          <w:szCs w:val="22"/>
        </w:rPr>
        <w:t>Pedijatrijska populacija</w:t>
      </w:r>
    </w:p>
    <w:p w:rsidR="009B6915" w:rsidRPr="006E5536" w:rsidRDefault="009B6915">
      <w:pPr>
        <w:contextualSpacing/>
        <w:jc w:val="both"/>
        <w:rPr>
          <w:sz w:val="22"/>
          <w:szCs w:val="22"/>
        </w:rPr>
      </w:pPr>
    </w:p>
    <w:p w:rsidR="009B6915" w:rsidRPr="006E5536" w:rsidRDefault="00A923D8">
      <w:pPr>
        <w:contextualSpacing/>
        <w:jc w:val="both"/>
        <w:rPr>
          <w:sz w:val="22"/>
          <w:szCs w:val="22"/>
        </w:rPr>
      </w:pPr>
      <w:r w:rsidRPr="006E5536">
        <w:rPr>
          <w:sz w:val="22"/>
          <w:szCs w:val="22"/>
        </w:rPr>
        <w:t>Lijek Incruse</w:t>
      </w:r>
      <w:r w:rsidRPr="006E5536">
        <w:rPr>
          <w:sz w:val="22"/>
          <w:szCs w:val="22"/>
          <w:vertAlign w:val="superscript"/>
        </w:rPr>
        <w:t>®</w:t>
      </w:r>
      <w:r w:rsidRPr="006E5536">
        <w:rPr>
          <w:sz w:val="22"/>
          <w:szCs w:val="22"/>
        </w:rPr>
        <w:t xml:space="preserve"> nije pogodan za primjenu u pedijatrijskoj populaciji (kod pacijenata mlađih od 18 godina) u terapiji HOBP.</w:t>
      </w:r>
    </w:p>
    <w:p w:rsidR="009B6915" w:rsidRPr="006E5536" w:rsidRDefault="009B6915">
      <w:pPr>
        <w:contextualSpacing/>
        <w:jc w:val="both"/>
        <w:rPr>
          <w:sz w:val="22"/>
          <w:szCs w:val="22"/>
        </w:rPr>
      </w:pPr>
    </w:p>
    <w:p w:rsidR="009B6915" w:rsidRPr="006E5536" w:rsidRDefault="00A923D8">
      <w:pPr>
        <w:contextualSpacing/>
        <w:jc w:val="both"/>
        <w:rPr>
          <w:sz w:val="22"/>
          <w:szCs w:val="22"/>
          <w:u w:val="single"/>
        </w:rPr>
      </w:pPr>
      <w:r w:rsidRPr="006E5536">
        <w:rPr>
          <w:sz w:val="22"/>
          <w:szCs w:val="22"/>
          <w:u w:val="single"/>
        </w:rPr>
        <w:t>Način primjene:</w:t>
      </w:r>
    </w:p>
    <w:p w:rsidR="009B6915" w:rsidRPr="006E5536" w:rsidRDefault="009B6915">
      <w:pPr>
        <w:contextualSpacing/>
        <w:jc w:val="both"/>
        <w:rPr>
          <w:sz w:val="22"/>
          <w:szCs w:val="22"/>
          <w:u w:val="single"/>
        </w:rPr>
      </w:pPr>
    </w:p>
    <w:p w:rsidR="009B6915" w:rsidRPr="006E5536" w:rsidRDefault="00A923D8">
      <w:pPr>
        <w:contextualSpacing/>
        <w:jc w:val="both"/>
        <w:rPr>
          <w:sz w:val="22"/>
          <w:szCs w:val="22"/>
        </w:rPr>
      </w:pPr>
      <w:r w:rsidRPr="006E5536">
        <w:rPr>
          <w:sz w:val="22"/>
          <w:szCs w:val="22"/>
        </w:rPr>
        <w:t>Lijek Incruse</w:t>
      </w:r>
      <w:r w:rsidRPr="006E5536">
        <w:rPr>
          <w:sz w:val="22"/>
          <w:szCs w:val="22"/>
          <w:vertAlign w:val="superscript"/>
        </w:rPr>
        <w:t>®</w:t>
      </w:r>
      <w:r w:rsidRPr="006E5536">
        <w:rPr>
          <w:sz w:val="22"/>
          <w:szCs w:val="22"/>
        </w:rPr>
        <w:t xml:space="preserve"> je namijenjen isključivo za primjenu inhalacionim putem. </w:t>
      </w:r>
    </w:p>
    <w:p w:rsidR="009B6915" w:rsidRPr="006E5536" w:rsidRDefault="009B6915">
      <w:pPr>
        <w:contextualSpacing/>
        <w:jc w:val="both"/>
        <w:rPr>
          <w:sz w:val="22"/>
          <w:szCs w:val="22"/>
        </w:rPr>
      </w:pPr>
    </w:p>
    <w:p w:rsidR="00423B2D" w:rsidRPr="006E5536" w:rsidRDefault="00423B2D" w:rsidP="00552413">
      <w:pPr>
        <w:pStyle w:val="CommentText"/>
        <w:contextualSpacing/>
        <w:jc w:val="left"/>
        <w:rPr>
          <w:rFonts w:ascii="Times New Roman" w:hAnsi="Times New Roman"/>
          <w:b/>
          <w:sz w:val="22"/>
          <w:szCs w:val="22"/>
          <w:lang w:val="sl-SI"/>
        </w:rPr>
      </w:pPr>
      <w:r w:rsidRPr="006E5536">
        <w:rPr>
          <w:rFonts w:ascii="Times New Roman" w:hAnsi="Times New Roman"/>
          <w:b/>
          <w:sz w:val="22"/>
          <w:szCs w:val="22"/>
          <w:lang w:val="sl-SI"/>
        </w:rPr>
        <w:t>Uputstvo za upotrebu inhalera</w:t>
      </w:r>
    </w:p>
    <w:p w:rsidR="00423B2D" w:rsidRPr="006E5536" w:rsidRDefault="00423B2D" w:rsidP="00552413">
      <w:pPr>
        <w:contextualSpacing/>
        <w:rPr>
          <w:sz w:val="22"/>
          <w:szCs w:val="22"/>
          <w:lang w:val="sl-SI"/>
        </w:rPr>
      </w:pPr>
    </w:p>
    <w:p w:rsidR="009B6915" w:rsidRPr="006E5536" w:rsidRDefault="00423B2D">
      <w:pPr>
        <w:contextualSpacing/>
        <w:jc w:val="both"/>
        <w:rPr>
          <w:sz w:val="22"/>
          <w:szCs w:val="22"/>
          <w:lang w:val="sl-SI"/>
        </w:rPr>
      </w:pPr>
      <w:r w:rsidRPr="006E5536">
        <w:rPr>
          <w:sz w:val="22"/>
          <w:szCs w:val="22"/>
          <w:lang w:val="sl-SI"/>
        </w:rPr>
        <w:t>Inhaler Ellipta</w:t>
      </w:r>
      <w:r w:rsidRPr="006E5536">
        <w:rPr>
          <w:sz w:val="22"/>
          <w:szCs w:val="22"/>
          <w:vertAlign w:val="superscript"/>
          <w:lang w:val="sl-SI"/>
        </w:rPr>
        <w:t>®</w:t>
      </w:r>
      <w:r w:rsidRPr="006E5536">
        <w:rPr>
          <w:sz w:val="22"/>
          <w:szCs w:val="22"/>
          <w:lang w:val="sl-SI"/>
        </w:rPr>
        <w:t xml:space="preserve"> sadrži odmjerene doze lijeka i spreman je za upotrebu.</w:t>
      </w:r>
    </w:p>
    <w:p w:rsidR="009B6915" w:rsidRPr="006E5536" w:rsidRDefault="009B6915">
      <w:pPr>
        <w:contextualSpacing/>
        <w:jc w:val="both"/>
        <w:rPr>
          <w:sz w:val="22"/>
          <w:szCs w:val="22"/>
          <w:lang w:val="sl-SI"/>
        </w:rPr>
      </w:pPr>
    </w:p>
    <w:p w:rsidR="009B6915" w:rsidRPr="006E5536" w:rsidRDefault="00423B2D">
      <w:pPr>
        <w:contextualSpacing/>
        <w:jc w:val="both"/>
        <w:rPr>
          <w:sz w:val="22"/>
          <w:szCs w:val="22"/>
        </w:rPr>
      </w:pPr>
      <w:r w:rsidRPr="006E5536">
        <w:rPr>
          <w:sz w:val="22"/>
          <w:szCs w:val="22"/>
          <w:lang w:val="sl-SI"/>
        </w:rPr>
        <w:t xml:space="preserve">Inhaler </w:t>
      </w:r>
      <w:r w:rsidRPr="006E5536">
        <w:rPr>
          <w:sz w:val="22"/>
          <w:szCs w:val="22"/>
        </w:rPr>
        <w:t xml:space="preserve">se nalazi u kontejneru od višeslojne folije koji sadrži kesicu sa sredstvom za sušenje u cilju smanjenja vlage. Nakon otvaranja kontejnera, kesicu sa sredstvom za sušenje treba baciti. Sadržaj kesice sa sredstvom za sušenje ne </w:t>
      </w:r>
      <w:r w:rsidR="004B07E4" w:rsidRPr="006E5536">
        <w:rPr>
          <w:sz w:val="22"/>
          <w:szCs w:val="22"/>
        </w:rPr>
        <w:t>smije se progutati</w:t>
      </w:r>
      <w:r w:rsidRPr="006E5536">
        <w:rPr>
          <w:sz w:val="22"/>
          <w:szCs w:val="22"/>
        </w:rPr>
        <w:t xml:space="preserve"> niti inhalirati.</w:t>
      </w:r>
    </w:p>
    <w:p w:rsidR="009B6915" w:rsidRPr="006E5536" w:rsidRDefault="009B6915">
      <w:pPr>
        <w:contextualSpacing/>
        <w:jc w:val="both"/>
        <w:rPr>
          <w:sz w:val="22"/>
          <w:szCs w:val="22"/>
          <w:lang w:val="sl-SI"/>
        </w:rPr>
      </w:pPr>
    </w:p>
    <w:p w:rsidR="009B6915" w:rsidRPr="006E5536" w:rsidRDefault="00860042">
      <w:pPr>
        <w:contextualSpacing/>
        <w:jc w:val="both"/>
        <w:rPr>
          <w:sz w:val="22"/>
          <w:szCs w:val="22"/>
        </w:rPr>
      </w:pPr>
      <w:r w:rsidRPr="006E5536">
        <w:rPr>
          <w:sz w:val="22"/>
          <w:szCs w:val="22"/>
        </w:rPr>
        <w:t>Pacijente treba savjetovati da ne otvaraju  intermedijerno pakovanje sve dok ne budu spremni za inhaliranje doze lijeka.</w:t>
      </w:r>
    </w:p>
    <w:p w:rsidR="009B6915" w:rsidRPr="006E5536" w:rsidRDefault="009B6915">
      <w:pPr>
        <w:contextualSpacing/>
        <w:jc w:val="both"/>
        <w:rPr>
          <w:sz w:val="22"/>
          <w:szCs w:val="22"/>
          <w:lang w:val="sl-SI"/>
        </w:rPr>
      </w:pPr>
    </w:p>
    <w:p w:rsidR="009B6915" w:rsidRPr="006E5536" w:rsidRDefault="001A6F89">
      <w:pPr>
        <w:jc w:val="both"/>
        <w:rPr>
          <w:sz w:val="22"/>
          <w:szCs w:val="22"/>
        </w:rPr>
      </w:pPr>
      <w:r w:rsidRPr="006E5536">
        <w:rPr>
          <w:sz w:val="22"/>
          <w:szCs w:val="22"/>
        </w:rPr>
        <w:t>Inhaler se nalazi u ' zatvorenom' položaju kada se prvi put izvadi iz intermedijernog pakovanja. Datum kada lijek treba baciti mora se napisati</w:t>
      </w:r>
      <w:r w:rsidR="004B07E4" w:rsidRPr="006E5536">
        <w:rPr>
          <w:sz w:val="22"/>
          <w:szCs w:val="22"/>
        </w:rPr>
        <w:t xml:space="preserve"> na</w:t>
      </w:r>
      <w:r w:rsidRPr="006E5536">
        <w:rPr>
          <w:sz w:val="22"/>
          <w:szCs w:val="22"/>
        </w:rPr>
        <w:t xml:space="preserve"> predviđenom </w:t>
      </w:r>
      <w:r w:rsidR="004B07E4" w:rsidRPr="006E5536">
        <w:rPr>
          <w:sz w:val="22"/>
          <w:szCs w:val="22"/>
        </w:rPr>
        <w:t>mjestu</w:t>
      </w:r>
      <w:r w:rsidRPr="006E5536">
        <w:rPr>
          <w:sz w:val="22"/>
          <w:szCs w:val="22"/>
        </w:rPr>
        <w:t xml:space="preserve"> na naljepnici inhal</w:t>
      </w:r>
      <w:r w:rsidR="004B07E4" w:rsidRPr="006E5536">
        <w:rPr>
          <w:sz w:val="22"/>
          <w:szCs w:val="22"/>
        </w:rPr>
        <w:t>era (''Upotrebiti do: '')</w:t>
      </w:r>
      <w:r w:rsidRPr="006E5536">
        <w:rPr>
          <w:sz w:val="22"/>
          <w:szCs w:val="22"/>
        </w:rPr>
        <w:t>. Datum kada</w:t>
      </w:r>
      <w:r w:rsidR="004B07E4" w:rsidRPr="006E5536">
        <w:rPr>
          <w:sz w:val="22"/>
          <w:szCs w:val="22"/>
        </w:rPr>
        <w:t xml:space="preserve"> je</w:t>
      </w:r>
      <w:r w:rsidRPr="006E5536">
        <w:rPr>
          <w:sz w:val="22"/>
          <w:szCs w:val="22"/>
        </w:rPr>
        <w:t xml:space="preserve"> lijek </w:t>
      </w:r>
      <w:r w:rsidR="004B07E4" w:rsidRPr="006E5536">
        <w:rPr>
          <w:sz w:val="22"/>
          <w:szCs w:val="22"/>
        </w:rPr>
        <w:t>po</w:t>
      </w:r>
      <w:r w:rsidRPr="006E5536">
        <w:rPr>
          <w:sz w:val="22"/>
          <w:szCs w:val="22"/>
        </w:rPr>
        <w:t>treb</w:t>
      </w:r>
      <w:r w:rsidR="004B07E4" w:rsidRPr="006E5536">
        <w:rPr>
          <w:sz w:val="22"/>
          <w:szCs w:val="22"/>
        </w:rPr>
        <w:t>no</w:t>
      </w:r>
      <w:r w:rsidRPr="006E5536">
        <w:rPr>
          <w:sz w:val="22"/>
          <w:szCs w:val="22"/>
        </w:rPr>
        <w:t xml:space="preserve"> baciti je 6 nedjelja od dana otvaranja pakovanja. Nakon </w:t>
      </w:r>
      <w:r w:rsidR="004B07E4" w:rsidRPr="006E5536">
        <w:rPr>
          <w:sz w:val="22"/>
          <w:szCs w:val="22"/>
        </w:rPr>
        <w:t xml:space="preserve">tog </w:t>
      </w:r>
      <w:r w:rsidRPr="006E5536">
        <w:rPr>
          <w:sz w:val="22"/>
          <w:szCs w:val="22"/>
        </w:rPr>
        <w:t>datuma inhal</w:t>
      </w:r>
      <w:r w:rsidRPr="006E5536">
        <w:rPr>
          <w:sz w:val="22"/>
          <w:szCs w:val="22"/>
          <w:lang w:val="sl-SI"/>
        </w:rPr>
        <w:t xml:space="preserve">er se </w:t>
      </w:r>
      <w:r w:rsidR="004B07E4" w:rsidRPr="006E5536">
        <w:rPr>
          <w:sz w:val="22"/>
          <w:szCs w:val="22"/>
          <w:lang w:val="sl-SI"/>
        </w:rPr>
        <w:t xml:space="preserve">više </w:t>
      </w:r>
      <w:r w:rsidRPr="006E5536">
        <w:rPr>
          <w:sz w:val="22"/>
          <w:szCs w:val="22"/>
        </w:rPr>
        <w:t>ne smije koristiti. Nakon prvog otvaranja, intermedijerno pakovanje se može baciti.</w:t>
      </w:r>
    </w:p>
    <w:p w:rsidR="009B6915" w:rsidRPr="006E5536" w:rsidRDefault="009B6915">
      <w:pPr>
        <w:contextualSpacing/>
        <w:jc w:val="both"/>
        <w:rPr>
          <w:sz w:val="22"/>
          <w:szCs w:val="22"/>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 xml:space="preserve">Ukoliko se poklopac inhalera otvori i potom zatvori bez inhalacije lijeka, doza lijeka će se osloboditi. Oslobođena doza lijeka će ostati unutar inhalera, međutim neće biti dostupna za inhalaciju. </w:t>
      </w:r>
    </w:p>
    <w:p w:rsidR="009B6915" w:rsidRPr="006E5536" w:rsidRDefault="009B6915">
      <w:pPr>
        <w:ind w:firstLine="720"/>
        <w:contextualSpacing/>
        <w:jc w:val="both"/>
        <w:rPr>
          <w:sz w:val="22"/>
          <w:szCs w:val="22"/>
          <w:lang w:val="sl-SI"/>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Ne postoji mogućnost slučajnog uzimanja veće količine ili dvostruke doze lijeka prilikom jedne inhalacije lijeka.</w:t>
      </w:r>
    </w:p>
    <w:p w:rsidR="00423B2D" w:rsidRPr="006E5536" w:rsidRDefault="00423B2D" w:rsidP="00552413">
      <w:pPr>
        <w:contextualSpacing/>
        <w:rPr>
          <w:sz w:val="22"/>
          <w:szCs w:val="22"/>
          <w:lang w:val="sl-SI"/>
        </w:rPr>
      </w:pPr>
    </w:p>
    <w:p w:rsidR="00423B2D" w:rsidRPr="006E5536" w:rsidRDefault="00423B2D" w:rsidP="00552413">
      <w:pPr>
        <w:pStyle w:val="CommentText"/>
        <w:numPr>
          <w:ilvl w:val="0"/>
          <w:numId w:val="6"/>
        </w:numPr>
        <w:ind w:left="0" w:firstLine="0"/>
        <w:contextualSpacing/>
        <w:jc w:val="left"/>
        <w:rPr>
          <w:rFonts w:ascii="Times New Roman" w:hAnsi="Times New Roman"/>
          <w:b/>
          <w:sz w:val="22"/>
          <w:szCs w:val="22"/>
          <w:lang w:val="sl-SI"/>
        </w:rPr>
      </w:pPr>
      <w:r w:rsidRPr="006E5536">
        <w:rPr>
          <w:rFonts w:ascii="Times New Roman" w:hAnsi="Times New Roman"/>
          <w:b/>
          <w:sz w:val="22"/>
          <w:szCs w:val="22"/>
          <w:lang w:val="sl-SI"/>
        </w:rPr>
        <w:t xml:space="preserve">Priprema inhalera za primjenu lijeka </w:t>
      </w:r>
    </w:p>
    <w:p w:rsidR="00423B2D" w:rsidRPr="006E5536" w:rsidRDefault="00423B2D" w:rsidP="00552413">
      <w:pPr>
        <w:pStyle w:val="CommentText"/>
        <w:contextualSpacing/>
        <w:jc w:val="left"/>
        <w:rPr>
          <w:rFonts w:ascii="Times New Roman" w:hAnsi="Times New Roman"/>
          <w:sz w:val="22"/>
          <w:szCs w:val="22"/>
          <w:lang w:val="sl-SI"/>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Otvorite poklopac inhalera kada ste spremni da uzmete dozu lijeka. Nemojte tresti inhaler.</w:t>
      </w:r>
    </w:p>
    <w:p w:rsidR="009B6915" w:rsidRPr="006E5536" w:rsidRDefault="00423B2D">
      <w:pPr>
        <w:pStyle w:val="CommentText"/>
        <w:tabs>
          <w:tab w:val="clear" w:pos="284"/>
          <w:tab w:val="left" w:pos="1695"/>
        </w:tabs>
        <w:contextualSpacing/>
        <w:rPr>
          <w:rFonts w:ascii="Times New Roman" w:hAnsi="Times New Roman"/>
          <w:sz w:val="22"/>
          <w:szCs w:val="22"/>
          <w:lang w:val="sl-SI"/>
        </w:rPr>
      </w:pPr>
      <w:r w:rsidRPr="006E5536">
        <w:rPr>
          <w:rFonts w:ascii="Times New Roman" w:hAnsi="Times New Roman"/>
          <w:sz w:val="22"/>
          <w:szCs w:val="22"/>
          <w:lang w:val="sl-SI"/>
        </w:rPr>
        <w:tab/>
      </w: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Povlačite poklopac prema dolje sve dok ne čujete ''klik''. Doza lijeka je sada spremna za primjenu.</w:t>
      </w: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lastRenderedPageBreak/>
        <w:t>Broj na brojaču doza će se smanjiti za 1 u znak potvrde pripreme inhalera. Ukoliko se broj na brojaču doza ne smanji za 1 kada čujete ''klik'', inhaler neće osloboditi dozu lijeka, te je potrebno potražiti savjet farmaceuta.</w:t>
      </w:r>
    </w:p>
    <w:p w:rsidR="00423B2D" w:rsidRPr="006E5536" w:rsidRDefault="00423B2D" w:rsidP="00552413">
      <w:pPr>
        <w:pStyle w:val="CommentText"/>
        <w:contextualSpacing/>
        <w:jc w:val="left"/>
        <w:rPr>
          <w:rFonts w:ascii="Times New Roman" w:hAnsi="Times New Roman"/>
          <w:sz w:val="22"/>
          <w:szCs w:val="22"/>
          <w:lang w:val="sl-SI"/>
        </w:rPr>
      </w:pPr>
    </w:p>
    <w:p w:rsidR="00423B2D" w:rsidRPr="006E5536" w:rsidRDefault="00423B2D" w:rsidP="00552413">
      <w:pPr>
        <w:pStyle w:val="CommentText"/>
        <w:numPr>
          <w:ilvl w:val="0"/>
          <w:numId w:val="6"/>
        </w:numPr>
        <w:ind w:left="0" w:firstLine="0"/>
        <w:contextualSpacing/>
        <w:jc w:val="left"/>
        <w:rPr>
          <w:rFonts w:ascii="Times New Roman" w:hAnsi="Times New Roman"/>
          <w:b/>
          <w:sz w:val="22"/>
          <w:szCs w:val="22"/>
          <w:lang w:val="sl-SI"/>
        </w:rPr>
      </w:pPr>
      <w:r w:rsidRPr="006E5536">
        <w:rPr>
          <w:rFonts w:ascii="Times New Roman" w:hAnsi="Times New Roman"/>
          <w:b/>
          <w:sz w:val="22"/>
          <w:szCs w:val="22"/>
          <w:lang w:val="sl-SI"/>
        </w:rPr>
        <w:t>Primjena lijeka</w:t>
      </w:r>
    </w:p>
    <w:p w:rsidR="00423B2D" w:rsidRPr="006E5536" w:rsidRDefault="00423B2D" w:rsidP="00552413">
      <w:pPr>
        <w:pStyle w:val="CommentText"/>
        <w:contextualSpacing/>
        <w:jc w:val="left"/>
        <w:rPr>
          <w:rFonts w:ascii="Times New Roman" w:hAnsi="Times New Roman"/>
          <w:sz w:val="22"/>
          <w:szCs w:val="22"/>
          <w:lang w:val="sl-SI"/>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 xml:space="preserve">Držite inhalator dalje od usta i izdahnite vazduh koliko je </w:t>
      </w:r>
      <w:r w:rsidR="007947D3" w:rsidRPr="006E5536">
        <w:rPr>
          <w:rFonts w:ascii="Times New Roman" w:hAnsi="Times New Roman"/>
          <w:sz w:val="22"/>
          <w:szCs w:val="22"/>
          <w:lang w:val="sl-SI"/>
        </w:rPr>
        <w:t>možete, do granice neprijatnosti</w:t>
      </w:r>
      <w:r w:rsidRPr="006E5536">
        <w:rPr>
          <w:rFonts w:ascii="Times New Roman" w:hAnsi="Times New Roman"/>
          <w:sz w:val="22"/>
          <w:szCs w:val="22"/>
          <w:lang w:val="sl-SI"/>
        </w:rPr>
        <w:t>. Nemojte izdisati u inhaler.</w:t>
      </w:r>
    </w:p>
    <w:p w:rsidR="009B6915" w:rsidRPr="006E5536" w:rsidRDefault="009B6915">
      <w:pPr>
        <w:pStyle w:val="CommentText"/>
        <w:contextualSpacing/>
        <w:rPr>
          <w:rFonts w:ascii="Times New Roman" w:hAnsi="Times New Roman"/>
          <w:sz w:val="22"/>
          <w:szCs w:val="22"/>
          <w:lang w:val="sl-SI"/>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 xml:space="preserve">Postavite nastavak za usta između usana i čvrsto ga pritisnite usnama. Nemojte prstima blokirati otvore za vazduh u toku primjene lijeka. </w:t>
      </w:r>
    </w:p>
    <w:p w:rsidR="009B6915" w:rsidRPr="006E5536" w:rsidRDefault="009B6915">
      <w:pPr>
        <w:pStyle w:val="CommentText"/>
        <w:contextualSpacing/>
        <w:rPr>
          <w:rFonts w:ascii="Times New Roman" w:hAnsi="Times New Roman"/>
          <w:sz w:val="22"/>
          <w:szCs w:val="22"/>
          <w:lang w:val="sl-SI"/>
        </w:rPr>
      </w:pPr>
    </w:p>
    <w:p w:rsidR="009B6915" w:rsidRPr="006E5536" w:rsidRDefault="00423B2D">
      <w:pPr>
        <w:pStyle w:val="CommentText"/>
        <w:numPr>
          <w:ilvl w:val="0"/>
          <w:numId w:val="5"/>
        </w:numPr>
        <w:contextualSpacing/>
        <w:rPr>
          <w:rFonts w:ascii="Times New Roman" w:hAnsi="Times New Roman"/>
          <w:sz w:val="22"/>
          <w:szCs w:val="22"/>
          <w:lang w:val="sl-SI"/>
        </w:rPr>
      </w:pPr>
      <w:r w:rsidRPr="006E5536">
        <w:rPr>
          <w:rFonts w:ascii="Times New Roman" w:hAnsi="Times New Roman"/>
          <w:sz w:val="22"/>
          <w:szCs w:val="22"/>
          <w:lang w:val="sl-SI"/>
        </w:rPr>
        <w:t>Udahnite jednom,</w:t>
      </w:r>
      <w:r w:rsidR="007947D3" w:rsidRPr="006E5536">
        <w:rPr>
          <w:rFonts w:ascii="Times New Roman" w:hAnsi="Times New Roman"/>
          <w:sz w:val="22"/>
          <w:szCs w:val="22"/>
          <w:lang w:val="sl-SI"/>
        </w:rPr>
        <w:t xml:space="preserve"> </w:t>
      </w:r>
      <w:r w:rsidRPr="006E5536">
        <w:rPr>
          <w:rFonts w:ascii="Times New Roman" w:hAnsi="Times New Roman"/>
          <w:sz w:val="22"/>
          <w:szCs w:val="22"/>
          <w:lang w:val="sl-SI"/>
        </w:rPr>
        <w:t>dugo i duboko. Zadržite dah koliko god dugo možete (najmanje 3</w:t>
      </w:r>
      <w:r w:rsidRPr="006E5536">
        <w:rPr>
          <w:rFonts w:ascii="Times New Roman" w:hAnsi="Times New Roman"/>
          <w:sz w:val="22"/>
          <w:szCs w:val="22"/>
          <w:lang w:val="sl-SI"/>
        </w:rPr>
        <w:noBreakHyphen/>
        <w:t>4 sekunde).</w:t>
      </w:r>
    </w:p>
    <w:p w:rsidR="009B6915" w:rsidRPr="006E5536" w:rsidRDefault="00423B2D">
      <w:pPr>
        <w:pStyle w:val="CommentText"/>
        <w:numPr>
          <w:ilvl w:val="0"/>
          <w:numId w:val="5"/>
        </w:numPr>
        <w:contextualSpacing/>
        <w:rPr>
          <w:rFonts w:ascii="Times New Roman" w:hAnsi="Times New Roman"/>
          <w:sz w:val="22"/>
          <w:szCs w:val="22"/>
          <w:lang w:val="sl-SI"/>
        </w:rPr>
      </w:pPr>
      <w:r w:rsidRPr="006E5536">
        <w:rPr>
          <w:rFonts w:ascii="Times New Roman" w:hAnsi="Times New Roman"/>
          <w:sz w:val="22"/>
          <w:szCs w:val="22"/>
          <w:lang w:val="sl-SI"/>
        </w:rPr>
        <w:t>Izvadite inhaler iz usta.</w:t>
      </w:r>
    </w:p>
    <w:p w:rsidR="009B6915" w:rsidRPr="006E5536" w:rsidRDefault="00423B2D">
      <w:pPr>
        <w:pStyle w:val="CommentText"/>
        <w:numPr>
          <w:ilvl w:val="0"/>
          <w:numId w:val="5"/>
        </w:numPr>
        <w:contextualSpacing/>
        <w:rPr>
          <w:rFonts w:ascii="Times New Roman" w:hAnsi="Times New Roman"/>
          <w:sz w:val="22"/>
          <w:szCs w:val="22"/>
          <w:lang w:val="sl-SI"/>
        </w:rPr>
      </w:pPr>
      <w:r w:rsidRPr="006E5536">
        <w:rPr>
          <w:rFonts w:ascii="Times New Roman" w:hAnsi="Times New Roman"/>
          <w:sz w:val="22"/>
          <w:szCs w:val="22"/>
          <w:lang w:val="sl-SI"/>
        </w:rPr>
        <w:t xml:space="preserve">Lagano izdahnite vazduh. </w:t>
      </w:r>
    </w:p>
    <w:p w:rsidR="009B6915" w:rsidRPr="006E5536" w:rsidRDefault="009B6915">
      <w:pPr>
        <w:pStyle w:val="CommentText"/>
        <w:contextualSpacing/>
        <w:rPr>
          <w:rFonts w:ascii="Times New Roman" w:hAnsi="Times New Roman"/>
          <w:sz w:val="22"/>
          <w:szCs w:val="22"/>
          <w:lang w:val="sl-SI"/>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Možda nećete osjetiti ukus lijeka ili osjetiti lijek, čak i ukoliko koristite inhaler na pravilan način.</w:t>
      </w:r>
    </w:p>
    <w:p w:rsidR="00423B2D" w:rsidRPr="006E5536" w:rsidRDefault="00423B2D" w:rsidP="00552413">
      <w:pPr>
        <w:pStyle w:val="CommentText"/>
        <w:contextualSpacing/>
        <w:jc w:val="left"/>
        <w:rPr>
          <w:rFonts w:ascii="Times New Roman" w:hAnsi="Times New Roman"/>
          <w:sz w:val="22"/>
          <w:szCs w:val="22"/>
          <w:lang w:val="sl-SI"/>
        </w:rPr>
      </w:pPr>
    </w:p>
    <w:p w:rsidR="00423B2D" w:rsidRPr="006E5536" w:rsidRDefault="00423B2D" w:rsidP="00552413">
      <w:pPr>
        <w:pStyle w:val="CommentText"/>
        <w:numPr>
          <w:ilvl w:val="0"/>
          <w:numId w:val="6"/>
        </w:numPr>
        <w:ind w:left="0" w:firstLine="0"/>
        <w:contextualSpacing/>
        <w:jc w:val="left"/>
        <w:rPr>
          <w:rFonts w:ascii="Times New Roman" w:hAnsi="Times New Roman"/>
          <w:b/>
          <w:sz w:val="22"/>
          <w:szCs w:val="22"/>
          <w:lang w:val="sl-SI"/>
        </w:rPr>
      </w:pPr>
      <w:r w:rsidRPr="006E5536">
        <w:rPr>
          <w:rFonts w:ascii="Times New Roman" w:hAnsi="Times New Roman"/>
          <w:b/>
          <w:sz w:val="22"/>
          <w:szCs w:val="22"/>
          <w:lang w:val="sl-SI"/>
        </w:rPr>
        <w:t>Zatvorite inhaler</w:t>
      </w:r>
    </w:p>
    <w:p w:rsidR="00423B2D" w:rsidRPr="006E5536" w:rsidRDefault="00423B2D" w:rsidP="00552413">
      <w:pPr>
        <w:pStyle w:val="CommentText"/>
        <w:contextualSpacing/>
        <w:jc w:val="left"/>
        <w:rPr>
          <w:rFonts w:ascii="Times New Roman" w:hAnsi="Times New Roman"/>
          <w:sz w:val="22"/>
          <w:szCs w:val="22"/>
          <w:lang w:val="sl-SI"/>
        </w:rPr>
      </w:pPr>
    </w:p>
    <w:p w:rsidR="009B6915" w:rsidRPr="006E5536" w:rsidRDefault="00423B2D">
      <w:pPr>
        <w:pStyle w:val="CommentText"/>
        <w:contextualSpacing/>
        <w:rPr>
          <w:rFonts w:ascii="Times New Roman" w:hAnsi="Times New Roman"/>
          <w:sz w:val="22"/>
          <w:szCs w:val="22"/>
          <w:lang w:val="sl-SI"/>
        </w:rPr>
      </w:pPr>
      <w:r w:rsidRPr="006E5536">
        <w:rPr>
          <w:rFonts w:ascii="Times New Roman" w:hAnsi="Times New Roman"/>
          <w:sz w:val="22"/>
          <w:szCs w:val="22"/>
          <w:lang w:val="sl-SI"/>
        </w:rPr>
        <w:t>Ukoliko želite da očistite nastavak za usta, obrišite ga suvom tkaninom prije zatvaranja poklopca.</w:t>
      </w:r>
    </w:p>
    <w:p w:rsidR="009B6915" w:rsidRPr="006E5536" w:rsidRDefault="009B6915">
      <w:pPr>
        <w:pStyle w:val="CommentText"/>
        <w:contextualSpacing/>
        <w:rPr>
          <w:rFonts w:ascii="Times New Roman" w:hAnsi="Times New Roman"/>
          <w:sz w:val="22"/>
          <w:szCs w:val="22"/>
          <w:lang w:val="sl-SI"/>
        </w:rPr>
      </w:pPr>
    </w:p>
    <w:p w:rsidR="009B6915" w:rsidRPr="006E5536" w:rsidRDefault="00423B2D">
      <w:pPr>
        <w:tabs>
          <w:tab w:val="left" w:pos="540"/>
          <w:tab w:val="left" w:pos="569"/>
        </w:tabs>
        <w:jc w:val="both"/>
        <w:rPr>
          <w:sz w:val="22"/>
          <w:szCs w:val="22"/>
          <w:lang w:val="sl-SI"/>
        </w:rPr>
      </w:pPr>
      <w:r w:rsidRPr="006E5536">
        <w:rPr>
          <w:sz w:val="22"/>
          <w:szCs w:val="22"/>
          <w:lang w:val="sl-SI"/>
        </w:rPr>
        <w:t>Povucite poklopac prema gore, koliko je moguće, kako biste prekrili nastavak za usta.</w:t>
      </w:r>
    </w:p>
    <w:p w:rsidR="00C50660" w:rsidRPr="006E5536" w:rsidRDefault="00C50660" w:rsidP="00552413">
      <w:pPr>
        <w:tabs>
          <w:tab w:val="left" w:pos="540"/>
          <w:tab w:val="left" w:pos="569"/>
        </w:tabs>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4.3. </w:t>
      </w:r>
      <w:r w:rsidRPr="006E5536">
        <w:rPr>
          <w:b/>
          <w:bCs/>
          <w:sz w:val="22"/>
          <w:szCs w:val="22"/>
        </w:rPr>
        <w:tab/>
        <w:t>Kontraindikacije</w:t>
      </w:r>
    </w:p>
    <w:p w:rsidR="00C50660" w:rsidRPr="006E5536" w:rsidRDefault="00C50660" w:rsidP="00552413">
      <w:pPr>
        <w:tabs>
          <w:tab w:val="left" w:pos="540"/>
          <w:tab w:val="left" w:pos="569"/>
        </w:tabs>
        <w:rPr>
          <w:b/>
          <w:bCs/>
          <w:sz w:val="22"/>
          <w:szCs w:val="22"/>
        </w:rPr>
      </w:pPr>
    </w:p>
    <w:p w:rsidR="009B6915" w:rsidRPr="006E5536" w:rsidRDefault="00C50660">
      <w:pPr>
        <w:pStyle w:val="Header"/>
        <w:tabs>
          <w:tab w:val="left" w:pos="284"/>
        </w:tabs>
        <w:contextualSpacing/>
        <w:jc w:val="both"/>
        <w:rPr>
          <w:sz w:val="22"/>
          <w:szCs w:val="22"/>
          <w:lang w:val="sl-SI"/>
        </w:rPr>
      </w:pPr>
      <w:r w:rsidRPr="006E5536">
        <w:rPr>
          <w:sz w:val="22"/>
          <w:szCs w:val="22"/>
          <w:lang w:val="sl-SI"/>
        </w:rPr>
        <w:t xml:space="preserve">Primjena lijeka </w:t>
      </w:r>
      <w:r w:rsidRPr="006E5536">
        <w:rPr>
          <w:sz w:val="22"/>
          <w:szCs w:val="22"/>
        </w:rPr>
        <w:t>Incruse</w:t>
      </w:r>
      <w:r w:rsidRPr="006E5536">
        <w:rPr>
          <w:sz w:val="22"/>
          <w:szCs w:val="22"/>
          <w:vertAlign w:val="superscript"/>
        </w:rPr>
        <w:t>®</w:t>
      </w:r>
      <w:r w:rsidRPr="006E5536">
        <w:rPr>
          <w:sz w:val="22"/>
          <w:szCs w:val="22"/>
        </w:rPr>
        <w:t xml:space="preserve"> </w:t>
      </w:r>
      <w:r w:rsidRPr="006E5536">
        <w:rPr>
          <w:sz w:val="22"/>
          <w:szCs w:val="22"/>
          <w:lang w:val="sl-SI"/>
        </w:rPr>
        <w:t>je kontraindikovana kod pacijenata sa preosjetljivošću (alergijom) na aktivnu supstancu ili bilo koju od pomoćnih supstanci (vidjeti odjeljak 6.1).</w:t>
      </w:r>
    </w:p>
    <w:p w:rsidR="009B6915" w:rsidRPr="006E5536" w:rsidRDefault="009B6915">
      <w:pPr>
        <w:tabs>
          <w:tab w:val="left" w:pos="540"/>
          <w:tab w:val="left" w:pos="569"/>
        </w:tabs>
        <w:jc w:val="both"/>
        <w:rPr>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4.4. </w:t>
      </w:r>
      <w:r w:rsidRPr="006E5536">
        <w:rPr>
          <w:b/>
          <w:bCs/>
          <w:sz w:val="22"/>
          <w:szCs w:val="22"/>
        </w:rPr>
        <w:tab/>
        <w:t>Posebna upozorenja i mjere opreza pri upotrebi lijeka</w:t>
      </w:r>
    </w:p>
    <w:p w:rsidR="00D9541C" w:rsidRPr="006E5536" w:rsidRDefault="00D9541C" w:rsidP="00552413">
      <w:pPr>
        <w:tabs>
          <w:tab w:val="left" w:pos="540"/>
          <w:tab w:val="left" w:pos="569"/>
        </w:tabs>
        <w:rPr>
          <w:b/>
          <w:bCs/>
          <w:sz w:val="22"/>
          <w:szCs w:val="22"/>
        </w:rPr>
      </w:pPr>
    </w:p>
    <w:p w:rsidR="009B6915" w:rsidRPr="006E5536" w:rsidRDefault="00D9541C">
      <w:pPr>
        <w:pStyle w:val="BodyText"/>
        <w:contextualSpacing/>
        <w:jc w:val="both"/>
        <w:rPr>
          <w:sz w:val="22"/>
          <w:szCs w:val="22"/>
          <w:u w:val="single"/>
          <w:lang w:val="sl-SI"/>
        </w:rPr>
      </w:pPr>
      <w:r w:rsidRPr="006E5536">
        <w:rPr>
          <w:sz w:val="22"/>
          <w:szCs w:val="22"/>
          <w:u w:val="single"/>
          <w:lang w:val="sl-SI"/>
        </w:rPr>
        <w:t>Astma</w:t>
      </w:r>
    </w:p>
    <w:p w:rsidR="009B6915" w:rsidRPr="006E5536" w:rsidRDefault="00D9541C">
      <w:pPr>
        <w:pStyle w:val="BodyText"/>
        <w:contextualSpacing/>
        <w:jc w:val="both"/>
        <w:rPr>
          <w:sz w:val="22"/>
          <w:szCs w:val="22"/>
          <w:lang w:val="sl-SI"/>
        </w:rPr>
      </w:pPr>
      <w:r w:rsidRPr="006E5536">
        <w:rPr>
          <w:sz w:val="22"/>
          <w:szCs w:val="22"/>
          <w:lang w:val="sl-SI"/>
        </w:rPr>
        <w:t>Lijek Incruse</w:t>
      </w:r>
      <w:r w:rsidRPr="006E5536">
        <w:rPr>
          <w:sz w:val="22"/>
          <w:szCs w:val="22"/>
          <w:vertAlign w:val="superscript"/>
          <w:lang w:val="sl-SI"/>
        </w:rPr>
        <w:t>®</w:t>
      </w:r>
      <w:r w:rsidRPr="006E5536">
        <w:rPr>
          <w:sz w:val="22"/>
          <w:szCs w:val="22"/>
          <w:lang w:val="sl-SI"/>
        </w:rPr>
        <w:t xml:space="preserve"> ne treba primjenjivati kod pacijenata sa astmom, budu</w:t>
      </w:r>
      <w:r w:rsidRPr="006E5536">
        <w:rPr>
          <w:sz w:val="22"/>
          <w:szCs w:val="22"/>
        </w:rPr>
        <w:t>ći</w:t>
      </w:r>
      <w:r w:rsidRPr="006E5536">
        <w:rPr>
          <w:sz w:val="22"/>
          <w:szCs w:val="22"/>
          <w:lang w:val="sl-SI"/>
        </w:rPr>
        <w:t xml:space="preserve"> da primjena lijeka nije ispitivana u navedenoj populaciji pacijenata.</w:t>
      </w:r>
    </w:p>
    <w:p w:rsidR="009B6915" w:rsidRPr="006E5536" w:rsidRDefault="009B6915">
      <w:pPr>
        <w:pStyle w:val="BodyText"/>
        <w:contextualSpacing/>
        <w:jc w:val="both"/>
        <w:rPr>
          <w:sz w:val="22"/>
          <w:szCs w:val="22"/>
          <w:lang w:val="sl-SI"/>
        </w:rPr>
      </w:pPr>
    </w:p>
    <w:p w:rsidR="009B6915" w:rsidRPr="006E5536" w:rsidRDefault="00D9541C">
      <w:pPr>
        <w:pStyle w:val="BodyText"/>
        <w:contextualSpacing/>
        <w:jc w:val="both"/>
        <w:rPr>
          <w:sz w:val="22"/>
          <w:szCs w:val="22"/>
          <w:u w:val="single"/>
          <w:lang w:val="sl-SI"/>
        </w:rPr>
      </w:pPr>
      <w:r w:rsidRPr="006E5536">
        <w:rPr>
          <w:sz w:val="22"/>
          <w:szCs w:val="22"/>
          <w:u w:val="single"/>
          <w:lang w:val="sl-SI"/>
        </w:rPr>
        <w:t>Paradoksni bronhospazam</w:t>
      </w:r>
    </w:p>
    <w:p w:rsidR="009B6915" w:rsidRPr="006E5536" w:rsidRDefault="00D9541C">
      <w:pPr>
        <w:pStyle w:val="BodyText"/>
        <w:contextualSpacing/>
        <w:jc w:val="both"/>
        <w:rPr>
          <w:sz w:val="22"/>
          <w:szCs w:val="22"/>
          <w:lang w:val="sl-SI"/>
        </w:rPr>
      </w:pPr>
      <w:r w:rsidRPr="006E5536">
        <w:rPr>
          <w:sz w:val="22"/>
          <w:szCs w:val="22"/>
          <w:lang w:val="sl-SI"/>
        </w:rPr>
        <w:t>Primjena lijeka Incruse</w:t>
      </w:r>
      <w:r w:rsidRPr="006E5536">
        <w:rPr>
          <w:sz w:val="22"/>
          <w:szCs w:val="22"/>
          <w:vertAlign w:val="superscript"/>
          <w:lang w:val="sl-SI"/>
        </w:rPr>
        <w:t>®</w:t>
      </w:r>
      <w:r w:rsidRPr="006E5536">
        <w:rPr>
          <w:sz w:val="22"/>
          <w:szCs w:val="22"/>
          <w:lang w:val="sl-SI"/>
        </w:rPr>
        <w:t xml:space="preserve"> može dovesti do pojave paradoksnog bronhospazma, koji može biti opasan po život. Ukoliko dođe do pojave paradoksnog bronhospazma, primjenu lijeka </w:t>
      </w:r>
      <w:r w:rsidRPr="006E5536">
        <w:rPr>
          <w:sz w:val="22"/>
          <w:szCs w:val="22"/>
        </w:rPr>
        <w:t>Incruse</w:t>
      </w:r>
      <w:r w:rsidRPr="006E5536">
        <w:rPr>
          <w:sz w:val="22"/>
          <w:szCs w:val="22"/>
          <w:vertAlign w:val="superscript"/>
        </w:rPr>
        <w:t>®</w:t>
      </w:r>
      <w:r w:rsidRPr="006E5536">
        <w:rPr>
          <w:sz w:val="22"/>
          <w:szCs w:val="22"/>
          <w:lang w:val="sl-SI"/>
        </w:rPr>
        <w:t xml:space="preserve"> treba prekinuti odmah, i ukoliko je potrebno, primijeniti alternativnu terapiju.</w:t>
      </w:r>
    </w:p>
    <w:p w:rsidR="009B6915" w:rsidRPr="006E5536" w:rsidRDefault="009B6915">
      <w:pPr>
        <w:pStyle w:val="BodyText"/>
        <w:contextualSpacing/>
        <w:jc w:val="both"/>
        <w:rPr>
          <w:sz w:val="22"/>
          <w:szCs w:val="22"/>
          <w:lang w:val="sl-SI"/>
        </w:rPr>
      </w:pPr>
    </w:p>
    <w:p w:rsidR="009B6915" w:rsidRPr="006E5536" w:rsidRDefault="00D9541C">
      <w:pPr>
        <w:pStyle w:val="BodyText"/>
        <w:contextualSpacing/>
        <w:jc w:val="both"/>
        <w:rPr>
          <w:sz w:val="22"/>
          <w:szCs w:val="22"/>
          <w:u w:val="single"/>
          <w:lang w:val="sl-SI"/>
        </w:rPr>
      </w:pPr>
      <w:r w:rsidRPr="006E5536">
        <w:rPr>
          <w:sz w:val="22"/>
          <w:szCs w:val="22"/>
          <w:u w:val="single"/>
          <w:lang w:val="sl-SI"/>
        </w:rPr>
        <w:t>Pogoršanje bolesti</w:t>
      </w:r>
    </w:p>
    <w:p w:rsidR="009B6915" w:rsidRPr="006E5536" w:rsidRDefault="00D9541C">
      <w:pPr>
        <w:pStyle w:val="BodyText"/>
        <w:contextualSpacing/>
        <w:jc w:val="both"/>
        <w:rPr>
          <w:sz w:val="22"/>
          <w:szCs w:val="22"/>
        </w:rPr>
      </w:pPr>
      <w:r w:rsidRPr="006E5536">
        <w:rPr>
          <w:sz w:val="22"/>
          <w:szCs w:val="22"/>
        </w:rPr>
        <w:t>Lijek Incruse</w:t>
      </w:r>
      <w:r w:rsidRPr="006E5536">
        <w:rPr>
          <w:sz w:val="22"/>
          <w:szCs w:val="22"/>
          <w:vertAlign w:val="superscript"/>
        </w:rPr>
        <w:t>®</w:t>
      </w:r>
      <w:r w:rsidRPr="006E5536">
        <w:rPr>
          <w:sz w:val="22"/>
          <w:szCs w:val="22"/>
        </w:rPr>
        <w:t xml:space="preserve"> je namijenjen u terapiji </w:t>
      </w:r>
      <w:r w:rsidRPr="006E5536">
        <w:rPr>
          <w:sz w:val="22"/>
          <w:szCs w:val="22"/>
          <w:lang w:val="sv-SE"/>
        </w:rPr>
        <w:t xml:space="preserve">održavanja kod pacijenata sa HOBP. Lijek </w:t>
      </w:r>
      <w:r w:rsidRPr="006E5536">
        <w:rPr>
          <w:sz w:val="22"/>
          <w:szCs w:val="22"/>
        </w:rPr>
        <w:t>Incruse</w:t>
      </w:r>
      <w:r w:rsidRPr="006E5536">
        <w:rPr>
          <w:sz w:val="22"/>
          <w:szCs w:val="22"/>
          <w:vertAlign w:val="superscript"/>
        </w:rPr>
        <w:t>®</w:t>
      </w:r>
      <w:r w:rsidRPr="006E5536">
        <w:rPr>
          <w:sz w:val="22"/>
          <w:szCs w:val="22"/>
        </w:rPr>
        <w:t xml:space="preserve"> ne treba primjenjivati za ublažavanje akutnih simptoma bolesti, tj. kao terapija za brzo ublažavanje simptoma (</w:t>
      </w:r>
      <w:r w:rsidRPr="006E5536">
        <w:rPr>
          <w:i/>
          <w:sz w:val="22"/>
          <w:szCs w:val="22"/>
        </w:rPr>
        <w:t>rescue therapy</w:t>
      </w:r>
      <w:r w:rsidRPr="006E5536">
        <w:rPr>
          <w:sz w:val="22"/>
          <w:szCs w:val="22"/>
        </w:rPr>
        <w:t xml:space="preserve">) u liječenju akutnih epizoda bronhospazma. U terapiji akutnih simptoma bolesti treba primijeniti kratkodjelujuće inhalatorne bronhodilatatore. </w:t>
      </w:r>
      <w:r w:rsidRPr="006E5536">
        <w:rPr>
          <w:sz w:val="22"/>
          <w:szCs w:val="22"/>
          <w:lang w:val="sl-SI"/>
        </w:rPr>
        <w:t>Učestalija primjena kratkodjelujućih bronhodilatatora za ublažavanje simptoma ukazuje na pogoršanje bolesti. U slučaju pogoršanja HOBP u toku terapije lijekom Incruse</w:t>
      </w:r>
      <w:r w:rsidRPr="006E5536">
        <w:rPr>
          <w:sz w:val="22"/>
          <w:szCs w:val="22"/>
          <w:vertAlign w:val="superscript"/>
          <w:lang w:val="sl-SI"/>
        </w:rPr>
        <w:t>®</w:t>
      </w:r>
      <w:r w:rsidRPr="006E5536">
        <w:rPr>
          <w:sz w:val="22"/>
          <w:szCs w:val="22"/>
          <w:lang w:val="sl-SI"/>
        </w:rPr>
        <w:t xml:space="preserve">, potrebno je ponovo procijeniti stanje pacijenta i terapiju HOBP-a. </w:t>
      </w:r>
    </w:p>
    <w:p w:rsidR="009B6915" w:rsidRPr="006E5536" w:rsidRDefault="00D9541C">
      <w:pPr>
        <w:pStyle w:val="BodyText"/>
        <w:contextualSpacing/>
        <w:jc w:val="both"/>
        <w:rPr>
          <w:sz w:val="22"/>
          <w:szCs w:val="22"/>
          <w:u w:val="single"/>
          <w:lang w:val="sl-SI"/>
        </w:rPr>
      </w:pPr>
      <w:r w:rsidRPr="006E5536">
        <w:rPr>
          <w:sz w:val="22"/>
          <w:szCs w:val="22"/>
          <w:u w:val="single"/>
          <w:lang w:val="sl-SI"/>
        </w:rPr>
        <w:t xml:space="preserve">Kardiovaskularni efekti </w:t>
      </w:r>
    </w:p>
    <w:p w:rsidR="009B6915" w:rsidRPr="006E5536" w:rsidRDefault="00D9541C">
      <w:pPr>
        <w:pStyle w:val="BodyText"/>
        <w:contextualSpacing/>
        <w:jc w:val="both"/>
        <w:rPr>
          <w:sz w:val="22"/>
          <w:szCs w:val="22"/>
          <w:lang w:val="sl-SI"/>
        </w:rPr>
      </w:pPr>
      <w:r w:rsidRPr="006E5536">
        <w:rPr>
          <w:sz w:val="22"/>
          <w:szCs w:val="22"/>
          <w:lang w:val="sl-SI"/>
        </w:rPr>
        <w:lastRenderedPageBreak/>
        <w:t xml:space="preserve">Nakon primjene ljekova iz grupe antagonista muskarinskih receptora, uključujući i primjenu lijeka </w:t>
      </w:r>
      <w:r w:rsidRPr="006E5536">
        <w:rPr>
          <w:sz w:val="22"/>
          <w:szCs w:val="22"/>
        </w:rPr>
        <w:t>Incruse</w:t>
      </w:r>
      <w:r w:rsidRPr="006E5536">
        <w:rPr>
          <w:sz w:val="22"/>
          <w:szCs w:val="22"/>
          <w:vertAlign w:val="superscript"/>
        </w:rPr>
        <w:t>®</w:t>
      </w:r>
      <w:r w:rsidRPr="006E5536">
        <w:rPr>
          <w:sz w:val="22"/>
          <w:szCs w:val="22"/>
        </w:rPr>
        <w:t xml:space="preserve">, </w:t>
      </w:r>
      <w:r w:rsidRPr="006E5536">
        <w:rPr>
          <w:sz w:val="22"/>
          <w:szCs w:val="22"/>
          <w:lang w:val="sl-SI"/>
        </w:rPr>
        <w:t xml:space="preserve">može doći do pojave kardiovaskularnih efekata, kao što su srčane aritmije, npr. atrijalna fibrilacija i tahikardija. Pacijenti sa klinički značajnim, nekontrolisanim srčanim oboljenjem su bili izostavljeni iz kliničkih ispitivanja. Prema tome, lijek </w:t>
      </w:r>
      <w:r w:rsidRPr="006E5536">
        <w:rPr>
          <w:sz w:val="22"/>
          <w:szCs w:val="22"/>
        </w:rPr>
        <w:t>Incruse</w:t>
      </w:r>
      <w:r w:rsidRPr="006E5536">
        <w:rPr>
          <w:sz w:val="22"/>
          <w:szCs w:val="22"/>
          <w:vertAlign w:val="superscript"/>
        </w:rPr>
        <w:t>®</w:t>
      </w:r>
      <w:r w:rsidRPr="006E5536">
        <w:rPr>
          <w:sz w:val="22"/>
          <w:szCs w:val="22"/>
          <w:lang w:val="sl-SI"/>
        </w:rPr>
        <w:t xml:space="preserve"> bi trebalo sa oprezom primjenjivati kod pacijenata sa teškim kardiovaskularnim poremećajima, posebno kod pacijenata sa srčanim aritmijama.</w:t>
      </w:r>
    </w:p>
    <w:p w:rsidR="009B6915" w:rsidRPr="006E5536" w:rsidRDefault="009B6915">
      <w:pPr>
        <w:pStyle w:val="BodyText"/>
        <w:contextualSpacing/>
        <w:jc w:val="both"/>
        <w:rPr>
          <w:sz w:val="22"/>
          <w:szCs w:val="22"/>
          <w:lang w:val="sl-SI"/>
        </w:rPr>
      </w:pPr>
    </w:p>
    <w:p w:rsidR="009B6915" w:rsidRPr="006E5536" w:rsidRDefault="00D9541C">
      <w:pPr>
        <w:contextualSpacing/>
        <w:jc w:val="both"/>
        <w:rPr>
          <w:sz w:val="22"/>
          <w:szCs w:val="22"/>
          <w:u w:val="single"/>
        </w:rPr>
      </w:pPr>
      <w:r w:rsidRPr="006E5536">
        <w:rPr>
          <w:sz w:val="22"/>
          <w:szCs w:val="22"/>
          <w:u w:val="single"/>
        </w:rPr>
        <w:t>Antimuskarinska aktivnost</w:t>
      </w:r>
    </w:p>
    <w:p w:rsidR="009B6915" w:rsidRPr="006E5536" w:rsidRDefault="00D9541C">
      <w:pPr>
        <w:contextualSpacing/>
        <w:jc w:val="both"/>
        <w:rPr>
          <w:sz w:val="22"/>
          <w:szCs w:val="22"/>
        </w:rPr>
      </w:pPr>
      <w:r w:rsidRPr="006E5536">
        <w:rPr>
          <w:sz w:val="22"/>
          <w:szCs w:val="22"/>
        </w:rPr>
        <w:t xml:space="preserve">Usljed antimuskarinskog dejstva, umeklidinijum bromid treba primjenjivati uz oprez kod pacijenata sa urinarnom retencijom ili glaukomom </w:t>
      </w:r>
      <w:r w:rsidR="007947D3" w:rsidRPr="006E5536">
        <w:rPr>
          <w:sz w:val="22"/>
          <w:szCs w:val="22"/>
        </w:rPr>
        <w:t xml:space="preserve">uskog </w:t>
      </w:r>
      <w:r w:rsidRPr="006E5536">
        <w:rPr>
          <w:sz w:val="22"/>
          <w:szCs w:val="22"/>
        </w:rPr>
        <w:t>ugla.</w:t>
      </w:r>
    </w:p>
    <w:p w:rsidR="009B6915" w:rsidRPr="006E5536" w:rsidRDefault="009B6915">
      <w:pPr>
        <w:contextualSpacing/>
        <w:jc w:val="both"/>
        <w:rPr>
          <w:sz w:val="22"/>
          <w:szCs w:val="22"/>
          <w:u w:val="single"/>
        </w:rPr>
      </w:pPr>
    </w:p>
    <w:p w:rsidR="009B6915" w:rsidRPr="006E5536" w:rsidRDefault="00D9541C">
      <w:pPr>
        <w:contextualSpacing/>
        <w:jc w:val="both"/>
        <w:rPr>
          <w:sz w:val="22"/>
          <w:szCs w:val="22"/>
          <w:u w:val="single"/>
        </w:rPr>
      </w:pPr>
      <w:r w:rsidRPr="006E5536">
        <w:rPr>
          <w:sz w:val="22"/>
          <w:szCs w:val="22"/>
          <w:u w:val="single"/>
        </w:rPr>
        <w:t xml:space="preserve">Pomoćne supstance </w:t>
      </w:r>
    </w:p>
    <w:p w:rsidR="009B6915" w:rsidRPr="006E5536" w:rsidRDefault="00D9541C">
      <w:pPr>
        <w:contextualSpacing/>
        <w:jc w:val="both"/>
        <w:rPr>
          <w:color w:val="000000"/>
          <w:sz w:val="22"/>
          <w:szCs w:val="22"/>
          <w:lang w:val="es-ES_tradnl"/>
        </w:rPr>
      </w:pPr>
      <w:r w:rsidRPr="006E5536">
        <w:rPr>
          <w:color w:val="000000"/>
          <w:sz w:val="22"/>
          <w:szCs w:val="22"/>
          <w:lang w:val="es-ES_tradnl"/>
        </w:rPr>
        <w:t>Lijek Incruse</w:t>
      </w:r>
      <w:r w:rsidRPr="006E5536">
        <w:rPr>
          <w:color w:val="000000"/>
          <w:sz w:val="22"/>
          <w:szCs w:val="22"/>
          <w:vertAlign w:val="superscript"/>
          <w:lang w:val="es-ES_tradnl"/>
        </w:rPr>
        <w:t>®</w:t>
      </w:r>
      <w:r w:rsidRPr="006E5536">
        <w:rPr>
          <w:color w:val="000000"/>
          <w:sz w:val="22"/>
          <w:szCs w:val="22"/>
          <w:lang w:val="es-ES_tradnl"/>
        </w:rPr>
        <w:t xml:space="preserve"> sadrži laktozu. Pacijenti koji boluju od rijetkog nasljednog oboljenja intolerancije na galaktozu, Lapp laktaznog deficita ili glukozno-galaktozne malapsorpcije ne smiju koristiti ovaj lijek.</w:t>
      </w:r>
    </w:p>
    <w:p w:rsidR="007947D3" w:rsidRPr="006E5536" w:rsidRDefault="007947D3" w:rsidP="00552413">
      <w:pPr>
        <w:tabs>
          <w:tab w:val="left" w:pos="540"/>
          <w:tab w:val="left" w:pos="569"/>
        </w:tabs>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4.5. </w:t>
      </w:r>
      <w:r w:rsidRPr="006E5536">
        <w:rPr>
          <w:b/>
          <w:bCs/>
          <w:sz w:val="22"/>
          <w:szCs w:val="22"/>
        </w:rPr>
        <w:tab/>
        <w:t>Interakcije sa drugim ljekovima i druge vrste interakcija</w:t>
      </w:r>
    </w:p>
    <w:p w:rsidR="007947D3" w:rsidRPr="006E5536" w:rsidRDefault="007947D3" w:rsidP="00552413">
      <w:pPr>
        <w:tabs>
          <w:tab w:val="left" w:pos="540"/>
          <w:tab w:val="left" w:pos="569"/>
        </w:tabs>
        <w:rPr>
          <w:b/>
          <w:bCs/>
          <w:sz w:val="22"/>
          <w:szCs w:val="22"/>
        </w:rPr>
      </w:pPr>
    </w:p>
    <w:p w:rsidR="009B6915" w:rsidRPr="006E5536" w:rsidRDefault="0093229F">
      <w:pPr>
        <w:pStyle w:val="BodyText"/>
        <w:contextualSpacing/>
        <w:jc w:val="both"/>
        <w:rPr>
          <w:sz w:val="22"/>
          <w:szCs w:val="22"/>
          <w:lang w:val="sl-SI"/>
        </w:rPr>
      </w:pPr>
      <w:r w:rsidRPr="006E5536">
        <w:rPr>
          <w:sz w:val="22"/>
          <w:szCs w:val="22"/>
          <w:lang w:val="sl-SI"/>
        </w:rPr>
        <w:t xml:space="preserve">Usljed niskih koncentracija lijeka u plazmi, koje se postižu nakon inhalacione primjene, smatra se da su klinički značajne interakcije posredovane umeklidinijum bromidom malo vjerovatne. </w:t>
      </w:r>
    </w:p>
    <w:p w:rsidR="009B6915" w:rsidRPr="006E5536" w:rsidRDefault="009B6915">
      <w:pPr>
        <w:pStyle w:val="BodyText"/>
        <w:contextualSpacing/>
        <w:jc w:val="both"/>
        <w:rPr>
          <w:sz w:val="22"/>
          <w:szCs w:val="22"/>
          <w:lang w:val="sl-SI"/>
        </w:rPr>
      </w:pPr>
    </w:p>
    <w:p w:rsidR="009B6915" w:rsidRPr="006E5536" w:rsidRDefault="0093229F">
      <w:pPr>
        <w:pStyle w:val="BodyText"/>
        <w:contextualSpacing/>
        <w:jc w:val="both"/>
        <w:rPr>
          <w:sz w:val="22"/>
          <w:szCs w:val="22"/>
          <w:u w:val="single"/>
          <w:lang w:val="sl-SI"/>
        </w:rPr>
      </w:pPr>
      <w:r w:rsidRPr="006E5536">
        <w:rPr>
          <w:sz w:val="22"/>
          <w:szCs w:val="22"/>
          <w:u w:val="single"/>
          <w:lang w:val="sl-SI"/>
        </w:rPr>
        <w:t>Ostali ljekovi iz grupe antagonista muskarinskih receptora</w:t>
      </w:r>
    </w:p>
    <w:p w:rsidR="009B6915" w:rsidRPr="006E5536" w:rsidRDefault="0093229F">
      <w:pPr>
        <w:pStyle w:val="BodyText"/>
        <w:contextualSpacing/>
        <w:jc w:val="both"/>
        <w:rPr>
          <w:sz w:val="22"/>
          <w:szCs w:val="22"/>
          <w:lang w:val="sl-SI"/>
        </w:rPr>
      </w:pPr>
      <w:r w:rsidRPr="006E5536">
        <w:rPr>
          <w:sz w:val="22"/>
          <w:szCs w:val="22"/>
          <w:lang w:val="sl-SI"/>
        </w:rPr>
        <w:t>Istovremena primjena umeklidinijum bromida sa ostalim dugodjelujućim antagonistima muskarinskih receptora ili ljekovima koji sadrže navedenu aktivnu supstancu nije ispitivana i ne preporučuje se, budući da navedena primjena može potencirati pojavu poznatih neželjenih reakcija udruženih sa primjenom muskarinskih antagonista.</w:t>
      </w:r>
    </w:p>
    <w:p w:rsidR="009B6915" w:rsidRPr="006E5536" w:rsidRDefault="009B6915">
      <w:pPr>
        <w:pStyle w:val="BodyText"/>
        <w:contextualSpacing/>
        <w:jc w:val="both"/>
        <w:rPr>
          <w:sz w:val="22"/>
          <w:szCs w:val="22"/>
          <w:lang w:val="sl-SI"/>
        </w:rPr>
      </w:pPr>
    </w:p>
    <w:p w:rsidR="009B6915" w:rsidRPr="006E5536" w:rsidRDefault="0093229F">
      <w:pPr>
        <w:pStyle w:val="BodyText"/>
        <w:contextualSpacing/>
        <w:jc w:val="both"/>
        <w:rPr>
          <w:sz w:val="22"/>
          <w:szCs w:val="22"/>
          <w:u w:val="single"/>
          <w:lang w:val="sl-SI"/>
        </w:rPr>
      </w:pPr>
      <w:r w:rsidRPr="006E5536">
        <w:rPr>
          <w:sz w:val="22"/>
          <w:szCs w:val="22"/>
          <w:u w:val="single"/>
          <w:lang w:val="sl-SI"/>
        </w:rPr>
        <w:t>Interakcije zasnovane na metabolizmu i transporterima</w:t>
      </w:r>
    </w:p>
    <w:p w:rsidR="009B6915" w:rsidRPr="006E5536" w:rsidRDefault="0093229F">
      <w:pPr>
        <w:pStyle w:val="BodyText"/>
        <w:contextualSpacing/>
        <w:jc w:val="both"/>
        <w:rPr>
          <w:sz w:val="22"/>
          <w:szCs w:val="22"/>
          <w:lang w:val="sl-SI"/>
        </w:rPr>
      </w:pPr>
      <w:r w:rsidRPr="006E5536">
        <w:rPr>
          <w:color w:val="000000"/>
          <w:sz w:val="22"/>
          <w:szCs w:val="22"/>
          <w:lang w:val="es-ES_tradnl"/>
        </w:rPr>
        <w:t xml:space="preserve">Umeklidinijum bromid je </w:t>
      </w:r>
      <w:r w:rsidRPr="006E5536">
        <w:rPr>
          <w:sz w:val="22"/>
          <w:szCs w:val="22"/>
          <w:lang w:val="sl-SI"/>
        </w:rPr>
        <w:t>supstrat citohroma P450 2D6 (CYP2D6). Farmakokinetika umeklidinijum bromida u stanju dinamičke ravnoteže procjenjivana je kod zdravih dobrovoljaca kojima nedostaje CYP2D6 (slabi metabolizer</w:t>
      </w:r>
      <w:r w:rsidR="00814434" w:rsidRPr="006E5536">
        <w:rPr>
          <w:sz w:val="22"/>
          <w:szCs w:val="22"/>
          <w:lang w:val="sl-SI"/>
        </w:rPr>
        <w:t>i</w:t>
      </w:r>
      <w:r w:rsidRPr="006E5536">
        <w:rPr>
          <w:sz w:val="22"/>
          <w:szCs w:val="22"/>
          <w:lang w:val="sl-SI"/>
        </w:rPr>
        <w:t>). Nije zabilježen uticaj na PIK ili C</w:t>
      </w:r>
      <w:r w:rsidRPr="006E5536">
        <w:rPr>
          <w:sz w:val="22"/>
          <w:szCs w:val="22"/>
          <w:vertAlign w:val="subscript"/>
          <w:lang w:val="sl-SI"/>
        </w:rPr>
        <w:t>max</w:t>
      </w:r>
      <w:r w:rsidRPr="006E5536">
        <w:rPr>
          <w:sz w:val="22"/>
          <w:szCs w:val="22"/>
          <w:lang w:val="sl-SI"/>
        </w:rPr>
        <w:t xml:space="preserve"> umeklidinijuma pri primjeni četvorostruko većih terapijskih doza. Prilikom primjene osmostruko većih doza zabilježena je približno</w:t>
      </w:r>
      <w:r w:rsidR="00814434" w:rsidRPr="006E5536">
        <w:rPr>
          <w:sz w:val="22"/>
          <w:szCs w:val="22"/>
          <w:lang w:val="sl-SI"/>
        </w:rPr>
        <w:t xml:space="preserve"> </w:t>
      </w:r>
      <w:r w:rsidRPr="006E5536">
        <w:rPr>
          <w:sz w:val="22"/>
          <w:szCs w:val="22"/>
          <w:lang w:val="sl-SI"/>
        </w:rPr>
        <w:t>1.3 puta veća vrijednost PIK umeklidinijum bromida, bez uticaja na vrijednost C</w:t>
      </w:r>
      <w:r w:rsidRPr="006E5536">
        <w:rPr>
          <w:sz w:val="22"/>
          <w:szCs w:val="22"/>
          <w:vertAlign w:val="subscript"/>
          <w:lang w:val="sl-SI"/>
        </w:rPr>
        <w:t>max</w:t>
      </w:r>
      <w:r w:rsidRPr="006E5536">
        <w:rPr>
          <w:sz w:val="22"/>
          <w:szCs w:val="22"/>
          <w:lang w:val="sl-SI"/>
        </w:rPr>
        <w:t xml:space="preserve"> umeklidinijum bromida. S obzirom na opseg navedenih promjena, ne očekuju se klinički značajne interakcije ukoliko se umeklidinijum istovremeno primjenjuje sa CYP2D6 inhibitorima ili ukoliko se umeklidinijum primjenjuje pacijentima sa genetskim nedostatkom aktivnosti CYP2D6  (slabi metabolizeri).</w:t>
      </w:r>
    </w:p>
    <w:p w:rsidR="009B6915" w:rsidRPr="006E5536" w:rsidRDefault="009B6915">
      <w:pPr>
        <w:pStyle w:val="BodyText"/>
        <w:contextualSpacing/>
        <w:jc w:val="both"/>
        <w:rPr>
          <w:color w:val="000000"/>
          <w:sz w:val="22"/>
          <w:szCs w:val="22"/>
          <w:lang w:val="es-ES_tradnl"/>
        </w:rPr>
      </w:pPr>
    </w:p>
    <w:p w:rsidR="009B6915" w:rsidRPr="006E5536" w:rsidRDefault="0093229F">
      <w:pPr>
        <w:pStyle w:val="BodyText"/>
        <w:contextualSpacing/>
        <w:jc w:val="both"/>
        <w:rPr>
          <w:sz w:val="22"/>
          <w:szCs w:val="22"/>
          <w:lang w:val="sl-SI"/>
        </w:rPr>
      </w:pPr>
      <w:r w:rsidRPr="006E5536">
        <w:rPr>
          <w:color w:val="000000"/>
          <w:sz w:val="22"/>
          <w:szCs w:val="22"/>
          <w:lang w:val="es-ES_tradnl"/>
        </w:rPr>
        <w:t xml:space="preserve">Umeklidinijum bromid je </w:t>
      </w:r>
      <w:r w:rsidRPr="006E5536">
        <w:rPr>
          <w:sz w:val="22"/>
          <w:szCs w:val="22"/>
          <w:lang w:val="sl-SI"/>
        </w:rPr>
        <w:t xml:space="preserve">supstrat </w:t>
      </w:r>
      <w:r w:rsidRPr="006E5536">
        <w:rPr>
          <w:sz w:val="22"/>
          <w:szCs w:val="22"/>
          <w:lang w:val="hr-HR"/>
        </w:rPr>
        <w:t>za P-glikoprotein transporter (P-gp). Uticaj umjerenog inhibitora P-glikoproteina, verapamila (240mg jednom dnevno) na farmakokinetiku umeklidinijum</w:t>
      </w:r>
      <w:r w:rsidR="0091471E" w:rsidRPr="006E5536">
        <w:rPr>
          <w:sz w:val="22"/>
          <w:szCs w:val="22"/>
          <w:lang w:val="hr-HR"/>
        </w:rPr>
        <w:t xml:space="preserve"> </w:t>
      </w:r>
      <w:r w:rsidRPr="006E5536">
        <w:rPr>
          <w:sz w:val="22"/>
          <w:szCs w:val="22"/>
          <w:lang w:val="hr-HR"/>
        </w:rPr>
        <w:t>bromida u stanju dinamičke ravnoteže, procjenjivan je kod zdravih dobrovoljaca. Nije zabilježen uticaj verapamila na vrijednost C</w:t>
      </w:r>
      <w:r w:rsidRPr="006E5536">
        <w:rPr>
          <w:sz w:val="22"/>
          <w:szCs w:val="22"/>
          <w:vertAlign w:val="subscript"/>
          <w:lang w:val="hr-HR"/>
        </w:rPr>
        <w:t>max</w:t>
      </w:r>
      <w:r w:rsidRPr="006E5536">
        <w:rPr>
          <w:sz w:val="22"/>
          <w:szCs w:val="22"/>
          <w:lang w:val="hr-HR"/>
        </w:rPr>
        <w:t xml:space="preserve"> umeklidinijum bromida. Zabilježeno povećanje vrijednosti PIK-a umeklidinijum bromida</w:t>
      </w:r>
      <w:r w:rsidR="00814434" w:rsidRPr="006E5536">
        <w:rPr>
          <w:sz w:val="22"/>
          <w:szCs w:val="22"/>
          <w:lang w:val="hr-HR"/>
        </w:rPr>
        <w:t xml:space="preserve"> za oko 1.4 puta</w:t>
      </w:r>
      <w:r w:rsidRPr="006E5536">
        <w:rPr>
          <w:sz w:val="22"/>
          <w:szCs w:val="22"/>
          <w:lang w:val="hr-HR"/>
        </w:rPr>
        <w:t xml:space="preserve">. </w:t>
      </w:r>
      <w:r w:rsidRPr="006E5536">
        <w:rPr>
          <w:sz w:val="22"/>
          <w:szCs w:val="22"/>
          <w:lang w:val="sl-SI"/>
        </w:rPr>
        <w:t xml:space="preserve">S obzirom na opseg navedenih promjena, ne očekuju se klinički značajne interakcije ukoliko se umeklidinijum bromid istovremeno primjenjuje sa </w:t>
      </w:r>
      <w:r w:rsidRPr="006E5536">
        <w:rPr>
          <w:sz w:val="22"/>
          <w:szCs w:val="22"/>
          <w:lang w:val="hr-HR"/>
        </w:rPr>
        <w:t>inhibitorima P-glikoproteina.</w:t>
      </w:r>
    </w:p>
    <w:p w:rsidR="009B6915" w:rsidRPr="006E5536" w:rsidRDefault="009B6915">
      <w:pPr>
        <w:keepNext/>
        <w:autoSpaceDE w:val="0"/>
        <w:autoSpaceDN w:val="0"/>
        <w:adjustRightInd w:val="0"/>
        <w:contextualSpacing/>
        <w:jc w:val="both"/>
        <w:rPr>
          <w:rFonts w:eastAsia="SimSun"/>
          <w:sz w:val="22"/>
          <w:szCs w:val="22"/>
          <w:lang w:val="hr-HR" w:eastAsia="en-GB"/>
        </w:rPr>
      </w:pPr>
    </w:p>
    <w:p w:rsidR="009B6915" w:rsidRPr="006E5536" w:rsidRDefault="0093229F">
      <w:pPr>
        <w:keepNext/>
        <w:autoSpaceDE w:val="0"/>
        <w:autoSpaceDN w:val="0"/>
        <w:adjustRightInd w:val="0"/>
        <w:contextualSpacing/>
        <w:jc w:val="both"/>
        <w:rPr>
          <w:rFonts w:eastAsia="SimSun"/>
          <w:sz w:val="22"/>
          <w:szCs w:val="22"/>
          <w:u w:val="single"/>
          <w:lang w:val="hr-HR" w:eastAsia="en-GB"/>
        </w:rPr>
      </w:pPr>
      <w:r w:rsidRPr="006E5536">
        <w:rPr>
          <w:rFonts w:eastAsia="SimSun"/>
          <w:sz w:val="22"/>
          <w:szCs w:val="22"/>
          <w:u w:val="single"/>
          <w:lang w:val="hr-HR" w:eastAsia="en-GB"/>
        </w:rPr>
        <w:t>Primjena drugih ljekova za HOBP</w:t>
      </w:r>
    </w:p>
    <w:p w:rsidR="009B6915" w:rsidRPr="006E5536" w:rsidRDefault="0093229F">
      <w:pPr>
        <w:keepNext/>
        <w:autoSpaceDE w:val="0"/>
        <w:autoSpaceDN w:val="0"/>
        <w:adjustRightInd w:val="0"/>
        <w:contextualSpacing/>
        <w:jc w:val="both"/>
        <w:rPr>
          <w:rFonts w:eastAsia="SimSun"/>
          <w:sz w:val="22"/>
          <w:szCs w:val="22"/>
          <w:lang w:val="hr-HR" w:eastAsia="en-GB"/>
        </w:rPr>
      </w:pPr>
      <w:r w:rsidRPr="006E5536">
        <w:rPr>
          <w:rFonts w:eastAsia="SimSun"/>
          <w:sz w:val="22"/>
          <w:szCs w:val="22"/>
          <w:lang w:val="hr-HR" w:eastAsia="en-GB"/>
        </w:rPr>
        <w:t xml:space="preserve">Iako nijesu sprovedena formalna </w:t>
      </w:r>
      <w:r w:rsidRPr="006E5536">
        <w:rPr>
          <w:rFonts w:eastAsia="SimSun"/>
          <w:i/>
          <w:sz w:val="22"/>
          <w:szCs w:val="22"/>
          <w:lang w:val="hr-HR" w:eastAsia="en-GB"/>
        </w:rPr>
        <w:t>in vivo</w:t>
      </w:r>
      <w:r w:rsidRPr="006E5536">
        <w:rPr>
          <w:rFonts w:eastAsia="SimSun"/>
          <w:sz w:val="22"/>
          <w:szCs w:val="22"/>
          <w:lang w:val="hr-HR" w:eastAsia="en-GB"/>
        </w:rPr>
        <w:t xml:space="preserve"> ispitivanja interakcije ljekova, pri istovremenoj inhalacionoj primjeni lijeka Incruse</w:t>
      </w:r>
      <w:r w:rsidRPr="006E5536">
        <w:rPr>
          <w:rFonts w:eastAsia="SimSun"/>
          <w:sz w:val="22"/>
          <w:szCs w:val="22"/>
          <w:vertAlign w:val="superscript"/>
          <w:lang w:val="hr-HR" w:eastAsia="en-GB"/>
        </w:rPr>
        <w:t>®</w:t>
      </w:r>
      <w:r w:rsidRPr="006E5536">
        <w:rPr>
          <w:rFonts w:eastAsia="SimSun"/>
          <w:sz w:val="22"/>
          <w:szCs w:val="22"/>
          <w:lang w:val="hr-HR" w:eastAsia="en-GB"/>
        </w:rPr>
        <w:t xml:space="preserve"> i drugih ljekova za terapiju HOBP, uključujući kratkodjelujuće i dugodjelujuće bronhodilatatore iz grupe simpatomimetika i inhalacione kortikosteroide</w:t>
      </w:r>
      <w:r w:rsidR="00814434" w:rsidRPr="006E5536">
        <w:rPr>
          <w:rFonts w:eastAsia="SimSun"/>
          <w:sz w:val="22"/>
          <w:szCs w:val="22"/>
          <w:lang w:val="hr-HR" w:eastAsia="en-GB"/>
        </w:rPr>
        <w:t>,</w:t>
      </w:r>
      <w:r w:rsidRPr="006E5536">
        <w:rPr>
          <w:rFonts w:eastAsia="SimSun"/>
          <w:sz w:val="22"/>
          <w:szCs w:val="22"/>
          <w:lang w:val="hr-HR" w:eastAsia="en-GB"/>
        </w:rPr>
        <w:t xml:space="preserve"> nije bilo kliničkih dokaza interakcije između navedenih ljekova.  </w:t>
      </w:r>
    </w:p>
    <w:p w:rsidR="000B30DD" w:rsidRPr="006E5536" w:rsidRDefault="000B30DD" w:rsidP="00552413">
      <w:pPr>
        <w:tabs>
          <w:tab w:val="left" w:pos="540"/>
          <w:tab w:val="left" w:pos="569"/>
        </w:tabs>
        <w:rPr>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lastRenderedPageBreak/>
        <w:t xml:space="preserve">4.6. </w:t>
      </w:r>
      <w:r w:rsidRPr="006E5536">
        <w:rPr>
          <w:b/>
          <w:bCs/>
          <w:sz w:val="22"/>
          <w:szCs w:val="22"/>
        </w:rPr>
        <w:tab/>
        <w:t>Primjena u periodu trudnoće i dojenja</w:t>
      </w:r>
    </w:p>
    <w:p w:rsidR="009B6915" w:rsidRPr="006E5536" w:rsidRDefault="0093229F">
      <w:pPr>
        <w:pStyle w:val="Header"/>
        <w:tabs>
          <w:tab w:val="left" w:pos="284"/>
        </w:tabs>
        <w:spacing w:before="80"/>
        <w:contextualSpacing/>
        <w:jc w:val="both"/>
        <w:rPr>
          <w:bCs/>
          <w:sz w:val="22"/>
          <w:szCs w:val="22"/>
          <w:u w:val="single"/>
        </w:rPr>
      </w:pPr>
      <w:r w:rsidRPr="006E5536">
        <w:rPr>
          <w:bCs/>
          <w:sz w:val="22"/>
          <w:szCs w:val="22"/>
          <w:u w:val="single"/>
        </w:rPr>
        <w:t>Trudnoća</w:t>
      </w:r>
    </w:p>
    <w:p w:rsidR="009B6915" w:rsidRPr="006E5536" w:rsidRDefault="0093229F">
      <w:pPr>
        <w:pStyle w:val="Header"/>
        <w:tabs>
          <w:tab w:val="left" w:pos="284"/>
        </w:tabs>
        <w:spacing w:before="80"/>
        <w:contextualSpacing/>
        <w:jc w:val="both"/>
        <w:rPr>
          <w:bCs/>
          <w:sz w:val="22"/>
          <w:szCs w:val="22"/>
        </w:rPr>
      </w:pPr>
      <w:r w:rsidRPr="006E5536">
        <w:rPr>
          <w:bCs/>
          <w:sz w:val="22"/>
          <w:szCs w:val="22"/>
        </w:rPr>
        <w:t xml:space="preserve">Ne postoje podaci o primjeni umeklidinijum bromida kod trudnica. Ispitivanja na životinjama nijesu ukazala na postojanje direktnih ili indirektnih štetnih uticaja u pogledu reproduktivne toksičnosti (vidjeti odjeljak 5.3). </w:t>
      </w:r>
    </w:p>
    <w:p w:rsidR="009B6915" w:rsidRPr="006E5536" w:rsidRDefault="009B6915">
      <w:pPr>
        <w:pStyle w:val="Header"/>
        <w:tabs>
          <w:tab w:val="left" w:pos="284"/>
        </w:tabs>
        <w:spacing w:before="80"/>
        <w:contextualSpacing/>
        <w:jc w:val="both"/>
        <w:rPr>
          <w:bCs/>
          <w:sz w:val="22"/>
          <w:szCs w:val="22"/>
        </w:rPr>
      </w:pPr>
    </w:p>
    <w:p w:rsidR="009B6915" w:rsidRPr="006E5536" w:rsidRDefault="0093229F">
      <w:pPr>
        <w:pStyle w:val="BodyText"/>
        <w:contextualSpacing/>
        <w:jc w:val="both"/>
        <w:rPr>
          <w:sz w:val="22"/>
          <w:szCs w:val="22"/>
          <w:lang w:val="sl-SI"/>
        </w:rPr>
      </w:pPr>
      <w:r w:rsidRPr="006E5536">
        <w:rPr>
          <w:sz w:val="22"/>
          <w:szCs w:val="22"/>
          <w:lang w:val="sl-SI"/>
        </w:rPr>
        <w:t xml:space="preserve">Lijek </w:t>
      </w:r>
      <w:r w:rsidRPr="006E5536">
        <w:rPr>
          <w:sz w:val="22"/>
          <w:szCs w:val="22"/>
        </w:rPr>
        <w:t>Incruse</w:t>
      </w:r>
      <w:r w:rsidRPr="006E5536">
        <w:rPr>
          <w:sz w:val="22"/>
          <w:szCs w:val="22"/>
          <w:vertAlign w:val="superscript"/>
        </w:rPr>
        <w:t>®</w:t>
      </w:r>
      <w:r w:rsidRPr="006E5536">
        <w:rPr>
          <w:sz w:val="22"/>
          <w:szCs w:val="22"/>
          <w:lang w:val="sl-SI"/>
        </w:rPr>
        <w:t xml:space="preserve"> se u toku trudnoće može primjenjivati samo ukoliko je očekivana korist za majku veća od potencijalnog rizika po fetus. </w:t>
      </w:r>
    </w:p>
    <w:p w:rsidR="009B6915" w:rsidRPr="006E5536" w:rsidRDefault="009B6915">
      <w:pPr>
        <w:pStyle w:val="Header"/>
        <w:tabs>
          <w:tab w:val="left" w:pos="284"/>
        </w:tabs>
        <w:spacing w:before="80"/>
        <w:contextualSpacing/>
        <w:jc w:val="both"/>
        <w:rPr>
          <w:b/>
          <w:bCs/>
          <w:sz w:val="22"/>
          <w:szCs w:val="22"/>
        </w:rPr>
      </w:pPr>
    </w:p>
    <w:p w:rsidR="009B6915" w:rsidRPr="006E5536" w:rsidRDefault="0093229F">
      <w:pPr>
        <w:pStyle w:val="BodyText"/>
        <w:contextualSpacing/>
        <w:jc w:val="both"/>
        <w:rPr>
          <w:sz w:val="22"/>
          <w:szCs w:val="22"/>
          <w:u w:val="single"/>
          <w:lang w:val="sl-SI"/>
        </w:rPr>
      </w:pPr>
      <w:r w:rsidRPr="006E5536">
        <w:rPr>
          <w:sz w:val="22"/>
          <w:szCs w:val="22"/>
          <w:u w:val="single"/>
          <w:lang w:val="sl-SI"/>
        </w:rPr>
        <w:t>Dojenje</w:t>
      </w:r>
    </w:p>
    <w:p w:rsidR="009B6915" w:rsidRPr="006E5536" w:rsidRDefault="0093229F">
      <w:pPr>
        <w:pStyle w:val="BodyText"/>
        <w:contextualSpacing/>
        <w:jc w:val="both"/>
        <w:rPr>
          <w:sz w:val="22"/>
          <w:szCs w:val="22"/>
          <w:lang w:val="sl-SI"/>
        </w:rPr>
      </w:pPr>
      <w:r w:rsidRPr="006E5536">
        <w:rPr>
          <w:bCs/>
          <w:sz w:val="22"/>
          <w:szCs w:val="22"/>
        </w:rPr>
        <w:t xml:space="preserve">Nije poznato da li se umeklidinijum bromid izlučuje u </w:t>
      </w:r>
      <w:r w:rsidR="00814434" w:rsidRPr="006E5536">
        <w:rPr>
          <w:bCs/>
          <w:sz w:val="22"/>
          <w:szCs w:val="22"/>
        </w:rPr>
        <w:t xml:space="preserve">majčino </w:t>
      </w:r>
      <w:r w:rsidRPr="006E5536">
        <w:rPr>
          <w:bCs/>
          <w:sz w:val="22"/>
          <w:szCs w:val="22"/>
        </w:rPr>
        <w:t xml:space="preserve">mlijeko. </w:t>
      </w:r>
      <w:r w:rsidRPr="006E5536">
        <w:rPr>
          <w:sz w:val="22"/>
          <w:szCs w:val="22"/>
          <w:lang w:val="sl-SI"/>
        </w:rPr>
        <w:t xml:space="preserve">Nije moguće isključiti rizik za dojenu novorođenčad/odojčad. </w:t>
      </w:r>
    </w:p>
    <w:p w:rsidR="009B6915" w:rsidRPr="006E5536" w:rsidRDefault="009B6915">
      <w:pPr>
        <w:pStyle w:val="BodyText"/>
        <w:contextualSpacing/>
        <w:jc w:val="both"/>
        <w:rPr>
          <w:sz w:val="22"/>
          <w:szCs w:val="22"/>
          <w:lang w:val="sl-SI"/>
        </w:rPr>
      </w:pPr>
    </w:p>
    <w:p w:rsidR="009B6915" w:rsidRPr="006E5536" w:rsidRDefault="0093229F">
      <w:pPr>
        <w:pStyle w:val="BodyText"/>
        <w:contextualSpacing/>
        <w:jc w:val="both"/>
        <w:rPr>
          <w:sz w:val="22"/>
          <w:szCs w:val="22"/>
          <w:lang w:val="sl-SI"/>
        </w:rPr>
      </w:pPr>
      <w:r w:rsidRPr="006E5536">
        <w:rPr>
          <w:sz w:val="22"/>
          <w:szCs w:val="22"/>
          <w:lang w:val="sl-SI"/>
        </w:rPr>
        <w:t xml:space="preserve">Neophodno je donijeti odluku o prekidu dojenja ili o prekidu primjene terapije lijekom </w:t>
      </w:r>
      <w:r w:rsidRPr="006E5536">
        <w:rPr>
          <w:sz w:val="22"/>
          <w:szCs w:val="22"/>
        </w:rPr>
        <w:t>Incruse</w:t>
      </w:r>
      <w:r w:rsidRPr="006E5536">
        <w:rPr>
          <w:sz w:val="22"/>
          <w:szCs w:val="22"/>
          <w:vertAlign w:val="superscript"/>
        </w:rPr>
        <w:t>®</w:t>
      </w:r>
      <w:r w:rsidRPr="006E5536">
        <w:rPr>
          <w:sz w:val="22"/>
          <w:szCs w:val="22"/>
        </w:rPr>
        <w:t xml:space="preserve"> uzimajući u obzir korist dojenja za dijete i korist primjene terapije kod majke.</w:t>
      </w:r>
    </w:p>
    <w:p w:rsidR="009B6915" w:rsidRPr="006E5536" w:rsidRDefault="009B6915">
      <w:pPr>
        <w:pStyle w:val="Header"/>
        <w:tabs>
          <w:tab w:val="left" w:pos="284"/>
        </w:tabs>
        <w:spacing w:before="80"/>
        <w:contextualSpacing/>
        <w:jc w:val="both"/>
        <w:rPr>
          <w:bCs/>
          <w:sz w:val="22"/>
          <w:szCs w:val="22"/>
          <w:u w:val="single"/>
        </w:rPr>
      </w:pPr>
    </w:p>
    <w:p w:rsidR="009B6915" w:rsidRPr="006E5536" w:rsidRDefault="0093229F">
      <w:pPr>
        <w:pStyle w:val="Header"/>
        <w:tabs>
          <w:tab w:val="left" w:pos="284"/>
        </w:tabs>
        <w:spacing w:before="80"/>
        <w:contextualSpacing/>
        <w:jc w:val="both"/>
        <w:rPr>
          <w:bCs/>
          <w:sz w:val="22"/>
          <w:szCs w:val="22"/>
          <w:u w:val="single"/>
        </w:rPr>
      </w:pPr>
      <w:r w:rsidRPr="006E5536">
        <w:rPr>
          <w:bCs/>
          <w:sz w:val="22"/>
          <w:szCs w:val="22"/>
          <w:u w:val="single"/>
        </w:rPr>
        <w:t>Fertilitet</w:t>
      </w:r>
    </w:p>
    <w:p w:rsidR="0093229F" w:rsidRPr="006E5536" w:rsidRDefault="0093229F" w:rsidP="00552413">
      <w:pPr>
        <w:pStyle w:val="Header"/>
        <w:tabs>
          <w:tab w:val="left" w:pos="284"/>
        </w:tabs>
        <w:spacing w:before="80"/>
        <w:contextualSpacing/>
        <w:rPr>
          <w:bCs/>
          <w:sz w:val="22"/>
          <w:szCs w:val="22"/>
        </w:rPr>
      </w:pPr>
      <w:r w:rsidRPr="006E5536">
        <w:rPr>
          <w:bCs/>
          <w:sz w:val="22"/>
          <w:szCs w:val="22"/>
        </w:rPr>
        <w:t>Nema podataka o uticaju primjene umeklidinijum bromida na fertilitet kod ljudi. Ispitivanja na životinjama nijesu dokazala uticaj umeklidinijum bromida na fertilitet.</w:t>
      </w:r>
    </w:p>
    <w:p w:rsidR="00EC1BBC" w:rsidRPr="006E5536" w:rsidRDefault="00EC1BBC" w:rsidP="00552413">
      <w:pPr>
        <w:tabs>
          <w:tab w:val="left" w:pos="540"/>
          <w:tab w:val="left" w:pos="569"/>
        </w:tabs>
        <w:rPr>
          <w:b/>
          <w:bCs/>
          <w:sz w:val="22"/>
          <w:szCs w:val="22"/>
        </w:rPr>
      </w:pPr>
    </w:p>
    <w:p w:rsidR="00EC1BBC" w:rsidRPr="006E5536" w:rsidRDefault="00EC1BBC" w:rsidP="00552413">
      <w:pPr>
        <w:tabs>
          <w:tab w:val="left" w:pos="540"/>
          <w:tab w:val="left" w:pos="569"/>
        </w:tabs>
        <w:ind w:left="540" w:hanging="540"/>
        <w:rPr>
          <w:b/>
          <w:bCs/>
          <w:sz w:val="22"/>
          <w:szCs w:val="22"/>
        </w:rPr>
      </w:pPr>
      <w:r w:rsidRPr="006E5536">
        <w:rPr>
          <w:b/>
          <w:bCs/>
          <w:sz w:val="22"/>
          <w:szCs w:val="22"/>
        </w:rPr>
        <w:t xml:space="preserve">4.7. </w:t>
      </w:r>
      <w:r w:rsidRPr="006E5536">
        <w:rPr>
          <w:b/>
          <w:bCs/>
          <w:sz w:val="22"/>
          <w:szCs w:val="22"/>
        </w:rPr>
        <w:tab/>
        <w:t>Uticaj na psihofizičke sposobnosti prilikom upravljanja motornim vozilima i rukovanja mašinama</w:t>
      </w:r>
    </w:p>
    <w:p w:rsidR="00814434" w:rsidRPr="006E5536" w:rsidRDefault="00814434" w:rsidP="00552413">
      <w:pPr>
        <w:tabs>
          <w:tab w:val="left" w:pos="540"/>
          <w:tab w:val="left" w:pos="569"/>
        </w:tabs>
        <w:ind w:left="540" w:hanging="540"/>
        <w:rPr>
          <w:b/>
          <w:bCs/>
          <w:sz w:val="22"/>
          <w:szCs w:val="22"/>
        </w:rPr>
      </w:pPr>
    </w:p>
    <w:p w:rsidR="009B6915" w:rsidRPr="006E5536" w:rsidRDefault="004622C1">
      <w:pPr>
        <w:contextualSpacing/>
        <w:jc w:val="both"/>
        <w:rPr>
          <w:sz w:val="22"/>
          <w:szCs w:val="22"/>
          <w:lang w:val="sl-SI"/>
        </w:rPr>
      </w:pPr>
      <w:r w:rsidRPr="006E5536">
        <w:rPr>
          <w:color w:val="000000"/>
          <w:sz w:val="22"/>
          <w:szCs w:val="22"/>
          <w:lang w:val="es-ES_tradnl"/>
        </w:rPr>
        <w:t xml:space="preserve">Primjena umeklidinijum bromida ima neznatan uticaj ili nema uticaj </w:t>
      </w:r>
      <w:r w:rsidRPr="006E5536">
        <w:rPr>
          <w:sz w:val="22"/>
          <w:szCs w:val="22"/>
          <w:lang w:val="sl-SI"/>
        </w:rPr>
        <w:t>na sposobnost upravljanja motornim vozilima i rukovanja mašinama.</w:t>
      </w:r>
    </w:p>
    <w:p w:rsidR="009B6915" w:rsidRPr="006E5536" w:rsidRDefault="009B6915">
      <w:pPr>
        <w:tabs>
          <w:tab w:val="left" w:pos="540"/>
          <w:tab w:val="left" w:pos="569"/>
        </w:tabs>
        <w:jc w:val="both"/>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4.8. </w:t>
      </w:r>
      <w:r w:rsidRPr="006E5536">
        <w:rPr>
          <w:b/>
          <w:bCs/>
          <w:sz w:val="22"/>
          <w:szCs w:val="22"/>
        </w:rPr>
        <w:tab/>
        <w:t>Neželjena dejstva</w:t>
      </w:r>
    </w:p>
    <w:p w:rsidR="00A2204E" w:rsidRPr="006E5536" w:rsidRDefault="00A2204E" w:rsidP="00552413">
      <w:pPr>
        <w:tabs>
          <w:tab w:val="left" w:pos="540"/>
          <w:tab w:val="left" w:pos="569"/>
        </w:tabs>
        <w:rPr>
          <w:b/>
          <w:bCs/>
          <w:sz w:val="22"/>
          <w:szCs w:val="22"/>
        </w:rPr>
      </w:pPr>
    </w:p>
    <w:p w:rsidR="009B6915" w:rsidRPr="006E5536" w:rsidRDefault="004622C1">
      <w:pPr>
        <w:pStyle w:val="Header"/>
        <w:tabs>
          <w:tab w:val="left" w:pos="284"/>
        </w:tabs>
        <w:contextualSpacing/>
        <w:jc w:val="both"/>
        <w:rPr>
          <w:sz w:val="22"/>
          <w:szCs w:val="22"/>
          <w:u w:val="single"/>
          <w:lang w:val="sl-SI"/>
        </w:rPr>
      </w:pPr>
      <w:r w:rsidRPr="006E5536">
        <w:rPr>
          <w:sz w:val="22"/>
          <w:szCs w:val="22"/>
          <w:u w:val="single"/>
          <w:lang w:val="sl-SI"/>
        </w:rPr>
        <w:t>Sažetak bezbjednosnog profila</w:t>
      </w:r>
    </w:p>
    <w:p w:rsidR="009B6915" w:rsidRPr="006E5536" w:rsidRDefault="004622C1">
      <w:pPr>
        <w:pStyle w:val="Header"/>
        <w:tabs>
          <w:tab w:val="left" w:pos="284"/>
        </w:tabs>
        <w:contextualSpacing/>
        <w:jc w:val="both"/>
        <w:rPr>
          <w:sz w:val="22"/>
          <w:szCs w:val="22"/>
          <w:lang w:val="sl-SI"/>
        </w:rPr>
      </w:pPr>
      <w:r w:rsidRPr="006E5536">
        <w:rPr>
          <w:sz w:val="22"/>
          <w:szCs w:val="22"/>
          <w:lang w:val="sl-SI"/>
        </w:rPr>
        <w:t>Najčešće prijavljena neželjena dejstva udružena s primjenom lijeka Incruse</w:t>
      </w:r>
      <w:r w:rsidRPr="006E5536">
        <w:rPr>
          <w:sz w:val="22"/>
          <w:szCs w:val="22"/>
          <w:vertAlign w:val="superscript"/>
          <w:lang w:val="sl-SI"/>
        </w:rPr>
        <w:t>®</w:t>
      </w:r>
      <w:r w:rsidRPr="006E5536">
        <w:rPr>
          <w:sz w:val="22"/>
          <w:szCs w:val="22"/>
          <w:lang w:val="sl-SI"/>
        </w:rPr>
        <w:t xml:space="preserve"> bila su nazofaringitis i infekcije gornjeg dijela respiratornog trakta. </w:t>
      </w:r>
    </w:p>
    <w:p w:rsidR="009B6915" w:rsidRPr="006E5536" w:rsidRDefault="009B6915">
      <w:pPr>
        <w:pStyle w:val="Header"/>
        <w:tabs>
          <w:tab w:val="left" w:pos="284"/>
        </w:tabs>
        <w:contextualSpacing/>
        <w:jc w:val="both"/>
        <w:rPr>
          <w:sz w:val="22"/>
          <w:szCs w:val="22"/>
          <w:lang w:val="sl-SI"/>
        </w:rPr>
      </w:pPr>
    </w:p>
    <w:p w:rsidR="009B6915" w:rsidRPr="006E5536" w:rsidRDefault="004622C1">
      <w:pPr>
        <w:pStyle w:val="Header"/>
        <w:tabs>
          <w:tab w:val="left" w:pos="284"/>
        </w:tabs>
        <w:contextualSpacing/>
        <w:jc w:val="both"/>
        <w:rPr>
          <w:sz w:val="22"/>
          <w:szCs w:val="22"/>
          <w:u w:val="single"/>
        </w:rPr>
      </w:pPr>
      <w:r w:rsidRPr="006E5536">
        <w:rPr>
          <w:sz w:val="22"/>
          <w:szCs w:val="22"/>
          <w:u w:val="single"/>
        </w:rPr>
        <w:t>Tabelarni prikaz neželjenih dejstava</w:t>
      </w:r>
    </w:p>
    <w:p w:rsidR="009B6915" w:rsidRPr="006E5536" w:rsidRDefault="004622C1">
      <w:pPr>
        <w:pStyle w:val="Header"/>
        <w:tabs>
          <w:tab w:val="left" w:pos="284"/>
        </w:tabs>
        <w:contextualSpacing/>
        <w:jc w:val="both"/>
        <w:rPr>
          <w:sz w:val="22"/>
          <w:szCs w:val="22"/>
          <w:lang w:val="sl-SI"/>
        </w:rPr>
      </w:pPr>
      <w:r w:rsidRPr="006E5536">
        <w:rPr>
          <w:sz w:val="22"/>
          <w:szCs w:val="22"/>
          <w:lang w:val="sl-SI"/>
        </w:rPr>
        <w:t>Bezbjednosni profil umeklidinijum bromida je procijenjen na osnovu podataka dobijenih nakon primjene doze od 55 mikrograma ili nakon primjene veće doze kod 1663 pacijenata sa HOBP u periodu do godinu dana. Navedeno uključuje 576 pacijenata kojima je primijenjena preporučena doza od 55 mikrograma jednom dnevno.</w:t>
      </w:r>
    </w:p>
    <w:p w:rsidR="009B6915" w:rsidRPr="006E5536" w:rsidRDefault="009B6915">
      <w:pPr>
        <w:pStyle w:val="Header"/>
        <w:tabs>
          <w:tab w:val="left" w:pos="284"/>
        </w:tabs>
        <w:contextualSpacing/>
        <w:jc w:val="both"/>
        <w:rPr>
          <w:sz w:val="22"/>
          <w:szCs w:val="22"/>
          <w:lang w:val="sl-SI"/>
        </w:rPr>
      </w:pPr>
    </w:p>
    <w:p w:rsidR="009B6915" w:rsidRPr="006E5536" w:rsidRDefault="004622C1">
      <w:pPr>
        <w:pStyle w:val="Header"/>
        <w:tabs>
          <w:tab w:val="left" w:pos="284"/>
        </w:tabs>
        <w:contextualSpacing/>
        <w:jc w:val="both"/>
        <w:rPr>
          <w:sz w:val="22"/>
          <w:szCs w:val="22"/>
          <w:lang w:val="sl-SI"/>
        </w:rPr>
      </w:pPr>
      <w:r w:rsidRPr="006E5536">
        <w:rPr>
          <w:sz w:val="22"/>
          <w:szCs w:val="22"/>
          <w:lang w:val="sl-SI"/>
        </w:rPr>
        <w:t>Učestalost pojave neželjenih dejstava navedenih u tabeli u daljem tekstu uključuje okvirnu incidencu pojave neželjenih dejstava dobijenu iz četiri ispitivanja efikasnosti i dugotrajnog ispitivanja bezbjednosti (koje je uključivalo 1412 pacijenata kojima je primijenjen umeklidinijum bromid).</w:t>
      </w:r>
    </w:p>
    <w:p w:rsidR="009B6915" w:rsidRDefault="004622C1">
      <w:pPr>
        <w:pStyle w:val="listssp"/>
        <w:tabs>
          <w:tab w:val="left" w:pos="567"/>
        </w:tabs>
        <w:contextualSpacing/>
        <w:jc w:val="both"/>
        <w:rPr>
          <w:sz w:val="22"/>
          <w:szCs w:val="22"/>
          <w:lang w:val="sr-Latn-CS"/>
        </w:rPr>
      </w:pPr>
      <w:r w:rsidRPr="006E5536">
        <w:rPr>
          <w:sz w:val="22"/>
          <w:szCs w:val="22"/>
          <w:lang w:val="sl-SI"/>
        </w:rPr>
        <w:t xml:space="preserve">Učestalosti pojave neželjenih dejstava su definisane kao: veoma česta (≥ 1/10), česta (≥ 1/100 i &lt; 1/10), povremena (≥ 1/1000 i &lt;  1/100), rijetka (≥ 1/10000 i &lt;1/1000); veoma rijetka (&lt;1/10000), </w:t>
      </w:r>
      <w:r w:rsidRPr="006E5536">
        <w:rPr>
          <w:sz w:val="22"/>
          <w:szCs w:val="22"/>
          <w:lang w:val="sr-Latn-CS"/>
        </w:rPr>
        <w:t>nepoznata (</w:t>
      </w:r>
      <w:r w:rsidRPr="006E5536">
        <w:rPr>
          <w:sz w:val="22"/>
          <w:szCs w:val="22"/>
        </w:rPr>
        <w:t>učestalost nije moguće procijeniti na osnovu dostupnih podataka)</w:t>
      </w:r>
      <w:r w:rsidRPr="006E5536">
        <w:rPr>
          <w:sz w:val="22"/>
          <w:szCs w:val="22"/>
          <w:lang w:val="sr-Latn-CS"/>
        </w:rPr>
        <w:t xml:space="preserve">. </w:t>
      </w:r>
    </w:p>
    <w:p w:rsidR="006E5536" w:rsidRPr="006E5536" w:rsidRDefault="006E5536">
      <w:pPr>
        <w:pStyle w:val="listssp"/>
        <w:tabs>
          <w:tab w:val="left" w:pos="567"/>
        </w:tabs>
        <w:contextualSpacing/>
        <w:jc w:val="both"/>
        <w:rPr>
          <w:bCs/>
          <w:sz w:val="22"/>
          <w:szCs w:val="22"/>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3175"/>
        <w:gridCol w:w="3175"/>
      </w:tblGrid>
      <w:tr w:rsidR="004622C1" w:rsidRPr="006E5536" w:rsidTr="00E60074">
        <w:tc>
          <w:tcPr>
            <w:tcW w:w="3175" w:type="dxa"/>
          </w:tcPr>
          <w:p w:rsidR="004622C1" w:rsidRPr="006E5536" w:rsidRDefault="004622C1" w:rsidP="00552413">
            <w:pPr>
              <w:pStyle w:val="BodyText"/>
              <w:contextualSpacing/>
              <w:rPr>
                <w:b/>
                <w:sz w:val="22"/>
                <w:szCs w:val="22"/>
                <w:lang w:val="sl-SI"/>
              </w:rPr>
            </w:pPr>
            <w:r w:rsidRPr="006E5536">
              <w:rPr>
                <w:b/>
                <w:sz w:val="22"/>
                <w:szCs w:val="22"/>
                <w:lang w:val="sl-SI"/>
              </w:rPr>
              <w:t>Klasa sistema organa</w:t>
            </w:r>
          </w:p>
        </w:tc>
        <w:tc>
          <w:tcPr>
            <w:tcW w:w="3175" w:type="dxa"/>
          </w:tcPr>
          <w:p w:rsidR="004622C1" w:rsidRPr="006E5536" w:rsidRDefault="004622C1" w:rsidP="00552413">
            <w:pPr>
              <w:pStyle w:val="BodyText"/>
              <w:contextualSpacing/>
              <w:rPr>
                <w:b/>
                <w:sz w:val="22"/>
                <w:szCs w:val="22"/>
                <w:lang w:val="sl-SI"/>
              </w:rPr>
            </w:pPr>
            <w:r w:rsidRPr="006E5536">
              <w:rPr>
                <w:b/>
                <w:sz w:val="22"/>
                <w:szCs w:val="22"/>
                <w:lang w:val="sl-SI"/>
              </w:rPr>
              <w:t>Neželjeno dejstvo</w:t>
            </w:r>
          </w:p>
        </w:tc>
        <w:tc>
          <w:tcPr>
            <w:tcW w:w="3175" w:type="dxa"/>
          </w:tcPr>
          <w:p w:rsidR="004622C1" w:rsidRPr="006E5536" w:rsidRDefault="004622C1" w:rsidP="00552413">
            <w:pPr>
              <w:pStyle w:val="BodyText"/>
              <w:contextualSpacing/>
              <w:rPr>
                <w:b/>
                <w:sz w:val="22"/>
                <w:szCs w:val="22"/>
                <w:lang w:val="sl-SI"/>
              </w:rPr>
            </w:pPr>
            <w:r w:rsidRPr="006E5536">
              <w:rPr>
                <w:b/>
                <w:sz w:val="22"/>
                <w:szCs w:val="22"/>
                <w:lang w:val="sl-SI"/>
              </w:rPr>
              <w:t>Učestalost</w:t>
            </w:r>
          </w:p>
        </w:tc>
      </w:tr>
      <w:tr w:rsidR="004622C1" w:rsidRPr="006E5536" w:rsidTr="006E5536">
        <w:tc>
          <w:tcPr>
            <w:tcW w:w="3175" w:type="dxa"/>
            <w:vAlign w:val="center"/>
          </w:tcPr>
          <w:p w:rsidR="004622C1" w:rsidRPr="006E5536" w:rsidRDefault="004622C1" w:rsidP="006E5536">
            <w:pPr>
              <w:pStyle w:val="BodyText"/>
              <w:contextualSpacing/>
              <w:rPr>
                <w:color w:val="FF0000"/>
                <w:sz w:val="22"/>
                <w:szCs w:val="22"/>
                <w:lang w:val="sl-SI"/>
              </w:rPr>
            </w:pPr>
            <w:r w:rsidRPr="006E5536">
              <w:rPr>
                <w:sz w:val="22"/>
                <w:szCs w:val="22"/>
                <w:lang w:val="sl-SI"/>
              </w:rPr>
              <w:t>Infekcije i infestacije</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t>Nazofaringitis</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Infekcija gornjeg dijela respiratornog trakta</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Infekcija urinarnog trakta</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Sinuzitis</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Faringitis</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lastRenderedPageBreak/>
              <w:t>Često</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Često</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p>
          <w:p w:rsidR="00F34985" w:rsidRPr="006E5536" w:rsidRDefault="00F34985" w:rsidP="006E5536">
            <w:pPr>
              <w:pStyle w:val="BodyText"/>
              <w:contextualSpacing/>
              <w:rPr>
                <w:sz w:val="22"/>
                <w:szCs w:val="22"/>
                <w:lang w:val="sl-SI"/>
              </w:rPr>
            </w:pPr>
            <w:r w:rsidRPr="006E5536">
              <w:rPr>
                <w:sz w:val="22"/>
                <w:szCs w:val="22"/>
                <w:lang w:val="sl-SI"/>
              </w:rPr>
              <w:t>Često</w:t>
            </w:r>
          </w:p>
          <w:p w:rsidR="004622C1" w:rsidRPr="006E5536" w:rsidRDefault="004622C1" w:rsidP="006E5536">
            <w:pPr>
              <w:pStyle w:val="BodyText"/>
              <w:contextualSpacing/>
              <w:rPr>
                <w:sz w:val="22"/>
                <w:szCs w:val="22"/>
                <w:lang w:val="sl-SI"/>
              </w:rPr>
            </w:pPr>
          </w:p>
          <w:p w:rsidR="00F34985" w:rsidRPr="006E5536" w:rsidRDefault="00F34985" w:rsidP="006E5536">
            <w:pPr>
              <w:pStyle w:val="BodyText"/>
              <w:contextualSpacing/>
              <w:rPr>
                <w:sz w:val="22"/>
                <w:szCs w:val="22"/>
                <w:lang w:val="sl-SI"/>
              </w:rPr>
            </w:pPr>
            <w:r w:rsidRPr="006E5536">
              <w:rPr>
                <w:sz w:val="22"/>
                <w:szCs w:val="22"/>
                <w:lang w:val="sl-SI"/>
              </w:rPr>
              <w:t>Često</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Povremeno</w:t>
            </w:r>
          </w:p>
        </w:tc>
      </w:tr>
      <w:tr w:rsidR="004622C1" w:rsidRPr="006E5536" w:rsidTr="006E5536">
        <w:tc>
          <w:tcPr>
            <w:tcW w:w="3175" w:type="dxa"/>
            <w:vAlign w:val="center"/>
          </w:tcPr>
          <w:p w:rsidR="004622C1" w:rsidRPr="006E5536" w:rsidRDefault="004622C1" w:rsidP="006E5536">
            <w:pPr>
              <w:pStyle w:val="BodyText"/>
              <w:contextualSpacing/>
              <w:rPr>
                <w:color w:val="FF0000"/>
                <w:sz w:val="22"/>
                <w:szCs w:val="22"/>
                <w:lang w:val="sl-SI"/>
              </w:rPr>
            </w:pPr>
            <w:r w:rsidRPr="006E5536">
              <w:rPr>
                <w:sz w:val="22"/>
                <w:szCs w:val="22"/>
                <w:lang w:val="sl-SI"/>
              </w:rPr>
              <w:lastRenderedPageBreak/>
              <w:t>Poremećaji nervnog  sistema</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t>Glavobolja</w:t>
            </w:r>
          </w:p>
          <w:p w:rsidR="00030D7C" w:rsidRPr="006E5536" w:rsidRDefault="00030D7C" w:rsidP="006E5536">
            <w:pPr>
              <w:pStyle w:val="BodyText"/>
              <w:contextualSpacing/>
              <w:rPr>
                <w:sz w:val="22"/>
                <w:szCs w:val="22"/>
                <w:lang w:val="sl-SI"/>
              </w:rPr>
            </w:pPr>
          </w:p>
          <w:p w:rsidR="004622C1" w:rsidRPr="006E5536" w:rsidRDefault="00030D7C" w:rsidP="006E5536">
            <w:pPr>
              <w:pStyle w:val="BodyText"/>
              <w:contextualSpacing/>
              <w:rPr>
                <w:sz w:val="22"/>
                <w:szCs w:val="22"/>
                <w:lang w:val="sl-SI"/>
              </w:rPr>
            </w:pPr>
            <w:r w:rsidRPr="006E5536">
              <w:rPr>
                <w:sz w:val="22"/>
                <w:szCs w:val="22"/>
                <w:lang w:val="sl-SI"/>
              </w:rPr>
              <w:t>Disgeuzija</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t>Često</w:t>
            </w:r>
          </w:p>
          <w:p w:rsidR="00030D7C" w:rsidRPr="006E5536" w:rsidRDefault="00030D7C" w:rsidP="006E5536">
            <w:pPr>
              <w:pStyle w:val="BodyText"/>
              <w:contextualSpacing/>
              <w:rPr>
                <w:sz w:val="22"/>
                <w:szCs w:val="22"/>
                <w:lang w:val="sl-SI"/>
              </w:rPr>
            </w:pPr>
          </w:p>
          <w:p w:rsidR="004622C1" w:rsidRPr="006E5536" w:rsidRDefault="00030D7C" w:rsidP="006E5536">
            <w:pPr>
              <w:pStyle w:val="BodyText"/>
              <w:contextualSpacing/>
              <w:rPr>
                <w:sz w:val="22"/>
                <w:szCs w:val="22"/>
                <w:lang w:val="sl-SI"/>
              </w:rPr>
            </w:pPr>
            <w:r w:rsidRPr="006E5536">
              <w:rPr>
                <w:sz w:val="22"/>
                <w:szCs w:val="22"/>
                <w:lang w:val="sl-SI"/>
              </w:rPr>
              <w:t>Povremeno</w:t>
            </w:r>
          </w:p>
        </w:tc>
      </w:tr>
      <w:tr w:rsidR="004622C1" w:rsidRPr="006E5536" w:rsidTr="006E5536">
        <w:tc>
          <w:tcPr>
            <w:tcW w:w="3175" w:type="dxa"/>
            <w:vAlign w:val="center"/>
          </w:tcPr>
          <w:p w:rsidR="004622C1" w:rsidRPr="006E5536" w:rsidRDefault="004622C1" w:rsidP="006E5536">
            <w:pPr>
              <w:pStyle w:val="BodyText"/>
              <w:contextualSpacing/>
              <w:rPr>
                <w:color w:val="FF0000"/>
                <w:sz w:val="22"/>
                <w:szCs w:val="22"/>
                <w:lang w:val="sl-SI"/>
              </w:rPr>
            </w:pPr>
            <w:r w:rsidRPr="006E5536">
              <w:rPr>
                <w:sz w:val="22"/>
                <w:szCs w:val="22"/>
                <w:lang w:val="sl-SI"/>
              </w:rPr>
              <w:t>Kardiološki poremećaji</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t>Atrijalna fibrilacija</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Idioventrikularni ritam</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Supraventrikularna tahikardija</w:t>
            </w:r>
          </w:p>
          <w:p w:rsidR="004622C1" w:rsidRPr="006E5536" w:rsidRDefault="004622C1" w:rsidP="006E5536">
            <w:pPr>
              <w:pStyle w:val="BodyText"/>
              <w:contextualSpacing/>
              <w:rPr>
                <w:sz w:val="22"/>
                <w:szCs w:val="22"/>
              </w:rPr>
            </w:pPr>
          </w:p>
          <w:p w:rsidR="004622C1" w:rsidRPr="006E5536" w:rsidRDefault="004622C1" w:rsidP="006E5536">
            <w:pPr>
              <w:pStyle w:val="BodyText"/>
              <w:contextualSpacing/>
              <w:rPr>
                <w:sz w:val="22"/>
                <w:szCs w:val="22"/>
              </w:rPr>
            </w:pPr>
            <w:r w:rsidRPr="006E5536">
              <w:rPr>
                <w:sz w:val="22"/>
                <w:szCs w:val="22"/>
              </w:rPr>
              <w:t>Supraventrikularne ekstrasistole</w:t>
            </w:r>
          </w:p>
          <w:p w:rsidR="004622C1" w:rsidRPr="006E5536" w:rsidRDefault="004622C1" w:rsidP="006E5536">
            <w:pPr>
              <w:pStyle w:val="BodyText"/>
              <w:contextualSpacing/>
              <w:rPr>
                <w:sz w:val="22"/>
                <w:szCs w:val="22"/>
              </w:rPr>
            </w:pPr>
          </w:p>
          <w:p w:rsidR="004622C1" w:rsidRPr="006E5536" w:rsidRDefault="004622C1" w:rsidP="006E5536">
            <w:pPr>
              <w:pStyle w:val="BodyText"/>
              <w:contextualSpacing/>
              <w:rPr>
                <w:sz w:val="22"/>
                <w:szCs w:val="22"/>
                <w:lang w:val="sl-SI"/>
              </w:rPr>
            </w:pPr>
            <w:r w:rsidRPr="006E5536">
              <w:rPr>
                <w:sz w:val="22"/>
                <w:szCs w:val="22"/>
              </w:rPr>
              <w:t>Tahikardija</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t>Povremeno</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Povremeno</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Povremeno</w:t>
            </w:r>
          </w:p>
          <w:p w:rsidR="004622C1" w:rsidRPr="006E5536" w:rsidRDefault="004622C1" w:rsidP="006E5536">
            <w:pPr>
              <w:pStyle w:val="BodyText"/>
              <w:contextualSpacing/>
              <w:rPr>
                <w:sz w:val="22"/>
                <w:szCs w:val="22"/>
                <w:lang w:val="sl-SI"/>
              </w:rPr>
            </w:pPr>
          </w:p>
          <w:p w:rsidR="004622C1" w:rsidRPr="006E5536" w:rsidRDefault="004622C1" w:rsidP="006E5536">
            <w:pPr>
              <w:pStyle w:val="BodyText"/>
              <w:contextualSpacing/>
              <w:rPr>
                <w:sz w:val="22"/>
                <w:szCs w:val="22"/>
                <w:lang w:val="sl-SI"/>
              </w:rPr>
            </w:pPr>
            <w:r w:rsidRPr="006E5536">
              <w:rPr>
                <w:sz w:val="22"/>
                <w:szCs w:val="22"/>
                <w:lang w:val="sl-SI"/>
              </w:rPr>
              <w:t>Povremeno</w:t>
            </w:r>
          </w:p>
          <w:p w:rsidR="004622C1" w:rsidRPr="006E5536" w:rsidRDefault="004622C1" w:rsidP="006E5536">
            <w:pPr>
              <w:pStyle w:val="BodyText"/>
              <w:contextualSpacing/>
              <w:rPr>
                <w:sz w:val="22"/>
                <w:szCs w:val="22"/>
                <w:lang w:val="sl-SI"/>
              </w:rPr>
            </w:pPr>
          </w:p>
          <w:p w:rsidR="004622C1" w:rsidRPr="006E5536" w:rsidRDefault="00E60074" w:rsidP="006E5536">
            <w:pPr>
              <w:pStyle w:val="BodyText"/>
              <w:contextualSpacing/>
              <w:rPr>
                <w:sz w:val="22"/>
                <w:szCs w:val="22"/>
                <w:lang w:val="sl-SI"/>
              </w:rPr>
            </w:pPr>
            <w:r w:rsidRPr="006E5536">
              <w:rPr>
                <w:sz w:val="22"/>
                <w:szCs w:val="22"/>
                <w:lang w:val="sl-SI"/>
              </w:rPr>
              <w:t>Često</w:t>
            </w:r>
          </w:p>
        </w:tc>
      </w:tr>
      <w:tr w:rsidR="004622C1" w:rsidRPr="006E5536" w:rsidTr="006E5536">
        <w:tc>
          <w:tcPr>
            <w:tcW w:w="3175" w:type="dxa"/>
            <w:vAlign w:val="center"/>
          </w:tcPr>
          <w:p w:rsidR="004622C1" w:rsidRPr="006E5536" w:rsidRDefault="004622C1" w:rsidP="006E5536">
            <w:pPr>
              <w:pStyle w:val="BodyText"/>
              <w:contextualSpacing/>
              <w:rPr>
                <w:color w:val="FF0000"/>
                <w:sz w:val="22"/>
                <w:szCs w:val="22"/>
                <w:lang w:val="sl-SI"/>
              </w:rPr>
            </w:pPr>
            <w:r w:rsidRPr="006E5536">
              <w:rPr>
                <w:sz w:val="22"/>
                <w:szCs w:val="22"/>
                <w:lang w:val="sl-SI"/>
              </w:rPr>
              <w:t>Respiratorni, torakalni i medijastinalni poremećaji</w:t>
            </w:r>
          </w:p>
        </w:tc>
        <w:tc>
          <w:tcPr>
            <w:tcW w:w="3175" w:type="dxa"/>
            <w:vAlign w:val="center"/>
          </w:tcPr>
          <w:p w:rsidR="004622C1" w:rsidRPr="006E5536" w:rsidRDefault="004622C1" w:rsidP="006E5536">
            <w:pPr>
              <w:pStyle w:val="BodyText"/>
              <w:contextualSpacing/>
              <w:rPr>
                <w:sz w:val="22"/>
                <w:szCs w:val="22"/>
                <w:lang w:val="sl-SI"/>
              </w:rPr>
            </w:pPr>
            <w:r w:rsidRPr="006E5536">
              <w:rPr>
                <w:sz w:val="22"/>
                <w:szCs w:val="22"/>
                <w:lang w:val="sl-SI"/>
              </w:rPr>
              <w:t>Kašalj</w:t>
            </w:r>
          </w:p>
        </w:tc>
        <w:tc>
          <w:tcPr>
            <w:tcW w:w="3175" w:type="dxa"/>
            <w:vAlign w:val="center"/>
          </w:tcPr>
          <w:p w:rsidR="004622C1" w:rsidRPr="006E5536" w:rsidRDefault="00E60074" w:rsidP="006E5536">
            <w:pPr>
              <w:pStyle w:val="BodyText"/>
              <w:contextualSpacing/>
              <w:rPr>
                <w:sz w:val="22"/>
                <w:szCs w:val="22"/>
                <w:lang w:val="sl-SI"/>
              </w:rPr>
            </w:pPr>
            <w:r w:rsidRPr="006E5536">
              <w:rPr>
                <w:sz w:val="22"/>
                <w:szCs w:val="22"/>
                <w:lang w:val="sl-SI"/>
              </w:rPr>
              <w:t>Često</w:t>
            </w:r>
          </w:p>
        </w:tc>
      </w:tr>
      <w:tr w:rsidR="00E60074" w:rsidRPr="006E5536" w:rsidTr="006E5536">
        <w:tc>
          <w:tcPr>
            <w:tcW w:w="3175" w:type="dxa"/>
            <w:vAlign w:val="center"/>
          </w:tcPr>
          <w:p w:rsidR="00E60074" w:rsidRPr="006E5536" w:rsidRDefault="00E60074" w:rsidP="006E5536">
            <w:pPr>
              <w:pStyle w:val="BodyText"/>
              <w:contextualSpacing/>
              <w:rPr>
                <w:sz w:val="22"/>
                <w:szCs w:val="22"/>
                <w:lang w:val="sl-SI"/>
              </w:rPr>
            </w:pPr>
            <w:r w:rsidRPr="006E5536">
              <w:rPr>
                <w:sz w:val="22"/>
                <w:szCs w:val="22"/>
                <w:lang w:val="sl-SI"/>
              </w:rPr>
              <w:t>Gastrointestinalni poremećaji</w:t>
            </w:r>
          </w:p>
        </w:tc>
        <w:tc>
          <w:tcPr>
            <w:tcW w:w="3175" w:type="dxa"/>
            <w:vAlign w:val="center"/>
          </w:tcPr>
          <w:p w:rsidR="00E60074" w:rsidRPr="006E5536" w:rsidRDefault="00E60074" w:rsidP="006E5536">
            <w:pPr>
              <w:pStyle w:val="BodyText"/>
              <w:contextualSpacing/>
              <w:rPr>
                <w:sz w:val="22"/>
                <w:szCs w:val="22"/>
                <w:lang w:val="sl-SI"/>
              </w:rPr>
            </w:pPr>
            <w:r w:rsidRPr="006E5536">
              <w:rPr>
                <w:sz w:val="22"/>
                <w:szCs w:val="22"/>
                <w:lang w:val="sl-SI"/>
              </w:rPr>
              <w:t>Konstipacija</w:t>
            </w:r>
          </w:p>
          <w:p w:rsidR="00E60074" w:rsidRPr="006E5536" w:rsidRDefault="00E60074" w:rsidP="006E5536">
            <w:pPr>
              <w:pStyle w:val="BodyText"/>
              <w:contextualSpacing/>
              <w:rPr>
                <w:sz w:val="22"/>
                <w:szCs w:val="22"/>
                <w:lang w:val="sl-SI"/>
              </w:rPr>
            </w:pPr>
          </w:p>
          <w:p w:rsidR="00E60074" w:rsidRPr="006E5536" w:rsidRDefault="00E60074" w:rsidP="006E5536">
            <w:pPr>
              <w:pStyle w:val="BodyText"/>
              <w:contextualSpacing/>
              <w:rPr>
                <w:sz w:val="22"/>
                <w:szCs w:val="22"/>
                <w:lang w:val="sl-SI"/>
              </w:rPr>
            </w:pPr>
            <w:r w:rsidRPr="006E5536">
              <w:rPr>
                <w:sz w:val="22"/>
                <w:szCs w:val="22"/>
                <w:lang w:val="sl-SI"/>
              </w:rPr>
              <w:t>Suva usta</w:t>
            </w:r>
          </w:p>
        </w:tc>
        <w:tc>
          <w:tcPr>
            <w:tcW w:w="3175" w:type="dxa"/>
            <w:vAlign w:val="center"/>
          </w:tcPr>
          <w:p w:rsidR="00E60074" w:rsidRPr="006E5536" w:rsidRDefault="00E60074" w:rsidP="006E5536">
            <w:pPr>
              <w:pStyle w:val="BodyText"/>
              <w:contextualSpacing/>
              <w:rPr>
                <w:sz w:val="22"/>
                <w:szCs w:val="22"/>
                <w:lang w:val="sl-SI"/>
              </w:rPr>
            </w:pPr>
            <w:r w:rsidRPr="006E5536">
              <w:rPr>
                <w:sz w:val="22"/>
                <w:szCs w:val="22"/>
                <w:lang w:val="sl-SI"/>
              </w:rPr>
              <w:t>Povremeno</w:t>
            </w:r>
          </w:p>
          <w:p w:rsidR="00E60074" w:rsidRPr="006E5536" w:rsidRDefault="00E60074" w:rsidP="006E5536">
            <w:pPr>
              <w:pStyle w:val="BodyText"/>
              <w:contextualSpacing/>
              <w:rPr>
                <w:sz w:val="22"/>
                <w:szCs w:val="22"/>
                <w:lang w:val="sl-SI"/>
              </w:rPr>
            </w:pPr>
          </w:p>
          <w:p w:rsidR="00E60074" w:rsidRPr="006E5536" w:rsidRDefault="00E60074" w:rsidP="006E5536">
            <w:pPr>
              <w:pStyle w:val="BodyText"/>
              <w:contextualSpacing/>
              <w:rPr>
                <w:sz w:val="22"/>
                <w:szCs w:val="22"/>
                <w:lang w:val="sl-SI"/>
              </w:rPr>
            </w:pPr>
            <w:r w:rsidRPr="006E5536">
              <w:rPr>
                <w:sz w:val="22"/>
                <w:szCs w:val="22"/>
                <w:lang w:val="sl-SI"/>
              </w:rPr>
              <w:t>Povremeno</w:t>
            </w:r>
          </w:p>
        </w:tc>
      </w:tr>
      <w:tr w:rsidR="00E60074" w:rsidRPr="006E5536" w:rsidTr="006E5536">
        <w:tc>
          <w:tcPr>
            <w:tcW w:w="3175" w:type="dxa"/>
            <w:vAlign w:val="center"/>
          </w:tcPr>
          <w:p w:rsidR="00E60074" w:rsidRPr="006E5536" w:rsidRDefault="00E60074" w:rsidP="006E5536">
            <w:pPr>
              <w:pStyle w:val="BodyText"/>
              <w:contextualSpacing/>
              <w:rPr>
                <w:color w:val="FF0000"/>
                <w:sz w:val="22"/>
                <w:szCs w:val="22"/>
                <w:lang w:val="sl-SI"/>
              </w:rPr>
            </w:pPr>
            <w:r w:rsidRPr="006E5536">
              <w:rPr>
                <w:sz w:val="22"/>
                <w:szCs w:val="22"/>
                <w:lang w:val="sl-SI"/>
              </w:rPr>
              <w:t>Poremećaji na nivou kože i potkožnog tkiva</w:t>
            </w:r>
          </w:p>
        </w:tc>
        <w:tc>
          <w:tcPr>
            <w:tcW w:w="3175" w:type="dxa"/>
            <w:vAlign w:val="center"/>
          </w:tcPr>
          <w:p w:rsidR="00E60074" w:rsidRPr="006E5536" w:rsidRDefault="00E60074" w:rsidP="006E5536">
            <w:pPr>
              <w:pStyle w:val="BodyText"/>
              <w:contextualSpacing/>
              <w:rPr>
                <w:sz w:val="22"/>
                <w:szCs w:val="22"/>
                <w:lang w:val="sl-SI"/>
              </w:rPr>
            </w:pPr>
            <w:r w:rsidRPr="006E5536">
              <w:rPr>
                <w:sz w:val="22"/>
                <w:szCs w:val="22"/>
                <w:lang w:val="sl-SI"/>
              </w:rPr>
              <w:t>Raš</w:t>
            </w:r>
          </w:p>
        </w:tc>
        <w:tc>
          <w:tcPr>
            <w:tcW w:w="3175" w:type="dxa"/>
            <w:vAlign w:val="center"/>
          </w:tcPr>
          <w:p w:rsidR="00E60074" w:rsidRPr="006E5536" w:rsidRDefault="00E60074" w:rsidP="006E5536">
            <w:pPr>
              <w:pStyle w:val="BodyText"/>
              <w:contextualSpacing/>
              <w:rPr>
                <w:sz w:val="22"/>
                <w:szCs w:val="22"/>
                <w:lang w:val="sl-SI"/>
              </w:rPr>
            </w:pPr>
            <w:r w:rsidRPr="006E5536">
              <w:rPr>
                <w:sz w:val="22"/>
                <w:szCs w:val="22"/>
                <w:lang w:val="sl-SI"/>
              </w:rPr>
              <w:t>Povremeno</w:t>
            </w:r>
          </w:p>
        </w:tc>
      </w:tr>
    </w:tbl>
    <w:p w:rsidR="004622C1" w:rsidRPr="006E5536" w:rsidRDefault="004622C1" w:rsidP="00552413">
      <w:pPr>
        <w:contextualSpacing/>
        <w:rPr>
          <w:sz w:val="22"/>
          <w:szCs w:val="22"/>
          <w:lang w:val="hr-HR"/>
        </w:rPr>
      </w:pPr>
    </w:p>
    <w:p w:rsidR="00EC1BBC" w:rsidRPr="006E5536" w:rsidRDefault="00EC1BBC" w:rsidP="00F518EF">
      <w:pPr>
        <w:spacing w:after="200" w:line="276" w:lineRule="auto"/>
        <w:rPr>
          <w:rFonts w:eastAsia="Calibri"/>
          <w:sz w:val="22"/>
          <w:szCs w:val="22"/>
          <w:u w:val="single"/>
        </w:rPr>
      </w:pPr>
      <w:r w:rsidRPr="006E5536">
        <w:rPr>
          <w:rFonts w:eastAsia="Calibri"/>
          <w:sz w:val="22"/>
          <w:szCs w:val="22"/>
          <w:u w:val="single"/>
        </w:rPr>
        <w:t>Prijavljivanje sumnji na neželjena dejstva</w:t>
      </w:r>
    </w:p>
    <w:p w:rsidR="009B6915" w:rsidRPr="006E5536" w:rsidRDefault="00EC1BBC">
      <w:pPr>
        <w:spacing w:after="200" w:line="276" w:lineRule="auto"/>
        <w:jc w:val="both"/>
        <w:rPr>
          <w:rFonts w:eastAsia="Calibri"/>
          <w:sz w:val="22"/>
          <w:szCs w:val="22"/>
        </w:rPr>
      </w:pPr>
      <w:r w:rsidRPr="006E5536">
        <w:rPr>
          <w:rFonts w:eastAsia="Calibri"/>
          <w:sz w:val="22"/>
          <w:szCs w:val="22"/>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9B6915" w:rsidRPr="006E5536" w:rsidRDefault="00CA4919">
      <w:pPr>
        <w:pStyle w:val="NoSpacing"/>
        <w:rPr>
          <w:rFonts w:eastAsia="Calibri"/>
          <w:sz w:val="22"/>
          <w:szCs w:val="22"/>
        </w:rPr>
      </w:pPr>
      <w:r w:rsidRPr="006E5536">
        <w:rPr>
          <w:rFonts w:eastAsia="Calibri"/>
          <w:sz w:val="22"/>
          <w:szCs w:val="22"/>
        </w:rPr>
        <w:t>Agencija za ljekove i medicinska sredstva Crne Gore</w:t>
      </w:r>
    </w:p>
    <w:p w:rsidR="009B6915" w:rsidRPr="006E5536" w:rsidRDefault="00CA4919">
      <w:pPr>
        <w:pStyle w:val="NoSpacing"/>
        <w:rPr>
          <w:rFonts w:eastAsia="Calibri"/>
          <w:sz w:val="22"/>
          <w:szCs w:val="22"/>
        </w:rPr>
      </w:pPr>
      <w:r w:rsidRPr="006E5536">
        <w:rPr>
          <w:rFonts w:eastAsia="Calibri"/>
          <w:sz w:val="22"/>
          <w:szCs w:val="22"/>
        </w:rPr>
        <w:t>Odjeljenje za farmakovigilancu</w:t>
      </w:r>
    </w:p>
    <w:p w:rsidR="009B6915" w:rsidRPr="006E5536" w:rsidRDefault="00CA4919">
      <w:pPr>
        <w:pStyle w:val="NoSpacing"/>
        <w:rPr>
          <w:rFonts w:eastAsia="Calibri"/>
          <w:sz w:val="22"/>
          <w:szCs w:val="22"/>
        </w:rPr>
      </w:pPr>
      <w:r w:rsidRPr="006E5536">
        <w:rPr>
          <w:rFonts w:eastAsia="Calibri"/>
          <w:sz w:val="22"/>
          <w:szCs w:val="22"/>
        </w:rPr>
        <w:t>Bulevar Ivana Crnojevića 64a, 81000 Podgorica</w:t>
      </w:r>
    </w:p>
    <w:p w:rsidR="009B6915" w:rsidRPr="006E5536" w:rsidRDefault="009B6915">
      <w:pPr>
        <w:pStyle w:val="NoSpacing"/>
        <w:rPr>
          <w:rFonts w:eastAsia="Calibri"/>
          <w:sz w:val="22"/>
          <w:szCs w:val="22"/>
        </w:rPr>
      </w:pPr>
    </w:p>
    <w:p w:rsidR="009B6915" w:rsidRPr="006E5536" w:rsidRDefault="00CA4919">
      <w:pPr>
        <w:pStyle w:val="NoSpacing"/>
        <w:rPr>
          <w:rFonts w:eastAsia="Calibri"/>
          <w:sz w:val="22"/>
          <w:szCs w:val="22"/>
        </w:rPr>
      </w:pPr>
      <w:r w:rsidRPr="006E5536">
        <w:rPr>
          <w:rFonts w:eastAsia="Calibri"/>
          <w:sz w:val="22"/>
          <w:szCs w:val="22"/>
        </w:rPr>
        <w:t>tel: +382 (0) 20 310 280</w:t>
      </w:r>
    </w:p>
    <w:p w:rsidR="009B6915" w:rsidRPr="006E5536" w:rsidRDefault="00CA4919">
      <w:pPr>
        <w:pStyle w:val="NoSpacing"/>
        <w:rPr>
          <w:rFonts w:eastAsia="Calibri"/>
          <w:sz w:val="22"/>
          <w:szCs w:val="22"/>
        </w:rPr>
      </w:pPr>
      <w:r w:rsidRPr="006E5536">
        <w:rPr>
          <w:rFonts w:eastAsia="Calibri"/>
          <w:sz w:val="22"/>
          <w:szCs w:val="22"/>
        </w:rPr>
        <w:t>fax:+382 (0) 20 310 581</w:t>
      </w:r>
    </w:p>
    <w:p w:rsidR="009B6915" w:rsidRPr="006E5536" w:rsidRDefault="004228E7">
      <w:pPr>
        <w:pStyle w:val="NoSpacing"/>
        <w:rPr>
          <w:rFonts w:eastAsia="Calibri"/>
          <w:sz w:val="22"/>
          <w:szCs w:val="22"/>
        </w:rPr>
      </w:pPr>
      <w:hyperlink r:id="rId8" w:history="1">
        <w:r w:rsidR="00CA4919" w:rsidRPr="006E5536">
          <w:rPr>
            <w:rFonts w:eastAsia="Calibri"/>
            <w:color w:val="0000FF"/>
            <w:sz w:val="22"/>
            <w:szCs w:val="22"/>
            <w:u w:val="single"/>
          </w:rPr>
          <w:t>www.calims.me</w:t>
        </w:r>
      </w:hyperlink>
    </w:p>
    <w:p w:rsidR="009B6915" w:rsidRPr="006E5536" w:rsidRDefault="004228E7">
      <w:pPr>
        <w:pStyle w:val="NoSpacing"/>
        <w:rPr>
          <w:rFonts w:eastAsia="Calibri"/>
          <w:color w:val="0000FF"/>
          <w:sz w:val="22"/>
          <w:szCs w:val="22"/>
          <w:u w:val="single"/>
        </w:rPr>
      </w:pPr>
      <w:hyperlink r:id="rId9" w:history="1">
        <w:r w:rsidR="00CA4919" w:rsidRPr="006E5536">
          <w:rPr>
            <w:rFonts w:eastAsia="Calibri"/>
            <w:color w:val="0000FF"/>
            <w:sz w:val="22"/>
            <w:szCs w:val="22"/>
            <w:u w:val="single"/>
          </w:rPr>
          <w:t>nezeljenadejstva@calims.me</w:t>
        </w:r>
      </w:hyperlink>
    </w:p>
    <w:p w:rsidR="009B6915" w:rsidRPr="006E5536" w:rsidRDefault="00CA4919">
      <w:pPr>
        <w:pStyle w:val="NoSpacing"/>
        <w:rPr>
          <w:rFonts w:eastAsia="Calibri"/>
          <w:sz w:val="22"/>
          <w:szCs w:val="22"/>
        </w:rPr>
      </w:pPr>
      <w:r w:rsidRPr="006E5536">
        <w:rPr>
          <w:rFonts w:eastAsia="Calibri"/>
          <w:sz w:val="22"/>
          <w:szCs w:val="22"/>
        </w:rPr>
        <w:t>putem IS zdravstvene zaštite</w:t>
      </w:r>
    </w:p>
    <w:p w:rsidR="00EC1BBC" w:rsidRPr="006E5536" w:rsidRDefault="00EC1BBC" w:rsidP="00552413">
      <w:pPr>
        <w:tabs>
          <w:tab w:val="left" w:pos="540"/>
          <w:tab w:val="left" w:pos="569"/>
        </w:tabs>
        <w:rPr>
          <w:b/>
          <w:bCs/>
          <w:sz w:val="22"/>
          <w:szCs w:val="22"/>
        </w:rPr>
      </w:pPr>
      <w:r w:rsidRPr="006E5536">
        <w:rPr>
          <w:b/>
          <w:bCs/>
          <w:sz w:val="22"/>
          <w:szCs w:val="22"/>
        </w:rPr>
        <w:t xml:space="preserve">4.9. </w:t>
      </w:r>
      <w:r w:rsidRPr="006E5536">
        <w:rPr>
          <w:b/>
          <w:bCs/>
          <w:sz w:val="22"/>
          <w:szCs w:val="22"/>
        </w:rPr>
        <w:tab/>
        <w:t>Predoziranje i mjere koje je potrebno preduzeti</w:t>
      </w:r>
    </w:p>
    <w:p w:rsidR="00814434" w:rsidRPr="006E5536" w:rsidRDefault="00814434" w:rsidP="00552413">
      <w:pPr>
        <w:tabs>
          <w:tab w:val="left" w:pos="540"/>
          <w:tab w:val="left" w:pos="569"/>
        </w:tabs>
        <w:rPr>
          <w:b/>
          <w:bCs/>
          <w:sz w:val="22"/>
          <w:szCs w:val="22"/>
        </w:rPr>
      </w:pPr>
    </w:p>
    <w:p w:rsidR="009B6915" w:rsidRPr="006E5536" w:rsidRDefault="005017C2">
      <w:pPr>
        <w:pStyle w:val="BodyText"/>
        <w:contextualSpacing/>
        <w:jc w:val="both"/>
        <w:rPr>
          <w:sz w:val="22"/>
          <w:szCs w:val="22"/>
          <w:lang w:val="sl-SI"/>
        </w:rPr>
      </w:pPr>
      <w:r w:rsidRPr="006E5536">
        <w:rPr>
          <w:sz w:val="22"/>
          <w:szCs w:val="22"/>
          <w:lang w:val="sl-SI"/>
        </w:rPr>
        <w:lastRenderedPageBreak/>
        <w:t>Predoziranje lijekom Incruse</w:t>
      </w:r>
      <w:r w:rsidRPr="006E5536">
        <w:rPr>
          <w:sz w:val="22"/>
          <w:szCs w:val="22"/>
          <w:vertAlign w:val="superscript"/>
          <w:lang w:val="sl-SI"/>
        </w:rPr>
        <w:t>®</w:t>
      </w:r>
      <w:r w:rsidRPr="006E5536">
        <w:rPr>
          <w:sz w:val="22"/>
          <w:szCs w:val="22"/>
          <w:lang w:val="sl-SI"/>
        </w:rPr>
        <w:t xml:space="preserve"> će najvjerovatnije dovesti do pojave znakova i simptoma koji odgovaraju poznatim neželjenim dejstvima koja se javljaju nakon primjene inhalacionih muskarinskih antagonista (npr. suv</w:t>
      </w:r>
      <w:r w:rsidR="00814434" w:rsidRPr="006E5536">
        <w:rPr>
          <w:sz w:val="22"/>
          <w:szCs w:val="22"/>
          <w:lang w:val="sl-SI"/>
        </w:rPr>
        <w:t>a</w:t>
      </w:r>
      <w:r w:rsidRPr="006E5536">
        <w:rPr>
          <w:sz w:val="22"/>
          <w:szCs w:val="22"/>
          <w:lang w:val="sl-SI"/>
        </w:rPr>
        <w:t xml:space="preserve"> usta, poremećaj vidne akomodacije i tahikardija).</w:t>
      </w:r>
    </w:p>
    <w:p w:rsidR="009B6915" w:rsidRPr="006E5536" w:rsidRDefault="009B6915">
      <w:pPr>
        <w:pStyle w:val="BodyText"/>
        <w:contextualSpacing/>
        <w:jc w:val="both"/>
        <w:rPr>
          <w:sz w:val="22"/>
          <w:szCs w:val="22"/>
          <w:lang w:val="sl-SI"/>
        </w:rPr>
      </w:pPr>
    </w:p>
    <w:p w:rsidR="009B6915" w:rsidRPr="006E5536" w:rsidRDefault="005017C2">
      <w:pPr>
        <w:pStyle w:val="BodyText"/>
        <w:contextualSpacing/>
        <w:jc w:val="both"/>
        <w:rPr>
          <w:sz w:val="22"/>
          <w:szCs w:val="22"/>
          <w:lang w:val="sl-SI"/>
        </w:rPr>
      </w:pPr>
      <w:r w:rsidRPr="006E5536">
        <w:rPr>
          <w:sz w:val="22"/>
          <w:szCs w:val="22"/>
          <w:lang w:val="sl-SI"/>
        </w:rPr>
        <w:t>Ukoliko dođe do predoziranja potrebno je primijeniti suportivnu terapiju uz adekvatno praćenje stanja pacijenta ukoliko je potrebno.</w:t>
      </w:r>
    </w:p>
    <w:p w:rsidR="00EC1BBC" w:rsidRPr="006E5536" w:rsidRDefault="00EC1BBC" w:rsidP="00552413">
      <w:pPr>
        <w:tabs>
          <w:tab w:val="left" w:pos="540"/>
          <w:tab w:val="left" w:pos="569"/>
        </w:tabs>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5. </w:t>
      </w:r>
      <w:r w:rsidRPr="006E5536">
        <w:rPr>
          <w:b/>
          <w:bCs/>
          <w:sz w:val="22"/>
          <w:szCs w:val="22"/>
        </w:rPr>
        <w:tab/>
        <w:t>FARMAKOLOŠKI PODACI</w:t>
      </w:r>
    </w:p>
    <w:p w:rsidR="00EC1BBC" w:rsidRPr="006E5536" w:rsidRDefault="00EC1BBC" w:rsidP="00552413">
      <w:pPr>
        <w:tabs>
          <w:tab w:val="left" w:pos="540"/>
          <w:tab w:val="left" w:pos="569"/>
        </w:tabs>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5.1. </w:t>
      </w:r>
      <w:r w:rsidRPr="006E5536">
        <w:rPr>
          <w:b/>
          <w:bCs/>
          <w:sz w:val="22"/>
          <w:szCs w:val="22"/>
        </w:rPr>
        <w:tab/>
        <w:t>Farmakodinamski podaci</w:t>
      </w:r>
    </w:p>
    <w:p w:rsidR="00EC1BBC" w:rsidRPr="006E5536" w:rsidRDefault="00EC1BBC" w:rsidP="00552413">
      <w:pPr>
        <w:tabs>
          <w:tab w:val="left" w:pos="540"/>
          <w:tab w:val="left" w:pos="569"/>
        </w:tabs>
        <w:rPr>
          <w:b/>
          <w:bCs/>
          <w:sz w:val="22"/>
          <w:szCs w:val="22"/>
        </w:rPr>
      </w:pPr>
    </w:p>
    <w:p w:rsidR="009B6915" w:rsidRPr="006E5536" w:rsidRDefault="00EC1BBC">
      <w:pPr>
        <w:pStyle w:val="Header"/>
        <w:tabs>
          <w:tab w:val="left" w:pos="284"/>
        </w:tabs>
        <w:spacing w:before="80"/>
        <w:contextualSpacing/>
        <w:jc w:val="both"/>
        <w:rPr>
          <w:sz w:val="22"/>
          <w:szCs w:val="22"/>
        </w:rPr>
      </w:pPr>
      <w:r w:rsidRPr="006E5536">
        <w:rPr>
          <w:bCs/>
          <w:sz w:val="22"/>
          <w:szCs w:val="22"/>
        </w:rPr>
        <w:t>Farmakoterapijska grupa:</w:t>
      </w:r>
      <w:r w:rsidR="008E5790" w:rsidRPr="006E5536">
        <w:rPr>
          <w:sz w:val="22"/>
          <w:szCs w:val="22"/>
        </w:rPr>
        <w:t xml:space="preserve"> ostali ljekovi za </w:t>
      </w:r>
      <w:r w:rsidR="00814434" w:rsidRPr="006E5536">
        <w:rPr>
          <w:sz w:val="22"/>
          <w:szCs w:val="22"/>
        </w:rPr>
        <w:t xml:space="preserve">liječenje </w:t>
      </w:r>
      <w:r w:rsidR="008E5790" w:rsidRPr="006E5536">
        <w:rPr>
          <w:sz w:val="22"/>
          <w:szCs w:val="22"/>
        </w:rPr>
        <w:t xml:space="preserve">opstruktivne plućne bolesti, </w:t>
      </w:r>
    </w:p>
    <w:p w:rsidR="009B6915" w:rsidRPr="006E5536" w:rsidRDefault="00814434">
      <w:pPr>
        <w:pStyle w:val="Header"/>
        <w:tabs>
          <w:tab w:val="left" w:pos="284"/>
        </w:tabs>
        <w:spacing w:before="80"/>
        <w:contextualSpacing/>
        <w:jc w:val="both"/>
        <w:rPr>
          <w:sz w:val="22"/>
          <w:szCs w:val="22"/>
        </w:rPr>
      </w:pPr>
      <w:r w:rsidRPr="006E5536">
        <w:rPr>
          <w:sz w:val="22"/>
          <w:szCs w:val="22"/>
        </w:rPr>
        <w:t xml:space="preserve">                                          </w:t>
      </w:r>
      <w:r w:rsidR="008E5790" w:rsidRPr="006E5536">
        <w:rPr>
          <w:sz w:val="22"/>
          <w:szCs w:val="22"/>
        </w:rPr>
        <w:t>inhalacioni - antiholinergici</w:t>
      </w:r>
    </w:p>
    <w:p w:rsidR="009B6915" w:rsidRPr="006E5536" w:rsidRDefault="009B6915">
      <w:pPr>
        <w:tabs>
          <w:tab w:val="left" w:pos="540"/>
          <w:tab w:val="left" w:pos="569"/>
        </w:tabs>
        <w:jc w:val="both"/>
        <w:rPr>
          <w:bCs/>
          <w:sz w:val="22"/>
          <w:szCs w:val="22"/>
        </w:rPr>
      </w:pPr>
    </w:p>
    <w:p w:rsidR="009B6915" w:rsidRPr="006E5536" w:rsidRDefault="00EC1BBC">
      <w:pPr>
        <w:tabs>
          <w:tab w:val="left" w:pos="540"/>
          <w:tab w:val="left" w:pos="569"/>
        </w:tabs>
        <w:jc w:val="both"/>
        <w:rPr>
          <w:sz w:val="22"/>
          <w:szCs w:val="22"/>
        </w:rPr>
      </w:pPr>
      <w:r w:rsidRPr="006E5536">
        <w:rPr>
          <w:bCs/>
          <w:sz w:val="22"/>
          <w:szCs w:val="22"/>
        </w:rPr>
        <w:t>ATC kod:</w:t>
      </w:r>
      <w:r w:rsidR="008E5790" w:rsidRPr="006E5536">
        <w:rPr>
          <w:sz w:val="22"/>
          <w:szCs w:val="22"/>
        </w:rPr>
        <w:t xml:space="preserve"> R03BB07</w:t>
      </w:r>
    </w:p>
    <w:p w:rsidR="009B6915" w:rsidRPr="006E5536" w:rsidRDefault="009B6915">
      <w:pPr>
        <w:tabs>
          <w:tab w:val="left" w:pos="540"/>
          <w:tab w:val="left" w:pos="569"/>
        </w:tabs>
        <w:jc w:val="both"/>
        <w:rPr>
          <w:bCs/>
          <w:sz w:val="22"/>
          <w:szCs w:val="22"/>
        </w:rPr>
      </w:pPr>
    </w:p>
    <w:p w:rsidR="009B6915" w:rsidRPr="006E5536" w:rsidRDefault="008F4B1B">
      <w:pPr>
        <w:pStyle w:val="Header"/>
        <w:tabs>
          <w:tab w:val="left" w:pos="1188"/>
        </w:tabs>
        <w:contextualSpacing/>
        <w:jc w:val="both"/>
        <w:rPr>
          <w:sz w:val="22"/>
          <w:szCs w:val="22"/>
          <w:u w:val="single"/>
        </w:rPr>
      </w:pPr>
      <w:r w:rsidRPr="006E5536">
        <w:rPr>
          <w:sz w:val="22"/>
          <w:szCs w:val="22"/>
          <w:u w:val="single"/>
        </w:rPr>
        <w:t>Mehanizam dejstva:</w:t>
      </w:r>
    </w:p>
    <w:p w:rsidR="009B6915" w:rsidRPr="006E5536" w:rsidRDefault="009B6915">
      <w:pPr>
        <w:pStyle w:val="Header"/>
        <w:tabs>
          <w:tab w:val="left" w:pos="1188"/>
        </w:tabs>
        <w:contextualSpacing/>
        <w:jc w:val="both"/>
        <w:rPr>
          <w:sz w:val="22"/>
          <w:szCs w:val="22"/>
        </w:rPr>
      </w:pPr>
    </w:p>
    <w:p w:rsidR="009B6915" w:rsidRPr="006E5536" w:rsidRDefault="008F4B1B">
      <w:pPr>
        <w:pStyle w:val="Header"/>
        <w:tabs>
          <w:tab w:val="left" w:pos="1188"/>
        </w:tabs>
        <w:contextualSpacing/>
        <w:jc w:val="both"/>
        <w:rPr>
          <w:sz w:val="22"/>
          <w:szCs w:val="22"/>
        </w:rPr>
      </w:pPr>
      <w:r w:rsidRPr="006E5536">
        <w:rPr>
          <w:sz w:val="22"/>
          <w:szCs w:val="22"/>
        </w:rPr>
        <w:t xml:space="preserve">Umeklidinijum bromid je dugodjelujući antagonist muskarinskih receptora (takođe pripada i grupi antiholinergika). Derivat je hinuklidina i antagonist muskarinskih receptora koji djeluje na više različitih podtipova muskarinskih receptora. Bronhodilatatorno dejstvo umeklidinijum bromida postiže se kompetitivnom inhibicijom vezivanja acetilholina za muskarinske receptore na glatkoj muskulaturi disajnih puteva. Umeklidinijum bromid pokazuje sporu reverzibilnost za M3 podtipove muskarinskih receptora kod ljudi </w:t>
      </w:r>
      <w:r w:rsidRPr="006E5536">
        <w:rPr>
          <w:i/>
          <w:sz w:val="22"/>
          <w:szCs w:val="22"/>
        </w:rPr>
        <w:t>in vitro</w:t>
      </w:r>
      <w:r w:rsidRPr="006E5536">
        <w:rPr>
          <w:sz w:val="22"/>
          <w:szCs w:val="22"/>
        </w:rPr>
        <w:t xml:space="preserve"> i u pretkliničkim modelima dugotrajnu aktivnost </w:t>
      </w:r>
      <w:r w:rsidRPr="006E5536">
        <w:rPr>
          <w:i/>
          <w:sz w:val="22"/>
          <w:szCs w:val="22"/>
        </w:rPr>
        <w:t xml:space="preserve">in vivo </w:t>
      </w:r>
      <w:r w:rsidRPr="006E5536">
        <w:rPr>
          <w:sz w:val="22"/>
          <w:szCs w:val="22"/>
        </w:rPr>
        <w:t>ukoliko se primjenjuje direktno u pluća.</w:t>
      </w:r>
    </w:p>
    <w:p w:rsidR="009B6915" w:rsidRPr="006E5536" w:rsidRDefault="009B6915">
      <w:pPr>
        <w:pStyle w:val="Header"/>
        <w:tabs>
          <w:tab w:val="left" w:pos="1188"/>
        </w:tabs>
        <w:contextualSpacing/>
        <w:jc w:val="both"/>
        <w:rPr>
          <w:sz w:val="22"/>
          <w:szCs w:val="22"/>
          <w:u w:val="single"/>
        </w:rPr>
      </w:pPr>
    </w:p>
    <w:p w:rsidR="009B6915" w:rsidRPr="006E5536" w:rsidRDefault="008F4B1B">
      <w:pPr>
        <w:pStyle w:val="Header"/>
        <w:tabs>
          <w:tab w:val="left" w:pos="1188"/>
        </w:tabs>
        <w:contextualSpacing/>
        <w:jc w:val="both"/>
        <w:rPr>
          <w:sz w:val="22"/>
          <w:szCs w:val="22"/>
          <w:u w:val="single"/>
        </w:rPr>
      </w:pPr>
      <w:r w:rsidRPr="006E5536">
        <w:rPr>
          <w:sz w:val="22"/>
          <w:szCs w:val="22"/>
          <w:u w:val="single"/>
        </w:rPr>
        <w:t>Farmakodinamska dejstva</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t xml:space="preserve">U okviru faze III ispitivanja, </w:t>
      </w:r>
      <w:r w:rsidRPr="006E5536">
        <w:rPr>
          <w:sz w:val="22"/>
          <w:szCs w:val="22"/>
          <w:lang w:val="sr-Latn-CS"/>
        </w:rPr>
        <w:t>ispitivanje primjene lijeka Incruse</w:t>
      </w:r>
      <w:r w:rsidRPr="006E5536">
        <w:rPr>
          <w:sz w:val="22"/>
          <w:szCs w:val="22"/>
          <w:vertAlign w:val="superscript"/>
          <w:lang w:val="sr-Latn-CS"/>
        </w:rPr>
        <w:t>®</w:t>
      </w:r>
      <w:r w:rsidRPr="006E5536">
        <w:rPr>
          <w:sz w:val="22"/>
          <w:szCs w:val="22"/>
          <w:lang w:val="sr-Latn-CS"/>
        </w:rPr>
        <w:t xml:space="preserve"> u trajanju od 6 mjeseci (DB2113373)</w:t>
      </w:r>
      <w:r w:rsidRPr="006E5536">
        <w:rPr>
          <w:color w:val="000000"/>
          <w:sz w:val="22"/>
          <w:szCs w:val="22"/>
          <w:lang w:val="sr-Latn-CS"/>
        </w:rPr>
        <w:t>, je dovelo do klinički značajnog poboljšanja plućne funkcije u odnosu na primjenu placeba (izmjereno na osnovu forsiranog ekspiratornog volumena u jednoj sekundi [FEV</w:t>
      </w:r>
      <w:r w:rsidRPr="006E5536">
        <w:rPr>
          <w:color w:val="000000"/>
          <w:sz w:val="22"/>
          <w:szCs w:val="22"/>
          <w:vertAlign w:val="subscript"/>
          <w:lang w:val="sr-Latn-CS"/>
        </w:rPr>
        <w:t>1</w:t>
      </w:r>
      <w:r w:rsidRPr="006E5536">
        <w:rPr>
          <w:color w:val="000000"/>
          <w:sz w:val="22"/>
          <w:szCs w:val="22"/>
          <w:lang w:val="sr-Latn-CS"/>
        </w:rPr>
        <w:t>]) u toku perioda od 24 časa nakon primjene jednom dnevno, što je evidentirano nakon 30 minuta od primjene prve doze (poboljšanje za 102m</w:t>
      </w:r>
      <w:r w:rsidR="00E079E4" w:rsidRPr="006E5536">
        <w:rPr>
          <w:color w:val="000000"/>
          <w:sz w:val="22"/>
          <w:szCs w:val="22"/>
          <w:lang w:val="sr-Latn-CS"/>
        </w:rPr>
        <w:t>l</w:t>
      </w:r>
      <w:r w:rsidRPr="006E5536">
        <w:rPr>
          <w:color w:val="000000"/>
          <w:sz w:val="22"/>
          <w:szCs w:val="22"/>
          <w:lang w:val="sr-Latn-CS"/>
        </w:rPr>
        <w:t xml:space="preserve"> u odnosu na placebo, p&lt;0,001). Srednja vrijednost poboljšanja FEV</w:t>
      </w:r>
      <w:r w:rsidRPr="006E5536">
        <w:rPr>
          <w:color w:val="000000"/>
          <w:sz w:val="22"/>
          <w:szCs w:val="22"/>
          <w:vertAlign w:val="subscript"/>
          <w:lang w:val="sr-Latn-CS"/>
        </w:rPr>
        <w:t>1</w:t>
      </w:r>
      <w:r w:rsidRPr="006E5536">
        <w:rPr>
          <w:color w:val="000000"/>
          <w:sz w:val="22"/>
          <w:szCs w:val="22"/>
          <w:lang w:val="sr-Latn-CS"/>
        </w:rPr>
        <w:t xml:space="preserve"> unutar prvih 6 sati nakon primjene lijeka u odnosu na primjenu placeba iznosla je 130m</w:t>
      </w:r>
      <w:r w:rsidR="00E079E4" w:rsidRPr="006E5536">
        <w:rPr>
          <w:color w:val="000000"/>
          <w:sz w:val="22"/>
          <w:szCs w:val="22"/>
          <w:lang w:val="sr-Latn-CS"/>
        </w:rPr>
        <w:t>l</w:t>
      </w:r>
      <w:r w:rsidRPr="006E5536">
        <w:rPr>
          <w:color w:val="000000"/>
          <w:sz w:val="22"/>
          <w:szCs w:val="22"/>
          <w:lang w:val="sr-Latn-CS"/>
        </w:rPr>
        <w:t xml:space="preserve"> (p&lt;0,001*) u 24. nedjelji primjene. Ne postoje podaci o pojavi  tahifilaksije u dejstvu lijeka Incruse</w:t>
      </w:r>
      <w:r w:rsidRPr="006E5536">
        <w:rPr>
          <w:color w:val="000000"/>
          <w:sz w:val="22"/>
          <w:szCs w:val="22"/>
          <w:vertAlign w:val="superscript"/>
          <w:lang w:val="sr-Latn-CS"/>
        </w:rPr>
        <w:t>®</w:t>
      </w:r>
      <w:r w:rsidRPr="006E5536">
        <w:rPr>
          <w:color w:val="000000"/>
          <w:sz w:val="22"/>
          <w:szCs w:val="22"/>
          <w:lang w:val="sr-Latn-CS"/>
        </w:rPr>
        <w:t xml:space="preserve"> tokom perioda primjene.</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i/>
          <w:color w:val="000000"/>
          <w:sz w:val="22"/>
          <w:szCs w:val="22"/>
          <w:lang w:val="sr-Latn-CS"/>
        </w:rPr>
      </w:pPr>
      <w:r w:rsidRPr="006E5536">
        <w:rPr>
          <w:i/>
          <w:color w:val="000000"/>
          <w:sz w:val="22"/>
          <w:szCs w:val="22"/>
          <w:lang w:val="sr-Latn-CS"/>
        </w:rPr>
        <w:t xml:space="preserve">Elektrofiziologija srca </w:t>
      </w:r>
    </w:p>
    <w:p w:rsidR="009B6915" w:rsidRPr="006E5536" w:rsidRDefault="009B6915">
      <w:pPr>
        <w:pStyle w:val="Header"/>
        <w:tabs>
          <w:tab w:val="left" w:pos="1188"/>
        </w:tabs>
        <w:contextualSpacing/>
        <w:jc w:val="both"/>
        <w:rPr>
          <w:i/>
          <w:color w:val="000000"/>
          <w:sz w:val="22"/>
          <w:szCs w:val="22"/>
          <w:lang w:val="sr-Latn-CS"/>
        </w:rPr>
      </w:pPr>
    </w:p>
    <w:p w:rsidR="009B6915" w:rsidRPr="006E5536" w:rsidRDefault="008F4B1B">
      <w:pPr>
        <w:pStyle w:val="Header"/>
        <w:tabs>
          <w:tab w:val="left" w:pos="1188"/>
        </w:tabs>
        <w:contextualSpacing/>
        <w:jc w:val="both"/>
        <w:rPr>
          <w:sz w:val="22"/>
          <w:szCs w:val="22"/>
          <w:lang w:val="sr-Latn-CS"/>
        </w:rPr>
      </w:pPr>
      <w:r w:rsidRPr="006E5536">
        <w:rPr>
          <w:sz w:val="22"/>
          <w:szCs w:val="22"/>
          <w:lang w:val="sr-Latn-CS"/>
        </w:rPr>
        <w:t>Uticaj umeklidinijuma u dozi od 500 mikrograma (</w:t>
      </w:r>
      <w:r w:rsidR="00E079E4" w:rsidRPr="006E5536">
        <w:rPr>
          <w:sz w:val="22"/>
          <w:szCs w:val="22"/>
          <w:lang w:val="sr-Latn-CS"/>
        </w:rPr>
        <w:t>doziranog</w:t>
      </w:r>
      <w:r w:rsidRPr="006E5536">
        <w:rPr>
          <w:sz w:val="22"/>
          <w:szCs w:val="22"/>
          <w:lang w:val="sr-Latn-CS"/>
        </w:rPr>
        <w:t>) na QT interval je ispitivan u okviru placebo i aktivno kontrolisanog  QT ispitivanja (moksifloksacin) kod 103 zdrava ispitanika. Nakon primjene ponovljenih doza od 500 mikrograma umeklidinijuma jednom dnevno u periodu od 10 dana, nijesu  zabilježeni značajni uticaji na produženje QT intervala (</w:t>
      </w:r>
      <w:r w:rsidRPr="006E5536">
        <w:rPr>
          <w:color w:val="000000"/>
          <w:sz w:val="22"/>
          <w:szCs w:val="22"/>
          <w:lang w:val="sr-Latn-CS"/>
        </w:rPr>
        <w:t>korekcija metodom prema Fridericiji</w:t>
      </w:r>
      <w:r w:rsidRPr="006E5536">
        <w:rPr>
          <w:sz w:val="22"/>
          <w:szCs w:val="22"/>
          <w:lang w:val="sr-Latn-CS"/>
        </w:rPr>
        <w:t xml:space="preserve">), ili uticaji na srčani ritam. </w:t>
      </w:r>
    </w:p>
    <w:p w:rsidR="009B6915" w:rsidRPr="006E5536" w:rsidRDefault="009B6915">
      <w:pPr>
        <w:pStyle w:val="Header"/>
        <w:tabs>
          <w:tab w:val="left" w:pos="1188"/>
        </w:tabs>
        <w:contextualSpacing/>
        <w:jc w:val="both"/>
        <w:rPr>
          <w:color w:val="000000"/>
          <w:sz w:val="22"/>
          <w:szCs w:val="22"/>
          <w:lang w:val="sr-Latn-CS"/>
        </w:rPr>
      </w:pPr>
    </w:p>
    <w:p w:rsidR="006E5536" w:rsidRDefault="006E5536">
      <w:pPr>
        <w:pStyle w:val="Header"/>
        <w:tabs>
          <w:tab w:val="left" w:pos="1188"/>
        </w:tabs>
        <w:contextualSpacing/>
        <w:jc w:val="both"/>
        <w:rPr>
          <w:color w:val="000000"/>
          <w:sz w:val="22"/>
          <w:szCs w:val="22"/>
          <w:u w:val="single"/>
          <w:lang w:val="sr-Latn-CS"/>
        </w:rPr>
      </w:pPr>
    </w:p>
    <w:p w:rsidR="009B6915" w:rsidRPr="006E5536" w:rsidRDefault="008F4B1B">
      <w:pPr>
        <w:pStyle w:val="Header"/>
        <w:tabs>
          <w:tab w:val="left" w:pos="1188"/>
        </w:tabs>
        <w:contextualSpacing/>
        <w:jc w:val="both"/>
        <w:rPr>
          <w:color w:val="000000"/>
          <w:sz w:val="22"/>
          <w:szCs w:val="22"/>
          <w:u w:val="single"/>
          <w:lang w:val="sr-Latn-CS"/>
        </w:rPr>
      </w:pPr>
      <w:r w:rsidRPr="006E5536">
        <w:rPr>
          <w:color w:val="000000"/>
          <w:sz w:val="22"/>
          <w:szCs w:val="22"/>
          <w:u w:val="single"/>
          <w:lang w:val="sr-Latn-CS"/>
        </w:rPr>
        <w:t>Klinička efikasnost</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lastRenderedPageBreak/>
        <w:t>Klinička efikasnost lijeka Incruse</w:t>
      </w:r>
      <w:r w:rsidRPr="006E5536">
        <w:rPr>
          <w:color w:val="000000"/>
          <w:sz w:val="22"/>
          <w:szCs w:val="22"/>
          <w:vertAlign w:val="superscript"/>
          <w:lang w:val="sr-Latn-CS"/>
        </w:rPr>
        <w:t>®</w:t>
      </w:r>
      <w:r w:rsidRPr="006E5536">
        <w:rPr>
          <w:color w:val="000000"/>
          <w:sz w:val="22"/>
          <w:szCs w:val="22"/>
          <w:lang w:val="sr-Latn-CS"/>
        </w:rPr>
        <w:t xml:space="preserve">, primijenjenog jednom dnevno, procjenjivana je kod 904 odrasla ispitanika sa kliničkom dijagnozom HOBP, kojima je primijenjen umeklidinijum bromid ili placebo u okviru dva </w:t>
      </w:r>
      <w:r w:rsidR="00831AFC" w:rsidRPr="006E5536">
        <w:rPr>
          <w:color w:val="000000"/>
          <w:sz w:val="22"/>
          <w:szCs w:val="22"/>
          <w:lang w:val="sr-Latn-CS"/>
        </w:rPr>
        <w:t xml:space="preserve">ključna </w:t>
      </w:r>
      <w:r w:rsidRPr="006E5536">
        <w:rPr>
          <w:color w:val="000000"/>
          <w:sz w:val="22"/>
          <w:szCs w:val="22"/>
          <w:lang w:val="sr-Latn-CS"/>
        </w:rPr>
        <w:t>klinička ispitivanja faze III; ispitivanje u trajanju od 12 nedjelja (AC115408) i ispitivanje u trajanju od 24 nedjelje (DB2113373).</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31AFC">
      <w:pPr>
        <w:pStyle w:val="Header"/>
        <w:tabs>
          <w:tab w:val="left" w:pos="1188"/>
        </w:tabs>
        <w:contextualSpacing/>
        <w:jc w:val="both"/>
        <w:rPr>
          <w:color w:val="000000"/>
          <w:sz w:val="22"/>
          <w:szCs w:val="22"/>
          <w:lang w:val="sr-Latn-CS"/>
        </w:rPr>
      </w:pPr>
      <w:r w:rsidRPr="006E5536">
        <w:rPr>
          <w:color w:val="000000"/>
          <w:sz w:val="22"/>
          <w:szCs w:val="22"/>
          <w:lang w:val="sr-Latn-CS"/>
        </w:rPr>
        <w:t>Ključna ispitivanja efikasnosti</w:t>
      </w:r>
    </w:p>
    <w:p w:rsidR="009B6915" w:rsidRPr="006E5536" w:rsidRDefault="008F4B1B">
      <w:pPr>
        <w:pStyle w:val="Header"/>
        <w:tabs>
          <w:tab w:val="left" w:pos="1188"/>
        </w:tabs>
        <w:contextualSpacing/>
        <w:jc w:val="both"/>
        <w:rPr>
          <w:i/>
          <w:color w:val="000000"/>
          <w:sz w:val="22"/>
          <w:szCs w:val="22"/>
          <w:lang w:val="sr-Latn-CS"/>
        </w:rPr>
      </w:pPr>
      <w:r w:rsidRPr="006E5536">
        <w:rPr>
          <w:i/>
          <w:color w:val="000000"/>
          <w:sz w:val="22"/>
          <w:szCs w:val="22"/>
          <w:lang w:val="sr-Latn-CS"/>
        </w:rPr>
        <w:t>Dejstva na plućnu funkciju</w:t>
      </w: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t xml:space="preserve">U okviru oba </w:t>
      </w:r>
      <w:r w:rsidR="00831AFC" w:rsidRPr="006E5536">
        <w:rPr>
          <w:color w:val="000000"/>
          <w:sz w:val="22"/>
          <w:szCs w:val="22"/>
          <w:lang w:val="sr-Latn-CS"/>
        </w:rPr>
        <w:t xml:space="preserve">ključna </w:t>
      </w:r>
      <w:r w:rsidRPr="006E5536">
        <w:rPr>
          <w:color w:val="000000"/>
          <w:sz w:val="22"/>
          <w:szCs w:val="22"/>
          <w:lang w:val="sr-Latn-CS"/>
        </w:rPr>
        <w:t>ispitivanja, primjena lijeka Incruse</w:t>
      </w:r>
      <w:r w:rsidRPr="006E5536">
        <w:rPr>
          <w:color w:val="000000"/>
          <w:sz w:val="22"/>
          <w:szCs w:val="22"/>
          <w:vertAlign w:val="superscript"/>
          <w:lang w:val="sr-Latn-CS"/>
        </w:rPr>
        <w:t>®</w:t>
      </w:r>
      <w:r w:rsidRPr="006E5536">
        <w:rPr>
          <w:color w:val="000000"/>
          <w:sz w:val="22"/>
          <w:szCs w:val="22"/>
          <w:lang w:val="sr-Latn-CS"/>
        </w:rPr>
        <w:t xml:space="preserve"> pokazala je statistički značajno i klinički važno poboljšanje plućne funkcije (definisano promjenom najniže vrijednosti FEV</w:t>
      </w:r>
      <w:r w:rsidRPr="006E5536">
        <w:rPr>
          <w:color w:val="000000"/>
          <w:sz w:val="22"/>
          <w:szCs w:val="22"/>
          <w:vertAlign w:val="subscript"/>
          <w:lang w:val="sr-Latn-CS"/>
        </w:rPr>
        <w:t>1</w:t>
      </w:r>
      <w:r w:rsidRPr="006E5536">
        <w:rPr>
          <w:color w:val="000000"/>
          <w:sz w:val="22"/>
          <w:szCs w:val="22"/>
          <w:lang w:val="sr-Latn-CS"/>
        </w:rPr>
        <w:t xml:space="preserve"> u odnosu na početnu vrijednost u 12. nedjelji i 24. nedjelji, što je bio primarni cilj svakog od ispitivanja) u odnosu na primjenu placeba (vidjeti tabelu 1). Bronhodilatatorna dejstva primjene lijeka Incruse</w:t>
      </w:r>
      <w:r w:rsidRPr="006E5536">
        <w:rPr>
          <w:color w:val="000000"/>
          <w:sz w:val="22"/>
          <w:szCs w:val="22"/>
          <w:vertAlign w:val="superscript"/>
          <w:lang w:val="sr-Latn-CS"/>
        </w:rPr>
        <w:t>®</w:t>
      </w:r>
      <w:r w:rsidRPr="006E5536">
        <w:rPr>
          <w:color w:val="000000"/>
          <w:sz w:val="22"/>
          <w:szCs w:val="22"/>
          <w:lang w:val="sr-Latn-CS"/>
        </w:rPr>
        <w:t xml:space="preserve"> u odnosu na primjenu placeba bila su uočljiva nakon prvog dana terapije u okviru oba ispitivanja i održavana su unutar perioda primjene terapije u trajanju od 12 i 24 nedjelje.</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t>Nije registrovano slabljenje bronhodilatatornog efekta tokom vremena.</w:t>
      </w:r>
    </w:p>
    <w:p w:rsidR="008F4B1B" w:rsidRPr="006E5536" w:rsidRDefault="008F4B1B" w:rsidP="00552413">
      <w:pPr>
        <w:pStyle w:val="Header"/>
        <w:tabs>
          <w:tab w:val="left" w:pos="1188"/>
        </w:tabs>
        <w:contextualSpacing/>
        <w:rPr>
          <w:color w:val="000000"/>
          <w:sz w:val="22"/>
          <w:szCs w:val="22"/>
          <w:lang w:val="sr-Latn-CS"/>
        </w:rPr>
      </w:pP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Tabela 1: Najniža vrijednost FEV</w:t>
      </w:r>
      <w:r w:rsidRPr="006E5536">
        <w:rPr>
          <w:color w:val="000000"/>
          <w:sz w:val="22"/>
          <w:szCs w:val="22"/>
          <w:vertAlign w:val="subscript"/>
          <w:lang w:val="sr-Latn-CS" w:bidi="hr-HR"/>
        </w:rPr>
        <w:t>1</w:t>
      </w:r>
      <w:r w:rsidRPr="006E5536">
        <w:rPr>
          <w:b/>
          <w:color w:val="000000"/>
          <w:sz w:val="22"/>
          <w:szCs w:val="22"/>
          <w:lang w:val="sr-Latn-CS" w:bidi="hr-HR"/>
        </w:rPr>
        <w:t xml:space="preserve"> (m</w:t>
      </w:r>
      <w:r w:rsidR="00E079E4" w:rsidRPr="006E5536">
        <w:rPr>
          <w:b/>
          <w:color w:val="000000"/>
          <w:sz w:val="22"/>
          <w:szCs w:val="22"/>
          <w:lang w:val="sr-Latn-CS" w:bidi="hr-HR"/>
        </w:rPr>
        <w:t>l</w:t>
      </w:r>
      <w:r w:rsidRPr="006E5536">
        <w:rPr>
          <w:b/>
          <w:color w:val="000000"/>
          <w:sz w:val="22"/>
          <w:szCs w:val="22"/>
          <w:lang w:val="sr-Latn-CS" w:bidi="hr-HR"/>
        </w:rPr>
        <w:t xml:space="preserve">) nakon 12. i 24. nedjelje (primarni cilj ispitivanja) </w:t>
      </w:r>
    </w:p>
    <w:p w:rsidR="008F4B1B" w:rsidRPr="006E5536" w:rsidRDefault="008F4B1B" w:rsidP="00552413">
      <w:pPr>
        <w:pStyle w:val="Header"/>
        <w:tabs>
          <w:tab w:val="left" w:pos="1188"/>
        </w:tabs>
        <w:contextualSpacing/>
        <w:rPr>
          <w:b/>
          <w:color w:val="000000"/>
          <w:sz w:val="22"/>
          <w:szCs w:val="22"/>
          <w:lang w:val="sr-Latn-CS" w:bidi="hr-HR"/>
        </w:rPr>
      </w:pPr>
    </w:p>
    <w:tbl>
      <w:tblPr>
        <w:tblW w:w="5000" w:type="pct"/>
        <w:tblCellMar>
          <w:left w:w="0" w:type="dxa"/>
          <w:right w:w="0" w:type="dxa"/>
        </w:tblCellMar>
        <w:tblLook w:val="04A0" w:firstRow="1" w:lastRow="0" w:firstColumn="1" w:lastColumn="0" w:noHBand="0" w:noVBand="1"/>
      </w:tblPr>
      <w:tblGrid>
        <w:gridCol w:w="3203"/>
        <w:gridCol w:w="2937"/>
        <w:gridCol w:w="2935"/>
      </w:tblGrid>
      <w:tr w:rsidR="008F4B1B" w:rsidRPr="006E5536" w:rsidTr="006E5536">
        <w:trPr>
          <w:cantSplit/>
          <w:trHeight w:val="20"/>
        </w:trPr>
        <w:tc>
          <w:tcPr>
            <w:tcW w:w="1765" w:type="pct"/>
            <w:tcBorders>
              <w:top w:val="single" w:sz="4" w:space="0" w:color="auto"/>
              <w:left w:val="single" w:sz="4" w:space="0" w:color="auto"/>
              <w:bottom w:val="single" w:sz="4" w:space="0" w:color="auto"/>
              <w:right w:val="single" w:sz="4" w:space="0" w:color="auto"/>
            </w:tcBorders>
            <w:shd w:val="clear" w:color="auto" w:fill="auto"/>
            <w:tcMar>
              <w:top w:w="15" w:type="dxa"/>
              <w:left w:w="117" w:type="dxa"/>
              <w:bottom w:w="0" w:type="dxa"/>
              <w:right w:w="117" w:type="dxa"/>
            </w:tcMar>
            <w:vAlign w:val="center"/>
          </w:tcPr>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Primjena lijeka Incruse</w:t>
            </w:r>
            <w:r w:rsidRPr="006E5536">
              <w:rPr>
                <w:b/>
                <w:color w:val="000000"/>
                <w:sz w:val="22"/>
                <w:szCs w:val="22"/>
                <w:vertAlign w:val="superscript"/>
                <w:lang w:val="sr-Latn-CS" w:bidi="hr-HR"/>
              </w:rPr>
              <w:t>®</w:t>
            </w:r>
            <w:r w:rsidRPr="006E5536">
              <w:rPr>
                <w:b/>
                <w:color w:val="000000"/>
                <w:sz w:val="22"/>
                <w:szCs w:val="22"/>
                <w:lang w:val="sr-Latn-CS" w:bidi="hr-HR"/>
              </w:rPr>
              <w:t xml:space="preserve"> u dozi od </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55 mikrograma</w:t>
            </w:r>
          </w:p>
          <w:p w:rsidR="008F4B1B" w:rsidRPr="006E5536" w:rsidRDefault="008F4B1B" w:rsidP="00552413">
            <w:pPr>
              <w:pStyle w:val="Header"/>
              <w:tabs>
                <w:tab w:val="left" w:pos="1188"/>
              </w:tabs>
              <w:contextualSpacing/>
              <w:rPr>
                <w:b/>
                <w:color w:val="000000"/>
                <w:sz w:val="22"/>
                <w:szCs w:val="22"/>
                <w:lang w:val="sr-Latn-CS" w:bidi="hr-HR"/>
              </w:rPr>
            </w:pP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Ispitivanje u trajanju od 12 nedjelja</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Terapijska razlika</w:t>
            </w:r>
            <w:r w:rsidRPr="006E5536">
              <w:rPr>
                <w:b/>
                <w:color w:val="000000"/>
                <w:sz w:val="22"/>
                <w:szCs w:val="22"/>
                <w:vertAlign w:val="superscript"/>
                <w:lang w:val="sr-Latn-CS" w:bidi="hr-HR"/>
              </w:rPr>
              <w:t>1</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95% interval pouzdanosti</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p</w:t>
            </w:r>
            <w:r w:rsidRPr="006E5536">
              <w:rPr>
                <w:color w:val="000000"/>
                <w:sz w:val="22"/>
                <w:szCs w:val="22"/>
                <w:lang w:val="sr-Latn-CS" w:bidi="hr-HR"/>
              </w:rPr>
              <w:noBreakHyphen/>
            </w:r>
            <w:r w:rsidRPr="006E5536">
              <w:rPr>
                <w:b/>
                <w:color w:val="000000"/>
                <w:sz w:val="22"/>
                <w:szCs w:val="22"/>
                <w:lang w:val="sr-Latn-CS" w:bidi="hr-HR"/>
              </w:rPr>
              <w:t>vrijednost</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tcPr>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Ispitivanje u trajanju od 24 nedjelje</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Terapijska razlika</w:t>
            </w:r>
            <w:r w:rsidRPr="006E5536">
              <w:rPr>
                <w:b/>
                <w:color w:val="000000"/>
                <w:sz w:val="22"/>
                <w:szCs w:val="22"/>
                <w:vertAlign w:val="superscript"/>
                <w:lang w:val="sr-Latn-CS" w:bidi="hr-HR"/>
              </w:rPr>
              <w:t>1</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95% interval pouzdanosti</w:t>
            </w:r>
          </w:p>
          <w:p w:rsidR="008F4B1B" w:rsidRPr="006E5536" w:rsidRDefault="008F4B1B" w:rsidP="00552413">
            <w:pPr>
              <w:pStyle w:val="Header"/>
              <w:tabs>
                <w:tab w:val="left" w:pos="1188"/>
              </w:tabs>
              <w:contextualSpacing/>
              <w:rPr>
                <w:b/>
                <w:color w:val="000000"/>
                <w:sz w:val="22"/>
                <w:szCs w:val="22"/>
                <w:lang w:val="sr-Latn-CS" w:bidi="hr-HR"/>
              </w:rPr>
            </w:pPr>
            <w:r w:rsidRPr="006E5536">
              <w:rPr>
                <w:b/>
                <w:color w:val="000000"/>
                <w:sz w:val="22"/>
                <w:szCs w:val="22"/>
                <w:lang w:val="sr-Latn-CS" w:bidi="hr-HR"/>
              </w:rPr>
              <w:t>p</w:t>
            </w:r>
            <w:r w:rsidRPr="006E5536">
              <w:rPr>
                <w:color w:val="000000"/>
                <w:sz w:val="22"/>
                <w:szCs w:val="22"/>
                <w:lang w:val="sr-Latn-CS" w:bidi="hr-HR"/>
              </w:rPr>
              <w:noBreakHyphen/>
            </w:r>
            <w:r w:rsidRPr="006E5536">
              <w:rPr>
                <w:b/>
                <w:color w:val="000000"/>
                <w:sz w:val="22"/>
                <w:szCs w:val="22"/>
                <w:lang w:val="sr-Latn-CS" w:bidi="hr-HR"/>
              </w:rPr>
              <w:t>vrijednost</w:t>
            </w:r>
          </w:p>
        </w:tc>
      </w:tr>
      <w:tr w:rsidR="008F4B1B" w:rsidRPr="006E5536" w:rsidTr="006E5536">
        <w:trPr>
          <w:cantSplit/>
          <w:trHeight w:val="295"/>
        </w:trPr>
        <w:tc>
          <w:tcPr>
            <w:tcW w:w="17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F4B1B" w:rsidRPr="006E5536" w:rsidRDefault="008F4B1B" w:rsidP="00552413">
            <w:pPr>
              <w:pStyle w:val="Header"/>
              <w:tabs>
                <w:tab w:val="left" w:pos="1188"/>
              </w:tabs>
              <w:contextualSpacing/>
              <w:rPr>
                <w:color w:val="000000"/>
                <w:sz w:val="22"/>
                <w:szCs w:val="22"/>
                <w:lang w:val="sr-Latn-CS" w:bidi="hr-HR"/>
              </w:rPr>
            </w:pPr>
            <w:r w:rsidRPr="006E5536">
              <w:rPr>
                <w:color w:val="000000"/>
                <w:sz w:val="22"/>
                <w:szCs w:val="22"/>
                <w:lang w:val="sr-Latn-CS" w:bidi="hr-HR"/>
              </w:rPr>
              <w:t>U odnosu na primjenu placeba</w:t>
            </w:r>
          </w:p>
        </w:tc>
        <w:tc>
          <w:tcPr>
            <w:tcW w:w="1618" w:type="pct"/>
            <w:tcBorders>
              <w:top w:val="single" w:sz="4" w:space="0" w:color="auto"/>
              <w:left w:val="single" w:sz="4" w:space="0" w:color="auto"/>
              <w:bottom w:val="single" w:sz="4" w:space="0" w:color="auto"/>
              <w:right w:val="single" w:sz="4" w:space="0" w:color="auto"/>
            </w:tcBorders>
          </w:tcPr>
          <w:p w:rsidR="008F4B1B" w:rsidRPr="006E5536" w:rsidRDefault="008F4B1B" w:rsidP="00552413">
            <w:pPr>
              <w:pStyle w:val="Header"/>
              <w:tabs>
                <w:tab w:val="left" w:pos="1188"/>
              </w:tabs>
              <w:contextualSpacing/>
              <w:rPr>
                <w:color w:val="000000"/>
                <w:sz w:val="22"/>
                <w:szCs w:val="22"/>
                <w:lang w:val="sr-Latn-CS" w:bidi="hr-HR"/>
              </w:rPr>
            </w:pPr>
            <w:r w:rsidRPr="006E5536">
              <w:rPr>
                <w:color w:val="000000"/>
                <w:sz w:val="22"/>
                <w:szCs w:val="22"/>
                <w:lang w:val="sr-Latn-CS" w:bidi="hr-HR"/>
              </w:rPr>
              <w:t>127</w:t>
            </w:r>
          </w:p>
          <w:p w:rsidR="008F4B1B" w:rsidRPr="006E5536" w:rsidRDefault="008F4B1B" w:rsidP="00552413">
            <w:pPr>
              <w:pStyle w:val="Header"/>
              <w:tabs>
                <w:tab w:val="left" w:pos="1188"/>
              </w:tabs>
              <w:contextualSpacing/>
              <w:rPr>
                <w:color w:val="000000"/>
                <w:sz w:val="22"/>
                <w:szCs w:val="22"/>
                <w:lang w:val="sr-Latn-CS" w:bidi="hr-HR"/>
              </w:rPr>
            </w:pPr>
            <w:r w:rsidRPr="006E5536">
              <w:rPr>
                <w:color w:val="000000"/>
                <w:sz w:val="22"/>
                <w:szCs w:val="22"/>
                <w:lang w:val="sr-Latn-CS" w:bidi="hr-HR"/>
              </w:rPr>
              <w:t>(52.202)</w:t>
            </w:r>
            <w:r w:rsidRPr="006E5536">
              <w:rPr>
                <w:color w:val="000000"/>
                <w:sz w:val="22"/>
                <w:szCs w:val="22"/>
                <w:lang w:val="sr-Latn-CS" w:bidi="hr-HR"/>
              </w:rPr>
              <w:br/>
              <w:t>&lt;0.001</w:t>
            </w:r>
          </w:p>
        </w:tc>
        <w:tc>
          <w:tcPr>
            <w:tcW w:w="1617" w:type="pct"/>
            <w:tcBorders>
              <w:top w:val="single" w:sz="4" w:space="0" w:color="auto"/>
              <w:left w:val="single" w:sz="4" w:space="0" w:color="auto"/>
              <w:bottom w:val="single" w:sz="4" w:space="0" w:color="auto"/>
              <w:right w:val="single" w:sz="4" w:space="0" w:color="auto"/>
            </w:tcBorders>
          </w:tcPr>
          <w:p w:rsidR="008F4B1B" w:rsidRPr="006E5536" w:rsidRDefault="008F4B1B" w:rsidP="00552413">
            <w:pPr>
              <w:pStyle w:val="Header"/>
              <w:tabs>
                <w:tab w:val="left" w:pos="1188"/>
              </w:tabs>
              <w:contextualSpacing/>
              <w:rPr>
                <w:color w:val="000000"/>
                <w:sz w:val="22"/>
                <w:szCs w:val="22"/>
                <w:lang w:val="sr-Latn-CS" w:bidi="hr-HR"/>
              </w:rPr>
            </w:pPr>
            <w:r w:rsidRPr="006E5536">
              <w:rPr>
                <w:color w:val="000000"/>
                <w:sz w:val="22"/>
                <w:szCs w:val="22"/>
                <w:lang w:val="sr-Latn-CS" w:bidi="hr-HR"/>
              </w:rPr>
              <w:t>115</w:t>
            </w:r>
          </w:p>
          <w:p w:rsidR="008F4B1B" w:rsidRPr="006E5536" w:rsidRDefault="008F4B1B" w:rsidP="00552413">
            <w:pPr>
              <w:pStyle w:val="Header"/>
              <w:tabs>
                <w:tab w:val="left" w:pos="1188"/>
              </w:tabs>
              <w:contextualSpacing/>
              <w:rPr>
                <w:color w:val="000000"/>
                <w:sz w:val="22"/>
                <w:szCs w:val="22"/>
                <w:lang w:val="sr-Latn-CS" w:bidi="hr-HR"/>
              </w:rPr>
            </w:pPr>
            <w:r w:rsidRPr="006E5536">
              <w:rPr>
                <w:color w:val="000000"/>
                <w:sz w:val="22"/>
                <w:szCs w:val="22"/>
                <w:lang w:val="sr-Latn-CS" w:bidi="hr-HR"/>
              </w:rPr>
              <w:t>(76.155)</w:t>
            </w:r>
            <w:r w:rsidRPr="006E5536">
              <w:rPr>
                <w:color w:val="000000"/>
                <w:sz w:val="22"/>
                <w:szCs w:val="22"/>
                <w:lang w:val="sr-Latn-CS" w:bidi="hr-HR"/>
              </w:rPr>
              <w:br/>
              <w:t>&lt;0.001</w:t>
            </w:r>
          </w:p>
        </w:tc>
      </w:tr>
    </w:tbl>
    <w:p w:rsidR="009B6915" w:rsidRPr="006E5536" w:rsidRDefault="008F4B1B">
      <w:pPr>
        <w:pStyle w:val="Header"/>
        <w:tabs>
          <w:tab w:val="left" w:pos="1188"/>
        </w:tabs>
        <w:contextualSpacing/>
        <w:jc w:val="both"/>
        <w:rPr>
          <w:color w:val="000000"/>
          <w:sz w:val="22"/>
          <w:szCs w:val="22"/>
          <w:lang w:val="sr-Latn-CS" w:bidi="hr-HR"/>
        </w:rPr>
      </w:pPr>
      <w:r w:rsidRPr="006E5536">
        <w:rPr>
          <w:color w:val="000000"/>
          <w:sz w:val="22"/>
          <w:szCs w:val="22"/>
          <w:vertAlign w:val="superscript"/>
          <w:lang w:val="sr-Latn-CS" w:bidi="hr-HR"/>
        </w:rPr>
        <w:t>1</w:t>
      </w:r>
      <w:r w:rsidRPr="006E5536">
        <w:rPr>
          <w:color w:val="000000"/>
          <w:sz w:val="22"/>
          <w:szCs w:val="22"/>
          <w:lang w:val="sr-Latn-CS" w:bidi="hr-HR"/>
        </w:rPr>
        <w:t>srednja vrijednost najmanjih kvadrata (95% interval pouzdanosti)</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t>Primjena lijeka Incruse</w:t>
      </w:r>
      <w:r w:rsidRPr="006E5536">
        <w:rPr>
          <w:color w:val="000000"/>
          <w:sz w:val="22"/>
          <w:szCs w:val="22"/>
          <w:vertAlign w:val="superscript"/>
          <w:lang w:val="sr-Latn-CS"/>
        </w:rPr>
        <w:t>®</w:t>
      </w:r>
      <w:r w:rsidRPr="006E5536">
        <w:rPr>
          <w:color w:val="000000"/>
          <w:sz w:val="22"/>
          <w:szCs w:val="22"/>
          <w:lang w:val="sr-Latn-CS"/>
        </w:rPr>
        <w:t xml:space="preserve"> u okviru </w:t>
      </w:r>
      <w:r w:rsidR="00831AFC" w:rsidRPr="006E5536">
        <w:rPr>
          <w:color w:val="000000"/>
          <w:sz w:val="22"/>
          <w:szCs w:val="22"/>
          <w:lang w:val="sr-Latn-CS"/>
        </w:rPr>
        <w:t xml:space="preserve">ključnog </w:t>
      </w:r>
      <w:r w:rsidRPr="006E5536">
        <w:rPr>
          <w:color w:val="000000"/>
          <w:sz w:val="22"/>
          <w:szCs w:val="22"/>
          <w:lang w:val="sr-Latn-CS"/>
        </w:rPr>
        <w:t>ispitivanja u trajanju od 12 nedjelja, pokazala je statistički značajno povećanje ponderisane srednje vrijednosti FEV</w:t>
      </w:r>
      <w:r w:rsidRPr="006E5536">
        <w:rPr>
          <w:color w:val="000000"/>
          <w:sz w:val="22"/>
          <w:szCs w:val="22"/>
          <w:vertAlign w:val="subscript"/>
          <w:lang w:val="sr-Latn-CS"/>
        </w:rPr>
        <w:t xml:space="preserve">1 </w:t>
      </w:r>
      <w:r w:rsidRPr="006E5536">
        <w:rPr>
          <w:color w:val="000000"/>
          <w:sz w:val="22"/>
          <w:szCs w:val="22"/>
          <w:lang w:val="sr-Latn-CS"/>
        </w:rPr>
        <w:t>u odnosu na početnu vrijednost u periodu od 0 do 6 časova nakon primjene doze u 12. nedjelji u poređenju sa primjenom placeba (166</w:t>
      </w:r>
      <w:r w:rsidR="00B62788" w:rsidRPr="006E5536">
        <w:rPr>
          <w:color w:val="000000"/>
          <w:sz w:val="22"/>
          <w:szCs w:val="22"/>
          <w:lang w:val="sr-Latn-CS"/>
        </w:rPr>
        <w:t xml:space="preserve"> </w:t>
      </w:r>
      <w:r w:rsidRPr="006E5536">
        <w:rPr>
          <w:color w:val="000000"/>
          <w:sz w:val="22"/>
          <w:szCs w:val="22"/>
          <w:lang w:val="sr-Latn-CS"/>
        </w:rPr>
        <w:t>m</w:t>
      </w:r>
      <w:r w:rsidR="00B62788" w:rsidRPr="006E5536">
        <w:rPr>
          <w:color w:val="000000"/>
          <w:sz w:val="22"/>
          <w:szCs w:val="22"/>
          <w:lang w:val="sr-Latn-CS"/>
        </w:rPr>
        <w:t>l</w:t>
      </w:r>
      <w:r w:rsidRPr="006E5536">
        <w:rPr>
          <w:color w:val="000000"/>
          <w:sz w:val="22"/>
          <w:szCs w:val="22"/>
          <w:lang w:val="sr-Latn-CS"/>
        </w:rPr>
        <w:t>, p&lt;0.001).</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t>Primjena lijeka Incruse</w:t>
      </w:r>
      <w:r w:rsidRPr="006E5536">
        <w:rPr>
          <w:color w:val="000000"/>
          <w:sz w:val="22"/>
          <w:szCs w:val="22"/>
          <w:vertAlign w:val="superscript"/>
          <w:lang w:val="sr-Latn-CS"/>
        </w:rPr>
        <w:t>®</w:t>
      </w:r>
      <w:r w:rsidRPr="006E5536">
        <w:rPr>
          <w:color w:val="000000"/>
          <w:sz w:val="22"/>
          <w:szCs w:val="22"/>
          <w:lang w:val="sr-Latn-CS"/>
        </w:rPr>
        <w:t xml:space="preserve"> u okviru </w:t>
      </w:r>
      <w:r w:rsidR="00CA4919" w:rsidRPr="006E5536">
        <w:rPr>
          <w:color w:val="000000"/>
          <w:sz w:val="22"/>
          <w:szCs w:val="22"/>
          <w:lang w:val="sr-Latn-CS"/>
        </w:rPr>
        <w:t>ključnog ispitivanja u trajanju od 24 nedjelje, pokazala je značajno povećanje ponderisane srednje vrijednosti FEV</w:t>
      </w:r>
      <w:r w:rsidR="00CA4919" w:rsidRPr="006E5536">
        <w:rPr>
          <w:color w:val="000000"/>
          <w:sz w:val="22"/>
          <w:szCs w:val="22"/>
          <w:vertAlign w:val="subscript"/>
          <w:lang w:val="sr-Latn-CS"/>
        </w:rPr>
        <w:t xml:space="preserve">1 </w:t>
      </w:r>
      <w:r w:rsidR="00CA4919" w:rsidRPr="006E5536">
        <w:rPr>
          <w:color w:val="000000"/>
          <w:sz w:val="22"/>
          <w:szCs w:val="22"/>
          <w:lang w:val="sr-Latn-CS"/>
        </w:rPr>
        <w:t>u odnosu na početnu vrijednost u periodu od 0 do 6 časova nakon primjene doze u 24. nedjelji u poređenju sa primjenom placeba (150</w:t>
      </w:r>
      <w:r w:rsidR="00B62788" w:rsidRPr="006E5536">
        <w:rPr>
          <w:color w:val="000000"/>
          <w:sz w:val="22"/>
          <w:szCs w:val="22"/>
          <w:lang w:val="sr-Latn-CS"/>
        </w:rPr>
        <w:t xml:space="preserve"> </w:t>
      </w:r>
      <w:r w:rsidRPr="006E5536">
        <w:rPr>
          <w:color w:val="000000"/>
          <w:sz w:val="22"/>
          <w:szCs w:val="22"/>
          <w:lang w:val="sr-Latn-CS"/>
        </w:rPr>
        <w:t>m</w:t>
      </w:r>
      <w:r w:rsidR="00B62788" w:rsidRPr="006E5536">
        <w:rPr>
          <w:color w:val="000000"/>
          <w:sz w:val="22"/>
          <w:szCs w:val="22"/>
          <w:lang w:val="sr-Latn-CS"/>
        </w:rPr>
        <w:t>l</w:t>
      </w:r>
      <w:r w:rsidRPr="006E5536">
        <w:rPr>
          <w:color w:val="000000"/>
          <w:sz w:val="22"/>
          <w:szCs w:val="22"/>
          <w:lang w:val="sr-Latn-CS"/>
        </w:rPr>
        <w:t>, p&lt;0.001*).</w:t>
      </w:r>
    </w:p>
    <w:p w:rsidR="009B6915" w:rsidRPr="006E5536" w:rsidRDefault="009B6915">
      <w:pPr>
        <w:pStyle w:val="FootnoteText"/>
        <w:jc w:val="both"/>
        <w:rPr>
          <w:sz w:val="22"/>
          <w:szCs w:val="22"/>
          <w:lang w:val="sr-Latn-CS"/>
        </w:rPr>
      </w:pPr>
    </w:p>
    <w:p w:rsidR="009B6915" w:rsidRPr="006E5536" w:rsidRDefault="008F4B1B">
      <w:pPr>
        <w:pStyle w:val="Header"/>
        <w:tabs>
          <w:tab w:val="left" w:pos="1188"/>
        </w:tabs>
        <w:contextualSpacing/>
        <w:jc w:val="both"/>
        <w:rPr>
          <w:i/>
          <w:color w:val="000000"/>
          <w:sz w:val="22"/>
          <w:szCs w:val="22"/>
          <w:lang w:val="sr-Latn-CS"/>
        </w:rPr>
      </w:pPr>
      <w:r w:rsidRPr="006E5536">
        <w:rPr>
          <w:i/>
          <w:color w:val="000000"/>
          <w:sz w:val="22"/>
          <w:szCs w:val="22"/>
          <w:lang w:val="sr-Latn-CS"/>
        </w:rPr>
        <w:t>Uticaj na simptome bolesti</w:t>
      </w:r>
    </w:p>
    <w:p w:rsidR="009B6915" w:rsidRPr="006E5536" w:rsidRDefault="008F4B1B">
      <w:pPr>
        <w:pStyle w:val="Header"/>
        <w:tabs>
          <w:tab w:val="left" w:pos="1188"/>
        </w:tabs>
        <w:contextualSpacing/>
        <w:jc w:val="both"/>
        <w:rPr>
          <w:sz w:val="22"/>
          <w:szCs w:val="22"/>
          <w:lang w:val="sr-Latn-CS"/>
        </w:rPr>
      </w:pPr>
      <w:r w:rsidRPr="006E5536">
        <w:rPr>
          <w:sz w:val="22"/>
          <w:szCs w:val="22"/>
          <w:lang w:val="sr-Latn-CS"/>
        </w:rPr>
        <w:t>Nedostatak vazduha:</w:t>
      </w:r>
    </w:p>
    <w:p w:rsidR="009B6915" w:rsidRPr="006E5536" w:rsidRDefault="008F4B1B">
      <w:pPr>
        <w:pStyle w:val="Header"/>
        <w:tabs>
          <w:tab w:val="left" w:pos="1188"/>
        </w:tabs>
        <w:contextualSpacing/>
        <w:jc w:val="both"/>
        <w:rPr>
          <w:sz w:val="22"/>
          <w:szCs w:val="22"/>
          <w:lang w:val="sr-Latn-CS"/>
        </w:rPr>
      </w:pPr>
      <w:r w:rsidRPr="006E5536">
        <w:rPr>
          <w:sz w:val="22"/>
          <w:szCs w:val="22"/>
          <w:lang w:val="sr-Latn-CS"/>
        </w:rPr>
        <w:t>U okviru ispitivanja u trajanju od 12 nedjelja, nakon primjene lijeka Incruse</w:t>
      </w:r>
      <w:r w:rsidRPr="006E5536">
        <w:rPr>
          <w:sz w:val="22"/>
          <w:szCs w:val="22"/>
          <w:vertAlign w:val="superscript"/>
          <w:lang w:val="sr-Latn-CS"/>
        </w:rPr>
        <w:t>®</w:t>
      </w:r>
      <w:r w:rsidRPr="006E5536">
        <w:rPr>
          <w:sz w:val="22"/>
          <w:szCs w:val="22"/>
          <w:lang w:val="sr-Latn-CS"/>
        </w:rPr>
        <w:t xml:space="preserve"> u 12. nedjelji nije</w:t>
      </w:r>
      <w:r w:rsidR="00CA4919" w:rsidRPr="006E5536">
        <w:rPr>
          <w:sz w:val="22"/>
          <w:szCs w:val="22"/>
          <w:lang w:val="sr-Latn-CS"/>
        </w:rPr>
        <w:t xml:space="preserve"> pokazano statistički značajno poboljšanje ukupnog rezultata Indeksa promjene dispneje (</w:t>
      </w:r>
      <w:r w:rsidR="00CA4919" w:rsidRPr="006E5536">
        <w:rPr>
          <w:i/>
          <w:sz w:val="22"/>
          <w:szCs w:val="22"/>
          <w:lang w:val="sr-Latn-CS"/>
        </w:rPr>
        <w:t xml:space="preserve">Transitional Dyspnoea Index, </w:t>
      </w:r>
      <w:r w:rsidR="00CA4919" w:rsidRPr="006E5536">
        <w:rPr>
          <w:sz w:val="22"/>
          <w:szCs w:val="22"/>
          <w:lang w:val="sr-Latn-CS"/>
        </w:rPr>
        <w:t>TDI) u odnosu na primjenu placeba (1.0 bod; p=0.05). U okviru ispitivanja u trajanju od 24 nedjelje, nakon primjene lijeka Incruse</w:t>
      </w:r>
      <w:r w:rsidR="00CA4919" w:rsidRPr="006E5536">
        <w:rPr>
          <w:sz w:val="22"/>
          <w:szCs w:val="22"/>
          <w:vertAlign w:val="superscript"/>
          <w:lang w:val="sr-Latn-CS"/>
        </w:rPr>
        <w:t>®</w:t>
      </w:r>
      <w:r w:rsidR="00CA4919" w:rsidRPr="006E5536">
        <w:rPr>
          <w:sz w:val="22"/>
          <w:szCs w:val="22"/>
          <w:lang w:val="sr-Latn-CS"/>
        </w:rPr>
        <w:t xml:space="preserve"> u 24. nedjelji, pokazano je statistički značajno poboljšanje ukupnog rezultata prelaznog indeksa dispneje (TDI) u odnosu na placebo (1.0 bod; p&lt;0.001).</w:t>
      </w:r>
    </w:p>
    <w:p w:rsidR="009B6915" w:rsidRPr="006E5536" w:rsidRDefault="009B6915">
      <w:pPr>
        <w:pStyle w:val="Header"/>
        <w:tabs>
          <w:tab w:val="left" w:pos="1188"/>
        </w:tabs>
        <w:contextualSpacing/>
        <w:jc w:val="both"/>
        <w:rPr>
          <w:sz w:val="22"/>
          <w:szCs w:val="22"/>
          <w:lang w:val="sr-Latn-CS"/>
        </w:rPr>
      </w:pPr>
    </w:p>
    <w:p w:rsidR="009B6915" w:rsidRPr="006E5536" w:rsidRDefault="00CA4919">
      <w:pPr>
        <w:pStyle w:val="Header"/>
        <w:tabs>
          <w:tab w:val="left" w:pos="1188"/>
        </w:tabs>
        <w:contextualSpacing/>
        <w:jc w:val="both"/>
        <w:rPr>
          <w:sz w:val="22"/>
          <w:szCs w:val="22"/>
          <w:lang w:val="sr-Latn-CS"/>
        </w:rPr>
      </w:pPr>
      <w:r w:rsidRPr="006E5536">
        <w:rPr>
          <w:sz w:val="22"/>
          <w:szCs w:val="22"/>
          <w:lang w:val="sr-Latn-CS"/>
        </w:rPr>
        <w:t xml:space="preserve">U okviru ispitivanja u trajanju od 12 nedjelja, procenat pacijenata koji su u 12. nedjelji odgovorili </w:t>
      </w:r>
      <w:r w:rsidRPr="006E5536">
        <w:rPr>
          <w:color w:val="000000"/>
          <w:sz w:val="22"/>
          <w:szCs w:val="22"/>
          <w:lang w:val="sr-Latn-CS"/>
        </w:rPr>
        <w:t>najmanje sa minimalnom klinički značajnom razlikom (</w:t>
      </w:r>
      <w:r w:rsidRPr="006E5536">
        <w:rPr>
          <w:i/>
          <w:color w:val="000000"/>
          <w:sz w:val="22"/>
          <w:szCs w:val="22"/>
          <w:lang w:val="sr-Latn-CS"/>
        </w:rPr>
        <w:t>Minimum clinically important difference - MCID</w:t>
      </w:r>
      <w:r w:rsidRPr="006E5536">
        <w:rPr>
          <w:color w:val="000000"/>
          <w:sz w:val="22"/>
          <w:szCs w:val="22"/>
          <w:lang w:val="sr-Latn-CS"/>
        </w:rPr>
        <w:t xml:space="preserve">) od 1 jedinice </w:t>
      </w:r>
      <w:r w:rsidRPr="006E5536">
        <w:rPr>
          <w:sz w:val="22"/>
          <w:szCs w:val="22"/>
          <w:lang w:val="sr-Latn-CS"/>
        </w:rPr>
        <w:t>u ukupnom TDI rezultatu bio je veći prilikom primjene lijeka Incruse</w:t>
      </w:r>
      <w:r w:rsidRPr="006E5536">
        <w:rPr>
          <w:sz w:val="22"/>
          <w:szCs w:val="22"/>
          <w:vertAlign w:val="superscript"/>
          <w:lang w:val="sr-Latn-CS"/>
        </w:rPr>
        <w:t>®</w:t>
      </w:r>
      <w:r w:rsidRPr="006E5536">
        <w:rPr>
          <w:sz w:val="22"/>
          <w:szCs w:val="22"/>
          <w:lang w:val="sr-Latn-CS"/>
        </w:rPr>
        <w:t xml:space="preserve"> (38%) u odnosu na primjenu placeba (15%). Slično tome, u okviru ispitivanja u trajanju od 24 nedjelje, u 24. </w:t>
      </w:r>
      <w:r w:rsidRPr="006E5536">
        <w:rPr>
          <w:sz w:val="22"/>
          <w:szCs w:val="22"/>
          <w:lang w:val="sr-Latn-CS"/>
        </w:rPr>
        <w:lastRenderedPageBreak/>
        <w:t>nedjelji veći je procenat pacijenata koji su postigli rezultat ≥1 u ukupnom TDI rezultatu prilikom primjene lijeka  Incruse</w:t>
      </w:r>
      <w:r w:rsidRPr="006E5536">
        <w:rPr>
          <w:sz w:val="22"/>
          <w:szCs w:val="22"/>
          <w:vertAlign w:val="superscript"/>
          <w:lang w:val="sr-Latn-CS"/>
        </w:rPr>
        <w:t>®</w:t>
      </w:r>
      <w:r w:rsidRPr="006E5536">
        <w:rPr>
          <w:sz w:val="22"/>
          <w:szCs w:val="22"/>
          <w:lang w:val="sr-Latn-CS"/>
        </w:rPr>
        <w:t xml:space="preserve"> (53%) u odnosu na primjenu placeba (41%).</w:t>
      </w:r>
    </w:p>
    <w:p w:rsidR="009B6915" w:rsidRPr="006E5536" w:rsidRDefault="009B6915">
      <w:pPr>
        <w:pStyle w:val="Header"/>
        <w:tabs>
          <w:tab w:val="left" w:pos="1188"/>
        </w:tabs>
        <w:contextualSpacing/>
        <w:jc w:val="both"/>
        <w:rPr>
          <w:sz w:val="22"/>
          <w:szCs w:val="22"/>
          <w:lang w:val="sr-Latn-CS"/>
        </w:rPr>
      </w:pPr>
    </w:p>
    <w:p w:rsidR="009B6915" w:rsidRPr="006E5536" w:rsidRDefault="00CA4919">
      <w:pPr>
        <w:pStyle w:val="Header"/>
        <w:tabs>
          <w:tab w:val="left" w:pos="1188"/>
        </w:tabs>
        <w:contextualSpacing/>
        <w:jc w:val="both"/>
        <w:rPr>
          <w:sz w:val="22"/>
          <w:szCs w:val="22"/>
          <w:lang w:val="sr-Latn-CS"/>
        </w:rPr>
      </w:pPr>
      <w:r w:rsidRPr="006E5536">
        <w:rPr>
          <w:sz w:val="22"/>
          <w:szCs w:val="22"/>
          <w:lang w:val="sr-Latn-CS"/>
        </w:rPr>
        <w:t>Kvalitet života u pogledu zdravstvenog stanja:</w:t>
      </w:r>
    </w:p>
    <w:p w:rsidR="009B6915" w:rsidRPr="006E5536" w:rsidRDefault="00CA4919">
      <w:pPr>
        <w:pStyle w:val="Header"/>
        <w:tabs>
          <w:tab w:val="left" w:pos="1188"/>
        </w:tabs>
        <w:contextualSpacing/>
        <w:jc w:val="both"/>
        <w:rPr>
          <w:sz w:val="22"/>
          <w:szCs w:val="22"/>
          <w:lang w:val="sr-Latn-CS"/>
        </w:rPr>
      </w:pPr>
      <w:r w:rsidRPr="006E5536">
        <w:rPr>
          <w:sz w:val="22"/>
          <w:szCs w:val="22"/>
          <w:lang w:val="sr-Latn-CS"/>
        </w:rPr>
        <w:t>Primjenom lijeka Incruse</w:t>
      </w:r>
      <w:r w:rsidRPr="006E5536">
        <w:rPr>
          <w:sz w:val="22"/>
          <w:szCs w:val="22"/>
          <w:vertAlign w:val="superscript"/>
          <w:lang w:val="sr-Latn-CS"/>
        </w:rPr>
        <w:t>®</w:t>
      </w:r>
      <w:r w:rsidRPr="006E5536">
        <w:rPr>
          <w:sz w:val="22"/>
          <w:szCs w:val="22"/>
          <w:lang w:val="sr-Latn-CS"/>
        </w:rPr>
        <w:t>, u okviru ispitivanja u trajanju od 12 nedjelja, pokazano je statistički značajno poboljšanje kvaliteta života u pogledu zdravstvenog stanja mjereno korišćenjem upitnika SGRQ (St. George’s Respiratory Questionnaire), što je pokazano smanjenjem ukupnog skora SGRQ nakon perioda primjene od 12 nedjelja u odnosu na placebo ( 7.90 jedinica,  p&lt;0.001). Značajnije poboljšanje promjene ukupnog skora SGRQ u odnosu na početnu vrijednost u odnosu na placebo pokazano je u 24. nedjelji primjene lijeka Incruse</w:t>
      </w:r>
      <w:r w:rsidRPr="006E5536">
        <w:rPr>
          <w:sz w:val="22"/>
          <w:szCs w:val="22"/>
          <w:vertAlign w:val="superscript"/>
          <w:lang w:val="sr-Latn-CS"/>
        </w:rPr>
        <w:t>®</w:t>
      </w:r>
      <w:r w:rsidRPr="006E5536">
        <w:rPr>
          <w:sz w:val="22"/>
          <w:szCs w:val="22"/>
          <w:lang w:val="sr-Latn-CS"/>
        </w:rPr>
        <w:t xml:space="preserve">  (-4.69 jedinica, p&lt;0.001*), u okviru ispitivanja u trajanju od 24 nedjelje.</w:t>
      </w:r>
    </w:p>
    <w:p w:rsidR="009B6915" w:rsidRPr="006E5536" w:rsidRDefault="009B6915">
      <w:pPr>
        <w:pStyle w:val="FootnoteText"/>
        <w:jc w:val="both"/>
        <w:rPr>
          <w:sz w:val="22"/>
          <w:szCs w:val="22"/>
          <w:lang w:val="sr-Latn-CS"/>
        </w:rPr>
      </w:pPr>
    </w:p>
    <w:p w:rsidR="009B6915" w:rsidRPr="006E5536" w:rsidRDefault="00CA4919">
      <w:pPr>
        <w:pStyle w:val="FootnoteText"/>
        <w:jc w:val="both"/>
        <w:rPr>
          <w:sz w:val="22"/>
          <w:szCs w:val="22"/>
        </w:rPr>
      </w:pPr>
      <w:r w:rsidRPr="006E5536">
        <w:rPr>
          <w:rStyle w:val="FootnoteReference"/>
          <w:sz w:val="22"/>
          <w:szCs w:val="22"/>
        </w:rPr>
        <w:sym w:font="Symbol" w:char="F02A"/>
      </w:r>
      <w:r w:rsidRPr="006E5536">
        <w:rPr>
          <w:sz w:val="22"/>
          <w:szCs w:val="22"/>
        </w:rPr>
        <w:t xml:space="preserve">U </w:t>
      </w:r>
      <w:r w:rsidRPr="006E5536">
        <w:rPr>
          <w:sz w:val="22"/>
          <w:szCs w:val="22"/>
          <w:lang w:val="sr-Latn-CS"/>
        </w:rPr>
        <w:t xml:space="preserve">okviru navedenog ispitivanja </w:t>
      </w:r>
      <w:r w:rsidRPr="006E5536">
        <w:rPr>
          <w:sz w:val="22"/>
          <w:szCs w:val="22"/>
        </w:rPr>
        <w:t>koriš</w:t>
      </w:r>
      <w:r w:rsidRPr="006E5536">
        <w:rPr>
          <w:sz w:val="22"/>
          <w:szCs w:val="22"/>
          <w:lang w:val="sr-Latn-CS"/>
        </w:rPr>
        <w:t>ć</w:t>
      </w:r>
      <w:r w:rsidRPr="006E5536">
        <w:rPr>
          <w:sz w:val="22"/>
          <w:szCs w:val="22"/>
        </w:rPr>
        <w:t xml:space="preserve">en </w:t>
      </w:r>
      <w:r w:rsidRPr="006E5536">
        <w:rPr>
          <w:sz w:val="22"/>
          <w:szCs w:val="22"/>
          <w:lang w:val="sr-Latn-CS"/>
        </w:rPr>
        <w:t xml:space="preserve">je </w:t>
      </w:r>
      <w:r w:rsidRPr="006E5536">
        <w:rPr>
          <w:sz w:val="22"/>
          <w:szCs w:val="22"/>
        </w:rPr>
        <w:t xml:space="preserve">postupak statističkog ispitivanja koji </w:t>
      </w:r>
      <w:r w:rsidRPr="006E5536">
        <w:rPr>
          <w:sz w:val="22"/>
          <w:szCs w:val="22"/>
          <w:lang w:val="sr-Latn-CS"/>
        </w:rPr>
        <w:t xml:space="preserve">je zasnovan na </w:t>
      </w:r>
      <w:r w:rsidRPr="006E5536">
        <w:rPr>
          <w:sz w:val="22"/>
          <w:szCs w:val="22"/>
        </w:rPr>
        <w:t>post</w:t>
      </w:r>
      <w:r w:rsidRPr="006E5536">
        <w:rPr>
          <w:sz w:val="22"/>
          <w:szCs w:val="22"/>
          <w:lang w:val="sr-Latn-CS"/>
        </w:rPr>
        <w:t>epenom</w:t>
      </w:r>
      <w:r w:rsidRPr="006E5536">
        <w:rPr>
          <w:sz w:val="22"/>
          <w:szCs w:val="22"/>
        </w:rPr>
        <w:t xml:space="preserve"> smanjivanju doze (tzv. </w:t>
      </w:r>
      <w:r w:rsidRPr="006E5536">
        <w:rPr>
          <w:i/>
          <w:sz w:val="22"/>
          <w:szCs w:val="22"/>
        </w:rPr>
        <w:t>step</w:t>
      </w:r>
      <w:r w:rsidRPr="006E5536">
        <w:rPr>
          <w:sz w:val="22"/>
          <w:szCs w:val="22"/>
        </w:rPr>
        <w:noBreakHyphen/>
      </w:r>
      <w:r w:rsidRPr="006E5536">
        <w:rPr>
          <w:i/>
          <w:sz w:val="22"/>
          <w:szCs w:val="22"/>
        </w:rPr>
        <w:t>down</w:t>
      </w:r>
      <w:r w:rsidRPr="006E5536">
        <w:rPr>
          <w:sz w:val="22"/>
          <w:szCs w:val="22"/>
        </w:rPr>
        <w:t>)</w:t>
      </w:r>
      <w:r w:rsidRPr="006E5536">
        <w:rPr>
          <w:sz w:val="22"/>
          <w:szCs w:val="22"/>
          <w:lang w:val="sr-Latn-CS"/>
        </w:rPr>
        <w:t>; navedeno poređenje je bilo ispod poređenja kojim nije postignuta statistička značajnost.</w:t>
      </w:r>
      <w:r w:rsidRPr="006E5536">
        <w:rPr>
          <w:sz w:val="22"/>
          <w:szCs w:val="22"/>
        </w:rPr>
        <w:t xml:space="preserve"> Stoga se statističk</w:t>
      </w:r>
      <w:r w:rsidRPr="006E5536">
        <w:rPr>
          <w:sz w:val="22"/>
          <w:szCs w:val="22"/>
          <w:lang w:val="hr-HR"/>
        </w:rPr>
        <w:t>a</w:t>
      </w:r>
      <w:r w:rsidRPr="006E5536">
        <w:rPr>
          <w:sz w:val="22"/>
          <w:szCs w:val="22"/>
        </w:rPr>
        <w:t xml:space="preserve"> značaj</w:t>
      </w:r>
      <w:r w:rsidRPr="006E5536">
        <w:rPr>
          <w:sz w:val="22"/>
          <w:szCs w:val="22"/>
          <w:lang w:val="hr-HR"/>
        </w:rPr>
        <w:t>nost</w:t>
      </w:r>
      <w:r w:rsidRPr="006E5536">
        <w:rPr>
          <w:sz w:val="22"/>
          <w:szCs w:val="22"/>
        </w:rPr>
        <w:t xml:space="preserve"> </w:t>
      </w:r>
      <w:r w:rsidRPr="006E5536">
        <w:rPr>
          <w:sz w:val="22"/>
          <w:szCs w:val="22"/>
          <w:lang w:val="sr-Latn-CS"/>
        </w:rPr>
        <w:t>navedenog poređenja n</w:t>
      </w:r>
      <w:r w:rsidRPr="006E5536">
        <w:rPr>
          <w:sz w:val="22"/>
          <w:szCs w:val="22"/>
        </w:rPr>
        <w:t>e može utvrditi.</w:t>
      </w:r>
    </w:p>
    <w:p w:rsidR="009B6915" w:rsidRPr="006E5536" w:rsidRDefault="008F4B1B">
      <w:pPr>
        <w:pStyle w:val="FootnoteText"/>
        <w:jc w:val="both"/>
        <w:rPr>
          <w:sz w:val="22"/>
          <w:szCs w:val="22"/>
          <w:lang w:val="sr-Latn-CS"/>
        </w:rPr>
      </w:pPr>
      <w:r w:rsidRPr="006E5536">
        <w:rPr>
          <w:color w:val="000000"/>
          <w:sz w:val="22"/>
          <w:szCs w:val="22"/>
          <w:lang w:val="sr-Latn-CS"/>
        </w:rPr>
        <w:t>Procenat pacijenata koji su nakon perioda primjene od 12 nedjelja odgovorili najmanje sa minimalnom klinički značajnom razlikom (</w:t>
      </w:r>
      <w:r w:rsidRPr="006E5536">
        <w:rPr>
          <w:i/>
          <w:color w:val="000000"/>
          <w:sz w:val="22"/>
          <w:szCs w:val="22"/>
          <w:lang w:val="sr-Latn-CS"/>
        </w:rPr>
        <w:t>Minimum clinically important difference - MCID</w:t>
      </w:r>
      <w:r w:rsidRPr="006E5536">
        <w:rPr>
          <w:color w:val="000000"/>
          <w:sz w:val="22"/>
          <w:szCs w:val="22"/>
          <w:lang w:val="sr-Latn-CS"/>
        </w:rPr>
        <w:t>) skora SGRQ (definisano kao smanjenje za 4 jedinice u odnosu na početnu vrijednost) bio je veći nakon primjene lijeka Incruse</w:t>
      </w:r>
      <w:r w:rsidRPr="006E5536">
        <w:rPr>
          <w:color w:val="000000"/>
          <w:sz w:val="22"/>
          <w:szCs w:val="22"/>
          <w:vertAlign w:val="superscript"/>
          <w:lang w:val="sr-Latn-CS"/>
        </w:rPr>
        <w:t>®</w:t>
      </w:r>
      <w:r w:rsidRPr="006E5536">
        <w:rPr>
          <w:color w:val="000000"/>
          <w:sz w:val="22"/>
          <w:szCs w:val="22"/>
          <w:lang w:val="sr-Latn-CS"/>
        </w:rPr>
        <w:t xml:space="preserve"> (44%) u odnosu na placebo (26%)</w:t>
      </w:r>
      <w:r w:rsidRPr="006E5536">
        <w:rPr>
          <w:sz w:val="22"/>
          <w:szCs w:val="22"/>
          <w:lang w:val="sr-Latn-CS"/>
        </w:rPr>
        <w:t>, u okviru ispitivanja u trajanju od 12 nedjelja</w:t>
      </w:r>
      <w:r w:rsidR="00CA4919" w:rsidRPr="006E5536">
        <w:rPr>
          <w:sz w:val="22"/>
          <w:szCs w:val="22"/>
          <w:lang w:val="sr-Latn-CS"/>
        </w:rPr>
        <w:t xml:space="preserve">. Slično tome, u okviru ispitivanja u trajanju od 24 nedjelje, veći je procenat pacijenata koji su </w:t>
      </w:r>
      <w:r w:rsidR="00CA4919" w:rsidRPr="006E5536">
        <w:rPr>
          <w:color w:val="000000"/>
          <w:sz w:val="22"/>
          <w:szCs w:val="22"/>
          <w:lang w:val="sr-Latn-CS"/>
        </w:rPr>
        <w:t xml:space="preserve">odgovorili </w:t>
      </w:r>
      <w:r w:rsidR="003274A7" w:rsidRPr="006E5536">
        <w:rPr>
          <w:color w:val="000000"/>
          <w:sz w:val="22"/>
          <w:szCs w:val="22"/>
          <w:lang w:val="sr-Latn-CS"/>
        </w:rPr>
        <w:t xml:space="preserve">bar </w:t>
      </w:r>
      <w:r w:rsidRPr="006E5536">
        <w:rPr>
          <w:color w:val="000000"/>
          <w:sz w:val="22"/>
          <w:szCs w:val="22"/>
          <w:lang w:val="sr-Latn-CS"/>
        </w:rPr>
        <w:t>sa minimalnom klinički značajnom razlikom</w:t>
      </w:r>
      <w:r w:rsidRPr="006E5536">
        <w:rPr>
          <w:sz w:val="22"/>
          <w:szCs w:val="22"/>
          <w:lang w:val="sr-Latn-CS"/>
        </w:rPr>
        <w:t xml:space="preserve"> prilikom primjene lijeka Incruse</w:t>
      </w:r>
      <w:r w:rsidRPr="006E5536">
        <w:rPr>
          <w:sz w:val="22"/>
          <w:szCs w:val="22"/>
          <w:vertAlign w:val="superscript"/>
          <w:lang w:val="sr-Latn-CS"/>
        </w:rPr>
        <w:t>®</w:t>
      </w:r>
      <w:r w:rsidRPr="006E5536">
        <w:rPr>
          <w:sz w:val="22"/>
          <w:szCs w:val="22"/>
          <w:lang w:val="sr-Latn-CS"/>
        </w:rPr>
        <w:t xml:space="preserve"> (44%) u 24. nedjelji u odnosu na primjenu placeba (34%).</w:t>
      </w:r>
    </w:p>
    <w:p w:rsidR="009B6915" w:rsidRPr="006E5536" w:rsidRDefault="009B6915">
      <w:pPr>
        <w:pStyle w:val="Header"/>
        <w:tabs>
          <w:tab w:val="left" w:pos="1188"/>
        </w:tabs>
        <w:contextualSpacing/>
        <w:jc w:val="both"/>
        <w:rPr>
          <w:color w:val="000000"/>
          <w:sz w:val="22"/>
          <w:szCs w:val="22"/>
          <w:lang w:val="sr-Latn-CS"/>
        </w:rPr>
      </w:pPr>
    </w:p>
    <w:p w:rsidR="009B6915" w:rsidRPr="006E5536" w:rsidRDefault="008F4B1B">
      <w:pPr>
        <w:pStyle w:val="Header"/>
        <w:tabs>
          <w:tab w:val="left" w:pos="1188"/>
        </w:tabs>
        <w:contextualSpacing/>
        <w:jc w:val="both"/>
        <w:rPr>
          <w:i/>
          <w:color w:val="000000"/>
          <w:sz w:val="22"/>
          <w:szCs w:val="22"/>
          <w:lang w:val="sr-Latn-CS"/>
        </w:rPr>
      </w:pPr>
      <w:r w:rsidRPr="006E5536">
        <w:rPr>
          <w:i/>
          <w:color w:val="000000"/>
          <w:sz w:val="22"/>
          <w:szCs w:val="22"/>
          <w:lang w:val="sr-Latn-CS"/>
        </w:rPr>
        <w:t>HOBP egzacerbacije</w:t>
      </w:r>
    </w:p>
    <w:p w:rsidR="009B6915" w:rsidRPr="006E5536" w:rsidRDefault="00CA4919">
      <w:pPr>
        <w:pStyle w:val="Header"/>
        <w:tabs>
          <w:tab w:val="left" w:pos="1188"/>
        </w:tabs>
        <w:contextualSpacing/>
        <w:jc w:val="both"/>
        <w:rPr>
          <w:color w:val="000000"/>
          <w:sz w:val="22"/>
          <w:szCs w:val="22"/>
          <w:lang w:val="sr-Latn-CS"/>
        </w:rPr>
      </w:pPr>
      <w:r w:rsidRPr="006E5536">
        <w:rPr>
          <w:color w:val="000000"/>
          <w:sz w:val="22"/>
          <w:szCs w:val="22"/>
          <w:lang w:val="sr-Latn-CS"/>
        </w:rPr>
        <w:t>U okviru ispitivanja u trajanju od 24 nedjelje, primjena lijeka Incruse</w:t>
      </w:r>
      <w:r w:rsidRPr="006E5536">
        <w:rPr>
          <w:color w:val="000000"/>
          <w:sz w:val="22"/>
          <w:szCs w:val="22"/>
          <w:vertAlign w:val="superscript"/>
          <w:lang w:val="sr-Latn-CS"/>
        </w:rPr>
        <w:t>®</w:t>
      </w:r>
      <w:r w:rsidRPr="006E5536">
        <w:rPr>
          <w:color w:val="000000"/>
          <w:sz w:val="22"/>
          <w:szCs w:val="22"/>
          <w:lang w:val="sr-Latn-CS"/>
        </w:rPr>
        <w:t xml:space="preserve"> umanjila je rizik od pojave HOBP egzacerbacija u odnosu na primjenu placeba (na osnovu vremena do pojave prve egzacerbacije: Hazard Ratio (HR) 0.6, p=0.035*). Vjerovatnoća od pojave egzacerbacija kod pacijenata koji primjenjuju lijek Incruse</w:t>
      </w:r>
      <w:r w:rsidRPr="006E5536">
        <w:rPr>
          <w:color w:val="000000"/>
          <w:sz w:val="22"/>
          <w:szCs w:val="22"/>
          <w:vertAlign w:val="superscript"/>
          <w:lang w:val="sr-Latn-CS"/>
        </w:rPr>
        <w:t>®</w:t>
      </w:r>
      <w:r w:rsidR="006E5536">
        <w:rPr>
          <w:color w:val="000000"/>
          <w:sz w:val="22"/>
          <w:szCs w:val="22"/>
          <w:vertAlign w:val="superscript"/>
          <w:lang w:val="sr-Latn-CS"/>
        </w:rPr>
        <w:t xml:space="preserve"> </w:t>
      </w:r>
      <w:r w:rsidRPr="006E5536">
        <w:rPr>
          <w:color w:val="000000"/>
          <w:sz w:val="22"/>
          <w:szCs w:val="22"/>
          <w:lang w:val="sr-Latn-CS"/>
        </w:rPr>
        <w:t>u 24. nedjelji terapije iznosio je 8.9% u odnosu na 13.7% za placebo. Navedena ispitivanja nijesu bila posebno dizajnirana za procjenu uticaja terapije na egzacerbacije HOBP, pa su u slučaju pojave egzacerbacija pacijenti bili isključeni iz ispitivanja.</w:t>
      </w:r>
    </w:p>
    <w:p w:rsidR="009B6915" w:rsidRPr="006E5536" w:rsidRDefault="00CA4919">
      <w:pPr>
        <w:pStyle w:val="Header"/>
        <w:tabs>
          <w:tab w:val="left" w:pos="1188"/>
        </w:tabs>
        <w:contextualSpacing/>
        <w:jc w:val="both"/>
        <w:rPr>
          <w:color w:val="000000"/>
          <w:sz w:val="22"/>
          <w:szCs w:val="22"/>
          <w:lang w:val="sr-Latn-CS"/>
        </w:rPr>
      </w:pPr>
      <w:r w:rsidRPr="006E5536">
        <w:rPr>
          <w:color w:val="000000"/>
          <w:sz w:val="22"/>
          <w:szCs w:val="22"/>
          <w:lang w:val="sr-Latn-CS"/>
        </w:rPr>
        <w:t xml:space="preserve">*U tom ispitivanju korišćen je postupak statističkog ispitivanja koji se bazira na postepenom smanjivanju doze (tzv. </w:t>
      </w:r>
      <w:r w:rsidRPr="006E5536">
        <w:rPr>
          <w:i/>
          <w:color w:val="000000"/>
          <w:sz w:val="22"/>
          <w:szCs w:val="22"/>
          <w:lang w:val="sr-Latn-CS"/>
        </w:rPr>
        <w:t>step-down)</w:t>
      </w:r>
      <w:r w:rsidRPr="006E5536">
        <w:rPr>
          <w:color w:val="000000"/>
          <w:sz w:val="22"/>
          <w:szCs w:val="22"/>
          <w:lang w:val="sr-Latn-CS"/>
        </w:rPr>
        <w:t xml:space="preserve">, a ovo je poređenje bilo niže od poređenja koje nije postiglo statističku značajnost. Zato se statistička značajnost </w:t>
      </w:r>
      <w:r w:rsidR="0074007F" w:rsidRPr="006E5536">
        <w:rPr>
          <w:color w:val="000000"/>
          <w:sz w:val="22"/>
          <w:szCs w:val="22"/>
          <w:lang w:val="sr-Latn-CS"/>
        </w:rPr>
        <w:t xml:space="preserve">pomenutog poređenja </w:t>
      </w:r>
      <w:r w:rsidRPr="006E5536">
        <w:rPr>
          <w:color w:val="000000"/>
          <w:sz w:val="22"/>
          <w:szCs w:val="22"/>
          <w:lang w:val="sr-Latn-CS"/>
        </w:rPr>
        <w:t>ne može utvrditi</w:t>
      </w:r>
      <w:r w:rsidR="0074007F" w:rsidRPr="006E5536">
        <w:rPr>
          <w:color w:val="000000"/>
          <w:sz w:val="22"/>
          <w:szCs w:val="22"/>
          <w:lang w:val="sr-Latn-CS"/>
        </w:rPr>
        <w:t>.</w:t>
      </w:r>
    </w:p>
    <w:p w:rsidR="008F4B1B" w:rsidRPr="006E5536" w:rsidRDefault="008F4B1B" w:rsidP="00552413">
      <w:pPr>
        <w:pStyle w:val="Header"/>
        <w:tabs>
          <w:tab w:val="left" w:pos="1188"/>
        </w:tabs>
        <w:contextualSpacing/>
        <w:rPr>
          <w:color w:val="000000"/>
          <w:sz w:val="22"/>
          <w:szCs w:val="22"/>
          <w:lang w:val="sr-Latn-CS"/>
        </w:rPr>
      </w:pPr>
    </w:p>
    <w:p w:rsidR="009B6915" w:rsidRPr="006E5536" w:rsidRDefault="008F4B1B">
      <w:pPr>
        <w:pStyle w:val="Header"/>
        <w:tabs>
          <w:tab w:val="left" w:pos="1188"/>
        </w:tabs>
        <w:contextualSpacing/>
        <w:jc w:val="both"/>
        <w:rPr>
          <w:i/>
          <w:color w:val="000000"/>
          <w:sz w:val="22"/>
          <w:szCs w:val="22"/>
          <w:lang w:val="sr-Latn-CS"/>
        </w:rPr>
      </w:pPr>
      <w:r w:rsidRPr="006E5536">
        <w:rPr>
          <w:i/>
          <w:color w:val="000000"/>
          <w:sz w:val="22"/>
          <w:szCs w:val="22"/>
          <w:lang w:val="sr-Latn-CS"/>
        </w:rPr>
        <w:t>Primjena terapije za brzo uklanjanje simptoma</w:t>
      </w:r>
    </w:p>
    <w:p w:rsidR="009B6915" w:rsidRPr="006E5536" w:rsidRDefault="008F4B1B">
      <w:pPr>
        <w:pStyle w:val="Header"/>
        <w:tabs>
          <w:tab w:val="left" w:pos="1188"/>
        </w:tabs>
        <w:contextualSpacing/>
        <w:jc w:val="both"/>
        <w:rPr>
          <w:color w:val="000000"/>
          <w:sz w:val="22"/>
          <w:szCs w:val="22"/>
          <w:lang w:val="sr-Latn-CS"/>
        </w:rPr>
      </w:pPr>
      <w:r w:rsidRPr="006E5536">
        <w:rPr>
          <w:color w:val="000000"/>
          <w:sz w:val="22"/>
          <w:szCs w:val="22"/>
          <w:lang w:val="sr-Latn-CS"/>
        </w:rPr>
        <w:t>U okviru ispitivanja u trajanju od 12 nedjelja, primjena lijeka Incruse</w:t>
      </w:r>
      <w:r w:rsidRPr="006E5536">
        <w:rPr>
          <w:color w:val="000000"/>
          <w:sz w:val="22"/>
          <w:szCs w:val="22"/>
          <w:vertAlign w:val="superscript"/>
          <w:lang w:val="sr-Latn-CS"/>
        </w:rPr>
        <w:t>®</w:t>
      </w:r>
      <w:r w:rsidRPr="006E5536">
        <w:rPr>
          <w:color w:val="000000"/>
          <w:sz w:val="22"/>
          <w:szCs w:val="22"/>
          <w:lang w:val="sr-Latn-CS"/>
        </w:rPr>
        <w:t xml:space="preserve"> dovela je do statistiki značajnog smanjenja upotrebe salbutamola (terapije za brzo uklanjanje simptoma) u odnosu na primjenu placeba (prosječno smanjenje od 0.7 inhalacija na dan unutar perioda od 1. do 12. nedjelje, p=0.025)  i dovela do </w:t>
      </w:r>
      <w:r w:rsidR="0074007F" w:rsidRPr="006E5536">
        <w:rPr>
          <w:color w:val="000000"/>
          <w:sz w:val="22"/>
          <w:szCs w:val="22"/>
          <w:lang w:val="sr-Latn-CS"/>
        </w:rPr>
        <w:t xml:space="preserve">povećanja </w:t>
      </w:r>
      <w:r w:rsidRPr="006E5536">
        <w:rPr>
          <w:color w:val="000000"/>
          <w:sz w:val="22"/>
          <w:szCs w:val="22"/>
          <w:lang w:val="sr-Latn-CS"/>
        </w:rPr>
        <w:t>procenta dana kada nije bilo potrebe za primjenom terapije za brzo uklanjanje simptoma (u prosjeku 46.3%) u odnosu na primjenu placeba (u prosjeku 35.2%; nije sprovedena formalna statistička analiza za navedeni cilj ishoda). U okviru ispitivanja primjene lijeka Incruse</w:t>
      </w:r>
      <w:r w:rsidRPr="006E5536">
        <w:rPr>
          <w:color w:val="000000"/>
          <w:sz w:val="22"/>
          <w:szCs w:val="22"/>
          <w:vertAlign w:val="superscript"/>
          <w:lang w:val="sr-Latn-CS"/>
        </w:rPr>
        <w:t>®</w:t>
      </w:r>
      <w:r w:rsidRPr="006E5536">
        <w:rPr>
          <w:color w:val="000000"/>
          <w:sz w:val="22"/>
          <w:szCs w:val="22"/>
          <w:lang w:val="sr-Latn-CS"/>
        </w:rPr>
        <w:t xml:space="preserve"> u trajanju od 24 nedjelje, srednja vrijednost promjene u odnosu na početnu vrijednost u broju inhalacija salbutamola (lijeka za brzo uklanjanje simptoma) unutar perioda primjene terapije od 24 nedjelje iznosila je -1.4 (0.20) za placebo i -1.7 (0.16) za lijek Incruse</w:t>
      </w:r>
      <w:r w:rsidRPr="006E5536">
        <w:rPr>
          <w:color w:val="000000"/>
          <w:sz w:val="22"/>
          <w:szCs w:val="22"/>
          <w:vertAlign w:val="superscript"/>
          <w:lang w:val="sr-Latn-CS"/>
        </w:rPr>
        <w:t>®</w:t>
      </w:r>
      <w:r w:rsidRPr="006E5536">
        <w:rPr>
          <w:color w:val="000000"/>
          <w:sz w:val="22"/>
          <w:szCs w:val="22"/>
          <w:lang w:val="sr-Latn-CS"/>
        </w:rPr>
        <w:t xml:space="preserve"> (razlika = -0.3; 95% CI: -0.8; 0.2; p=0.276).  Primjena lijeka Incruse</w:t>
      </w:r>
      <w:r w:rsidRPr="006E5536">
        <w:rPr>
          <w:color w:val="000000"/>
          <w:sz w:val="22"/>
          <w:szCs w:val="22"/>
          <w:vertAlign w:val="superscript"/>
          <w:lang w:val="sr-Latn-CS"/>
        </w:rPr>
        <w:t>®</w:t>
      </w:r>
      <w:r w:rsidRPr="006E5536">
        <w:rPr>
          <w:color w:val="000000"/>
          <w:sz w:val="22"/>
          <w:szCs w:val="22"/>
          <w:lang w:val="sr-Latn-CS"/>
        </w:rPr>
        <w:t xml:space="preserve"> dovela je do većeg procenta dana kada nije bilo potrebe za primjenom terapije za brzo uklanjanje simptoma (u prosjeku 31.1%) u odnosu na primjenu placeba (u prosjeku 21.7%). Nije sprovedena formalna statistička analiza za navedeni cilj ishoda.</w:t>
      </w:r>
    </w:p>
    <w:p w:rsidR="008E5A08" w:rsidRPr="006E5536" w:rsidRDefault="008E5A08" w:rsidP="00F518EF">
      <w:pPr>
        <w:keepNext/>
        <w:jc w:val="both"/>
        <w:rPr>
          <w:i/>
          <w:sz w:val="22"/>
          <w:szCs w:val="22"/>
        </w:rPr>
      </w:pPr>
    </w:p>
    <w:p w:rsidR="008E5A08" w:rsidRPr="006E5536" w:rsidRDefault="004634AE" w:rsidP="00CE16B2">
      <w:pPr>
        <w:keepNext/>
        <w:jc w:val="both"/>
        <w:rPr>
          <w:i/>
          <w:sz w:val="22"/>
          <w:szCs w:val="22"/>
        </w:rPr>
      </w:pPr>
      <w:r w:rsidRPr="006E5536">
        <w:rPr>
          <w:i/>
          <w:sz w:val="22"/>
          <w:szCs w:val="22"/>
        </w:rPr>
        <w:t xml:space="preserve">Potporna </w:t>
      </w:r>
      <w:r w:rsidR="008E5A08" w:rsidRPr="006E5536">
        <w:rPr>
          <w:i/>
          <w:sz w:val="22"/>
          <w:szCs w:val="22"/>
        </w:rPr>
        <w:t>ispitivanja efikasnosti</w:t>
      </w:r>
    </w:p>
    <w:p w:rsidR="008E5A08" w:rsidRPr="006E5536" w:rsidRDefault="008E5A08" w:rsidP="00C70F2C">
      <w:pPr>
        <w:keepNext/>
        <w:jc w:val="both"/>
        <w:rPr>
          <w:sz w:val="22"/>
          <w:szCs w:val="22"/>
        </w:rPr>
      </w:pPr>
      <w:r w:rsidRPr="006E5536">
        <w:rPr>
          <w:sz w:val="22"/>
          <w:szCs w:val="22"/>
        </w:rPr>
        <w:t xml:space="preserve">U dva </w:t>
      </w:r>
      <w:r w:rsidR="00C57AD4" w:rsidRPr="006E5536">
        <w:rPr>
          <w:sz w:val="22"/>
          <w:szCs w:val="22"/>
        </w:rPr>
        <w:t>dvanaestonedjeljna</w:t>
      </w:r>
      <w:r w:rsidRPr="006E5536">
        <w:rPr>
          <w:sz w:val="22"/>
          <w:szCs w:val="22"/>
        </w:rPr>
        <w:t>, placebo</w:t>
      </w:r>
      <w:r w:rsidR="00A27C08" w:rsidRPr="006E5536">
        <w:rPr>
          <w:sz w:val="22"/>
          <w:szCs w:val="22"/>
        </w:rPr>
        <w:t xml:space="preserve"> kontrolis</w:t>
      </w:r>
      <w:r w:rsidRPr="006E5536">
        <w:rPr>
          <w:sz w:val="22"/>
          <w:szCs w:val="22"/>
        </w:rPr>
        <w:t xml:space="preserve">ana ispitivanja (200109 i 200110), dodavanje lijeka Incruse kombinaciji flutikazonfuorat/vilanterol (FF/VI) (92/22 mikrograma) jedanput dnevno, </w:t>
      </w:r>
      <w:r w:rsidR="00C57AD4" w:rsidRPr="006E5536">
        <w:rPr>
          <w:sz w:val="22"/>
          <w:szCs w:val="22"/>
        </w:rPr>
        <w:t>kod</w:t>
      </w:r>
      <w:r w:rsidRPr="006E5536">
        <w:rPr>
          <w:sz w:val="22"/>
          <w:szCs w:val="22"/>
        </w:rPr>
        <w:t xml:space="preserve"> odraslih </w:t>
      </w:r>
      <w:r w:rsidR="00E74438" w:rsidRPr="006E5536">
        <w:rPr>
          <w:sz w:val="22"/>
          <w:szCs w:val="22"/>
        </w:rPr>
        <w:t>pacijenata</w:t>
      </w:r>
      <w:r w:rsidR="00C57AD4" w:rsidRPr="006E5536">
        <w:rPr>
          <w:sz w:val="22"/>
          <w:szCs w:val="22"/>
        </w:rPr>
        <w:t xml:space="preserve"> s kliničkom dijagnozom HO</w:t>
      </w:r>
      <w:r w:rsidRPr="006E5536">
        <w:rPr>
          <w:sz w:val="22"/>
          <w:szCs w:val="22"/>
        </w:rPr>
        <w:t>B</w:t>
      </w:r>
      <w:r w:rsidR="00C57AD4" w:rsidRPr="006E5536">
        <w:rPr>
          <w:sz w:val="22"/>
          <w:szCs w:val="22"/>
        </w:rPr>
        <w:t>P</w:t>
      </w:r>
      <w:r w:rsidRPr="006E5536">
        <w:rPr>
          <w:sz w:val="22"/>
          <w:szCs w:val="22"/>
        </w:rPr>
        <w:t xml:space="preserve">-a, </w:t>
      </w:r>
      <w:r w:rsidR="00C57AD4" w:rsidRPr="006E5536">
        <w:rPr>
          <w:sz w:val="22"/>
          <w:szCs w:val="22"/>
        </w:rPr>
        <w:t xml:space="preserve">dovelo je do </w:t>
      </w:r>
      <w:r w:rsidRPr="006E5536">
        <w:rPr>
          <w:sz w:val="22"/>
          <w:szCs w:val="22"/>
        </w:rPr>
        <w:t>statistički značajni</w:t>
      </w:r>
      <w:r w:rsidR="00C57AD4" w:rsidRPr="006E5536">
        <w:rPr>
          <w:sz w:val="22"/>
          <w:szCs w:val="22"/>
        </w:rPr>
        <w:t>h</w:t>
      </w:r>
      <w:r w:rsidRPr="006E5536">
        <w:rPr>
          <w:sz w:val="22"/>
          <w:szCs w:val="22"/>
        </w:rPr>
        <w:t xml:space="preserve"> i klinički bitni</w:t>
      </w:r>
      <w:r w:rsidR="00C57AD4" w:rsidRPr="006E5536">
        <w:rPr>
          <w:sz w:val="22"/>
          <w:szCs w:val="22"/>
        </w:rPr>
        <w:t>h</w:t>
      </w:r>
      <w:r w:rsidRPr="006E5536">
        <w:rPr>
          <w:sz w:val="22"/>
          <w:szCs w:val="22"/>
        </w:rPr>
        <w:t xml:space="preserve"> poboljšanj</w:t>
      </w:r>
      <w:r w:rsidR="00C57AD4" w:rsidRPr="006E5536">
        <w:rPr>
          <w:sz w:val="22"/>
          <w:szCs w:val="22"/>
        </w:rPr>
        <w:t>a</w:t>
      </w:r>
      <w:r w:rsidRPr="006E5536">
        <w:rPr>
          <w:sz w:val="22"/>
          <w:szCs w:val="22"/>
        </w:rPr>
        <w:t xml:space="preserve"> najnižih vrijednosti FEV</w:t>
      </w:r>
      <w:r w:rsidRPr="006E5536">
        <w:rPr>
          <w:sz w:val="22"/>
          <w:szCs w:val="22"/>
          <w:vertAlign w:val="subscript"/>
        </w:rPr>
        <w:t>1</w:t>
      </w:r>
      <w:r w:rsidRPr="006E5536">
        <w:rPr>
          <w:sz w:val="22"/>
          <w:szCs w:val="22"/>
        </w:rPr>
        <w:t xml:space="preserve"> (primarna mjera ishoda) nakon 85 dana u </w:t>
      </w:r>
      <w:r w:rsidR="00C57AD4" w:rsidRPr="006E5536">
        <w:rPr>
          <w:sz w:val="22"/>
          <w:szCs w:val="22"/>
        </w:rPr>
        <w:t>poređenju</w:t>
      </w:r>
      <w:r w:rsidRPr="006E5536">
        <w:rPr>
          <w:sz w:val="22"/>
          <w:szCs w:val="22"/>
        </w:rPr>
        <w:t xml:space="preserve"> s</w:t>
      </w:r>
      <w:r w:rsidR="00C57AD4" w:rsidRPr="006E5536">
        <w:rPr>
          <w:sz w:val="22"/>
          <w:szCs w:val="22"/>
        </w:rPr>
        <w:t>a</w:t>
      </w:r>
      <w:r w:rsidRPr="006E5536">
        <w:rPr>
          <w:sz w:val="22"/>
          <w:szCs w:val="22"/>
        </w:rPr>
        <w:t xml:space="preserve"> placebom uz FF/VI (124 ml (95% CI 93, 154, p&lt;0,001) i 122 ml (95% CI 91, 152, p&lt;0,001)).</w:t>
      </w:r>
    </w:p>
    <w:p w:rsidR="008E5A08" w:rsidRPr="006E5536" w:rsidRDefault="008E5A08" w:rsidP="00C70F2C">
      <w:pPr>
        <w:keepNext/>
        <w:jc w:val="both"/>
        <w:rPr>
          <w:sz w:val="22"/>
          <w:szCs w:val="22"/>
        </w:rPr>
      </w:pPr>
    </w:p>
    <w:p w:rsidR="009B6915" w:rsidRPr="006E5536" w:rsidRDefault="008E5A08">
      <w:pPr>
        <w:keepNext/>
        <w:jc w:val="both"/>
        <w:rPr>
          <w:sz w:val="22"/>
          <w:szCs w:val="22"/>
        </w:rPr>
      </w:pPr>
      <w:r w:rsidRPr="006E5536">
        <w:rPr>
          <w:sz w:val="22"/>
          <w:szCs w:val="22"/>
        </w:rPr>
        <w:t>Poboljšanja plućne funkcije bila su podržana</w:t>
      </w:r>
      <w:r w:rsidR="00C57AD4" w:rsidRPr="006E5536">
        <w:rPr>
          <w:sz w:val="22"/>
          <w:szCs w:val="22"/>
        </w:rPr>
        <w:t xml:space="preserve"> smanjenjem upo</w:t>
      </w:r>
      <w:r w:rsidR="00EF226E" w:rsidRPr="006E5536">
        <w:rPr>
          <w:sz w:val="22"/>
          <w:szCs w:val="22"/>
        </w:rPr>
        <w:t>tre</w:t>
      </w:r>
      <w:r w:rsidR="00C57AD4" w:rsidRPr="006E5536">
        <w:rPr>
          <w:sz w:val="22"/>
          <w:szCs w:val="22"/>
        </w:rPr>
        <w:t>b</w:t>
      </w:r>
      <w:r w:rsidR="00EF226E" w:rsidRPr="006E5536">
        <w:rPr>
          <w:sz w:val="22"/>
          <w:szCs w:val="22"/>
        </w:rPr>
        <w:t xml:space="preserve">e </w:t>
      </w:r>
      <w:r w:rsidR="00C57AD4" w:rsidRPr="006E5536">
        <w:rPr>
          <w:sz w:val="22"/>
          <w:szCs w:val="22"/>
        </w:rPr>
        <w:t>salbutamola to</w:t>
      </w:r>
      <w:r w:rsidRPr="006E5536">
        <w:rPr>
          <w:sz w:val="22"/>
          <w:szCs w:val="22"/>
        </w:rPr>
        <w:t xml:space="preserve">kom 1-12 </w:t>
      </w:r>
      <w:r w:rsidR="00EF226E" w:rsidRPr="006E5536">
        <w:rPr>
          <w:sz w:val="22"/>
          <w:szCs w:val="22"/>
        </w:rPr>
        <w:t>nedjelja</w:t>
      </w:r>
      <w:r w:rsidRPr="006E5536">
        <w:rPr>
          <w:sz w:val="22"/>
          <w:szCs w:val="22"/>
        </w:rPr>
        <w:t xml:space="preserve"> (-0,4 ud</w:t>
      </w:r>
      <w:r w:rsidR="00B85C15" w:rsidRPr="006E5536">
        <w:rPr>
          <w:sz w:val="22"/>
          <w:szCs w:val="22"/>
        </w:rPr>
        <w:t>aha</w:t>
      </w:r>
      <w:r w:rsidRPr="006E5536">
        <w:rPr>
          <w:sz w:val="22"/>
          <w:szCs w:val="22"/>
        </w:rPr>
        <w:t xml:space="preserve"> dnevno (95% CI -0,7, -0,2, p&lt;0,001) i -0,3 ud</w:t>
      </w:r>
      <w:r w:rsidR="00B85C15" w:rsidRPr="006E5536">
        <w:rPr>
          <w:sz w:val="22"/>
          <w:szCs w:val="22"/>
        </w:rPr>
        <w:t>ah</w:t>
      </w:r>
      <w:r w:rsidRPr="006E5536">
        <w:rPr>
          <w:sz w:val="22"/>
          <w:szCs w:val="22"/>
        </w:rPr>
        <w:t xml:space="preserve">a dnevno (95% CI -0,5, -0,1, p=0,003)) u </w:t>
      </w:r>
      <w:r w:rsidR="00EF226E" w:rsidRPr="006E5536">
        <w:rPr>
          <w:sz w:val="22"/>
          <w:szCs w:val="22"/>
        </w:rPr>
        <w:t>poređenju</w:t>
      </w:r>
      <w:r w:rsidRPr="006E5536">
        <w:rPr>
          <w:sz w:val="22"/>
          <w:szCs w:val="22"/>
        </w:rPr>
        <w:t xml:space="preserve"> s</w:t>
      </w:r>
      <w:r w:rsidR="00EF226E" w:rsidRPr="006E5536">
        <w:rPr>
          <w:sz w:val="22"/>
          <w:szCs w:val="22"/>
        </w:rPr>
        <w:t>a</w:t>
      </w:r>
      <w:r w:rsidRPr="006E5536">
        <w:rPr>
          <w:sz w:val="22"/>
          <w:szCs w:val="22"/>
        </w:rPr>
        <w:t xml:space="preserve"> placebom uz</w:t>
      </w:r>
      <w:r w:rsidR="009A621E" w:rsidRPr="006E5536">
        <w:rPr>
          <w:sz w:val="22"/>
          <w:szCs w:val="22"/>
        </w:rPr>
        <w:t xml:space="preserve"> FF/VI, </w:t>
      </w:r>
      <w:r w:rsidRPr="006E5536">
        <w:rPr>
          <w:sz w:val="22"/>
          <w:szCs w:val="22"/>
        </w:rPr>
        <w:t>međutim, poboljšanja u 12</w:t>
      </w:r>
      <w:r w:rsidR="009A621E" w:rsidRPr="006E5536">
        <w:rPr>
          <w:sz w:val="22"/>
          <w:szCs w:val="22"/>
        </w:rPr>
        <w:t>-</w:t>
      </w:r>
      <w:r w:rsidR="00EF226E" w:rsidRPr="006E5536">
        <w:rPr>
          <w:sz w:val="22"/>
          <w:szCs w:val="22"/>
        </w:rPr>
        <w:t>oj ned</w:t>
      </w:r>
      <w:r w:rsidR="009A621E" w:rsidRPr="006E5536">
        <w:rPr>
          <w:sz w:val="22"/>
          <w:szCs w:val="22"/>
        </w:rPr>
        <w:t>j</w:t>
      </w:r>
      <w:r w:rsidR="00EF226E" w:rsidRPr="006E5536">
        <w:rPr>
          <w:sz w:val="22"/>
          <w:szCs w:val="22"/>
        </w:rPr>
        <w:t>elji</w:t>
      </w:r>
      <w:r w:rsidRPr="006E5536">
        <w:rPr>
          <w:sz w:val="22"/>
          <w:szCs w:val="22"/>
        </w:rPr>
        <w:t xml:space="preserve"> prema SGRQ ni</w:t>
      </w:r>
      <w:r w:rsidR="004634AE" w:rsidRPr="006E5536">
        <w:rPr>
          <w:sz w:val="22"/>
          <w:szCs w:val="22"/>
        </w:rPr>
        <w:t>je</w:t>
      </w:r>
      <w:r w:rsidRPr="006E5536">
        <w:rPr>
          <w:sz w:val="22"/>
          <w:szCs w:val="22"/>
        </w:rPr>
        <w:t>su bila statistički značajna (200109) ili klinički bitna (200109 i 200110). Kratko trajanje ispitivanja i ograničeni broj pojava egzacerbacija, onemoguć</w:t>
      </w:r>
      <w:r w:rsidR="00EF226E" w:rsidRPr="006E5536">
        <w:rPr>
          <w:sz w:val="22"/>
          <w:szCs w:val="22"/>
        </w:rPr>
        <w:t>ava</w:t>
      </w:r>
      <w:r w:rsidRPr="006E5536">
        <w:rPr>
          <w:sz w:val="22"/>
          <w:szCs w:val="22"/>
        </w:rPr>
        <w:t xml:space="preserve"> donošenje zaključka o dodatnom </w:t>
      </w:r>
      <w:r w:rsidR="004634AE" w:rsidRPr="006E5536">
        <w:rPr>
          <w:sz w:val="22"/>
          <w:szCs w:val="22"/>
        </w:rPr>
        <w:t xml:space="preserve">efektu </w:t>
      </w:r>
      <w:r w:rsidRPr="006E5536">
        <w:rPr>
          <w:sz w:val="22"/>
          <w:szCs w:val="22"/>
        </w:rPr>
        <w:t xml:space="preserve">lijeka Incruse na stopu egzacerbacija </w:t>
      </w:r>
      <w:r w:rsidR="00EF226E" w:rsidRPr="006E5536">
        <w:rPr>
          <w:sz w:val="22"/>
          <w:szCs w:val="22"/>
        </w:rPr>
        <w:t>HOBP</w:t>
      </w:r>
      <w:r w:rsidRPr="006E5536">
        <w:rPr>
          <w:sz w:val="22"/>
          <w:szCs w:val="22"/>
        </w:rPr>
        <w:t>-a.</w:t>
      </w:r>
    </w:p>
    <w:p w:rsidR="009B6915" w:rsidRPr="006E5536" w:rsidRDefault="009B6915">
      <w:pPr>
        <w:keepNext/>
        <w:jc w:val="both"/>
        <w:rPr>
          <w:sz w:val="22"/>
          <w:szCs w:val="22"/>
        </w:rPr>
      </w:pPr>
    </w:p>
    <w:p w:rsidR="009B6915" w:rsidRPr="006E5536" w:rsidRDefault="008E5A08">
      <w:pPr>
        <w:keepNext/>
        <w:jc w:val="both"/>
        <w:rPr>
          <w:sz w:val="22"/>
          <w:szCs w:val="22"/>
        </w:rPr>
      </w:pPr>
      <w:r w:rsidRPr="006E5536">
        <w:rPr>
          <w:sz w:val="22"/>
          <w:szCs w:val="22"/>
        </w:rPr>
        <w:t>U tim ispitivanjima ni</w:t>
      </w:r>
      <w:r w:rsidR="004634AE" w:rsidRPr="006E5536">
        <w:rPr>
          <w:sz w:val="22"/>
          <w:szCs w:val="22"/>
        </w:rPr>
        <w:t>je</w:t>
      </w:r>
      <w:r w:rsidRPr="006E5536">
        <w:rPr>
          <w:sz w:val="22"/>
          <w:szCs w:val="22"/>
        </w:rPr>
        <w:t>su identifi</w:t>
      </w:r>
      <w:r w:rsidR="00C068B2" w:rsidRPr="006E5536">
        <w:rPr>
          <w:sz w:val="22"/>
          <w:szCs w:val="22"/>
        </w:rPr>
        <w:t>kovana nova</w:t>
      </w:r>
      <w:r w:rsidRPr="006E5536">
        <w:rPr>
          <w:sz w:val="22"/>
          <w:szCs w:val="22"/>
        </w:rPr>
        <w:t xml:space="preserve"> n</w:t>
      </w:r>
      <w:r w:rsidR="00C068B2" w:rsidRPr="006E5536">
        <w:rPr>
          <w:sz w:val="22"/>
          <w:szCs w:val="22"/>
        </w:rPr>
        <w:t>eželjena dejstva</w:t>
      </w:r>
      <w:r w:rsidRPr="006E5536">
        <w:rPr>
          <w:sz w:val="22"/>
          <w:szCs w:val="22"/>
        </w:rPr>
        <w:t xml:space="preserve"> kod dodavanja lijeka Incruse kombinaciji FF/VI.</w:t>
      </w:r>
    </w:p>
    <w:p w:rsidR="009B6915" w:rsidRPr="006E5536" w:rsidRDefault="009B6915">
      <w:pPr>
        <w:pStyle w:val="Header"/>
        <w:tabs>
          <w:tab w:val="left" w:pos="284"/>
        </w:tabs>
        <w:ind w:firstLine="720"/>
        <w:contextualSpacing/>
        <w:jc w:val="both"/>
        <w:rPr>
          <w:sz w:val="22"/>
          <w:szCs w:val="22"/>
          <w:u w:val="single"/>
        </w:rPr>
      </w:pPr>
    </w:p>
    <w:p w:rsidR="009B6915" w:rsidRPr="006E5536" w:rsidRDefault="008F4B1B">
      <w:pPr>
        <w:pStyle w:val="Header"/>
        <w:tabs>
          <w:tab w:val="left" w:pos="284"/>
        </w:tabs>
        <w:contextualSpacing/>
        <w:jc w:val="both"/>
        <w:rPr>
          <w:sz w:val="22"/>
          <w:szCs w:val="22"/>
          <w:u w:val="single"/>
        </w:rPr>
      </w:pPr>
      <w:r w:rsidRPr="006E5536">
        <w:rPr>
          <w:sz w:val="22"/>
          <w:szCs w:val="22"/>
          <w:u w:val="single"/>
        </w:rPr>
        <w:t>Pedijatrijska populacija</w:t>
      </w:r>
    </w:p>
    <w:p w:rsidR="009B6915" w:rsidRPr="006E5536" w:rsidRDefault="008F4B1B">
      <w:pPr>
        <w:pStyle w:val="Header"/>
        <w:tabs>
          <w:tab w:val="left" w:pos="284"/>
        </w:tabs>
        <w:contextualSpacing/>
        <w:jc w:val="both"/>
        <w:rPr>
          <w:sz w:val="22"/>
          <w:szCs w:val="22"/>
        </w:rPr>
      </w:pPr>
      <w:r w:rsidRPr="006E5536">
        <w:rPr>
          <w:sz w:val="22"/>
          <w:szCs w:val="22"/>
        </w:rPr>
        <w:t xml:space="preserve">Evropska agencija za ljekove (EMA) je izuzela obavezu podnošenja rezultata ispitivanja primjene lijeka </w:t>
      </w:r>
      <w:r w:rsidRPr="006E5536">
        <w:rPr>
          <w:color w:val="000000"/>
          <w:sz w:val="22"/>
          <w:szCs w:val="22"/>
          <w:lang w:val="sr-Latn-CS"/>
        </w:rPr>
        <w:t>Incruse</w:t>
      </w:r>
      <w:r w:rsidRPr="006E5536">
        <w:rPr>
          <w:color w:val="000000"/>
          <w:sz w:val="22"/>
          <w:szCs w:val="22"/>
          <w:vertAlign w:val="superscript"/>
          <w:lang w:val="sr-Latn-CS"/>
        </w:rPr>
        <w:t>®</w:t>
      </w:r>
      <w:r w:rsidRPr="006E5536">
        <w:rPr>
          <w:color w:val="000000"/>
          <w:sz w:val="22"/>
          <w:szCs w:val="22"/>
          <w:lang w:val="sr-Latn-CS"/>
        </w:rPr>
        <w:t xml:space="preserve"> </w:t>
      </w:r>
      <w:r w:rsidRPr="006E5536">
        <w:rPr>
          <w:sz w:val="22"/>
          <w:szCs w:val="22"/>
        </w:rPr>
        <w:t>u svim podgrupama pedijatrijske populacije sa HOBP (za informacije o pedijatrijskoj primjeni vidjeti odjeljak 4.2.).</w:t>
      </w:r>
    </w:p>
    <w:p w:rsidR="009B6915" w:rsidRPr="006E5536" w:rsidRDefault="009B6915">
      <w:pPr>
        <w:tabs>
          <w:tab w:val="left" w:pos="540"/>
          <w:tab w:val="left" w:pos="569"/>
        </w:tabs>
        <w:jc w:val="both"/>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5.2. </w:t>
      </w:r>
      <w:r w:rsidRPr="006E5536">
        <w:rPr>
          <w:b/>
          <w:bCs/>
          <w:sz w:val="22"/>
          <w:szCs w:val="22"/>
        </w:rPr>
        <w:tab/>
        <w:t>Farmakokinetički podaci</w:t>
      </w:r>
    </w:p>
    <w:p w:rsidR="00CD2F43" w:rsidRPr="006E5536" w:rsidRDefault="00CD2F43" w:rsidP="00552413">
      <w:pPr>
        <w:tabs>
          <w:tab w:val="left" w:pos="540"/>
          <w:tab w:val="left" w:pos="569"/>
        </w:tabs>
        <w:rPr>
          <w:b/>
          <w:bCs/>
          <w:sz w:val="22"/>
          <w:szCs w:val="22"/>
        </w:rPr>
      </w:pPr>
    </w:p>
    <w:p w:rsidR="009B6915" w:rsidRPr="006E5536" w:rsidRDefault="00CD2F43">
      <w:pPr>
        <w:pStyle w:val="Header"/>
        <w:tabs>
          <w:tab w:val="left" w:pos="284"/>
        </w:tabs>
        <w:contextualSpacing/>
        <w:jc w:val="both"/>
        <w:rPr>
          <w:bCs/>
          <w:sz w:val="22"/>
          <w:szCs w:val="22"/>
          <w:u w:val="single"/>
        </w:rPr>
      </w:pPr>
      <w:r w:rsidRPr="006E5536">
        <w:rPr>
          <w:bCs/>
          <w:sz w:val="22"/>
          <w:szCs w:val="22"/>
          <w:u w:val="single"/>
        </w:rPr>
        <w:t>Resorpcija</w:t>
      </w:r>
    </w:p>
    <w:p w:rsidR="009B6915" w:rsidRPr="006E5536" w:rsidRDefault="00CD2F43">
      <w:pPr>
        <w:pStyle w:val="Header"/>
        <w:tabs>
          <w:tab w:val="left" w:pos="284"/>
        </w:tabs>
        <w:contextualSpacing/>
        <w:jc w:val="both"/>
        <w:rPr>
          <w:bCs/>
          <w:sz w:val="22"/>
          <w:szCs w:val="22"/>
        </w:rPr>
      </w:pPr>
      <w:r w:rsidRPr="006E5536">
        <w:rPr>
          <w:bCs/>
          <w:sz w:val="22"/>
          <w:szCs w:val="22"/>
        </w:rPr>
        <w:t>Nakon inhalacione primjene umeklidinijum bromida kod zdravih dobrovoljaca, C</w:t>
      </w:r>
      <w:r w:rsidRPr="006E5536">
        <w:rPr>
          <w:bCs/>
          <w:sz w:val="22"/>
          <w:szCs w:val="22"/>
          <w:vertAlign w:val="subscript"/>
        </w:rPr>
        <w:t>max</w:t>
      </w:r>
      <w:r w:rsidRPr="006E5536">
        <w:rPr>
          <w:bCs/>
          <w:sz w:val="22"/>
          <w:szCs w:val="22"/>
        </w:rPr>
        <w:t xml:space="preserve"> se postiže nakon 5 do 15 minuta. Apsolutna bioraspoloživost umeklidinijum bromida primijenjenog inhalacionim putem bila je u prosjeku 13% doze, pri čemu je udio oralne resorpcije bio zanemarljiv. Nakon inhalacione primjene ponovljenih doza umeklidinijum bromida, stanje dinamičke ravnoteže je postignuto unutar perioda od 7 do 10 dana, dok se akumulacija povećala </w:t>
      </w:r>
      <w:r w:rsidR="004634AE" w:rsidRPr="006E5536">
        <w:rPr>
          <w:bCs/>
          <w:sz w:val="22"/>
          <w:szCs w:val="22"/>
        </w:rPr>
        <w:t xml:space="preserve">za </w:t>
      </w:r>
      <w:r w:rsidRPr="006E5536">
        <w:rPr>
          <w:bCs/>
          <w:sz w:val="22"/>
          <w:szCs w:val="22"/>
        </w:rPr>
        <w:t>1.5 do 1.8 puta.</w:t>
      </w:r>
    </w:p>
    <w:p w:rsidR="009B6915" w:rsidRPr="006E5536" w:rsidRDefault="009B6915">
      <w:pPr>
        <w:pStyle w:val="Header"/>
        <w:tabs>
          <w:tab w:val="left" w:pos="284"/>
        </w:tabs>
        <w:contextualSpacing/>
        <w:jc w:val="both"/>
        <w:rPr>
          <w:sz w:val="22"/>
          <w:szCs w:val="22"/>
          <w:lang w:val="sr-Latn-CS" w:eastAsia="hr-HR"/>
        </w:rPr>
      </w:pPr>
    </w:p>
    <w:p w:rsidR="009B6915" w:rsidRPr="006E5536" w:rsidRDefault="00CD2F43">
      <w:pPr>
        <w:pStyle w:val="Header"/>
        <w:tabs>
          <w:tab w:val="left" w:pos="284"/>
        </w:tabs>
        <w:contextualSpacing/>
        <w:jc w:val="both"/>
        <w:rPr>
          <w:bCs/>
          <w:sz w:val="22"/>
          <w:szCs w:val="22"/>
          <w:u w:val="single"/>
        </w:rPr>
      </w:pPr>
      <w:r w:rsidRPr="006E5536">
        <w:rPr>
          <w:bCs/>
          <w:sz w:val="22"/>
          <w:szCs w:val="22"/>
          <w:u w:val="single"/>
        </w:rPr>
        <w:t>Distribucija</w:t>
      </w:r>
    </w:p>
    <w:p w:rsidR="009B6915" w:rsidRPr="006E5536" w:rsidRDefault="00CD2F43">
      <w:pPr>
        <w:pStyle w:val="Header"/>
        <w:tabs>
          <w:tab w:val="left" w:pos="284"/>
        </w:tabs>
        <w:contextualSpacing/>
        <w:jc w:val="both"/>
        <w:rPr>
          <w:bCs/>
          <w:sz w:val="22"/>
          <w:szCs w:val="22"/>
        </w:rPr>
      </w:pPr>
      <w:r w:rsidRPr="006E5536">
        <w:rPr>
          <w:bCs/>
          <w:sz w:val="22"/>
          <w:szCs w:val="22"/>
        </w:rPr>
        <w:t xml:space="preserve">Nakon intravenske primjene kod zdravih dobrovoljaca, srednja vrijednost volumena distribucije iznosila je 86 litara. </w:t>
      </w:r>
      <w:r w:rsidRPr="006E5536">
        <w:rPr>
          <w:bCs/>
          <w:i/>
          <w:sz w:val="22"/>
          <w:szCs w:val="22"/>
        </w:rPr>
        <w:t>In vitro</w:t>
      </w:r>
      <w:r w:rsidRPr="006E5536">
        <w:rPr>
          <w:bCs/>
          <w:sz w:val="22"/>
          <w:szCs w:val="22"/>
        </w:rPr>
        <w:t xml:space="preserve"> vezivanje za proteine humane plazme bilo je u prosjeku 89%.  </w:t>
      </w:r>
    </w:p>
    <w:p w:rsidR="009B6915" w:rsidRPr="006E5536" w:rsidRDefault="009B6915">
      <w:pPr>
        <w:pStyle w:val="Header"/>
        <w:tabs>
          <w:tab w:val="left" w:pos="284"/>
        </w:tabs>
        <w:contextualSpacing/>
        <w:jc w:val="both"/>
        <w:rPr>
          <w:bCs/>
          <w:sz w:val="22"/>
          <w:szCs w:val="22"/>
        </w:rPr>
      </w:pPr>
    </w:p>
    <w:p w:rsidR="009B6915" w:rsidRPr="006E5536" w:rsidRDefault="00CD2F43">
      <w:pPr>
        <w:pStyle w:val="Header"/>
        <w:tabs>
          <w:tab w:val="left" w:pos="284"/>
        </w:tabs>
        <w:contextualSpacing/>
        <w:jc w:val="both"/>
        <w:rPr>
          <w:bCs/>
          <w:sz w:val="22"/>
          <w:szCs w:val="22"/>
          <w:u w:val="single"/>
        </w:rPr>
      </w:pPr>
      <w:r w:rsidRPr="006E5536">
        <w:rPr>
          <w:bCs/>
          <w:sz w:val="22"/>
          <w:szCs w:val="22"/>
          <w:u w:val="single"/>
        </w:rPr>
        <w:t>Biotransformacija</w:t>
      </w:r>
    </w:p>
    <w:p w:rsidR="009B6915" w:rsidRPr="006E5536" w:rsidRDefault="00CD2F43">
      <w:pPr>
        <w:pStyle w:val="Header"/>
        <w:tabs>
          <w:tab w:val="left" w:pos="284"/>
        </w:tabs>
        <w:contextualSpacing/>
        <w:jc w:val="both"/>
        <w:rPr>
          <w:bCs/>
          <w:sz w:val="22"/>
          <w:szCs w:val="22"/>
        </w:rPr>
      </w:pPr>
      <w:r w:rsidRPr="006E5536">
        <w:rPr>
          <w:bCs/>
          <w:sz w:val="22"/>
          <w:szCs w:val="22"/>
        </w:rPr>
        <w:t xml:space="preserve">U okviru </w:t>
      </w:r>
      <w:r w:rsidRPr="006E5536">
        <w:rPr>
          <w:bCs/>
          <w:i/>
          <w:sz w:val="22"/>
          <w:szCs w:val="22"/>
        </w:rPr>
        <w:t>in vitro</w:t>
      </w:r>
      <w:r w:rsidRPr="006E5536">
        <w:rPr>
          <w:bCs/>
          <w:sz w:val="22"/>
          <w:szCs w:val="22"/>
        </w:rPr>
        <w:t xml:space="preserve"> ispitivanja, pokazano je da se umeklidinijum bromid prvenstveno metaboliše posredstvom citohroma P450 2D6 (CYP2D6), kao i da je umeklidinijum</w:t>
      </w:r>
      <w:r w:rsidR="0091471E" w:rsidRPr="006E5536">
        <w:rPr>
          <w:bCs/>
          <w:sz w:val="22"/>
          <w:szCs w:val="22"/>
        </w:rPr>
        <w:t xml:space="preserve"> </w:t>
      </w:r>
      <w:r w:rsidRPr="006E5536">
        <w:rPr>
          <w:bCs/>
          <w:sz w:val="22"/>
          <w:szCs w:val="22"/>
        </w:rPr>
        <w:t xml:space="preserve">bromid substrat P-glikoprotein (P-gp) transportera. Primarni metabolički putevi umeklidinijum bromida su oksidativni (hidroksilacija, O-dealkilacija) praćeni konjugacijom (glukuronidacija, itd), čime se stvara niz metabolita sa smanjenom farmakološkom aktivnošću ili za koje farmakološka aktivnost još nije ustanovljena. Sistemska izloženost metabolitima je niska.  </w:t>
      </w:r>
    </w:p>
    <w:p w:rsidR="009B6915" w:rsidRPr="006E5536" w:rsidRDefault="009B6915">
      <w:pPr>
        <w:pStyle w:val="Header"/>
        <w:tabs>
          <w:tab w:val="left" w:pos="284"/>
        </w:tabs>
        <w:contextualSpacing/>
        <w:jc w:val="both"/>
        <w:rPr>
          <w:bCs/>
          <w:sz w:val="22"/>
          <w:szCs w:val="22"/>
          <w:u w:val="single"/>
        </w:rPr>
      </w:pPr>
    </w:p>
    <w:p w:rsidR="006E5536" w:rsidRDefault="006E5536">
      <w:pPr>
        <w:pStyle w:val="Header"/>
        <w:tabs>
          <w:tab w:val="left" w:pos="284"/>
        </w:tabs>
        <w:contextualSpacing/>
        <w:jc w:val="both"/>
        <w:rPr>
          <w:bCs/>
          <w:sz w:val="22"/>
          <w:szCs w:val="22"/>
          <w:u w:val="single"/>
        </w:rPr>
      </w:pPr>
    </w:p>
    <w:p w:rsidR="009B6915" w:rsidRDefault="00CD2F43">
      <w:pPr>
        <w:pStyle w:val="Header"/>
        <w:tabs>
          <w:tab w:val="left" w:pos="284"/>
        </w:tabs>
        <w:contextualSpacing/>
        <w:jc w:val="both"/>
        <w:rPr>
          <w:bCs/>
          <w:sz w:val="22"/>
          <w:szCs w:val="22"/>
          <w:u w:val="single"/>
        </w:rPr>
      </w:pPr>
      <w:r w:rsidRPr="006E5536">
        <w:rPr>
          <w:bCs/>
          <w:sz w:val="22"/>
          <w:szCs w:val="22"/>
          <w:u w:val="single"/>
        </w:rPr>
        <w:t>Eliminacija</w:t>
      </w:r>
    </w:p>
    <w:p w:rsidR="006E5536" w:rsidRPr="006E5536" w:rsidRDefault="006E5536">
      <w:pPr>
        <w:pStyle w:val="Header"/>
        <w:tabs>
          <w:tab w:val="left" w:pos="284"/>
        </w:tabs>
        <w:contextualSpacing/>
        <w:jc w:val="both"/>
        <w:rPr>
          <w:bCs/>
          <w:sz w:val="22"/>
          <w:szCs w:val="22"/>
          <w:u w:val="single"/>
        </w:rPr>
      </w:pPr>
    </w:p>
    <w:p w:rsidR="009B6915" w:rsidRPr="006E5536" w:rsidRDefault="00CD2F43">
      <w:pPr>
        <w:pStyle w:val="Header"/>
        <w:tabs>
          <w:tab w:val="left" w:pos="284"/>
        </w:tabs>
        <w:contextualSpacing/>
        <w:jc w:val="both"/>
        <w:rPr>
          <w:bCs/>
          <w:sz w:val="22"/>
          <w:szCs w:val="22"/>
        </w:rPr>
      </w:pPr>
      <w:r w:rsidRPr="006E5536">
        <w:rPr>
          <w:bCs/>
          <w:sz w:val="22"/>
          <w:szCs w:val="22"/>
        </w:rPr>
        <w:lastRenderedPageBreak/>
        <w:t xml:space="preserve">Plazma klirens nakon intravenske primjene iznosio je 151 </w:t>
      </w:r>
      <w:r w:rsidR="004634AE" w:rsidRPr="006E5536">
        <w:rPr>
          <w:bCs/>
          <w:sz w:val="22"/>
          <w:szCs w:val="22"/>
        </w:rPr>
        <w:t>l</w:t>
      </w:r>
      <w:r w:rsidRPr="006E5536">
        <w:rPr>
          <w:bCs/>
          <w:sz w:val="22"/>
          <w:szCs w:val="22"/>
        </w:rPr>
        <w:t>/čas. Nakon intravenske primjene, približno 58% primijenjene doze obilježene radioizotopima (ili 73% zabilježene radioaktivnosti) eliminisalo se putem fecesa 192 sata nakon primjene doze. Putem urina izlučilo se 22% primijenjene doze obilježene radioizotopima nakon 168 sati (27% zabilježene radioaktivnosti). Eliminisanje supstanci koje potiču iz lijeka putem fecesa nakon intravenske primjene, ukazuju na izlučivanje u žuč. Nakon oralne primjene kod zdravih dobrovoljaca muškaraca, ukupna doza lijeka obilježena radioizotopima primarno se eliminisala putem fecesa (92% doze obilježene radioizotopima ili 99% zabilježene radioaktivnosti) 168 sati nakon primjene doze. Manje od 1% oralno primijenjene doze (1% zabilježene radioaktivnosti) izlučilo se putem urina, ukazujući na beznačajnu resorpciju nakon oralne primjene. Poluvrijeme eliminacije umeklidinijuma iz plazme nakon inhalacione primjene tokom perioda od 10 dana je u prosjeku iznosilo 19 sati kod zdravih dobrovoljaca, pri čemu se, u stanju dinamičke ravnoteže, 3-4% umeklidinijuma izlučilo nepromijenjeno putem urina.</w:t>
      </w:r>
    </w:p>
    <w:p w:rsidR="009B6915" w:rsidRPr="006E5536" w:rsidRDefault="009B6915">
      <w:pPr>
        <w:pStyle w:val="Header"/>
        <w:tabs>
          <w:tab w:val="left" w:pos="284"/>
        </w:tabs>
        <w:contextualSpacing/>
        <w:jc w:val="both"/>
        <w:rPr>
          <w:bCs/>
          <w:sz w:val="22"/>
          <w:szCs w:val="22"/>
        </w:rPr>
      </w:pPr>
    </w:p>
    <w:p w:rsidR="009B6915" w:rsidRPr="006E5536" w:rsidRDefault="00CD2F43">
      <w:pPr>
        <w:pStyle w:val="Header"/>
        <w:tabs>
          <w:tab w:val="left" w:pos="284"/>
        </w:tabs>
        <w:contextualSpacing/>
        <w:jc w:val="both"/>
        <w:rPr>
          <w:bCs/>
          <w:sz w:val="22"/>
          <w:szCs w:val="22"/>
          <w:u w:val="single"/>
        </w:rPr>
      </w:pPr>
      <w:r w:rsidRPr="006E5536">
        <w:rPr>
          <w:bCs/>
          <w:sz w:val="22"/>
          <w:szCs w:val="22"/>
          <w:u w:val="single"/>
        </w:rPr>
        <w:t>Karakteristike lijeka primijenjenog u posebnim grupama zdravih dobrovoljaca ili pacijenata</w:t>
      </w:r>
    </w:p>
    <w:p w:rsidR="009B6915" w:rsidRPr="006E5536" w:rsidRDefault="009B6915">
      <w:pPr>
        <w:pStyle w:val="Header"/>
        <w:tabs>
          <w:tab w:val="left" w:pos="284"/>
        </w:tabs>
        <w:contextualSpacing/>
        <w:jc w:val="both"/>
        <w:rPr>
          <w:bCs/>
          <w:sz w:val="22"/>
          <w:szCs w:val="22"/>
        </w:rPr>
      </w:pPr>
    </w:p>
    <w:p w:rsidR="009B6915" w:rsidRPr="006E5536" w:rsidRDefault="00CD2F43">
      <w:pPr>
        <w:pStyle w:val="NoNumHead4"/>
        <w:spacing w:before="0" w:after="0"/>
        <w:contextualSpacing/>
        <w:jc w:val="both"/>
        <w:rPr>
          <w:rFonts w:ascii="Times New Roman" w:hAnsi="Times New Roman" w:cs="Times New Roman"/>
          <w:b w:val="0"/>
          <w:i/>
          <w:lang w:val="en-US" w:eastAsia="en-US"/>
        </w:rPr>
      </w:pPr>
      <w:r w:rsidRPr="006E5536">
        <w:rPr>
          <w:rFonts w:ascii="Times New Roman" w:hAnsi="Times New Roman" w:cs="Times New Roman"/>
          <w:b w:val="0"/>
          <w:i/>
          <w:lang w:val="en-US" w:eastAsia="en-US"/>
        </w:rPr>
        <w:t xml:space="preserve">Starije osobe </w:t>
      </w:r>
    </w:p>
    <w:p w:rsidR="009B6915" w:rsidRPr="006E5536" w:rsidRDefault="00CD2F43">
      <w:pPr>
        <w:pStyle w:val="Header"/>
        <w:tabs>
          <w:tab w:val="left" w:pos="284"/>
        </w:tabs>
        <w:contextualSpacing/>
        <w:jc w:val="both"/>
        <w:rPr>
          <w:bCs/>
          <w:sz w:val="22"/>
          <w:szCs w:val="22"/>
        </w:rPr>
      </w:pPr>
      <w:r w:rsidRPr="006E5536">
        <w:rPr>
          <w:bCs/>
          <w:sz w:val="22"/>
          <w:szCs w:val="22"/>
        </w:rPr>
        <w:t xml:space="preserve">Populaciona farmakokinetička analiza pokazala je da je farmakokinetika umeklidinijum bromida bila slična kod pacijenata sa HOBP starosti 65 godina i starijih i </w:t>
      </w:r>
      <w:r w:rsidR="004634AE" w:rsidRPr="006E5536">
        <w:rPr>
          <w:bCs/>
          <w:sz w:val="22"/>
          <w:szCs w:val="22"/>
        </w:rPr>
        <w:t xml:space="preserve">onih </w:t>
      </w:r>
      <w:r w:rsidRPr="006E5536">
        <w:rPr>
          <w:bCs/>
          <w:sz w:val="22"/>
          <w:szCs w:val="22"/>
        </w:rPr>
        <w:t>mlađih od 65 godina.</w:t>
      </w:r>
    </w:p>
    <w:p w:rsidR="009B6915" w:rsidRPr="006E5536" w:rsidRDefault="009B6915">
      <w:pPr>
        <w:pStyle w:val="NoNumHead4"/>
        <w:spacing w:before="0" w:after="0"/>
        <w:contextualSpacing/>
        <w:jc w:val="both"/>
        <w:rPr>
          <w:rFonts w:ascii="Times New Roman" w:hAnsi="Times New Roman" w:cs="Times New Roman"/>
          <w:b w:val="0"/>
          <w:i/>
          <w:lang w:val="en-US" w:eastAsia="en-US"/>
        </w:rPr>
      </w:pPr>
    </w:p>
    <w:p w:rsidR="009B6915" w:rsidRPr="006E5536" w:rsidRDefault="00CD2F43">
      <w:pPr>
        <w:pStyle w:val="Header"/>
        <w:tabs>
          <w:tab w:val="left" w:pos="284"/>
        </w:tabs>
        <w:contextualSpacing/>
        <w:jc w:val="both"/>
        <w:rPr>
          <w:i/>
          <w:sz w:val="22"/>
          <w:szCs w:val="22"/>
        </w:rPr>
      </w:pPr>
      <w:r w:rsidRPr="006E5536">
        <w:rPr>
          <w:i/>
          <w:sz w:val="22"/>
          <w:szCs w:val="22"/>
        </w:rPr>
        <w:t>Pacijenti sa oštećenjem funkcije bubrega</w:t>
      </w:r>
    </w:p>
    <w:p w:rsidR="009B6915" w:rsidRPr="006E5536" w:rsidRDefault="00CD2F43">
      <w:pPr>
        <w:pStyle w:val="Header"/>
        <w:tabs>
          <w:tab w:val="left" w:pos="284"/>
        </w:tabs>
        <w:contextualSpacing/>
        <w:jc w:val="both"/>
        <w:rPr>
          <w:rFonts w:eastAsia="MS Mincho"/>
          <w:snapToGrid w:val="0"/>
          <w:sz w:val="22"/>
          <w:szCs w:val="22"/>
          <w:lang w:val="hr-HR"/>
        </w:rPr>
      </w:pPr>
      <w:r w:rsidRPr="006E5536">
        <w:rPr>
          <w:rFonts w:eastAsia="MS Mincho"/>
          <w:snapToGrid w:val="0"/>
          <w:sz w:val="22"/>
          <w:szCs w:val="22"/>
          <w:lang w:val="hr-HR"/>
        </w:rPr>
        <w:t>Kod pacijenata sa teškim oštećenjem funkcije bubrega (klirens kreatinina &lt;30m</w:t>
      </w:r>
      <w:r w:rsidR="004634AE" w:rsidRPr="006E5536">
        <w:rPr>
          <w:rFonts w:eastAsia="MS Mincho"/>
          <w:snapToGrid w:val="0"/>
          <w:sz w:val="22"/>
          <w:szCs w:val="22"/>
          <w:lang w:val="hr-HR"/>
        </w:rPr>
        <w:t>l</w:t>
      </w:r>
      <w:r w:rsidRPr="006E5536">
        <w:rPr>
          <w:rFonts w:eastAsia="MS Mincho"/>
          <w:snapToGrid w:val="0"/>
          <w:sz w:val="22"/>
          <w:szCs w:val="22"/>
          <w:lang w:val="hr-HR"/>
        </w:rPr>
        <w:t>/min) nije zabilježeno povećanje u sistemskoj izloženosti umeklidinijum bromidu (C</w:t>
      </w:r>
      <w:r w:rsidRPr="006E5536">
        <w:rPr>
          <w:rFonts w:eastAsia="MS Mincho"/>
          <w:snapToGrid w:val="0"/>
          <w:sz w:val="22"/>
          <w:szCs w:val="22"/>
          <w:vertAlign w:val="subscript"/>
          <w:lang w:val="hr-HR"/>
        </w:rPr>
        <w:t>max</w:t>
      </w:r>
      <w:r w:rsidRPr="006E5536">
        <w:rPr>
          <w:rFonts w:eastAsia="MS Mincho"/>
          <w:snapToGrid w:val="0"/>
          <w:sz w:val="22"/>
          <w:szCs w:val="22"/>
          <w:lang w:val="hr-HR"/>
        </w:rPr>
        <w:t xml:space="preserve"> i PIK). Takođe, nije zabilježena promjena vezivanja za proteine plazme kod pacijenata sa teškim oštećenjem bubrega u odnosu na zdrave dobrovoljce. </w:t>
      </w:r>
    </w:p>
    <w:p w:rsidR="009B6915" w:rsidRPr="006E5536" w:rsidRDefault="009B6915">
      <w:pPr>
        <w:pStyle w:val="Header"/>
        <w:tabs>
          <w:tab w:val="left" w:pos="284"/>
        </w:tabs>
        <w:contextualSpacing/>
        <w:jc w:val="both"/>
        <w:rPr>
          <w:i/>
          <w:sz w:val="22"/>
          <w:szCs w:val="22"/>
        </w:rPr>
      </w:pPr>
    </w:p>
    <w:p w:rsidR="009B6915" w:rsidRPr="006E5536" w:rsidRDefault="00CD2F43">
      <w:pPr>
        <w:pStyle w:val="Header"/>
        <w:tabs>
          <w:tab w:val="left" w:pos="284"/>
        </w:tabs>
        <w:contextualSpacing/>
        <w:jc w:val="both"/>
        <w:rPr>
          <w:i/>
          <w:sz w:val="22"/>
          <w:szCs w:val="22"/>
        </w:rPr>
      </w:pPr>
      <w:r w:rsidRPr="006E5536">
        <w:rPr>
          <w:i/>
          <w:sz w:val="22"/>
          <w:szCs w:val="22"/>
        </w:rPr>
        <w:t>Pacijenti sa oštećenjem funkcije jetre</w:t>
      </w:r>
    </w:p>
    <w:p w:rsidR="009B6915" w:rsidRPr="006E5536" w:rsidRDefault="00CD2F43">
      <w:pPr>
        <w:pStyle w:val="NormalWeb"/>
        <w:spacing w:before="0" w:beforeAutospacing="0" w:after="0" w:afterAutospacing="0"/>
        <w:contextualSpacing/>
        <w:jc w:val="both"/>
        <w:rPr>
          <w:rFonts w:ascii="Times New Roman" w:hAnsi="Times New Roman"/>
          <w:sz w:val="22"/>
          <w:szCs w:val="22"/>
          <w:lang w:val="hr-HR"/>
        </w:rPr>
      </w:pPr>
      <w:r w:rsidRPr="006E5536">
        <w:rPr>
          <w:rFonts w:ascii="Times New Roman" w:hAnsi="Times New Roman"/>
          <w:sz w:val="22"/>
          <w:szCs w:val="22"/>
          <w:lang w:val="hr-HR"/>
        </w:rPr>
        <w:t xml:space="preserve">Kod pacijenata sa umjerenim oštećenjem funkcije jetre (Child-Pugh, B nivo oštećenja) nije zabilježeno povećanje u sistemskoj </w:t>
      </w:r>
      <w:r w:rsidRPr="006E5536">
        <w:rPr>
          <w:rFonts w:ascii="Times New Roman" w:eastAsia="MS Mincho" w:hAnsi="Times New Roman"/>
          <w:snapToGrid w:val="0"/>
          <w:sz w:val="22"/>
          <w:szCs w:val="22"/>
          <w:lang w:val="hr-HR"/>
        </w:rPr>
        <w:t>izloženosti umeklidinijum bromidu (C</w:t>
      </w:r>
      <w:r w:rsidRPr="006E5536">
        <w:rPr>
          <w:rFonts w:ascii="Times New Roman" w:eastAsia="MS Mincho" w:hAnsi="Times New Roman"/>
          <w:snapToGrid w:val="0"/>
          <w:sz w:val="22"/>
          <w:szCs w:val="22"/>
          <w:vertAlign w:val="subscript"/>
          <w:lang w:val="hr-HR"/>
        </w:rPr>
        <w:t>max</w:t>
      </w:r>
      <w:r w:rsidRPr="006E5536">
        <w:rPr>
          <w:rFonts w:ascii="Times New Roman" w:eastAsia="MS Mincho" w:hAnsi="Times New Roman"/>
          <w:snapToGrid w:val="0"/>
          <w:sz w:val="22"/>
          <w:szCs w:val="22"/>
          <w:lang w:val="hr-HR"/>
        </w:rPr>
        <w:t xml:space="preserve"> i PIK). Takođe, nije zabilježena promjena vezivanja za proteine plazme kod pacijenata </w:t>
      </w:r>
      <w:r w:rsidRPr="006E5536">
        <w:rPr>
          <w:rFonts w:ascii="Times New Roman" w:hAnsi="Times New Roman"/>
          <w:sz w:val="22"/>
          <w:szCs w:val="22"/>
          <w:lang w:val="hr-HR"/>
        </w:rPr>
        <w:t>sa umjerenim oštećenjem funkcije jetre</w:t>
      </w:r>
      <w:r w:rsidRPr="006E5536">
        <w:rPr>
          <w:rFonts w:ascii="Times New Roman" w:eastAsia="MS Mincho" w:hAnsi="Times New Roman"/>
          <w:snapToGrid w:val="0"/>
          <w:sz w:val="22"/>
          <w:szCs w:val="22"/>
          <w:lang w:val="hr-HR"/>
        </w:rPr>
        <w:t xml:space="preserve"> u odnosu na zdrave dobrovoljce. Primjena umeklidinijum bromida nije procjenjivana kod pacijenata sa teškim oštećenjem funkcije jetre.</w:t>
      </w:r>
    </w:p>
    <w:p w:rsidR="009B6915" w:rsidRPr="006E5536" w:rsidRDefault="009B6915">
      <w:pPr>
        <w:pStyle w:val="NormalWeb"/>
        <w:spacing w:before="0" w:beforeAutospacing="0" w:after="0" w:afterAutospacing="0"/>
        <w:contextualSpacing/>
        <w:jc w:val="both"/>
        <w:rPr>
          <w:rFonts w:ascii="Times New Roman" w:hAnsi="Times New Roman"/>
          <w:sz w:val="22"/>
          <w:szCs w:val="22"/>
          <w:lang w:val="hr-HR"/>
        </w:rPr>
      </w:pPr>
    </w:p>
    <w:p w:rsidR="009B6915" w:rsidRPr="006E5536" w:rsidRDefault="00CD2F43">
      <w:pPr>
        <w:pStyle w:val="NoNumHead4"/>
        <w:spacing w:before="0" w:after="0"/>
        <w:contextualSpacing/>
        <w:jc w:val="both"/>
        <w:rPr>
          <w:rFonts w:ascii="Times New Roman" w:hAnsi="Times New Roman" w:cs="Times New Roman"/>
          <w:b w:val="0"/>
          <w:i/>
          <w:lang w:val="en-US" w:eastAsia="en-US"/>
        </w:rPr>
      </w:pPr>
      <w:r w:rsidRPr="006E5536">
        <w:rPr>
          <w:rFonts w:ascii="Times New Roman" w:hAnsi="Times New Roman" w:cs="Times New Roman"/>
          <w:b w:val="0"/>
          <w:i/>
          <w:lang w:val="en-US" w:eastAsia="en-US"/>
        </w:rPr>
        <w:t>Ostale posebne populacije pacijenata</w:t>
      </w:r>
    </w:p>
    <w:p w:rsidR="009B6915" w:rsidRPr="006E5536" w:rsidRDefault="00CD2F43">
      <w:pPr>
        <w:numPr>
          <w:ilvl w:val="12"/>
          <w:numId w:val="0"/>
        </w:numPr>
        <w:ind w:right="-2"/>
        <w:jc w:val="both"/>
        <w:rPr>
          <w:sz w:val="22"/>
          <w:szCs w:val="22"/>
        </w:rPr>
      </w:pPr>
      <w:r w:rsidRPr="006E5536">
        <w:rPr>
          <w:bCs/>
          <w:sz w:val="22"/>
          <w:szCs w:val="22"/>
        </w:rPr>
        <w:t>Populaciona farmakokinetička analiza pokazala je da nije potrebno prilagođavanje doze umeklidinijum bromida u odnosu na starosnu dob, rasu, pol, primjenu inhalacionih kortikosteroida ili tjelesnu težinu. U okviru ispitivanja sa slabim metabolizerima CYP2D6 nije pokazano klinički značajno dejstvo CYP2D6 genetskog polimorfizma na sistemsku izloženost umeklidinijum bromidu.</w:t>
      </w:r>
    </w:p>
    <w:p w:rsidR="00EC1BBC" w:rsidRPr="006E5536" w:rsidRDefault="00EC1BBC" w:rsidP="00552413">
      <w:pPr>
        <w:tabs>
          <w:tab w:val="left" w:pos="540"/>
          <w:tab w:val="left" w:pos="569"/>
        </w:tabs>
        <w:rPr>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5.3. </w:t>
      </w:r>
      <w:r w:rsidRPr="006E5536">
        <w:rPr>
          <w:b/>
          <w:bCs/>
          <w:sz w:val="22"/>
          <w:szCs w:val="22"/>
        </w:rPr>
        <w:tab/>
        <w:t xml:space="preserve">Pretklinički podaci o bezbjednosti </w:t>
      </w:r>
    </w:p>
    <w:p w:rsidR="00847ACF" w:rsidRPr="006E5536" w:rsidRDefault="00847ACF" w:rsidP="00552413">
      <w:pPr>
        <w:tabs>
          <w:tab w:val="left" w:pos="540"/>
          <w:tab w:val="left" w:pos="569"/>
        </w:tabs>
        <w:rPr>
          <w:bCs/>
          <w:sz w:val="22"/>
          <w:szCs w:val="22"/>
        </w:rPr>
      </w:pPr>
    </w:p>
    <w:p w:rsidR="009B6915" w:rsidRPr="006E5536" w:rsidRDefault="00CA4919">
      <w:pPr>
        <w:tabs>
          <w:tab w:val="left" w:pos="540"/>
          <w:tab w:val="left" w:pos="569"/>
        </w:tabs>
        <w:jc w:val="both"/>
        <w:rPr>
          <w:bCs/>
          <w:sz w:val="22"/>
          <w:szCs w:val="22"/>
        </w:rPr>
      </w:pPr>
      <w:r w:rsidRPr="006E5536">
        <w:rPr>
          <w:bCs/>
          <w:sz w:val="22"/>
          <w:szCs w:val="22"/>
        </w:rPr>
        <w:t xml:space="preserve">Pretklinički </w:t>
      </w:r>
      <w:r w:rsidR="004634AE" w:rsidRPr="006E5536">
        <w:rPr>
          <w:bCs/>
          <w:sz w:val="22"/>
          <w:szCs w:val="22"/>
        </w:rPr>
        <w:t xml:space="preserve">podaci ne ukazuju na poseban rizik za ljude na osnovu konvencionalnih ispitivanja </w:t>
      </w:r>
      <w:r w:rsidR="00CD2F43" w:rsidRPr="006E5536">
        <w:rPr>
          <w:bCs/>
          <w:sz w:val="22"/>
          <w:szCs w:val="22"/>
        </w:rPr>
        <w:t>farmakološk</w:t>
      </w:r>
      <w:r w:rsidR="00840613" w:rsidRPr="006E5536">
        <w:rPr>
          <w:bCs/>
          <w:sz w:val="22"/>
          <w:szCs w:val="22"/>
        </w:rPr>
        <w:t>e</w:t>
      </w:r>
      <w:r w:rsidR="00CD2F43" w:rsidRPr="006E5536">
        <w:rPr>
          <w:bCs/>
          <w:sz w:val="22"/>
          <w:szCs w:val="22"/>
        </w:rPr>
        <w:t xml:space="preserve"> </w:t>
      </w:r>
      <w:r w:rsidR="00840613" w:rsidRPr="006E5536">
        <w:rPr>
          <w:bCs/>
          <w:sz w:val="22"/>
          <w:szCs w:val="22"/>
        </w:rPr>
        <w:t xml:space="preserve">bezbjednosti </w:t>
      </w:r>
      <w:r w:rsidR="00CD2F43" w:rsidRPr="006E5536">
        <w:rPr>
          <w:bCs/>
          <w:sz w:val="22"/>
          <w:szCs w:val="22"/>
        </w:rPr>
        <w:t>lijeka, toksičnosti ponovljenih doza, genotoksičnosti i karcinogenog potencijala. U okviru prekliničkih ispitivanja primjene umeklidinijum bromida</w:t>
      </w:r>
      <w:r w:rsidR="00840613" w:rsidRPr="006E5536">
        <w:rPr>
          <w:bCs/>
          <w:sz w:val="22"/>
          <w:szCs w:val="22"/>
        </w:rPr>
        <w:t>,</w:t>
      </w:r>
      <w:r w:rsidR="00CD2F43" w:rsidRPr="006E5536">
        <w:rPr>
          <w:bCs/>
          <w:sz w:val="22"/>
          <w:szCs w:val="22"/>
        </w:rPr>
        <w:t xml:space="preserve"> dobijeni rezultati bili su jednaki onima koji s</w:t>
      </w:r>
      <w:r w:rsidR="00840613" w:rsidRPr="006E5536">
        <w:rPr>
          <w:bCs/>
          <w:sz w:val="22"/>
          <w:szCs w:val="22"/>
        </w:rPr>
        <w:t>e</w:t>
      </w:r>
      <w:r w:rsidR="00CD2F43" w:rsidRPr="006E5536">
        <w:rPr>
          <w:bCs/>
          <w:sz w:val="22"/>
          <w:szCs w:val="22"/>
        </w:rPr>
        <w:t xml:space="preserve"> tipično </w:t>
      </w:r>
      <w:r w:rsidR="00840613" w:rsidRPr="006E5536">
        <w:rPr>
          <w:bCs/>
          <w:sz w:val="22"/>
          <w:szCs w:val="22"/>
        </w:rPr>
        <w:t xml:space="preserve">povezuju </w:t>
      </w:r>
      <w:r w:rsidR="00CD2F43" w:rsidRPr="006E5536">
        <w:rPr>
          <w:bCs/>
          <w:sz w:val="22"/>
          <w:szCs w:val="22"/>
        </w:rPr>
        <w:t>sa primarnom farmakologijom antagonista muskarinskih receptora i/ili lokalnom iritacijom.</w:t>
      </w:r>
    </w:p>
    <w:p w:rsidR="009B6915" w:rsidRPr="006E5536" w:rsidRDefault="009B6915">
      <w:pPr>
        <w:pStyle w:val="NormalWeb"/>
        <w:spacing w:before="0" w:beforeAutospacing="0" w:after="0" w:afterAutospacing="0"/>
        <w:contextualSpacing/>
        <w:jc w:val="both"/>
        <w:rPr>
          <w:rFonts w:ascii="Times New Roman" w:hAnsi="Times New Roman"/>
          <w:sz w:val="22"/>
          <w:szCs w:val="22"/>
          <w:lang w:val="hr-HR"/>
        </w:rPr>
      </w:pPr>
    </w:p>
    <w:p w:rsidR="009B6915" w:rsidRPr="006E5536" w:rsidRDefault="00CD2F43">
      <w:pPr>
        <w:pStyle w:val="NormalWeb"/>
        <w:spacing w:before="0" w:beforeAutospacing="0" w:after="0" w:afterAutospacing="0"/>
        <w:contextualSpacing/>
        <w:jc w:val="both"/>
        <w:rPr>
          <w:rFonts w:ascii="Times New Roman" w:hAnsi="Times New Roman"/>
          <w:sz w:val="22"/>
          <w:szCs w:val="22"/>
          <w:u w:val="single"/>
          <w:lang w:val="hr-HR"/>
        </w:rPr>
      </w:pPr>
      <w:r w:rsidRPr="006E5536">
        <w:rPr>
          <w:rFonts w:ascii="Times New Roman" w:hAnsi="Times New Roman"/>
          <w:sz w:val="22"/>
          <w:szCs w:val="22"/>
          <w:u w:val="single"/>
          <w:lang w:val="hr-HR"/>
        </w:rPr>
        <w:t>Reproduktivna toksičnost</w:t>
      </w:r>
    </w:p>
    <w:p w:rsidR="009B6915" w:rsidRPr="006E5536" w:rsidRDefault="00CD2F43">
      <w:pPr>
        <w:pStyle w:val="NormalWeb"/>
        <w:spacing w:before="0" w:beforeAutospacing="0" w:after="0" w:afterAutospacing="0"/>
        <w:contextualSpacing/>
        <w:jc w:val="both"/>
        <w:rPr>
          <w:rFonts w:ascii="Times New Roman" w:hAnsi="Times New Roman"/>
          <w:sz w:val="22"/>
          <w:szCs w:val="22"/>
          <w:lang w:val="hr-HR"/>
        </w:rPr>
      </w:pPr>
      <w:r w:rsidRPr="006E5536">
        <w:rPr>
          <w:rFonts w:ascii="Times New Roman" w:hAnsi="Times New Roman"/>
          <w:sz w:val="22"/>
          <w:szCs w:val="22"/>
          <w:lang w:val="hr-HR"/>
        </w:rPr>
        <w:lastRenderedPageBreak/>
        <w:t>Primjena umeklidinijum bromida nije dovela do teratogenog dejstva kod pacova ili kunića. U okviru prenatalnog i postnatalnog ispitivanja, subkutana primjena umeklidinijum bromida kod pacova dovela je do smanjenja porasta tjelesne težine majke i smanjenog unosa hrane i dovela do blagog smanjenja tjelesne težine mladunčadi prije sisanja kod ženki kojima je primijenjena doza od 180 mikrograma/kg/dan (izloženost približno</w:t>
      </w:r>
      <w:r w:rsidR="00370044" w:rsidRPr="006E5536">
        <w:rPr>
          <w:rFonts w:ascii="Times New Roman" w:hAnsi="Times New Roman"/>
          <w:sz w:val="22"/>
          <w:szCs w:val="22"/>
          <w:lang w:val="hr-HR"/>
        </w:rPr>
        <w:t xml:space="preserve"> </w:t>
      </w:r>
      <w:r w:rsidRPr="006E5536">
        <w:rPr>
          <w:rFonts w:ascii="Times New Roman" w:hAnsi="Times New Roman"/>
          <w:sz w:val="22"/>
          <w:szCs w:val="22"/>
          <w:lang w:val="hr-HR"/>
        </w:rPr>
        <w:t>80 puta veća od kliničke izloženosti kod ljudi nakon primjene umeklidinijuma u dozi od 55 mikrograma, utvrđeno na osnovu vrijednosti PIK).</w:t>
      </w:r>
    </w:p>
    <w:p w:rsidR="009B6915" w:rsidRPr="006E5536" w:rsidRDefault="009B6915">
      <w:pPr>
        <w:tabs>
          <w:tab w:val="left" w:pos="540"/>
          <w:tab w:val="left" w:pos="569"/>
        </w:tabs>
        <w:jc w:val="both"/>
        <w:rPr>
          <w:b/>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6. </w:t>
      </w:r>
      <w:r w:rsidRPr="006E5536">
        <w:rPr>
          <w:b/>
          <w:bCs/>
          <w:sz w:val="22"/>
          <w:szCs w:val="22"/>
        </w:rPr>
        <w:tab/>
        <w:t>FARMACEUTSKI PODACI</w:t>
      </w:r>
    </w:p>
    <w:p w:rsidR="00EC1BBC" w:rsidRPr="006E5536" w:rsidRDefault="00EC1BBC" w:rsidP="00552413">
      <w:pPr>
        <w:tabs>
          <w:tab w:val="left" w:pos="540"/>
          <w:tab w:val="left" w:pos="569"/>
        </w:tabs>
        <w:rPr>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6.1. </w:t>
      </w:r>
      <w:r w:rsidRPr="006E5536">
        <w:rPr>
          <w:b/>
          <w:bCs/>
          <w:sz w:val="22"/>
          <w:szCs w:val="22"/>
        </w:rPr>
        <w:tab/>
        <w:t>Lista pomoćnih supstanci</w:t>
      </w:r>
    </w:p>
    <w:p w:rsidR="00A802AC" w:rsidRPr="006E5536" w:rsidRDefault="00A802AC" w:rsidP="00552413">
      <w:pPr>
        <w:pStyle w:val="CommentText"/>
        <w:contextualSpacing/>
        <w:jc w:val="left"/>
        <w:rPr>
          <w:rFonts w:ascii="Times New Roman" w:hAnsi="Times New Roman"/>
          <w:sz w:val="22"/>
          <w:szCs w:val="22"/>
          <w:lang w:val="sl-SI"/>
        </w:rPr>
      </w:pPr>
      <w:r w:rsidRPr="006E5536">
        <w:rPr>
          <w:rFonts w:ascii="Times New Roman" w:hAnsi="Times New Roman"/>
          <w:sz w:val="22"/>
          <w:szCs w:val="22"/>
          <w:lang w:val="sl-SI"/>
        </w:rPr>
        <w:t>Laktoza, monohidrat</w:t>
      </w:r>
    </w:p>
    <w:p w:rsidR="00A802AC" w:rsidRPr="006E5536" w:rsidRDefault="00A802AC" w:rsidP="00552413">
      <w:pPr>
        <w:pStyle w:val="CommentText"/>
        <w:contextualSpacing/>
        <w:jc w:val="left"/>
        <w:rPr>
          <w:rFonts w:ascii="Times New Roman" w:hAnsi="Times New Roman"/>
          <w:sz w:val="22"/>
          <w:szCs w:val="22"/>
        </w:rPr>
      </w:pPr>
      <w:r w:rsidRPr="006E5536">
        <w:rPr>
          <w:rFonts w:ascii="Times New Roman" w:hAnsi="Times New Roman"/>
          <w:sz w:val="22"/>
          <w:szCs w:val="22"/>
          <w:lang w:val="sl-SI"/>
        </w:rPr>
        <w:t>Magnezijum stearat</w:t>
      </w:r>
    </w:p>
    <w:p w:rsidR="00EC1BBC" w:rsidRPr="006E5536" w:rsidRDefault="00EC1BBC" w:rsidP="00552413">
      <w:pPr>
        <w:tabs>
          <w:tab w:val="left" w:pos="540"/>
          <w:tab w:val="left" w:pos="569"/>
        </w:tabs>
        <w:rPr>
          <w:bCs/>
          <w:sz w:val="22"/>
          <w:szCs w:val="22"/>
        </w:rPr>
      </w:pPr>
    </w:p>
    <w:p w:rsidR="00EC1BBC" w:rsidRPr="006E5536" w:rsidRDefault="00EC1BBC" w:rsidP="00552413">
      <w:pPr>
        <w:tabs>
          <w:tab w:val="left" w:pos="540"/>
          <w:tab w:val="left" w:pos="569"/>
        </w:tabs>
        <w:rPr>
          <w:b/>
          <w:bCs/>
          <w:sz w:val="22"/>
          <w:szCs w:val="22"/>
        </w:rPr>
      </w:pPr>
      <w:r w:rsidRPr="006E5536">
        <w:rPr>
          <w:b/>
          <w:bCs/>
          <w:sz w:val="22"/>
          <w:szCs w:val="22"/>
        </w:rPr>
        <w:t xml:space="preserve">6.2. </w:t>
      </w:r>
      <w:r w:rsidRPr="006E5536">
        <w:rPr>
          <w:b/>
          <w:bCs/>
          <w:sz w:val="22"/>
          <w:szCs w:val="22"/>
        </w:rPr>
        <w:tab/>
        <w:t>Inkompatibilnosti</w:t>
      </w:r>
    </w:p>
    <w:p w:rsidR="00A802AC" w:rsidRPr="006E5536" w:rsidRDefault="00A802AC" w:rsidP="00552413">
      <w:pPr>
        <w:pStyle w:val="CommentText"/>
        <w:contextualSpacing/>
        <w:jc w:val="left"/>
        <w:rPr>
          <w:rFonts w:ascii="Times New Roman" w:hAnsi="Times New Roman"/>
          <w:sz w:val="22"/>
          <w:szCs w:val="22"/>
          <w:lang w:val="sl-SI"/>
        </w:rPr>
      </w:pPr>
      <w:r w:rsidRPr="006E5536">
        <w:rPr>
          <w:rFonts w:ascii="Times New Roman" w:hAnsi="Times New Roman"/>
          <w:sz w:val="22"/>
          <w:szCs w:val="22"/>
          <w:lang w:val="sl-SI"/>
        </w:rPr>
        <w:t>Nije primjenljivo.</w:t>
      </w:r>
    </w:p>
    <w:p w:rsidR="00A802AC" w:rsidRPr="006E5536" w:rsidRDefault="00A802AC" w:rsidP="00552413">
      <w:pPr>
        <w:pStyle w:val="CommentText"/>
        <w:contextualSpacing/>
        <w:jc w:val="left"/>
        <w:rPr>
          <w:rFonts w:ascii="Times New Roman" w:hAnsi="Times New Roman"/>
          <w:sz w:val="22"/>
          <w:szCs w:val="22"/>
          <w:lang w:val="sl-SI"/>
        </w:rPr>
      </w:pPr>
    </w:p>
    <w:p w:rsidR="00EC1BBC" w:rsidRPr="006E5536" w:rsidRDefault="00EC1BBC" w:rsidP="00552413">
      <w:pPr>
        <w:tabs>
          <w:tab w:val="left" w:pos="540"/>
          <w:tab w:val="left" w:pos="569"/>
        </w:tabs>
        <w:rPr>
          <w:b/>
          <w:bCs/>
          <w:sz w:val="22"/>
          <w:szCs w:val="22"/>
        </w:rPr>
      </w:pPr>
      <w:r w:rsidRPr="006E5536">
        <w:rPr>
          <w:b/>
          <w:bCs/>
          <w:sz w:val="22"/>
          <w:szCs w:val="22"/>
        </w:rPr>
        <w:t>6.3.</w:t>
      </w:r>
      <w:r w:rsidRPr="006E5536">
        <w:rPr>
          <w:b/>
          <w:bCs/>
          <w:sz w:val="22"/>
          <w:szCs w:val="22"/>
        </w:rPr>
        <w:tab/>
        <w:t>Rok upotrebe</w:t>
      </w:r>
    </w:p>
    <w:p w:rsidR="00A802AC" w:rsidRPr="006E5536" w:rsidRDefault="00A802AC" w:rsidP="00552413">
      <w:pPr>
        <w:pStyle w:val="CommentText"/>
        <w:contextualSpacing/>
        <w:jc w:val="left"/>
        <w:rPr>
          <w:rFonts w:ascii="Times New Roman" w:hAnsi="Times New Roman"/>
          <w:sz w:val="22"/>
          <w:szCs w:val="22"/>
          <w:lang w:val="sl-SI"/>
        </w:rPr>
      </w:pPr>
      <w:r w:rsidRPr="006E5536">
        <w:rPr>
          <w:rFonts w:ascii="Times New Roman" w:hAnsi="Times New Roman"/>
          <w:sz w:val="22"/>
          <w:szCs w:val="22"/>
          <w:lang w:val="sl-SI"/>
        </w:rPr>
        <w:t>2 godine</w:t>
      </w:r>
    </w:p>
    <w:p w:rsidR="00EC1BBC" w:rsidRPr="006E5536" w:rsidRDefault="00A802AC" w:rsidP="00552413">
      <w:pPr>
        <w:pStyle w:val="CommentText"/>
        <w:contextualSpacing/>
        <w:jc w:val="left"/>
        <w:rPr>
          <w:rFonts w:ascii="Times New Roman" w:hAnsi="Times New Roman"/>
          <w:sz w:val="22"/>
          <w:szCs w:val="22"/>
          <w:lang w:val="sl-SI"/>
        </w:rPr>
      </w:pPr>
      <w:r w:rsidRPr="006E5536">
        <w:rPr>
          <w:rFonts w:ascii="Times New Roman" w:hAnsi="Times New Roman"/>
          <w:sz w:val="22"/>
          <w:szCs w:val="22"/>
          <w:lang w:val="sl-SI"/>
        </w:rPr>
        <w:t>Rok upotrebe nakon prvog otvaranja: 6 nedjelja</w:t>
      </w:r>
    </w:p>
    <w:p w:rsidR="00A802AC" w:rsidRPr="006E5536" w:rsidRDefault="00A802AC" w:rsidP="00552413">
      <w:pPr>
        <w:pStyle w:val="CommentText"/>
        <w:contextualSpacing/>
        <w:jc w:val="left"/>
        <w:rPr>
          <w:rFonts w:ascii="Times New Roman" w:hAnsi="Times New Roman"/>
          <w:sz w:val="22"/>
          <w:szCs w:val="22"/>
          <w:lang w:val="sl-SI"/>
        </w:rPr>
      </w:pPr>
    </w:p>
    <w:p w:rsidR="00EC1BBC" w:rsidRPr="006E5536" w:rsidRDefault="00EC1BBC" w:rsidP="00552413">
      <w:pPr>
        <w:tabs>
          <w:tab w:val="left" w:pos="540"/>
          <w:tab w:val="left" w:pos="569"/>
        </w:tabs>
        <w:rPr>
          <w:b/>
          <w:bCs/>
          <w:sz w:val="22"/>
          <w:szCs w:val="22"/>
        </w:rPr>
      </w:pPr>
      <w:r w:rsidRPr="006E5536">
        <w:rPr>
          <w:b/>
          <w:bCs/>
          <w:sz w:val="22"/>
          <w:szCs w:val="22"/>
        </w:rPr>
        <w:t xml:space="preserve">6.4. </w:t>
      </w:r>
      <w:r w:rsidRPr="006E5536">
        <w:rPr>
          <w:b/>
          <w:bCs/>
          <w:sz w:val="22"/>
          <w:szCs w:val="22"/>
        </w:rPr>
        <w:tab/>
        <w:t>Posebne mjere upozorenja pri čuvanju lijeka</w:t>
      </w:r>
    </w:p>
    <w:p w:rsidR="00A802AC" w:rsidRPr="006E5536" w:rsidRDefault="00A802AC" w:rsidP="00552413">
      <w:pPr>
        <w:pStyle w:val="CommentText"/>
        <w:contextualSpacing/>
        <w:jc w:val="left"/>
        <w:rPr>
          <w:rFonts w:ascii="Times New Roman" w:hAnsi="Times New Roman"/>
          <w:sz w:val="22"/>
          <w:szCs w:val="22"/>
          <w:lang w:val="sl-SI"/>
        </w:rPr>
      </w:pPr>
      <w:r w:rsidRPr="006E5536">
        <w:rPr>
          <w:rFonts w:ascii="Times New Roman" w:hAnsi="Times New Roman"/>
          <w:sz w:val="22"/>
          <w:szCs w:val="22"/>
          <w:lang w:val="sl-SI"/>
        </w:rPr>
        <w:t>Čuvati na temperaturi do 30°C.</w:t>
      </w:r>
    </w:p>
    <w:p w:rsidR="00A802AC" w:rsidRPr="006E5536" w:rsidRDefault="00A802AC" w:rsidP="00125CAE">
      <w:pPr>
        <w:contextualSpacing/>
        <w:jc w:val="both"/>
        <w:rPr>
          <w:sz w:val="22"/>
          <w:szCs w:val="22"/>
          <w:lang w:val="sl-SI"/>
        </w:rPr>
      </w:pPr>
      <w:r w:rsidRPr="006E5536">
        <w:rPr>
          <w:sz w:val="22"/>
          <w:szCs w:val="22"/>
          <w:lang w:val="sl-SI"/>
        </w:rPr>
        <w:t>Ukoliko se lijek čuva u frižideru, potrebno je čuvati inhaler</w:t>
      </w:r>
      <w:r w:rsidR="00125CAE">
        <w:rPr>
          <w:sz w:val="22"/>
          <w:szCs w:val="22"/>
          <w:lang w:val="sl-SI"/>
        </w:rPr>
        <w:t xml:space="preserve"> najmanje sat vremena na sobnoj </w:t>
      </w:r>
      <w:r w:rsidRPr="006E5536">
        <w:rPr>
          <w:sz w:val="22"/>
          <w:szCs w:val="22"/>
          <w:lang w:val="sl-SI"/>
        </w:rPr>
        <w:t>temperaturi prije primjene lijeka.</w:t>
      </w:r>
    </w:p>
    <w:p w:rsidR="001A6F89" w:rsidRPr="006E5536" w:rsidRDefault="00A802AC" w:rsidP="00125CAE">
      <w:pPr>
        <w:pStyle w:val="CommentText"/>
        <w:contextualSpacing/>
        <w:rPr>
          <w:rFonts w:ascii="Times New Roman" w:hAnsi="Times New Roman"/>
          <w:sz w:val="22"/>
          <w:szCs w:val="22"/>
          <w:lang w:val="sl-SI"/>
        </w:rPr>
      </w:pPr>
      <w:r w:rsidRPr="006E5536">
        <w:rPr>
          <w:rFonts w:ascii="Times New Roman" w:hAnsi="Times New Roman"/>
          <w:sz w:val="22"/>
          <w:szCs w:val="22"/>
          <w:lang w:val="sl-SI"/>
        </w:rPr>
        <w:t xml:space="preserve">Čuvati u originalnom pakovanju u cilju zaštite od vlage </w:t>
      </w:r>
      <w:r w:rsidR="001A6F89" w:rsidRPr="006E5536">
        <w:rPr>
          <w:rFonts w:ascii="Times New Roman" w:hAnsi="Times New Roman"/>
          <w:sz w:val="22"/>
          <w:szCs w:val="22"/>
          <w:lang w:val="sl-SI"/>
        </w:rPr>
        <w:t xml:space="preserve">i izvaditi ga neposredno prije prve primjene lijeka. </w:t>
      </w:r>
    </w:p>
    <w:p w:rsidR="001A6F89" w:rsidRPr="006E5536" w:rsidRDefault="001A6F89" w:rsidP="00125CAE">
      <w:pPr>
        <w:pStyle w:val="CommentText"/>
        <w:contextualSpacing/>
        <w:rPr>
          <w:rFonts w:ascii="Times New Roman" w:hAnsi="Times New Roman"/>
          <w:sz w:val="22"/>
          <w:szCs w:val="22"/>
          <w:lang w:val="sl-SI"/>
        </w:rPr>
      </w:pPr>
    </w:p>
    <w:p w:rsidR="001A6F89" w:rsidRPr="006E5536" w:rsidRDefault="001A6F89" w:rsidP="00125CAE">
      <w:pPr>
        <w:pStyle w:val="CommentText"/>
        <w:contextualSpacing/>
        <w:rPr>
          <w:rFonts w:ascii="Times New Roman" w:hAnsi="Times New Roman"/>
          <w:sz w:val="22"/>
          <w:szCs w:val="22"/>
          <w:lang w:val="sl-SI"/>
        </w:rPr>
      </w:pPr>
      <w:r w:rsidRPr="006E5536">
        <w:rPr>
          <w:rFonts w:ascii="Times New Roman" w:hAnsi="Times New Roman"/>
          <w:sz w:val="22"/>
          <w:szCs w:val="22"/>
          <w:lang w:val="sl-SI"/>
        </w:rPr>
        <w:t>Upotrijebiti unutar perioda od 6 nedjelja nakon prvog otvaranja intermedijernog pakovanja.</w:t>
      </w:r>
    </w:p>
    <w:p w:rsidR="001A6F89" w:rsidRPr="006E5536" w:rsidRDefault="001A6F89" w:rsidP="00125CAE">
      <w:pPr>
        <w:pStyle w:val="CommentText"/>
        <w:contextualSpacing/>
        <w:rPr>
          <w:rFonts w:ascii="Times New Roman" w:hAnsi="Times New Roman"/>
          <w:color w:val="FF0000"/>
          <w:sz w:val="22"/>
          <w:szCs w:val="22"/>
          <w:lang w:val="sl-SI"/>
        </w:rPr>
      </w:pPr>
    </w:p>
    <w:p w:rsidR="001A6F89" w:rsidRPr="006E5536" w:rsidRDefault="001A6F89" w:rsidP="00125CAE">
      <w:pPr>
        <w:contextualSpacing/>
        <w:jc w:val="both"/>
        <w:rPr>
          <w:sz w:val="22"/>
          <w:szCs w:val="22"/>
          <w:lang w:val="sl-SI"/>
        </w:rPr>
      </w:pPr>
      <w:r w:rsidRPr="006E5536">
        <w:rPr>
          <w:sz w:val="22"/>
          <w:szCs w:val="22"/>
          <w:lang w:val="sl-SI"/>
        </w:rPr>
        <w:t>Na naljepnici koja se nalazi na inhaleru u predviđenom prostoru  upisati datum kada je inhaler potrebno baciti. Ovaj datum treba upisati čim se inhaler izvadi iz intermedijernog pakovanja.</w:t>
      </w:r>
    </w:p>
    <w:p w:rsidR="00EC1BBC" w:rsidRPr="006E5536" w:rsidRDefault="00EC1BBC" w:rsidP="00125CAE">
      <w:pPr>
        <w:pStyle w:val="CommentText"/>
        <w:contextualSpacing/>
        <w:rPr>
          <w:rFonts w:ascii="Times New Roman" w:hAnsi="Times New Roman"/>
          <w:bCs/>
          <w:sz w:val="22"/>
          <w:szCs w:val="22"/>
        </w:rPr>
      </w:pPr>
    </w:p>
    <w:p w:rsidR="00EC1BBC" w:rsidRPr="006E5536" w:rsidRDefault="00EC1BBC" w:rsidP="00125CAE">
      <w:pPr>
        <w:tabs>
          <w:tab w:val="left" w:pos="540"/>
          <w:tab w:val="left" w:pos="569"/>
        </w:tabs>
        <w:jc w:val="both"/>
        <w:rPr>
          <w:b/>
          <w:bCs/>
          <w:sz w:val="22"/>
          <w:szCs w:val="22"/>
        </w:rPr>
      </w:pPr>
      <w:r w:rsidRPr="006E5536">
        <w:rPr>
          <w:b/>
          <w:bCs/>
          <w:sz w:val="22"/>
          <w:szCs w:val="22"/>
        </w:rPr>
        <w:t xml:space="preserve">6.5. </w:t>
      </w:r>
      <w:r w:rsidRPr="006E5536">
        <w:rPr>
          <w:b/>
          <w:bCs/>
          <w:sz w:val="22"/>
          <w:szCs w:val="22"/>
        </w:rPr>
        <w:tab/>
        <w:t>Vrsta i sadržaj pakovanja</w:t>
      </w:r>
    </w:p>
    <w:p w:rsidR="00A802AC" w:rsidRPr="006E5536" w:rsidRDefault="005237BC" w:rsidP="00125CAE">
      <w:pPr>
        <w:pStyle w:val="BodyText"/>
        <w:contextualSpacing/>
        <w:jc w:val="both"/>
        <w:rPr>
          <w:sz w:val="22"/>
          <w:szCs w:val="22"/>
          <w:lang w:val="en-US"/>
        </w:rPr>
      </w:pPr>
      <w:r w:rsidRPr="006E5536">
        <w:rPr>
          <w:sz w:val="22"/>
          <w:szCs w:val="22"/>
          <w:lang w:val="sl-SI"/>
        </w:rPr>
        <w:t xml:space="preserve">Inhaler </w:t>
      </w:r>
      <w:r w:rsidR="00A802AC" w:rsidRPr="006E5536">
        <w:rPr>
          <w:sz w:val="22"/>
          <w:szCs w:val="22"/>
          <w:lang w:val="sl-SI"/>
        </w:rPr>
        <w:t>sive boje</w:t>
      </w:r>
      <w:r w:rsidR="00A802AC" w:rsidRPr="006E5536">
        <w:rPr>
          <w:sz w:val="22"/>
          <w:szCs w:val="22"/>
          <w:lang w:val="en-US"/>
        </w:rPr>
        <w:t xml:space="preserve"> sa poklopcem nastavka za usta svjetlozelene boje i brojačem doza u kontejneru od višeslojne folije koji sadrži kesicu sa sredstvom za sušenje. Kontejner je zatvoren folijom koja se može odlijepiti.</w:t>
      </w:r>
    </w:p>
    <w:p w:rsidR="00A802AC" w:rsidRPr="006E5536" w:rsidRDefault="00A802AC" w:rsidP="00125CAE">
      <w:pPr>
        <w:pStyle w:val="BodyText"/>
        <w:contextualSpacing/>
        <w:jc w:val="both"/>
        <w:rPr>
          <w:sz w:val="22"/>
          <w:szCs w:val="22"/>
          <w:lang w:val="sl-SI"/>
        </w:rPr>
      </w:pPr>
    </w:p>
    <w:p w:rsidR="00A802AC" w:rsidRPr="006E5536" w:rsidRDefault="00A802AC" w:rsidP="00125CAE">
      <w:pPr>
        <w:pStyle w:val="BodyText"/>
        <w:contextualSpacing/>
        <w:jc w:val="both"/>
        <w:rPr>
          <w:sz w:val="22"/>
          <w:szCs w:val="22"/>
          <w:lang w:val="sl-SI"/>
        </w:rPr>
      </w:pPr>
      <w:r w:rsidRPr="006E5536">
        <w:rPr>
          <w:sz w:val="22"/>
          <w:szCs w:val="22"/>
          <w:lang w:val="sl-SI"/>
        </w:rPr>
        <w:t>U okviru inhalera nalazi se višeslojna aluminijumska folija sa 30 doza lijeka.</w:t>
      </w:r>
    </w:p>
    <w:p w:rsidR="00A802AC" w:rsidRPr="006E5536" w:rsidRDefault="00A802AC" w:rsidP="00125CAE">
      <w:pPr>
        <w:pStyle w:val="BodyText"/>
        <w:contextualSpacing/>
        <w:jc w:val="both"/>
        <w:rPr>
          <w:sz w:val="22"/>
          <w:szCs w:val="22"/>
          <w:lang w:val="hr-HR"/>
        </w:rPr>
      </w:pPr>
    </w:p>
    <w:p w:rsidR="00A802AC" w:rsidRPr="006E5536" w:rsidRDefault="00A802AC" w:rsidP="00125CAE">
      <w:pPr>
        <w:pStyle w:val="BodyText"/>
        <w:contextualSpacing/>
        <w:jc w:val="both"/>
        <w:rPr>
          <w:sz w:val="22"/>
          <w:szCs w:val="22"/>
          <w:lang w:val="sl-SI"/>
        </w:rPr>
      </w:pPr>
      <w:r w:rsidRPr="006E5536">
        <w:rPr>
          <w:sz w:val="22"/>
          <w:szCs w:val="22"/>
          <w:lang w:val="sl-SI"/>
        </w:rPr>
        <w:t>Inhaler je uređaj sastavljen iz više djelova izrađenih od polipropilena, polietilena visoke gustine, polioksimetilena, polibutilen tereftalata, akrilonitril butadien stirena, polikarbonata i nerđajućeg čelika.</w:t>
      </w:r>
    </w:p>
    <w:p w:rsidR="00EC1BBC" w:rsidRPr="006E5536" w:rsidRDefault="00EC1BBC" w:rsidP="00125CAE">
      <w:pPr>
        <w:tabs>
          <w:tab w:val="left" w:pos="540"/>
          <w:tab w:val="left" w:pos="569"/>
        </w:tabs>
        <w:jc w:val="both"/>
        <w:rPr>
          <w:bCs/>
          <w:sz w:val="22"/>
          <w:szCs w:val="22"/>
        </w:rPr>
      </w:pPr>
    </w:p>
    <w:p w:rsidR="00EC1BBC" w:rsidRPr="006E5536" w:rsidRDefault="00EC1BBC" w:rsidP="00125CAE">
      <w:pPr>
        <w:tabs>
          <w:tab w:val="left" w:pos="540"/>
          <w:tab w:val="left" w:pos="569"/>
        </w:tabs>
        <w:jc w:val="both"/>
        <w:rPr>
          <w:b/>
          <w:bCs/>
          <w:sz w:val="22"/>
          <w:szCs w:val="22"/>
        </w:rPr>
      </w:pPr>
      <w:r w:rsidRPr="006E5536">
        <w:rPr>
          <w:b/>
          <w:bCs/>
          <w:sz w:val="22"/>
          <w:szCs w:val="22"/>
        </w:rPr>
        <w:t xml:space="preserve">6.6. </w:t>
      </w:r>
      <w:r w:rsidRPr="006E5536">
        <w:rPr>
          <w:b/>
          <w:bCs/>
          <w:sz w:val="22"/>
          <w:szCs w:val="22"/>
        </w:rPr>
        <w:tab/>
        <w:t xml:space="preserve">Posebne mjere opreza pri odlaganju materijala koji treba odbaciti nakon primjene lijeka </w:t>
      </w:r>
    </w:p>
    <w:p w:rsidR="003E2F32" w:rsidRPr="006E5536" w:rsidRDefault="003E2F32" w:rsidP="00125CAE">
      <w:pPr>
        <w:pStyle w:val="Header"/>
        <w:tabs>
          <w:tab w:val="left" w:pos="284"/>
        </w:tabs>
        <w:contextualSpacing/>
        <w:jc w:val="both"/>
        <w:rPr>
          <w:sz w:val="22"/>
          <w:szCs w:val="22"/>
        </w:rPr>
      </w:pPr>
      <w:r w:rsidRPr="006E5536">
        <w:rPr>
          <w:sz w:val="22"/>
          <w:szCs w:val="22"/>
        </w:rPr>
        <w:t>Neupotrijebljeni lijek se uništava u skladu sa važećim propisima.</w:t>
      </w:r>
    </w:p>
    <w:p w:rsidR="003E2F32" w:rsidRPr="006E5536" w:rsidRDefault="003E2F32" w:rsidP="00125CAE">
      <w:pPr>
        <w:pStyle w:val="Header"/>
        <w:tabs>
          <w:tab w:val="left" w:pos="284"/>
        </w:tabs>
        <w:contextualSpacing/>
        <w:jc w:val="both"/>
        <w:rPr>
          <w:sz w:val="22"/>
          <w:szCs w:val="22"/>
        </w:rPr>
      </w:pPr>
    </w:p>
    <w:p w:rsidR="003E2F32" w:rsidRPr="006E5536" w:rsidRDefault="003E2F32" w:rsidP="00125CAE">
      <w:pPr>
        <w:pStyle w:val="Header"/>
        <w:tabs>
          <w:tab w:val="left" w:pos="284"/>
        </w:tabs>
        <w:contextualSpacing/>
        <w:jc w:val="both"/>
        <w:rPr>
          <w:sz w:val="22"/>
          <w:szCs w:val="22"/>
        </w:rPr>
      </w:pPr>
      <w:r w:rsidRPr="006E5536">
        <w:rPr>
          <w:sz w:val="22"/>
          <w:szCs w:val="22"/>
        </w:rPr>
        <w:t>Za uputstvo o načinu primjene lijeka, vidjeti odjeljak 4.2.</w:t>
      </w:r>
    </w:p>
    <w:p w:rsidR="00EC1BBC" w:rsidRPr="006E5536" w:rsidRDefault="00EC1BBC" w:rsidP="00125CAE">
      <w:pPr>
        <w:tabs>
          <w:tab w:val="left" w:pos="540"/>
          <w:tab w:val="left" w:pos="569"/>
        </w:tabs>
        <w:jc w:val="both"/>
        <w:rPr>
          <w:bCs/>
          <w:sz w:val="22"/>
          <w:szCs w:val="22"/>
        </w:rPr>
      </w:pPr>
    </w:p>
    <w:p w:rsidR="00EC1BBC" w:rsidRPr="006E5536" w:rsidRDefault="00EC1BBC" w:rsidP="00125CAE">
      <w:pPr>
        <w:tabs>
          <w:tab w:val="left" w:pos="540"/>
          <w:tab w:val="left" w:pos="569"/>
        </w:tabs>
        <w:jc w:val="both"/>
        <w:rPr>
          <w:b/>
          <w:bCs/>
          <w:sz w:val="22"/>
          <w:szCs w:val="22"/>
        </w:rPr>
      </w:pPr>
      <w:r w:rsidRPr="006E5536">
        <w:rPr>
          <w:b/>
          <w:bCs/>
          <w:sz w:val="22"/>
          <w:szCs w:val="22"/>
        </w:rPr>
        <w:t xml:space="preserve">6.7. </w:t>
      </w:r>
      <w:r w:rsidRPr="006E5536">
        <w:rPr>
          <w:b/>
          <w:bCs/>
          <w:sz w:val="22"/>
          <w:szCs w:val="22"/>
        </w:rPr>
        <w:tab/>
        <w:t>Režim izdavanja lijeka</w:t>
      </w:r>
    </w:p>
    <w:p w:rsidR="004530DD" w:rsidRPr="006E5536" w:rsidRDefault="00556CAE" w:rsidP="00125CAE">
      <w:pPr>
        <w:tabs>
          <w:tab w:val="left" w:pos="540"/>
          <w:tab w:val="left" w:pos="569"/>
        </w:tabs>
        <w:jc w:val="both"/>
        <w:rPr>
          <w:bCs/>
          <w:sz w:val="22"/>
          <w:szCs w:val="22"/>
          <w:lang w:val="sr-Latn-CS"/>
        </w:rPr>
      </w:pPr>
      <w:r>
        <w:rPr>
          <w:bCs/>
          <w:sz w:val="22"/>
          <w:szCs w:val="22"/>
        </w:rPr>
        <w:lastRenderedPageBreak/>
        <w:t>Lijek se izdaje samo na ljekarski</w:t>
      </w:r>
      <w:bookmarkStart w:id="0" w:name="_GoBack"/>
      <w:bookmarkEnd w:id="0"/>
      <w:r w:rsidR="004530DD" w:rsidRPr="006E5536">
        <w:rPr>
          <w:bCs/>
          <w:sz w:val="22"/>
          <w:szCs w:val="22"/>
        </w:rPr>
        <w:t xml:space="preserve"> recept.</w:t>
      </w:r>
    </w:p>
    <w:p w:rsidR="00EC1BBC" w:rsidRPr="006E5536" w:rsidRDefault="00EC1BBC" w:rsidP="00125CAE">
      <w:pPr>
        <w:tabs>
          <w:tab w:val="left" w:pos="540"/>
          <w:tab w:val="left" w:pos="569"/>
        </w:tabs>
        <w:jc w:val="both"/>
        <w:rPr>
          <w:bCs/>
          <w:sz w:val="22"/>
          <w:szCs w:val="22"/>
        </w:rPr>
      </w:pPr>
    </w:p>
    <w:p w:rsidR="00EC1BBC" w:rsidRPr="006E5536" w:rsidRDefault="00EC1BBC" w:rsidP="00125CAE">
      <w:pPr>
        <w:tabs>
          <w:tab w:val="left" w:pos="540"/>
          <w:tab w:val="left" w:pos="569"/>
        </w:tabs>
        <w:spacing w:after="120"/>
        <w:jc w:val="both"/>
        <w:rPr>
          <w:b/>
          <w:bCs/>
          <w:sz w:val="22"/>
          <w:szCs w:val="22"/>
        </w:rPr>
      </w:pPr>
      <w:r w:rsidRPr="006E5536">
        <w:rPr>
          <w:b/>
          <w:bCs/>
          <w:sz w:val="22"/>
          <w:szCs w:val="22"/>
        </w:rPr>
        <w:t xml:space="preserve">7. </w:t>
      </w:r>
      <w:r w:rsidRPr="006E5536">
        <w:rPr>
          <w:b/>
          <w:bCs/>
          <w:sz w:val="22"/>
          <w:szCs w:val="22"/>
        </w:rPr>
        <w:tab/>
        <w:t xml:space="preserve">NOSILAC DOZVOLE </w:t>
      </w:r>
    </w:p>
    <w:p w:rsidR="00BD3B87" w:rsidRPr="006E5536" w:rsidRDefault="00BD3B87" w:rsidP="00125CAE">
      <w:pPr>
        <w:pStyle w:val="Header"/>
        <w:tabs>
          <w:tab w:val="left" w:pos="284"/>
        </w:tabs>
        <w:jc w:val="both"/>
        <w:rPr>
          <w:bCs/>
          <w:sz w:val="22"/>
          <w:szCs w:val="22"/>
        </w:rPr>
      </w:pPr>
      <w:r w:rsidRPr="006E5536">
        <w:rPr>
          <w:bCs/>
          <w:sz w:val="22"/>
          <w:szCs w:val="22"/>
        </w:rPr>
        <w:t>GlaxoSmithKline Export Limited, Velika Britanija - dio stranog društva, Podgorica</w:t>
      </w:r>
    </w:p>
    <w:p w:rsidR="00BD3B87" w:rsidRPr="006E5536" w:rsidRDefault="00BD3B87" w:rsidP="00125CAE">
      <w:pPr>
        <w:pStyle w:val="Header"/>
        <w:tabs>
          <w:tab w:val="left" w:pos="284"/>
        </w:tabs>
        <w:jc w:val="both"/>
        <w:rPr>
          <w:bCs/>
          <w:sz w:val="22"/>
          <w:szCs w:val="22"/>
          <w:lang w:val="sv-SE"/>
        </w:rPr>
      </w:pPr>
      <w:r w:rsidRPr="006E5536">
        <w:rPr>
          <w:bCs/>
          <w:sz w:val="22"/>
          <w:szCs w:val="22"/>
        </w:rPr>
        <w:t>Vojislavljevića 76, 81000 Podgorica, Crna Gora</w:t>
      </w:r>
    </w:p>
    <w:p w:rsidR="00EC1BBC" w:rsidRPr="006E5536" w:rsidRDefault="00EC1BBC" w:rsidP="00125CAE">
      <w:pPr>
        <w:tabs>
          <w:tab w:val="left" w:pos="540"/>
          <w:tab w:val="left" w:pos="569"/>
        </w:tabs>
        <w:jc w:val="both"/>
        <w:rPr>
          <w:bCs/>
          <w:sz w:val="22"/>
          <w:szCs w:val="22"/>
        </w:rPr>
      </w:pPr>
      <w:r w:rsidRPr="006E5536">
        <w:rPr>
          <w:b/>
          <w:bCs/>
          <w:sz w:val="22"/>
          <w:szCs w:val="22"/>
        </w:rPr>
        <w:tab/>
      </w:r>
    </w:p>
    <w:p w:rsidR="00EC1BBC" w:rsidRPr="006E5536" w:rsidRDefault="00EC1BBC" w:rsidP="00125CAE">
      <w:pPr>
        <w:tabs>
          <w:tab w:val="left" w:pos="540"/>
          <w:tab w:val="left" w:pos="569"/>
        </w:tabs>
        <w:jc w:val="both"/>
        <w:rPr>
          <w:b/>
          <w:bCs/>
          <w:sz w:val="22"/>
          <w:szCs w:val="22"/>
        </w:rPr>
      </w:pPr>
      <w:r w:rsidRPr="006E5536">
        <w:rPr>
          <w:b/>
          <w:bCs/>
          <w:sz w:val="22"/>
          <w:szCs w:val="22"/>
        </w:rPr>
        <w:t xml:space="preserve">8. </w:t>
      </w:r>
      <w:r w:rsidRPr="006E5536">
        <w:rPr>
          <w:b/>
          <w:bCs/>
          <w:sz w:val="22"/>
          <w:szCs w:val="22"/>
        </w:rPr>
        <w:tab/>
        <w:t>BROJ PRVE DOZVOLE/ OBNOVE DOZVOLE</w:t>
      </w:r>
    </w:p>
    <w:p w:rsidR="00EC1BBC" w:rsidRPr="006E5536" w:rsidRDefault="00EC1BBC" w:rsidP="00125CAE">
      <w:pPr>
        <w:tabs>
          <w:tab w:val="left" w:pos="540"/>
          <w:tab w:val="left" w:pos="569"/>
        </w:tabs>
        <w:jc w:val="both"/>
        <w:rPr>
          <w:bCs/>
          <w:sz w:val="22"/>
          <w:szCs w:val="22"/>
        </w:rPr>
      </w:pPr>
    </w:p>
    <w:p w:rsidR="00EC1BBC" w:rsidRDefault="00A53434" w:rsidP="00125CAE">
      <w:pPr>
        <w:tabs>
          <w:tab w:val="left" w:pos="540"/>
          <w:tab w:val="left" w:pos="569"/>
        </w:tabs>
        <w:jc w:val="both"/>
        <w:rPr>
          <w:bCs/>
          <w:sz w:val="22"/>
          <w:szCs w:val="22"/>
        </w:rPr>
      </w:pPr>
      <w:r w:rsidRPr="00A53434">
        <w:rPr>
          <w:bCs/>
          <w:sz w:val="22"/>
          <w:szCs w:val="22"/>
        </w:rPr>
        <w:t xml:space="preserve">Incruse®, prašak za inhalaciju, podijeljen, </w:t>
      </w:r>
      <w:r w:rsidR="00125CAE">
        <w:rPr>
          <w:bCs/>
          <w:sz w:val="22"/>
          <w:szCs w:val="22"/>
        </w:rPr>
        <w:t>55</w:t>
      </w:r>
      <w:r w:rsidR="006C2E42">
        <w:rPr>
          <w:bCs/>
          <w:sz w:val="22"/>
          <w:szCs w:val="22"/>
        </w:rPr>
        <w:t xml:space="preserve"> </w:t>
      </w:r>
      <w:r w:rsidR="00125CAE">
        <w:rPr>
          <w:bCs/>
          <w:sz w:val="22"/>
          <w:szCs w:val="22"/>
        </w:rPr>
        <w:t>mikrograma</w:t>
      </w:r>
      <w:r w:rsidRPr="00A53434">
        <w:rPr>
          <w:bCs/>
          <w:sz w:val="22"/>
          <w:szCs w:val="22"/>
        </w:rPr>
        <w:t>, inhaler, 1 x 30 doza</w:t>
      </w:r>
      <w:r>
        <w:rPr>
          <w:bCs/>
          <w:sz w:val="22"/>
          <w:szCs w:val="22"/>
        </w:rPr>
        <w:t xml:space="preserve">: </w:t>
      </w:r>
      <w:r w:rsidRPr="00A53434">
        <w:rPr>
          <w:bCs/>
          <w:sz w:val="22"/>
          <w:szCs w:val="22"/>
        </w:rPr>
        <w:t>2030/16/158 - 343</w:t>
      </w:r>
    </w:p>
    <w:p w:rsidR="00A53434" w:rsidRPr="006E5536" w:rsidRDefault="00A53434" w:rsidP="00125CAE">
      <w:pPr>
        <w:tabs>
          <w:tab w:val="left" w:pos="540"/>
          <w:tab w:val="left" w:pos="569"/>
        </w:tabs>
        <w:jc w:val="both"/>
        <w:rPr>
          <w:bCs/>
          <w:sz w:val="22"/>
          <w:szCs w:val="22"/>
        </w:rPr>
      </w:pPr>
    </w:p>
    <w:p w:rsidR="00EC1BBC" w:rsidRPr="006E5536" w:rsidRDefault="00EC1BBC" w:rsidP="00125CAE">
      <w:pPr>
        <w:tabs>
          <w:tab w:val="left" w:pos="540"/>
          <w:tab w:val="left" w:pos="569"/>
        </w:tabs>
        <w:jc w:val="both"/>
        <w:rPr>
          <w:b/>
          <w:bCs/>
          <w:sz w:val="22"/>
          <w:szCs w:val="22"/>
        </w:rPr>
      </w:pPr>
      <w:r w:rsidRPr="006E5536">
        <w:rPr>
          <w:b/>
          <w:bCs/>
          <w:sz w:val="22"/>
          <w:szCs w:val="22"/>
        </w:rPr>
        <w:t xml:space="preserve">9. </w:t>
      </w:r>
      <w:r w:rsidRPr="006E5536">
        <w:rPr>
          <w:b/>
          <w:bCs/>
          <w:sz w:val="22"/>
          <w:szCs w:val="22"/>
        </w:rPr>
        <w:tab/>
        <w:t>DATUM PRVE DOZVOLE/ DATUM OBNOVE DOZVOLE</w:t>
      </w:r>
    </w:p>
    <w:p w:rsidR="00EC1BBC" w:rsidRPr="006E5536" w:rsidRDefault="00EC1BBC" w:rsidP="00125CAE">
      <w:pPr>
        <w:tabs>
          <w:tab w:val="left" w:pos="540"/>
          <w:tab w:val="left" w:pos="569"/>
        </w:tabs>
        <w:jc w:val="both"/>
        <w:rPr>
          <w:bCs/>
          <w:sz w:val="22"/>
          <w:szCs w:val="22"/>
        </w:rPr>
      </w:pPr>
    </w:p>
    <w:p w:rsidR="00A53434" w:rsidRDefault="00A53434" w:rsidP="00125CAE">
      <w:pPr>
        <w:tabs>
          <w:tab w:val="left" w:pos="540"/>
          <w:tab w:val="left" w:pos="569"/>
        </w:tabs>
        <w:jc w:val="both"/>
        <w:rPr>
          <w:bCs/>
          <w:sz w:val="22"/>
          <w:szCs w:val="22"/>
        </w:rPr>
      </w:pPr>
      <w:r w:rsidRPr="00A53434">
        <w:rPr>
          <w:bCs/>
          <w:sz w:val="22"/>
          <w:szCs w:val="22"/>
        </w:rPr>
        <w:t xml:space="preserve">Incruse®, prašak za inhalaciju, podijeljen, </w:t>
      </w:r>
      <w:r w:rsidR="00125CAE">
        <w:rPr>
          <w:bCs/>
          <w:sz w:val="22"/>
          <w:szCs w:val="22"/>
        </w:rPr>
        <w:t>55 mikrograma</w:t>
      </w:r>
      <w:r w:rsidRPr="00A53434">
        <w:rPr>
          <w:bCs/>
          <w:sz w:val="22"/>
          <w:szCs w:val="22"/>
        </w:rPr>
        <w:t>, inhaler, 1 x 30 doza</w:t>
      </w:r>
      <w:r>
        <w:rPr>
          <w:bCs/>
          <w:sz w:val="22"/>
          <w:szCs w:val="22"/>
        </w:rPr>
        <w:t>: 08.04.2016. godine</w:t>
      </w:r>
    </w:p>
    <w:p w:rsidR="00EC1BBC" w:rsidRPr="006E5536" w:rsidRDefault="00EC1BBC" w:rsidP="00125CAE">
      <w:pPr>
        <w:tabs>
          <w:tab w:val="left" w:pos="540"/>
          <w:tab w:val="left" w:pos="569"/>
        </w:tabs>
        <w:jc w:val="both"/>
        <w:rPr>
          <w:bCs/>
          <w:sz w:val="22"/>
          <w:szCs w:val="22"/>
        </w:rPr>
      </w:pPr>
    </w:p>
    <w:p w:rsidR="0036285D" w:rsidRPr="006E5536" w:rsidRDefault="00EC1BBC" w:rsidP="00125CAE">
      <w:pPr>
        <w:tabs>
          <w:tab w:val="left" w:pos="540"/>
          <w:tab w:val="left" w:pos="569"/>
        </w:tabs>
        <w:ind w:left="540" w:hanging="540"/>
        <w:rPr>
          <w:b/>
          <w:bCs/>
          <w:sz w:val="22"/>
          <w:szCs w:val="22"/>
        </w:rPr>
      </w:pPr>
      <w:r w:rsidRPr="006E5536">
        <w:rPr>
          <w:b/>
          <w:bCs/>
          <w:sz w:val="22"/>
          <w:szCs w:val="22"/>
        </w:rPr>
        <w:t xml:space="preserve">10. </w:t>
      </w:r>
      <w:r w:rsidRPr="006E5536">
        <w:rPr>
          <w:b/>
          <w:bCs/>
          <w:sz w:val="22"/>
          <w:szCs w:val="22"/>
        </w:rPr>
        <w:tab/>
        <w:t>DATUM POSLEDNJE REVIZIJE TEKSTA SAŽETKA OSNOVNIH KARAKTERISTIKA LIJEKA</w:t>
      </w:r>
    </w:p>
    <w:p w:rsidR="00046917" w:rsidRDefault="00046917" w:rsidP="006E5536">
      <w:pPr>
        <w:tabs>
          <w:tab w:val="left" w:pos="540"/>
          <w:tab w:val="left" w:pos="569"/>
        </w:tabs>
        <w:rPr>
          <w:b/>
          <w:bCs/>
          <w:sz w:val="22"/>
          <w:szCs w:val="22"/>
        </w:rPr>
      </w:pPr>
    </w:p>
    <w:p w:rsidR="00A53434" w:rsidRPr="00A53434" w:rsidRDefault="00A53434" w:rsidP="006E5536">
      <w:pPr>
        <w:tabs>
          <w:tab w:val="left" w:pos="540"/>
          <w:tab w:val="left" w:pos="569"/>
        </w:tabs>
        <w:rPr>
          <w:bCs/>
          <w:sz w:val="22"/>
          <w:szCs w:val="22"/>
        </w:rPr>
      </w:pPr>
      <w:r w:rsidRPr="00A53434">
        <w:rPr>
          <w:bCs/>
          <w:sz w:val="22"/>
          <w:szCs w:val="22"/>
        </w:rPr>
        <w:t>April, 2016. godine</w:t>
      </w:r>
    </w:p>
    <w:sectPr w:rsidR="00A53434" w:rsidRPr="00A53434" w:rsidSect="00CC0D12">
      <w:headerReference w:type="default" r:id="rId10"/>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8E7" w:rsidRDefault="004228E7">
      <w:r>
        <w:separator/>
      </w:r>
    </w:p>
  </w:endnote>
  <w:endnote w:type="continuationSeparator" w:id="0">
    <w:p w:rsidR="004228E7" w:rsidRDefault="0042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536" w:rsidRPr="006E5536" w:rsidRDefault="006E5536" w:rsidP="006E5536">
    <w:pPr>
      <w:framePr w:wrap="around" w:vAnchor="text" w:hAnchor="margin" w:xAlign="right" w:y="1"/>
      <w:tabs>
        <w:tab w:val="center" w:pos="4320"/>
        <w:tab w:val="right" w:pos="8640"/>
      </w:tabs>
      <w:rPr>
        <w:sz w:val="20"/>
        <w:szCs w:val="20"/>
        <w:lang w:val="sr-Latn-ME"/>
      </w:rPr>
    </w:pPr>
  </w:p>
  <w:p w:rsidR="006E5536" w:rsidRPr="006E5536" w:rsidRDefault="006E5536" w:rsidP="006E5536">
    <w:pPr>
      <w:pBdr>
        <w:top w:val="thinThickSmallGap" w:sz="24" w:space="1" w:color="auto"/>
      </w:pBdr>
      <w:tabs>
        <w:tab w:val="center" w:pos="4320"/>
        <w:tab w:val="right" w:pos="8640"/>
      </w:tabs>
      <w:jc w:val="center"/>
      <w:rPr>
        <w:sz w:val="20"/>
        <w:szCs w:val="20"/>
        <w:lang w:val="sr-Latn-ME"/>
      </w:rPr>
    </w:pPr>
  </w:p>
  <w:p w:rsidR="006E5536" w:rsidRPr="006E5536" w:rsidRDefault="006E5536" w:rsidP="006E5536">
    <w:pPr>
      <w:tabs>
        <w:tab w:val="center" w:pos="4320"/>
        <w:tab w:val="right" w:pos="8640"/>
      </w:tabs>
      <w:jc w:val="center"/>
      <w:rPr>
        <w:color w:val="E65900"/>
        <w:sz w:val="16"/>
        <w:szCs w:val="18"/>
        <w:lang w:val="sr-Latn-ME"/>
      </w:rPr>
    </w:pPr>
    <w:r w:rsidRPr="006E5536">
      <w:rPr>
        <w:color w:val="FA0000"/>
        <w:sz w:val="16"/>
        <w:szCs w:val="18"/>
        <w:lang w:val="sr-Latn-ME"/>
      </w:rPr>
      <w:t>Agencija za ljekove i medicinska sredstva Crne Gore,</w:t>
    </w:r>
    <w:r w:rsidRPr="006E5536">
      <w:rPr>
        <w:sz w:val="16"/>
        <w:szCs w:val="18"/>
        <w:lang w:val="sr-Latn-ME"/>
      </w:rPr>
      <w:t xml:space="preserve"> </w:t>
    </w:r>
    <w:r w:rsidRPr="006E5536">
      <w:rPr>
        <w:color w:val="E65900"/>
        <w:sz w:val="16"/>
        <w:szCs w:val="18"/>
        <w:lang w:val="sr-Latn-ME"/>
      </w:rPr>
      <w:t>81000 Podgorica, Bul. Ivana Crnojevića 64a</w:t>
    </w:r>
  </w:p>
  <w:p w:rsidR="006E5536" w:rsidRPr="006E5536" w:rsidRDefault="006E5536" w:rsidP="006E5536">
    <w:pPr>
      <w:tabs>
        <w:tab w:val="center" w:pos="4320"/>
        <w:tab w:val="right" w:pos="8640"/>
      </w:tabs>
      <w:jc w:val="center"/>
      <w:rPr>
        <w:color w:val="FA0000"/>
        <w:sz w:val="16"/>
        <w:szCs w:val="18"/>
        <w:lang w:val="sr-Latn-ME"/>
      </w:rPr>
    </w:pPr>
    <w:r w:rsidRPr="006E5536">
      <w:rPr>
        <w:color w:val="E65900"/>
        <w:sz w:val="16"/>
        <w:szCs w:val="18"/>
        <w:lang w:val="sr-Latn-ME"/>
      </w:rPr>
      <w:t xml:space="preserve">tel: +382 (0) 20 310 280  </w:t>
    </w:r>
    <w:r w:rsidRPr="006E5536">
      <w:rPr>
        <w:color w:val="FA0000"/>
        <w:sz w:val="16"/>
        <w:szCs w:val="18"/>
        <w:lang w:val="sr-Latn-ME"/>
      </w:rPr>
      <w:t>fax: +382 (0) 20 310 581,</w:t>
    </w:r>
    <w:r w:rsidRPr="006E5536">
      <w:rPr>
        <w:sz w:val="16"/>
        <w:szCs w:val="18"/>
        <w:lang w:val="sr-Latn-ME"/>
      </w:rPr>
      <w:t xml:space="preserve"> </w:t>
    </w:r>
    <w:r w:rsidRPr="006E5536">
      <w:rPr>
        <w:color w:val="E65900"/>
        <w:sz w:val="16"/>
        <w:szCs w:val="18"/>
        <w:lang w:val="sr-Latn-ME"/>
      </w:rPr>
      <w:t>e-mail: info@calims.me,</w:t>
    </w:r>
    <w:r w:rsidRPr="006E5536">
      <w:rPr>
        <w:sz w:val="16"/>
        <w:szCs w:val="18"/>
        <w:lang w:val="sr-Latn-ME"/>
      </w:rPr>
      <w:t xml:space="preserve"> </w:t>
    </w:r>
    <w:r w:rsidRPr="006E5536">
      <w:rPr>
        <w:color w:val="FA0000"/>
        <w:sz w:val="16"/>
        <w:szCs w:val="18"/>
        <w:lang w:val="sr-Latn-ME"/>
      </w:rPr>
      <w:t>www.calims.me</w:t>
    </w:r>
    <w:r w:rsidRPr="006E5536">
      <w:rPr>
        <w:sz w:val="16"/>
        <w:szCs w:val="18"/>
        <w:lang w:val="sr-Latn-ME"/>
      </w:rPr>
      <w:t xml:space="preserve">, </w:t>
    </w:r>
    <w:r w:rsidRPr="006E5536">
      <w:rPr>
        <w:color w:val="E65900"/>
        <w:sz w:val="16"/>
        <w:szCs w:val="18"/>
        <w:lang w:val="sr-Latn-ME"/>
      </w:rPr>
      <w:t>PIB: 02739658,</w:t>
    </w:r>
    <w:r w:rsidRPr="006E5536">
      <w:rPr>
        <w:sz w:val="16"/>
        <w:szCs w:val="18"/>
        <w:lang w:val="sr-Latn-ME"/>
      </w:rPr>
      <w:t xml:space="preserve"> </w:t>
    </w:r>
    <w:r w:rsidRPr="006E5536">
      <w:rPr>
        <w:color w:val="FA0000"/>
        <w:sz w:val="16"/>
        <w:szCs w:val="18"/>
        <w:lang w:val="sr-Latn-ME"/>
      </w:rPr>
      <w:t>žiro račun: 520-3603-33</w:t>
    </w:r>
  </w:p>
  <w:p w:rsidR="006E5536" w:rsidRPr="006E5536" w:rsidRDefault="006E5536" w:rsidP="006E5536">
    <w:pPr>
      <w:tabs>
        <w:tab w:val="center" w:pos="4320"/>
        <w:tab w:val="right" w:pos="8640"/>
      </w:tabs>
      <w:jc w:val="center"/>
      <w:rPr>
        <w:sz w:val="16"/>
        <w:szCs w:val="18"/>
        <w:lang w:val="sr-Latn-ME"/>
      </w:rPr>
    </w:pPr>
  </w:p>
  <w:p w:rsidR="006E5536" w:rsidRPr="006E5536" w:rsidRDefault="006E5536" w:rsidP="006E5536">
    <w:pPr>
      <w:tabs>
        <w:tab w:val="center" w:pos="4320"/>
        <w:tab w:val="right" w:pos="8640"/>
      </w:tabs>
      <w:rPr>
        <w:sz w:val="20"/>
        <w:szCs w:val="20"/>
        <w:lang w:val="sr-Latn-ME"/>
      </w:rPr>
    </w:pPr>
  </w:p>
  <w:p w:rsidR="00CC0D12" w:rsidRPr="006E5536" w:rsidRDefault="006E5536" w:rsidP="006E5536">
    <w:pPr>
      <w:tabs>
        <w:tab w:val="center" w:pos="4320"/>
        <w:tab w:val="right" w:pos="8640"/>
      </w:tabs>
      <w:jc w:val="center"/>
      <w:rPr>
        <w:sz w:val="22"/>
        <w:szCs w:val="22"/>
        <w:lang w:val="sr-Latn-ME"/>
      </w:rPr>
    </w:pPr>
    <w:r w:rsidRPr="006E5536">
      <w:rPr>
        <w:sz w:val="20"/>
        <w:szCs w:val="20"/>
        <w:lang w:val="sr-Latn-ME"/>
      </w:rPr>
      <w:fldChar w:fldCharType="begin"/>
    </w:r>
    <w:r w:rsidRPr="006E5536">
      <w:rPr>
        <w:sz w:val="20"/>
        <w:szCs w:val="20"/>
        <w:lang w:val="sr-Latn-ME"/>
      </w:rPr>
      <w:instrText xml:space="preserve"> PAGE </w:instrText>
    </w:r>
    <w:r w:rsidRPr="006E5536">
      <w:rPr>
        <w:sz w:val="20"/>
        <w:szCs w:val="20"/>
        <w:lang w:val="sr-Latn-ME"/>
      </w:rPr>
      <w:fldChar w:fldCharType="separate"/>
    </w:r>
    <w:r w:rsidR="00556CAE">
      <w:rPr>
        <w:noProof/>
        <w:sz w:val="20"/>
        <w:szCs w:val="20"/>
        <w:lang w:val="sr-Latn-ME"/>
      </w:rPr>
      <w:t>14</w:t>
    </w:r>
    <w:r w:rsidRPr="006E5536">
      <w:rPr>
        <w:sz w:val="20"/>
        <w:szCs w:val="20"/>
        <w:lang w:val="sr-Latn-ME"/>
      </w:rPr>
      <w:fldChar w:fldCharType="end"/>
    </w:r>
    <w:r w:rsidRPr="006E5536">
      <w:rPr>
        <w:sz w:val="20"/>
        <w:szCs w:val="20"/>
        <w:lang w:val="sr-Latn-ME"/>
      </w:rPr>
      <w:t xml:space="preserve"> / </w:t>
    </w:r>
    <w:r w:rsidRPr="006E5536">
      <w:rPr>
        <w:sz w:val="20"/>
        <w:szCs w:val="20"/>
        <w:lang w:val="sr-Latn-ME"/>
      </w:rPr>
      <w:fldChar w:fldCharType="begin"/>
    </w:r>
    <w:r w:rsidRPr="006E5536">
      <w:rPr>
        <w:sz w:val="20"/>
        <w:szCs w:val="20"/>
        <w:lang w:val="sr-Latn-ME"/>
      </w:rPr>
      <w:instrText xml:space="preserve"> NUMPAGES </w:instrText>
    </w:r>
    <w:r w:rsidRPr="006E5536">
      <w:rPr>
        <w:sz w:val="20"/>
        <w:szCs w:val="20"/>
        <w:lang w:val="sr-Latn-ME"/>
      </w:rPr>
      <w:fldChar w:fldCharType="separate"/>
    </w:r>
    <w:r w:rsidR="00556CAE">
      <w:rPr>
        <w:noProof/>
        <w:sz w:val="20"/>
        <w:szCs w:val="20"/>
        <w:lang w:val="sr-Latn-ME"/>
      </w:rPr>
      <w:t>14</w:t>
    </w:r>
    <w:r w:rsidRPr="006E5536">
      <w:rPr>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8E7" w:rsidRDefault="004228E7">
      <w:r>
        <w:separator/>
      </w:r>
    </w:p>
  </w:footnote>
  <w:footnote w:type="continuationSeparator" w:id="0">
    <w:p w:rsidR="004228E7" w:rsidRDefault="004228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12" w:rsidRPr="006E5536" w:rsidRDefault="006E5536" w:rsidP="006E5536">
    <w:pPr>
      <w:pStyle w:val="Header"/>
      <w:pBdr>
        <w:top w:val="thinThickSmallGap" w:sz="24" w:space="2" w:color="auto"/>
      </w:pBdr>
      <w:tabs>
        <w:tab w:val="clear" w:pos="4320"/>
        <w:tab w:val="clear" w:pos="8640"/>
        <w:tab w:val="left" w:pos="4095"/>
      </w:tabs>
    </w:pPr>
    <w:r>
      <w:rPr>
        <w:noProof/>
        <w:sz w:val="16"/>
        <w:szCs w:val="16"/>
      </w:rPr>
      <w:drawing>
        <wp:inline distT="0" distB="0" distL="0" distR="0" wp14:anchorId="768476CA" wp14:editId="52CE289B">
          <wp:extent cx="1419225" cy="971550"/>
          <wp:effectExtent l="0" t="0" r="0"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582C"/>
    <w:multiLevelType w:val="hybridMultilevel"/>
    <w:tmpl w:val="D3784F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ED77EE4"/>
    <w:multiLevelType w:val="hybridMultilevel"/>
    <w:tmpl w:val="36F4AFE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1563DA9"/>
    <w:multiLevelType w:val="hybridMultilevel"/>
    <w:tmpl w:val="5F36EF1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29B94C8A"/>
    <w:multiLevelType w:val="hybridMultilevel"/>
    <w:tmpl w:val="9F727378"/>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5CF601AE"/>
    <w:multiLevelType w:val="hybridMultilevel"/>
    <w:tmpl w:val="434C1FA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6D4542F3"/>
    <w:multiLevelType w:val="hybridMultilevel"/>
    <w:tmpl w:val="332EB4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BC"/>
    <w:rsid w:val="00003845"/>
    <w:rsid w:val="00030D7C"/>
    <w:rsid w:val="000452D3"/>
    <w:rsid w:val="00046917"/>
    <w:rsid w:val="000717D6"/>
    <w:rsid w:val="000A534B"/>
    <w:rsid w:val="000B30DD"/>
    <w:rsid w:val="000D0DF1"/>
    <w:rsid w:val="000E53D5"/>
    <w:rsid w:val="001244D3"/>
    <w:rsid w:val="00125CAE"/>
    <w:rsid w:val="00142227"/>
    <w:rsid w:val="00144A2D"/>
    <w:rsid w:val="001A59D5"/>
    <w:rsid w:val="001A6F89"/>
    <w:rsid w:val="001E24C2"/>
    <w:rsid w:val="00206B9F"/>
    <w:rsid w:val="00227FD5"/>
    <w:rsid w:val="002304E7"/>
    <w:rsid w:val="00280AE7"/>
    <w:rsid w:val="002A3A7D"/>
    <w:rsid w:val="002C5590"/>
    <w:rsid w:val="002E7AA2"/>
    <w:rsid w:val="003274A7"/>
    <w:rsid w:val="00327F04"/>
    <w:rsid w:val="0036285D"/>
    <w:rsid w:val="00370044"/>
    <w:rsid w:val="003935D0"/>
    <w:rsid w:val="003B6AFE"/>
    <w:rsid w:val="003E2F32"/>
    <w:rsid w:val="004228E7"/>
    <w:rsid w:val="00423B2D"/>
    <w:rsid w:val="00435551"/>
    <w:rsid w:val="00437094"/>
    <w:rsid w:val="004530DD"/>
    <w:rsid w:val="004622C1"/>
    <w:rsid w:val="004634AE"/>
    <w:rsid w:val="004769D6"/>
    <w:rsid w:val="00497D0B"/>
    <w:rsid w:val="004B07E4"/>
    <w:rsid w:val="004D173C"/>
    <w:rsid w:val="004D3978"/>
    <w:rsid w:val="004D6989"/>
    <w:rsid w:val="004E4DD5"/>
    <w:rsid w:val="005017C2"/>
    <w:rsid w:val="00506912"/>
    <w:rsid w:val="005078B8"/>
    <w:rsid w:val="00507B82"/>
    <w:rsid w:val="005237BC"/>
    <w:rsid w:val="00552413"/>
    <w:rsid w:val="00556CAE"/>
    <w:rsid w:val="005E0795"/>
    <w:rsid w:val="006306C6"/>
    <w:rsid w:val="006B01A5"/>
    <w:rsid w:val="006C2E42"/>
    <w:rsid w:val="006E5536"/>
    <w:rsid w:val="006E57B6"/>
    <w:rsid w:val="006E61FA"/>
    <w:rsid w:val="00725C07"/>
    <w:rsid w:val="0074007F"/>
    <w:rsid w:val="00783202"/>
    <w:rsid w:val="007947D3"/>
    <w:rsid w:val="007D349A"/>
    <w:rsid w:val="007F1C62"/>
    <w:rsid w:val="00814434"/>
    <w:rsid w:val="00831AFC"/>
    <w:rsid w:val="00840613"/>
    <w:rsid w:val="00847ACF"/>
    <w:rsid w:val="00860042"/>
    <w:rsid w:val="00865766"/>
    <w:rsid w:val="0088225F"/>
    <w:rsid w:val="008E5790"/>
    <w:rsid w:val="008E5A08"/>
    <w:rsid w:val="008F4B1B"/>
    <w:rsid w:val="0091471E"/>
    <w:rsid w:val="0093229F"/>
    <w:rsid w:val="0096615A"/>
    <w:rsid w:val="009A621E"/>
    <w:rsid w:val="009B05FF"/>
    <w:rsid w:val="009B6915"/>
    <w:rsid w:val="009C6C0B"/>
    <w:rsid w:val="009D198A"/>
    <w:rsid w:val="00A02F67"/>
    <w:rsid w:val="00A2204E"/>
    <w:rsid w:val="00A27C08"/>
    <w:rsid w:val="00A43D66"/>
    <w:rsid w:val="00A52E90"/>
    <w:rsid w:val="00A53434"/>
    <w:rsid w:val="00A5439F"/>
    <w:rsid w:val="00A802AC"/>
    <w:rsid w:val="00A923D8"/>
    <w:rsid w:val="00AA6DF5"/>
    <w:rsid w:val="00AC21E5"/>
    <w:rsid w:val="00B62788"/>
    <w:rsid w:val="00B85C15"/>
    <w:rsid w:val="00BA390A"/>
    <w:rsid w:val="00BD3B87"/>
    <w:rsid w:val="00C068B2"/>
    <w:rsid w:val="00C50660"/>
    <w:rsid w:val="00C57AD4"/>
    <w:rsid w:val="00C70F2C"/>
    <w:rsid w:val="00C97475"/>
    <w:rsid w:val="00CA4919"/>
    <w:rsid w:val="00CB1C0C"/>
    <w:rsid w:val="00CC0D12"/>
    <w:rsid w:val="00CC6C5F"/>
    <w:rsid w:val="00CD2F43"/>
    <w:rsid w:val="00CE16B2"/>
    <w:rsid w:val="00D9541C"/>
    <w:rsid w:val="00DA6FDA"/>
    <w:rsid w:val="00DB0FC4"/>
    <w:rsid w:val="00E079E4"/>
    <w:rsid w:val="00E21DD0"/>
    <w:rsid w:val="00E2209B"/>
    <w:rsid w:val="00E60074"/>
    <w:rsid w:val="00E67420"/>
    <w:rsid w:val="00E74438"/>
    <w:rsid w:val="00EB2DB4"/>
    <w:rsid w:val="00EC1BBC"/>
    <w:rsid w:val="00EE1381"/>
    <w:rsid w:val="00EF226E"/>
    <w:rsid w:val="00F04DE0"/>
    <w:rsid w:val="00F06084"/>
    <w:rsid w:val="00F10FBA"/>
    <w:rsid w:val="00F34985"/>
    <w:rsid w:val="00F518EF"/>
    <w:rsid w:val="00F60A47"/>
    <w:rsid w:val="00F724DD"/>
    <w:rsid w:val="00F85007"/>
    <w:rsid w:val="00F93C8D"/>
    <w:rsid w:val="00FF3A41"/>
    <w:rsid w:val="00FF603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1BD2A"/>
  <w15:docId w15:val="{A5D98A6B-A47C-4877-9011-1B75AD37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BC"/>
    <w:rPr>
      <w:rFonts w:ascii="Times New Roman" w:eastAsia="Times New Roman" w:hAnsi="Times New Roman"/>
      <w:sz w:val="24"/>
      <w:szCs w:val="24"/>
    </w:rPr>
  </w:style>
  <w:style w:type="paragraph" w:styleId="Heading2">
    <w:name w:val="heading 2"/>
    <w:basedOn w:val="Normal"/>
    <w:next w:val="Normal"/>
    <w:link w:val="Heading2Char"/>
    <w:qFormat/>
    <w:rsid w:val="00EC1BBC"/>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1BBC"/>
    <w:rPr>
      <w:rFonts w:ascii="Arial" w:eastAsia="Times New Roman" w:hAnsi="Arial" w:cs="Arial"/>
      <w:i/>
      <w:iCs/>
      <w:color w:val="999999"/>
      <w:sz w:val="18"/>
      <w:szCs w:val="24"/>
      <w:lang w:val="en-US"/>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C1BBC"/>
    <w:pPr>
      <w:tabs>
        <w:tab w:val="center" w:pos="4320"/>
        <w:tab w:val="right" w:pos="8640"/>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C1BBC"/>
    <w:rPr>
      <w:rFonts w:ascii="Times New Roman" w:eastAsia="Times New Roman" w:hAnsi="Times New Roman" w:cs="Times New Roman"/>
      <w:sz w:val="24"/>
      <w:szCs w:val="24"/>
      <w:lang w:val="en-US"/>
    </w:rPr>
  </w:style>
  <w:style w:type="paragraph" w:styleId="Footer">
    <w:name w:val="footer"/>
    <w:basedOn w:val="Normal"/>
    <w:link w:val="FooterChar"/>
    <w:rsid w:val="00EC1BBC"/>
    <w:pPr>
      <w:tabs>
        <w:tab w:val="center" w:pos="4320"/>
        <w:tab w:val="right" w:pos="8640"/>
      </w:tabs>
    </w:pPr>
  </w:style>
  <w:style w:type="character" w:customStyle="1" w:styleId="FooterChar">
    <w:name w:val="Footer Char"/>
    <w:link w:val="Footer"/>
    <w:rsid w:val="00EC1BBC"/>
    <w:rPr>
      <w:rFonts w:ascii="Times New Roman" w:eastAsia="Times New Roman" w:hAnsi="Times New Roman" w:cs="Times New Roman"/>
      <w:sz w:val="24"/>
      <w:szCs w:val="24"/>
      <w:lang w:val="en-US"/>
    </w:rPr>
  </w:style>
  <w:style w:type="paragraph" w:styleId="PlainText">
    <w:name w:val="Plain Text"/>
    <w:basedOn w:val="Normal"/>
    <w:link w:val="PlainTextChar"/>
    <w:rsid w:val="00F10FBA"/>
    <w:rPr>
      <w:rFonts w:ascii="Courier New" w:hAnsi="Courier New" w:cs="Courier New"/>
      <w:sz w:val="20"/>
      <w:szCs w:val="20"/>
    </w:rPr>
  </w:style>
  <w:style w:type="character" w:customStyle="1" w:styleId="PlainTextChar">
    <w:name w:val="Plain Text Char"/>
    <w:link w:val="PlainText"/>
    <w:rsid w:val="00F10FBA"/>
    <w:rPr>
      <w:rFonts w:ascii="Courier New" w:eastAsia="Times New Roman" w:hAnsi="Courier New" w:cs="Courier New"/>
      <w:lang w:val="en-US" w:eastAsia="en-US"/>
    </w:rPr>
  </w:style>
  <w:style w:type="paragraph" w:styleId="BodyText">
    <w:name w:val="Body Text"/>
    <w:basedOn w:val="Normal"/>
    <w:link w:val="BodyTextChar"/>
    <w:rsid w:val="006E61FA"/>
    <w:rPr>
      <w:sz w:val="20"/>
      <w:lang w:val="sr-Latn-CS"/>
    </w:rPr>
  </w:style>
  <w:style w:type="character" w:customStyle="1" w:styleId="BodyTextChar">
    <w:name w:val="Body Text Char"/>
    <w:link w:val="BodyText"/>
    <w:rsid w:val="006E61FA"/>
    <w:rPr>
      <w:rFonts w:ascii="Times New Roman" w:eastAsia="Times New Roman" w:hAnsi="Times New Roman"/>
      <w:szCs w:val="24"/>
      <w:lang w:eastAsia="en-US"/>
    </w:rPr>
  </w:style>
  <w:style w:type="paragraph" w:styleId="CommentText">
    <w:name w:val="annotation text"/>
    <w:basedOn w:val="Normal"/>
    <w:link w:val="CommentTextChar"/>
    <w:rsid w:val="00423B2D"/>
    <w:pPr>
      <w:tabs>
        <w:tab w:val="left" w:pos="284"/>
      </w:tabs>
      <w:jc w:val="both"/>
    </w:pPr>
    <w:rPr>
      <w:rFonts w:ascii="Humanist777" w:hAnsi="Humanist777"/>
      <w:sz w:val="20"/>
      <w:szCs w:val="20"/>
    </w:rPr>
  </w:style>
  <w:style w:type="character" w:customStyle="1" w:styleId="CommentTextChar">
    <w:name w:val="Comment Text Char"/>
    <w:link w:val="CommentText"/>
    <w:rsid w:val="00423B2D"/>
    <w:rPr>
      <w:rFonts w:ascii="Humanist777" w:eastAsia="Times New Roman" w:hAnsi="Humanist777"/>
      <w:lang w:val="en-US" w:eastAsia="en-US"/>
    </w:rPr>
  </w:style>
  <w:style w:type="paragraph" w:customStyle="1" w:styleId="listssp">
    <w:name w:val="list:ssp"/>
    <w:basedOn w:val="Normal"/>
    <w:rsid w:val="004622C1"/>
    <w:rPr>
      <w:szCs w:val="20"/>
      <w:lang w:val="en-GB" w:eastAsia="nl-NL"/>
    </w:rPr>
  </w:style>
  <w:style w:type="character" w:styleId="FootnoteReference">
    <w:name w:val="footnote reference"/>
    <w:rsid w:val="008F4B1B"/>
    <w:rPr>
      <w:vertAlign w:val="superscript"/>
    </w:rPr>
  </w:style>
  <w:style w:type="paragraph" w:styleId="FootnoteText">
    <w:name w:val="footnote text"/>
    <w:basedOn w:val="Normal"/>
    <w:link w:val="FootnoteTextChar"/>
    <w:rsid w:val="008F4B1B"/>
    <w:pPr>
      <w:tabs>
        <w:tab w:val="left" w:pos="567"/>
      </w:tabs>
      <w:spacing w:line="260" w:lineRule="exact"/>
    </w:pPr>
    <w:rPr>
      <w:sz w:val="20"/>
      <w:szCs w:val="20"/>
      <w:lang w:eastAsia="hr-HR"/>
    </w:rPr>
  </w:style>
  <w:style w:type="character" w:customStyle="1" w:styleId="FootnoteTextChar">
    <w:name w:val="Footnote Text Char"/>
    <w:link w:val="FootnoteText"/>
    <w:rsid w:val="008F4B1B"/>
    <w:rPr>
      <w:rFonts w:ascii="Times New Roman" w:eastAsia="Times New Roman" w:hAnsi="Times New Roman"/>
      <w:lang w:eastAsia="hr-HR"/>
    </w:rPr>
  </w:style>
  <w:style w:type="paragraph" w:customStyle="1" w:styleId="NoNumHead4">
    <w:name w:val="NoNum:Head4"/>
    <w:basedOn w:val="Normal"/>
    <w:next w:val="Normal"/>
    <w:rsid w:val="00CD2F43"/>
    <w:pPr>
      <w:keepNext/>
      <w:spacing w:before="120" w:after="240"/>
      <w:outlineLvl w:val="0"/>
    </w:pPr>
    <w:rPr>
      <w:rFonts w:ascii="Arial" w:hAnsi="Arial" w:cs="Arial"/>
      <w:b/>
      <w:bCs/>
      <w:sz w:val="22"/>
      <w:szCs w:val="22"/>
      <w:lang w:val="en-GB" w:eastAsia="en-GB"/>
    </w:rPr>
  </w:style>
  <w:style w:type="paragraph" w:styleId="NormalWeb">
    <w:name w:val="Normal (Web)"/>
    <w:aliases w:val=" webb"/>
    <w:basedOn w:val="Normal"/>
    <w:uiPriority w:val="99"/>
    <w:rsid w:val="00CD2F43"/>
    <w:pPr>
      <w:spacing w:before="100" w:beforeAutospacing="1" w:after="100" w:afterAutospacing="1"/>
    </w:pPr>
    <w:rPr>
      <w:rFonts w:ascii="Arial Unicode MS" w:hAnsi="Arial Unicode MS"/>
      <w:lang w:val="en-GB"/>
    </w:rPr>
  </w:style>
  <w:style w:type="paragraph" w:styleId="BalloonText">
    <w:name w:val="Balloon Text"/>
    <w:basedOn w:val="Normal"/>
    <w:link w:val="BalloonTextChar"/>
    <w:uiPriority w:val="99"/>
    <w:semiHidden/>
    <w:unhideWhenUsed/>
    <w:rsid w:val="00F518EF"/>
    <w:rPr>
      <w:rFonts w:ascii="Segoe UI" w:hAnsi="Segoe UI" w:cs="Segoe UI"/>
      <w:sz w:val="18"/>
      <w:szCs w:val="18"/>
    </w:rPr>
  </w:style>
  <w:style w:type="character" w:customStyle="1" w:styleId="BalloonTextChar">
    <w:name w:val="Balloon Text Char"/>
    <w:link w:val="BalloonText"/>
    <w:uiPriority w:val="99"/>
    <w:semiHidden/>
    <w:rsid w:val="00F518EF"/>
    <w:rPr>
      <w:rFonts w:ascii="Segoe UI" w:eastAsia="Times New Roman" w:hAnsi="Segoe UI" w:cs="Segoe UI"/>
      <w:sz w:val="18"/>
      <w:szCs w:val="18"/>
    </w:rPr>
  </w:style>
  <w:style w:type="paragraph" w:styleId="NoSpacing">
    <w:name w:val="No Spacing"/>
    <w:uiPriority w:val="1"/>
    <w:qFormat/>
    <w:rsid w:val="00F518EF"/>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6E5536"/>
    <w:rPr>
      <w:sz w:val="20"/>
      <w:szCs w:val="20"/>
    </w:rPr>
  </w:style>
  <w:style w:type="character" w:customStyle="1" w:styleId="EndnoteTextChar">
    <w:name w:val="Endnote Text Char"/>
    <w:basedOn w:val="DefaultParagraphFont"/>
    <w:link w:val="EndnoteText"/>
    <w:uiPriority w:val="99"/>
    <w:semiHidden/>
    <w:rsid w:val="006E553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DA33B-7FB8-48AA-85D4-0957AEE5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31655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Radulovic</dc:creator>
  <cp:keywords/>
  <cp:lastModifiedBy>Svetlana Rajc</cp:lastModifiedBy>
  <cp:revision>2</cp:revision>
  <cp:lastPrinted>2016-06-09T09:13:00Z</cp:lastPrinted>
  <dcterms:created xsi:type="dcterms:W3CDTF">2024-09-17T11:18:00Z</dcterms:created>
  <dcterms:modified xsi:type="dcterms:W3CDTF">2024-09-17T11:18:00Z</dcterms:modified>
</cp:coreProperties>
</file>