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5983F" w14:textId="77777777" w:rsidR="00F91C7B" w:rsidRPr="007B5CD4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9AE6533" w14:textId="77777777" w:rsidR="002510A5" w:rsidRPr="007B5CD4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B5CD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26D5E33" w14:textId="77777777" w:rsidR="002510A5" w:rsidRPr="007B5CD4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F1A672B" w14:textId="77777777" w:rsidR="003C17AB" w:rsidRPr="007B5CD4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2F49A23" w14:textId="77777777" w:rsidR="00C37FD7" w:rsidRPr="007B5CD4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CA0F6D" w14:textId="77777777" w:rsidR="00411B4B" w:rsidRPr="007B5CD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>1.</w:t>
      </w:r>
      <w:r w:rsidR="00F5167F" w:rsidRPr="007B5CD4">
        <w:rPr>
          <w:b/>
          <w:bCs/>
          <w:sz w:val="22"/>
          <w:szCs w:val="22"/>
          <w:lang w:val="sr-Latn-ME"/>
        </w:rPr>
        <w:tab/>
      </w:r>
      <w:r w:rsidR="002846DB" w:rsidRPr="007B5CD4">
        <w:rPr>
          <w:b/>
          <w:bCs/>
          <w:sz w:val="22"/>
          <w:szCs w:val="22"/>
          <w:lang w:val="sr-Latn-ME"/>
        </w:rPr>
        <w:t xml:space="preserve">NAZIV </w:t>
      </w:r>
      <w:r w:rsidRPr="007B5CD4">
        <w:rPr>
          <w:b/>
          <w:bCs/>
          <w:sz w:val="22"/>
          <w:szCs w:val="22"/>
          <w:lang w:val="sr-Latn-ME"/>
        </w:rPr>
        <w:t>LIJEKA</w:t>
      </w:r>
    </w:p>
    <w:p w14:paraId="2BA01288" w14:textId="77777777" w:rsidR="00BC2F94" w:rsidRPr="007B5CD4" w:rsidRDefault="00BC2F94" w:rsidP="00BC2F94">
      <w:pPr>
        <w:jc w:val="both"/>
        <w:rPr>
          <w:sz w:val="22"/>
          <w:szCs w:val="22"/>
          <w:lang w:val="sr-Latn-ME"/>
        </w:rPr>
      </w:pPr>
    </w:p>
    <w:p w14:paraId="5AF03032" w14:textId="6FDF537A" w:rsidR="00BC2F94" w:rsidRPr="007B5CD4" w:rsidRDefault="00BC2F94" w:rsidP="00BC2F94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Marcaine Spinal 0.5%</w:t>
      </w:r>
      <w:r w:rsidR="005E599F" w:rsidRPr="007B5CD4">
        <w:rPr>
          <w:sz w:val="22"/>
          <w:szCs w:val="22"/>
          <w:lang w:val="sr-Latn-ME"/>
        </w:rPr>
        <w:t>, 5 mg/m</w:t>
      </w:r>
      <w:r w:rsidR="004D5514" w:rsidRPr="007B5CD4">
        <w:rPr>
          <w:sz w:val="22"/>
          <w:szCs w:val="22"/>
          <w:lang w:val="sr-Latn-ME"/>
        </w:rPr>
        <w:t>l</w:t>
      </w:r>
      <w:r w:rsidR="005E599F" w:rsidRPr="007B5CD4">
        <w:rPr>
          <w:sz w:val="22"/>
          <w:szCs w:val="22"/>
          <w:lang w:val="sr-Latn-ME"/>
        </w:rPr>
        <w:t>, rastvor za injekciju</w:t>
      </w:r>
    </w:p>
    <w:p w14:paraId="4E85BC8C" w14:textId="77777777" w:rsidR="005E599F" w:rsidRPr="007B5CD4" w:rsidRDefault="005E599F" w:rsidP="00BC2F94">
      <w:pPr>
        <w:jc w:val="both"/>
        <w:rPr>
          <w:sz w:val="22"/>
          <w:szCs w:val="22"/>
          <w:lang w:val="sr-Latn-ME"/>
        </w:rPr>
      </w:pPr>
    </w:p>
    <w:p w14:paraId="696E378E" w14:textId="5A2AF5FF" w:rsidR="00BC2F94" w:rsidRPr="007B5CD4" w:rsidRDefault="006D20A5" w:rsidP="00BC2F94">
      <w:pPr>
        <w:jc w:val="both"/>
        <w:rPr>
          <w:bCs/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INN:</w:t>
      </w:r>
      <w:r w:rsidR="00BC2F94" w:rsidRPr="007B5CD4">
        <w:rPr>
          <w:sz w:val="22"/>
          <w:szCs w:val="22"/>
          <w:lang w:val="sr-Latn-ME"/>
        </w:rPr>
        <w:t xml:space="preserve"> </w:t>
      </w:r>
      <w:r w:rsidR="005E599F" w:rsidRPr="007B5CD4">
        <w:rPr>
          <w:sz w:val="22"/>
          <w:szCs w:val="22"/>
          <w:lang w:val="sr-Latn-ME"/>
        </w:rPr>
        <w:t>b</w:t>
      </w:r>
      <w:r w:rsidR="00BC2F94" w:rsidRPr="007B5CD4">
        <w:rPr>
          <w:sz w:val="22"/>
          <w:szCs w:val="22"/>
          <w:lang w:val="sr-Latn-ME"/>
        </w:rPr>
        <w:t>upivakain</w:t>
      </w:r>
    </w:p>
    <w:p w14:paraId="782C3A39" w14:textId="29D6A123" w:rsidR="00530BD7" w:rsidRPr="007B5CD4" w:rsidRDefault="00530BD7">
      <w:pPr>
        <w:rPr>
          <w:bCs/>
          <w:sz w:val="22"/>
          <w:szCs w:val="22"/>
          <w:lang w:val="sr-Latn-ME"/>
        </w:rPr>
      </w:pPr>
    </w:p>
    <w:p w14:paraId="29F082F9" w14:textId="77777777" w:rsidR="004D5514" w:rsidRPr="007B5CD4" w:rsidRDefault="004D5514">
      <w:pPr>
        <w:rPr>
          <w:bCs/>
          <w:sz w:val="22"/>
          <w:szCs w:val="22"/>
          <w:lang w:val="sr-Latn-ME"/>
        </w:rPr>
      </w:pPr>
    </w:p>
    <w:p w14:paraId="53C2A4ED" w14:textId="77777777" w:rsidR="00411B4B" w:rsidRPr="007B5CD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2. </w:t>
      </w:r>
      <w:r w:rsidR="00F5167F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KVALITATIVNI I KVANTITATIVNI SASTAV</w:t>
      </w:r>
    </w:p>
    <w:p w14:paraId="6D3DFAA0" w14:textId="77777777" w:rsidR="005A0B2E" w:rsidRPr="007B5CD4" w:rsidRDefault="005A0B2E">
      <w:pPr>
        <w:rPr>
          <w:sz w:val="22"/>
          <w:szCs w:val="22"/>
          <w:lang w:val="sr-Latn-ME"/>
        </w:rPr>
      </w:pPr>
    </w:p>
    <w:p w14:paraId="1807B9B1" w14:textId="5B809BB0" w:rsidR="00BC2F94" w:rsidRPr="007B5CD4" w:rsidRDefault="005E599F" w:rsidP="00002505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Jedan mililitar</w:t>
      </w:r>
      <w:r w:rsidR="00BC2F94" w:rsidRPr="007B5CD4">
        <w:rPr>
          <w:sz w:val="22"/>
          <w:szCs w:val="22"/>
          <w:lang w:val="sr-Latn-ME"/>
        </w:rPr>
        <w:t xml:space="preserve"> rastvora za injekciju sadrži 5 mg bupivakain hidrohlorida </w:t>
      </w:r>
      <w:r w:rsidRPr="007B5CD4">
        <w:rPr>
          <w:sz w:val="22"/>
          <w:szCs w:val="22"/>
          <w:lang w:val="sr-Latn-ME"/>
        </w:rPr>
        <w:t xml:space="preserve">što odgovara 5,28 mg </w:t>
      </w:r>
      <w:r w:rsidR="007B5CD4" w:rsidRPr="007B5CD4">
        <w:rPr>
          <w:sz w:val="22"/>
          <w:szCs w:val="22"/>
          <w:lang w:val="sr-Latn-ME"/>
        </w:rPr>
        <w:t xml:space="preserve"> bupivakain hidrohlorid</w:t>
      </w:r>
      <w:r w:rsidR="00BC2F94" w:rsidRPr="007B5CD4">
        <w:rPr>
          <w:sz w:val="22"/>
          <w:szCs w:val="22"/>
          <w:lang w:val="sr-Latn-ME"/>
        </w:rPr>
        <w:t xml:space="preserve"> monohidrata.</w:t>
      </w:r>
    </w:p>
    <w:p w14:paraId="6E43CD61" w14:textId="77777777" w:rsidR="00BC2F94" w:rsidRPr="007B5CD4" w:rsidRDefault="00BC2F94">
      <w:pPr>
        <w:rPr>
          <w:sz w:val="22"/>
          <w:szCs w:val="22"/>
          <w:lang w:val="sr-Latn-ME"/>
        </w:rPr>
      </w:pPr>
    </w:p>
    <w:p w14:paraId="7DC4C6DB" w14:textId="77777777" w:rsidR="0003793F" w:rsidRPr="007B5CD4" w:rsidRDefault="0003793F">
      <w:pPr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Za spisak svih ekscipijenasa, pogledati dio 6.1.</w:t>
      </w:r>
    </w:p>
    <w:p w14:paraId="04D08CA1" w14:textId="677412F4" w:rsidR="00C37FD7" w:rsidRPr="007B5CD4" w:rsidRDefault="00C37FD7">
      <w:pPr>
        <w:rPr>
          <w:sz w:val="22"/>
          <w:szCs w:val="22"/>
          <w:lang w:val="sr-Latn-ME"/>
        </w:rPr>
      </w:pPr>
    </w:p>
    <w:p w14:paraId="6B080A35" w14:textId="77777777" w:rsidR="004D5514" w:rsidRPr="007B5CD4" w:rsidRDefault="004D5514">
      <w:pPr>
        <w:rPr>
          <w:sz w:val="22"/>
          <w:szCs w:val="22"/>
          <w:lang w:val="sr-Latn-ME"/>
        </w:rPr>
      </w:pPr>
    </w:p>
    <w:p w14:paraId="4FAFAE17" w14:textId="77777777" w:rsidR="00411B4B" w:rsidRPr="007B5CD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3. </w:t>
      </w:r>
      <w:r w:rsidR="00F5167F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FARMACEUTSKI OBLIK</w:t>
      </w:r>
      <w:r w:rsidR="009F2D23" w:rsidRPr="007B5CD4">
        <w:rPr>
          <w:b/>
          <w:bCs/>
          <w:sz w:val="22"/>
          <w:szCs w:val="22"/>
          <w:lang w:val="sr-Latn-ME"/>
        </w:rPr>
        <w:t xml:space="preserve"> </w:t>
      </w:r>
    </w:p>
    <w:p w14:paraId="21B69722" w14:textId="77777777" w:rsidR="00411B4B" w:rsidRPr="007B5CD4" w:rsidRDefault="00411B4B">
      <w:pPr>
        <w:rPr>
          <w:bCs/>
          <w:sz w:val="22"/>
          <w:szCs w:val="22"/>
          <w:lang w:val="sr-Latn-ME"/>
        </w:rPr>
      </w:pPr>
    </w:p>
    <w:p w14:paraId="7CC55CED" w14:textId="77777777" w:rsidR="00BC2F94" w:rsidRPr="007B5CD4" w:rsidRDefault="00BC2F94" w:rsidP="00BC2F94">
      <w:pPr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Rastvor za injekciju.</w:t>
      </w:r>
    </w:p>
    <w:p w14:paraId="2A2DDFBF" w14:textId="3A8AFA91" w:rsidR="00BC2F94" w:rsidRPr="007B5CD4" w:rsidRDefault="00BC2F94" w:rsidP="00BC2F94">
      <w:pPr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Bistar, bezbojan rastvor.</w:t>
      </w:r>
    </w:p>
    <w:p w14:paraId="74D0C7B8" w14:textId="13676D3E" w:rsidR="00EC2532" w:rsidRPr="007B5CD4" w:rsidRDefault="00EC2532">
      <w:pPr>
        <w:rPr>
          <w:bCs/>
          <w:sz w:val="22"/>
          <w:szCs w:val="22"/>
          <w:lang w:val="sr-Latn-ME"/>
        </w:rPr>
      </w:pPr>
    </w:p>
    <w:p w14:paraId="01D69FD8" w14:textId="77777777" w:rsidR="004D5514" w:rsidRPr="007B5CD4" w:rsidRDefault="004D5514">
      <w:pPr>
        <w:rPr>
          <w:bCs/>
          <w:sz w:val="22"/>
          <w:szCs w:val="22"/>
          <w:lang w:val="sr-Latn-ME"/>
        </w:rPr>
      </w:pPr>
    </w:p>
    <w:p w14:paraId="088ACBEB" w14:textId="77777777" w:rsidR="00411B4B" w:rsidRPr="007B5CD4" w:rsidRDefault="00411B4B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4.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KLINIČKI PODACI</w:t>
      </w:r>
    </w:p>
    <w:p w14:paraId="4FBDA367" w14:textId="77777777" w:rsidR="00CD6F02" w:rsidRPr="007B5CD4" w:rsidRDefault="00CD6F02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B77F23" w14:textId="77777777" w:rsidR="00BC2F94" w:rsidRPr="007B5CD4" w:rsidRDefault="00411B4B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4.1.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Terapijske indikacije</w:t>
      </w:r>
    </w:p>
    <w:p w14:paraId="1E9C74E0" w14:textId="77777777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A0AE02" w14:textId="472C9545" w:rsidR="00BC2F94" w:rsidRPr="007B5CD4" w:rsidRDefault="005E599F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Subarahnoidalna </w:t>
      </w:r>
      <w:r w:rsidR="00BC2F94" w:rsidRPr="007B5CD4">
        <w:rPr>
          <w:bCs/>
          <w:sz w:val="22"/>
          <w:szCs w:val="22"/>
          <w:lang w:val="sr-Latn-ME"/>
        </w:rPr>
        <w:t>anestezija u hirurgiji i akušerstvu.</w:t>
      </w:r>
    </w:p>
    <w:p w14:paraId="4D3D59BB" w14:textId="77777777" w:rsidR="005E599F" w:rsidRPr="007B5CD4" w:rsidRDefault="005E599F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4075BD" w14:textId="6A7D9C16" w:rsidR="00BC2F94" w:rsidRPr="007B5CD4" w:rsidRDefault="005E599F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Lijek </w:t>
      </w:r>
      <w:r w:rsidR="00BC2F94" w:rsidRPr="007B5CD4">
        <w:rPr>
          <w:bCs/>
          <w:sz w:val="22"/>
          <w:szCs w:val="22"/>
          <w:lang w:val="sr-Latn-ME"/>
        </w:rPr>
        <w:t xml:space="preserve">Marcaine Spinal 0.5% je indikovan za hirurške </w:t>
      </w:r>
      <w:r w:rsidRPr="007B5CD4">
        <w:rPr>
          <w:bCs/>
          <w:sz w:val="22"/>
          <w:szCs w:val="22"/>
          <w:lang w:val="sr-Latn-ME"/>
        </w:rPr>
        <w:t xml:space="preserve">intervencije </w:t>
      </w:r>
      <w:r w:rsidR="00BC2F94" w:rsidRPr="007B5CD4">
        <w:rPr>
          <w:bCs/>
          <w:sz w:val="22"/>
          <w:szCs w:val="22"/>
          <w:lang w:val="sr-Latn-ME"/>
        </w:rPr>
        <w:t xml:space="preserve">na donjim ekstremitetima, uključujući </w:t>
      </w:r>
      <w:r w:rsidR="00175DCB" w:rsidRPr="007B5CD4">
        <w:rPr>
          <w:bCs/>
          <w:sz w:val="22"/>
          <w:szCs w:val="22"/>
          <w:lang w:val="sr-Latn-ME"/>
        </w:rPr>
        <w:t xml:space="preserve">zglob </w:t>
      </w:r>
      <w:r w:rsidR="00BC2F94" w:rsidRPr="007B5CD4">
        <w:rPr>
          <w:bCs/>
          <w:sz w:val="22"/>
          <w:szCs w:val="22"/>
          <w:lang w:val="sr-Latn-ME"/>
        </w:rPr>
        <w:t>kuk</w:t>
      </w:r>
      <w:r w:rsidR="00175DCB" w:rsidRPr="007B5CD4">
        <w:rPr>
          <w:bCs/>
          <w:sz w:val="22"/>
          <w:szCs w:val="22"/>
          <w:lang w:val="sr-Latn-ME"/>
        </w:rPr>
        <w:t>a</w:t>
      </w:r>
      <w:r w:rsidR="00BC2F94" w:rsidRPr="007B5CD4">
        <w:rPr>
          <w:bCs/>
          <w:sz w:val="22"/>
          <w:szCs w:val="22"/>
          <w:lang w:val="sr-Latn-ME"/>
        </w:rPr>
        <w:t>, koje traju 1,5 do 4 sata.</w:t>
      </w:r>
    </w:p>
    <w:p w14:paraId="235B9F56" w14:textId="77777777" w:rsidR="00175DCB" w:rsidRPr="007B5CD4" w:rsidRDefault="00175DCB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38AA7" w14:textId="74A24318" w:rsidR="00411B4B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Lijek </w:t>
      </w:r>
      <w:r w:rsidR="00175DCB" w:rsidRPr="007B5CD4">
        <w:rPr>
          <w:bCs/>
          <w:sz w:val="22"/>
          <w:szCs w:val="22"/>
          <w:lang w:val="sr-Latn-ME"/>
        </w:rPr>
        <w:t>Marcaine S</w:t>
      </w:r>
      <w:r w:rsidRPr="007B5CD4">
        <w:rPr>
          <w:bCs/>
          <w:sz w:val="22"/>
          <w:szCs w:val="22"/>
          <w:lang w:val="sr-Latn-ME"/>
        </w:rPr>
        <w:t>pinal 0</w:t>
      </w:r>
      <w:r w:rsidR="002C10A3">
        <w:rPr>
          <w:bCs/>
          <w:sz w:val="22"/>
          <w:szCs w:val="22"/>
          <w:lang w:val="sr-Latn-ME"/>
        </w:rPr>
        <w:t>.</w:t>
      </w:r>
      <w:r w:rsidRPr="007B5CD4">
        <w:rPr>
          <w:bCs/>
          <w:sz w:val="22"/>
          <w:szCs w:val="22"/>
          <w:lang w:val="sr-Latn-ME"/>
        </w:rPr>
        <w:t>5%</w:t>
      </w:r>
      <w:r w:rsidR="00175DCB" w:rsidRPr="007B5CD4">
        <w:rPr>
          <w:bCs/>
          <w:sz w:val="22"/>
          <w:szCs w:val="22"/>
          <w:lang w:val="sr-Latn-ME"/>
        </w:rPr>
        <w:t xml:space="preserve"> </w:t>
      </w:r>
      <w:r w:rsidRPr="007B5CD4">
        <w:rPr>
          <w:bCs/>
          <w:sz w:val="22"/>
          <w:szCs w:val="22"/>
          <w:lang w:val="sr-Latn-ME"/>
        </w:rPr>
        <w:t xml:space="preserve">je namijenjen odraslima i djeci svih </w:t>
      </w:r>
      <w:r w:rsidR="00AD01A9" w:rsidRPr="007B5CD4">
        <w:rPr>
          <w:bCs/>
          <w:sz w:val="22"/>
          <w:szCs w:val="22"/>
          <w:lang w:val="sr-Latn-ME"/>
        </w:rPr>
        <w:t>uzrasta</w:t>
      </w:r>
      <w:r w:rsidRPr="007B5CD4">
        <w:rPr>
          <w:bCs/>
          <w:sz w:val="22"/>
          <w:szCs w:val="22"/>
          <w:lang w:val="sr-Latn-ME"/>
        </w:rPr>
        <w:t>.</w:t>
      </w:r>
    </w:p>
    <w:p w14:paraId="27725661" w14:textId="77777777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CB2367" w14:textId="77777777" w:rsidR="00411B4B" w:rsidRPr="007B5CD4" w:rsidRDefault="00411B4B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4.2.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bookmarkStart w:id="0" w:name="_Hlk163210539"/>
      <w:r w:rsidRPr="007B5CD4">
        <w:rPr>
          <w:b/>
          <w:bCs/>
          <w:sz w:val="22"/>
          <w:szCs w:val="22"/>
          <w:lang w:val="sr-Latn-ME"/>
        </w:rPr>
        <w:t>Doziranje i način primjene</w:t>
      </w:r>
    </w:p>
    <w:p w14:paraId="0C6C11CC" w14:textId="77777777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26534A" w14:textId="77777777" w:rsidR="00175DCB" w:rsidRPr="007B5CD4" w:rsidRDefault="00175DCB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B5CD4">
        <w:rPr>
          <w:bCs/>
          <w:sz w:val="22"/>
          <w:szCs w:val="22"/>
          <w:u w:val="single"/>
          <w:lang w:val="sr-Latn-ME"/>
        </w:rPr>
        <w:t>Doziranje</w:t>
      </w:r>
    </w:p>
    <w:p w14:paraId="3C3ABF88" w14:textId="77777777" w:rsidR="00175DCB" w:rsidRPr="007B5CD4" w:rsidRDefault="00175DCB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8BB0780" w14:textId="79AF6338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7B5CD4">
        <w:rPr>
          <w:bCs/>
          <w:i/>
          <w:iCs/>
          <w:sz w:val="22"/>
          <w:szCs w:val="22"/>
          <w:lang w:val="sr-Latn-ME"/>
        </w:rPr>
        <w:t>Odrasli i djeca starija od 12 godina</w:t>
      </w:r>
    </w:p>
    <w:p w14:paraId="1A1B9477" w14:textId="1A84244E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Sljedeće preporuke treba </w:t>
      </w:r>
      <w:r w:rsidR="00175DCB" w:rsidRPr="007B5CD4">
        <w:rPr>
          <w:bCs/>
          <w:sz w:val="22"/>
          <w:szCs w:val="22"/>
          <w:lang w:val="sr-Latn-ME"/>
        </w:rPr>
        <w:t xml:space="preserve">uzeti u obzir kao smjernice za primjenu kod </w:t>
      </w:r>
      <w:r w:rsidRPr="007B5CD4">
        <w:rPr>
          <w:bCs/>
          <w:sz w:val="22"/>
          <w:szCs w:val="22"/>
          <w:lang w:val="sr-Latn-ME"/>
        </w:rPr>
        <w:t xml:space="preserve">prosječnog odraslog čovjeka. Prilikom </w:t>
      </w:r>
      <w:r w:rsidR="00175DCB" w:rsidRPr="007B5CD4">
        <w:rPr>
          <w:bCs/>
          <w:sz w:val="22"/>
          <w:szCs w:val="22"/>
          <w:lang w:val="sr-Latn-ME"/>
        </w:rPr>
        <w:t>donošenja odluke o potrebnoj dozi, potrebno je uzeti u obzir fizičko stanje pacijenta i bilo koju drugu terapiju koju pacijent istovremeno prima</w:t>
      </w:r>
      <w:r w:rsidRPr="007B5CD4">
        <w:rPr>
          <w:bCs/>
          <w:sz w:val="22"/>
          <w:szCs w:val="22"/>
          <w:lang w:val="sr-Latn-ME"/>
        </w:rPr>
        <w:t>. Treba dati najnižu dozu potrebnu za dostizanje adekvatne dubine anestezije. Vrijeme trajanja anestezije zavisi od date doze. Predv</w:t>
      </w:r>
      <w:r w:rsidR="005F42D6" w:rsidRPr="007B5CD4">
        <w:rPr>
          <w:bCs/>
          <w:sz w:val="22"/>
          <w:szCs w:val="22"/>
          <w:lang w:val="sr-Latn-ME"/>
        </w:rPr>
        <w:t>i</w:t>
      </w:r>
      <w:r w:rsidRPr="007B5CD4">
        <w:rPr>
          <w:bCs/>
          <w:sz w:val="22"/>
          <w:szCs w:val="22"/>
          <w:lang w:val="sr-Latn-ME"/>
        </w:rPr>
        <w:t xml:space="preserve">djeti stepen anestezije može biti teško, naročito prilikom korišćenja izobarskog rastvora za injekciju. </w:t>
      </w:r>
    </w:p>
    <w:p w14:paraId="74EBC77F" w14:textId="77777777" w:rsidR="00175DCB" w:rsidRPr="007B5CD4" w:rsidRDefault="00175DCB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1B6057" w14:textId="74F66DC7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Dozu treba sniziti kod starijih pacijenata i kod pacijentkinja u </w:t>
      </w:r>
      <w:r w:rsidR="00175DCB" w:rsidRPr="007B5CD4">
        <w:rPr>
          <w:bCs/>
          <w:sz w:val="22"/>
          <w:szCs w:val="22"/>
          <w:lang w:val="sr-Latn-ME"/>
        </w:rPr>
        <w:t>po</w:t>
      </w:r>
      <w:r w:rsidRPr="007B5CD4">
        <w:rPr>
          <w:bCs/>
          <w:sz w:val="22"/>
          <w:szCs w:val="22"/>
          <w:lang w:val="sr-Latn-ME"/>
        </w:rPr>
        <w:t>odmaklom stadijumu trudnoće (</w:t>
      </w:r>
      <w:r w:rsidR="00175DCB" w:rsidRPr="007B5CD4">
        <w:rPr>
          <w:bCs/>
          <w:sz w:val="22"/>
          <w:szCs w:val="22"/>
          <w:lang w:val="sr-Latn-ME"/>
        </w:rPr>
        <w:t>v</w:t>
      </w:r>
      <w:r w:rsidRPr="007B5CD4">
        <w:rPr>
          <w:bCs/>
          <w:sz w:val="22"/>
          <w:szCs w:val="22"/>
          <w:lang w:val="sr-Latn-ME"/>
        </w:rPr>
        <w:t xml:space="preserve">idjeti </w:t>
      </w:r>
      <w:r w:rsidR="00175DCB" w:rsidRPr="007B5CD4">
        <w:rPr>
          <w:bCs/>
          <w:sz w:val="22"/>
          <w:szCs w:val="22"/>
          <w:lang w:val="sr-Latn-ME"/>
        </w:rPr>
        <w:t xml:space="preserve">dio </w:t>
      </w:r>
      <w:r w:rsidRPr="007B5CD4">
        <w:rPr>
          <w:bCs/>
          <w:sz w:val="22"/>
          <w:szCs w:val="22"/>
          <w:lang w:val="sr-Latn-ME"/>
        </w:rPr>
        <w:t>4.4).</w:t>
      </w:r>
    </w:p>
    <w:p w14:paraId="48CEB8B4" w14:textId="77777777" w:rsidR="00175DCB" w:rsidRPr="007B5CD4" w:rsidRDefault="00175DCB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19EE20" w14:textId="73B9DC6D" w:rsidR="0072020E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U sljedećoj tabeli je navedeno preporučeno doziranje za izazivanje efikasne blokade kod prosječnog odraslog pacijenta. Kad se radi o stepenu anestezije i vremenu trajanja efekta, postoje značajne </w:t>
      </w:r>
      <w:r w:rsidR="00175DCB" w:rsidRPr="007B5CD4">
        <w:rPr>
          <w:bCs/>
          <w:sz w:val="22"/>
          <w:szCs w:val="22"/>
          <w:lang w:val="sr-Latn-ME"/>
        </w:rPr>
        <w:t>inter</w:t>
      </w:r>
      <w:r w:rsidRPr="007B5CD4">
        <w:rPr>
          <w:bCs/>
          <w:sz w:val="22"/>
          <w:szCs w:val="22"/>
          <w:lang w:val="sr-Latn-ME"/>
        </w:rPr>
        <w:t>individualne razlike.</w:t>
      </w:r>
    </w:p>
    <w:bookmarkEnd w:id="0"/>
    <w:p w14:paraId="2AEC3843" w14:textId="1988E22F" w:rsidR="00BC2F9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59D674" w14:textId="77777777" w:rsidR="00C46E3C" w:rsidRPr="007B5CD4" w:rsidRDefault="00C46E3C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6A2342" w14:textId="77777777" w:rsidR="00863262" w:rsidRPr="007B5CD4" w:rsidRDefault="00863262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747C84" w14:textId="6C9D538F" w:rsidR="00863262" w:rsidRPr="007B5CD4" w:rsidRDefault="00BC2F94" w:rsidP="001947FE">
      <w:pPr>
        <w:jc w:val="both"/>
        <w:rPr>
          <w:sz w:val="22"/>
          <w:szCs w:val="22"/>
          <w:lang w:val="sr-Latn-ME"/>
        </w:rPr>
      </w:pPr>
      <w:bookmarkStart w:id="1" w:name="_Hlk163210617"/>
      <w:r w:rsidRPr="007B5CD4">
        <w:rPr>
          <w:b/>
          <w:sz w:val="22"/>
          <w:szCs w:val="22"/>
          <w:lang w:val="sr-Latn-ME"/>
        </w:rPr>
        <w:lastRenderedPageBreak/>
        <w:t>Tabela 1</w:t>
      </w:r>
      <w:r w:rsidRPr="007B5CD4">
        <w:rPr>
          <w:sz w:val="22"/>
          <w:szCs w:val="22"/>
          <w:lang w:val="sr-Latn-ME"/>
        </w:rPr>
        <w:t xml:space="preserve"> </w:t>
      </w:r>
      <w:r w:rsidR="00175DCB" w:rsidRPr="007B5CD4">
        <w:rPr>
          <w:sz w:val="22"/>
          <w:szCs w:val="22"/>
          <w:lang w:val="sr-Latn-ME"/>
        </w:rPr>
        <w:t xml:space="preserve">Preporuke za </w:t>
      </w:r>
      <w:r w:rsidRPr="007B5CD4">
        <w:rPr>
          <w:sz w:val="22"/>
          <w:szCs w:val="22"/>
          <w:lang w:val="sr-Latn-ME"/>
        </w:rPr>
        <w:t>doziranje</w:t>
      </w:r>
    </w:p>
    <w:p w14:paraId="48F59490" w14:textId="77777777" w:rsidR="00BC2F94" w:rsidRPr="007B5CD4" w:rsidRDefault="00BC2F94" w:rsidP="001947FE">
      <w:pPr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1450"/>
        <w:gridCol w:w="1409"/>
        <w:gridCol w:w="1170"/>
        <w:gridCol w:w="1368"/>
        <w:gridCol w:w="1368"/>
      </w:tblGrid>
      <w:tr w:rsidR="00863262" w:rsidRPr="007B5CD4" w14:paraId="486A65C5" w14:textId="77777777" w:rsidTr="00863262">
        <w:tc>
          <w:tcPr>
            <w:tcW w:w="25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3B2CFA1" w14:textId="77777777" w:rsidR="00863262" w:rsidRPr="007B5CD4" w:rsidRDefault="00863262" w:rsidP="005F42D6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Indikacija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D440EC" w14:textId="0FF4EC6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Koncentracija lijeka  (</w:t>
            </w:r>
            <w:r w:rsidRPr="007B5CD4">
              <w:rPr>
                <w:i/>
                <w:iCs/>
                <w:color w:val="000000"/>
                <w:sz w:val="22"/>
                <w:szCs w:val="22"/>
                <w:lang w:val="sr-Latn-ME"/>
              </w:rPr>
              <w:t>mg/</w:t>
            </w:r>
            <w:r w:rsidR="002E42DB">
              <w:rPr>
                <w:i/>
                <w:iCs/>
                <w:color w:val="000000"/>
                <w:sz w:val="22"/>
                <w:szCs w:val="22"/>
                <w:lang w:val="sr-Latn-ME"/>
              </w:rPr>
              <w:t>ml</w:t>
            </w:r>
            <w:r w:rsidRPr="007B5CD4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2CB6F7B" w14:textId="6C1A09A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Zapremina lijeka</w:t>
            </w:r>
          </w:p>
          <w:p w14:paraId="1180A20B" w14:textId="421DE87C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(</w:t>
            </w:r>
            <w:r w:rsidR="002E42DB">
              <w:rPr>
                <w:i/>
                <w:iCs/>
                <w:color w:val="000000"/>
                <w:sz w:val="22"/>
                <w:szCs w:val="22"/>
                <w:lang w:val="sr-Latn-ME"/>
              </w:rPr>
              <w:t>ml</w:t>
            </w:r>
            <w:r w:rsidRPr="007B5CD4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D54A1A" w14:textId="7777777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Doza</w:t>
            </w:r>
          </w:p>
          <w:p w14:paraId="27889393" w14:textId="7777777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(</w:t>
            </w:r>
            <w:r w:rsidRPr="007B5CD4">
              <w:rPr>
                <w:i/>
                <w:iCs/>
                <w:color w:val="000000"/>
                <w:sz w:val="22"/>
                <w:szCs w:val="22"/>
                <w:lang w:val="sr-Latn-ME"/>
              </w:rPr>
              <w:t>mg</w:t>
            </w:r>
            <w:r w:rsidRPr="007B5CD4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D9236DC" w14:textId="6A9B7D66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Početak anestezije (</w:t>
            </w:r>
            <w:r w:rsidRPr="007B5CD4">
              <w:rPr>
                <w:i/>
                <w:iCs/>
                <w:color w:val="000000"/>
                <w:sz w:val="22"/>
                <w:szCs w:val="22"/>
                <w:lang w:val="sr-Latn-ME"/>
              </w:rPr>
              <w:t>min</w:t>
            </w:r>
            <w:r w:rsidRPr="007B5CD4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4F6233" w14:textId="6A2693FC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Trajanje anestezije</w:t>
            </w:r>
          </w:p>
          <w:p w14:paraId="597714EB" w14:textId="7777777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(</w:t>
            </w:r>
            <w:r w:rsidRPr="007B5CD4">
              <w:rPr>
                <w:i/>
                <w:iCs/>
                <w:color w:val="000000"/>
                <w:sz w:val="22"/>
                <w:szCs w:val="22"/>
                <w:lang w:val="sr-Latn-ME"/>
              </w:rPr>
              <w:t>sati</w:t>
            </w:r>
            <w:r w:rsidRPr="007B5CD4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</w:tr>
      <w:tr w:rsidR="00863262" w:rsidRPr="007B5CD4" w14:paraId="13EA70D5" w14:textId="77777777" w:rsidTr="00863262">
        <w:tc>
          <w:tcPr>
            <w:tcW w:w="25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C84CB4" w14:textId="01F020DF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 xml:space="preserve">Hirurške procedure na donjim ekstremitetima, uključujući i zglob kuka 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865659" w14:textId="7777777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5,0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C0FAF6" w14:textId="7777777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2-4</w:t>
            </w:r>
          </w:p>
        </w:tc>
        <w:tc>
          <w:tcPr>
            <w:tcW w:w="1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67934F" w14:textId="7777777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10-20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DCBFCB" w14:textId="7777777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5-8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C4E74D" w14:textId="77777777" w:rsidR="00863262" w:rsidRPr="007B5CD4" w:rsidRDefault="00863262" w:rsidP="001947FE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7B5CD4">
              <w:rPr>
                <w:color w:val="000000"/>
                <w:sz w:val="22"/>
                <w:szCs w:val="22"/>
                <w:lang w:val="sr-Latn-ME"/>
              </w:rPr>
              <w:t>1,5-4</w:t>
            </w:r>
          </w:p>
        </w:tc>
      </w:tr>
    </w:tbl>
    <w:p w14:paraId="6DE9DDE8" w14:textId="77777777" w:rsidR="00863262" w:rsidRPr="007B5CD4" w:rsidRDefault="00863262" w:rsidP="001947FE">
      <w:pPr>
        <w:jc w:val="both"/>
        <w:rPr>
          <w:sz w:val="22"/>
          <w:szCs w:val="22"/>
          <w:lang w:val="sr-Latn-ME"/>
        </w:rPr>
      </w:pPr>
    </w:p>
    <w:p w14:paraId="7229D88B" w14:textId="28B18D0F" w:rsidR="00863262" w:rsidRPr="007B5CD4" w:rsidRDefault="00863262" w:rsidP="001947FE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Kliničko iskustvo sa dozama većim od 20 mg nije dostupno.</w:t>
      </w:r>
    </w:p>
    <w:p w14:paraId="415A7805" w14:textId="77777777" w:rsidR="00863262" w:rsidRPr="007B5CD4" w:rsidRDefault="00863262" w:rsidP="001947FE">
      <w:pPr>
        <w:jc w:val="both"/>
        <w:rPr>
          <w:sz w:val="22"/>
          <w:szCs w:val="22"/>
          <w:lang w:val="sr-Latn-ME"/>
        </w:rPr>
      </w:pPr>
    </w:p>
    <w:p w14:paraId="4EA3E653" w14:textId="7429B4F8" w:rsidR="00BC2F94" w:rsidRPr="007B5CD4" w:rsidRDefault="00BC2F94" w:rsidP="001947FE">
      <w:pPr>
        <w:jc w:val="both"/>
        <w:rPr>
          <w:i/>
          <w:iCs/>
          <w:sz w:val="22"/>
          <w:szCs w:val="22"/>
          <w:lang w:val="sr-Latn-ME"/>
        </w:rPr>
      </w:pPr>
      <w:r w:rsidRPr="007B5CD4">
        <w:rPr>
          <w:i/>
          <w:iCs/>
          <w:sz w:val="22"/>
          <w:szCs w:val="22"/>
          <w:lang w:val="sr-Latn-ME"/>
        </w:rPr>
        <w:t xml:space="preserve">Novorođenčad, odojčad i djeca </w:t>
      </w:r>
      <w:r w:rsidR="00863262" w:rsidRPr="007B5CD4">
        <w:rPr>
          <w:i/>
          <w:iCs/>
          <w:sz w:val="22"/>
          <w:szCs w:val="22"/>
          <w:lang w:val="sr-Latn-ME"/>
        </w:rPr>
        <w:t xml:space="preserve">tjelesne mase </w:t>
      </w:r>
      <w:r w:rsidRPr="007B5CD4">
        <w:rPr>
          <w:i/>
          <w:iCs/>
          <w:sz w:val="22"/>
          <w:szCs w:val="22"/>
          <w:lang w:val="sr-Latn-ME"/>
        </w:rPr>
        <w:t>do 40 kg</w:t>
      </w:r>
    </w:p>
    <w:p w14:paraId="2FA6D1DF" w14:textId="3AC2383A" w:rsidR="00863262" w:rsidRPr="007B5CD4" w:rsidRDefault="00863262" w:rsidP="005F42D6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Lijek </w:t>
      </w:r>
      <w:r w:rsidR="00BC2F94" w:rsidRPr="007B5CD4">
        <w:rPr>
          <w:sz w:val="22"/>
          <w:szCs w:val="22"/>
          <w:lang w:val="sr-Latn-ME"/>
        </w:rPr>
        <w:t xml:space="preserve">Marcaine Spinal 0.5% se može davati djeci. </w:t>
      </w:r>
    </w:p>
    <w:p w14:paraId="00C7E961" w14:textId="756D4AA9" w:rsidR="00BC2F94" w:rsidRPr="007B5CD4" w:rsidRDefault="00BC2F94" w:rsidP="005F42D6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Jedna od razlika između male djece i odraslih je relativno velika količina cerebrospinalne tečnosti (CSF) kod novorođenčadi i </w:t>
      </w:r>
      <w:r w:rsidR="00863262" w:rsidRPr="007B5CD4">
        <w:rPr>
          <w:sz w:val="22"/>
          <w:szCs w:val="22"/>
          <w:lang w:val="sr-Latn-ME"/>
        </w:rPr>
        <w:t>odojčadi</w:t>
      </w:r>
      <w:r w:rsidRPr="007B5CD4">
        <w:rPr>
          <w:sz w:val="22"/>
          <w:szCs w:val="22"/>
          <w:lang w:val="sr-Latn-ME"/>
        </w:rPr>
        <w:t xml:space="preserve"> </w:t>
      </w:r>
      <w:r w:rsidR="00863262" w:rsidRPr="007B5CD4">
        <w:rPr>
          <w:sz w:val="22"/>
          <w:szCs w:val="22"/>
          <w:lang w:val="sr-Latn-ME"/>
        </w:rPr>
        <w:t>što znači da</w:t>
      </w:r>
      <w:r w:rsidRPr="007B5CD4">
        <w:rPr>
          <w:sz w:val="22"/>
          <w:szCs w:val="22"/>
          <w:lang w:val="sr-Latn-ME"/>
        </w:rPr>
        <w:t xml:space="preserve"> je za izazivanje iste blokade nerava potrebna veća doza (izraženo kao doza/kg težine) u poređenju sa odraslima.</w:t>
      </w:r>
    </w:p>
    <w:p w14:paraId="2E7A64E2" w14:textId="77777777" w:rsidR="00863262" w:rsidRPr="007B5CD4" w:rsidRDefault="00863262" w:rsidP="005F42D6">
      <w:pPr>
        <w:jc w:val="both"/>
        <w:rPr>
          <w:sz w:val="22"/>
          <w:szCs w:val="22"/>
          <w:lang w:val="sr-Latn-ME"/>
        </w:rPr>
      </w:pPr>
    </w:p>
    <w:p w14:paraId="1050DEF2" w14:textId="77777777" w:rsidR="00BC2F94" w:rsidRPr="007B5CD4" w:rsidRDefault="00BC2F94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Postupke regionalne anestezije kod djece treba da obavlja kvalifikovani ljekar upoznat sa tom populacijom pacijenata i tehnikama.</w:t>
      </w:r>
    </w:p>
    <w:p w14:paraId="11FAE089" w14:textId="77777777" w:rsidR="00863262" w:rsidRPr="007B5CD4" w:rsidRDefault="00863262">
      <w:pPr>
        <w:jc w:val="both"/>
        <w:rPr>
          <w:sz w:val="22"/>
          <w:szCs w:val="22"/>
          <w:lang w:val="sr-Latn-ME"/>
        </w:rPr>
      </w:pPr>
    </w:p>
    <w:p w14:paraId="66559E1A" w14:textId="3D25C409" w:rsidR="00BC2F94" w:rsidRPr="007B5CD4" w:rsidRDefault="00BC2F94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Doze navedene u tabeli treba uzimati za preporučene kod pedijatrijske populacije. Postoje pri tom individualna odstupanja. Faktori koji utiču na blokad</w:t>
      </w:r>
      <w:r w:rsidR="00863262" w:rsidRPr="007B5CD4">
        <w:rPr>
          <w:sz w:val="22"/>
          <w:szCs w:val="22"/>
          <w:lang w:val="sr-Latn-ME"/>
        </w:rPr>
        <w:t>u</w:t>
      </w:r>
      <w:r w:rsidRPr="007B5CD4">
        <w:rPr>
          <w:sz w:val="22"/>
          <w:szCs w:val="22"/>
          <w:lang w:val="sr-Latn-ME"/>
        </w:rPr>
        <w:t xml:space="preserve"> </w:t>
      </w:r>
      <w:r w:rsidR="00863262" w:rsidRPr="007B5CD4">
        <w:rPr>
          <w:sz w:val="22"/>
          <w:szCs w:val="22"/>
          <w:lang w:val="sr-Latn-ME"/>
        </w:rPr>
        <w:t xml:space="preserve">određenog </w:t>
      </w:r>
      <w:r w:rsidRPr="007B5CD4">
        <w:rPr>
          <w:sz w:val="22"/>
          <w:szCs w:val="22"/>
          <w:lang w:val="sr-Latn-ME"/>
        </w:rPr>
        <w:t>nerva su opisani u stručn</w:t>
      </w:r>
      <w:r w:rsidR="00B1400E" w:rsidRPr="007B5CD4">
        <w:rPr>
          <w:sz w:val="22"/>
          <w:szCs w:val="22"/>
          <w:lang w:val="sr-Latn-ME"/>
        </w:rPr>
        <w:t>oj literaturi</w:t>
      </w:r>
      <w:r w:rsidRPr="007B5CD4">
        <w:rPr>
          <w:sz w:val="22"/>
          <w:szCs w:val="22"/>
          <w:lang w:val="sr-Latn-ME"/>
        </w:rPr>
        <w:t>. Treba</w:t>
      </w:r>
      <w:r w:rsidR="00863262" w:rsidRPr="007B5CD4">
        <w:rPr>
          <w:sz w:val="22"/>
          <w:szCs w:val="22"/>
          <w:lang w:val="sr-Latn-ME"/>
        </w:rPr>
        <w:t xml:space="preserve"> </w:t>
      </w:r>
      <w:r w:rsidRPr="007B5CD4">
        <w:rPr>
          <w:sz w:val="22"/>
          <w:szCs w:val="22"/>
          <w:lang w:val="sr-Latn-ME"/>
        </w:rPr>
        <w:t xml:space="preserve">da se koristi </w:t>
      </w:r>
      <w:r w:rsidR="00863262" w:rsidRPr="007B5CD4">
        <w:rPr>
          <w:sz w:val="22"/>
          <w:szCs w:val="22"/>
          <w:lang w:val="sr-Latn-ME"/>
        </w:rPr>
        <w:t xml:space="preserve">najmanja </w:t>
      </w:r>
      <w:r w:rsidRPr="007B5CD4">
        <w:rPr>
          <w:sz w:val="22"/>
          <w:szCs w:val="22"/>
          <w:lang w:val="sr-Latn-ME"/>
        </w:rPr>
        <w:t xml:space="preserve">doza potrebna za dostizanje potrebne </w:t>
      </w:r>
      <w:r w:rsidR="00863262" w:rsidRPr="007B5CD4">
        <w:rPr>
          <w:sz w:val="22"/>
          <w:szCs w:val="22"/>
          <w:lang w:val="sr-Latn-ME"/>
        </w:rPr>
        <w:t xml:space="preserve">dubine </w:t>
      </w:r>
      <w:r w:rsidRPr="007B5CD4">
        <w:rPr>
          <w:sz w:val="22"/>
          <w:szCs w:val="22"/>
          <w:lang w:val="sr-Latn-ME"/>
        </w:rPr>
        <w:t xml:space="preserve">anestezije. </w:t>
      </w:r>
    </w:p>
    <w:p w14:paraId="7A005F2B" w14:textId="77777777" w:rsidR="00863262" w:rsidRPr="007B5CD4" w:rsidRDefault="0086326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4584145" w14:textId="528FF624" w:rsidR="00863262" w:rsidRPr="007B5CD4" w:rsidRDefault="00863262">
      <w:pPr>
        <w:tabs>
          <w:tab w:val="left" w:pos="284"/>
          <w:tab w:val="center" w:pos="4536"/>
          <w:tab w:val="right" w:pos="9072"/>
        </w:tabs>
        <w:spacing w:line="276" w:lineRule="auto"/>
        <w:jc w:val="both"/>
        <w:rPr>
          <w:bCs/>
          <w:i/>
          <w:iCs/>
          <w:color w:val="000000"/>
          <w:sz w:val="22"/>
          <w:szCs w:val="22"/>
          <w:lang w:val="sr-Latn-ME"/>
        </w:rPr>
      </w:pPr>
      <w:r w:rsidRPr="007B5CD4">
        <w:rPr>
          <w:b/>
          <w:color w:val="000000"/>
          <w:sz w:val="22"/>
          <w:szCs w:val="22"/>
          <w:lang w:val="sr-Latn-ME"/>
        </w:rPr>
        <w:t>Tabela 2 Preporuke za doziranje kod novorođenčadi, odojčadi i djece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18"/>
        <w:gridCol w:w="4455"/>
      </w:tblGrid>
      <w:tr w:rsidR="00863262" w:rsidRPr="007B5CD4" w14:paraId="53503DBA" w14:textId="77777777" w:rsidTr="00D63623">
        <w:trPr>
          <w:jc w:val="center"/>
        </w:trPr>
        <w:tc>
          <w:tcPr>
            <w:tcW w:w="254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8CCC5E3" w14:textId="5AB5477D" w:rsidR="00863262" w:rsidRPr="007B5CD4" w:rsidRDefault="00863262" w:rsidP="001947FE">
            <w:pPr>
              <w:spacing w:before="60" w:after="60"/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/>
              </w:rPr>
              <w:t>Tjelesna težina (kg)</w:t>
            </w:r>
          </w:p>
        </w:tc>
        <w:tc>
          <w:tcPr>
            <w:tcW w:w="245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2D07CCB" w14:textId="77777777" w:rsidR="00863262" w:rsidRPr="007B5CD4" w:rsidRDefault="00863262" w:rsidP="001947FE">
            <w:pPr>
              <w:spacing w:before="60" w:after="60"/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/>
              </w:rPr>
              <w:t>Doza (mg/kg)</w:t>
            </w:r>
          </w:p>
        </w:tc>
      </w:tr>
      <w:tr w:rsidR="00863262" w:rsidRPr="007B5CD4" w14:paraId="131EFDCD" w14:textId="77777777" w:rsidTr="00D63623">
        <w:trPr>
          <w:jc w:val="center"/>
        </w:trPr>
        <w:tc>
          <w:tcPr>
            <w:tcW w:w="254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5CFB6F" w14:textId="77777777" w:rsidR="00863262" w:rsidRPr="007B5CD4" w:rsidRDefault="00863262" w:rsidP="001947FE">
            <w:pPr>
              <w:spacing w:before="60" w:after="6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&lt;</w:t>
            </w:r>
            <w:r w:rsidRPr="007B5CD4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Pr="007B5CD4">
              <w:rPr>
                <w:sz w:val="22"/>
                <w:szCs w:val="22"/>
                <w:lang w:val="sr-Latn-ME"/>
              </w:rPr>
              <w:t>5</w:t>
            </w:r>
          </w:p>
        </w:tc>
        <w:tc>
          <w:tcPr>
            <w:tcW w:w="245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26BC9F" w14:textId="2C44D42A" w:rsidR="00863262" w:rsidRPr="007B5CD4" w:rsidRDefault="00863262" w:rsidP="001947FE">
            <w:pPr>
              <w:spacing w:before="60" w:after="6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0,40</w:t>
            </w:r>
            <w:r w:rsidRPr="007B5CD4">
              <w:rPr>
                <w:bCs/>
                <w:sz w:val="22"/>
                <w:szCs w:val="22"/>
                <w:lang w:val="sr-Latn-ME"/>
              </w:rPr>
              <w:t xml:space="preserve"> – </w:t>
            </w:r>
            <w:r w:rsidRPr="007B5CD4">
              <w:rPr>
                <w:sz w:val="22"/>
                <w:szCs w:val="22"/>
                <w:lang w:val="sr-Latn-ME"/>
              </w:rPr>
              <w:t>0,50</w:t>
            </w:r>
          </w:p>
        </w:tc>
      </w:tr>
      <w:tr w:rsidR="00863262" w:rsidRPr="007B5CD4" w14:paraId="1367F6F7" w14:textId="77777777" w:rsidTr="00D63623">
        <w:trPr>
          <w:jc w:val="center"/>
        </w:trPr>
        <w:tc>
          <w:tcPr>
            <w:tcW w:w="25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B5360" w14:textId="6CDE7472" w:rsidR="00863262" w:rsidRPr="007B5CD4" w:rsidRDefault="00863262" w:rsidP="001947FE">
            <w:pPr>
              <w:spacing w:before="60" w:after="6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 xml:space="preserve">5 do </w:t>
            </w:r>
            <w:r w:rsidRPr="007B5CD4">
              <w:rPr>
                <w:bCs/>
                <w:sz w:val="22"/>
                <w:szCs w:val="22"/>
                <w:lang w:val="sr-Latn-ME"/>
              </w:rPr>
              <w:t>1</w:t>
            </w:r>
            <w:r w:rsidR="00B1400E" w:rsidRPr="007B5CD4">
              <w:rPr>
                <w:bCs/>
                <w:sz w:val="22"/>
                <w:szCs w:val="22"/>
                <w:lang w:val="sr-Latn-ME"/>
              </w:rPr>
              <w:t>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A62AB" w14:textId="772524C4" w:rsidR="00863262" w:rsidRPr="007B5CD4" w:rsidRDefault="00863262" w:rsidP="001947FE">
            <w:pPr>
              <w:spacing w:before="60" w:after="6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0,30</w:t>
            </w:r>
            <w:r w:rsidRPr="007B5CD4">
              <w:rPr>
                <w:bCs/>
                <w:sz w:val="22"/>
                <w:szCs w:val="22"/>
                <w:lang w:val="sr-Latn-ME"/>
              </w:rPr>
              <w:t xml:space="preserve"> – </w:t>
            </w:r>
            <w:r w:rsidRPr="007B5CD4">
              <w:rPr>
                <w:sz w:val="22"/>
                <w:szCs w:val="22"/>
                <w:lang w:val="sr-Latn-ME"/>
              </w:rPr>
              <w:t xml:space="preserve">0,40 </w:t>
            </w:r>
          </w:p>
        </w:tc>
      </w:tr>
      <w:tr w:rsidR="00863262" w:rsidRPr="007B5CD4" w14:paraId="063290F0" w14:textId="77777777" w:rsidTr="00D63623">
        <w:trPr>
          <w:jc w:val="center"/>
        </w:trPr>
        <w:tc>
          <w:tcPr>
            <w:tcW w:w="254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7A2817" w14:textId="77777777" w:rsidR="00863262" w:rsidRPr="007B5CD4" w:rsidRDefault="00863262" w:rsidP="001947FE">
            <w:pPr>
              <w:spacing w:before="60" w:after="6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15 do 40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60C355" w14:textId="136A1BCC" w:rsidR="00863262" w:rsidRPr="007B5CD4" w:rsidRDefault="00863262" w:rsidP="001947FE">
            <w:pPr>
              <w:spacing w:before="60" w:after="6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0,25</w:t>
            </w:r>
            <w:r w:rsidRPr="007B5CD4">
              <w:rPr>
                <w:bCs/>
                <w:sz w:val="22"/>
                <w:szCs w:val="22"/>
                <w:lang w:val="sr-Latn-ME"/>
              </w:rPr>
              <w:t xml:space="preserve"> – </w:t>
            </w:r>
            <w:r w:rsidRPr="007B5CD4">
              <w:rPr>
                <w:sz w:val="22"/>
                <w:szCs w:val="22"/>
                <w:lang w:val="sr-Latn-ME"/>
              </w:rPr>
              <w:t xml:space="preserve">0,30 </w:t>
            </w:r>
          </w:p>
        </w:tc>
      </w:tr>
    </w:tbl>
    <w:p w14:paraId="57C3F8BE" w14:textId="77777777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1D6127" w14:textId="77777777" w:rsidR="00452E9D" w:rsidRPr="007B5CD4" w:rsidRDefault="00452E9D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224FBD1" w14:textId="77777777" w:rsidR="00452E9D" w:rsidRPr="007B5CD4" w:rsidRDefault="00452E9D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B5CD4">
        <w:rPr>
          <w:bCs/>
          <w:sz w:val="22"/>
          <w:szCs w:val="22"/>
          <w:u w:val="single"/>
          <w:lang w:val="sr-Latn-ME"/>
        </w:rPr>
        <w:t>Način primjene</w:t>
      </w:r>
    </w:p>
    <w:p w14:paraId="3FDD7B49" w14:textId="7A08FE6D" w:rsidR="00452E9D" w:rsidRPr="007B5CD4" w:rsidRDefault="00863262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Intratekalna upotreba. Preporučuje se da se injekcija primijeni ispod L3.</w:t>
      </w:r>
    </w:p>
    <w:bookmarkEnd w:id="1"/>
    <w:p w14:paraId="6B8D1B63" w14:textId="77777777" w:rsidR="00863262" w:rsidRPr="007B5CD4" w:rsidRDefault="00863262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CF6AC0" w14:textId="77777777" w:rsidR="00411B4B" w:rsidRPr="007B5CD4" w:rsidRDefault="00411B4B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4.3.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Kontraindikacije</w:t>
      </w:r>
    </w:p>
    <w:p w14:paraId="612EA447" w14:textId="77777777" w:rsidR="00BC2F94" w:rsidRPr="007B5CD4" w:rsidRDefault="00BC2F94" w:rsidP="005F42D6">
      <w:pPr>
        <w:jc w:val="both"/>
        <w:rPr>
          <w:rFonts w:eastAsia="Calibri"/>
          <w:sz w:val="22"/>
          <w:szCs w:val="22"/>
          <w:lang w:val="sr-Latn-ME"/>
        </w:rPr>
      </w:pPr>
    </w:p>
    <w:p w14:paraId="21600DD5" w14:textId="283D1202" w:rsidR="00863262" w:rsidRPr="007B5CD4" w:rsidRDefault="00863262" w:rsidP="005F42D6">
      <w:p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Preosjetljivost na aktivnu supstancu, lokalne anestetike amidskog tipa ili na bilo koju od pomoćnih supstanci navedenih u dijelu 6.1.</w:t>
      </w:r>
    </w:p>
    <w:p w14:paraId="08E5BD6F" w14:textId="77777777" w:rsidR="00863262" w:rsidRPr="007B5CD4" w:rsidRDefault="00863262" w:rsidP="005F42D6">
      <w:pPr>
        <w:jc w:val="both"/>
        <w:rPr>
          <w:rFonts w:eastAsia="Calibri"/>
          <w:sz w:val="22"/>
          <w:szCs w:val="22"/>
          <w:lang w:val="sr-Latn-ME"/>
        </w:rPr>
      </w:pPr>
    </w:p>
    <w:p w14:paraId="470A780C" w14:textId="49E89897" w:rsidR="00BC2F94" w:rsidRPr="007B5CD4" w:rsidRDefault="00BC2F94">
      <w:p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Treba imati u vidu opšte kontraindikacije koje se odnose na </w:t>
      </w:r>
      <w:r w:rsidR="00863262" w:rsidRPr="007B5CD4">
        <w:rPr>
          <w:rFonts w:eastAsia="Calibri"/>
          <w:sz w:val="22"/>
          <w:szCs w:val="22"/>
          <w:lang w:val="sr-Latn-ME"/>
        </w:rPr>
        <w:t>subarahnoidalnu</w:t>
      </w:r>
      <w:r w:rsidRPr="007B5CD4">
        <w:rPr>
          <w:rFonts w:eastAsia="Calibri"/>
          <w:sz w:val="22"/>
          <w:szCs w:val="22"/>
          <w:lang w:val="sr-Latn-ME"/>
        </w:rPr>
        <w:t xml:space="preserve"> anesteziju.</w:t>
      </w:r>
    </w:p>
    <w:p w14:paraId="77AC368D" w14:textId="77777777" w:rsidR="00BC2F94" w:rsidRPr="007B5CD4" w:rsidRDefault="00BC2F94">
      <w:pPr>
        <w:numPr>
          <w:ilvl w:val="0"/>
          <w:numId w:val="12"/>
        </w:num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Akutno aktivno oboljenje centralnog nervnog sistema, npr. meningitis, tumori, poliomijelitis i kranijalno krvarenje.</w:t>
      </w:r>
    </w:p>
    <w:p w14:paraId="24B5C964" w14:textId="610CDEB5" w:rsidR="00BC2F94" w:rsidRPr="007B5CD4" w:rsidRDefault="00083DA3">
      <w:pPr>
        <w:numPr>
          <w:ilvl w:val="0"/>
          <w:numId w:val="12"/>
        </w:num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Stenoza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i aktivno oboljenje (npr. spondiloza, tuberkuloza, tumor) ili nedavna trauma (npr. fraktura) kičme.</w:t>
      </w:r>
    </w:p>
    <w:p w14:paraId="6CFBD911" w14:textId="77777777" w:rsidR="00BC2F94" w:rsidRPr="007B5CD4" w:rsidRDefault="00BC2F94">
      <w:pPr>
        <w:numPr>
          <w:ilvl w:val="0"/>
          <w:numId w:val="12"/>
        </w:num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Sepsa. </w:t>
      </w:r>
    </w:p>
    <w:p w14:paraId="14C355EB" w14:textId="77777777" w:rsidR="00BC2F94" w:rsidRPr="007B5CD4" w:rsidRDefault="00BC2F94">
      <w:pPr>
        <w:numPr>
          <w:ilvl w:val="0"/>
          <w:numId w:val="12"/>
        </w:num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Subakutna degeneracija kičmene moždine usljed perniciozne anemije. </w:t>
      </w:r>
    </w:p>
    <w:p w14:paraId="24C3CBD9" w14:textId="18CB7ECC" w:rsidR="00BC2F94" w:rsidRPr="007B5CD4" w:rsidRDefault="00BC2F94">
      <w:pPr>
        <w:numPr>
          <w:ilvl w:val="0"/>
          <w:numId w:val="12"/>
        </w:num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Piogena infekcija kože na mjestu punkcije i</w:t>
      </w:r>
      <w:r w:rsidR="00083DA3" w:rsidRPr="007B5CD4">
        <w:rPr>
          <w:rFonts w:eastAsia="Calibri"/>
          <w:sz w:val="22"/>
          <w:szCs w:val="22"/>
          <w:lang w:val="sr-Latn-ME"/>
        </w:rPr>
        <w:t>li</w:t>
      </w:r>
      <w:r w:rsidRPr="007B5CD4">
        <w:rPr>
          <w:rFonts w:eastAsia="Calibri"/>
          <w:sz w:val="22"/>
          <w:szCs w:val="22"/>
          <w:lang w:val="sr-Latn-ME"/>
        </w:rPr>
        <w:t xml:space="preserve"> neposrednoj okolini. </w:t>
      </w:r>
    </w:p>
    <w:p w14:paraId="06701582" w14:textId="286DE01A" w:rsidR="00BC2F94" w:rsidRPr="007B5CD4" w:rsidRDefault="00BC2F94">
      <w:pPr>
        <w:numPr>
          <w:ilvl w:val="0"/>
          <w:numId w:val="12"/>
        </w:num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Kardiogeni </w:t>
      </w:r>
      <w:r w:rsidR="00083DA3" w:rsidRPr="007B5CD4">
        <w:rPr>
          <w:rFonts w:eastAsia="Calibri"/>
          <w:sz w:val="22"/>
          <w:szCs w:val="22"/>
          <w:lang w:val="sr-Latn-ME"/>
        </w:rPr>
        <w:t>il</w:t>
      </w:r>
      <w:r w:rsidRPr="007B5CD4">
        <w:rPr>
          <w:rFonts w:eastAsia="Calibri"/>
          <w:sz w:val="22"/>
          <w:szCs w:val="22"/>
          <w:lang w:val="sr-Latn-ME"/>
        </w:rPr>
        <w:t>i hipovolemijski šok.</w:t>
      </w:r>
    </w:p>
    <w:p w14:paraId="14F5CF41" w14:textId="45C8B59F" w:rsidR="00BC2F94" w:rsidRPr="007B5CD4" w:rsidRDefault="00BC2F94">
      <w:pPr>
        <w:numPr>
          <w:ilvl w:val="0"/>
          <w:numId w:val="12"/>
        </w:num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Poremećaj koagulacije ili antikoagulantna terapija.</w:t>
      </w:r>
    </w:p>
    <w:p w14:paraId="663F094F" w14:textId="10DE51E8" w:rsidR="0072020E" w:rsidRDefault="0072020E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F8DA31" w14:textId="4CF4F150" w:rsidR="007B5CD4" w:rsidRDefault="007B5CD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DA63D3" w14:textId="5AB26579" w:rsidR="007B5CD4" w:rsidRDefault="007B5CD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EBBE8F" w14:textId="1644F46A" w:rsidR="007B5CD4" w:rsidRDefault="007B5CD4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45B0D5" w14:textId="77777777" w:rsidR="00C46E3C" w:rsidRPr="007B5CD4" w:rsidRDefault="00C46E3C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55196E" w14:textId="77777777" w:rsidR="00411B4B" w:rsidRPr="007B5CD4" w:rsidRDefault="00411B4B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lastRenderedPageBreak/>
        <w:t xml:space="preserve">4.4.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C7896ED" w14:textId="77777777" w:rsidR="00083DA3" w:rsidRPr="007B5CD4" w:rsidRDefault="00083DA3" w:rsidP="005F42D6">
      <w:pPr>
        <w:jc w:val="both"/>
        <w:rPr>
          <w:rFonts w:eastAsia="Calibri"/>
          <w:sz w:val="22"/>
          <w:szCs w:val="22"/>
          <w:lang w:val="sr-Latn-ME"/>
        </w:rPr>
      </w:pPr>
    </w:p>
    <w:p w14:paraId="2CBFF360" w14:textId="3930F061" w:rsidR="00083DA3" w:rsidRPr="007B5CD4" w:rsidRDefault="00083DA3" w:rsidP="005F42D6">
      <w:p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Subarahnoidalna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anestezij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je moguće sprovoditi samo </w:t>
      </w:r>
      <w:r w:rsidRPr="007B5CD4">
        <w:rPr>
          <w:rFonts w:eastAsia="Calibri"/>
          <w:sz w:val="22"/>
          <w:szCs w:val="22"/>
          <w:lang w:val="sr-Latn-ME"/>
        </w:rPr>
        <w:t>u prostoru koji je adekvatno opre</w:t>
      </w:r>
      <w:r w:rsidR="002E42DB">
        <w:rPr>
          <w:rFonts w:eastAsia="Calibri"/>
          <w:sz w:val="22"/>
          <w:szCs w:val="22"/>
          <w:lang w:val="sr-Latn-ME"/>
        </w:rPr>
        <w:t>ml</w:t>
      </w:r>
      <w:r w:rsidRPr="007B5CD4">
        <w:rPr>
          <w:rFonts w:eastAsia="Calibri"/>
          <w:sz w:val="22"/>
          <w:szCs w:val="22"/>
          <w:lang w:val="sr-Latn-ME"/>
        </w:rPr>
        <w:t>jen, tj</w:t>
      </w:r>
      <w:r w:rsidR="00BC2F94" w:rsidRPr="007B5CD4">
        <w:rPr>
          <w:rFonts w:eastAsia="Calibri"/>
          <w:sz w:val="22"/>
          <w:szCs w:val="22"/>
          <w:lang w:val="sr-Latn-ME"/>
        </w:rPr>
        <w:t>. u potpuno opre</w:t>
      </w:r>
      <w:r w:rsidR="002E42DB">
        <w:rPr>
          <w:rFonts w:eastAsia="Calibri"/>
          <w:sz w:val="22"/>
          <w:szCs w:val="22"/>
          <w:lang w:val="sr-Latn-ME"/>
        </w:rPr>
        <w:t>ml</w:t>
      </w:r>
      <w:r w:rsidR="00BC2F94" w:rsidRPr="007B5CD4">
        <w:rPr>
          <w:rFonts w:eastAsia="Calibri"/>
          <w:sz w:val="22"/>
          <w:szCs w:val="22"/>
          <w:lang w:val="sr-Latn-ME"/>
        </w:rPr>
        <w:t>jen</w:t>
      </w:r>
      <w:r w:rsidRPr="007B5CD4">
        <w:rPr>
          <w:rFonts w:eastAsia="Calibri"/>
          <w:sz w:val="22"/>
          <w:szCs w:val="22"/>
          <w:lang w:val="sr-Latn-ME"/>
        </w:rPr>
        <w:t>oj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operacion</w:t>
      </w:r>
      <w:r w:rsidRPr="007B5CD4">
        <w:rPr>
          <w:rFonts w:eastAsia="Calibri"/>
          <w:sz w:val="22"/>
          <w:szCs w:val="22"/>
          <w:lang w:val="sr-Latn-ME"/>
        </w:rPr>
        <w:t>oj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sal</w:t>
      </w:r>
      <w:r w:rsidRPr="007B5CD4">
        <w:rPr>
          <w:rFonts w:eastAsia="Calibri"/>
          <w:sz w:val="22"/>
          <w:szCs w:val="22"/>
          <w:lang w:val="sr-Latn-ME"/>
        </w:rPr>
        <w:t>i</w:t>
      </w:r>
      <w:r w:rsidR="00BC2F94" w:rsidRPr="007B5CD4">
        <w:rPr>
          <w:rFonts w:eastAsia="Calibri"/>
          <w:sz w:val="22"/>
          <w:szCs w:val="22"/>
          <w:lang w:val="sr-Latn-ME"/>
        </w:rPr>
        <w:t>, gd</w:t>
      </w:r>
      <w:r w:rsidRPr="007B5CD4">
        <w:rPr>
          <w:rFonts w:eastAsia="Calibri"/>
          <w:sz w:val="22"/>
          <w:szCs w:val="22"/>
          <w:lang w:val="sr-Latn-ME"/>
        </w:rPr>
        <w:t>j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e </w:t>
      </w:r>
      <w:r w:rsidRPr="007B5CD4">
        <w:rPr>
          <w:rFonts w:eastAsia="Calibri"/>
          <w:sz w:val="22"/>
          <w:szCs w:val="22"/>
          <w:lang w:val="sr-Latn-ME"/>
        </w:rPr>
        <w:t>su dostupni oprema i ljekovi za reanimaciju, uz prisustvo odgovarajućeg osoblja.</w:t>
      </w:r>
    </w:p>
    <w:p w14:paraId="301691F5" w14:textId="77777777" w:rsidR="00083DA3" w:rsidRPr="007B5CD4" w:rsidRDefault="00083DA3" w:rsidP="005F42D6">
      <w:pPr>
        <w:jc w:val="both"/>
        <w:rPr>
          <w:rFonts w:eastAsia="Calibri"/>
          <w:sz w:val="22"/>
          <w:szCs w:val="22"/>
          <w:lang w:val="sr-Latn-ME"/>
        </w:rPr>
      </w:pPr>
    </w:p>
    <w:p w14:paraId="38803D60" w14:textId="44696F41" w:rsidR="00BC2F94" w:rsidRPr="007B5CD4" w:rsidRDefault="00BC2F94">
      <w:p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Slično kao drugi lokalni anestetici, bupivakain može da izazove centralne i kardiovaskularne manifestacije akutne toksičnosti, </w:t>
      </w:r>
      <w:r w:rsidR="00083DA3" w:rsidRPr="007B5CD4">
        <w:rPr>
          <w:rFonts w:eastAsia="Calibri"/>
          <w:sz w:val="22"/>
          <w:szCs w:val="22"/>
          <w:lang w:val="sr-Latn-ME"/>
        </w:rPr>
        <w:t>kada se koristi u procedurama lokalne anestezije u dozama koje daju visoke koncentracije u krvnoj plazmi.</w:t>
      </w:r>
      <w:r w:rsidRPr="007B5CD4">
        <w:rPr>
          <w:rFonts w:eastAsia="Calibri"/>
          <w:sz w:val="22"/>
          <w:szCs w:val="22"/>
          <w:lang w:val="sr-Latn-ME"/>
        </w:rPr>
        <w:t xml:space="preserve"> To je naročito značajno kod slučajne intravaskularne aplikacije ili injekcije u visoko vaskularizovanim djelovima tijela. Ventrikularne aritmije, ventrikularne fibrilacije, naprasni kardiovaskularni kolaps i smrt prijavljeni su u slučajevima kada je postojala visoka koncentracija bupivakaina u krvi. Međutim, visoke sistemske koncentracije se ne očekuju pri dozama koje se uobičajeno koriste za </w:t>
      </w:r>
      <w:r w:rsidR="00083DA3" w:rsidRPr="007B5CD4">
        <w:rPr>
          <w:rFonts w:eastAsia="Calibri"/>
          <w:sz w:val="22"/>
          <w:szCs w:val="22"/>
          <w:lang w:val="sr-Latn-ME"/>
        </w:rPr>
        <w:t>subarahnoidalnu</w:t>
      </w:r>
      <w:r w:rsidRPr="007B5CD4">
        <w:rPr>
          <w:rFonts w:eastAsia="Calibri"/>
          <w:sz w:val="22"/>
          <w:szCs w:val="22"/>
          <w:lang w:val="sr-Latn-ME"/>
        </w:rPr>
        <w:t xml:space="preserve"> anesteziju.</w:t>
      </w:r>
    </w:p>
    <w:p w14:paraId="5BAF9680" w14:textId="77777777" w:rsidR="00083DA3" w:rsidRPr="007B5CD4" w:rsidRDefault="00083DA3">
      <w:pPr>
        <w:jc w:val="both"/>
        <w:rPr>
          <w:rFonts w:eastAsia="Calibri"/>
          <w:sz w:val="22"/>
          <w:szCs w:val="22"/>
          <w:lang w:val="sr-Latn-ME"/>
        </w:rPr>
      </w:pPr>
    </w:p>
    <w:p w14:paraId="2ABF5E99" w14:textId="1BDDF94A" w:rsidR="00BC2F94" w:rsidRPr="007B5CD4" w:rsidRDefault="00BC2F94">
      <w:p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Prije aplikacije lokalnog anestetika u </w:t>
      </w:r>
      <w:r w:rsidR="00083DA3" w:rsidRPr="007B5CD4">
        <w:rPr>
          <w:rFonts w:eastAsia="Calibri"/>
          <w:sz w:val="22"/>
          <w:szCs w:val="22"/>
          <w:lang w:val="sr-Latn-ME"/>
        </w:rPr>
        <w:t>subarahnoidalni</w:t>
      </w:r>
      <w:r w:rsidRPr="007B5CD4">
        <w:rPr>
          <w:rFonts w:eastAsia="Calibri"/>
          <w:sz w:val="22"/>
          <w:szCs w:val="22"/>
          <w:lang w:val="sr-Latn-ME"/>
        </w:rPr>
        <w:t xml:space="preserve"> prostor mora da bude obezbijeđen venski pristup.</w:t>
      </w:r>
    </w:p>
    <w:p w14:paraId="24E591AF" w14:textId="77777777" w:rsidR="00083DA3" w:rsidRPr="007B5CD4" w:rsidRDefault="00083DA3">
      <w:pPr>
        <w:jc w:val="both"/>
        <w:rPr>
          <w:rFonts w:eastAsia="Calibri"/>
          <w:sz w:val="22"/>
          <w:szCs w:val="22"/>
          <w:lang w:val="sr-Latn-ME"/>
        </w:rPr>
      </w:pPr>
    </w:p>
    <w:p w14:paraId="0A9CDB71" w14:textId="73FA5B40" w:rsidR="00BC2F94" w:rsidRPr="007B5CD4" w:rsidRDefault="00BC2F94">
      <w:p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Ljekar-anesteziolog odgovoran za vođenje anestezije mora da </w:t>
      </w:r>
      <w:r w:rsidR="00083DA3" w:rsidRPr="007B5CD4">
        <w:rPr>
          <w:rFonts w:eastAsia="Calibri"/>
          <w:sz w:val="22"/>
          <w:szCs w:val="22"/>
          <w:lang w:val="sr-Latn-ME"/>
        </w:rPr>
        <w:t>preduzme odgovarajuće mjere</w:t>
      </w:r>
      <w:r w:rsidRPr="007B5CD4">
        <w:rPr>
          <w:rFonts w:eastAsia="Calibri"/>
          <w:sz w:val="22"/>
          <w:szCs w:val="22"/>
          <w:lang w:val="sr-Latn-ME"/>
        </w:rPr>
        <w:t xml:space="preserve"> tako da </w:t>
      </w:r>
      <w:r w:rsidR="00083DA3" w:rsidRPr="007B5CD4">
        <w:rPr>
          <w:rFonts w:eastAsia="Calibri"/>
          <w:sz w:val="22"/>
          <w:szCs w:val="22"/>
          <w:lang w:val="sr-Latn-ME"/>
        </w:rPr>
        <w:t>se izbjegne</w:t>
      </w:r>
      <w:r w:rsidRPr="007B5CD4">
        <w:rPr>
          <w:rFonts w:eastAsia="Calibri"/>
          <w:sz w:val="22"/>
          <w:szCs w:val="22"/>
          <w:lang w:val="sr-Latn-ME"/>
        </w:rPr>
        <w:t xml:space="preserve"> intravaskularn</w:t>
      </w:r>
      <w:r w:rsidR="00083DA3" w:rsidRPr="007B5CD4">
        <w:rPr>
          <w:rFonts w:eastAsia="Calibri"/>
          <w:sz w:val="22"/>
          <w:szCs w:val="22"/>
          <w:lang w:val="sr-Latn-ME"/>
        </w:rPr>
        <w:t>a</w:t>
      </w:r>
      <w:r w:rsidRPr="007B5CD4">
        <w:rPr>
          <w:rFonts w:eastAsia="Calibri"/>
          <w:sz w:val="22"/>
          <w:szCs w:val="22"/>
          <w:lang w:val="sr-Latn-ME"/>
        </w:rPr>
        <w:t xml:space="preserve"> </w:t>
      </w:r>
      <w:r w:rsidR="00083DA3" w:rsidRPr="007B5CD4">
        <w:rPr>
          <w:rFonts w:eastAsia="Calibri"/>
          <w:sz w:val="22"/>
          <w:szCs w:val="22"/>
          <w:lang w:val="sr-Latn-ME"/>
        </w:rPr>
        <w:t xml:space="preserve">primjena </w:t>
      </w:r>
      <w:r w:rsidRPr="007B5CD4">
        <w:rPr>
          <w:rFonts w:eastAsia="Calibri"/>
          <w:sz w:val="22"/>
          <w:szCs w:val="22"/>
          <w:lang w:val="sr-Latn-ME"/>
        </w:rPr>
        <w:t>lijeka</w:t>
      </w:r>
      <w:r w:rsidR="00083DA3" w:rsidRPr="007B5CD4">
        <w:rPr>
          <w:sz w:val="22"/>
          <w:szCs w:val="22"/>
          <w:lang w:val="sr-Latn-ME"/>
        </w:rPr>
        <w:t xml:space="preserve"> </w:t>
      </w:r>
      <w:r w:rsidR="00083DA3" w:rsidRPr="007B5CD4">
        <w:rPr>
          <w:rFonts w:eastAsia="Calibri"/>
          <w:sz w:val="22"/>
          <w:szCs w:val="22"/>
          <w:lang w:val="sr-Latn-ME"/>
        </w:rPr>
        <w:t>Marcaine Spinal 0.5%</w:t>
      </w:r>
      <w:r w:rsidRPr="007B5CD4">
        <w:rPr>
          <w:rFonts w:eastAsia="Calibri"/>
          <w:sz w:val="22"/>
          <w:szCs w:val="22"/>
          <w:lang w:val="sr-Latn-ME"/>
        </w:rPr>
        <w:t xml:space="preserve"> i mora da bude upoznat sa postupcima dijagnostike i liječenja neželjenih dejstava, sistemske toksičnosti i drugih komplikacija. Ako se pojave znaci toksičnosti ili potpuna spinalna blokada, potrebno je odmah prekinuti</w:t>
      </w:r>
      <w:r w:rsidR="000031FB" w:rsidRPr="007B5CD4">
        <w:rPr>
          <w:sz w:val="22"/>
          <w:szCs w:val="22"/>
          <w:lang w:val="sr-Latn-ME"/>
        </w:rPr>
        <w:t xml:space="preserve"> </w:t>
      </w:r>
      <w:r w:rsidR="000031FB" w:rsidRPr="007B5CD4">
        <w:rPr>
          <w:rFonts w:eastAsia="Calibri"/>
          <w:sz w:val="22"/>
          <w:szCs w:val="22"/>
          <w:lang w:val="sr-Latn-ME"/>
        </w:rPr>
        <w:t>primjenu lijeka Marcaine Spinal 0.5%</w:t>
      </w:r>
      <w:r w:rsidRPr="007B5CD4">
        <w:rPr>
          <w:rFonts w:eastAsia="Calibri"/>
          <w:sz w:val="22"/>
          <w:szCs w:val="22"/>
          <w:lang w:val="sr-Latn-ME"/>
        </w:rPr>
        <w:t xml:space="preserve"> (</w:t>
      </w:r>
      <w:r w:rsidR="000031FB" w:rsidRPr="007B5CD4">
        <w:rPr>
          <w:rFonts w:eastAsia="Calibri"/>
          <w:sz w:val="22"/>
          <w:szCs w:val="22"/>
          <w:lang w:val="sr-Latn-ME"/>
        </w:rPr>
        <w:t>v</w:t>
      </w:r>
      <w:r w:rsidRPr="007B5CD4">
        <w:rPr>
          <w:rFonts w:eastAsia="Calibri"/>
          <w:sz w:val="22"/>
          <w:szCs w:val="22"/>
          <w:lang w:val="sr-Latn-ME"/>
        </w:rPr>
        <w:t xml:space="preserve">idjeti </w:t>
      </w:r>
      <w:r w:rsidR="000031FB" w:rsidRPr="007B5CD4">
        <w:rPr>
          <w:rFonts w:eastAsia="Calibri"/>
          <w:sz w:val="22"/>
          <w:szCs w:val="22"/>
          <w:lang w:val="sr-Latn-ME"/>
        </w:rPr>
        <w:t xml:space="preserve">dio </w:t>
      </w:r>
      <w:r w:rsidRPr="007B5CD4">
        <w:rPr>
          <w:rFonts w:eastAsia="Calibri"/>
          <w:sz w:val="22"/>
          <w:szCs w:val="22"/>
          <w:lang w:val="sr-Latn-ME"/>
        </w:rPr>
        <w:t>4.8 i 4.9).</w:t>
      </w:r>
    </w:p>
    <w:p w14:paraId="5E0A5878" w14:textId="77777777" w:rsidR="000031FB" w:rsidRPr="007B5CD4" w:rsidRDefault="000031FB">
      <w:pPr>
        <w:jc w:val="both"/>
        <w:rPr>
          <w:rFonts w:eastAsia="Calibri"/>
          <w:sz w:val="22"/>
          <w:szCs w:val="22"/>
          <w:lang w:val="sr-Latn-ME"/>
        </w:rPr>
      </w:pPr>
    </w:p>
    <w:p w14:paraId="3E9B38F2" w14:textId="556CD223" w:rsidR="00BC2F94" w:rsidRPr="007B5CD4" w:rsidRDefault="00BC2F94">
      <w:pPr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Iako regionalna anestezija često predstavlja optimalnu tehniku, kod nekih pacijenata je potreb</w:t>
      </w:r>
      <w:r w:rsidR="00B1400E" w:rsidRPr="007B5CD4">
        <w:rPr>
          <w:rFonts w:eastAsia="Calibri"/>
          <w:sz w:val="22"/>
          <w:szCs w:val="22"/>
          <w:lang w:val="sr-Latn-ME"/>
        </w:rPr>
        <w:t>a</w:t>
      </w:r>
      <w:r w:rsidRPr="007B5CD4">
        <w:rPr>
          <w:rFonts w:eastAsia="Calibri"/>
          <w:sz w:val="22"/>
          <w:szCs w:val="22"/>
          <w:lang w:val="sr-Latn-ME"/>
        </w:rPr>
        <w:t>n</w:t>
      </w:r>
      <w:r w:rsidR="00B1400E" w:rsidRPr="007B5CD4">
        <w:rPr>
          <w:rFonts w:eastAsia="Calibri"/>
          <w:sz w:val="22"/>
          <w:szCs w:val="22"/>
          <w:lang w:val="sr-Latn-ME"/>
        </w:rPr>
        <w:t xml:space="preserve"> </w:t>
      </w:r>
      <w:r w:rsidRPr="007B5CD4">
        <w:rPr>
          <w:rFonts w:eastAsia="Calibri"/>
          <w:sz w:val="22"/>
          <w:szCs w:val="22"/>
          <w:lang w:val="sr-Latn-ME"/>
        </w:rPr>
        <w:t xml:space="preserve">povećan </w:t>
      </w:r>
      <w:r w:rsidR="00B1400E" w:rsidRPr="007B5CD4">
        <w:rPr>
          <w:rFonts w:eastAsia="Calibri"/>
          <w:sz w:val="22"/>
          <w:szCs w:val="22"/>
          <w:lang w:val="sr-Latn-ME"/>
        </w:rPr>
        <w:t>oprez</w:t>
      </w:r>
      <w:r w:rsidRPr="007B5CD4">
        <w:rPr>
          <w:rFonts w:eastAsia="Calibri"/>
          <w:sz w:val="22"/>
          <w:szCs w:val="22"/>
          <w:lang w:val="sr-Latn-ME"/>
        </w:rPr>
        <w:t xml:space="preserve"> da bi se smanjio rizik od ozbiljnih neželjenih dejstava:</w:t>
      </w:r>
    </w:p>
    <w:p w14:paraId="63E46CE9" w14:textId="1BE7238E" w:rsidR="00BC2F94" w:rsidRPr="007B5CD4" w:rsidRDefault="00BC2F94">
      <w:pPr>
        <w:numPr>
          <w:ilvl w:val="0"/>
          <w:numId w:val="13"/>
        </w:numPr>
        <w:ind w:left="993" w:hanging="426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 stariji pacijenti i pacijenti lošeg opšteg stanja</w:t>
      </w:r>
    </w:p>
    <w:p w14:paraId="4D330E0C" w14:textId="0D4BACD2" w:rsidR="00BC2F94" w:rsidRPr="007B5CD4" w:rsidRDefault="00BC2F94">
      <w:pPr>
        <w:numPr>
          <w:ilvl w:val="0"/>
          <w:numId w:val="13"/>
        </w:numPr>
        <w:ind w:left="851" w:hanging="284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   pacijentkinje u </w:t>
      </w:r>
      <w:r w:rsidR="000031FB" w:rsidRPr="007B5CD4">
        <w:rPr>
          <w:rFonts w:eastAsia="Calibri"/>
          <w:sz w:val="22"/>
          <w:szCs w:val="22"/>
          <w:lang w:val="sr-Latn-ME"/>
        </w:rPr>
        <w:t>po</w:t>
      </w:r>
      <w:r w:rsidRPr="007B5CD4">
        <w:rPr>
          <w:rFonts w:eastAsia="Calibri"/>
          <w:sz w:val="22"/>
          <w:szCs w:val="22"/>
          <w:lang w:val="sr-Latn-ME"/>
        </w:rPr>
        <w:t>odmaklom stadijumu trudnoće</w:t>
      </w:r>
    </w:p>
    <w:p w14:paraId="3AAEAF50" w14:textId="2B31AA8A" w:rsidR="00BC2F94" w:rsidRPr="007B5CD4" w:rsidRDefault="00BC2F94">
      <w:pPr>
        <w:numPr>
          <w:ilvl w:val="0"/>
          <w:numId w:val="13"/>
        </w:numPr>
        <w:ind w:left="993" w:hanging="426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pacijenti s djelimičnom ili potpunom blokadom sistema srčane provodljivosti, jer lokalni anestetici mogu da uspore srčanu provodljivost</w:t>
      </w:r>
    </w:p>
    <w:p w14:paraId="5A885871" w14:textId="581647B8" w:rsidR="00BC2F94" w:rsidRPr="007B5CD4" w:rsidRDefault="00BC2F94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pacijenti sa </w:t>
      </w:r>
      <w:r w:rsidR="000031FB" w:rsidRPr="007B5CD4">
        <w:rPr>
          <w:rFonts w:eastAsia="Calibri"/>
          <w:sz w:val="22"/>
          <w:szCs w:val="22"/>
          <w:lang w:val="sr-Latn-ME"/>
        </w:rPr>
        <w:t>uznapredovalim</w:t>
      </w:r>
      <w:r w:rsidRPr="007B5CD4">
        <w:rPr>
          <w:rFonts w:eastAsia="Calibri"/>
          <w:sz w:val="22"/>
          <w:szCs w:val="22"/>
          <w:lang w:val="sr-Latn-ME"/>
        </w:rPr>
        <w:t xml:space="preserve"> oštećenjem jetre ili teškom bubrežnom insuficijencijom</w:t>
      </w:r>
    </w:p>
    <w:p w14:paraId="3BB5D2B9" w14:textId="570C6AA3" w:rsidR="00BC2F94" w:rsidRPr="007B5CD4" w:rsidRDefault="00BC2F94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pacijenti sa hipovolemijom jer se tokom </w:t>
      </w:r>
      <w:r w:rsidR="000031FB" w:rsidRPr="007B5CD4">
        <w:rPr>
          <w:rFonts w:eastAsia="Calibri"/>
          <w:sz w:val="22"/>
          <w:szCs w:val="22"/>
          <w:lang w:val="sr-Latn-ME"/>
        </w:rPr>
        <w:t>subarahnoidalne</w:t>
      </w:r>
      <w:r w:rsidRPr="007B5CD4">
        <w:rPr>
          <w:rFonts w:eastAsia="Calibri"/>
          <w:sz w:val="22"/>
          <w:szCs w:val="22"/>
          <w:lang w:val="sr-Latn-ME"/>
        </w:rPr>
        <w:t xml:space="preserve"> anestezije može iznenada razviti </w:t>
      </w:r>
      <w:r w:rsidR="000031FB" w:rsidRPr="007B5CD4">
        <w:rPr>
          <w:rFonts w:eastAsia="Calibri"/>
          <w:sz w:val="22"/>
          <w:szCs w:val="22"/>
          <w:lang w:val="sr-Latn-ME"/>
        </w:rPr>
        <w:t xml:space="preserve">teška </w:t>
      </w:r>
      <w:r w:rsidRPr="007B5CD4">
        <w:rPr>
          <w:rFonts w:eastAsia="Calibri"/>
          <w:sz w:val="22"/>
          <w:szCs w:val="22"/>
          <w:lang w:val="sr-Latn-ME"/>
        </w:rPr>
        <w:t xml:space="preserve">hipotenzija bez obzira na </w:t>
      </w:r>
      <w:r w:rsidR="000031FB" w:rsidRPr="007B5CD4">
        <w:rPr>
          <w:rFonts w:eastAsia="Calibri"/>
          <w:sz w:val="22"/>
          <w:szCs w:val="22"/>
          <w:lang w:val="sr-Latn-ME"/>
        </w:rPr>
        <w:t>primijenjeni anestetik</w:t>
      </w:r>
      <w:r w:rsidRPr="007B5CD4">
        <w:rPr>
          <w:rFonts w:eastAsia="Calibri"/>
          <w:sz w:val="22"/>
          <w:szCs w:val="22"/>
          <w:lang w:val="sr-Latn-ME"/>
        </w:rPr>
        <w:t xml:space="preserve">. Hipotenzija uočena kod odraslih poslije intratekalne </w:t>
      </w:r>
      <w:r w:rsidR="000031FB" w:rsidRPr="007B5CD4">
        <w:rPr>
          <w:rFonts w:eastAsia="Calibri"/>
          <w:sz w:val="22"/>
          <w:szCs w:val="22"/>
          <w:lang w:val="sr-Latn-ME"/>
        </w:rPr>
        <w:t xml:space="preserve">primjene, rijetko se javlja </w:t>
      </w:r>
      <w:r w:rsidRPr="007B5CD4">
        <w:rPr>
          <w:rFonts w:eastAsia="Calibri"/>
          <w:sz w:val="22"/>
          <w:szCs w:val="22"/>
          <w:lang w:val="sr-Latn-ME"/>
        </w:rPr>
        <w:t xml:space="preserve">kod djece </w:t>
      </w:r>
      <w:r w:rsidR="000031FB" w:rsidRPr="007B5CD4">
        <w:rPr>
          <w:rFonts w:eastAsia="Calibri"/>
          <w:sz w:val="22"/>
          <w:szCs w:val="22"/>
          <w:lang w:val="sr-Latn-ME"/>
        </w:rPr>
        <w:t>uzrasta ispod</w:t>
      </w:r>
      <w:r w:rsidRPr="007B5CD4">
        <w:rPr>
          <w:rFonts w:eastAsia="Calibri"/>
          <w:sz w:val="22"/>
          <w:szCs w:val="22"/>
          <w:lang w:val="sr-Latn-ME"/>
        </w:rPr>
        <w:t xml:space="preserve"> 8 godina</w:t>
      </w:r>
      <w:r w:rsidR="000031FB" w:rsidRPr="007B5CD4">
        <w:rPr>
          <w:rFonts w:eastAsia="Calibri"/>
          <w:sz w:val="22"/>
          <w:szCs w:val="22"/>
          <w:lang w:val="sr-Latn-ME"/>
        </w:rPr>
        <w:t>.</w:t>
      </w:r>
    </w:p>
    <w:p w14:paraId="4961DDB8" w14:textId="620922BA" w:rsidR="00BC2F94" w:rsidRPr="007B5CD4" w:rsidRDefault="000031FB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p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acijenti liječeni </w:t>
      </w:r>
      <w:r w:rsidR="00B1400E" w:rsidRPr="007B5CD4">
        <w:rPr>
          <w:rFonts w:eastAsia="Calibri"/>
          <w:sz w:val="22"/>
          <w:szCs w:val="22"/>
          <w:lang w:val="sr-Latn-ME"/>
        </w:rPr>
        <w:t>antiaritmicima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III klase (npr. am</w:t>
      </w:r>
      <w:r w:rsidRPr="007B5CD4">
        <w:rPr>
          <w:rFonts w:eastAsia="Calibri"/>
          <w:sz w:val="22"/>
          <w:szCs w:val="22"/>
          <w:lang w:val="sr-Latn-ME"/>
        </w:rPr>
        <w:t>j</w:t>
      </w:r>
      <w:r w:rsidR="00BC2F94" w:rsidRPr="007B5CD4">
        <w:rPr>
          <w:rFonts w:eastAsia="Calibri"/>
          <w:sz w:val="22"/>
          <w:szCs w:val="22"/>
          <w:lang w:val="sr-Latn-ME"/>
        </w:rPr>
        <w:t>odaron) bi morali da budu pažljivo praćeni (uključujući EKG</w:t>
      </w:r>
      <w:r w:rsidRPr="007B5CD4">
        <w:rPr>
          <w:rFonts w:eastAsia="Calibri"/>
          <w:sz w:val="22"/>
          <w:szCs w:val="22"/>
          <w:lang w:val="sr-Latn-ME"/>
        </w:rPr>
        <w:t xml:space="preserve"> praćenje</w:t>
      </w:r>
      <w:r w:rsidR="00BC2F94" w:rsidRPr="007B5CD4">
        <w:rPr>
          <w:rFonts w:eastAsia="Calibri"/>
          <w:sz w:val="22"/>
          <w:szCs w:val="22"/>
          <w:lang w:val="sr-Latn-ME"/>
        </w:rPr>
        <w:t>), jer dejstva bupivakaina mogu da budu aditivna (</w:t>
      </w:r>
      <w:r w:rsidRPr="007B5CD4">
        <w:rPr>
          <w:rFonts w:eastAsia="Calibri"/>
          <w:sz w:val="22"/>
          <w:szCs w:val="22"/>
          <w:lang w:val="sr-Latn-ME"/>
        </w:rPr>
        <w:t>v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idjeti </w:t>
      </w:r>
      <w:r w:rsidRPr="007B5CD4">
        <w:rPr>
          <w:rFonts w:eastAsia="Calibri"/>
          <w:sz w:val="22"/>
          <w:szCs w:val="22"/>
          <w:lang w:val="sr-Latn-ME"/>
        </w:rPr>
        <w:t>dio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4.5)</w:t>
      </w:r>
      <w:r w:rsidR="00AD27B5">
        <w:rPr>
          <w:rFonts w:eastAsia="Calibri"/>
          <w:sz w:val="22"/>
          <w:szCs w:val="22"/>
          <w:lang w:val="sr-Latn-ME"/>
        </w:rPr>
        <w:t>.</w:t>
      </w:r>
    </w:p>
    <w:p w14:paraId="201141FD" w14:textId="77777777" w:rsidR="000031FB" w:rsidRPr="007B5CD4" w:rsidRDefault="000031FB">
      <w:pPr>
        <w:tabs>
          <w:tab w:val="left" w:pos="993"/>
        </w:tabs>
        <w:jc w:val="both"/>
        <w:rPr>
          <w:rFonts w:eastAsia="Calibri"/>
          <w:sz w:val="22"/>
          <w:szCs w:val="22"/>
          <w:lang w:val="sr-Latn-ME"/>
        </w:rPr>
      </w:pPr>
    </w:p>
    <w:p w14:paraId="5B6CAA6E" w14:textId="692FAB52" w:rsidR="000031FB" w:rsidRPr="007B5CD4" w:rsidRDefault="000031FB">
      <w:pPr>
        <w:tabs>
          <w:tab w:val="left" w:pos="993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Spinalna anestezija može dovesti do pojave hipotenzije i bradikardije. Rizik od ovih dejstava se može smanjiti npr. primjenom vazokonstriktora. Hipotenziju bi trebalo odmah liječiti intravenskim davanjem simpatomimetika, ponavljajući ovu terapiju ako je neophodno.</w:t>
      </w:r>
    </w:p>
    <w:p w14:paraId="55DAB51D" w14:textId="77777777" w:rsidR="000031FB" w:rsidRPr="007B5CD4" w:rsidRDefault="000031FB">
      <w:pPr>
        <w:tabs>
          <w:tab w:val="left" w:pos="993"/>
        </w:tabs>
        <w:jc w:val="both"/>
        <w:rPr>
          <w:rFonts w:eastAsia="Calibri"/>
          <w:sz w:val="22"/>
          <w:szCs w:val="22"/>
          <w:lang w:val="sr-Latn-ME"/>
        </w:rPr>
      </w:pPr>
    </w:p>
    <w:p w14:paraId="4A83C5DE" w14:textId="3A2C9753" w:rsidR="00BC2F94" w:rsidRPr="007B5CD4" w:rsidRDefault="00BC2F94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Rijetka, ali ozbiljna komplikacija spinalne anestezije je </w:t>
      </w:r>
      <w:r w:rsidR="00740C3C" w:rsidRPr="007B5CD4">
        <w:rPr>
          <w:rFonts w:eastAsia="Calibri"/>
          <w:sz w:val="22"/>
          <w:szCs w:val="22"/>
          <w:lang w:val="sr-Latn-ME"/>
        </w:rPr>
        <w:t xml:space="preserve">visoka </w:t>
      </w:r>
      <w:r w:rsidRPr="007B5CD4">
        <w:rPr>
          <w:rFonts w:eastAsia="Calibri"/>
          <w:sz w:val="22"/>
          <w:szCs w:val="22"/>
          <w:lang w:val="sr-Latn-ME"/>
        </w:rPr>
        <w:t xml:space="preserve">ili totalna spinalna blokada </w:t>
      </w:r>
      <w:r w:rsidR="00740C3C" w:rsidRPr="007B5CD4">
        <w:rPr>
          <w:rFonts w:eastAsia="Calibri"/>
          <w:sz w:val="22"/>
          <w:szCs w:val="22"/>
          <w:lang w:val="sr-Latn-ME"/>
        </w:rPr>
        <w:t>koja dovodi do depresije kardiovaskularnog i respiratornog sistema.</w:t>
      </w:r>
      <w:r w:rsidRPr="007B5CD4">
        <w:rPr>
          <w:rFonts w:eastAsia="Calibri"/>
          <w:sz w:val="22"/>
          <w:szCs w:val="22"/>
          <w:lang w:val="sr-Latn-ME"/>
        </w:rPr>
        <w:t xml:space="preserve"> Kardiovaskularna depresija je izazvana blokadom simpatikusa, koji vodi do ozbiljne hipotenzije i bradikardije, a </w:t>
      </w:r>
      <w:r w:rsidR="00740C3C" w:rsidRPr="007B5CD4">
        <w:rPr>
          <w:rFonts w:eastAsia="Calibri"/>
          <w:sz w:val="22"/>
          <w:szCs w:val="22"/>
          <w:lang w:val="sr-Latn-ME"/>
        </w:rPr>
        <w:t xml:space="preserve">ponekad čak </w:t>
      </w:r>
      <w:r w:rsidRPr="007B5CD4">
        <w:rPr>
          <w:rFonts w:eastAsia="Calibri"/>
          <w:sz w:val="22"/>
          <w:szCs w:val="22"/>
          <w:lang w:val="sr-Latn-ME"/>
        </w:rPr>
        <w:t xml:space="preserve">i do prestanka rada srca. </w:t>
      </w:r>
      <w:r w:rsidR="00740C3C" w:rsidRPr="007B5CD4">
        <w:rPr>
          <w:rFonts w:eastAsia="Calibri"/>
          <w:sz w:val="22"/>
          <w:szCs w:val="22"/>
          <w:lang w:val="sr-Latn-ME"/>
        </w:rPr>
        <w:t xml:space="preserve">Moguća je i respiratorna depresija usljed </w:t>
      </w:r>
      <w:r w:rsidRPr="007B5CD4">
        <w:rPr>
          <w:rFonts w:eastAsia="Calibri"/>
          <w:sz w:val="22"/>
          <w:szCs w:val="22"/>
          <w:lang w:val="sr-Latn-ME"/>
        </w:rPr>
        <w:t>blokad</w:t>
      </w:r>
      <w:r w:rsidR="00740C3C" w:rsidRPr="007B5CD4">
        <w:rPr>
          <w:rFonts w:eastAsia="Calibri"/>
          <w:sz w:val="22"/>
          <w:szCs w:val="22"/>
          <w:lang w:val="sr-Latn-ME"/>
        </w:rPr>
        <w:t>e</w:t>
      </w:r>
      <w:r w:rsidRPr="007B5CD4">
        <w:rPr>
          <w:rFonts w:eastAsia="Calibri"/>
          <w:sz w:val="22"/>
          <w:szCs w:val="22"/>
          <w:lang w:val="sr-Latn-ME"/>
        </w:rPr>
        <w:t xml:space="preserve"> ner</w:t>
      </w:r>
      <w:r w:rsidR="00740C3C" w:rsidRPr="007B5CD4">
        <w:rPr>
          <w:rFonts w:eastAsia="Calibri"/>
          <w:sz w:val="22"/>
          <w:szCs w:val="22"/>
          <w:lang w:val="sr-Latn-ME"/>
        </w:rPr>
        <w:t>a</w:t>
      </w:r>
      <w:r w:rsidRPr="007B5CD4">
        <w:rPr>
          <w:rFonts w:eastAsia="Calibri"/>
          <w:sz w:val="22"/>
          <w:szCs w:val="22"/>
          <w:lang w:val="sr-Latn-ME"/>
        </w:rPr>
        <w:t>va disajnih mišića, uključujući i dijafragmu.</w:t>
      </w:r>
    </w:p>
    <w:p w14:paraId="73C60237" w14:textId="77777777" w:rsidR="00740C3C" w:rsidRPr="007B5CD4" w:rsidRDefault="00740C3C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</w:p>
    <w:p w14:paraId="3C4AB050" w14:textId="7479C42B" w:rsidR="00BC2F94" w:rsidRPr="007B5CD4" w:rsidRDefault="00BC2F94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Rizik od </w:t>
      </w:r>
      <w:r w:rsidR="00740C3C" w:rsidRPr="007B5CD4">
        <w:rPr>
          <w:rFonts w:eastAsia="Calibri"/>
          <w:sz w:val="22"/>
          <w:szCs w:val="22"/>
          <w:lang w:val="sr-Latn-ME"/>
        </w:rPr>
        <w:t xml:space="preserve">nastanka visoke </w:t>
      </w:r>
      <w:r w:rsidRPr="007B5CD4">
        <w:rPr>
          <w:rFonts w:eastAsia="Calibri"/>
          <w:sz w:val="22"/>
          <w:szCs w:val="22"/>
          <w:lang w:val="sr-Latn-ME"/>
        </w:rPr>
        <w:t xml:space="preserve">ili totalne blokade postoji kod starijih pacijenata i </w:t>
      </w:r>
      <w:r w:rsidR="00740C3C" w:rsidRPr="007B5CD4">
        <w:rPr>
          <w:rFonts w:eastAsia="Calibri"/>
          <w:sz w:val="22"/>
          <w:szCs w:val="22"/>
          <w:lang w:val="sr-Latn-ME"/>
        </w:rPr>
        <w:t>pacijentkinja u po</w:t>
      </w:r>
      <w:r w:rsidRPr="007B5CD4">
        <w:rPr>
          <w:rFonts w:eastAsia="Calibri"/>
          <w:sz w:val="22"/>
          <w:szCs w:val="22"/>
          <w:lang w:val="sr-Latn-ME"/>
        </w:rPr>
        <w:t xml:space="preserve">odmaklim stadijumima trudnoće. Kod </w:t>
      </w:r>
      <w:r w:rsidR="00740C3C" w:rsidRPr="007B5CD4">
        <w:rPr>
          <w:rFonts w:eastAsia="Calibri"/>
          <w:sz w:val="22"/>
          <w:szCs w:val="22"/>
          <w:lang w:val="sr-Latn-ME"/>
        </w:rPr>
        <w:t>ovi</w:t>
      </w:r>
      <w:r w:rsidR="0057685A" w:rsidRPr="007B5CD4">
        <w:rPr>
          <w:rFonts w:eastAsia="Calibri"/>
          <w:sz w:val="22"/>
          <w:szCs w:val="22"/>
          <w:lang w:val="sr-Latn-ME"/>
        </w:rPr>
        <w:t>h</w:t>
      </w:r>
      <w:r w:rsidR="00740C3C" w:rsidRPr="007B5CD4">
        <w:rPr>
          <w:rFonts w:eastAsia="Calibri"/>
          <w:sz w:val="22"/>
          <w:szCs w:val="22"/>
          <w:lang w:val="sr-Latn-ME"/>
        </w:rPr>
        <w:t xml:space="preserve"> </w:t>
      </w:r>
      <w:r w:rsidRPr="007B5CD4">
        <w:rPr>
          <w:rFonts w:eastAsia="Calibri"/>
          <w:sz w:val="22"/>
          <w:szCs w:val="22"/>
          <w:lang w:val="sr-Latn-ME"/>
        </w:rPr>
        <w:t>pacijenata je potrebno smanjiti dozu (</w:t>
      </w:r>
      <w:r w:rsidR="00740C3C" w:rsidRPr="007B5CD4">
        <w:rPr>
          <w:rFonts w:eastAsia="Calibri"/>
          <w:sz w:val="22"/>
          <w:szCs w:val="22"/>
          <w:lang w:val="sr-Latn-ME"/>
        </w:rPr>
        <w:t>v</w:t>
      </w:r>
      <w:r w:rsidRPr="007B5CD4">
        <w:rPr>
          <w:rFonts w:eastAsia="Calibri"/>
          <w:sz w:val="22"/>
          <w:szCs w:val="22"/>
          <w:lang w:val="sr-Latn-ME"/>
        </w:rPr>
        <w:t xml:space="preserve">idjeti </w:t>
      </w:r>
      <w:r w:rsidR="00740C3C" w:rsidRPr="007B5CD4">
        <w:rPr>
          <w:rFonts w:eastAsia="Calibri"/>
          <w:sz w:val="22"/>
          <w:szCs w:val="22"/>
          <w:lang w:val="sr-Latn-ME"/>
        </w:rPr>
        <w:t xml:space="preserve">dio </w:t>
      </w:r>
      <w:r w:rsidRPr="007B5CD4">
        <w:rPr>
          <w:rFonts w:eastAsia="Calibri"/>
          <w:sz w:val="22"/>
          <w:szCs w:val="22"/>
          <w:lang w:val="sr-Latn-ME"/>
        </w:rPr>
        <w:t>4.2).</w:t>
      </w:r>
    </w:p>
    <w:p w14:paraId="40AEB215" w14:textId="77777777" w:rsidR="00740C3C" w:rsidRPr="007B5CD4" w:rsidRDefault="00740C3C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</w:p>
    <w:p w14:paraId="185ABEAA" w14:textId="5A945F2C" w:rsidR="00BC2F94" w:rsidRPr="007B5CD4" w:rsidRDefault="00BC2F94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Bez obzira </w:t>
      </w:r>
      <w:r w:rsidR="00740C3C" w:rsidRPr="007B5CD4">
        <w:rPr>
          <w:rFonts w:eastAsia="Calibri"/>
          <w:sz w:val="22"/>
          <w:szCs w:val="22"/>
          <w:lang w:val="sr-Latn-ME"/>
        </w:rPr>
        <w:t>koji se anestetik koristi u subarahnoidalnoj anesteziji</w:t>
      </w:r>
      <w:r w:rsidRPr="007B5CD4">
        <w:rPr>
          <w:rFonts w:eastAsia="Calibri"/>
          <w:sz w:val="22"/>
          <w:szCs w:val="22"/>
          <w:lang w:val="sr-Latn-ME"/>
        </w:rPr>
        <w:t xml:space="preserve">, </w:t>
      </w:r>
      <w:r w:rsidR="00740C3C" w:rsidRPr="007B5CD4">
        <w:rPr>
          <w:rFonts w:eastAsia="Calibri"/>
          <w:sz w:val="22"/>
          <w:szCs w:val="22"/>
          <w:lang w:val="sr-Latn-ME"/>
        </w:rPr>
        <w:t xml:space="preserve">uvijek treba imati u vidu </w:t>
      </w:r>
      <w:r w:rsidRPr="007B5CD4">
        <w:rPr>
          <w:rFonts w:eastAsia="Calibri"/>
          <w:sz w:val="22"/>
          <w:szCs w:val="22"/>
          <w:lang w:val="sr-Latn-ME"/>
        </w:rPr>
        <w:t>mogućnost razvoja značajne hipotenzije.</w:t>
      </w:r>
    </w:p>
    <w:p w14:paraId="163DC441" w14:textId="77777777" w:rsidR="00740C3C" w:rsidRPr="007B5CD4" w:rsidRDefault="00740C3C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</w:p>
    <w:p w14:paraId="6C512BD0" w14:textId="6192270F" w:rsidR="00BC2F94" w:rsidRPr="007B5CD4" w:rsidRDefault="00BC2F94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Rijetka posljedica </w:t>
      </w:r>
      <w:r w:rsidR="00740C3C" w:rsidRPr="007B5CD4">
        <w:rPr>
          <w:rFonts w:eastAsia="Calibri"/>
          <w:sz w:val="22"/>
          <w:szCs w:val="22"/>
          <w:lang w:val="sr-Latn-ME"/>
        </w:rPr>
        <w:t>subarahnoidalne</w:t>
      </w:r>
      <w:r w:rsidRPr="007B5CD4">
        <w:rPr>
          <w:rFonts w:eastAsia="Calibri"/>
          <w:sz w:val="22"/>
          <w:szCs w:val="22"/>
          <w:lang w:val="sr-Latn-ME"/>
        </w:rPr>
        <w:t xml:space="preserve"> anestezije je neurološko oštećenje koje se manifestuje kao parestezija, anestezija, slabljenje motorike i paraliza. </w:t>
      </w:r>
      <w:r w:rsidR="00740C3C" w:rsidRPr="007B5CD4">
        <w:rPr>
          <w:rFonts w:eastAsia="Calibri"/>
          <w:sz w:val="22"/>
          <w:szCs w:val="22"/>
          <w:lang w:val="sr-Latn-ME"/>
        </w:rPr>
        <w:t>Ova oštećenja nekada mogu biti trajna.</w:t>
      </w:r>
    </w:p>
    <w:p w14:paraId="19FFFEAC" w14:textId="77777777" w:rsidR="00740C3C" w:rsidRPr="007B5CD4" w:rsidRDefault="00740C3C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</w:p>
    <w:p w14:paraId="1C04C95F" w14:textId="7D234634" w:rsidR="00E10CE5" w:rsidRPr="007B5CD4" w:rsidRDefault="00E10CE5" w:rsidP="001947FE">
      <w:pPr>
        <w:jc w:val="both"/>
        <w:rPr>
          <w:sz w:val="22"/>
          <w:szCs w:val="22"/>
          <w:u w:val="single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N</w:t>
      </w:r>
      <w:r w:rsidR="00BC2F94" w:rsidRPr="007B5CD4">
        <w:rPr>
          <w:rFonts w:eastAsia="Calibri"/>
          <w:sz w:val="22"/>
          <w:szCs w:val="22"/>
          <w:lang w:val="sr-Latn-ME"/>
        </w:rPr>
        <w:t>eurološka oštećenja, npr. multipl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skleroz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>, hemiplegij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>, paraplegij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i </w:t>
      </w:r>
      <w:r w:rsidR="00740C3C" w:rsidRPr="007B5CD4">
        <w:rPr>
          <w:rFonts w:eastAsia="Calibri"/>
          <w:sz w:val="22"/>
          <w:szCs w:val="22"/>
          <w:lang w:val="sr-Latn-ME"/>
        </w:rPr>
        <w:t>neuromuskularn</w:t>
      </w:r>
      <w:r w:rsidRPr="007B5CD4">
        <w:rPr>
          <w:rFonts w:eastAsia="Calibri"/>
          <w:sz w:val="22"/>
          <w:szCs w:val="22"/>
          <w:lang w:val="sr-Latn-ME"/>
        </w:rPr>
        <w:t>i</w:t>
      </w:r>
      <w:r w:rsidR="00740C3C" w:rsidRPr="007B5CD4">
        <w:rPr>
          <w:rFonts w:eastAsia="Calibri"/>
          <w:sz w:val="22"/>
          <w:szCs w:val="22"/>
          <w:lang w:val="sr-Latn-ME"/>
        </w:rPr>
        <w:t xml:space="preserve"> poremećaj</w:t>
      </w:r>
      <w:r w:rsidRPr="007B5CD4">
        <w:rPr>
          <w:rFonts w:eastAsia="Calibri"/>
          <w:sz w:val="22"/>
          <w:szCs w:val="22"/>
          <w:lang w:val="sr-Latn-ME"/>
        </w:rPr>
        <w:t>i</w:t>
      </w:r>
      <w:r w:rsidRPr="007B5CD4">
        <w:rPr>
          <w:sz w:val="22"/>
          <w:szCs w:val="22"/>
          <w:lang w:val="sr-Latn-ME"/>
        </w:rPr>
        <w:t xml:space="preserve"> </w:t>
      </w:r>
      <w:r w:rsidRPr="007B5CD4">
        <w:rPr>
          <w:rFonts w:eastAsia="Calibri"/>
          <w:sz w:val="22"/>
          <w:szCs w:val="22"/>
          <w:lang w:val="sr-Latn-ME"/>
        </w:rPr>
        <w:t xml:space="preserve">nijesu neželjena dejstva subarahnoidalne anestezije 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ali je potrebno obratiti pažnju na njih. Prije </w:t>
      </w:r>
      <w:r w:rsidR="00BC2F94" w:rsidRPr="007B5CD4">
        <w:rPr>
          <w:rFonts w:eastAsia="Calibri"/>
          <w:sz w:val="22"/>
          <w:szCs w:val="22"/>
          <w:lang w:val="sr-Latn-ME"/>
        </w:rPr>
        <w:lastRenderedPageBreak/>
        <w:t xml:space="preserve">donošenja odluke </w:t>
      </w:r>
      <w:r w:rsidRPr="007B5CD4">
        <w:rPr>
          <w:rFonts w:eastAsia="Calibri"/>
          <w:sz w:val="22"/>
          <w:szCs w:val="22"/>
          <w:lang w:val="sr-Latn-ME"/>
        </w:rPr>
        <w:t>o upotrebi anestetika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</w:t>
      </w:r>
      <w:r w:rsidRPr="007B5CD4">
        <w:rPr>
          <w:rFonts w:eastAsia="Calibri"/>
          <w:sz w:val="22"/>
          <w:szCs w:val="22"/>
          <w:lang w:val="sr-Latn-ME"/>
        </w:rPr>
        <w:t xml:space="preserve">treba razmotriti da li je korist za pacijenta veća u odnosu na mogući rizik. </w:t>
      </w:r>
    </w:p>
    <w:p w14:paraId="658A5114" w14:textId="77777777" w:rsidR="00AD27B5" w:rsidRDefault="00AD27B5" w:rsidP="001947F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6F2697D" w14:textId="44859F4E" w:rsidR="00E10CE5" w:rsidRPr="007B5CD4" w:rsidRDefault="00E10CE5" w:rsidP="001947F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B5CD4">
        <w:rPr>
          <w:sz w:val="22"/>
          <w:szCs w:val="22"/>
          <w:u w:val="single"/>
          <w:lang w:val="sr-Latn-ME"/>
        </w:rPr>
        <w:t>Lijek Marcaine Spinal 0.5% sadrži natrijum</w:t>
      </w:r>
    </w:p>
    <w:p w14:paraId="46860A64" w14:textId="2582975A" w:rsidR="00E10CE5" w:rsidRPr="007B5CD4" w:rsidRDefault="00E10CE5" w:rsidP="001947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Ovaj lijek sadrži manje od 1 mmol (23 mg) natrijuma u 4 </w:t>
      </w:r>
      <w:r w:rsidR="002E42DB">
        <w:rPr>
          <w:sz w:val="22"/>
          <w:szCs w:val="22"/>
          <w:lang w:val="sr-Latn-ME"/>
        </w:rPr>
        <w:t>ml</w:t>
      </w:r>
      <w:r w:rsidRPr="007B5CD4">
        <w:rPr>
          <w:sz w:val="22"/>
          <w:szCs w:val="22"/>
          <w:lang w:val="sr-Latn-ME"/>
        </w:rPr>
        <w:t xml:space="preserve">, što znači da je suštinski „bez natrijuma“.  </w:t>
      </w:r>
    </w:p>
    <w:p w14:paraId="4331E86C" w14:textId="77777777" w:rsidR="00057E35" w:rsidRPr="007B5CD4" w:rsidRDefault="00057E35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AE441C" w14:textId="77777777" w:rsidR="00411B4B" w:rsidRPr="007B5CD4" w:rsidRDefault="00411B4B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>4.5.</w:t>
      </w:r>
      <w:r w:rsidR="000D60CC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B63001B" w14:textId="77777777" w:rsidR="00BC2F94" w:rsidRPr="007B5CD4" w:rsidRDefault="00BC2F94" w:rsidP="005F42D6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</w:p>
    <w:p w14:paraId="2927A40E" w14:textId="539C6D73" w:rsidR="00BC2F94" w:rsidRPr="007B5CD4" w:rsidRDefault="00BC2F94" w:rsidP="005F42D6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Istovremen</w:t>
      </w:r>
      <w:r w:rsidR="00E10CE5" w:rsidRPr="007B5CD4">
        <w:rPr>
          <w:rFonts w:eastAsia="Calibri"/>
          <w:sz w:val="22"/>
          <w:szCs w:val="22"/>
          <w:lang w:val="sr-Latn-ME"/>
        </w:rPr>
        <w:t>a</w:t>
      </w:r>
      <w:r w:rsidRPr="007B5CD4">
        <w:rPr>
          <w:rFonts w:eastAsia="Calibri"/>
          <w:sz w:val="22"/>
          <w:szCs w:val="22"/>
          <w:lang w:val="sr-Latn-ME"/>
        </w:rPr>
        <w:t xml:space="preserve"> </w:t>
      </w:r>
      <w:r w:rsidR="00E10CE5" w:rsidRPr="007B5CD4">
        <w:rPr>
          <w:rFonts w:eastAsia="Calibri"/>
          <w:sz w:val="22"/>
          <w:szCs w:val="22"/>
          <w:lang w:val="sr-Latn-ME"/>
        </w:rPr>
        <w:t xml:space="preserve">primjena </w:t>
      </w:r>
      <w:r w:rsidRPr="007B5CD4">
        <w:rPr>
          <w:rFonts w:eastAsia="Calibri"/>
          <w:sz w:val="22"/>
          <w:szCs w:val="22"/>
          <w:lang w:val="sr-Latn-ME"/>
        </w:rPr>
        <w:t xml:space="preserve">bupivakaina i drugih lokalnih anestetika ili ljekova strukturno sličnih lokalnim anesteticima amidnog tipa, npr. nekih antiaritmika – lidokain, meksiletin i tokainid, može da dovede do </w:t>
      </w:r>
      <w:r w:rsidR="00E10CE5" w:rsidRPr="007B5CD4">
        <w:rPr>
          <w:rFonts w:eastAsia="Calibri"/>
          <w:sz w:val="22"/>
          <w:szCs w:val="22"/>
          <w:lang w:val="sr-Latn-ME"/>
        </w:rPr>
        <w:t>pojačane toksičnosti</w:t>
      </w:r>
      <w:r w:rsidRPr="007B5CD4">
        <w:rPr>
          <w:rFonts w:eastAsia="Calibri"/>
          <w:sz w:val="22"/>
          <w:szCs w:val="22"/>
          <w:lang w:val="sr-Latn-ME"/>
        </w:rPr>
        <w:t xml:space="preserve">, </w:t>
      </w:r>
      <w:r w:rsidR="00E10CE5" w:rsidRPr="007B5CD4">
        <w:rPr>
          <w:rFonts w:eastAsia="Calibri"/>
          <w:sz w:val="22"/>
          <w:szCs w:val="22"/>
          <w:lang w:val="sr-Latn-ME"/>
        </w:rPr>
        <w:t>jer su toksična dejstva</w:t>
      </w:r>
      <w:r w:rsidRPr="007B5CD4">
        <w:rPr>
          <w:rFonts w:eastAsia="Calibri"/>
          <w:sz w:val="22"/>
          <w:szCs w:val="22"/>
          <w:lang w:val="sr-Latn-ME"/>
        </w:rPr>
        <w:t xml:space="preserve"> u ovom slučaju aditivn</w:t>
      </w:r>
      <w:r w:rsidR="00E10CE5" w:rsidRPr="007B5CD4">
        <w:rPr>
          <w:rFonts w:eastAsia="Calibri"/>
          <w:sz w:val="22"/>
          <w:szCs w:val="22"/>
          <w:lang w:val="sr-Latn-ME"/>
        </w:rPr>
        <w:t>a</w:t>
      </w:r>
      <w:r w:rsidRPr="007B5CD4">
        <w:rPr>
          <w:rFonts w:eastAsia="Calibri"/>
          <w:sz w:val="22"/>
          <w:szCs w:val="22"/>
          <w:lang w:val="sr-Latn-ME"/>
        </w:rPr>
        <w:t xml:space="preserve">. </w:t>
      </w:r>
      <w:r w:rsidR="00E10CE5" w:rsidRPr="007B5CD4">
        <w:rPr>
          <w:rFonts w:eastAsia="Calibri"/>
          <w:sz w:val="22"/>
          <w:szCs w:val="22"/>
          <w:lang w:val="sr-Latn-ME"/>
        </w:rPr>
        <w:t>Interakcije lokalnih anestetika i antiaritmika klase III (npr. amjodaron) ni</w:t>
      </w:r>
      <w:r w:rsidR="0057685A" w:rsidRPr="007B5CD4">
        <w:rPr>
          <w:rFonts w:eastAsia="Calibri"/>
          <w:sz w:val="22"/>
          <w:szCs w:val="22"/>
          <w:lang w:val="sr-Latn-ME"/>
        </w:rPr>
        <w:t>je</w:t>
      </w:r>
      <w:r w:rsidR="00E10CE5" w:rsidRPr="007B5CD4">
        <w:rPr>
          <w:rFonts w:eastAsia="Calibri"/>
          <w:sz w:val="22"/>
          <w:szCs w:val="22"/>
          <w:lang w:val="sr-Latn-ME"/>
        </w:rPr>
        <w:t>su specijalno proučavane, ali se preporučuje poseban oprez (vidjeti dio 4.4).</w:t>
      </w:r>
    </w:p>
    <w:p w14:paraId="7477CDF2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24ACC8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4.6.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="006D20A5" w:rsidRPr="007B5CD4">
        <w:rPr>
          <w:b/>
          <w:sz w:val="22"/>
          <w:szCs w:val="22"/>
          <w:lang w:val="sr-Latn-ME"/>
        </w:rPr>
        <w:t>Plodnost, trudnoća i dojenje</w:t>
      </w:r>
    </w:p>
    <w:p w14:paraId="70A87ADF" w14:textId="77777777" w:rsidR="002031B3" w:rsidRPr="007B5CD4" w:rsidRDefault="002031B3" w:rsidP="001947F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A7EAFF5" w14:textId="77777777" w:rsidR="007A3ECB" w:rsidRPr="007B5CD4" w:rsidRDefault="007A3ECB" w:rsidP="001947F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B5CD4">
        <w:rPr>
          <w:sz w:val="22"/>
          <w:szCs w:val="22"/>
          <w:u w:val="single"/>
          <w:lang w:val="sr-Latn-ME"/>
        </w:rPr>
        <w:t>Trudnoća</w:t>
      </w:r>
    </w:p>
    <w:p w14:paraId="5CE1C1F1" w14:textId="70F9DDAE" w:rsidR="00BC2F94" w:rsidRPr="007B5CD4" w:rsidRDefault="00E10CE5" w:rsidP="005F42D6">
      <w:pPr>
        <w:tabs>
          <w:tab w:val="left" w:pos="567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Bupivakain je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</w:t>
      </w:r>
      <w:r w:rsidRPr="007B5CD4">
        <w:rPr>
          <w:rFonts w:eastAsia="Calibri"/>
          <w:sz w:val="22"/>
          <w:szCs w:val="22"/>
          <w:lang w:val="sr-Latn-ME"/>
        </w:rPr>
        <w:t xml:space="preserve">primijenjen kod </w:t>
      </w:r>
      <w:r w:rsidR="00BC2F94" w:rsidRPr="007B5CD4">
        <w:rPr>
          <w:rFonts w:eastAsia="Calibri"/>
          <w:sz w:val="22"/>
          <w:szCs w:val="22"/>
          <w:lang w:val="sr-Latn-ME"/>
        </w:rPr>
        <w:t>veliko</w:t>
      </w:r>
      <w:r w:rsidRPr="007B5CD4">
        <w:rPr>
          <w:rFonts w:eastAsia="Calibri"/>
          <w:sz w:val="22"/>
          <w:szCs w:val="22"/>
          <w:lang w:val="sr-Latn-ME"/>
        </w:rPr>
        <w:t>g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broj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trudnica i žena u </w:t>
      </w:r>
      <w:r w:rsidRPr="007B5CD4">
        <w:rPr>
          <w:rFonts w:eastAsia="Calibri"/>
          <w:sz w:val="22"/>
          <w:szCs w:val="22"/>
          <w:lang w:val="sr-Latn-ME"/>
        </w:rPr>
        <w:t>reproduktivnom periodu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. Pri tome </w:t>
      </w:r>
      <w:r w:rsidRPr="007B5CD4">
        <w:rPr>
          <w:rFonts w:eastAsia="Calibri"/>
          <w:sz w:val="22"/>
          <w:szCs w:val="22"/>
          <w:lang w:val="sr-Latn-ME"/>
        </w:rPr>
        <w:t>nijesu prijavljena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nikakv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specifičn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oštećenj</w:t>
      </w:r>
      <w:r w:rsidRPr="007B5CD4">
        <w:rPr>
          <w:rFonts w:eastAsia="Calibri"/>
          <w:sz w:val="22"/>
          <w:szCs w:val="22"/>
          <w:lang w:val="sr-Latn-ME"/>
        </w:rPr>
        <w:t>a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reproduktivnih funkcija žena u </w:t>
      </w:r>
      <w:r w:rsidRPr="007B5CD4">
        <w:rPr>
          <w:rFonts w:eastAsia="Calibri"/>
          <w:sz w:val="22"/>
          <w:szCs w:val="22"/>
          <w:lang w:val="sr-Latn-ME"/>
        </w:rPr>
        <w:t>reproduktivnom periodu,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 niti razvoj </w:t>
      </w:r>
      <w:r w:rsidRPr="007B5CD4">
        <w:rPr>
          <w:rFonts w:eastAsia="Calibri"/>
          <w:sz w:val="22"/>
          <w:szCs w:val="22"/>
          <w:lang w:val="sr-Latn-ME"/>
        </w:rPr>
        <w:t xml:space="preserve">fetalnih </w:t>
      </w:r>
      <w:r w:rsidR="00BC2F94" w:rsidRPr="007B5CD4">
        <w:rPr>
          <w:rFonts w:eastAsia="Calibri"/>
          <w:sz w:val="22"/>
          <w:szCs w:val="22"/>
          <w:lang w:val="sr-Latn-ME"/>
        </w:rPr>
        <w:t>malformacija (</w:t>
      </w:r>
      <w:r w:rsidRPr="007B5CD4">
        <w:rPr>
          <w:rFonts w:eastAsia="Calibri"/>
          <w:sz w:val="22"/>
          <w:szCs w:val="22"/>
          <w:lang w:val="sr-Latn-ME"/>
        </w:rPr>
        <w:t>v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idjeti </w:t>
      </w:r>
      <w:r w:rsidRPr="007B5CD4">
        <w:rPr>
          <w:rFonts w:eastAsia="Calibri"/>
          <w:sz w:val="22"/>
          <w:szCs w:val="22"/>
          <w:lang w:val="sr-Latn-ME"/>
        </w:rPr>
        <w:t xml:space="preserve">dio 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5.3). Doza anestetika bi trebalo da bude snižena </w:t>
      </w:r>
      <w:r w:rsidRPr="007B5CD4">
        <w:rPr>
          <w:rFonts w:eastAsia="Calibri"/>
          <w:sz w:val="22"/>
          <w:szCs w:val="22"/>
          <w:lang w:val="sr-Latn-ME"/>
        </w:rPr>
        <w:t xml:space="preserve">kod pacijentkinja u poodmaklom stadijumu trudnoće </w:t>
      </w:r>
      <w:r w:rsidR="00BC2F94" w:rsidRPr="007B5CD4">
        <w:rPr>
          <w:rFonts w:eastAsia="Calibri"/>
          <w:sz w:val="22"/>
          <w:szCs w:val="22"/>
          <w:lang w:val="sr-Latn-ME"/>
        </w:rPr>
        <w:t>(</w:t>
      </w:r>
      <w:r w:rsidRPr="007B5CD4">
        <w:rPr>
          <w:rFonts w:eastAsia="Calibri"/>
          <w:sz w:val="22"/>
          <w:szCs w:val="22"/>
          <w:lang w:val="sr-Latn-ME"/>
        </w:rPr>
        <w:t>v</w:t>
      </w:r>
      <w:r w:rsidR="00BC2F94" w:rsidRPr="007B5CD4">
        <w:rPr>
          <w:rFonts w:eastAsia="Calibri"/>
          <w:sz w:val="22"/>
          <w:szCs w:val="22"/>
          <w:lang w:val="sr-Latn-ME"/>
        </w:rPr>
        <w:t xml:space="preserve">idjeti </w:t>
      </w:r>
      <w:r w:rsidRPr="007B5CD4">
        <w:rPr>
          <w:rFonts w:eastAsia="Calibri"/>
          <w:sz w:val="22"/>
          <w:szCs w:val="22"/>
          <w:lang w:val="sr-Latn-ME"/>
        </w:rPr>
        <w:t xml:space="preserve">dio </w:t>
      </w:r>
      <w:r w:rsidR="00BC2F94" w:rsidRPr="007B5CD4">
        <w:rPr>
          <w:rFonts w:eastAsia="Calibri"/>
          <w:sz w:val="22"/>
          <w:szCs w:val="22"/>
          <w:lang w:val="sr-Latn-ME"/>
        </w:rPr>
        <w:t>4.4).</w:t>
      </w:r>
    </w:p>
    <w:p w14:paraId="3930EFB2" w14:textId="77777777" w:rsidR="002031B3" w:rsidRPr="007B5CD4" w:rsidRDefault="002031B3" w:rsidP="001947F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5684127" w14:textId="77777777" w:rsidR="0072020E" w:rsidRPr="007B5CD4" w:rsidRDefault="007A3ECB" w:rsidP="001947F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B5CD4">
        <w:rPr>
          <w:sz w:val="22"/>
          <w:szCs w:val="22"/>
          <w:u w:val="single"/>
          <w:lang w:val="sr-Latn-ME"/>
        </w:rPr>
        <w:t xml:space="preserve">Dojenje </w:t>
      </w:r>
    </w:p>
    <w:p w14:paraId="2F7901CF" w14:textId="76FCD39C" w:rsidR="00BC2F94" w:rsidRPr="007B5CD4" w:rsidRDefault="00BC2F94" w:rsidP="005F42D6">
      <w:pPr>
        <w:tabs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Bupivakain se izlučuje u mlijeko</w:t>
      </w:r>
      <w:r w:rsidR="007F34A1" w:rsidRPr="007B5CD4">
        <w:rPr>
          <w:rFonts w:eastAsia="Calibri"/>
          <w:sz w:val="22"/>
          <w:szCs w:val="22"/>
          <w:lang w:val="sr-Latn-ME"/>
        </w:rPr>
        <w:t xml:space="preserve"> dojilja</w:t>
      </w:r>
      <w:r w:rsidRPr="007B5CD4">
        <w:rPr>
          <w:rFonts w:eastAsia="Calibri"/>
          <w:sz w:val="22"/>
          <w:szCs w:val="22"/>
          <w:lang w:val="sr-Latn-ME"/>
        </w:rPr>
        <w:t xml:space="preserve">, </w:t>
      </w:r>
      <w:r w:rsidR="007F34A1" w:rsidRPr="007B5CD4">
        <w:rPr>
          <w:rFonts w:eastAsia="Calibri"/>
          <w:sz w:val="22"/>
          <w:szCs w:val="22"/>
          <w:lang w:val="sr-Latn-ME"/>
        </w:rPr>
        <w:t>ali u veoma malim količinama, tako da ne postoje realni rizici za njegovo štetno delovanje na novorođenče.</w:t>
      </w:r>
    </w:p>
    <w:p w14:paraId="2B984591" w14:textId="77777777" w:rsidR="00227BDB" w:rsidRPr="007B5CD4" w:rsidRDefault="00227BDB" w:rsidP="001947F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BB1A1B2" w14:textId="77777777" w:rsidR="0072020E" w:rsidRPr="007B5CD4" w:rsidRDefault="0072020E" w:rsidP="001947F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4.7.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 xml:space="preserve">Uticaj na </w:t>
      </w:r>
      <w:r w:rsidR="002031B3" w:rsidRPr="007B5CD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B5CD4">
        <w:rPr>
          <w:b/>
          <w:bCs/>
          <w:sz w:val="22"/>
          <w:szCs w:val="22"/>
          <w:lang w:val="sr-Latn-ME"/>
        </w:rPr>
        <w:t>upravljanja vozili</w:t>
      </w:r>
      <w:r w:rsidRPr="007B5CD4">
        <w:rPr>
          <w:b/>
          <w:bCs/>
          <w:sz w:val="22"/>
          <w:szCs w:val="22"/>
          <w:lang w:val="sr-Latn-ME"/>
        </w:rPr>
        <w:t>m</w:t>
      </w:r>
      <w:r w:rsidR="00F34554" w:rsidRPr="007B5CD4">
        <w:rPr>
          <w:b/>
          <w:bCs/>
          <w:sz w:val="22"/>
          <w:szCs w:val="22"/>
          <w:lang w:val="sr-Latn-ME"/>
        </w:rPr>
        <w:t>a</w:t>
      </w:r>
      <w:r w:rsidRPr="007B5CD4">
        <w:rPr>
          <w:b/>
          <w:bCs/>
          <w:sz w:val="22"/>
          <w:szCs w:val="22"/>
          <w:lang w:val="sr-Latn-ME"/>
        </w:rPr>
        <w:t xml:space="preserve"> i </w:t>
      </w:r>
      <w:r w:rsidR="000D3449" w:rsidRPr="007B5CD4">
        <w:rPr>
          <w:b/>
          <w:bCs/>
          <w:sz w:val="22"/>
          <w:szCs w:val="22"/>
          <w:lang w:val="sr-Latn-ME"/>
        </w:rPr>
        <w:t xml:space="preserve">rukovanje </w:t>
      </w:r>
      <w:r w:rsidRPr="007B5CD4">
        <w:rPr>
          <w:b/>
          <w:bCs/>
          <w:sz w:val="22"/>
          <w:szCs w:val="22"/>
          <w:lang w:val="sr-Latn-ME"/>
        </w:rPr>
        <w:t>mašinama</w:t>
      </w:r>
    </w:p>
    <w:p w14:paraId="5FC703FA" w14:textId="77777777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894F139" w14:textId="44DEDB6E" w:rsidR="0072020E" w:rsidRPr="007B5CD4" w:rsidRDefault="00BC2F94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Pored direktnog anestetičkog efekta, lokalni anestetici mogu imati veoma mali uticaj na mentalne funkcije i koordinaciju pokreta, a mogu </w:t>
      </w:r>
      <w:r w:rsidR="007F34A1" w:rsidRPr="007B5CD4">
        <w:rPr>
          <w:sz w:val="22"/>
          <w:szCs w:val="22"/>
          <w:lang w:val="sr-Latn-ME"/>
        </w:rPr>
        <w:t xml:space="preserve">da imaju prolazno </w:t>
      </w:r>
      <w:r w:rsidRPr="007B5CD4">
        <w:rPr>
          <w:sz w:val="22"/>
          <w:szCs w:val="22"/>
          <w:lang w:val="sr-Latn-ME"/>
        </w:rPr>
        <w:t xml:space="preserve">negativno </w:t>
      </w:r>
      <w:r w:rsidR="007F34A1" w:rsidRPr="007B5CD4">
        <w:rPr>
          <w:sz w:val="22"/>
          <w:szCs w:val="22"/>
          <w:lang w:val="sr-Latn-ME"/>
        </w:rPr>
        <w:t xml:space="preserve">dejstvo </w:t>
      </w:r>
      <w:r w:rsidRPr="007B5CD4">
        <w:rPr>
          <w:sz w:val="22"/>
          <w:szCs w:val="22"/>
          <w:lang w:val="sr-Latn-ME"/>
        </w:rPr>
        <w:t xml:space="preserve">na pokretljivost i </w:t>
      </w:r>
      <w:r w:rsidR="007F34A1" w:rsidRPr="007B5CD4">
        <w:rPr>
          <w:sz w:val="22"/>
          <w:szCs w:val="22"/>
          <w:lang w:val="sr-Latn-ME"/>
        </w:rPr>
        <w:t>sposobnost koncentracije</w:t>
      </w:r>
      <w:r w:rsidRPr="007B5CD4">
        <w:rPr>
          <w:sz w:val="22"/>
          <w:szCs w:val="22"/>
          <w:lang w:val="sr-Latn-ME"/>
        </w:rPr>
        <w:t>.</w:t>
      </w:r>
    </w:p>
    <w:p w14:paraId="5557A6F1" w14:textId="77777777" w:rsidR="00BC2F94" w:rsidRPr="007B5CD4" w:rsidRDefault="00BC2F94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F6DD17" w14:textId="70F07F7C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4.8.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Neželjena dejstva</w:t>
      </w:r>
    </w:p>
    <w:p w14:paraId="15C3C8E0" w14:textId="01CF21E7" w:rsidR="0057685A" w:rsidRPr="007B5CD4" w:rsidRDefault="0057685A" w:rsidP="005F42D6">
      <w:pPr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79C03118" w14:textId="0C8ACD37" w:rsidR="00BC2F94" w:rsidRPr="007B5CD4" w:rsidRDefault="00BC2F94" w:rsidP="005F42D6">
      <w:pPr>
        <w:tabs>
          <w:tab w:val="left" w:pos="0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Profil neželjenih dejstava lijeka Marcaine </w:t>
      </w:r>
      <w:r w:rsidR="007F34A1" w:rsidRPr="007B5CD4">
        <w:rPr>
          <w:rFonts w:eastAsia="Calibri"/>
          <w:sz w:val="22"/>
          <w:szCs w:val="22"/>
          <w:lang w:val="sr-Latn-ME"/>
        </w:rPr>
        <w:t>S</w:t>
      </w:r>
      <w:r w:rsidRPr="007B5CD4">
        <w:rPr>
          <w:rFonts w:eastAsia="Calibri"/>
          <w:sz w:val="22"/>
          <w:szCs w:val="22"/>
          <w:lang w:val="sr-Latn-ME"/>
        </w:rPr>
        <w:t xml:space="preserve">pinal 0.5% je sličan </w:t>
      </w:r>
      <w:r w:rsidR="007F34A1" w:rsidRPr="007B5CD4">
        <w:rPr>
          <w:rFonts w:eastAsia="Calibri"/>
          <w:sz w:val="22"/>
          <w:szCs w:val="22"/>
          <w:lang w:val="sr-Latn-ME"/>
        </w:rPr>
        <w:t>profilu neželjenih reakcija lokalnih anestetika dugog dejstva koji se primjenjuju u subarahnoidalni prostor</w:t>
      </w:r>
      <w:r w:rsidRPr="007B5CD4">
        <w:rPr>
          <w:rFonts w:eastAsia="Calibri"/>
          <w:sz w:val="22"/>
          <w:szCs w:val="22"/>
          <w:lang w:val="sr-Latn-ME"/>
        </w:rPr>
        <w:t xml:space="preserve">. Neželjena dejstva izazvana samim lijekom nije lako razlikovati od fizioloških </w:t>
      </w:r>
      <w:r w:rsidR="007F34A1" w:rsidRPr="007B5CD4">
        <w:rPr>
          <w:rFonts w:eastAsia="Calibri"/>
          <w:sz w:val="22"/>
          <w:szCs w:val="22"/>
          <w:lang w:val="sr-Latn-ME"/>
        </w:rPr>
        <w:t>manifestacija nervnog bloka</w:t>
      </w:r>
      <w:r w:rsidRPr="007B5CD4">
        <w:rPr>
          <w:rFonts w:eastAsia="Calibri"/>
          <w:sz w:val="22"/>
          <w:szCs w:val="22"/>
          <w:lang w:val="sr-Latn-ME"/>
        </w:rPr>
        <w:t xml:space="preserve"> (npr. sniženje krvnog pritiska, bradikardija, privremena retencija urina), neželjenih dejstava izazvanih direktno</w:t>
      </w:r>
      <w:r w:rsidR="007F34A1" w:rsidRPr="007B5CD4">
        <w:rPr>
          <w:sz w:val="22"/>
          <w:szCs w:val="22"/>
          <w:lang w:val="sr-Latn-ME"/>
        </w:rPr>
        <w:t xml:space="preserve"> </w:t>
      </w:r>
      <w:r w:rsidR="007F34A1" w:rsidRPr="007B5CD4">
        <w:rPr>
          <w:rFonts w:eastAsia="Calibri"/>
          <w:sz w:val="22"/>
          <w:szCs w:val="22"/>
          <w:lang w:val="sr-Latn-ME"/>
        </w:rPr>
        <w:t>ubodom igle za injekciju</w:t>
      </w:r>
      <w:r w:rsidRPr="007B5CD4">
        <w:rPr>
          <w:rFonts w:eastAsia="Calibri"/>
          <w:sz w:val="22"/>
          <w:szCs w:val="22"/>
          <w:lang w:val="sr-Latn-ME"/>
        </w:rPr>
        <w:t xml:space="preserve"> (npr. hematom kičmeno</w:t>
      </w:r>
      <w:r w:rsidR="007F34A1" w:rsidRPr="007B5CD4">
        <w:rPr>
          <w:rFonts w:eastAsia="Calibri"/>
          <w:sz w:val="22"/>
          <w:szCs w:val="22"/>
          <w:lang w:val="sr-Latn-ME"/>
        </w:rPr>
        <w:t>g</w:t>
      </w:r>
      <w:r w:rsidRPr="007B5CD4">
        <w:rPr>
          <w:rFonts w:eastAsia="Calibri"/>
          <w:sz w:val="22"/>
          <w:szCs w:val="22"/>
          <w:lang w:val="sr-Latn-ME"/>
        </w:rPr>
        <w:t xml:space="preserve"> kanal</w:t>
      </w:r>
      <w:r w:rsidR="007F34A1" w:rsidRPr="007B5CD4">
        <w:rPr>
          <w:rFonts w:eastAsia="Calibri"/>
          <w:sz w:val="22"/>
          <w:szCs w:val="22"/>
          <w:lang w:val="sr-Latn-ME"/>
        </w:rPr>
        <w:t>a</w:t>
      </w:r>
      <w:r w:rsidRPr="007B5CD4">
        <w:rPr>
          <w:rFonts w:eastAsia="Calibri"/>
          <w:sz w:val="22"/>
          <w:szCs w:val="22"/>
          <w:lang w:val="sr-Latn-ME"/>
        </w:rPr>
        <w:t xml:space="preserve">) ili indirektno </w:t>
      </w:r>
      <w:r w:rsidR="007F34A1" w:rsidRPr="007B5CD4">
        <w:rPr>
          <w:rFonts w:eastAsia="Calibri"/>
          <w:sz w:val="22"/>
          <w:szCs w:val="22"/>
          <w:lang w:val="sr-Latn-ME"/>
        </w:rPr>
        <w:t xml:space="preserve">kao posljedica uboda igle za injekciju </w:t>
      </w:r>
      <w:r w:rsidRPr="007B5CD4">
        <w:rPr>
          <w:rFonts w:eastAsia="Calibri"/>
          <w:sz w:val="22"/>
          <w:szCs w:val="22"/>
          <w:lang w:val="sr-Latn-ME"/>
        </w:rPr>
        <w:t xml:space="preserve">(npr. meningitis, epiduralni apsces), ili </w:t>
      </w:r>
      <w:r w:rsidR="007F34A1" w:rsidRPr="007B5CD4">
        <w:rPr>
          <w:rFonts w:eastAsia="Calibri"/>
          <w:sz w:val="22"/>
          <w:szCs w:val="22"/>
          <w:lang w:val="sr-Latn-ME"/>
        </w:rPr>
        <w:t xml:space="preserve">su </w:t>
      </w:r>
      <w:r w:rsidRPr="007B5CD4">
        <w:rPr>
          <w:rFonts w:eastAsia="Calibri"/>
          <w:sz w:val="22"/>
          <w:szCs w:val="22"/>
          <w:lang w:val="sr-Latn-ME"/>
        </w:rPr>
        <w:t xml:space="preserve">neželjena dejstva </w:t>
      </w:r>
      <w:r w:rsidR="007F34A1" w:rsidRPr="007B5CD4">
        <w:rPr>
          <w:rFonts w:eastAsia="Calibri"/>
          <w:sz w:val="22"/>
          <w:szCs w:val="22"/>
          <w:lang w:val="sr-Latn-ME"/>
        </w:rPr>
        <w:t xml:space="preserve">uzrokovana curenjem cerebrospinalne tečnosti </w:t>
      </w:r>
      <w:r w:rsidRPr="007B5CD4">
        <w:rPr>
          <w:rFonts w:eastAsia="Calibri"/>
          <w:sz w:val="22"/>
          <w:szCs w:val="22"/>
          <w:lang w:val="sr-Latn-ME"/>
        </w:rPr>
        <w:t xml:space="preserve">(npr. glavobolja nakon </w:t>
      </w:r>
      <w:r w:rsidR="007F34A1" w:rsidRPr="007B5CD4">
        <w:rPr>
          <w:rFonts w:eastAsia="Calibri"/>
          <w:sz w:val="22"/>
          <w:szCs w:val="22"/>
          <w:lang w:val="sr-Latn-ME"/>
        </w:rPr>
        <w:t xml:space="preserve">nakon punkcije </w:t>
      </w:r>
      <w:r w:rsidR="007F34A1" w:rsidRPr="007B5CD4">
        <w:rPr>
          <w:rFonts w:eastAsia="Calibri"/>
          <w:i/>
          <w:iCs/>
          <w:sz w:val="22"/>
          <w:szCs w:val="22"/>
          <w:lang w:val="sr-Latn-ME"/>
        </w:rPr>
        <w:t>dura mater</w:t>
      </w:r>
      <w:r w:rsidRPr="007B5CD4">
        <w:rPr>
          <w:rFonts w:eastAsia="Calibri"/>
          <w:sz w:val="22"/>
          <w:szCs w:val="22"/>
          <w:lang w:val="sr-Latn-ME"/>
        </w:rPr>
        <w:t>).</w:t>
      </w:r>
    </w:p>
    <w:p w14:paraId="5D285F53" w14:textId="77777777" w:rsidR="00BC2F94" w:rsidRPr="007B5CD4" w:rsidRDefault="00BC2F94" w:rsidP="001947FE">
      <w:pPr>
        <w:tabs>
          <w:tab w:val="left" w:pos="0"/>
        </w:tabs>
        <w:ind w:left="567" w:hanging="567"/>
        <w:jc w:val="both"/>
        <w:rPr>
          <w:rFonts w:eastAsia="Calibri"/>
          <w:sz w:val="22"/>
          <w:szCs w:val="22"/>
          <w:lang w:val="sr-Latn-ME"/>
        </w:rPr>
      </w:pPr>
    </w:p>
    <w:p w14:paraId="24CD0016" w14:textId="403B948D" w:rsidR="007F34A1" w:rsidRPr="007B5CD4" w:rsidRDefault="007F34A1" w:rsidP="001947FE">
      <w:pPr>
        <w:tabs>
          <w:tab w:val="left" w:pos="0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Učestalost neželjenih dejstava definisana je na sljedeći način: veoma često (≥ 1/10), često (≥1/100 do &lt; 1/10), povremen</w:t>
      </w:r>
      <w:r w:rsidR="0057685A" w:rsidRPr="007B5CD4">
        <w:rPr>
          <w:rFonts w:eastAsia="Calibri"/>
          <w:sz w:val="22"/>
          <w:szCs w:val="22"/>
          <w:lang w:val="sr-Latn-ME"/>
        </w:rPr>
        <w:t>o</w:t>
      </w:r>
      <w:r w:rsidRPr="007B5CD4">
        <w:rPr>
          <w:rFonts w:eastAsia="Calibri"/>
          <w:sz w:val="22"/>
          <w:szCs w:val="22"/>
          <w:lang w:val="sr-Latn-ME"/>
        </w:rPr>
        <w:t xml:space="preserve"> (≥ 1/1000 do &lt; 1/100), rijetko (≥ 1/10000 do &lt; 1/1000), veoma rijetko (&lt; 1/10000) ili nepoznata učestalost (ne može se procijeniti na osnovu dostupnih podataka).</w:t>
      </w:r>
    </w:p>
    <w:p w14:paraId="37F5E291" w14:textId="77777777" w:rsidR="007F34A1" w:rsidRPr="007B5CD4" w:rsidRDefault="007F34A1" w:rsidP="001947FE">
      <w:pPr>
        <w:tabs>
          <w:tab w:val="left" w:pos="0"/>
        </w:tabs>
        <w:ind w:left="567" w:hanging="567"/>
        <w:jc w:val="both"/>
        <w:rPr>
          <w:rFonts w:eastAsia="Calibri"/>
          <w:sz w:val="22"/>
          <w:szCs w:val="22"/>
          <w:lang w:val="sr-Latn-ME"/>
        </w:rPr>
      </w:pPr>
    </w:p>
    <w:p w14:paraId="70DDEBDC" w14:textId="1BC09C62" w:rsidR="00BC2F94" w:rsidRPr="007B5CD4" w:rsidRDefault="00BC2F94" w:rsidP="001947FE">
      <w:pPr>
        <w:tabs>
          <w:tab w:val="left" w:pos="0"/>
        </w:tabs>
        <w:jc w:val="both"/>
        <w:rPr>
          <w:rFonts w:eastAsia="Calibri"/>
          <w:b/>
          <w:sz w:val="22"/>
          <w:szCs w:val="22"/>
          <w:u w:val="single"/>
          <w:lang w:val="sr-Latn-ME"/>
        </w:rPr>
      </w:pPr>
      <w:r w:rsidRPr="007B5CD4">
        <w:rPr>
          <w:rFonts w:eastAsia="Calibri"/>
          <w:b/>
          <w:sz w:val="22"/>
          <w:szCs w:val="22"/>
          <w:u w:val="single"/>
          <w:lang w:val="sr-Latn-ME"/>
        </w:rPr>
        <w:t xml:space="preserve">Tabela 3  </w:t>
      </w:r>
      <w:r w:rsidRPr="007B5CD4">
        <w:rPr>
          <w:rFonts w:eastAsia="Calibri"/>
          <w:bCs/>
          <w:sz w:val="22"/>
          <w:szCs w:val="22"/>
          <w:u w:val="single"/>
          <w:lang w:val="sr-Latn-ME"/>
        </w:rPr>
        <w:t>Neželjena dejstva</w:t>
      </w:r>
    </w:p>
    <w:p w14:paraId="768F5A24" w14:textId="77777777" w:rsidR="007F34A1" w:rsidRPr="007B5CD4" w:rsidRDefault="007F34A1" w:rsidP="001947FE">
      <w:pPr>
        <w:tabs>
          <w:tab w:val="left" w:pos="708"/>
        </w:tabs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2"/>
        <w:gridCol w:w="3022"/>
      </w:tblGrid>
      <w:tr w:rsidR="007F34A1" w:rsidRPr="007B5CD4" w14:paraId="601B3CF0" w14:textId="77777777" w:rsidTr="007F34A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00CD" w14:textId="48BEC55B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9DB4" w14:textId="272B1DC2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R</w:t>
            </w:r>
            <w:r w:rsidR="003E21AF" w:rsidRPr="007B5CD4">
              <w:rPr>
                <w:sz w:val="22"/>
                <w:szCs w:val="22"/>
                <w:lang w:val="sr-Latn-ME"/>
              </w:rPr>
              <w:t>ij</w:t>
            </w:r>
            <w:r w:rsidRPr="007B5CD4">
              <w:rPr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C526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Alergijske reakcije, anafilaktički šok</w:t>
            </w:r>
          </w:p>
        </w:tc>
      </w:tr>
      <w:tr w:rsidR="007F34A1" w:rsidRPr="007B5CD4" w14:paraId="06E7AC72" w14:textId="77777777" w:rsidTr="007F34A1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9FE1" w14:textId="473C11B3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 w:eastAsia="cs-CZ"/>
              </w:rPr>
              <w:t>Poremećaji</w:t>
            </w:r>
            <w:r w:rsidRPr="007B5CD4">
              <w:rPr>
                <w:b/>
                <w:sz w:val="22"/>
                <w:szCs w:val="22"/>
                <w:lang w:val="sr-Latn-ME"/>
              </w:rPr>
              <w:t xml:space="preserve"> nervnog sistema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224E" w14:textId="77777777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BA37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Glavobolja</w:t>
            </w:r>
          </w:p>
        </w:tc>
      </w:tr>
      <w:tr w:rsidR="007F34A1" w:rsidRPr="007B5CD4" w14:paraId="3406EE8F" w14:textId="77777777" w:rsidTr="007F3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4A70" w14:textId="77777777" w:rsidR="007F34A1" w:rsidRPr="007B5CD4" w:rsidRDefault="007F34A1" w:rsidP="001947FE">
            <w:pPr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66EE" w14:textId="77777777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93CD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 xml:space="preserve">Parestezija, pareza, dizestezija </w:t>
            </w:r>
          </w:p>
        </w:tc>
      </w:tr>
      <w:tr w:rsidR="007F34A1" w:rsidRPr="007B5CD4" w14:paraId="41862775" w14:textId="77777777" w:rsidTr="007F3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C642" w14:textId="77777777" w:rsidR="007F34A1" w:rsidRPr="007B5CD4" w:rsidRDefault="007F34A1" w:rsidP="001947FE">
            <w:pPr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9172" w14:textId="5DA9B63F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R</w:t>
            </w:r>
            <w:r w:rsidR="003E21AF" w:rsidRPr="007B5CD4">
              <w:rPr>
                <w:sz w:val="22"/>
                <w:szCs w:val="22"/>
                <w:lang w:val="sr-Latn-ME"/>
              </w:rPr>
              <w:t>ij</w:t>
            </w:r>
            <w:r w:rsidRPr="007B5CD4">
              <w:rPr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701F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Paraplegija, paraliza, neuropatija, arahnoiditis</w:t>
            </w:r>
          </w:p>
        </w:tc>
      </w:tr>
      <w:tr w:rsidR="007F34A1" w:rsidRPr="007B5CD4" w14:paraId="57FE6949" w14:textId="77777777" w:rsidTr="007F34A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974F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8972" w14:textId="77777777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826D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Hipotenzija, bradikardija</w:t>
            </w:r>
          </w:p>
        </w:tc>
      </w:tr>
      <w:tr w:rsidR="007F34A1" w:rsidRPr="007B5CD4" w14:paraId="2C32C466" w14:textId="77777777" w:rsidTr="007F34A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FF9E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3208" w14:textId="6C8A36C6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R</w:t>
            </w:r>
            <w:r w:rsidR="003E21AF" w:rsidRPr="007B5CD4">
              <w:rPr>
                <w:sz w:val="22"/>
                <w:szCs w:val="22"/>
                <w:lang w:val="sr-Latn-ME"/>
              </w:rPr>
              <w:t>ij</w:t>
            </w:r>
            <w:r w:rsidRPr="007B5CD4">
              <w:rPr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2A61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Srčani zastoj</w:t>
            </w:r>
          </w:p>
        </w:tc>
      </w:tr>
      <w:tr w:rsidR="007F34A1" w:rsidRPr="007B5CD4" w14:paraId="78841877" w14:textId="77777777" w:rsidTr="007F34A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4BF5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/>
              </w:rPr>
              <w:lastRenderedPageBreak/>
              <w:t>Respiratorni, torakalni i medijastinalni poremećaji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B3C0" w14:textId="419B59A1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R</w:t>
            </w:r>
            <w:r w:rsidR="003E21AF" w:rsidRPr="007B5CD4">
              <w:rPr>
                <w:sz w:val="22"/>
                <w:szCs w:val="22"/>
                <w:lang w:val="sr-Latn-ME"/>
              </w:rPr>
              <w:t>ij</w:t>
            </w:r>
            <w:r w:rsidRPr="007B5CD4">
              <w:rPr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73A4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Depresija disanja</w:t>
            </w:r>
          </w:p>
        </w:tc>
      </w:tr>
      <w:tr w:rsidR="007F34A1" w:rsidRPr="007B5CD4" w14:paraId="4629A42E" w14:textId="77777777" w:rsidTr="007F34A1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8EC7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6ABF" w14:textId="77777777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DE00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Mučnina</w:t>
            </w:r>
          </w:p>
        </w:tc>
      </w:tr>
      <w:tr w:rsidR="007F34A1" w:rsidRPr="007B5CD4" w14:paraId="37BD3430" w14:textId="77777777" w:rsidTr="007F3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4E0E" w14:textId="77777777" w:rsidR="007F34A1" w:rsidRPr="007B5CD4" w:rsidRDefault="007F34A1" w:rsidP="001947FE">
            <w:pPr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44A8" w14:textId="77777777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A524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Povraćanje</w:t>
            </w:r>
          </w:p>
        </w:tc>
      </w:tr>
      <w:tr w:rsidR="007F34A1" w:rsidRPr="007B5CD4" w14:paraId="34C5AE54" w14:textId="77777777" w:rsidTr="007F34A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F4AB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3F28" w14:textId="77777777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9EE5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Slabost mišića, bol u leđima</w:t>
            </w:r>
          </w:p>
        </w:tc>
      </w:tr>
      <w:tr w:rsidR="007F34A1" w:rsidRPr="007B5CD4" w14:paraId="3E3B7FFD" w14:textId="77777777" w:rsidTr="007F34A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9F2A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7B5CD4">
              <w:rPr>
                <w:b/>
                <w:sz w:val="22"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CF25" w14:textId="77777777" w:rsidR="007F34A1" w:rsidRPr="007B5CD4" w:rsidRDefault="007F34A1" w:rsidP="005F42D6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A3D3" w14:textId="77777777" w:rsidR="007F34A1" w:rsidRPr="007B5CD4" w:rsidRDefault="007F34A1" w:rsidP="001947FE">
            <w:pPr>
              <w:tabs>
                <w:tab w:val="left" w:pos="708"/>
              </w:tabs>
              <w:jc w:val="both"/>
              <w:rPr>
                <w:sz w:val="22"/>
                <w:szCs w:val="22"/>
                <w:lang w:val="sr-Latn-ME"/>
              </w:rPr>
            </w:pPr>
            <w:r w:rsidRPr="007B5CD4">
              <w:rPr>
                <w:sz w:val="22"/>
                <w:szCs w:val="22"/>
                <w:lang w:val="sr-Latn-ME"/>
              </w:rPr>
              <w:t>Retencija urina, inkontinencija</w:t>
            </w:r>
          </w:p>
        </w:tc>
      </w:tr>
    </w:tbl>
    <w:p w14:paraId="0F02C8FE" w14:textId="77777777" w:rsidR="00BC2F94" w:rsidRPr="007B5CD4" w:rsidRDefault="00BC2F94" w:rsidP="001947FE">
      <w:pPr>
        <w:jc w:val="both"/>
        <w:rPr>
          <w:b/>
          <w:sz w:val="22"/>
          <w:szCs w:val="22"/>
          <w:lang w:val="sr-Latn-ME"/>
        </w:rPr>
      </w:pPr>
    </w:p>
    <w:p w14:paraId="1DB75704" w14:textId="59A60F9F" w:rsidR="003E21AF" w:rsidRPr="007B5CD4" w:rsidRDefault="00BC2F94" w:rsidP="001947FE">
      <w:pPr>
        <w:jc w:val="both"/>
        <w:rPr>
          <w:bCs/>
          <w:sz w:val="22"/>
          <w:szCs w:val="22"/>
          <w:lang w:val="sr-Latn-ME"/>
        </w:rPr>
      </w:pPr>
      <w:r w:rsidRPr="007B5CD4">
        <w:rPr>
          <w:b/>
          <w:sz w:val="22"/>
          <w:szCs w:val="22"/>
          <w:lang w:val="sr-Latn-ME"/>
        </w:rPr>
        <w:t>Akutna sistemska toksičnost</w:t>
      </w:r>
    </w:p>
    <w:p w14:paraId="0EDE341A" w14:textId="77777777" w:rsidR="003E21AF" w:rsidRPr="007B5CD4" w:rsidRDefault="003E21AF" w:rsidP="001947FE">
      <w:pPr>
        <w:jc w:val="both"/>
        <w:rPr>
          <w:b/>
          <w:sz w:val="22"/>
          <w:szCs w:val="22"/>
          <w:lang w:val="sr-Latn-ME"/>
        </w:rPr>
      </w:pPr>
    </w:p>
    <w:p w14:paraId="15B0E76C" w14:textId="55168731" w:rsidR="00BC2F94" w:rsidRPr="007B5CD4" w:rsidRDefault="00BC2F94" w:rsidP="001947FE">
      <w:pPr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Kada se lijek Marcaine Spinal 0.5%  koristi kako je preporučeno nije vjerovatno da će dovesti do koncentracija u krvi dovoljno velikih da dovedu do sistemske toksičnosti. Međutim, ako se </w:t>
      </w:r>
      <w:r w:rsidR="003E21AF" w:rsidRPr="007B5CD4">
        <w:rPr>
          <w:bCs/>
          <w:sz w:val="22"/>
          <w:szCs w:val="22"/>
          <w:lang w:val="sr-Latn-ME"/>
        </w:rPr>
        <w:t>lijek Marcaine Spinal 0.5% primijeni istovremeno sa drugim lokalnim anesteticima, toksični efekti su aditivni i mogu prouzrokovati sistemske toksične reakcije.</w:t>
      </w:r>
      <w:r w:rsidR="003E21AF" w:rsidRPr="007B5CD4" w:rsidDel="003E21AF">
        <w:rPr>
          <w:bCs/>
          <w:sz w:val="22"/>
          <w:szCs w:val="22"/>
          <w:lang w:val="sr-Latn-ME"/>
        </w:rPr>
        <w:t xml:space="preserve"> </w:t>
      </w:r>
    </w:p>
    <w:p w14:paraId="3CB06D9D" w14:textId="77777777" w:rsidR="00BC2F94" w:rsidRPr="007B5CD4" w:rsidRDefault="00BC2F94" w:rsidP="005F42D6">
      <w:pPr>
        <w:ind w:left="567"/>
        <w:jc w:val="both"/>
        <w:rPr>
          <w:sz w:val="22"/>
          <w:szCs w:val="22"/>
          <w:lang w:val="sr-Latn-ME"/>
        </w:rPr>
      </w:pPr>
    </w:p>
    <w:p w14:paraId="5769F108" w14:textId="52B21F40" w:rsidR="00BC2F94" w:rsidRPr="007B5CD4" w:rsidRDefault="00BC2F94" w:rsidP="001947FE">
      <w:pPr>
        <w:tabs>
          <w:tab w:val="left" w:pos="567"/>
        </w:tabs>
        <w:ind w:left="567" w:hanging="567"/>
        <w:jc w:val="both"/>
        <w:rPr>
          <w:b/>
          <w:sz w:val="22"/>
          <w:szCs w:val="22"/>
          <w:lang w:val="sr-Latn-ME"/>
        </w:rPr>
      </w:pPr>
      <w:r w:rsidRPr="007B5CD4">
        <w:rPr>
          <w:b/>
          <w:sz w:val="22"/>
          <w:szCs w:val="22"/>
          <w:lang w:val="sr-Latn-ME"/>
        </w:rPr>
        <w:t>Liječenje akutne sistemske toksičnosti</w:t>
      </w:r>
    </w:p>
    <w:p w14:paraId="1650A74F" w14:textId="77777777" w:rsidR="00BC2F94" w:rsidRPr="007B5CD4" w:rsidRDefault="00BC2F94" w:rsidP="001947FE">
      <w:pPr>
        <w:tabs>
          <w:tab w:val="left" w:pos="567"/>
        </w:tabs>
        <w:ind w:left="567" w:hanging="567"/>
        <w:jc w:val="both"/>
        <w:rPr>
          <w:b/>
          <w:sz w:val="22"/>
          <w:szCs w:val="22"/>
          <w:lang w:val="sr-Latn-ME"/>
        </w:rPr>
      </w:pPr>
    </w:p>
    <w:p w14:paraId="2F2F4EA7" w14:textId="6CC92B54" w:rsidR="00BC2F94" w:rsidRPr="007B5CD4" w:rsidRDefault="00BC2F94" w:rsidP="005F42D6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Ako se pojave znaci akutne sistemske toksičnosti ili totalne spinalne blokade treba odmah prekinuti davanje anestetika i adekvatno liječiti kardiovaskularne i neurološke pojave toksičnosti (konvulzije, depresija CNS).</w:t>
      </w:r>
    </w:p>
    <w:p w14:paraId="32334191" w14:textId="77777777" w:rsidR="003E21AF" w:rsidRPr="007B5CD4" w:rsidRDefault="003E21AF" w:rsidP="005F42D6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558237B7" w14:textId="1BB57B9A" w:rsidR="003E21AF" w:rsidRPr="007B5CD4" w:rsidRDefault="00BC2F94" w:rsidP="005F42D6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Ukoliko dođe do zaustavljanja krvotoka, pokreće se odmah kardiopulmonalna reanimacija </w:t>
      </w:r>
      <w:r w:rsidR="003E21AF" w:rsidRPr="007B5CD4">
        <w:rPr>
          <w:sz w:val="22"/>
          <w:szCs w:val="22"/>
          <w:lang w:val="sr-Latn-ME"/>
        </w:rPr>
        <w:t xml:space="preserve">u skladu sa </w:t>
      </w:r>
      <w:r w:rsidRPr="007B5CD4">
        <w:rPr>
          <w:sz w:val="22"/>
          <w:szCs w:val="22"/>
          <w:lang w:val="sr-Latn-ME"/>
        </w:rPr>
        <w:t xml:space="preserve">važećim preporukama. </w:t>
      </w:r>
      <w:r w:rsidR="003E21AF" w:rsidRPr="007B5CD4">
        <w:rPr>
          <w:sz w:val="22"/>
          <w:szCs w:val="22"/>
          <w:lang w:val="sr-Latn-ME"/>
        </w:rPr>
        <w:t>Optimalna ventilacija i cirkulatorna podrška, kao i terapija acidoze, od vitalnog su značaja zbog toga što i hipoksija i acidoza povećavaju sistemsku toksičnost lokalnih anestetika.</w:t>
      </w:r>
    </w:p>
    <w:p w14:paraId="3EC64846" w14:textId="77777777" w:rsidR="003E21AF" w:rsidRPr="007B5CD4" w:rsidRDefault="003E21AF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3F3F2908" w14:textId="26094563" w:rsidR="00BC2F94" w:rsidRPr="007B5CD4" w:rsidRDefault="00BC2F94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Ako se pojave znaci akutne sistemske toksičnosti ili totalne </w:t>
      </w:r>
      <w:r w:rsidR="003E21AF" w:rsidRPr="007B5CD4">
        <w:rPr>
          <w:sz w:val="22"/>
          <w:szCs w:val="22"/>
          <w:lang w:val="sr-Latn-ME"/>
        </w:rPr>
        <w:t>subarahnoidalne</w:t>
      </w:r>
      <w:r w:rsidRPr="007B5CD4">
        <w:rPr>
          <w:sz w:val="22"/>
          <w:szCs w:val="22"/>
          <w:lang w:val="sr-Latn-ME"/>
        </w:rPr>
        <w:t xml:space="preserve"> blokade, potrebno je odmah prekinuti dalje davanje lokalnog anestetika i bez odlaganja liječiti </w:t>
      </w:r>
      <w:r w:rsidR="003E21AF" w:rsidRPr="007B5CD4">
        <w:rPr>
          <w:sz w:val="22"/>
          <w:szCs w:val="22"/>
          <w:lang w:val="sr-Latn-ME"/>
        </w:rPr>
        <w:t>CNS simptome</w:t>
      </w:r>
      <w:r w:rsidRPr="007B5CD4">
        <w:rPr>
          <w:sz w:val="22"/>
          <w:szCs w:val="22"/>
          <w:lang w:val="sr-Latn-ME"/>
        </w:rPr>
        <w:t xml:space="preserve"> (konvulzije, </w:t>
      </w:r>
      <w:r w:rsidR="003E21AF" w:rsidRPr="007B5CD4">
        <w:rPr>
          <w:sz w:val="22"/>
          <w:szCs w:val="22"/>
          <w:lang w:val="sr-Latn-ME"/>
        </w:rPr>
        <w:t>CNS depresija</w:t>
      </w:r>
      <w:r w:rsidRPr="007B5CD4">
        <w:rPr>
          <w:sz w:val="22"/>
          <w:szCs w:val="22"/>
          <w:lang w:val="sr-Latn-ME"/>
        </w:rPr>
        <w:t xml:space="preserve">) obezbeđivanjem prohodnosti disajnih puteva, </w:t>
      </w:r>
      <w:r w:rsidR="003E21AF" w:rsidRPr="007B5CD4">
        <w:rPr>
          <w:sz w:val="22"/>
          <w:szCs w:val="22"/>
          <w:lang w:val="sr-Latn-ME"/>
        </w:rPr>
        <w:t>adekvatn</w:t>
      </w:r>
      <w:r w:rsidR="0057685A" w:rsidRPr="007B5CD4">
        <w:rPr>
          <w:sz w:val="22"/>
          <w:szCs w:val="22"/>
          <w:lang w:val="sr-Latn-ME"/>
        </w:rPr>
        <w:t>e</w:t>
      </w:r>
      <w:r w:rsidR="003E21AF" w:rsidRPr="007B5CD4">
        <w:rPr>
          <w:sz w:val="22"/>
          <w:szCs w:val="22"/>
          <w:lang w:val="sr-Latn-ME"/>
        </w:rPr>
        <w:t xml:space="preserve"> </w:t>
      </w:r>
      <w:r w:rsidRPr="007B5CD4">
        <w:rPr>
          <w:sz w:val="22"/>
          <w:szCs w:val="22"/>
          <w:lang w:val="sr-Latn-ME"/>
        </w:rPr>
        <w:t>ventilacije i davanjem antikonvulziva (npr. tiopental 1-</w:t>
      </w:r>
      <w:r w:rsidR="003E21AF" w:rsidRPr="007B5CD4">
        <w:rPr>
          <w:sz w:val="22"/>
          <w:szCs w:val="22"/>
          <w:lang w:val="sr-Latn-ME"/>
        </w:rPr>
        <w:t>3</w:t>
      </w:r>
      <w:r w:rsidRPr="007B5CD4">
        <w:rPr>
          <w:sz w:val="22"/>
          <w:szCs w:val="22"/>
          <w:lang w:val="sr-Latn-ME"/>
        </w:rPr>
        <w:t xml:space="preserve">mg </w:t>
      </w:r>
      <w:r w:rsidR="00F67879" w:rsidRPr="007B5CD4">
        <w:rPr>
          <w:sz w:val="22"/>
          <w:szCs w:val="22"/>
          <w:lang w:val="sr-Latn-ME"/>
        </w:rPr>
        <w:t>mg/ml, valijum ili midazolam i.v.</w:t>
      </w:r>
      <w:r w:rsidRPr="007B5CD4">
        <w:rPr>
          <w:sz w:val="22"/>
          <w:szCs w:val="22"/>
          <w:lang w:val="sr-Latn-ME"/>
        </w:rPr>
        <w:t xml:space="preserve">). </w:t>
      </w:r>
      <w:r w:rsidR="00F67879" w:rsidRPr="007B5CD4">
        <w:rPr>
          <w:sz w:val="22"/>
          <w:szCs w:val="22"/>
          <w:lang w:val="sr-Latn-ME"/>
        </w:rPr>
        <w:t>Prim</w:t>
      </w:r>
      <w:r w:rsidR="0057685A" w:rsidRPr="007B5CD4">
        <w:rPr>
          <w:sz w:val="22"/>
          <w:szCs w:val="22"/>
          <w:lang w:val="sr-Latn-ME"/>
        </w:rPr>
        <w:t>j</w:t>
      </w:r>
      <w:r w:rsidR="00F67879" w:rsidRPr="007B5CD4">
        <w:rPr>
          <w:sz w:val="22"/>
          <w:szCs w:val="22"/>
          <w:lang w:val="sr-Latn-ME"/>
        </w:rPr>
        <w:t>ena miorelaksanasa</w:t>
      </w:r>
      <w:r w:rsidRPr="007B5CD4">
        <w:rPr>
          <w:sz w:val="22"/>
          <w:szCs w:val="22"/>
          <w:lang w:val="sr-Latn-ME"/>
        </w:rPr>
        <w:t xml:space="preserve"> je moguć</w:t>
      </w:r>
      <w:r w:rsidR="00F67879" w:rsidRPr="007B5CD4">
        <w:rPr>
          <w:sz w:val="22"/>
          <w:szCs w:val="22"/>
          <w:lang w:val="sr-Latn-ME"/>
        </w:rPr>
        <w:t>a</w:t>
      </w:r>
      <w:r w:rsidRPr="007B5CD4">
        <w:rPr>
          <w:sz w:val="22"/>
          <w:szCs w:val="22"/>
          <w:lang w:val="sr-Latn-ME"/>
        </w:rPr>
        <w:t xml:space="preserve"> </w:t>
      </w:r>
      <w:r w:rsidR="00F67879" w:rsidRPr="007B5CD4">
        <w:rPr>
          <w:sz w:val="22"/>
          <w:szCs w:val="22"/>
          <w:lang w:val="sr-Latn-ME"/>
        </w:rPr>
        <w:t xml:space="preserve">samo nakon </w:t>
      </w:r>
      <w:r w:rsidR="00CD341E" w:rsidRPr="007B5CD4">
        <w:rPr>
          <w:sz w:val="22"/>
          <w:szCs w:val="22"/>
          <w:lang w:val="sr-Latn-ME"/>
        </w:rPr>
        <w:t xml:space="preserve">postizanja </w:t>
      </w:r>
      <w:r w:rsidR="00F67879" w:rsidRPr="007B5CD4">
        <w:rPr>
          <w:sz w:val="22"/>
          <w:szCs w:val="22"/>
          <w:lang w:val="sr-Latn-ME"/>
        </w:rPr>
        <w:t>dovoljnog nivoa poremećaja svijesti pod uslovom da postoji mogućnost trahealne intubacije i asistirane ventilacije.</w:t>
      </w:r>
      <w:r w:rsidRPr="007B5CD4">
        <w:rPr>
          <w:sz w:val="22"/>
          <w:szCs w:val="22"/>
          <w:lang w:val="sr-Latn-ME"/>
        </w:rPr>
        <w:t>.</w:t>
      </w:r>
    </w:p>
    <w:p w14:paraId="0190DF0C" w14:textId="77777777" w:rsidR="003E21AF" w:rsidRPr="007B5CD4" w:rsidRDefault="003E21AF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7515F26B" w14:textId="78B08AF4" w:rsidR="00BC2F94" w:rsidRPr="007B5CD4" w:rsidRDefault="00BC2F94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Ako dođe do prestanka disanja, trebalo bi da se započne kardiopulmonalna reanimacija </w:t>
      </w:r>
      <w:r w:rsidR="00F67879" w:rsidRPr="007B5CD4">
        <w:rPr>
          <w:sz w:val="22"/>
          <w:szCs w:val="22"/>
          <w:lang w:val="sr-Latn-ME"/>
        </w:rPr>
        <w:t xml:space="preserve">u skladu sa </w:t>
      </w:r>
      <w:r w:rsidRPr="007B5CD4">
        <w:rPr>
          <w:sz w:val="22"/>
          <w:szCs w:val="22"/>
          <w:lang w:val="sr-Latn-ME"/>
        </w:rPr>
        <w:t xml:space="preserve">važećim preporukama. </w:t>
      </w:r>
      <w:r w:rsidR="00F67879" w:rsidRPr="007B5CD4">
        <w:rPr>
          <w:sz w:val="22"/>
          <w:szCs w:val="22"/>
          <w:lang w:val="sr-Latn-ME"/>
        </w:rPr>
        <w:t>Za terapiju toksičnosti od s</w:t>
      </w:r>
      <w:r w:rsidRPr="007B5CD4">
        <w:rPr>
          <w:sz w:val="22"/>
          <w:szCs w:val="22"/>
          <w:lang w:val="sr-Latn-ME"/>
        </w:rPr>
        <w:t>uštinsk</w:t>
      </w:r>
      <w:r w:rsidR="00F67879" w:rsidRPr="007B5CD4">
        <w:rPr>
          <w:sz w:val="22"/>
          <w:szCs w:val="22"/>
          <w:lang w:val="sr-Latn-ME"/>
        </w:rPr>
        <w:t>og</w:t>
      </w:r>
      <w:r w:rsidRPr="007B5CD4">
        <w:rPr>
          <w:sz w:val="22"/>
          <w:szCs w:val="22"/>
          <w:lang w:val="sr-Latn-ME"/>
        </w:rPr>
        <w:t xml:space="preserve"> značaj</w:t>
      </w:r>
      <w:r w:rsidR="00F67879" w:rsidRPr="007B5CD4">
        <w:rPr>
          <w:sz w:val="22"/>
          <w:szCs w:val="22"/>
          <w:lang w:val="sr-Latn-ME"/>
        </w:rPr>
        <w:t>a</w:t>
      </w:r>
      <w:r w:rsidRPr="007B5CD4">
        <w:rPr>
          <w:sz w:val="22"/>
          <w:szCs w:val="22"/>
          <w:lang w:val="sr-Latn-ME"/>
        </w:rPr>
        <w:t xml:space="preserve"> </w:t>
      </w:r>
      <w:r w:rsidR="00F67879" w:rsidRPr="007B5CD4">
        <w:rPr>
          <w:sz w:val="22"/>
          <w:szCs w:val="22"/>
          <w:lang w:val="sr-Latn-ME"/>
        </w:rPr>
        <w:t xml:space="preserve">je </w:t>
      </w:r>
      <w:r w:rsidRPr="007B5CD4">
        <w:rPr>
          <w:sz w:val="22"/>
          <w:szCs w:val="22"/>
          <w:lang w:val="sr-Latn-ME"/>
        </w:rPr>
        <w:t>optimizacija oksigenacije i ventilacije (za sprečavanje hipoksije i/ili hiperka</w:t>
      </w:r>
      <w:r w:rsidR="0057685A" w:rsidRPr="007B5CD4">
        <w:rPr>
          <w:sz w:val="22"/>
          <w:szCs w:val="22"/>
          <w:lang w:val="sr-Latn-ME"/>
        </w:rPr>
        <w:t>p</w:t>
      </w:r>
      <w:r w:rsidRPr="007B5CD4">
        <w:rPr>
          <w:sz w:val="22"/>
          <w:szCs w:val="22"/>
          <w:lang w:val="sr-Latn-ME"/>
        </w:rPr>
        <w:t>nije</w:t>
      </w:r>
      <w:r w:rsidR="00F67879" w:rsidRPr="007B5CD4">
        <w:rPr>
          <w:sz w:val="22"/>
          <w:szCs w:val="22"/>
          <w:lang w:val="sr-Latn-ME"/>
        </w:rPr>
        <w:t>)</w:t>
      </w:r>
      <w:r w:rsidRPr="007B5CD4">
        <w:rPr>
          <w:sz w:val="22"/>
          <w:szCs w:val="22"/>
          <w:lang w:val="sr-Latn-ME"/>
        </w:rPr>
        <w:t xml:space="preserve"> i podrška cirkulaciji, </w:t>
      </w:r>
      <w:r w:rsidR="00F67879" w:rsidRPr="007B5CD4">
        <w:rPr>
          <w:sz w:val="22"/>
          <w:szCs w:val="22"/>
          <w:lang w:val="sr-Latn-ME"/>
        </w:rPr>
        <w:t xml:space="preserve"> tj. terapija cirkulatornog sistema (uspostavljanje euvolemije) i terapija acidoze zbog toga što hipoksija i acidoza povećavaju sistemsku toksičnost lokalnih anestetika. </w:t>
      </w:r>
      <w:r w:rsidRPr="007B5CD4">
        <w:rPr>
          <w:sz w:val="22"/>
          <w:szCs w:val="22"/>
          <w:lang w:val="sr-Latn-ME"/>
        </w:rPr>
        <w:t xml:space="preserve">Ako dođe do hipotenzije i/ili bradikardije, </w:t>
      </w:r>
      <w:r w:rsidR="00F67879" w:rsidRPr="007B5CD4">
        <w:rPr>
          <w:sz w:val="22"/>
          <w:szCs w:val="22"/>
          <w:lang w:val="sr-Latn-ME"/>
        </w:rPr>
        <w:t>treba ih tretirati intravenskim rastvorima, vazopresorima i/ili pozitivnim inotropnim ljekovima.</w:t>
      </w:r>
      <w:r w:rsidRPr="007B5CD4">
        <w:rPr>
          <w:sz w:val="22"/>
          <w:szCs w:val="22"/>
          <w:lang w:val="sr-Latn-ME"/>
        </w:rPr>
        <w:t xml:space="preserve"> Doze za djecu bi trebalo da odgovaraju njihovom uzrastu i t</w:t>
      </w:r>
      <w:r w:rsidR="00F67879" w:rsidRPr="007B5CD4">
        <w:rPr>
          <w:sz w:val="22"/>
          <w:szCs w:val="22"/>
          <w:lang w:val="sr-Latn-ME"/>
        </w:rPr>
        <w:t>j</w:t>
      </w:r>
      <w:r w:rsidRPr="007B5CD4">
        <w:rPr>
          <w:sz w:val="22"/>
          <w:szCs w:val="22"/>
          <w:lang w:val="sr-Latn-ME"/>
        </w:rPr>
        <w:t>elesnoj težini.</w:t>
      </w:r>
    </w:p>
    <w:p w14:paraId="205DCFF8" w14:textId="77777777" w:rsidR="00BC2F94" w:rsidRPr="007B5CD4" w:rsidRDefault="00BC2F94" w:rsidP="001947FE">
      <w:pPr>
        <w:tabs>
          <w:tab w:val="left" w:pos="567"/>
        </w:tabs>
        <w:ind w:left="567"/>
        <w:jc w:val="both"/>
        <w:rPr>
          <w:b/>
          <w:sz w:val="22"/>
          <w:szCs w:val="22"/>
          <w:lang w:val="sr-Latn-ME"/>
        </w:rPr>
      </w:pPr>
    </w:p>
    <w:p w14:paraId="708417ED" w14:textId="4E0878FB" w:rsidR="00BC2F94" w:rsidRPr="007B5CD4" w:rsidRDefault="00BC2F94" w:rsidP="001947FE">
      <w:pPr>
        <w:tabs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7B5CD4">
        <w:rPr>
          <w:bCs/>
          <w:sz w:val="22"/>
          <w:szCs w:val="22"/>
          <w:u w:val="single"/>
          <w:lang w:val="sr-Latn-ME"/>
        </w:rPr>
        <w:t>Pedijatrijska populacija</w:t>
      </w:r>
    </w:p>
    <w:p w14:paraId="36160AAD" w14:textId="77777777" w:rsidR="0057685A" w:rsidRPr="007B5CD4" w:rsidRDefault="0057685A" w:rsidP="001947FE">
      <w:pPr>
        <w:tabs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2CAF49A" w14:textId="27CFBDC9" w:rsidR="00BC2F94" w:rsidRPr="007B5CD4" w:rsidRDefault="00BC2F94" w:rsidP="005F42D6">
      <w:pPr>
        <w:tabs>
          <w:tab w:val="left" w:pos="569"/>
        </w:tabs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Neželjena dejstva kod djece su slična kao kod odraslih, ali kod djece nekad može biti teško </w:t>
      </w:r>
      <w:r w:rsidR="0057685A" w:rsidRPr="007B5CD4">
        <w:rPr>
          <w:sz w:val="22"/>
          <w:szCs w:val="22"/>
          <w:lang w:val="sr-Latn-ME"/>
        </w:rPr>
        <w:t>pre</w:t>
      </w:r>
      <w:r w:rsidRPr="007B5CD4">
        <w:rPr>
          <w:sz w:val="22"/>
          <w:szCs w:val="22"/>
          <w:lang w:val="sr-Latn-ME"/>
        </w:rPr>
        <w:t xml:space="preserve">poznati rane znake toksičnosti anestetika, posebno u slučajevima </w:t>
      </w:r>
      <w:r w:rsidR="008345D1" w:rsidRPr="007B5CD4">
        <w:rPr>
          <w:sz w:val="22"/>
          <w:szCs w:val="22"/>
          <w:lang w:val="sr-Latn-ME"/>
        </w:rPr>
        <w:t>kada do nervne blokade dođe tokom sedacije ili opšte anestezije.</w:t>
      </w:r>
    </w:p>
    <w:p w14:paraId="357E09D9" w14:textId="77777777" w:rsidR="0057685A" w:rsidRPr="007B5CD4" w:rsidRDefault="0057685A" w:rsidP="005F42D6">
      <w:pPr>
        <w:tabs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69A3A6" w14:textId="77777777" w:rsidR="005A23D2" w:rsidRPr="007B5CD4" w:rsidRDefault="005A23D2" w:rsidP="001947FE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B5CD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DB7CBFB" w14:textId="77777777" w:rsidR="005A23D2" w:rsidRPr="007B5CD4" w:rsidRDefault="005A23D2" w:rsidP="005F42D6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B5CD4">
        <w:rPr>
          <w:rFonts w:eastAsia="Calibri"/>
          <w:sz w:val="22"/>
          <w:szCs w:val="22"/>
          <w:lang w:val="sr-Latn-ME"/>
        </w:rPr>
        <w:t>inuirano praćenje odnosa korist</w:t>
      </w:r>
      <w:r w:rsidRPr="007B5CD4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B5CD4">
        <w:rPr>
          <w:rFonts w:eastAsia="Calibri"/>
          <w:sz w:val="22"/>
          <w:szCs w:val="22"/>
          <w:lang w:val="sr-Latn-ME"/>
        </w:rPr>
        <w:t xml:space="preserve"> </w:t>
      </w:r>
      <w:r w:rsidRPr="007B5CD4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B5CD4">
        <w:rPr>
          <w:rFonts w:eastAsia="Calibri"/>
          <w:sz w:val="22"/>
          <w:szCs w:val="22"/>
          <w:lang w:val="sr-Latn-ME"/>
        </w:rPr>
        <w:t>Institutu</w:t>
      </w:r>
      <w:r w:rsidRPr="007B5CD4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B5CD4">
        <w:rPr>
          <w:rFonts w:eastAsia="Calibri"/>
          <w:sz w:val="22"/>
          <w:szCs w:val="22"/>
          <w:lang w:val="sr-Latn-ME"/>
        </w:rPr>
        <w:t xml:space="preserve"> </w:t>
      </w:r>
      <w:r w:rsidRPr="007B5CD4">
        <w:rPr>
          <w:rFonts w:eastAsia="Calibri"/>
          <w:sz w:val="22"/>
          <w:szCs w:val="22"/>
          <w:lang w:val="sr-Latn-ME"/>
        </w:rPr>
        <w:t>(</w:t>
      </w:r>
      <w:r w:rsidR="004E70AD" w:rsidRPr="007B5CD4">
        <w:rPr>
          <w:rFonts w:eastAsia="Calibri"/>
          <w:sz w:val="22"/>
          <w:szCs w:val="22"/>
          <w:lang w:val="sr-Latn-ME"/>
        </w:rPr>
        <w:t>CInMED</w:t>
      </w:r>
      <w:r w:rsidRPr="007B5CD4">
        <w:rPr>
          <w:rFonts w:eastAsia="Calibri"/>
          <w:sz w:val="22"/>
          <w:szCs w:val="22"/>
          <w:lang w:val="sr-Latn-ME"/>
        </w:rPr>
        <w:t>):</w:t>
      </w:r>
    </w:p>
    <w:p w14:paraId="4F192A42" w14:textId="77777777" w:rsidR="005A23D2" w:rsidRPr="007B5CD4" w:rsidRDefault="004E70AD" w:rsidP="005F42D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B5CD4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3770A29" w14:textId="77777777" w:rsidR="005A23D2" w:rsidRPr="007B5CD4" w:rsidRDefault="005A23D2" w:rsidP="005F42D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Odjeljenje za farmakovigilancu</w:t>
      </w:r>
    </w:p>
    <w:p w14:paraId="58CD74C0" w14:textId="77777777" w:rsidR="00EA5765" w:rsidRPr="007B5CD4" w:rsidRDefault="005A23D2" w:rsidP="005F42D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D04C9E2" w14:textId="77777777" w:rsidR="00EA5765" w:rsidRPr="007B5CD4" w:rsidRDefault="00EA5765" w:rsidP="001947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BC1BEAB" w14:textId="77777777" w:rsidR="005A23D2" w:rsidRPr="007B5CD4" w:rsidRDefault="005A23D2" w:rsidP="005F42D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lastRenderedPageBreak/>
        <w:t>tel: +382 (0) 20 310 280</w:t>
      </w:r>
    </w:p>
    <w:p w14:paraId="72BC583F" w14:textId="77777777" w:rsidR="00EA5765" w:rsidRPr="007B5CD4" w:rsidRDefault="005A23D2" w:rsidP="005F42D6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fax:</w:t>
      </w:r>
      <w:r w:rsidR="00EA5765" w:rsidRPr="007B5CD4">
        <w:rPr>
          <w:rFonts w:eastAsia="Calibri"/>
          <w:sz w:val="22"/>
          <w:szCs w:val="22"/>
          <w:lang w:val="sr-Latn-ME"/>
        </w:rPr>
        <w:t xml:space="preserve"> </w:t>
      </w:r>
      <w:r w:rsidRPr="007B5CD4">
        <w:rPr>
          <w:rFonts w:eastAsia="Calibri"/>
          <w:sz w:val="22"/>
          <w:szCs w:val="22"/>
          <w:lang w:val="sr-Latn-ME"/>
        </w:rPr>
        <w:t>+382 (0) 20 310 581</w:t>
      </w:r>
      <w:r w:rsidR="00FF3EDF" w:rsidRPr="007B5CD4">
        <w:rPr>
          <w:rFonts w:eastAsia="Calibri"/>
          <w:sz w:val="22"/>
          <w:szCs w:val="22"/>
          <w:lang w:val="sr-Latn-ME"/>
        </w:rPr>
        <w:tab/>
      </w:r>
    </w:p>
    <w:p w14:paraId="3E925695" w14:textId="77777777" w:rsidR="005A23D2" w:rsidRPr="007B5CD4" w:rsidRDefault="00471785" w:rsidP="005F42D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7B5CD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F1068F9" w14:textId="77777777" w:rsidR="00EA5765" w:rsidRPr="007B5CD4" w:rsidRDefault="00471785" w:rsidP="005F42D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B5CD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397DFF1" w14:textId="77777777" w:rsidR="005A23D2" w:rsidRPr="007B5CD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putem IS zdravstvene zaštite</w:t>
      </w:r>
    </w:p>
    <w:p w14:paraId="7476DEF7" w14:textId="77777777" w:rsidR="007E31E9" w:rsidRPr="007B5CD4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rFonts w:eastAsia="Calibri"/>
          <w:sz w:val="22"/>
          <w:szCs w:val="22"/>
          <w:lang w:val="sr-Latn-ME"/>
        </w:rPr>
        <w:t>QR kod za online prijavu</w:t>
      </w:r>
      <w:r w:rsidR="00D74CD2" w:rsidRPr="007B5CD4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7B5CD4">
        <w:rPr>
          <w:rFonts w:eastAsia="Calibri"/>
          <w:sz w:val="22"/>
          <w:szCs w:val="22"/>
          <w:lang w:val="sr-Latn-ME"/>
        </w:rPr>
        <w:t>:</w:t>
      </w:r>
    </w:p>
    <w:p w14:paraId="0F548F56" w14:textId="77777777" w:rsidR="007E31E9" w:rsidRPr="007B5CD4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A0B9568" w14:textId="77777777" w:rsidR="004F17E2" w:rsidRPr="007B5CD4" w:rsidRDefault="007E31E9" w:rsidP="001947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B5CD4">
        <w:rPr>
          <w:noProof/>
          <w:sz w:val="22"/>
          <w:szCs w:val="22"/>
        </w:rPr>
        <w:drawing>
          <wp:inline distT="0" distB="0" distL="0" distR="0" wp14:anchorId="3F8B0C60" wp14:editId="5466865B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F9557" w14:textId="77777777" w:rsidR="00836B35" w:rsidRPr="007B5CD4" w:rsidRDefault="00836B35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C10D48" w14:textId="77777777" w:rsidR="00CD6F02" w:rsidRPr="007B5CD4" w:rsidRDefault="0072020E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4.9.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Predoziranje</w:t>
      </w:r>
      <w:r w:rsidR="002846DB" w:rsidRPr="007B5CD4">
        <w:rPr>
          <w:b/>
          <w:bCs/>
          <w:sz w:val="22"/>
          <w:szCs w:val="22"/>
          <w:lang w:val="sr-Latn-ME"/>
        </w:rPr>
        <w:t xml:space="preserve"> </w:t>
      </w:r>
    </w:p>
    <w:p w14:paraId="0E51B78F" w14:textId="2E166E01" w:rsidR="00C46E3C" w:rsidRDefault="00650619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Kada se lijek Marcaine Spinal 0.5% koristi kako je preporučeno nije vjerovatno da će dovesti do koncentracija u krvi dovoljno velikih da prouzrokuju sistemsku toksičnost. Međutim, ako se koristi sa drugim lokalnim anesteticima, toksični efekti su aditivni i mogu prouzrokovati sistemske toksične reakcije.</w:t>
      </w:r>
    </w:p>
    <w:p w14:paraId="0C1DF931" w14:textId="05A0725B" w:rsidR="00C46E3C" w:rsidRDefault="00C46E3C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4FD357" w14:textId="77777777" w:rsidR="00C46E3C" w:rsidRPr="007B5CD4" w:rsidRDefault="00C46E3C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8E59C2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5.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FARMAKOLOŠK</w:t>
      </w:r>
      <w:r w:rsidR="000D425A" w:rsidRPr="007B5CD4">
        <w:rPr>
          <w:b/>
          <w:bCs/>
          <w:sz w:val="22"/>
          <w:szCs w:val="22"/>
          <w:lang w:val="sr-Latn-ME"/>
        </w:rPr>
        <w:t>I</w:t>
      </w:r>
      <w:r w:rsidRPr="007B5CD4">
        <w:rPr>
          <w:b/>
          <w:bCs/>
          <w:sz w:val="22"/>
          <w:szCs w:val="22"/>
          <w:lang w:val="sr-Latn-ME"/>
        </w:rPr>
        <w:t xml:space="preserve"> PODACI</w:t>
      </w:r>
    </w:p>
    <w:p w14:paraId="6416134F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EFA181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5.1.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Farmakodinamski podaci</w:t>
      </w:r>
      <w:r w:rsidR="003A7059" w:rsidRPr="007B5CD4">
        <w:rPr>
          <w:b/>
          <w:bCs/>
          <w:sz w:val="22"/>
          <w:szCs w:val="22"/>
          <w:lang w:val="sr-Latn-ME"/>
        </w:rPr>
        <w:t xml:space="preserve"> </w:t>
      </w:r>
    </w:p>
    <w:p w14:paraId="2D13A99B" w14:textId="77777777" w:rsidR="00F45F77" w:rsidRPr="007B5CD4" w:rsidRDefault="00F45F77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5E6DAE" w14:textId="788295A8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Farmakoterapijska grupa:</w:t>
      </w:r>
      <w:r w:rsidR="00650619" w:rsidRPr="007B5CD4">
        <w:rPr>
          <w:sz w:val="22"/>
          <w:szCs w:val="22"/>
          <w:lang w:val="sr-Latn-ME"/>
        </w:rPr>
        <w:t xml:space="preserve"> </w:t>
      </w:r>
      <w:r w:rsidR="00650619" w:rsidRPr="007B5CD4">
        <w:rPr>
          <w:bCs/>
          <w:sz w:val="22"/>
          <w:szCs w:val="22"/>
          <w:lang w:val="sr-Latn-ME"/>
        </w:rPr>
        <w:t xml:space="preserve">Anestetici, </w:t>
      </w:r>
      <w:r w:rsidR="008345D1" w:rsidRPr="007B5CD4">
        <w:rPr>
          <w:bCs/>
          <w:sz w:val="22"/>
          <w:szCs w:val="22"/>
          <w:lang w:val="sr-Latn-ME"/>
        </w:rPr>
        <w:t xml:space="preserve">anestetici </w:t>
      </w:r>
      <w:r w:rsidR="00650619" w:rsidRPr="007B5CD4">
        <w:rPr>
          <w:bCs/>
          <w:sz w:val="22"/>
          <w:szCs w:val="22"/>
          <w:lang w:val="sr-Latn-ME"/>
        </w:rPr>
        <w:t>lokalni; Amidi</w:t>
      </w:r>
    </w:p>
    <w:p w14:paraId="4FA2AC43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B77071" w14:textId="03E15D32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ATC kod:</w:t>
      </w:r>
      <w:r w:rsidR="00650619" w:rsidRPr="007B5CD4">
        <w:rPr>
          <w:sz w:val="22"/>
          <w:szCs w:val="22"/>
          <w:lang w:val="sr-Latn-ME"/>
        </w:rPr>
        <w:t xml:space="preserve"> </w:t>
      </w:r>
      <w:r w:rsidR="00650619" w:rsidRPr="007B5CD4">
        <w:rPr>
          <w:bCs/>
          <w:sz w:val="22"/>
          <w:szCs w:val="22"/>
          <w:lang w:val="sr-Latn-ME"/>
        </w:rPr>
        <w:t>N01BB01</w:t>
      </w:r>
    </w:p>
    <w:p w14:paraId="32481CDB" w14:textId="77777777" w:rsidR="00650619" w:rsidRPr="007B5CD4" w:rsidRDefault="00650619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2E7B74" w14:textId="4A0F7040" w:rsidR="00650619" w:rsidRPr="007B5CD4" w:rsidRDefault="008345D1" w:rsidP="005F42D6">
      <w:pPr>
        <w:jc w:val="both"/>
        <w:rPr>
          <w:sz w:val="22"/>
          <w:szCs w:val="22"/>
          <w:lang w:val="sr-Latn-ME"/>
        </w:rPr>
      </w:pPr>
      <w:r w:rsidRPr="007B5CD4">
        <w:rPr>
          <w:spacing w:val="-3"/>
          <w:sz w:val="22"/>
          <w:szCs w:val="22"/>
          <w:lang w:val="sr-Latn-ME"/>
        </w:rPr>
        <w:t>Bupivakain</w:t>
      </w:r>
      <w:r w:rsidR="00650619" w:rsidRPr="007B5CD4">
        <w:rPr>
          <w:spacing w:val="-3"/>
          <w:sz w:val="22"/>
          <w:szCs w:val="22"/>
          <w:lang w:val="sr-Latn-ME"/>
        </w:rPr>
        <w:t xml:space="preserve"> </w:t>
      </w:r>
      <w:r w:rsidR="00650619" w:rsidRPr="007B5CD4">
        <w:rPr>
          <w:sz w:val="22"/>
          <w:szCs w:val="22"/>
          <w:lang w:val="sr-Latn-ME"/>
        </w:rPr>
        <w:t xml:space="preserve">je lokalni anestetik </w:t>
      </w:r>
      <w:r w:rsidRPr="007B5CD4">
        <w:rPr>
          <w:sz w:val="22"/>
          <w:szCs w:val="22"/>
          <w:lang w:val="sr-Latn-ME"/>
        </w:rPr>
        <w:t>amidne strukture</w:t>
      </w:r>
      <w:r w:rsidR="00650619" w:rsidRPr="007B5CD4">
        <w:rPr>
          <w:sz w:val="22"/>
          <w:szCs w:val="22"/>
          <w:lang w:val="sr-Latn-ME"/>
        </w:rPr>
        <w:t xml:space="preserve">. Poslije </w:t>
      </w:r>
      <w:r w:rsidRPr="007B5CD4">
        <w:rPr>
          <w:sz w:val="22"/>
          <w:szCs w:val="22"/>
          <w:lang w:val="sr-Latn-ME"/>
        </w:rPr>
        <w:t>subarahnoidalne</w:t>
      </w:r>
      <w:r w:rsidR="00650619" w:rsidRPr="007B5CD4">
        <w:rPr>
          <w:sz w:val="22"/>
          <w:szCs w:val="22"/>
          <w:lang w:val="sr-Latn-ME"/>
        </w:rPr>
        <w:t xml:space="preserve"> davanja ima brzo nastupajuće dejstvo i srednje do dugo </w:t>
      </w:r>
      <w:r w:rsidRPr="007B5CD4">
        <w:rPr>
          <w:sz w:val="22"/>
          <w:szCs w:val="22"/>
          <w:lang w:val="sr-Latn-ME"/>
        </w:rPr>
        <w:t xml:space="preserve">trajanje </w:t>
      </w:r>
      <w:r w:rsidR="00650619" w:rsidRPr="007B5CD4">
        <w:rPr>
          <w:sz w:val="22"/>
          <w:szCs w:val="22"/>
          <w:lang w:val="sr-Latn-ME"/>
        </w:rPr>
        <w:t>dejstv</w:t>
      </w:r>
      <w:r w:rsidRPr="007B5CD4">
        <w:rPr>
          <w:sz w:val="22"/>
          <w:szCs w:val="22"/>
          <w:lang w:val="sr-Latn-ME"/>
        </w:rPr>
        <w:t>a</w:t>
      </w:r>
      <w:r w:rsidR="00650619" w:rsidRPr="007B5CD4">
        <w:rPr>
          <w:sz w:val="22"/>
          <w:szCs w:val="22"/>
          <w:lang w:val="sr-Latn-ME"/>
        </w:rPr>
        <w:t>. Trajanje dejsta zavisi od doze.</w:t>
      </w:r>
    </w:p>
    <w:p w14:paraId="4D522C67" w14:textId="77777777" w:rsidR="0057685A" w:rsidRPr="007B5CD4" w:rsidRDefault="0057685A" w:rsidP="005F42D6">
      <w:pPr>
        <w:jc w:val="both"/>
        <w:rPr>
          <w:sz w:val="22"/>
          <w:szCs w:val="22"/>
          <w:lang w:val="sr-Latn-ME"/>
        </w:rPr>
      </w:pPr>
    </w:p>
    <w:p w14:paraId="3042E7E9" w14:textId="1C651827" w:rsidR="00650619" w:rsidRPr="007B5CD4" w:rsidRDefault="00650619" w:rsidP="005F42D6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Bupivakain, slično kao drugi lokalni anestetici, izaziva reverzibilnu blokadu </w:t>
      </w:r>
      <w:r w:rsidR="0057685A" w:rsidRPr="007B5CD4">
        <w:rPr>
          <w:sz w:val="22"/>
          <w:szCs w:val="22"/>
          <w:lang w:val="sr-Latn-ME"/>
        </w:rPr>
        <w:t xml:space="preserve">prostiranja impulse kroz </w:t>
      </w:r>
      <w:r w:rsidRPr="007B5CD4">
        <w:rPr>
          <w:sz w:val="22"/>
          <w:szCs w:val="22"/>
          <w:lang w:val="sr-Latn-ME"/>
        </w:rPr>
        <w:t xml:space="preserve"> nervn</w:t>
      </w:r>
      <w:r w:rsidR="0057685A" w:rsidRPr="007B5CD4">
        <w:rPr>
          <w:sz w:val="22"/>
          <w:szCs w:val="22"/>
          <w:lang w:val="sr-Latn-ME"/>
        </w:rPr>
        <w:t>a</w:t>
      </w:r>
      <w:r w:rsidRPr="007B5CD4">
        <w:rPr>
          <w:sz w:val="22"/>
          <w:szCs w:val="22"/>
          <w:lang w:val="sr-Latn-ME"/>
        </w:rPr>
        <w:t xml:space="preserve"> vlak</w:t>
      </w:r>
      <w:r w:rsidR="0057685A" w:rsidRPr="007B5CD4">
        <w:rPr>
          <w:sz w:val="22"/>
          <w:szCs w:val="22"/>
          <w:lang w:val="sr-Latn-ME"/>
        </w:rPr>
        <w:t>na</w:t>
      </w:r>
      <w:r w:rsidRPr="007B5CD4">
        <w:rPr>
          <w:sz w:val="22"/>
          <w:szCs w:val="22"/>
          <w:lang w:val="sr-Latn-ME"/>
        </w:rPr>
        <w:t xml:space="preserve"> tako što sprečava prolazak natrijumovih jona kroz membranu nervnih vlakana.</w:t>
      </w:r>
    </w:p>
    <w:p w14:paraId="071ACCF9" w14:textId="77777777" w:rsidR="008345D1" w:rsidRPr="007B5CD4" w:rsidRDefault="008345D1" w:rsidP="005F42D6">
      <w:pPr>
        <w:jc w:val="both"/>
        <w:rPr>
          <w:spacing w:val="-3"/>
          <w:sz w:val="22"/>
          <w:szCs w:val="22"/>
          <w:lang w:val="sr-Latn-ME"/>
        </w:rPr>
      </w:pPr>
    </w:p>
    <w:p w14:paraId="292F3C93" w14:textId="380F6AAD" w:rsidR="008345D1" w:rsidRPr="007B5CD4" w:rsidRDefault="00650619">
      <w:pPr>
        <w:jc w:val="both"/>
        <w:rPr>
          <w:sz w:val="22"/>
          <w:szCs w:val="22"/>
          <w:lang w:val="sr-Latn-ME"/>
        </w:rPr>
      </w:pPr>
      <w:r w:rsidRPr="007B5CD4">
        <w:rPr>
          <w:spacing w:val="-3"/>
          <w:sz w:val="22"/>
          <w:szCs w:val="22"/>
          <w:lang w:val="sr-Latn-ME"/>
        </w:rPr>
        <w:t xml:space="preserve">Marcaine Spinal 0,5% </w:t>
      </w:r>
      <w:r w:rsidRPr="007B5CD4">
        <w:rPr>
          <w:sz w:val="22"/>
          <w:szCs w:val="22"/>
          <w:lang w:val="sr-Latn-ME"/>
        </w:rPr>
        <w:t xml:space="preserve">je u poređenju sa </w:t>
      </w:r>
      <w:r w:rsidR="008345D1" w:rsidRPr="007B5CD4">
        <w:rPr>
          <w:sz w:val="22"/>
          <w:szCs w:val="22"/>
          <w:lang w:val="sr-Latn-ME"/>
        </w:rPr>
        <w:t xml:space="preserve">cerebrospinalnom tečnošću </w:t>
      </w:r>
      <w:r w:rsidRPr="007B5CD4">
        <w:rPr>
          <w:sz w:val="22"/>
          <w:szCs w:val="22"/>
          <w:lang w:val="sr-Latn-ME"/>
        </w:rPr>
        <w:t xml:space="preserve">na </w:t>
      </w:r>
      <w:r w:rsidR="008345D1" w:rsidRPr="007B5CD4">
        <w:rPr>
          <w:sz w:val="22"/>
          <w:szCs w:val="22"/>
          <w:lang w:val="sr-Latn-ME"/>
        </w:rPr>
        <w:t xml:space="preserve">temperaturi od </w:t>
      </w:r>
      <w:r w:rsidRPr="007B5CD4">
        <w:rPr>
          <w:sz w:val="22"/>
          <w:szCs w:val="22"/>
          <w:lang w:val="sr-Latn-ME"/>
        </w:rPr>
        <w:t>20°C blago hiperbaričan</w:t>
      </w:r>
      <w:r w:rsidR="008345D1" w:rsidRPr="007B5CD4">
        <w:rPr>
          <w:sz w:val="22"/>
          <w:szCs w:val="22"/>
          <w:lang w:val="sr-Latn-ME"/>
        </w:rPr>
        <w:t>,</w:t>
      </w:r>
      <w:r w:rsidRPr="007B5CD4">
        <w:rPr>
          <w:sz w:val="22"/>
          <w:szCs w:val="22"/>
          <w:lang w:val="sr-Latn-ME"/>
        </w:rPr>
        <w:t xml:space="preserve"> </w:t>
      </w:r>
      <w:r w:rsidR="008345D1" w:rsidRPr="007B5CD4">
        <w:rPr>
          <w:sz w:val="22"/>
          <w:szCs w:val="22"/>
          <w:lang w:val="sr-Latn-ME"/>
        </w:rPr>
        <w:t xml:space="preserve">dok je na </w:t>
      </w:r>
      <w:r w:rsidRPr="007B5CD4">
        <w:rPr>
          <w:sz w:val="22"/>
          <w:szCs w:val="22"/>
          <w:lang w:val="sr-Latn-ME"/>
        </w:rPr>
        <w:t xml:space="preserve"> </w:t>
      </w:r>
      <w:r w:rsidR="008345D1" w:rsidRPr="007B5CD4">
        <w:rPr>
          <w:sz w:val="22"/>
          <w:szCs w:val="22"/>
          <w:lang w:val="sr-Latn-ME"/>
        </w:rPr>
        <w:t xml:space="preserve">temperaturi od 37°C </w:t>
      </w:r>
      <w:r w:rsidRPr="007B5CD4">
        <w:rPr>
          <w:sz w:val="22"/>
          <w:szCs w:val="22"/>
          <w:lang w:val="sr-Latn-ME"/>
        </w:rPr>
        <w:t xml:space="preserve">blago hipobaričan. S praktičnog gledišta lijek treba smatrati izobaričnim rastvorom i njegova distribucija je samo minimalno pod uticajem položaja tijela. Rastvori bez glukoze </w:t>
      </w:r>
      <w:r w:rsidR="008345D1" w:rsidRPr="007B5CD4">
        <w:rPr>
          <w:sz w:val="22"/>
          <w:szCs w:val="22"/>
          <w:lang w:val="sr-Latn-ME"/>
        </w:rPr>
        <w:t>(izobarični) izazivaju manje predvidiv nivo bloka, ali u poređenju sa hiperbaričnim rastvorima, imaju duže dejstvo.</w:t>
      </w:r>
    </w:p>
    <w:p w14:paraId="4E615A52" w14:textId="77777777" w:rsidR="002E37A5" w:rsidRPr="007B5CD4" w:rsidRDefault="002E37A5">
      <w:pPr>
        <w:jc w:val="both"/>
        <w:rPr>
          <w:b/>
          <w:bCs/>
          <w:sz w:val="22"/>
          <w:szCs w:val="22"/>
          <w:lang w:val="sr-Latn-ME"/>
        </w:rPr>
      </w:pPr>
    </w:p>
    <w:p w14:paraId="07D2C945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5.2.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Farmakokinetički podaci</w:t>
      </w:r>
      <w:r w:rsidR="003A7059" w:rsidRPr="007B5CD4">
        <w:rPr>
          <w:b/>
          <w:bCs/>
          <w:sz w:val="22"/>
          <w:szCs w:val="22"/>
          <w:lang w:val="sr-Latn-ME"/>
        </w:rPr>
        <w:t xml:space="preserve"> </w:t>
      </w:r>
    </w:p>
    <w:p w14:paraId="7C4B5F38" w14:textId="77777777" w:rsidR="00650619" w:rsidRPr="007B5CD4" w:rsidRDefault="00650619" w:rsidP="005F42D6">
      <w:pPr>
        <w:jc w:val="both"/>
        <w:rPr>
          <w:sz w:val="22"/>
          <w:szCs w:val="22"/>
          <w:lang w:val="sr-Latn-ME"/>
        </w:rPr>
      </w:pPr>
    </w:p>
    <w:p w14:paraId="77724FDD" w14:textId="751CF0B6" w:rsidR="00650619" w:rsidRPr="007B5CD4" w:rsidRDefault="00650619" w:rsidP="005F42D6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Bupivakain ima vrijednost konstante disocijacije (pK</w:t>
      </w:r>
      <w:r w:rsidRPr="007B5CD4">
        <w:rPr>
          <w:sz w:val="22"/>
          <w:szCs w:val="22"/>
          <w:vertAlign w:val="subscript"/>
          <w:lang w:val="sr-Latn-ME"/>
        </w:rPr>
        <w:t>a</w:t>
      </w:r>
      <w:r w:rsidRPr="007B5CD4">
        <w:rPr>
          <w:sz w:val="22"/>
          <w:szCs w:val="22"/>
          <w:lang w:val="sr-Latn-ME"/>
        </w:rPr>
        <w:t>) 8,2 i vrijednost distributivnog koeficijenta (D)</w:t>
      </w:r>
      <w:r w:rsidR="008345D1" w:rsidRPr="007B5CD4">
        <w:rPr>
          <w:sz w:val="22"/>
          <w:szCs w:val="22"/>
          <w:lang w:val="sr-Latn-ME"/>
        </w:rPr>
        <w:t xml:space="preserve"> </w:t>
      </w:r>
      <w:r w:rsidRPr="007B5CD4">
        <w:rPr>
          <w:sz w:val="22"/>
          <w:szCs w:val="22"/>
          <w:lang w:val="sr-Latn-ME"/>
        </w:rPr>
        <w:t xml:space="preserve">346; 25°C n-oktanol/fosfatni pufer pH 7,4. </w:t>
      </w:r>
      <w:r w:rsidR="008345D1" w:rsidRPr="007B5CD4">
        <w:rPr>
          <w:sz w:val="22"/>
          <w:szCs w:val="22"/>
          <w:lang w:val="sr-Latn-ME"/>
        </w:rPr>
        <w:t>M</w:t>
      </w:r>
      <w:r w:rsidRPr="007B5CD4">
        <w:rPr>
          <w:sz w:val="22"/>
          <w:szCs w:val="22"/>
          <w:lang w:val="sr-Latn-ME"/>
        </w:rPr>
        <w:t xml:space="preserve">etaboliti bupivakaina imaju </w:t>
      </w:r>
      <w:r w:rsidR="008345D1" w:rsidRPr="007B5CD4">
        <w:rPr>
          <w:sz w:val="22"/>
          <w:szCs w:val="22"/>
          <w:lang w:val="sr-Latn-ME"/>
        </w:rPr>
        <w:t>slabiju farmakološku aktivnost od aktivnosti bupivakaina</w:t>
      </w:r>
      <w:r w:rsidRPr="007B5CD4">
        <w:rPr>
          <w:sz w:val="22"/>
          <w:szCs w:val="22"/>
          <w:lang w:val="sr-Latn-ME"/>
        </w:rPr>
        <w:t>.</w:t>
      </w:r>
    </w:p>
    <w:p w14:paraId="4D2033F8" w14:textId="77777777" w:rsidR="008345D1" w:rsidRPr="007B5CD4" w:rsidRDefault="008345D1">
      <w:pPr>
        <w:jc w:val="both"/>
        <w:rPr>
          <w:sz w:val="22"/>
          <w:szCs w:val="22"/>
          <w:lang w:val="sr-Latn-ME"/>
        </w:rPr>
      </w:pPr>
    </w:p>
    <w:p w14:paraId="723FACC2" w14:textId="30A9E024" w:rsidR="008345D1" w:rsidRPr="007B5CD4" w:rsidRDefault="008345D1" w:rsidP="001947FE">
      <w:pPr>
        <w:tabs>
          <w:tab w:val="left" w:pos="708"/>
        </w:tabs>
        <w:jc w:val="both"/>
        <w:rPr>
          <w:sz w:val="22"/>
          <w:szCs w:val="22"/>
          <w:u w:val="single"/>
          <w:lang w:val="sr-Latn-ME"/>
        </w:rPr>
      </w:pPr>
      <w:r w:rsidRPr="007B5CD4">
        <w:rPr>
          <w:sz w:val="22"/>
          <w:szCs w:val="22"/>
          <w:u w:val="single"/>
          <w:lang w:val="sr-Latn-ME"/>
        </w:rPr>
        <w:t>Resorpcija</w:t>
      </w:r>
    </w:p>
    <w:p w14:paraId="55695F20" w14:textId="3F14CC64" w:rsidR="00271663" w:rsidRDefault="00650619" w:rsidP="005F42D6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Bupivakain pokazuje kompletnu resorpciju bifaznog karaktera iz </w:t>
      </w:r>
      <w:r w:rsidR="00271663" w:rsidRPr="007B5CD4">
        <w:rPr>
          <w:sz w:val="22"/>
          <w:szCs w:val="22"/>
          <w:lang w:val="sr-Latn-ME"/>
        </w:rPr>
        <w:t>subarahnoidalnog</w:t>
      </w:r>
      <w:r w:rsidRPr="007B5CD4">
        <w:rPr>
          <w:sz w:val="22"/>
          <w:szCs w:val="22"/>
          <w:lang w:val="sr-Latn-ME"/>
        </w:rPr>
        <w:t xml:space="preserve"> prostora s poluvremenom resorpcije 50 minuta, odn</w:t>
      </w:r>
      <w:r w:rsidR="00271663" w:rsidRPr="007B5CD4">
        <w:rPr>
          <w:sz w:val="22"/>
          <w:szCs w:val="22"/>
          <w:lang w:val="sr-Latn-ME"/>
        </w:rPr>
        <w:t>osno</w:t>
      </w:r>
      <w:r w:rsidRPr="007B5CD4">
        <w:rPr>
          <w:sz w:val="22"/>
          <w:szCs w:val="22"/>
          <w:lang w:val="sr-Latn-ME"/>
        </w:rPr>
        <w:t xml:space="preserve"> 408 minuta. Sporija faza resorpcije je limitirajući faktor za eliminaciju bupivakaina. Prividno </w:t>
      </w:r>
      <w:r w:rsidR="00271663" w:rsidRPr="007B5CD4">
        <w:rPr>
          <w:sz w:val="22"/>
          <w:szCs w:val="22"/>
          <w:lang w:val="sr-Latn-ME"/>
        </w:rPr>
        <w:t xml:space="preserve">biološko </w:t>
      </w:r>
      <w:r w:rsidRPr="007B5CD4">
        <w:rPr>
          <w:sz w:val="22"/>
          <w:szCs w:val="22"/>
          <w:lang w:val="sr-Latn-ME"/>
        </w:rPr>
        <w:t xml:space="preserve">poluvrijeme eliminacije je tako duže nego poslije intravenske </w:t>
      </w:r>
      <w:r w:rsidR="00271663" w:rsidRPr="007B5CD4">
        <w:rPr>
          <w:sz w:val="22"/>
          <w:szCs w:val="22"/>
          <w:lang w:val="sr-Latn-ME"/>
        </w:rPr>
        <w:t>primjene</w:t>
      </w:r>
      <w:r w:rsidRPr="007B5CD4">
        <w:rPr>
          <w:sz w:val="22"/>
          <w:szCs w:val="22"/>
          <w:lang w:val="sr-Latn-ME"/>
        </w:rPr>
        <w:t xml:space="preserve">. Koncentracije u plazmi poslije intratekalne </w:t>
      </w:r>
      <w:r w:rsidR="00271663" w:rsidRPr="007B5CD4">
        <w:rPr>
          <w:sz w:val="22"/>
          <w:szCs w:val="22"/>
          <w:lang w:val="sr-Latn-ME"/>
        </w:rPr>
        <w:t xml:space="preserve">primjene </w:t>
      </w:r>
      <w:r w:rsidRPr="007B5CD4">
        <w:rPr>
          <w:sz w:val="22"/>
          <w:szCs w:val="22"/>
          <w:lang w:val="sr-Latn-ME"/>
        </w:rPr>
        <w:t xml:space="preserve">su niske u poređenju sa </w:t>
      </w:r>
      <w:r w:rsidR="00271663" w:rsidRPr="007B5CD4">
        <w:rPr>
          <w:sz w:val="22"/>
          <w:szCs w:val="22"/>
          <w:lang w:val="sr-Latn-ME"/>
        </w:rPr>
        <w:t xml:space="preserve">onom nakon </w:t>
      </w:r>
      <w:r w:rsidRPr="007B5CD4">
        <w:rPr>
          <w:sz w:val="22"/>
          <w:szCs w:val="22"/>
          <w:lang w:val="sr-Latn-ME"/>
        </w:rPr>
        <w:t>drugi</w:t>
      </w:r>
      <w:r w:rsidR="00271663" w:rsidRPr="007B5CD4">
        <w:rPr>
          <w:sz w:val="22"/>
          <w:szCs w:val="22"/>
          <w:lang w:val="sr-Latn-ME"/>
        </w:rPr>
        <w:t>h</w:t>
      </w:r>
      <w:r w:rsidRPr="007B5CD4">
        <w:rPr>
          <w:sz w:val="22"/>
          <w:szCs w:val="22"/>
          <w:lang w:val="sr-Latn-ME"/>
        </w:rPr>
        <w:t xml:space="preserve"> </w:t>
      </w:r>
      <w:r w:rsidR="00271663" w:rsidRPr="007B5CD4">
        <w:rPr>
          <w:sz w:val="22"/>
          <w:szCs w:val="22"/>
          <w:lang w:val="sr-Latn-ME"/>
        </w:rPr>
        <w:t xml:space="preserve">procedura </w:t>
      </w:r>
      <w:r w:rsidRPr="007B5CD4">
        <w:rPr>
          <w:sz w:val="22"/>
          <w:szCs w:val="22"/>
          <w:lang w:val="sr-Latn-ME"/>
        </w:rPr>
        <w:t xml:space="preserve">regionalne anestezije, </w:t>
      </w:r>
      <w:r w:rsidR="00271663" w:rsidRPr="007B5CD4">
        <w:rPr>
          <w:sz w:val="22"/>
          <w:szCs w:val="22"/>
          <w:lang w:val="sr-Latn-ME"/>
        </w:rPr>
        <w:t>zbog toga što se za subarahnoidalnu anesteziju koristi mala doza</w:t>
      </w:r>
      <w:r w:rsidRPr="007B5CD4">
        <w:rPr>
          <w:sz w:val="22"/>
          <w:szCs w:val="22"/>
          <w:lang w:val="sr-Latn-ME"/>
        </w:rPr>
        <w:t xml:space="preserve">. </w:t>
      </w:r>
      <w:r w:rsidR="00271663" w:rsidRPr="007B5CD4">
        <w:rPr>
          <w:sz w:val="22"/>
          <w:szCs w:val="22"/>
          <w:lang w:val="sr-Latn-ME"/>
        </w:rPr>
        <w:t>Generalno, koncentracija u plazmi se povećava za 0,4 mg/l na svakih primijenjenih 100 mg lijeka. To znači da doza od 20 mg rezultuje nivoima u plazmi od oko 0,1 mg/l.</w:t>
      </w:r>
    </w:p>
    <w:p w14:paraId="1BF1F1A5" w14:textId="77777777" w:rsidR="00393FAE" w:rsidRPr="007B5CD4" w:rsidRDefault="00393FAE" w:rsidP="005F42D6">
      <w:pPr>
        <w:jc w:val="both"/>
        <w:rPr>
          <w:sz w:val="22"/>
          <w:szCs w:val="22"/>
          <w:lang w:val="sr-Latn-ME"/>
        </w:rPr>
      </w:pPr>
    </w:p>
    <w:p w14:paraId="1D275625" w14:textId="77777777" w:rsidR="007B5CD4" w:rsidRPr="007B5CD4" w:rsidRDefault="007B5CD4" w:rsidP="005F42D6">
      <w:pPr>
        <w:jc w:val="both"/>
        <w:rPr>
          <w:sz w:val="22"/>
          <w:szCs w:val="22"/>
          <w:lang w:val="sr-Latn-ME"/>
        </w:rPr>
      </w:pPr>
    </w:p>
    <w:p w14:paraId="11D399AB" w14:textId="545F7592" w:rsidR="00271663" w:rsidRPr="007B5CD4" w:rsidRDefault="00271663" w:rsidP="001947FE">
      <w:pPr>
        <w:tabs>
          <w:tab w:val="left" w:pos="708"/>
        </w:tabs>
        <w:jc w:val="both"/>
        <w:rPr>
          <w:sz w:val="22"/>
          <w:szCs w:val="22"/>
          <w:u w:val="single"/>
          <w:lang w:val="sr-Latn-ME"/>
        </w:rPr>
      </w:pPr>
      <w:r w:rsidRPr="007B5CD4">
        <w:rPr>
          <w:sz w:val="22"/>
          <w:szCs w:val="22"/>
          <w:u w:val="single"/>
          <w:lang w:val="sr-Latn-ME"/>
        </w:rPr>
        <w:lastRenderedPageBreak/>
        <w:t>Biotransformacija</w:t>
      </w:r>
    </w:p>
    <w:p w14:paraId="6FDACC00" w14:textId="0908F231" w:rsidR="00650619" w:rsidRPr="007B5CD4" w:rsidRDefault="00650619" w:rsidP="005F42D6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Bupivakain ima vrijednost ukupnog klirensa plazme (Cl</w:t>
      </w:r>
      <w:r w:rsidRPr="007B5CD4">
        <w:rPr>
          <w:sz w:val="22"/>
          <w:szCs w:val="22"/>
          <w:vertAlign w:val="subscript"/>
          <w:lang w:val="sr-Latn-ME"/>
        </w:rPr>
        <w:t>p</w:t>
      </w:r>
      <w:r w:rsidRPr="007B5CD4">
        <w:rPr>
          <w:sz w:val="22"/>
          <w:szCs w:val="22"/>
          <w:lang w:val="sr-Latn-ME"/>
        </w:rPr>
        <w:t xml:space="preserve">) </w:t>
      </w:r>
      <w:r w:rsidR="00271663" w:rsidRPr="007B5CD4">
        <w:rPr>
          <w:sz w:val="22"/>
          <w:szCs w:val="22"/>
          <w:lang w:val="sr-Latn-ME"/>
        </w:rPr>
        <w:t xml:space="preserve">od </w:t>
      </w:r>
      <w:r w:rsidRPr="007B5CD4">
        <w:rPr>
          <w:sz w:val="22"/>
          <w:szCs w:val="22"/>
          <w:lang w:val="sr-Latn-ME"/>
        </w:rPr>
        <w:t>0,58 l/min, vrijednost volumena distribucije u ravnotežnom stanju (V</w:t>
      </w:r>
      <w:r w:rsidRPr="007B5CD4">
        <w:rPr>
          <w:sz w:val="22"/>
          <w:szCs w:val="22"/>
          <w:vertAlign w:val="subscript"/>
          <w:lang w:val="sr-Latn-ME"/>
        </w:rPr>
        <w:t>d ss</w:t>
      </w:r>
      <w:r w:rsidRPr="007B5CD4">
        <w:rPr>
          <w:sz w:val="22"/>
          <w:szCs w:val="22"/>
          <w:lang w:val="sr-Latn-ME"/>
        </w:rPr>
        <w:t xml:space="preserve">) </w:t>
      </w:r>
      <w:r w:rsidR="00271663" w:rsidRPr="007B5CD4">
        <w:rPr>
          <w:sz w:val="22"/>
          <w:szCs w:val="22"/>
          <w:lang w:val="sr-Latn-ME"/>
        </w:rPr>
        <w:t xml:space="preserve">od </w:t>
      </w:r>
      <w:r w:rsidRPr="007B5CD4">
        <w:rPr>
          <w:sz w:val="22"/>
          <w:szCs w:val="22"/>
          <w:lang w:val="sr-Latn-ME"/>
        </w:rPr>
        <w:t xml:space="preserve">73 l, </w:t>
      </w:r>
      <w:r w:rsidR="00271663" w:rsidRPr="007B5CD4">
        <w:rPr>
          <w:sz w:val="22"/>
          <w:szCs w:val="22"/>
          <w:lang w:val="sr-Latn-ME"/>
        </w:rPr>
        <w:t xml:space="preserve">biološko </w:t>
      </w:r>
      <w:r w:rsidRPr="007B5CD4">
        <w:rPr>
          <w:sz w:val="22"/>
          <w:szCs w:val="22"/>
          <w:lang w:val="sr-Latn-ME"/>
        </w:rPr>
        <w:t>poluvrijeme eliminacije (t</w:t>
      </w:r>
      <w:r w:rsidRPr="007B5CD4">
        <w:rPr>
          <w:sz w:val="22"/>
          <w:szCs w:val="22"/>
          <w:vertAlign w:val="subscript"/>
          <w:lang w:val="sr-Latn-ME"/>
        </w:rPr>
        <w:t>1/2</w:t>
      </w:r>
      <w:r w:rsidRPr="007B5CD4">
        <w:rPr>
          <w:sz w:val="22"/>
          <w:szCs w:val="22"/>
          <w:lang w:val="sr-Latn-ME"/>
        </w:rPr>
        <w:t xml:space="preserve">) </w:t>
      </w:r>
      <w:r w:rsidR="00271663" w:rsidRPr="007B5CD4">
        <w:rPr>
          <w:sz w:val="22"/>
          <w:szCs w:val="22"/>
          <w:lang w:val="sr-Latn-ME"/>
        </w:rPr>
        <w:t xml:space="preserve">od </w:t>
      </w:r>
      <w:r w:rsidRPr="007B5CD4">
        <w:rPr>
          <w:sz w:val="22"/>
          <w:szCs w:val="22"/>
          <w:lang w:val="sr-Latn-ME"/>
        </w:rPr>
        <w:t xml:space="preserve">2,7 h i </w:t>
      </w:r>
      <w:r w:rsidR="00271663" w:rsidRPr="007B5CD4">
        <w:rPr>
          <w:sz w:val="22"/>
          <w:szCs w:val="22"/>
          <w:lang w:val="sr-Latn-ME"/>
        </w:rPr>
        <w:t xml:space="preserve">intermedijerni </w:t>
      </w:r>
      <w:r w:rsidRPr="007B5CD4">
        <w:rPr>
          <w:sz w:val="22"/>
          <w:szCs w:val="22"/>
          <w:lang w:val="sr-Latn-ME"/>
        </w:rPr>
        <w:t>hepatični ekstrakcioni odnos (E</w:t>
      </w:r>
      <w:r w:rsidRPr="007B5CD4">
        <w:rPr>
          <w:sz w:val="22"/>
          <w:szCs w:val="22"/>
          <w:vertAlign w:val="subscript"/>
          <w:lang w:val="sr-Latn-ME"/>
        </w:rPr>
        <w:t>H</w:t>
      </w:r>
      <w:r w:rsidRPr="007B5CD4">
        <w:rPr>
          <w:sz w:val="22"/>
          <w:szCs w:val="22"/>
          <w:lang w:val="sr-Latn-ME"/>
        </w:rPr>
        <w:t xml:space="preserve">) </w:t>
      </w:r>
      <w:r w:rsidR="00271663" w:rsidRPr="007B5CD4">
        <w:rPr>
          <w:sz w:val="22"/>
          <w:szCs w:val="22"/>
          <w:lang w:val="sr-Latn-ME"/>
        </w:rPr>
        <w:t xml:space="preserve">od </w:t>
      </w:r>
      <w:r w:rsidRPr="007B5CD4">
        <w:rPr>
          <w:sz w:val="22"/>
          <w:szCs w:val="22"/>
          <w:lang w:val="sr-Latn-ME"/>
        </w:rPr>
        <w:t>0,38 poslije intravenske primjene. U plazmi je 96% vezan, prije svega za kiseli-α-1-glikoprotein. Klirens bupivakaina je skoro potpuno posredovan metabolizmom jetre i prije zavisi od aktivnosti enzima jetre nego od perfuzije jetre.</w:t>
      </w:r>
    </w:p>
    <w:p w14:paraId="697A65FD" w14:textId="77777777" w:rsidR="00271663" w:rsidRPr="007B5CD4" w:rsidRDefault="00271663" w:rsidP="005F42D6">
      <w:pPr>
        <w:jc w:val="both"/>
        <w:rPr>
          <w:sz w:val="22"/>
          <w:szCs w:val="22"/>
          <w:lang w:val="sr-Latn-ME"/>
        </w:rPr>
      </w:pPr>
    </w:p>
    <w:p w14:paraId="37D11C0E" w14:textId="77777777" w:rsidR="00650619" w:rsidRPr="007B5CD4" w:rsidRDefault="00650619" w:rsidP="005F42D6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Bupivakain lako prelazi placentalnu barijeru i ubrzo se dostiže ravnoteža između koncentracija slobodne frakcije u krvi majke i fetusa. Stepen vezivanja za proteine plazme u fetusu je manji, što ima za posljedicu ukupno niže koncentracije u plazmi ploda.</w:t>
      </w:r>
    </w:p>
    <w:p w14:paraId="453E42C9" w14:textId="77777777" w:rsidR="00271663" w:rsidRPr="007B5CD4" w:rsidRDefault="00271663">
      <w:pPr>
        <w:jc w:val="both"/>
        <w:rPr>
          <w:sz w:val="22"/>
          <w:szCs w:val="22"/>
          <w:lang w:val="sr-Latn-ME"/>
        </w:rPr>
      </w:pPr>
    </w:p>
    <w:p w14:paraId="6C2E08E5" w14:textId="5BCA58BF" w:rsidR="00650619" w:rsidRPr="007B5CD4" w:rsidRDefault="00650619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Bupivakain se izlučuje u mlijeko</w:t>
      </w:r>
      <w:r w:rsidR="00C31440" w:rsidRPr="007B5CD4">
        <w:rPr>
          <w:sz w:val="22"/>
          <w:szCs w:val="22"/>
          <w:lang w:val="sr-Latn-ME"/>
        </w:rPr>
        <w:t xml:space="preserve"> dojilja</w:t>
      </w:r>
      <w:r w:rsidRPr="007B5CD4">
        <w:rPr>
          <w:sz w:val="22"/>
          <w:szCs w:val="22"/>
          <w:lang w:val="sr-Latn-ME"/>
        </w:rPr>
        <w:t>, ali ta količina ne predstavlja rizik</w:t>
      </w:r>
      <w:r w:rsidR="00C31440" w:rsidRPr="007B5CD4">
        <w:rPr>
          <w:sz w:val="22"/>
          <w:szCs w:val="22"/>
          <w:lang w:val="sr-Latn-ME"/>
        </w:rPr>
        <w:t xml:space="preserve"> po odojče</w:t>
      </w:r>
      <w:r w:rsidRPr="007B5CD4">
        <w:rPr>
          <w:sz w:val="22"/>
          <w:szCs w:val="22"/>
          <w:lang w:val="sr-Latn-ME"/>
        </w:rPr>
        <w:t>.</w:t>
      </w:r>
    </w:p>
    <w:p w14:paraId="55087387" w14:textId="77777777" w:rsidR="00C31440" w:rsidRPr="007B5CD4" w:rsidRDefault="00C31440">
      <w:pPr>
        <w:jc w:val="both"/>
        <w:rPr>
          <w:sz w:val="22"/>
          <w:szCs w:val="22"/>
          <w:lang w:val="sr-Latn-ME"/>
        </w:rPr>
      </w:pPr>
    </w:p>
    <w:p w14:paraId="733BB33C" w14:textId="753909DA" w:rsidR="00C31440" w:rsidRPr="007B5CD4" w:rsidRDefault="00650619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Bupivakain se </w:t>
      </w:r>
      <w:r w:rsidR="00C31440" w:rsidRPr="007B5CD4">
        <w:rPr>
          <w:sz w:val="22"/>
          <w:szCs w:val="22"/>
          <w:lang w:val="sr-Latn-ME"/>
        </w:rPr>
        <w:t xml:space="preserve">u velikoj mjeri </w:t>
      </w:r>
      <w:r w:rsidRPr="007B5CD4">
        <w:rPr>
          <w:sz w:val="22"/>
          <w:szCs w:val="22"/>
          <w:lang w:val="sr-Latn-ME"/>
        </w:rPr>
        <w:t xml:space="preserve">metaboliše u jetri, </w:t>
      </w:r>
      <w:r w:rsidR="00C31440" w:rsidRPr="007B5CD4">
        <w:rPr>
          <w:sz w:val="22"/>
          <w:szCs w:val="22"/>
          <w:lang w:val="sr-Latn-ME"/>
        </w:rPr>
        <w:t>primarno</w:t>
      </w:r>
      <w:r w:rsidRPr="007B5CD4">
        <w:rPr>
          <w:sz w:val="22"/>
          <w:szCs w:val="22"/>
          <w:lang w:val="sr-Latn-ME"/>
        </w:rPr>
        <w:t xml:space="preserve"> hidroksilacijom aromatičnog prstena do 4-hidroksi</w:t>
      </w:r>
      <w:r w:rsidR="00C31440" w:rsidRPr="007B5CD4">
        <w:rPr>
          <w:sz w:val="22"/>
          <w:szCs w:val="22"/>
          <w:lang w:val="sr-Latn-ME"/>
        </w:rPr>
        <w:t>-</w:t>
      </w:r>
      <w:r w:rsidRPr="007B5CD4">
        <w:rPr>
          <w:sz w:val="22"/>
          <w:szCs w:val="22"/>
          <w:lang w:val="sr-Latn-ME"/>
        </w:rPr>
        <w:t>bupivakaina i N-dealkilacijom do pipekolilksilidina (PPX). Obije reakcije su posredovane izoenzim</w:t>
      </w:r>
      <w:r w:rsidR="00C31440" w:rsidRPr="007B5CD4">
        <w:rPr>
          <w:sz w:val="22"/>
          <w:szCs w:val="22"/>
          <w:lang w:val="sr-Latn-ME"/>
        </w:rPr>
        <w:t>om</w:t>
      </w:r>
      <w:r w:rsidRPr="007B5CD4">
        <w:rPr>
          <w:sz w:val="22"/>
          <w:szCs w:val="22"/>
          <w:lang w:val="sr-Latn-ME"/>
        </w:rPr>
        <w:t xml:space="preserve"> 3A4 citohroma P450. </w:t>
      </w:r>
    </w:p>
    <w:p w14:paraId="0BC7CE27" w14:textId="77777777" w:rsidR="00C31440" w:rsidRPr="007B5CD4" w:rsidRDefault="00C31440">
      <w:pPr>
        <w:jc w:val="both"/>
        <w:rPr>
          <w:sz w:val="22"/>
          <w:szCs w:val="22"/>
          <w:lang w:val="sr-Latn-ME"/>
        </w:rPr>
      </w:pPr>
    </w:p>
    <w:p w14:paraId="3F994C97" w14:textId="7B455416" w:rsidR="00C31440" w:rsidRPr="007B5CD4" w:rsidRDefault="00C31440">
      <w:pPr>
        <w:jc w:val="both"/>
        <w:rPr>
          <w:sz w:val="22"/>
          <w:szCs w:val="22"/>
          <w:u w:val="single"/>
          <w:lang w:val="sr-Latn-ME"/>
        </w:rPr>
      </w:pPr>
      <w:r w:rsidRPr="007B5CD4">
        <w:rPr>
          <w:sz w:val="22"/>
          <w:szCs w:val="22"/>
          <w:u w:val="single"/>
          <w:lang w:val="sr-Latn-ME"/>
        </w:rPr>
        <w:t>Eliminacija</w:t>
      </w:r>
    </w:p>
    <w:p w14:paraId="3D1821CB" w14:textId="2315DC95" w:rsidR="00650619" w:rsidRPr="007B5CD4" w:rsidRDefault="00650619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U toku 24 sata se izlučuje urinom oko 1% </w:t>
      </w:r>
      <w:r w:rsidR="00C31440" w:rsidRPr="007B5CD4">
        <w:rPr>
          <w:sz w:val="22"/>
          <w:szCs w:val="22"/>
          <w:lang w:val="sr-Latn-ME"/>
        </w:rPr>
        <w:t>primijenjene</w:t>
      </w:r>
      <w:r w:rsidRPr="007B5CD4">
        <w:rPr>
          <w:sz w:val="22"/>
          <w:szCs w:val="22"/>
          <w:lang w:val="sr-Latn-ME"/>
        </w:rPr>
        <w:t xml:space="preserve"> doze bupivakaina u </w:t>
      </w:r>
      <w:r w:rsidR="00C31440" w:rsidRPr="007B5CD4">
        <w:rPr>
          <w:sz w:val="22"/>
          <w:szCs w:val="22"/>
          <w:lang w:val="sr-Latn-ME"/>
        </w:rPr>
        <w:t xml:space="preserve">nepromijenjenom </w:t>
      </w:r>
      <w:r w:rsidRPr="007B5CD4">
        <w:rPr>
          <w:sz w:val="22"/>
          <w:szCs w:val="22"/>
          <w:lang w:val="sr-Latn-ME"/>
        </w:rPr>
        <w:t xml:space="preserve">obliku, a oko 5% kao N-dealkilovani metabolit PPX. Koncentracije PPX i 4-hidroksibupivakaina u plazmi tokom </w:t>
      </w:r>
      <w:r w:rsidR="00C31440" w:rsidRPr="007B5CD4">
        <w:rPr>
          <w:sz w:val="22"/>
          <w:szCs w:val="22"/>
          <w:lang w:val="sr-Latn-ME"/>
        </w:rPr>
        <w:t>kontinuirane primjene</w:t>
      </w:r>
      <w:r w:rsidRPr="007B5CD4">
        <w:rPr>
          <w:sz w:val="22"/>
          <w:szCs w:val="22"/>
          <w:lang w:val="sr-Latn-ME"/>
        </w:rPr>
        <w:t xml:space="preserve"> su u poređenju sa bupivakainom niske.</w:t>
      </w:r>
    </w:p>
    <w:p w14:paraId="3CBF88D1" w14:textId="77777777" w:rsidR="00C31440" w:rsidRPr="007B5CD4" w:rsidRDefault="00C31440">
      <w:pPr>
        <w:jc w:val="both"/>
        <w:rPr>
          <w:sz w:val="22"/>
          <w:szCs w:val="22"/>
          <w:lang w:val="sr-Latn-ME"/>
        </w:rPr>
      </w:pPr>
    </w:p>
    <w:p w14:paraId="3781F840" w14:textId="1A90C117" w:rsidR="00C31440" w:rsidRPr="007B5CD4" w:rsidRDefault="00C31440">
      <w:pPr>
        <w:jc w:val="both"/>
        <w:rPr>
          <w:sz w:val="22"/>
          <w:szCs w:val="22"/>
          <w:u w:val="single"/>
          <w:lang w:val="sr-Latn-ME"/>
        </w:rPr>
      </w:pPr>
      <w:r w:rsidRPr="007B5CD4">
        <w:rPr>
          <w:sz w:val="22"/>
          <w:szCs w:val="22"/>
          <w:u w:val="single"/>
          <w:lang w:val="sr-Latn-ME"/>
        </w:rPr>
        <w:t>Pedijatrijska populacija</w:t>
      </w:r>
    </w:p>
    <w:p w14:paraId="61D53219" w14:textId="18BC043E" w:rsidR="00650619" w:rsidRPr="007B5CD4" w:rsidRDefault="00650619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Farmakokinetika kod djece je slična </w:t>
      </w:r>
      <w:r w:rsidR="00C31440" w:rsidRPr="007B5CD4">
        <w:rPr>
          <w:sz w:val="22"/>
          <w:szCs w:val="22"/>
          <w:lang w:val="sr-Latn-ME"/>
        </w:rPr>
        <w:t xml:space="preserve">farmakokinetici </w:t>
      </w:r>
      <w:r w:rsidRPr="007B5CD4">
        <w:rPr>
          <w:sz w:val="22"/>
          <w:szCs w:val="22"/>
          <w:lang w:val="sr-Latn-ME"/>
        </w:rPr>
        <w:t>kod odraslih</w:t>
      </w:r>
      <w:r w:rsidR="00C31440" w:rsidRPr="007B5CD4">
        <w:rPr>
          <w:sz w:val="22"/>
          <w:szCs w:val="22"/>
          <w:lang w:val="sr-Latn-ME"/>
        </w:rPr>
        <w:t xml:space="preserve"> osoba</w:t>
      </w:r>
      <w:r w:rsidRPr="007B5CD4">
        <w:rPr>
          <w:sz w:val="22"/>
          <w:szCs w:val="22"/>
          <w:lang w:val="sr-Latn-ME"/>
        </w:rPr>
        <w:t>.</w:t>
      </w:r>
    </w:p>
    <w:p w14:paraId="3C800880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D2E554" w14:textId="77777777" w:rsidR="0072020E" w:rsidRPr="007B5CD4" w:rsidRDefault="0072020E" w:rsidP="001947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5.3.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26C34CC6" w14:textId="77777777" w:rsidR="00650619" w:rsidRPr="007B5CD4" w:rsidRDefault="00650619" w:rsidP="001947FE">
      <w:pPr>
        <w:jc w:val="both"/>
        <w:rPr>
          <w:sz w:val="22"/>
          <w:szCs w:val="22"/>
          <w:lang w:val="sr-Latn-ME"/>
        </w:rPr>
      </w:pPr>
    </w:p>
    <w:p w14:paraId="4970278D" w14:textId="6F939E7D" w:rsidR="00650619" w:rsidRPr="007B5CD4" w:rsidRDefault="00650619" w:rsidP="001947FE">
      <w:pPr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 xml:space="preserve">Na osnovu farmakoloških studija, studija akutne i hronične toksičnosti, reproduktivne toksičnosti, </w:t>
      </w:r>
      <w:r w:rsidR="00C31440" w:rsidRPr="007B5CD4">
        <w:rPr>
          <w:sz w:val="22"/>
          <w:szCs w:val="22"/>
          <w:lang w:val="sr-Latn-ME"/>
        </w:rPr>
        <w:t>mutagenog potencijala</w:t>
      </w:r>
      <w:r w:rsidRPr="007B5CD4">
        <w:rPr>
          <w:sz w:val="22"/>
          <w:szCs w:val="22"/>
          <w:lang w:val="sr-Latn-ME"/>
        </w:rPr>
        <w:t xml:space="preserve"> i lokalne toksičnosti nije </w:t>
      </w:r>
      <w:r w:rsidR="00C31440" w:rsidRPr="007B5CD4">
        <w:rPr>
          <w:sz w:val="22"/>
          <w:szCs w:val="22"/>
          <w:lang w:val="sr-Latn-ME"/>
        </w:rPr>
        <w:t xml:space="preserve">utvrđen </w:t>
      </w:r>
      <w:r w:rsidRPr="007B5CD4">
        <w:rPr>
          <w:sz w:val="22"/>
          <w:szCs w:val="22"/>
          <w:lang w:val="sr-Latn-ME"/>
        </w:rPr>
        <w:t>rizik za čovjeka</w:t>
      </w:r>
      <w:r w:rsidR="00C31440" w:rsidRPr="007B5CD4">
        <w:rPr>
          <w:sz w:val="22"/>
          <w:szCs w:val="22"/>
          <w:lang w:val="sr-Latn-ME"/>
        </w:rPr>
        <w:t xml:space="preserve"> pri primjeni bupivakaina</w:t>
      </w:r>
      <w:r w:rsidRPr="007B5CD4">
        <w:rPr>
          <w:sz w:val="22"/>
          <w:szCs w:val="22"/>
          <w:lang w:val="sr-Latn-ME"/>
        </w:rPr>
        <w:t xml:space="preserve">, osim očekivanih farmakodinamskih </w:t>
      </w:r>
      <w:r w:rsidR="00C31440" w:rsidRPr="007B5CD4">
        <w:rPr>
          <w:sz w:val="22"/>
          <w:szCs w:val="22"/>
          <w:lang w:val="sr-Latn-ME"/>
        </w:rPr>
        <w:t>efekata nakon primjene</w:t>
      </w:r>
      <w:r w:rsidRPr="007B5CD4">
        <w:rPr>
          <w:sz w:val="22"/>
          <w:szCs w:val="22"/>
          <w:lang w:val="sr-Latn-ME"/>
        </w:rPr>
        <w:t xml:space="preserve"> visokih doza bupivakaina (npr. </w:t>
      </w:r>
      <w:r w:rsidR="00C31440" w:rsidRPr="007B5CD4">
        <w:rPr>
          <w:sz w:val="22"/>
          <w:szCs w:val="22"/>
          <w:lang w:val="sr-Latn-ME"/>
        </w:rPr>
        <w:t>toksičnost centralnog nervnog sistema i kardiotoksičnost</w:t>
      </w:r>
      <w:r w:rsidRPr="007B5CD4">
        <w:rPr>
          <w:sz w:val="22"/>
          <w:szCs w:val="22"/>
          <w:lang w:val="sr-Latn-ME"/>
        </w:rPr>
        <w:t>).</w:t>
      </w:r>
    </w:p>
    <w:p w14:paraId="2E5DAE42" w14:textId="36D83C14" w:rsidR="00396DFD" w:rsidRPr="007B5CD4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085AF13" w14:textId="77777777" w:rsidR="004D5514" w:rsidRPr="007B5CD4" w:rsidRDefault="004D551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AF2D77E" w14:textId="77777777" w:rsidR="0072020E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6.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FARMACEUTSKI PODACI</w:t>
      </w:r>
    </w:p>
    <w:p w14:paraId="3141DB7C" w14:textId="77777777" w:rsidR="00836B35" w:rsidRPr="007B5CD4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8DEE4D" w14:textId="77777777" w:rsidR="0072020E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6.1.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bookmarkStart w:id="2" w:name="_Hlk163210658"/>
      <w:r w:rsidRPr="007B5CD4">
        <w:rPr>
          <w:b/>
          <w:bCs/>
          <w:sz w:val="22"/>
          <w:szCs w:val="22"/>
          <w:lang w:val="sr-Latn-ME"/>
        </w:rPr>
        <w:t>Lista pomoćnih supstanci</w:t>
      </w:r>
      <w:r w:rsidR="002E0135" w:rsidRPr="007B5CD4">
        <w:rPr>
          <w:b/>
          <w:bCs/>
          <w:sz w:val="22"/>
          <w:szCs w:val="22"/>
          <w:lang w:val="sr-Latn-ME"/>
        </w:rPr>
        <w:t xml:space="preserve"> (ekscipijenasa)</w:t>
      </w:r>
    </w:p>
    <w:p w14:paraId="7CB7CB28" w14:textId="77777777" w:rsidR="00650619" w:rsidRPr="007B5CD4" w:rsidRDefault="00650619" w:rsidP="006506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C9D08B" w14:textId="07770998" w:rsidR="00650619" w:rsidRPr="007B5CD4" w:rsidRDefault="00650619" w:rsidP="006506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Natrijum hlorid; </w:t>
      </w:r>
    </w:p>
    <w:p w14:paraId="7A522874" w14:textId="4F8B6BCF" w:rsidR="00650619" w:rsidRPr="007B5CD4" w:rsidRDefault="00650619" w:rsidP="006506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Natrijum hidroksid</w:t>
      </w:r>
      <w:r w:rsidR="00C31440" w:rsidRPr="007B5CD4">
        <w:rPr>
          <w:lang w:val="sr-Latn-ME"/>
        </w:rPr>
        <w:t xml:space="preserve"> </w:t>
      </w:r>
      <w:r w:rsidR="00C31440" w:rsidRPr="007B5CD4">
        <w:rPr>
          <w:bCs/>
          <w:sz w:val="22"/>
          <w:szCs w:val="22"/>
          <w:lang w:val="sr-Latn-ME"/>
        </w:rPr>
        <w:t xml:space="preserve">rastvor 1 mol/l </w:t>
      </w:r>
      <w:r w:rsidRPr="007B5CD4">
        <w:rPr>
          <w:bCs/>
          <w:sz w:val="22"/>
          <w:szCs w:val="22"/>
          <w:lang w:val="sr-Latn-ME"/>
        </w:rPr>
        <w:t>i hlorovodonična kiselina</w:t>
      </w:r>
      <w:r w:rsidR="00C31440" w:rsidRPr="007B5CD4">
        <w:rPr>
          <w:lang w:val="sr-Latn-ME"/>
        </w:rPr>
        <w:t xml:space="preserve"> </w:t>
      </w:r>
      <w:r w:rsidR="00C31440" w:rsidRPr="007B5CD4">
        <w:rPr>
          <w:bCs/>
          <w:sz w:val="22"/>
          <w:szCs w:val="22"/>
          <w:lang w:val="sr-Latn-ME"/>
        </w:rPr>
        <w:t>rastvor 1 mol/l</w:t>
      </w:r>
      <w:r w:rsidRPr="007B5CD4">
        <w:rPr>
          <w:bCs/>
          <w:sz w:val="22"/>
          <w:szCs w:val="22"/>
          <w:lang w:val="sr-Latn-ME"/>
        </w:rPr>
        <w:t xml:space="preserve"> (za podešavanje pH);</w:t>
      </w:r>
    </w:p>
    <w:p w14:paraId="3CE6E0AD" w14:textId="77777777" w:rsidR="00650619" w:rsidRPr="007B5CD4" w:rsidRDefault="00650619" w:rsidP="006506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Voda za injekcije.</w:t>
      </w:r>
    </w:p>
    <w:bookmarkEnd w:id="2"/>
    <w:p w14:paraId="4DFBDA09" w14:textId="77777777" w:rsidR="0072020E" w:rsidRPr="007B5CD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E871D8" w14:textId="77777777" w:rsidR="0072020E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6.2.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bookmarkStart w:id="3" w:name="_Hlk163210675"/>
      <w:r w:rsidRPr="007B5CD4">
        <w:rPr>
          <w:b/>
          <w:bCs/>
          <w:sz w:val="22"/>
          <w:szCs w:val="22"/>
          <w:lang w:val="sr-Latn-ME"/>
        </w:rPr>
        <w:t>Inkompatibilnost</w:t>
      </w:r>
      <w:r w:rsidR="002846DB" w:rsidRPr="007B5CD4">
        <w:rPr>
          <w:b/>
          <w:bCs/>
          <w:sz w:val="22"/>
          <w:szCs w:val="22"/>
          <w:lang w:val="sr-Latn-ME"/>
        </w:rPr>
        <w:t>i</w:t>
      </w:r>
    </w:p>
    <w:p w14:paraId="46C53000" w14:textId="77777777" w:rsidR="00650619" w:rsidRPr="007B5CD4" w:rsidRDefault="0065061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645EDB" w14:textId="1B07EECE" w:rsidR="0072020E" w:rsidRPr="007B5CD4" w:rsidRDefault="0065061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Ne preporučuje se </w:t>
      </w:r>
      <w:r w:rsidR="00C31440" w:rsidRPr="007B5CD4">
        <w:rPr>
          <w:bCs/>
          <w:sz w:val="22"/>
          <w:szCs w:val="22"/>
          <w:lang w:val="sr-Latn-ME"/>
        </w:rPr>
        <w:t>dodavanje</w:t>
      </w:r>
      <w:r w:rsidRPr="007B5CD4">
        <w:rPr>
          <w:bCs/>
          <w:sz w:val="22"/>
          <w:szCs w:val="22"/>
          <w:lang w:val="sr-Latn-ME"/>
        </w:rPr>
        <w:t xml:space="preserve"> drugi</w:t>
      </w:r>
      <w:r w:rsidR="00C31440" w:rsidRPr="007B5CD4">
        <w:rPr>
          <w:bCs/>
          <w:sz w:val="22"/>
          <w:szCs w:val="22"/>
          <w:lang w:val="sr-Latn-ME"/>
        </w:rPr>
        <w:t>h</w:t>
      </w:r>
      <w:r w:rsidRPr="007B5CD4">
        <w:rPr>
          <w:bCs/>
          <w:sz w:val="22"/>
          <w:szCs w:val="22"/>
          <w:lang w:val="sr-Latn-ME"/>
        </w:rPr>
        <w:t xml:space="preserve"> </w:t>
      </w:r>
      <w:r w:rsidR="00C31440" w:rsidRPr="007B5CD4">
        <w:rPr>
          <w:bCs/>
          <w:sz w:val="22"/>
          <w:szCs w:val="22"/>
          <w:lang w:val="sr-Latn-ME"/>
        </w:rPr>
        <w:t xml:space="preserve">supstanci </w:t>
      </w:r>
      <w:r w:rsidRPr="007B5CD4">
        <w:rPr>
          <w:bCs/>
          <w:sz w:val="22"/>
          <w:szCs w:val="22"/>
          <w:lang w:val="sr-Latn-ME"/>
        </w:rPr>
        <w:t>rastvorima za in</w:t>
      </w:r>
      <w:r w:rsidR="00667729" w:rsidRPr="007B5CD4">
        <w:rPr>
          <w:bCs/>
          <w:sz w:val="22"/>
          <w:szCs w:val="22"/>
          <w:lang w:val="sr-Latn-ME"/>
        </w:rPr>
        <w:t>j</w:t>
      </w:r>
      <w:r w:rsidRPr="007B5CD4">
        <w:rPr>
          <w:bCs/>
          <w:sz w:val="22"/>
          <w:szCs w:val="22"/>
          <w:lang w:val="sr-Latn-ME"/>
        </w:rPr>
        <w:t xml:space="preserve">ekciju za </w:t>
      </w:r>
      <w:r w:rsidR="00667729" w:rsidRPr="007B5CD4">
        <w:rPr>
          <w:bCs/>
          <w:sz w:val="22"/>
          <w:szCs w:val="22"/>
          <w:lang w:val="sr-Latn-ME"/>
        </w:rPr>
        <w:t>subarahnoidalnu</w:t>
      </w:r>
      <w:r w:rsidRPr="007B5CD4">
        <w:rPr>
          <w:bCs/>
          <w:sz w:val="22"/>
          <w:szCs w:val="22"/>
          <w:lang w:val="sr-Latn-ME"/>
        </w:rPr>
        <w:t xml:space="preserve"> anesteziju.</w:t>
      </w:r>
    </w:p>
    <w:p w14:paraId="4A708460" w14:textId="77777777" w:rsidR="00650619" w:rsidRPr="007B5CD4" w:rsidRDefault="0065061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E97ED45" w14:textId="15CF3D54" w:rsidR="0072020E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>6.3.</w:t>
      </w:r>
      <w:r w:rsidR="00C05DF8" w:rsidRPr="007B5CD4">
        <w:rPr>
          <w:b/>
          <w:bCs/>
          <w:sz w:val="22"/>
          <w:szCs w:val="22"/>
          <w:lang w:val="sr-Latn-ME"/>
        </w:rPr>
        <w:t xml:space="preserve">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Rok upotrebe</w:t>
      </w:r>
    </w:p>
    <w:p w14:paraId="5576579E" w14:textId="77777777" w:rsidR="0072020E" w:rsidRPr="007B5CD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6921F6" w14:textId="12969BC3" w:rsidR="00650619" w:rsidRPr="007B5CD4" w:rsidRDefault="00650619" w:rsidP="0065061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val="sr-Latn-ME"/>
        </w:rPr>
      </w:pPr>
      <w:r w:rsidRPr="007B5CD4">
        <w:rPr>
          <w:rFonts w:eastAsia="Calibri"/>
          <w:color w:val="000000"/>
          <w:sz w:val="23"/>
          <w:szCs w:val="23"/>
          <w:lang w:val="sr-Latn-ME"/>
        </w:rPr>
        <w:t>3 godine</w:t>
      </w:r>
      <w:r w:rsidR="004D5514" w:rsidRPr="007B5CD4">
        <w:rPr>
          <w:rFonts w:eastAsia="Calibri"/>
          <w:color w:val="000000"/>
          <w:sz w:val="23"/>
          <w:szCs w:val="23"/>
          <w:lang w:val="sr-Latn-ME"/>
        </w:rPr>
        <w:t>.</w:t>
      </w:r>
    </w:p>
    <w:p w14:paraId="3D8F42EB" w14:textId="77777777" w:rsidR="00650619" w:rsidRPr="007B5CD4" w:rsidRDefault="00650619" w:rsidP="00650619">
      <w:pPr>
        <w:autoSpaceDE w:val="0"/>
        <w:autoSpaceDN w:val="0"/>
        <w:adjustRightInd w:val="0"/>
        <w:rPr>
          <w:rFonts w:eastAsia="Calibri"/>
          <w:bCs/>
          <w:color w:val="000000"/>
          <w:sz w:val="22"/>
          <w:szCs w:val="22"/>
          <w:lang w:val="sr-Latn-ME"/>
        </w:rPr>
      </w:pPr>
      <w:r w:rsidRPr="007B5CD4">
        <w:rPr>
          <w:rFonts w:eastAsia="Calibri"/>
          <w:color w:val="000000"/>
          <w:sz w:val="22"/>
          <w:szCs w:val="22"/>
          <w:lang w:val="sr-Latn-ME"/>
        </w:rPr>
        <w:t>Rok upotrebe nakon prvog otvaranja: upotrijebiti odmah.</w:t>
      </w:r>
    </w:p>
    <w:bookmarkEnd w:id="3"/>
    <w:p w14:paraId="54E98FAC" w14:textId="77777777" w:rsidR="00650619" w:rsidRPr="007B5CD4" w:rsidRDefault="0065061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0C2370" w14:textId="77777777" w:rsidR="0072020E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6.4.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bookmarkStart w:id="4" w:name="_Hlk163210727"/>
      <w:r w:rsidRPr="007B5CD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B5CD4">
        <w:rPr>
          <w:b/>
          <w:bCs/>
          <w:sz w:val="22"/>
          <w:szCs w:val="22"/>
          <w:lang w:val="sr-Latn-ME"/>
        </w:rPr>
        <w:t xml:space="preserve"> lijeka</w:t>
      </w:r>
    </w:p>
    <w:p w14:paraId="44B84DC3" w14:textId="77777777" w:rsidR="00EC2532" w:rsidRPr="007B5CD4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E4B37F" w14:textId="19ECE640" w:rsidR="00650619" w:rsidRPr="007B5CD4" w:rsidRDefault="0065061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Čuvati u originalnom pakovanju na temperaturi do 25°C. Ne zamrzavati.</w:t>
      </w:r>
    </w:p>
    <w:p w14:paraId="34249CBB" w14:textId="35B26622" w:rsidR="00667729" w:rsidRPr="007B5CD4" w:rsidRDefault="0066772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Za uslove čuvanja nakon prvog otvaranja lijeka, vidjeti dio 6.3.</w:t>
      </w:r>
    </w:p>
    <w:p w14:paraId="76FBADA8" w14:textId="3D42F1C4" w:rsidR="00393FAE" w:rsidRDefault="00393F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41D361" w14:textId="60CBCA44" w:rsidR="00393FAE" w:rsidRDefault="00393F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870671" w14:textId="77777777" w:rsidR="007B5CD4" w:rsidRPr="007B5CD4" w:rsidRDefault="007B5CD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D8C1604" w14:textId="77777777" w:rsidR="0072020E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="002846DB" w:rsidRPr="007B5CD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B5CD4">
        <w:rPr>
          <w:b/>
          <w:bCs/>
          <w:sz w:val="22"/>
          <w:szCs w:val="22"/>
          <w:lang w:val="sr-Latn-ME"/>
        </w:rPr>
        <w:t>pakovanja</w:t>
      </w:r>
      <w:r w:rsidR="00C06864" w:rsidRPr="007B5CD4">
        <w:rPr>
          <w:b/>
          <w:bCs/>
          <w:sz w:val="22"/>
          <w:szCs w:val="22"/>
          <w:lang w:val="sr-Latn-ME"/>
        </w:rPr>
        <w:t xml:space="preserve"> </w:t>
      </w:r>
    </w:p>
    <w:p w14:paraId="32359209" w14:textId="77777777" w:rsidR="0072020E" w:rsidRPr="007B5CD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855D57" w14:textId="34DA6118" w:rsidR="00650619" w:rsidRPr="007B5CD4" w:rsidRDefault="00650619" w:rsidP="00A8231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 xml:space="preserve">Unutrašnje pakovanje je ampula od borsilikatnog stakla, tip I, </w:t>
      </w:r>
      <w:r w:rsidR="00667729" w:rsidRPr="007B5CD4">
        <w:rPr>
          <w:bCs/>
          <w:sz w:val="22"/>
          <w:szCs w:val="22"/>
          <w:lang w:val="sr-Latn-ME"/>
        </w:rPr>
        <w:t xml:space="preserve">zapremine </w:t>
      </w:r>
      <w:r w:rsidRPr="007B5CD4">
        <w:rPr>
          <w:bCs/>
          <w:sz w:val="22"/>
          <w:szCs w:val="22"/>
          <w:lang w:val="sr-Latn-ME"/>
        </w:rPr>
        <w:t>5</w:t>
      </w:r>
      <w:r w:rsidR="007D1502">
        <w:rPr>
          <w:bCs/>
          <w:sz w:val="22"/>
          <w:szCs w:val="22"/>
          <w:lang w:val="sr-Latn-ME"/>
        </w:rPr>
        <w:t xml:space="preserve"> </w:t>
      </w:r>
      <w:r w:rsidRPr="007B5CD4">
        <w:rPr>
          <w:bCs/>
          <w:sz w:val="22"/>
          <w:szCs w:val="22"/>
          <w:lang w:val="sr-Latn-ME"/>
        </w:rPr>
        <w:t>m</w:t>
      </w:r>
      <w:r w:rsidR="00667729" w:rsidRPr="007B5CD4">
        <w:rPr>
          <w:bCs/>
          <w:sz w:val="22"/>
          <w:szCs w:val="22"/>
          <w:lang w:val="sr-Latn-ME"/>
        </w:rPr>
        <w:t>l</w:t>
      </w:r>
      <w:r w:rsidRPr="007B5CD4">
        <w:rPr>
          <w:bCs/>
          <w:sz w:val="22"/>
          <w:szCs w:val="22"/>
          <w:lang w:val="sr-Latn-ME"/>
        </w:rPr>
        <w:t xml:space="preserve">, </w:t>
      </w:r>
      <w:r w:rsidR="00667729" w:rsidRPr="007B5CD4">
        <w:rPr>
          <w:bCs/>
          <w:sz w:val="22"/>
          <w:szCs w:val="22"/>
          <w:lang w:val="sr-Latn-ME"/>
        </w:rPr>
        <w:t>koja sadrži 4 ml rastvora za injekciju. Pet</w:t>
      </w:r>
      <w:r w:rsidRPr="007B5CD4">
        <w:rPr>
          <w:bCs/>
          <w:sz w:val="22"/>
          <w:szCs w:val="22"/>
          <w:lang w:val="sr-Latn-ME"/>
        </w:rPr>
        <w:t xml:space="preserve"> ampula se pakuje u blister (p</w:t>
      </w:r>
      <w:bookmarkStart w:id="5" w:name="_GoBack"/>
      <w:bookmarkEnd w:id="5"/>
      <w:r w:rsidRPr="007B5CD4">
        <w:rPr>
          <w:bCs/>
          <w:sz w:val="22"/>
          <w:szCs w:val="22"/>
          <w:lang w:val="sr-Latn-ME"/>
        </w:rPr>
        <w:t xml:space="preserve">erforirani), koji se sastoji od providnog plastičnog (polipropilen) </w:t>
      </w:r>
      <w:r w:rsidR="00667729" w:rsidRPr="007B5CD4">
        <w:rPr>
          <w:bCs/>
          <w:sz w:val="22"/>
          <w:szCs w:val="22"/>
          <w:lang w:val="sr-Latn-ME"/>
        </w:rPr>
        <w:t>i</w:t>
      </w:r>
      <w:r w:rsidRPr="007B5CD4">
        <w:rPr>
          <w:bCs/>
          <w:sz w:val="22"/>
          <w:szCs w:val="22"/>
          <w:lang w:val="sr-Latn-ME"/>
        </w:rPr>
        <w:t xml:space="preserve"> papirnog dijela.</w:t>
      </w:r>
    </w:p>
    <w:p w14:paraId="27FF02E7" w14:textId="21C3B089" w:rsidR="00667729" w:rsidRPr="007B5CD4" w:rsidRDefault="00667729" w:rsidP="00A8231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Spoljašnje pakovanje je složiva kartonska kutija koja sadrži 5 ampula (5 x 4 ml) i Uputstvo za lijek.</w:t>
      </w:r>
    </w:p>
    <w:p w14:paraId="6E76C482" w14:textId="77777777" w:rsidR="00650619" w:rsidRPr="007B5CD4" w:rsidRDefault="0065061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304367" w14:textId="77777777" w:rsidR="002846DB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6.6.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B5CD4">
        <w:rPr>
          <w:b/>
          <w:bCs/>
          <w:sz w:val="22"/>
          <w:szCs w:val="22"/>
          <w:lang w:val="sr-Latn-ME"/>
        </w:rPr>
        <w:t xml:space="preserve"> </w:t>
      </w:r>
      <w:r w:rsidR="00310F03" w:rsidRPr="007B5CD4">
        <w:rPr>
          <w:b/>
          <w:bCs/>
          <w:sz w:val="22"/>
          <w:szCs w:val="22"/>
          <w:lang w:val="sr-Latn-ME"/>
        </w:rPr>
        <w:t>(i druga uputs</w:t>
      </w:r>
      <w:r w:rsidR="004109FA" w:rsidRPr="007B5CD4">
        <w:rPr>
          <w:b/>
          <w:bCs/>
          <w:sz w:val="22"/>
          <w:szCs w:val="22"/>
          <w:lang w:val="sr-Latn-ME"/>
        </w:rPr>
        <w:t>t</w:t>
      </w:r>
      <w:r w:rsidR="00310F03" w:rsidRPr="007B5CD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296A1FA" w14:textId="77777777" w:rsidR="00B66A70" w:rsidRPr="007B5CD4" w:rsidRDefault="00B66A70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E3E5D8F" w14:textId="021465E8" w:rsidR="00650619" w:rsidRPr="007B5CD4" w:rsidRDefault="00650619" w:rsidP="007D1502">
      <w:pPr>
        <w:tabs>
          <w:tab w:val="left" w:pos="540"/>
          <w:tab w:val="left" w:pos="569"/>
        </w:tabs>
        <w:rPr>
          <w:lang w:val="sr-Latn-ME"/>
        </w:rPr>
      </w:pPr>
      <w:r w:rsidRPr="007B5CD4">
        <w:rPr>
          <w:sz w:val="22"/>
          <w:szCs w:val="22"/>
          <w:lang w:val="sr-Latn-ME"/>
        </w:rPr>
        <w:t>Sterilni rastvor za inekciju upotrijebiti odmah po otvaranju! Neupotr</w:t>
      </w:r>
      <w:r w:rsidR="007D1502">
        <w:rPr>
          <w:sz w:val="22"/>
          <w:szCs w:val="22"/>
          <w:lang w:val="sr-Latn-ME"/>
        </w:rPr>
        <w:t>ij</w:t>
      </w:r>
      <w:r w:rsidRPr="007B5CD4">
        <w:rPr>
          <w:sz w:val="22"/>
          <w:szCs w:val="22"/>
          <w:lang w:val="sr-Latn-ME"/>
        </w:rPr>
        <w:t xml:space="preserve">ebljeni lijek se uništava u skladu sa važećim propisima. </w:t>
      </w:r>
      <w:r w:rsidR="004D5514" w:rsidRPr="007B5CD4">
        <w:rPr>
          <w:sz w:val="22"/>
          <w:szCs w:val="22"/>
          <w:lang w:val="sr-Latn-ME"/>
        </w:rPr>
        <w:t xml:space="preserve">Ne preporučuje se ponovna </w:t>
      </w:r>
      <w:r w:rsidRPr="007B5CD4">
        <w:rPr>
          <w:sz w:val="22"/>
          <w:szCs w:val="22"/>
          <w:lang w:val="sr-Latn-ME"/>
        </w:rPr>
        <w:t xml:space="preserve">sterilizacija lijeka </w:t>
      </w:r>
      <w:r w:rsidR="00667729" w:rsidRPr="007B5CD4">
        <w:rPr>
          <w:sz w:val="22"/>
          <w:szCs w:val="22"/>
          <w:lang w:val="sr-Latn-ME"/>
        </w:rPr>
        <w:t xml:space="preserve">Marcaine </w:t>
      </w:r>
      <w:r w:rsidRPr="007B5CD4">
        <w:rPr>
          <w:sz w:val="22"/>
          <w:szCs w:val="22"/>
          <w:lang w:val="sr-Latn-ME"/>
        </w:rPr>
        <w:t xml:space="preserve">Spinal </w:t>
      </w:r>
      <w:r w:rsidR="00667729" w:rsidRPr="007B5CD4">
        <w:rPr>
          <w:sz w:val="22"/>
          <w:szCs w:val="22"/>
          <w:lang w:val="sr-Latn-ME"/>
        </w:rPr>
        <w:t>0.5%</w:t>
      </w:r>
      <w:r w:rsidR="004D5514" w:rsidRPr="007B5CD4">
        <w:rPr>
          <w:sz w:val="22"/>
          <w:szCs w:val="22"/>
          <w:lang w:val="sr-Latn-ME"/>
        </w:rPr>
        <w:t>.</w:t>
      </w:r>
      <w:r w:rsidR="00667729" w:rsidRPr="007B5CD4">
        <w:rPr>
          <w:sz w:val="22"/>
          <w:szCs w:val="22"/>
          <w:lang w:val="sr-Latn-ME"/>
        </w:rPr>
        <w:t xml:space="preserve"> </w:t>
      </w:r>
    </w:p>
    <w:p w14:paraId="5BA3D074" w14:textId="3F863AEF" w:rsidR="00667729" w:rsidRPr="007B5CD4" w:rsidRDefault="00667729" w:rsidP="0000250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B5CD4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bookmarkEnd w:id="4"/>
    <w:p w14:paraId="17D0F2AD" w14:textId="129CA8E4" w:rsidR="0072020E" w:rsidRPr="007B5CD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07E40F" w14:textId="77777777" w:rsidR="004D5514" w:rsidRPr="007B5CD4" w:rsidRDefault="004D551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FA9E41" w14:textId="77777777" w:rsidR="00F8570A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7.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NOSILAC DOZVOLE</w:t>
      </w:r>
      <w:r w:rsidR="00483928" w:rsidRPr="007B5CD4">
        <w:rPr>
          <w:b/>
          <w:bCs/>
          <w:sz w:val="22"/>
          <w:szCs w:val="22"/>
          <w:lang w:val="sr-Latn-ME"/>
        </w:rPr>
        <w:t xml:space="preserve"> </w:t>
      </w:r>
    </w:p>
    <w:p w14:paraId="596F5AB3" w14:textId="77777777" w:rsidR="00650619" w:rsidRPr="007B5CD4" w:rsidRDefault="00650619" w:rsidP="006506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96016D" w14:textId="0B1C6B65" w:rsidR="00C61BE0" w:rsidRPr="007B5CD4" w:rsidRDefault="00650619" w:rsidP="006506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B5CD4">
        <w:rPr>
          <w:bCs/>
          <w:sz w:val="22"/>
          <w:szCs w:val="22"/>
          <w:lang w:val="sr-Latn-ME"/>
        </w:rPr>
        <w:t>Glosarij d.o.o.</w:t>
      </w:r>
      <w:r w:rsidR="00FB6875">
        <w:rPr>
          <w:bCs/>
          <w:sz w:val="22"/>
          <w:szCs w:val="22"/>
          <w:lang w:val="sr-Latn-ME"/>
        </w:rPr>
        <w:t xml:space="preserve">, </w:t>
      </w:r>
      <w:r w:rsidRPr="007B5CD4">
        <w:rPr>
          <w:bCs/>
          <w:sz w:val="22"/>
          <w:szCs w:val="22"/>
          <w:lang w:val="sr-Latn-ME"/>
        </w:rPr>
        <w:t>Vojislavljevića 76, 81 000 Podgorica, Crna Gora</w:t>
      </w:r>
    </w:p>
    <w:p w14:paraId="5AFB9513" w14:textId="77777777" w:rsidR="00FB6875" w:rsidRPr="007B5CD4" w:rsidRDefault="00FB687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0D0E94" w14:textId="77777777" w:rsidR="004D5514" w:rsidRPr="007B5CD4" w:rsidRDefault="004D551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A745B7B" w14:textId="77777777" w:rsidR="00650619" w:rsidRPr="007B5CD4" w:rsidRDefault="0072020E" w:rsidP="0065061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8.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>BROJ DOZVOLE</w:t>
      </w:r>
      <w:r w:rsidR="008A6D43" w:rsidRPr="007B5CD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751B40D" w14:textId="77777777" w:rsidR="00650619" w:rsidRPr="007B5CD4" w:rsidRDefault="00650619" w:rsidP="0065061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58E7CF4" w14:textId="19177B34" w:rsidR="00F45F77" w:rsidRPr="007B5CD4" w:rsidRDefault="00A8231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82317">
        <w:rPr>
          <w:bCs/>
          <w:sz w:val="22"/>
          <w:szCs w:val="22"/>
          <w:lang w:val="sr-Latn-ME"/>
        </w:rPr>
        <w:t>2030/24/4689 - 5692</w:t>
      </w:r>
    </w:p>
    <w:p w14:paraId="3009D7DB" w14:textId="77777777" w:rsidR="00B64288" w:rsidRPr="007B5CD4" w:rsidRDefault="00B6428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5CA36F" w14:textId="77777777" w:rsidR="0072020E" w:rsidRPr="007B5CD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9.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Pr="007B5CD4">
        <w:rPr>
          <w:b/>
          <w:bCs/>
          <w:sz w:val="22"/>
          <w:szCs w:val="22"/>
          <w:lang w:val="sr-Latn-ME"/>
        </w:rPr>
        <w:t xml:space="preserve">DATUM </w:t>
      </w:r>
      <w:r w:rsidR="00C05DF8" w:rsidRPr="007B5CD4">
        <w:rPr>
          <w:b/>
          <w:bCs/>
          <w:sz w:val="22"/>
          <w:szCs w:val="22"/>
          <w:lang w:val="sr-Latn-ME"/>
        </w:rPr>
        <w:t xml:space="preserve">PRVE </w:t>
      </w:r>
      <w:r w:rsidR="008A6D43" w:rsidRPr="007B5CD4">
        <w:rPr>
          <w:b/>
          <w:bCs/>
          <w:sz w:val="22"/>
          <w:szCs w:val="22"/>
          <w:lang w:val="sr-Latn-ME"/>
        </w:rPr>
        <w:t>DOZVOLE</w:t>
      </w:r>
      <w:r w:rsidR="00C05DF8" w:rsidRPr="007B5CD4">
        <w:rPr>
          <w:b/>
          <w:bCs/>
          <w:sz w:val="22"/>
          <w:szCs w:val="22"/>
          <w:lang w:val="sr-Latn-ME"/>
        </w:rPr>
        <w:t>/OBNOVE DOZVOLE</w:t>
      </w:r>
      <w:r w:rsidR="008A6D43" w:rsidRPr="007B5CD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AF6D0D5" w14:textId="77777777" w:rsidR="0072020E" w:rsidRPr="007B5CD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AA917A" w14:textId="17AC8F15" w:rsidR="00650619" w:rsidRPr="00A82317" w:rsidRDefault="00FB6875" w:rsidP="006506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82317">
        <w:rPr>
          <w:sz w:val="22"/>
          <w:szCs w:val="22"/>
          <w:lang w:val="sr-Latn-ME"/>
        </w:rPr>
        <w:t>Datum prve dozvole:</w:t>
      </w:r>
      <w:r w:rsidRPr="00A82317">
        <w:rPr>
          <w:sz w:val="22"/>
          <w:szCs w:val="22"/>
        </w:rPr>
        <w:t xml:space="preserve"> </w:t>
      </w:r>
      <w:r w:rsidR="00650619" w:rsidRPr="00A82317">
        <w:rPr>
          <w:bCs/>
          <w:sz w:val="22"/>
          <w:szCs w:val="22"/>
          <w:lang w:val="sr-Latn-ME"/>
        </w:rPr>
        <w:t>12.04.2013. godine</w:t>
      </w:r>
    </w:p>
    <w:p w14:paraId="51F9CB34" w14:textId="77EFA793" w:rsidR="00A82317" w:rsidRPr="00A82317" w:rsidRDefault="00A82317" w:rsidP="006506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82317">
        <w:rPr>
          <w:bCs/>
          <w:sz w:val="22"/>
          <w:szCs w:val="22"/>
          <w:lang w:val="sr-Latn-ME"/>
        </w:rPr>
        <w:t>Datum poslednje obnove dozvole:</w:t>
      </w:r>
      <w:r w:rsidRPr="00A82317">
        <w:rPr>
          <w:sz w:val="22"/>
          <w:szCs w:val="22"/>
        </w:rPr>
        <w:t xml:space="preserve"> </w:t>
      </w:r>
      <w:r w:rsidRPr="00A82317">
        <w:rPr>
          <w:bCs/>
          <w:sz w:val="22"/>
          <w:szCs w:val="22"/>
          <w:lang w:val="sr-Latn-ME"/>
        </w:rPr>
        <w:t>18.09.2024. godine</w:t>
      </w:r>
    </w:p>
    <w:p w14:paraId="49B670CB" w14:textId="1EAAFDE9" w:rsidR="00836B35" w:rsidRPr="007B5CD4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DBA8B1" w14:textId="77777777" w:rsidR="00B64288" w:rsidRPr="007B5CD4" w:rsidRDefault="00B6428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11E76C" w14:textId="1772FB4A" w:rsidR="003F6A59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7B5CD4">
        <w:rPr>
          <w:b/>
          <w:bCs/>
          <w:sz w:val="22"/>
          <w:szCs w:val="22"/>
          <w:lang w:val="sr-Latn-ME"/>
        </w:rPr>
        <w:t xml:space="preserve">10. </w:t>
      </w:r>
      <w:r w:rsidR="00480FB1" w:rsidRPr="007B5CD4">
        <w:rPr>
          <w:b/>
          <w:bCs/>
          <w:sz w:val="22"/>
          <w:szCs w:val="22"/>
          <w:lang w:val="sr-Latn-ME"/>
        </w:rPr>
        <w:tab/>
      </w:r>
      <w:r w:rsidR="002846DB" w:rsidRPr="007B5CD4">
        <w:rPr>
          <w:b/>
          <w:bCs/>
          <w:sz w:val="22"/>
          <w:szCs w:val="22"/>
          <w:lang w:val="sr-Latn-ME"/>
        </w:rPr>
        <w:t>D</w:t>
      </w:r>
      <w:r w:rsidR="00EC2532" w:rsidRPr="007B5CD4">
        <w:rPr>
          <w:b/>
          <w:bCs/>
          <w:sz w:val="22"/>
          <w:szCs w:val="22"/>
          <w:lang w:val="sr-Latn-ME"/>
        </w:rPr>
        <w:t xml:space="preserve">ATUM REVIZIJE TEKSTA </w:t>
      </w:r>
    </w:p>
    <w:p w14:paraId="311F11B6" w14:textId="58505C40" w:rsidR="00A82317" w:rsidRDefault="00A82317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</w:p>
    <w:p w14:paraId="1DEFE449" w14:textId="26893E74" w:rsidR="00A82317" w:rsidRPr="007B5CD4" w:rsidRDefault="00A82317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A82317">
        <w:rPr>
          <w:bCs/>
          <w:sz w:val="22"/>
          <w:szCs w:val="22"/>
          <w:lang w:val="sr-Latn-ME"/>
        </w:rPr>
        <w:t>Septembar, 2024. godine</w:t>
      </w:r>
    </w:p>
    <w:p w14:paraId="04E8059C" w14:textId="77777777" w:rsidR="003F6A59" w:rsidRPr="007B5CD4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7005FC" w14:textId="5BEAE820" w:rsidR="003F6A59" w:rsidRPr="007B5CD4" w:rsidRDefault="003F6A59" w:rsidP="00DE3F5C">
      <w:pPr>
        <w:rPr>
          <w:sz w:val="22"/>
          <w:szCs w:val="22"/>
          <w:lang w:val="sr-Latn-ME"/>
        </w:rPr>
      </w:pPr>
    </w:p>
    <w:sectPr w:rsidR="003F6A59" w:rsidRPr="007B5CD4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30F56" w14:textId="77777777" w:rsidR="00471785" w:rsidRDefault="00471785">
      <w:r>
        <w:separator/>
      </w:r>
    </w:p>
  </w:endnote>
  <w:endnote w:type="continuationSeparator" w:id="0">
    <w:p w14:paraId="46EC3EE5" w14:textId="77777777" w:rsidR="00471785" w:rsidRDefault="0047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FA34" w14:textId="18C395A2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82317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82317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A2EF9" w14:textId="77777777" w:rsidR="00471785" w:rsidRDefault="00471785">
      <w:r>
        <w:separator/>
      </w:r>
    </w:p>
  </w:footnote>
  <w:footnote w:type="continuationSeparator" w:id="0">
    <w:p w14:paraId="270A0362" w14:textId="77777777" w:rsidR="00471785" w:rsidRDefault="0047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965450"/>
    <w:multiLevelType w:val="hybridMultilevel"/>
    <w:tmpl w:val="8C88B4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83039AF"/>
    <w:multiLevelType w:val="hybridMultilevel"/>
    <w:tmpl w:val="619AB1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505"/>
    <w:rsid w:val="000031FB"/>
    <w:rsid w:val="000176CA"/>
    <w:rsid w:val="00021369"/>
    <w:rsid w:val="00033469"/>
    <w:rsid w:val="00036FA0"/>
    <w:rsid w:val="0003793F"/>
    <w:rsid w:val="00045130"/>
    <w:rsid w:val="00051A3F"/>
    <w:rsid w:val="00057E35"/>
    <w:rsid w:val="00075E28"/>
    <w:rsid w:val="00076726"/>
    <w:rsid w:val="00080303"/>
    <w:rsid w:val="00083D02"/>
    <w:rsid w:val="00083DA3"/>
    <w:rsid w:val="000A3F58"/>
    <w:rsid w:val="000B7037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65506"/>
    <w:rsid w:val="00175DCB"/>
    <w:rsid w:val="001947FE"/>
    <w:rsid w:val="001A3FBA"/>
    <w:rsid w:val="001A5518"/>
    <w:rsid w:val="001B1C6A"/>
    <w:rsid w:val="001C1263"/>
    <w:rsid w:val="001C1417"/>
    <w:rsid w:val="001D4571"/>
    <w:rsid w:val="001E390B"/>
    <w:rsid w:val="001E7A52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71663"/>
    <w:rsid w:val="002846DB"/>
    <w:rsid w:val="00284CCD"/>
    <w:rsid w:val="002C10A3"/>
    <w:rsid w:val="002C6637"/>
    <w:rsid w:val="002E0135"/>
    <w:rsid w:val="002E37A5"/>
    <w:rsid w:val="002E42DB"/>
    <w:rsid w:val="00310F03"/>
    <w:rsid w:val="003247D2"/>
    <w:rsid w:val="003445C1"/>
    <w:rsid w:val="00355B61"/>
    <w:rsid w:val="00362686"/>
    <w:rsid w:val="00371510"/>
    <w:rsid w:val="00393FAE"/>
    <w:rsid w:val="00396DFD"/>
    <w:rsid w:val="003A7059"/>
    <w:rsid w:val="003B3928"/>
    <w:rsid w:val="003B7A36"/>
    <w:rsid w:val="003C17AB"/>
    <w:rsid w:val="003C7823"/>
    <w:rsid w:val="003E1DCC"/>
    <w:rsid w:val="003E21AF"/>
    <w:rsid w:val="003F11A1"/>
    <w:rsid w:val="003F6A59"/>
    <w:rsid w:val="004015AA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56919"/>
    <w:rsid w:val="004671AA"/>
    <w:rsid w:val="00471785"/>
    <w:rsid w:val="00471DF8"/>
    <w:rsid w:val="00480FB1"/>
    <w:rsid w:val="00483928"/>
    <w:rsid w:val="004C331F"/>
    <w:rsid w:val="004D5514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7685A"/>
    <w:rsid w:val="005A0B2E"/>
    <w:rsid w:val="005A23D2"/>
    <w:rsid w:val="005A36CB"/>
    <w:rsid w:val="005B49B8"/>
    <w:rsid w:val="005C0741"/>
    <w:rsid w:val="005C5EF4"/>
    <w:rsid w:val="005E2E0B"/>
    <w:rsid w:val="005E599F"/>
    <w:rsid w:val="005E67AD"/>
    <w:rsid w:val="005E7A7D"/>
    <w:rsid w:val="005F42D6"/>
    <w:rsid w:val="00602457"/>
    <w:rsid w:val="00610DA6"/>
    <w:rsid w:val="00635EB9"/>
    <w:rsid w:val="00644FC3"/>
    <w:rsid w:val="00646BD1"/>
    <w:rsid w:val="00650619"/>
    <w:rsid w:val="006561C2"/>
    <w:rsid w:val="0066698F"/>
    <w:rsid w:val="00667729"/>
    <w:rsid w:val="00671CB3"/>
    <w:rsid w:val="00674BAF"/>
    <w:rsid w:val="00682200"/>
    <w:rsid w:val="00692BF6"/>
    <w:rsid w:val="006973CA"/>
    <w:rsid w:val="006A1351"/>
    <w:rsid w:val="006A1497"/>
    <w:rsid w:val="006B0BD1"/>
    <w:rsid w:val="006B5404"/>
    <w:rsid w:val="006D20A5"/>
    <w:rsid w:val="006D37BF"/>
    <w:rsid w:val="00702E22"/>
    <w:rsid w:val="0072020E"/>
    <w:rsid w:val="00740C3C"/>
    <w:rsid w:val="00753458"/>
    <w:rsid w:val="00754902"/>
    <w:rsid w:val="007567B3"/>
    <w:rsid w:val="00786071"/>
    <w:rsid w:val="007A3ECB"/>
    <w:rsid w:val="007B5CD4"/>
    <w:rsid w:val="007D1502"/>
    <w:rsid w:val="007D7BB3"/>
    <w:rsid w:val="007E31E9"/>
    <w:rsid w:val="007F05E3"/>
    <w:rsid w:val="007F34A1"/>
    <w:rsid w:val="00824AB9"/>
    <w:rsid w:val="008345D1"/>
    <w:rsid w:val="00836B35"/>
    <w:rsid w:val="00843BDE"/>
    <w:rsid w:val="00863262"/>
    <w:rsid w:val="0087588C"/>
    <w:rsid w:val="0089705C"/>
    <w:rsid w:val="008A3FBA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46C9A"/>
    <w:rsid w:val="00A619F3"/>
    <w:rsid w:val="00A62A73"/>
    <w:rsid w:val="00A82317"/>
    <w:rsid w:val="00A87FF6"/>
    <w:rsid w:val="00AA0A3B"/>
    <w:rsid w:val="00AA2763"/>
    <w:rsid w:val="00AA33B6"/>
    <w:rsid w:val="00AB50CA"/>
    <w:rsid w:val="00AB6D64"/>
    <w:rsid w:val="00AC53CE"/>
    <w:rsid w:val="00AD01A9"/>
    <w:rsid w:val="00AD2193"/>
    <w:rsid w:val="00AD27B5"/>
    <w:rsid w:val="00AF19F4"/>
    <w:rsid w:val="00AF2AC7"/>
    <w:rsid w:val="00AF74CE"/>
    <w:rsid w:val="00B1400E"/>
    <w:rsid w:val="00B208DB"/>
    <w:rsid w:val="00B23F69"/>
    <w:rsid w:val="00B60619"/>
    <w:rsid w:val="00B64288"/>
    <w:rsid w:val="00B66A70"/>
    <w:rsid w:val="00B67366"/>
    <w:rsid w:val="00B80EE1"/>
    <w:rsid w:val="00B82D5F"/>
    <w:rsid w:val="00B84135"/>
    <w:rsid w:val="00BC2F94"/>
    <w:rsid w:val="00C04D34"/>
    <w:rsid w:val="00C05DF8"/>
    <w:rsid w:val="00C06864"/>
    <w:rsid w:val="00C10F54"/>
    <w:rsid w:val="00C23D8D"/>
    <w:rsid w:val="00C31440"/>
    <w:rsid w:val="00C37AA3"/>
    <w:rsid w:val="00C37FD7"/>
    <w:rsid w:val="00C43419"/>
    <w:rsid w:val="00C44CF3"/>
    <w:rsid w:val="00C46E3C"/>
    <w:rsid w:val="00C61BE0"/>
    <w:rsid w:val="00C629A6"/>
    <w:rsid w:val="00C6707E"/>
    <w:rsid w:val="00C70B0E"/>
    <w:rsid w:val="00C773CA"/>
    <w:rsid w:val="00C83785"/>
    <w:rsid w:val="00C87FA8"/>
    <w:rsid w:val="00C94C0D"/>
    <w:rsid w:val="00CA1FEB"/>
    <w:rsid w:val="00CB0424"/>
    <w:rsid w:val="00CD341E"/>
    <w:rsid w:val="00CD4F85"/>
    <w:rsid w:val="00CD6F02"/>
    <w:rsid w:val="00CE246D"/>
    <w:rsid w:val="00CF07A0"/>
    <w:rsid w:val="00CF3E03"/>
    <w:rsid w:val="00D0082A"/>
    <w:rsid w:val="00D125E8"/>
    <w:rsid w:val="00D21455"/>
    <w:rsid w:val="00D22EAA"/>
    <w:rsid w:val="00D47634"/>
    <w:rsid w:val="00D54E91"/>
    <w:rsid w:val="00D63623"/>
    <w:rsid w:val="00D6622A"/>
    <w:rsid w:val="00D709B3"/>
    <w:rsid w:val="00D74CD2"/>
    <w:rsid w:val="00DA2ED6"/>
    <w:rsid w:val="00DB1D55"/>
    <w:rsid w:val="00DB76B8"/>
    <w:rsid w:val="00DC2EA1"/>
    <w:rsid w:val="00DD6AAF"/>
    <w:rsid w:val="00DE3F5C"/>
    <w:rsid w:val="00DF1D20"/>
    <w:rsid w:val="00E10CE5"/>
    <w:rsid w:val="00E21324"/>
    <w:rsid w:val="00E246B9"/>
    <w:rsid w:val="00E31FEA"/>
    <w:rsid w:val="00E45169"/>
    <w:rsid w:val="00E47787"/>
    <w:rsid w:val="00E51C30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F3B86"/>
    <w:rsid w:val="00F317E9"/>
    <w:rsid w:val="00F34554"/>
    <w:rsid w:val="00F35B68"/>
    <w:rsid w:val="00F45F77"/>
    <w:rsid w:val="00F5167F"/>
    <w:rsid w:val="00F52258"/>
    <w:rsid w:val="00F67879"/>
    <w:rsid w:val="00F8570A"/>
    <w:rsid w:val="00F91C7B"/>
    <w:rsid w:val="00FB6875"/>
    <w:rsid w:val="00FD7261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589B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E599F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863262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TableTitle">
    <w:name w:val="A-Table Title"/>
    <w:next w:val="Normal"/>
    <w:rsid w:val="00863262"/>
    <w:pPr>
      <w:keepNext/>
      <w:tabs>
        <w:tab w:val="left" w:pos="1411"/>
      </w:tabs>
      <w:spacing w:after="120" w:line="280" w:lineRule="atLeast"/>
      <w:ind w:left="1411" w:hanging="1411"/>
    </w:pPr>
    <w:rPr>
      <w:b/>
      <w:sz w:val="24"/>
      <w:lang w:val="en-GB" w:eastAsia="en-US"/>
    </w:rPr>
  </w:style>
  <w:style w:type="paragraph" w:customStyle="1" w:styleId="Default">
    <w:name w:val="Default"/>
    <w:rsid w:val="00D125E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7046-CC8A-4EDF-9D28-12741418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19767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Marijanović</cp:lastModifiedBy>
  <cp:revision>4</cp:revision>
  <cp:lastPrinted>2023-02-09T08:16:00Z</cp:lastPrinted>
  <dcterms:created xsi:type="dcterms:W3CDTF">2024-09-18T09:51:00Z</dcterms:created>
  <dcterms:modified xsi:type="dcterms:W3CDTF">2024-09-18T12:28:00Z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